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82" w:rsidRPr="00327506" w:rsidRDefault="005B6B82" w:rsidP="005B6B82">
      <w:pPr>
        <w:tabs>
          <w:tab w:val="center" w:pos="4680"/>
          <w:tab w:val="right" w:pos="9360"/>
        </w:tabs>
        <w:jc w:val="center"/>
        <w:rPr>
          <w:rFonts w:eastAsiaTheme="minorHAnsi" w:cstheme="minorBidi"/>
          <w:szCs w:val="24"/>
          <w:lang w:eastAsia="en-US"/>
        </w:rPr>
      </w:pPr>
      <w:r w:rsidRPr="0032750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91242086" r:id="rId9"/>
        </w:object>
      </w:r>
    </w:p>
    <w:p w:rsidR="005B6B82" w:rsidRPr="00327506" w:rsidRDefault="005B6B82" w:rsidP="005B6B82">
      <w:pPr>
        <w:tabs>
          <w:tab w:val="center" w:pos="4680"/>
          <w:tab w:val="right" w:pos="9360"/>
        </w:tabs>
        <w:rPr>
          <w:rFonts w:eastAsiaTheme="minorHAnsi" w:cstheme="minorBidi"/>
          <w:szCs w:val="24"/>
          <w:lang w:eastAsia="en-US"/>
        </w:rPr>
      </w:pPr>
    </w:p>
    <w:p w:rsidR="005B6B82" w:rsidRPr="00327506" w:rsidRDefault="005B6B82" w:rsidP="005B6B82">
      <w:pPr>
        <w:jc w:val="center"/>
        <w:rPr>
          <w:rFonts w:eastAsiaTheme="minorHAnsi" w:cstheme="minorBidi"/>
          <w:b/>
          <w:szCs w:val="24"/>
          <w:lang w:eastAsia="en-US"/>
        </w:rPr>
      </w:pPr>
      <w:r w:rsidRPr="00327506">
        <w:rPr>
          <w:rFonts w:eastAsiaTheme="minorHAnsi" w:cstheme="minorBidi"/>
          <w:b/>
          <w:szCs w:val="24"/>
          <w:lang w:eastAsia="en-US"/>
        </w:rPr>
        <w:t>COUR SUPRÊME DU CANADA</w:t>
      </w:r>
    </w:p>
    <w:p w:rsidR="005B6B82" w:rsidRPr="00327506" w:rsidRDefault="005B6B82" w:rsidP="005B6B8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B6B82" w:rsidRPr="00327506" w:rsidTr="00342FDD">
        <w:trPr>
          <w:cantSplit/>
        </w:trPr>
        <w:tc>
          <w:tcPr>
            <w:tcW w:w="6768" w:type="dxa"/>
          </w:tcPr>
          <w:p w:rsidR="005B6B82" w:rsidRPr="00327506" w:rsidRDefault="005B6B82" w:rsidP="00342FDD">
            <w:r w:rsidRPr="00327506">
              <w:rPr>
                <w:b/>
                <w:smallCaps/>
              </w:rPr>
              <w:t>Référence :</w:t>
            </w:r>
            <w:r w:rsidRPr="00327506">
              <w:t xml:space="preserve"> Canada (Commission canadienne des droits de la personne) </w:t>
            </w:r>
            <w:r w:rsidRPr="00327506">
              <w:rPr>
                <w:i/>
              </w:rPr>
              <w:t>c.</w:t>
            </w:r>
            <w:r w:rsidRPr="00327506">
              <w:t xml:space="preserve"> Canada (Procureur général), 2011 CSC 53</w:t>
            </w:r>
            <w:r w:rsidRPr="00FE0A96">
              <w:rPr>
                <w:smallCaps/>
              </w:rPr>
              <w:t xml:space="preserve">, [2011] 3 R.C.S. </w:t>
            </w:r>
            <w:r>
              <w:rPr>
                <w:smallCaps/>
              </w:rPr>
              <w:t>471</w:t>
            </w:r>
          </w:p>
        </w:tc>
        <w:tc>
          <w:tcPr>
            <w:tcW w:w="2808" w:type="dxa"/>
          </w:tcPr>
          <w:p w:rsidR="005B6B82" w:rsidRPr="00327506" w:rsidRDefault="005B6B82" w:rsidP="00342FDD">
            <w:r w:rsidRPr="00327506">
              <w:rPr>
                <w:b/>
                <w:smallCaps/>
              </w:rPr>
              <w:t>Date :</w:t>
            </w:r>
            <w:r w:rsidRPr="00327506">
              <w:t xml:space="preserve"> 20111028</w:t>
            </w:r>
          </w:p>
          <w:p w:rsidR="005B6B82" w:rsidRPr="00327506" w:rsidRDefault="005B6B82" w:rsidP="00342FDD">
            <w:r w:rsidRPr="00327506">
              <w:rPr>
                <w:b/>
                <w:smallCaps/>
              </w:rPr>
              <w:t>Dossier :</w:t>
            </w:r>
            <w:r w:rsidRPr="00327506">
              <w:t xml:space="preserve"> 33507</w:t>
            </w:r>
          </w:p>
        </w:tc>
      </w:tr>
    </w:tbl>
    <w:p w:rsidR="005B6B82" w:rsidRPr="00327506" w:rsidRDefault="005B6B82" w:rsidP="005B6B82">
      <w:pPr>
        <w:rPr>
          <w:rFonts w:eastAsiaTheme="minorHAnsi" w:cstheme="minorBidi"/>
          <w:szCs w:val="24"/>
          <w:lang w:eastAsia="en-US"/>
        </w:rPr>
      </w:pPr>
    </w:p>
    <w:p w:rsidR="005B6B82" w:rsidRPr="00327506" w:rsidRDefault="005B6B82" w:rsidP="005B6B82">
      <w:pPr>
        <w:rPr>
          <w:rFonts w:eastAsiaTheme="minorHAnsi" w:cstheme="minorBidi"/>
          <w:b/>
          <w:smallCaps/>
          <w:szCs w:val="24"/>
          <w:lang w:eastAsia="en-US"/>
        </w:rPr>
      </w:pPr>
      <w:r w:rsidRPr="00327506">
        <w:rPr>
          <w:rFonts w:eastAsiaTheme="minorHAnsi" w:cstheme="minorBidi"/>
          <w:b/>
          <w:smallCaps/>
          <w:szCs w:val="24"/>
          <w:lang w:eastAsia="en-US"/>
        </w:rPr>
        <w:t>Entre :</w:t>
      </w:r>
    </w:p>
    <w:p w:rsidR="005B6B82" w:rsidRPr="00327506" w:rsidRDefault="005B6B82" w:rsidP="005B6B82">
      <w:pPr>
        <w:jc w:val="center"/>
        <w:rPr>
          <w:rFonts w:eastAsiaTheme="minorHAnsi" w:cstheme="minorBidi"/>
          <w:b/>
          <w:szCs w:val="24"/>
          <w:lang w:eastAsia="en-US"/>
        </w:rPr>
      </w:pPr>
      <w:r w:rsidRPr="00327506">
        <w:rPr>
          <w:rFonts w:eastAsiaTheme="minorHAnsi" w:cstheme="minorBidi"/>
          <w:b/>
          <w:szCs w:val="24"/>
          <w:lang w:eastAsia="en-US"/>
        </w:rPr>
        <w:t xml:space="preserve">Commission canadienne des droits de la personne et Donna </w:t>
      </w:r>
      <w:proofErr w:type="spellStart"/>
      <w:r w:rsidRPr="00327506">
        <w:rPr>
          <w:rFonts w:eastAsiaTheme="minorHAnsi" w:cstheme="minorBidi"/>
          <w:b/>
          <w:szCs w:val="24"/>
          <w:lang w:eastAsia="en-US"/>
        </w:rPr>
        <w:t>Mowat</w:t>
      </w:r>
      <w:proofErr w:type="spellEnd"/>
    </w:p>
    <w:p w:rsidR="005B6B82" w:rsidRPr="00327506" w:rsidRDefault="005B6B82" w:rsidP="005B6B82">
      <w:pPr>
        <w:jc w:val="center"/>
        <w:rPr>
          <w:rFonts w:eastAsiaTheme="minorHAnsi" w:cstheme="minorBidi"/>
          <w:szCs w:val="24"/>
          <w:lang w:eastAsia="en-US"/>
        </w:rPr>
      </w:pPr>
      <w:r w:rsidRPr="00327506">
        <w:rPr>
          <w:rFonts w:eastAsiaTheme="minorHAnsi" w:cstheme="minorBidi"/>
          <w:szCs w:val="24"/>
          <w:lang w:eastAsia="en-US"/>
        </w:rPr>
        <w:t>Appelantes</w:t>
      </w:r>
    </w:p>
    <w:p w:rsidR="005B6B82" w:rsidRPr="00327506" w:rsidRDefault="005B6B82" w:rsidP="005B6B82">
      <w:pPr>
        <w:jc w:val="center"/>
        <w:rPr>
          <w:rFonts w:eastAsiaTheme="minorHAnsi" w:cstheme="minorBidi"/>
          <w:szCs w:val="24"/>
          <w:lang w:eastAsia="en-US"/>
        </w:rPr>
      </w:pPr>
      <w:proofErr w:type="gramStart"/>
      <w:r w:rsidRPr="00327506">
        <w:rPr>
          <w:rFonts w:eastAsiaTheme="minorHAnsi" w:cstheme="minorBidi"/>
          <w:szCs w:val="24"/>
          <w:lang w:eastAsia="en-US"/>
        </w:rPr>
        <w:t>et</w:t>
      </w:r>
      <w:proofErr w:type="gramEnd"/>
    </w:p>
    <w:p w:rsidR="005B6B82" w:rsidRPr="00327506" w:rsidRDefault="005B6B82" w:rsidP="005B6B82">
      <w:pPr>
        <w:jc w:val="center"/>
        <w:rPr>
          <w:rFonts w:eastAsiaTheme="minorHAnsi" w:cstheme="minorBidi"/>
          <w:b/>
          <w:szCs w:val="24"/>
          <w:lang w:eastAsia="en-US"/>
        </w:rPr>
      </w:pPr>
      <w:r w:rsidRPr="00327506">
        <w:rPr>
          <w:rFonts w:eastAsiaTheme="minorHAnsi" w:cstheme="minorBidi"/>
          <w:b/>
          <w:szCs w:val="24"/>
          <w:lang w:eastAsia="en-US"/>
        </w:rPr>
        <w:t>Procureur général du Canada</w:t>
      </w:r>
    </w:p>
    <w:p w:rsidR="005B6B82" w:rsidRPr="00327506" w:rsidRDefault="005B6B82" w:rsidP="005B6B82">
      <w:pPr>
        <w:jc w:val="center"/>
        <w:rPr>
          <w:rFonts w:eastAsiaTheme="minorHAnsi" w:cstheme="minorBidi"/>
          <w:szCs w:val="24"/>
          <w:lang w:eastAsia="en-US"/>
        </w:rPr>
      </w:pPr>
      <w:r w:rsidRPr="00327506">
        <w:rPr>
          <w:rFonts w:eastAsiaTheme="minorHAnsi" w:cstheme="minorBidi"/>
          <w:szCs w:val="24"/>
          <w:lang w:eastAsia="en-US"/>
        </w:rPr>
        <w:t>Intimé</w:t>
      </w:r>
    </w:p>
    <w:p w:rsidR="005B6B82" w:rsidRPr="00327506" w:rsidRDefault="005B6B82" w:rsidP="005B6B82">
      <w:pPr>
        <w:jc w:val="center"/>
        <w:rPr>
          <w:rFonts w:eastAsiaTheme="minorHAnsi" w:cstheme="minorBidi"/>
          <w:szCs w:val="24"/>
          <w:lang w:eastAsia="en-US"/>
        </w:rPr>
      </w:pPr>
      <w:r w:rsidRPr="00327506">
        <w:rPr>
          <w:rFonts w:eastAsiaTheme="minorHAnsi" w:cstheme="minorBidi"/>
          <w:szCs w:val="24"/>
          <w:lang w:eastAsia="en-US"/>
        </w:rPr>
        <w:t>- et -</w:t>
      </w:r>
    </w:p>
    <w:p w:rsidR="005B6B82" w:rsidRPr="00327506" w:rsidRDefault="005B6B82" w:rsidP="005B6B82">
      <w:pPr>
        <w:jc w:val="center"/>
        <w:rPr>
          <w:rFonts w:eastAsiaTheme="minorHAnsi" w:cstheme="minorBidi"/>
          <w:b/>
          <w:szCs w:val="24"/>
          <w:lang w:eastAsia="en-US"/>
        </w:rPr>
      </w:pPr>
      <w:r w:rsidRPr="00327506">
        <w:rPr>
          <w:rFonts w:eastAsiaTheme="minorHAnsi" w:cstheme="minorBidi"/>
          <w:b/>
          <w:szCs w:val="24"/>
          <w:lang w:eastAsia="en-US"/>
        </w:rPr>
        <w:t>Association du Barreau canadien et Conseil des Canadiens avec déficiences</w:t>
      </w:r>
    </w:p>
    <w:p w:rsidR="005B6B82" w:rsidRPr="00327506" w:rsidRDefault="005B6B82" w:rsidP="005B6B82">
      <w:pPr>
        <w:jc w:val="center"/>
        <w:rPr>
          <w:rFonts w:eastAsiaTheme="minorHAnsi" w:cstheme="minorBidi"/>
          <w:szCs w:val="24"/>
          <w:lang w:eastAsia="en-US"/>
        </w:rPr>
      </w:pPr>
      <w:r w:rsidRPr="00327506">
        <w:rPr>
          <w:rFonts w:eastAsiaTheme="minorHAnsi" w:cstheme="minorBidi"/>
          <w:szCs w:val="24"/>
          <w:lang w:eastAsia="en-US"/>
        </w:rPr>
        <w:t>Intervenants</w:t>
      </w:r>
    </w:p>
    <w:p w:rsidR="005B6B82" w:rsidRPr="00327506" w:rsidRDefault="005B6B82" w:rsidP="005B6B82">
      <w:pPr>
        <w:rPr>
          <w:rFonts w:eastAsiaTheme="minorHAnsi" w:cstheme="minorBidi"/>
          <w:szCs w:val="24"/>
          <w:lang w:eastAsia="en-US"/>
        </w:rPr>
      </w:pPr>
    </w:p>
    <w:p w:rsidR="005B6B82" w:rsidRPr="00327506" w:rsidRDefault="005B6B82" w:rsidP="005B6B82">
      <w:pPr>
        <w:rPr>
          <w:rFonts w:eastAsiaTheme="minorHAnsi" w:cstheme="minorBidi"/>
          <w:szCs w:val="24"/>
          <w:lang w:eastAsia="en-US"/>
        </w:rPr>
      </w:pPr>
    </w:p>
    <w:p w:rsidR="005B6B82" w:rsidRPr="00327506" w:rsidRDefault="005B6B82" w:rsidP="005B6B82">
      <w:pPr>
        <w:jc w:val="center"/>
        <w:rPr>
          <w:rFonts w:eastAsiaTheme="minorHAnsi" w:cstheme="minorBidi"/>
          <w:b/>
          <w:smallCaps/>
          <w:szCs w:val="24"/>
          <w:lang w:eastAsia="en-US"/>
        </w:rPr>
      </w:pPr>
      <w:r w:rsidRPr="00327506">
        <w:rPr>
          <w:rFonts w:eastAsiaTheme="minorHAnsi" w:cstheme="minorBidi"/>
          <w:b/>
          <w:smallCaps/>
          <w:szCs w:val="24"/>
          <w:lang w:eastAsia="en-US"/>
        </w:rPr>
        <w:t>Traduction française officielle</w:t>
      </w:r>
    </w:p>
    <w:p w:rsidR="005B6B82" w:rsidRPr="00327506" w:rsidRDefault="005B6B82" w:rsidP="005B6B82">
      <w:pPr>
        <w:rPr>
          <w:rFonts w:eastAsiaTheme="minorHAnsi" w:cstheme="minorBidi"/>
          <w:szCs w:val="24"/>
          <w:lang w:eastAsia="en-US"/>
        </w:rPr>
      </w:pPr>
    </w:p>
    <w:p w:rsidR="005B6B82" w:rsidRPr="00327506" w:rsidRDefault="005B6B82" w:rsidP="005B6B82">
      <w:pPr>
        <w:rPr>
          <w:rFonts w:eastAsiaTheme="minorHAnsi" w:cstheme="minorBidi"/>
          <w:szCs w:val="24"/>
          <w:lang w:eastAsia="en-US"/>
        </w:rPr>
      </w:pPr>
      <w:r w:rsidRPr="00327506">
        <w:rPr>
          <w:rFonts w:eastAsiaTheme="minorHAnsi" w:cstheme="minorBidi"/>
          <w:b/>
          <w:smallCaps/>
          <w:szCs w:val="24"/>
          <w:lang w:eastAsia="en-US"/>
        </w:rPr>
        <w:t>Coram :</w:t>
      </w:r>
      <w:r w:rsidRPr="00327506">
        <w:rPr>
          <w:rFonts w:eastAsiaTheme="minorHAnsi" w:cstheme="minorBidi"/>
          <w:szCs w:val="24"/>
          <w:lang w:eastAsia="en-US"/>
        </w:rPr>
        <w:t xml:space="preserve"> La juge en chef </w:t>
      </w:r>
      <w:proofErr w:type="spellStart"/>
      <w:r w:rsidRPr="00327506">
        <w:rPr>
          <w:rFonts w:eastAsiaTheme="minorHAnsi" w:cstheme="minorBidi"/>
          <w:szCs w:val="24"/>
          <w:lang w:eastAsia="en-US"/>
        </w:rPr>
        <w:t>McLachlin</w:t>
      </w:r>
      <w:proofErr w:type="spellEnd"/>
      <w:r w:rsidRPr="00327506">
        <w:rPr>
          <w:rFonts w:eastAsiaTheme="minorHAnsi" w:cstheme="minorBidi"/>
          <w:szCs w:val="24"/>
          <w:lang w:eastAsia="en-US"/>
        </w:rPr>
        <w:t xml:space="preserve"> et les juges </w:t>
      </w:r>
      <w:proofErr w:type="spellStart"/>
      <w:r w:rsidRPr="00327506">
        <w:rPr>
          <w:rFonts w:eastAsiaTheme="minorHAnsi" w:cstheme="minorBidi"/>
          <w:szCs w:val="24"/>
          <w:lang w:eastAsia="en-US"/>
        </w:rPr>
        <w:t>LeBel</w:t>
      </w:r>
      <w:proofErr w:type="spellEnd"/>
      <w:r w:rsidRPr="00327506">
        <w:rPr>
          <w:rFonts w:eastAsiaTheme="minorHAnsi" w:cstheme="minorBidi"/>
          <w:szCs w:val="24"/>
          <w:lang w:eastAsia="en-US"/>
        </w:rPr>
        <w:t xml:space="preserve">, Deschamps, Abella, Charron, </w:t>
      </w:r>
      <w:proofErr w:type="spellStart"/>
      <w:r w:rsidRPr="00327506">
        <w:rPr>
          <w:rFonts w:eastAsiaTheme="minorHAnsi" w:cstheme="minorBidi"/>
          <w:szCs w:val="24"/>
          <w:lang w:eastAsia="en-US"/>
        </w:rPr>
        <w:t>Rothstein</w:t>
      </w:r>
      <w:proofErr w:type="spellEnd"/>
      <w:r w:rsidRPr="00327506">
        <w:rPr>
          <w:rFonts w:eastAsiaTheme="minorHAnsi" w:cstheme="minorBidi"/>
          <w:szCs w:val="24"/>
          <w:lang w:eastAsia="en-US"/>
        </w:rPr>
        <w:t xml:space="preserve"> et Cromwell</w:t>
      </w:r>
    </w:p>
    <w:p w:rsidR="005B6B82" w:rsidRPr="00327506" w:rsidRDefault="005B6B82" w:rsidP="005B6B82">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B6B82" w:rsidRPr="00327506" w:rsidTr="00342FDD">
        <w:trPr>
          <w:cantSplit/>
        </w:trPr>
        <w:tc>
          <w:tcPr>
            <w:tcW w:w="3618" w:type="dxa"/>
          </w:tcPr>
          <w:p w:rsidR="005B6B82" w:rsidRPr="00327506" w:rsidRDefault="005B6B82" w:rsidP="00342FDD">
            <w:pPr>
              <w:rPr>
                <w:b/>
                <w:smallCaps/>
              </w:rPr>
            </w:pPr>
            <w:r w:rsidRPr="00327506">
              <w:rPr>
                <w:b/>
                <w:smallCaps/>
              </w:rPr>
              <w:t>Motifs de jugement conjoints :</w:t>
            </w:r>
          </w:p>
          <w:p w:rsidR="005B6B82" w:rsidRPr="00327506" w:rsidRDefault="005B6B82" w:rsidP="00342FDD">
            <w:r w:rsidRPr="00327506">
              <w:t>(par. 1 à 65)</w:t>
            </w:r>
          </w:p>
        </w:tc>
        <w:tc>
          <w:tcPr>
            <w:tcW w:w="5958" w:type="dxa"/>
          </w:tcPr>
          <w:p w:rsidR="005B6B82" w:rsidRPr="00327506" w:rsidRDefault="005B6B82" w:rsidP="00342FDD">
            <w:r w:rsidRPr="00327506">
              <w:t xml:space="preserve">Les juges </w:t>
            </w:r>
            <w:proofErr w:type="spellStart"/>
            <w:r w:rsidRPr="00327506">
              <w:t>LeBel</w:t>
            </w:r>
            <w:proofErr w:type="spellEnd"/>
            <w:r w:rsidRPr="00327506">
              <w:t xml:space="preserve"> et Cromwell (avec l’accord de la juge en chef </w:t>
            </w:r>
            <w:proofErr w:type="spellStart"/>
            <w:r w:rsidRPr="00327506">
              <w:t>McLachlin</w:t>
            </w:r>
            <w:proofErr w:type="spellEnd"/>
            <w:r w:rsidRPr="00327506">
              <w:t xml:space="preserve"> et des juges Deschamps, Abella, Charron et </w:t>
            </w:r>
            <w:proofErr w:type="spellStart"/>
            <w:r w:rsidRPr="00327506">
              <w:t>Rothstein</w:t>
            </w:r>
            <w:proofErr w:type="spellEnd"/>
            <w:r w:rsidRPr="00327506">
              <w:t>)</w:t>
            </w:r>
          </w:p>
        </w:tc>
      </w:tr>
    </w:tbl>
    <w:p w:rsidR="005B6B82" w:rsidRPr="00327506" w:rsidRDefault="005B6B82" w:rsidP="005B6B82">
      <w:pPr>
        <w:rPr>
          <w:rFonts w:eastAsiaTheme="minorHAnsi" w:cstheme="minorBidi"/>
          <w:szCs w:val="24"/>
          <w:lang w:eastAsia="en-US"/>
        </w:rPr>
      </w:pPr>
    </w:p>
    <w:p w:rsidR="005B6B82" w:rsidRPr="00327506" w:rsidRDefault="005B6B82" w:rsidP="005B6B82">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B6B82" w:rsidRPr="00327506" w:rsidRDefault="005B6B82" w:rsidP="005B6B82">
      <w:pPr>
        <w:rPr>
          <w:rStyle w:val="SCCAppellantForRunningHeadChar"/>
          <w:szCs w:val="24"/>
        </w:rPr>
      </w:pPr>
      <w:r w:rsidRPr="00327506">
        <w:rPr>
          <w:rStyle w:val="SCCAppellantForRunningHeadChar"/>
          <w:szCs w:val="24"/>
        </w:rPr>
        <w:br w:type="page"/>
      </w:r>
    </w:p>
    <w:p w:rsidR="008322BD" w:rsidRPr="00FE0A96" w:rsidRDefault="00FE0A96" w:rsidP="004030F1">
      <w:pPr>
        <w:spacing w:after="720"/>
        <w:jc w:val="both"/>
      </w:pPr>
      <w:r w:rsidRPr="00FE0A96">
        <w:rPr>
          <w:szCs w:val="24"/>
        </w:rPr>
        <w:lastRenderedPageBreak/>
        <w:t xml:space="preserve">Canada (Commission canadienne des droits de la personne) </w:t>
      </w:r>
      <w:r w:rsidRPr="00FE0A96">
        <w:rPr>
          <w:i/>
          <w:szCs w:val="24"/>
        </w:rPr>
        <w:t>c.</w:t>
      </w:r>
      <w:r w:rsidRPr="00FE0A96">
        <w:rPr>
          <w:szCs w:val="24"/>
        </w:rPr>
        <w:t xml:space="preserve"> Canada (Procureur général)</w:t>
      </w:r>
      <w:r w:rsidRPr="00FE0A96">
        <w:rPr>
          <w:smallCaps/>
          <w:szCs w:val="24"/>
        </w:rPr>
        <w:t xml:space="preserve">, </w:t>
      </w:r>
      <w:r>
        <w:rPr>
          <w:smallCaps/>
        </w:rPr>
        <w:t>2011 CSC 53</w:t>
      </w:r>
      <w:r w:rsidRPr="00FE0A96">
        <w:rPr>
          <w:smallCaps/>
        </w:rPr>
        <w:t xml:space="preserve">, [2011] 3 R.C.S. </w:t>
      </w:r>
      <w:r>
        <w:rPr>
          <w:smallCaps/>
        </w:rPr>
        <w:t>471</w:t>
      </w:r>
    </w:p>
    <w:p w:rsidR="002116C3" w:rsidRPr="00C7601B" w:rsidRDefault="008A2F8D">
      <w:pPr>
        <w:pStyle w:val="SCCLsocParty"/>
        <w:rPr>
          <w:szCs w:val="24"/>
        </w:rPr>
      </w:pPr>
      <w:r w:rsidRPr="00C7601B">
        <w:rPr>
          <w:szCs w:val="24"/>
        </w:rPr>
        <w:t>Commission canadienne des droits de la personne</w:t>
      </w:r>
      <w:r w:rsidR="00F305EA" w:rsidRPr="00C7601B">
        <w:rPr>
          <w:szCs w:val="24"/>
        </w:rPr>
        <w:t xml:space="preserve"> et</w:t>
      </w:r>
      <w:r w:rsidRPr="00C7601B">
        <w:rPr>
          <w:szCs w:val="24"/>
        </w:rPr>
        <w:t xml:space="preserve"> </w:t>
      </w:r>
    </w:p>
    <w:p w:rsidR="002116C3" w:rsidRPr="00C7601B" w:rsidRDefault="008A2F8D" w:rsidP="007F66AC">
      <w:pPr>
        <w:pStyle w:val="SCCLsocParty"/>
        <w:tabs>
          <w:tab w:val="right" w:pos="8280"/>
        </w:tabs>
        <w:spacing w:after="720"/>
        <w:rPr>
          <w:szCs w:val="24"/>
        </w:rPr>
      </w:pPr>
      <w:r w:rsidRPr="00C7601B">
        <w:rPr>
          <w:szCs w:val="24"/>
        </w:rPr>
        <w:t xml:space="preserve">Donna </w:t>
      </w:r>
      <w:proofErr w:type="spellStart"/>
      <w:r w:rsidRPr="00C7601B">
        <w:rPr>
          <w:szCs w:val="24"/>
        </w:rPr>
        <w:t>Mowat</w:t>
      </w:r>
      <w:proofErr w:type="spellEnd"/>
      <w:r w:rsidR="00FC4A5B" w:rsidRPr="00C7601B">
        <w:rPr>
          <w:szCs w:val="24"/>
        </w:rPr>
        <w:t xml:space="preserve"> </w:t>
      </w:r>
      <w:r w:rsidR="004A4BD5">
        <w:rPr>
          <w:szCs w:val="24"/>
        </w:rPr>
        <w:tab/>
      </w:r>
      <w:r w:rsidR="00FC4A5B" w:rsidRPr="00C7601B">
        <w:rPr>
          <w:b w:val="0"/>
          <w:i/>
          <w:szCs w:val="24"/>
        </w:rPr>
        <w:t>Appelantes</w:t>
      </w:r>
    </w:p>
    <w:p w:rsidR="002116C3" w:rsidRPr="00C7601B" w:rsidRDefault="008A2F8D" w:rsidP="007F66AC">
      <w:pPr>
        <w:pStyle w:val="SCCLsocVersus"/>
        <w:spacing w:after="720"/>
        <w:rPr>
          <w:szCs w:val="24"/>
        </w:rPr>
      </w:pPr>
      <w:proofErr w:type="gramStart"/>
      <w:r w:rsidRPr="00C7601B">
        <w:rPr>
          <w:szCs w:val="24"/>
        </w:rPr>
        <w:t>c</w:t>
      </w:r>
      <w:proofErr w:type="gramEnd"/>
      <w:r w:rsidRPr="00C7601B">
        <w:rPr>
          <w:szCs w:val="24"/>
        </w:rPr>
        <w:t>.</w:t>
      </w:r>
      <w:r w:rsidR="006D6958" w:rsidRPr="00C7601B">
        <w:rPr>
          <w:i w:val="0"/>
          <w:szCs w:val="24"/>
        </w:rPr>
        <w:t xml:space="preserve"> </w:t>
      </w:r>
    </w:p>
    <w:p w:rsidR="002116C3" w:rsidRPr="00C7601B" w:rsidRDefault="008A2F8D" w:rsidP="007F66AC">
      <w:pPr>
        <w:pStyle w:val="SCCLsocParty"/>
        <w:tabs>
          <w:tab w:val="right" w:pos="8280"/>
        </w:tabs>
        <w:spacing w:after="720"/>
        <w:rPr>
          <w:szCs w:val="24"/>
        </w:rPr>
      </w:pPr>
      <w:r w:rsidRPr="00C7601B">
        <w:rPr>
          <w:szCs w:val="24"/>
        </w:rPr>
        <w:t xml:space="preserve">Procureur général du </w:t>
      </w:r>
      <w:r w:rsidR="004A4BD5">
        <w:rPr>
          <w:szCs w:val="24"/>
        </w:rPr>
        <w:t>Canada</w:t>
      </w:r>
      <w:r w:rsidR="004A4BD5">
        <w:rPr>
          <w:szCs w:val="24"/>
        </w:rPr>
        <w:tab/>
      </w:r>
      <w:r w:rsidR="00FC4A5B" w:rsidRPr="00C7601B">
        <w:rPr>
          <w:szCs w:val="24"/>
        </w:rPr>
        <w:t xml:space="preserve"> </w:t>
      </w:r>
      <w:r w:rsidR="00FC4A5B" w:rsidRPr="00C7601B">
        <w:rPr>
          <w:b w:val="0"/>
          <w:i/>
          <w:szCs w:val="24"/>
        </w:rPr>
        <w:t>Intimé</w:t>
      </w:r>
    </w:p>
    <w:p w:rsidR="002116C3" w:rsidRPr="00C7601B" w:rsidRDefault="008A2F8D" w:rsidP="007F66AC">
      <w:pPr>
        <w:pStyle w:val="SCCLsocOtherPartySeparator"/>
        <w:spacing w:after="720"/>
        <w:rPr>
          <w:szCs w:val="24"/>
        </w:rPr>
      </w:pPr>
      <w:proofErr w:type="gramStart"/>
      <w:r w:rsidRPr="00C7601B">
        <w:rPr>
          <w:szCs w:val="24"/>
        </w:rPr>
        <w:t>et</w:t>
      </w:r>
      <w:proofErr w:type="gramEnd"/>
    </w:p>
    <w:p w:rsidR="002116C3" w:rsidRPr="00C7601B" w:rsidRDefault="008A2F8D" w:rsidP="00FB1E2F">
      <w:pPr>
        <w:pStyle w:val="SCCLsocParty"/>
        <w:rPr>
          <w:szCs w:val="24"/>
        </w:rPr>
      </w:pPr>
      <w:r w:rsidRPr="00C7601B">
        <w:rPr>
          <w:szCs w:val="24"/>
        </w:rPr>
        <w:t>Association du Barreau canadien</w:t>
      </w:r>
      <w:r w:rsidR="00F305EA" w:rsidRPr="00C7601B">
        <w:rPr>
          <w:szCs w:val="24"/>
        </w:rPr>
        <w:t xml:space="preserve"> et</w:t>
      </w:r>
      <w:r w:rsidRPr="00C7601B">
        <w:rPr>
          <w:szCs w:val="24"/>
        </w:rPr>
        <w:t xml:space="preserve"> </w:t>
      </w:r>
    </w:p>
    <w:p w:rsidR="002116C3" w:rsidRPr="00C7601B" w:rsidRDefault="008A2F8D" w:rsidP="00FB1E2F">
      <w:pPr>
        <w:pStyle w:val="SCCLsocParty"/>
        <w:tabs>
          <w:tab w:val="right" w:pos="8280"/>
        </w:tabs>
        <w:spacing w:after="720"/>
        <w:rPr>
          <w:szCs w:val="24"/>
        </w:rPr>
      </w:pPr>
      <w:r w:rsidRPr="00C7601B">
        <w:rPr>
          <w:szCs w:val="24"/>
        </w:rPr>
        <w:t>Conseil des Canadiens avec déficiences</w:t>
      </w:r>
      <w:r w:rsidR="00FC4A5B" w:rsidRPr="00C7601B">
        <w:rPr>
          <w:szCs w:val="24"/>
        </w:rPr>
        <w:t xml:space="preserve"> </w:t>
      </w:r>
      <w:r w:rsidR="004A4BD5">
        <w:rPr>
          <w:szCs w:val="24"/>
        </w:rPr>
        <w:tab/>
      </w:r>
      <w:r w:rsidR="00FC4A5B" w:rsidRPr="00C7601B">
        <w:rPr>
          <w:b w:val="0"/>
          <w:i/>
          <w:szCs w:val="24"/>
        </w:rPr>
        <w:t>Intervenants</w:t>
      </w:r>
    </w:p>
    <w:p w:rsidR="00426659" w:rsidRPr="00C7601B" w:rsidRDefault="0043088E" w:rsidP="007F66AC">
      <w:pPr>
        <w:spacing w:after="720"/>
        <w:jc w:val="both"/>
        <w:rPr>
          <w:b/>
          <w:szCs w:val="24"/>
        </w:rPr>
      </w:pPr>
      <w:r w:rsidRPr="00C7601B">
        <w:rPr>
          <w:b/>
          <w:szCs w:val="24"/>
        </w:rPr>
        <w:t>Répertorié</w:t>
      </w:r>
      <w:r w:rsidR="00FC4A5B" w:rsidRPr="00C7601B">
        <w:rPr>
          <w:b/>
          <w:szCs w:val="24"/>
        </w:rPr>
        <w:t xml:space="preserve"> </w:t>
      </w:r>
      <w:r w:rsidR="00FB353F" w:rsidRPr="00C7601B">
        <w:rPr>
          <w:b/>
          <w:szCs w:val="24"/>
        </w:rPr>
        <w:t>:</w:t>
      </w:r>
      <w:r w:rsidR="00FC4A5B" w:rsidRPr="00C7601B">
        <w:rPr>
          <w:b/>
          <w:szCs w:val="24"/>
        </w:rPr>
        <w:t xml:space="preserve"> </w:t>
      </w:r>
      <w:r w:rsidR="00F305EA" w:rsidRPr="00C7601B">
        <w:rPr>
          <w:b/>
          <w:szCs w:val="24"/>
        </w:rPr>
        <w:t>Canada (</w:t>
      </w:r>
      <w:r w:rsidRPr="00C7601B">
        <w:rPr>
          <w:b/>
          <w:szCs w:val="24"/>
        </w:rPr>
        <w:t xml:space="preserve">Commission </w:t>
      </w:r>
      <w:r w:rsidR="009D748A" w:rsidRPr="00C7601B">
        <w:rPr>
          <w:b/>
          <w:szCs w:val="24"/>
        </w:rPr>
        <w:t xml:space="preserve">canadienne </w:t>
      </w:r>
      <w:r w:rsidR="00F305EA" w:rsidRPr="00C7601B">
        <w:rPr>
          <w:b/>
          <w:szCs w:val="24"/>
        </w:rPr>
        <w:t>des droits de la personne)</w:t>
      </w:r>
      <w:r w:rsidR="00426659" w:rsidRPr="00C7601B">
        <w:rPr>
          <w:b/>
          <w:szCs w:val="24"/>
        </w:rPr>
        <w:t xml:space="preserve"> </w:t>
      </w:r>
      <w:r w:rsidR="00645057" w:rsidRPr="00C7601B">
        <w:rPr>
          <w:b/>
          <w:i/>
          <w:szCs w:val="24"/>
        </w:rPr>
        <w:t>c</w:t>
      </w:r>
      <w:r w:rsidR="00426659" w:rsidRPr="00C7601B">
        <w:rPr>
          <w:b/>
          <w:i/>
          <w:szCs w:val="24"/>
        </w:rPr>
        <w:t>.</w:t>
      </w:r>
      <w:r w:rsidR="00426659" w:rsidRPr="00C7601B">
        <w:rPr>
          <w:b/>
          <w:szCs w:val="24"/>
        </w:rPr>
        <w:t xml:space="preserve"> </w:t>
      </w:r>
      <w:r w:rsidR="00F305EA" w:rsidRPr="00C7601B">
        <w:rPr>
          <w:b/>
          <w:szCs w:val="24"/>
        </w:rPr>
        <w:t>Canada (Procureur général)</w:t>
      </w:r>
    </w:p>
    <w:p w:rsidR="00426659" w:rsidRPr="00C7601B" w:rsidRDefault="00C0663B" w:rsidP="007F66AC">
      <w:pPr>
        <w:pStyle w:val="SCCSystemYear"/>
        <w:spacing w:after="720"/>
        <w:jc w:val="both"/>
        <w:rPr>
          <w:szCs w:val="24"/>
        </w:rPr>
      </w:pPr>
      <w:r w:rsidRPr="00C7601B">
        <w:rPr>
          <w:szCs w:val="24"/>
        </w:rPr>
        <w:t>2011</w:t>
      </w:r>
      <w:r w:rsidR="00EE0FAF" w:rsidRPr="00C7601B">
        <w:rPr>
          <w:szCs w:val="24"/>
        </w:rPr>
        <w:t xml:space="preserve"> </w:t>
      </w:r>
      <w:r w:rsidR="00C71F58" w:rsidRPr="00C7601B">
        <w:rPr>
          <w:szCs w:val="24"/>
        </w:rPr>
        <w:t>C</w:t>
      </w:r>
      <w:r w:rsidR="00426659" w:rsidRPr="00C7601B">
        <w:rPr>
          <w:szCs w:val="24"/>
        </w:rPr>
        <w:t>SC</w:t>
      </w:r>
      <w:r w:rsidR="00FC4A5B" w:rsidRPr="00C7601B">
        <w:rPr>
          <w:szCs w:val="24"/>
        </w:rPr>
        <w:t xml:space="preserve"> </w:t>
      </w:r>
      <w:r w:rsidR="00696947" w:rsidRPr="00C7601B">
        <w:rPr>
          <w:szCs w:val="24"/>
        </w:rPr>
        <w:t>5</w:t>
      </w:r>
      <w:r w:rsidR="00E41A1E" w:rsidRPr="00C7601B">
        <w:rPr>
          <w:szCs w:val="24"/>
        </w:rPr>
        <w:t>3</w:t>
      </w:r>
    </w:p>
    <w:p w:rsidR="008322BD" w:rsidRPr="00C7601B" w:rsidRDefault="009B57B3" w:rsidP="007F66AC">
      <w:pPr>
        <w:spacing w:after="720"/>
        <w:jc w:val="both"/>
        <w:rPr>
          <w:szCs w:val="24"/>
        </w:rPr>
      </w:pPr>
      <w:r w:rsidRPr="00C7601B">
        <w:rPr>
          <w:szCs w:val="24"/>
        </w:rPr>
        <w:t>N</w:t>
      </w:r>
      <w:r w:rsidRPr="00C7601B">
        <w:rPr>
          <w:szCs w:val="24"/>
          <w:vertAlign w:val="superscript"/>
        </w:rPr>
        <w:t>o</w:t>
      </w:r>
      <w:r w:rsidR="0043088E" w:rsidRPr="00C7601B">
        <w:rPr>
          <w:szCs w:val="24"/>
        </w:rPr>
        <w:t xml:space="preserve"> du greffe</w:t>
      </w:r>
      <w:r w:rsidR="00FC4A5B" w:rsidRPr="00C7601B">
        <w:rPr>
          <w:szCs w:val="24"/>
        </w:rPr>
        <w:t xml:space="preserve"> </w:t>
      </w:r>
      <w:r w:rsidR="00FB353F" w:rsidRPr="00C7601B">
        <w:rPr>
          <w:szCs w:val="24"/>
        </w:rPr>
        <w:t>:</w:t>
      </w:r>
      <w:r w:rsidR="00FC4A5B" w:rsidRPr="00C7601B">
        <w:rPr>
          <w:szCs w:val="24"/>
        </w:rPr>
        <w:t xml:space="preserve"> </w:t>
      </w:r>
      <w:r w:rsidRPr="00C7601B">
        <w:rPr>
          <w:szCs w:val="24"/>
        </w:rPr>
        <w:t>33507.</w:t>
      </w:r>
    </w:p>
    <w:p w:rsidR="008322BD" w:rsidRPr="00C7601B" w:rsidRDefault="00C0663B" w:rsidP="007F66AC">
      <w:pPr>
        <w:spacing w:after="720"/>
        <w:jc w:val="both"/>
        <w:rPr>
          <w:szCs w:val="24"/>
        </w:rPr>
      </w:pPr>
      <w:r w:rsidRPr="00C7601B">
        <w:rPr>
          <w:szCs w:val="24"/>
        </w:rPr>
        <w:t>2010</w:t>
      </w:r>
      <w:r w:rsidR="00FC4A5B" w:rsidRPr="00C7601B">
        <w:rPr>
          <w:szCs w:val="24"/>
        </w:rPr>
        <w:t xml:space="preserve"> </w:t>
      </w:r>
      <w:r w:rsidR="00FB353F" w:rsidRPr="00C7601B">
        <w:rPr>
          <w:szCs w:val="24"/>
        </w:rPr>
        <w:t>:</w:t>
      </w:r>
      <w:r w:rsidR="00FC4A5B" w:rsidRPr="00C7601B">
        <w:rPr>
          <w:szCs w:val="24"/>
        </w:rPr>
        <w:t xml:space="preserve"> </w:t>
      </w:r>
      <w:r w:rsidRPr="00C7601B">
        <w:rPr>
          <w:szCs w:val="24"/>
        </w:rPr>
        <w:t>13</w:t>
      </w:r>
      <w:r w:rsidR="00FC4A5B" w:rsidRPr="00C7601B">
        <w:rPr>
          <w:szCs w:val="24"/>
        </w:rPr>
        <w:t xml:space="preserve"> </w:t>
      </w:r>
      <w:r w:rsidRPr="00C7601B">
        <w:rPr>
          <w:szCs w:val="24"/>
        </w:rPr>
        <w:t>décembre</w:t>
      </w:r>
      <w:r w:rsidR="009B57B3" w:rsidRPr="00C7601B">
        <w:rPr>
          <w:szCs w:val="24"/>
        </w:rPr>
        <w:t xml:space="preserve">; </w:t>
      </w:r>
      <w:r w:rsidR="00622BB9" w:rsidRPr="00C7601B">
        <w:rPr>
          <w:szCs w:val="24"/>
        </w:rPr>
        <w:t>2011</w:t>
      </w:r>
      <w:r w:rsidR="00FC4A5B" w:rsidRPr="00C7601B">
        <w:rPr>
          <w:szCs w:val="24"/>
        </w:rPr>
        <w:t xml:space="preserve"> </w:t>
      </w:r>
      <w:r w:rsidR="00FB353F" w:rsidRPr="00C7601B">
        <w:rPr>
          <w:szCs w:val="24"/>
        </w:rPr>
        <w:t>:</w:t>
      </w:r>
      <w:r w:rsidR="00FC4A5B" w:rsidRPr="00C7601B">
        <w:rPr>
          <w:szCs w:val="24"/>
        </w:rPr>
        <w:t xml:space="preserve"> </w:t>
      </w:r>
      <w:r w:rsidR="00622BB9" w:rsidRPr="00C7601B">
        <w:rPr>
          <w:szCs w:val="24"/>
        </w:rPr>
        <w:t>28</w:t>
      </w:r>
      <w:r w:rsidR="00FC4A5B" w:rsidRPr="00C7601B">
        <w:rPr>
          <w:szCs w:val="24"/>
        </w:rPr>
        <w:t xml:space="preserve"> </w:t>
      </w:r>
      <w:r w:rsidR="00622BB9" w:rsidRPr="00C7601B">
        <w:rPr>
          <w:szCs w:val="24"/>
        </w:rPr>
        <w:t>octobre</w:t>
      </w:r>
      <w:r w:rsidR="009B57B3" w:rsidRPr="00C7601B">
        <w:rPr>
          <w:szCs w:val="24"/>
        </w:rPr>
        <w:t>.</w:t>
      </w:r>
    </w:p>
    <w:p w:rsidR="008322BD" w:rsidRPr="00C7601B" w:rsidRDefault="009B57B3" w:rsidP="00FB353F">
      <w:pPr>
        <w:spacing w:after="720"/>
        <w:jc w:val="both"/>
        <w:rPr>
          <w:szCs w:val="24"/>
        </w:rPr>
      </w:pPr>
      <w:r w:rsidRPr="00C7601B">
        <w:rPr>
          <w:szCs w:val="24"/>
        </w:rPr>
        <w:t>Pr</w:t>
      </w:r>
      <w:r w:rsidR="0043088E" w:rsidRPr="00C7601B">
        <w:rPr>
          <w:szCs w:val="24"/>
        </w:rPr>
        <w:t>é</w:t>
      </w:r>
      <w:r w:rsidRPr="00C7601B">
        <w:rPr>
          <w:szCs w:val="24"/>
        </w:rPr>
        <w:t>sent</w:t>
      </w:r>
      <w:r w:rsidR="008A6558" w:rsidRPr="00C7601B">
        <w:rPr>
          <w:szCs w:val="24"/>
        </w:rPr>
        <w:t>s</w:t>
      </w:r>
      <w:r w:rsidR="00FC4A5B" w:rsidRPr="00C7601B">
        <w:rPr>
          <w:szCs w:val="24"/>
        </w:rPr>
        <w:t xml:space="preserve"> </w:t>
      </w:r>
      <w:r w:rsidR="00FB353F" w:rsidRPr="00C7601B">
        <w:rPr>
          <w:szCs w:val="24"/>
        </w:rPr>
        <w:t>:</w:t>
      </w:r>
      <w:r w:rsidR="00FC4A5B" w:rsidRPr="00C7601B">
        <w:rPr>
          <w:szCs w:val="24"/>
        </w:rPr>
        <w:t xml:space="preserve"> </w:t>
      </w:r>
      <w:r w:rsidRPr="00C7601B">
        <w:rPr>
          <w:szCs w:val="24"/>
        </w:rPr>
        <w:t xml:space="preserve">La juge en chef </w:t>
      </w:r>
      <w:proofErr w:type="spellStart"/>
      <w:r w:rsidRPr="00C7601B">
        <w:rPr>
          <w:szCs w:val="24"/>
        </w:rPr>
        <w:t>McLachlin</w:t>
      </w:r>
      <w:proofErr w:type="spellEnd"/>
      <w:r w:rsidRPr="00C7601B">
        <w:rPr>
          <w:szCs w:val="24"/>
        </w:rPr>
        <w:t xml:space="preserve"> et les juges </w:t>
      </w:r>
      <w:proofErr w:type="spellStart"/>
      <w:r w:rsidRPr="00C7601B">
        <w:rPr>
          <w:szCs w:val="24"/>
        </w:rPr>
        <w:t>LeBel</w:t>
      </w:r>
      <w:proofErr w:type="spellEnd"/>
      <w:r w:rsidRPr="00C7601B">
        <w:rPr>
          <w:szCs w:val="24"/>
        </w:rPr>
        <w:t xml:space="preserve">, Deschamps, Abella, Charron, </w:t>
      </w:r>
      <w:proofErr w:type="spellStart"/>
      <w:r w:rsidRPr="00C7601B">
        <w:rPr>
          <w:szCs w:val="24"/>
        </w:rPr>
        <w:t>Rothstein</w:t>
      </w:r>
      <w:proofErr w:type="spellEnd"/>
      <w:r w:rsidRPr="00C7601B">
        <w:rPr>
          <w:szCs w:val="24"/>
        </w:rPr>
        <w:t xml:space="preserve"> et Cromwell.</w:t>
      </w:r>
    </w:p>
    <w:p w:rsidR="008322BD" w:rsidRPr="00C7601B" w:rsidRDefault="00AC7437" w:rsidP="00FB353F">
      <w:pPr>
        <w:pStyle w:val="SCCLowerCourtNameLowercase"/>
        <w:spacing w:after="720" w:line="240" w:lineRule="auto"/>
        <w:rPr>
          <w:szCs w:val="24"/>
        </w:rPr>
      </w:pPr>
      <w:r w:rsidRPr="00C7601B">
        <w:rPr>
          <w:szCs w:val="24"/>
        </w:rPr>
        <w:lastRenderedPageBreak/>
        <w:t>e</w:t>
      </w:r>
      <w:r w:rsidR="00855307" w:rsidRPr="00C7601B">
        <w:rPr>
          <w:szCs w:val="24"/>
        </w:rPr>
        <w:t>n</w:t>
      </w:r>
      <w:r w:rsidR="00224FC0" w:rsidRPr="00C7601B">
        <w:rPr>
          <w:szCs w:val="24"/>
        </w:rPr>
        <w:t xml:space="preserve"> </w:t>
      </w:r>
      <w:r w:rsidR="00855307" w:rsidRPr="00C7601B">
        <w:rPr>
          <w:szCs w:val="24"/>
        </w:rPr>
        <w:t>appel</w:t>
      </w:r>
      <w:r w:rsidR="00224FC0" w:rsidRPr="00C7601B">
        <w:rPr>
          <w:szCs w:val="24"/>
        </w:rPr>
        <w:t xml:space="preserve"> </w:t>
      </w:r>
      <w:r w:rsidR="00855307" w:rsidRPr="00C7601B">
        <w:rPr>
          <w:szCs w:val="24"/>
        </w:rPr>
        <w:t>de</w:t>
      </w:r>
      <w:r w:rsidR="0043088E" w:rsidRPr="00C7601B">
        <w:rPr>
          <w:szCs w:val="24"/>
        </w:rPr>
        <w:t xml:space="preserve"> </w:t>
      </w:r>
      <w:r w:rsidR="00855307" w:rsidRPr="00C7601B">
        <w:rPr>
          <w:szCs w:val="24"/>
        </w:rPr>
        <w:t>la</w:t>
      </w:r>
      <w:r w:rsidR="00224FC0" w:rsidRPr="00C7601B">
        <w:rPr>
          <w:szCs w:val="24"/>
        </w:rPr>
        <w:t xml:space="preserve"> </w:t>
      </w:r>
      <w:r w:rsidR="009B57B3" w:rsidRPr="00C7601B">
        <w:rPr>
          <w:szCs w:val="24"/>
        </w:rPr>
        <w:t>cour d’appel fédérale</w:t>
      </w:r>
    </w:p>
    <w:p w:rsidR="008071B5" w:rsidRPr="00C7601B" w:rsidRDefault="009B57B3" w:rsidP="00FB353F">
      <w:pPr>
        <w:pStyle w:val="SCCNormalDoubleSpacing"/>
        <w:spacing w:after="480"/>
        <w:rPr>
          <w:i/>
          <w:szCs w:val="24"/>
        </w:rPr>
      </w:pPr>
      <w:r w:rsidRPr="00C7601B">
        <w:rPr>
          <w:szCs w:val="24"/>
        </w:rPr>
        <w:tab/>
      </w:r>
      <w:r w:rsidR="008071B5" w:rsidRPr="00C7601B">
        <w:rPr>
          <w:i/>
          <w:szCs w:val="24"/>
        </w:rPr>
        <w:t xml:space="preserve">Droit administratif </w:t>
      </w:r>
      <w:r w:rsidR="00FB353F" w:rsidRPr="00C7601B">
        <w:rPr>
          <w:i/>
          <w:szCs w:val="24"/>
        </w:rPr>
        <w:t>—</w:t>
      </w:r>
      <w:r w:rsidR="008071B5" w:rsidRPr="00C7601B">
        <w:rPr>
          <w:i/>
          <w:szCs w:val="24"/>
        </w:rPr>
        <w:t xml:space="preserve"> Contrôle judiciaire </w:t>
      </w:r>
      <w:r w:rsidR="00622BB9" w:rsidRPr="00C7601B">
        <w:rPr>
          <w:i/>
          <w:szCs w:val="24"/>
        </w:rPr>
        <w:t xml:space="preserve">— </w:t>
      </w:r>
      <w:r w:rsidR="008071B5" w:rsidRPr="00C7601B">
        <w:rPr>
          <w:i/>
          <w:szCs w:val="24"/>
        </w:rPr>
        <w:t xml:space="preserve">Norme de contrôle </w:t>
      </w:r>
      <w:r w:rsidR="00622BB9" w:rsidRPr="00C7601B">
        <w:rPr>
          <w:i/>
          <w:szCs w:val="24"/>
        </w:rPr>
        <w:t xml:space="preserve">— </w:t>
      </w:r>
      <w:r w:rsidR="008071B5" w:rsidRPr="00C7601B">
        <w:rPr>
          <w:i/>
          <w:szCs w:val="24"/>
        </w:rPr>
        <w:t xml:space="preserve">Adjudication des dépens à la plaignante par le Tribunal canadien des droits de la personne </w:t>
      </w:r>
      <w:r w:rsidR="00622BB9" w:rsidRPr="00C7601B">
        <w:rPr>
          <w:i/>
          <w:szCs w:val="24"/>
        </w:rPr>
        <w:t xml:space="preserve">— </w:t>
      </w:r>
      <w:r w:rsidR="008071B5" w:rsidRPr="00C7601B">
        <w:rPr>
          <w:i/>
          <w:szCs w:val="24"/>
        </w:rPr>
        <w:t>La norme d</w:t>
      </w:r>
      <w:r w:rsidR="00D319CA" w:rsidRPr="00C7601B">
        <w:rPr>
          <w:i/>
          <w:szCs w:val="24"/>
        </w:rPr>
        <w:t>u caractère</w:t>
      </w:r>
      <w:r w:rsidR="008071B5" w:rsidRPr="00C7601B">
        <w:rPr>
          <w:i/>
          <w:szCs w:val="24"/>
        </w:rPr>
        <w:t xml:space="preserve"> raisonnable s’applique</w:t>
      </w:r>
      <w:r w:rsidR="00C7601B" w:rsidRPr="00C7601B">
        <w:rPr>
          <w:i/>
          <w:szCs w:val="24"/>
        </w:rPr>
        <w:t>-</w:t>
      </w:r>
      <w:r w:rsidR="008071B5" w:rsidRPr="00C7601B">
        <w:rPr>
          <w:i/>
          <w:szCs w:val="24"/>
        </w:rPr>
        <w:t>t</w:t>
      </w:r>
      <w:r w:rsidR="00C7601B" w:rsidRPr="00C7601B">
        <w:rPr>
          <w:i/>
          <w:szCs w:val="24"/>
        </w:rPr>
        <w:t>-</w:t>
      </w:r>
      <w:r w:rsidR="008071B5" w:rsidRPr="00C7601B">
        <w:rPr>
          <w:i/>
          <w:szCs w:val="24"/>
        </w:rPr>
        <w:t>elle à l</w:t>
      </w:r>
      <w:r w:rsidR="00B97FB3" w:rsidRPr="00C7601B">
        <w:rPr>
          <w:i/>
          <w:szCs w:val="24"/>
        </w:rPr>
        <w:t>a décision du Tribunal d</w:t>
      </w:r>
      <w:r w:rsidR="008071B5" w:rsidRPr="00C7601B">
        <w:rPr>
          <w:i/>
          <w:szCs w:val="24"/>
        </w:rPr>
        <w:t>’adju</w:t>
      </w:r>
      <w:r w:rsidR="00B97FB3" w:rsidRPr="00C7601B">
        <w:rPr>
          <w:i/>
          <w:szCs w:val="24"/>
        </w:rPr>
        <w:t>ger</w:t>
      </w:r>
      <w:r w:rsidR="008071B5" w:rsidRPr="00C7601B">
        <w:rPr>
          <w:i/>
          <w:szCs w:val="24"/>
        </w:rPr>
        <w:t xml:space="preserve"> des dépens? </w:t>
      </w:r>
      <w:r w:rsidR="00622BB9" w:rsidRPr="00C7601B">
        <w:rPr>
          <w:i/>
          <w:szCs w:val="24"/>
        </w:rPr>
        <w:t xml:space="preserve">— </w:t>
      </w:r>
      <w:r w:rsidR="008071B5" w:rsidRPr="00C7601B">
        <w:rPr>
          <w:i/>
          <w:szCs w:val="24"/>
        </w:rPr>
        <w:t>Le Tribunal a</w:t>
      </w:r>
      <w:r w:rsidR="00C7601B" w:rsidRPr="00C7601B">
        <w:rPr>
          <w:i/>
          <w:szCs w:val="24"/>
        </w:rPr>
        <w:t>-</w:t>
      </w:r>
      <w:r w:rsidR="008071B5" w:rsidRPr="00C7601B">
        <w:rPr>
          <w:i/>
          <w:szCs w:val="24"/>
        </w:rPr>
        <w:t>t</w:t>
      </w:r>
      <w:r w:rsidR="004A4BD5">
        <w:rPr>
          <w:i/>
          <w:szCs w:val="24"/>
        </w:rPr>
        <w:t>-</w:t>
      </w:r>
      <w:r w:rsidR="008071B5" w:rsidRPr="00C7601B">
        <w:rPr>
          <w:i/>
          <w:szCs w:val="24"/>
        </w:rPr>
        <w:t>il commis une erreur susceptible de contrôle judiciaire en adjugeant les dépens à la plaignante?</w:t>
      </w:r>
      <w:r w:rsidR="00622BB9" w:rsidRPr="00C7601B">
        <w:rPr>
          <w:i/>
          <w:szCs w:val="24"/>
        </w:rPr>
        <w:t xml:space="preserve"> — </w:t>
      </w:r>
      <w:r w:rsidR="008071B5" w:rsidRPr="00C7601B">
        <w:rPr>
          <w:i/>
          <w:szCs w:val="24"/>
        </w:rPr>
        <w:t xml:space="preserve">Loi canadienne sur les droits de la personne, L.R.C. 1985, </w:t>
      </w:r>
      <w:r w:rsidR="00FB353F" w:rsidRPr="00C7601B">
        <w:rPr>
          <w:i/>
          <w:szCs w:val="24"/>
        </w:rPr>
        <w:t>ch.</w:t>
      </w:r>
      <w:r w:rsidR="00FC4A5B" w:rsidRPr="00C7601B">
        <w:rPr>
          <w:i/>
          <w:szCs w:val="24"/>
        </w:rPr>
        <w:t xml:space="preserve"> </w:t>
      </w:r>
      <w:r w:rsidR="008071B5" w:rsidRPr="00C7601B">
        <w:rPr>
          <w:i/>
          <w:szCs w:val="24"/>
        </w:rPr>
        <w:t>H</w:t>
      </w:r>
      <w:r w:rsidR="004A4BD5">
        <w:rPr>
          <w:i/>
          <w:szCs w:val="24"/>
        </w:rPr>
        <w:t>-</w:t>
      </w:r>
      <w:r w:rsidR="008071B5" w:rsidRPr="00C7601B">
        <w:rPr>
          <w:i/>
          <w:szCs w:val="24"/>
        </w:rPr>
        <w:t xml:space="preserve">6, </w:t>
      </w:r>
      <w:r w:rsidR="00FB353F" w:rsidRPr="00C7601B">
        <w:rPr>
          <w:i/>
          <w:szCs w:val="24"/>
        </w:rPr>
        <w:t>art.</w:t>
      </w:r>
      <w:r w:rsidR="00FC4A5B" w:rsidRPr="00C7601B">
        <w:rPr>
          <w:i/>
          <w:szCs w:val="24"/>
        </w:rPr>
        <w:t xml:space="preserve"> </w:t>
      </w:r>
      <w:r w:rsidR="008071B5" w:rsidRPr="00C7601B">
        <w:rPr>
          <w:i/>
          <w:szCs w:val="24"/>
        </w:rPr>
        <w:t>53(2)c)</w:t>
      </w:r>
      <w:r w:rsidR="003324A2">
        <w:rPr>
          <w:i/>
          <w:szCs w:val="24"/>
        </w:rPr>
        <w:t>,</w:t>
      </w:r>
      <w:r w:rsidR="008071B5" w:rsidRPr="00C7601B">
        <w:rPr>
          <w:i/>
          <w:szCs w:val="24"/>
        </w:rPr>
        <w:t xml:space="preserve"> d).</w:t>
      </w:r>
    </w:p>
    <w:p w:rsidR="008071B5" w:rsidRPr="00C7601B" w:rsidRDefault="00622BB9" w:rsidP="00B51A8D">
      <w:pPr>
        <w:pStyle w:val="SCCNormalDoubleSpacing"/>
        <w:spacing w:after="480"/>
        <w:rPr>
          <w:i/>
          <w:szCs w:val="24"/>
        </w:rPr>
      </w:pPr>
      <w:r w:rsidRPr="00C7601B">
        <w:rPr>
          <w:i/>
          <w:szCs w:val="24"/>
        </w:rPr>
        <w:tab/>
      </w:r>
      <w:r w:rsidR="008071B5" w:rsidRPr="00C7601B">
        <w:rPr>
          <w:i/>
          <w:szCs w:val="24"/>
        </w:rPr>
        <w:t xml:space="preserve">Droit administratif </w:t>
      </w:r>
      <w:r w:rsidR="00FB353F" w:rsidRPr="00C7601B">
        <w:rPr>
          <w:i/>
          <w:szCs w:val="24"/>
        </w:rPr>
        <w:t>—</w:t>
      </w:r>
      <w:r w:rsidRPr="00C7601B">
        <w:rPr>
          <w:i/>
          <w:szCs w:val="24"/>
        </w:rPr>
        <w:t xml:space="preserve"> </w:t>
      </w:r>
      <w:r w:rsidR="008071B5" w:rsidRPr="00C7601B">
        <w:rPr>
          <w:i/>
          <w:szCs w:val="24"/>
        </w:rPr>
        <w:t xml:space="preserve">Organismes et tribunaux administratifs </w:t>
      </w:r>
      <w:r w:rsidRPr="00C7601B">
        <w:rPr>
          <w:i/>
          <w:szCs w:val="24"/>
        </w:rPr>
        <w:t xml:space="preserve">— </w:t>
      </w:r>
      <w:r w:rsidR="008071B5" w:rsidRPr="00C7601B">
        <w:rPr>
          <w:i/>
          <w:szCs w:val="24"/>
        </w:rPr>
        <w:t xml:space="preserve">Compétence </w:t>
      </w:r>
      <w:r w:rsidRPr="00C7601B">
        <w:rPr>
          <w:i/>
          <w:szCs w:val="24"/>
        </w:rPr>
        <w:t xml:space="preserve">— </w:t>
      </w:r>
      <w:r w:rsidR="008071B5" w:rsidRPr="00C7601B">
        <w:rPr>
          <w:i/>
          <w:szCs w:val="24"/>
        </w:rPr>
        <w:t xml:space="preserve">Dépens </w:t>
      </w:r>
      <w:r w:rsidRPr="00C7601B">
        <w:rPr>
          <w:i/>
          <w:szCs w:val="24"/>
        </w:rPr>
        <w:t xml:space="preserve">— </w:t>
      </w:r>
      <w:r w:rsidR="008071B5" w:rsidRPr="00C7601B">
        <w:rPr>
          <w:i/>
          <w:szCs w:val="24"/>
        </w:rPr>
        <w:t xml:space="preserve">Adjudication des dépens à la plaignante par le Tribunal canadien des droits de la personne </w:t>
      </w:r>
      <w:r w:rsidRPr="00C7601B">
        <w:rPr>
          <w:i/>
          <w:szCs w:val="24"/>
        </w:rPr>
        <w:t xml:space="preserve">— </w:t>
      </w:r>
      <w:r w:rsidR="008071B5" w:rsidRPr="00C7601B">
        <w:rPr>
          <w:i/>
          <w:szCs w:val="24"/>
        </w:rPr>
        <w:t>Le Tribunal</w:t>
      </w:r>
      <w:r w:rsidR="00B97FB3" w:rsidRPr="00C7601B">
        <w:rPr>
          <w:i/>
          <w:szCs w:val="24"/>
        </w:rPr>
        <w:t xml:space="preserve"> a</w:t>
      </w:r>
      <w:r w:rsidR="00C7601B" w:rsidRPr="00C7601B">
        <w:rPr>
          <w:i/>
          <w:szCs w:val="24"/>
        </w:rPr>
        <w:t>-</w:t>
      </w:r>
      <w:r w:rsidR="008071B5" w:rsidRPr="00C7601B">
        <w:rPr>
          <w:i/>
          <w:szCs w:val="24"/>
        </w:rPr>
        <w:t>t</w:t>
      </w:r>
      <w:r w:rsidR="004A4BD5">
        <w:rPr>
          <w:i/>
          <w:szCs w:val="24"/>
        </w:rPr>
        <w:t>-</w:t>
      </w:r>
      <w:r w:rsidR="008071B5" w:rsidRPr="00C7601B">
        <w:rPr>
          <w:i/>
          <w:szCs w:val="24"/>
        </w:rPr>
        <w:t xml:space="preserve">il </w:t>
      </w:r>
      <w:r w:rsidR="00B97FB3" w:rsidRPr="00C7601B">
        <w:rPr>
          <w:i/>
          <w:szCs w:val="24"/>
        </w:rPr>
        <w:t>le pouvoir d’</w:t>
      </w:r>
      <w:r w:rsidR="008071B5" w:rsidRPr="00C7601B">
        <w:rPr>
          <w:i/>
          <w:szCs w:val="24"/>
        </w:rPr>
        <w:t xml:space="preserve">adjuger </w:t>
      </w:r>
      <w:r w:rsidR="00B97FB3" w:rsidRPr="00C7601B">
        <w:rPr>
          <w:i/>
          <w:szCs w:val="24"/>
        </w:rPr>
        <w:t>d</w:t>
      </w:r>
      <w:r w:rsidR="008071B5" w:rsidRPr="00C7601B">
        <w:rPr>
          <w:i/>
          <w:szCs w:val="24"/>
        </w:rPr>
        <w:t xml:space="preserve">es dépens? </w:t>
      </w:r>
      <w:r w:rsidRPr="00C7601B">
        <w:rPr>
          <w:i/>
          <w:szCs w:val="24"/>
        </w:rPr>
        <w:t xml:space="preserve">— </w:t>
      </w:r>
      <w:r w:rsidR="008071B5" w:rsidRPr="00C7601B">
        <w:rPr>
          <w:i/>
          <w:szCs w:val="24"/>
        </w:rPr>
        <w:t xml:space="preserve">Loi canadienne sur les droits de la personne, L.R.C. 1985, </w:t>
      </w:r>
      <w:r w:rsidR="00FB353F" w:rsidRPr="00C7601B">
        <w:rPr>
          <w:i/>
          <w:szCs w:val="24"/>
        </w:rPr>
        <w:t>ch.</w:t>
      </w:r>
      <w:r w:rsidR="00FC4A5B" w:rsidRPr="00C7601B">
        <w:rPr>
          <w:i/>
          <w:szCs w:val="24"/>
        </w:rPr>
        <w:t xml:space="preserve"> </w:t>
      </w:r>
      <w:r w:rsidR="008071B5" w:rsidRPr="00C7601B">
        <w:rPr>
          <w:i/>
          <w:szCs w:val="24"/>
        </w:rPr>
        <w:t>H</w:t>
      </w:r>
      <w:r w:rsidR="004A4BD5">
        <w:rPr>
          <w:i/>
          <w:szCs w:val="24"/>
        </w:rPr>
        <w:t>-</w:t>
      </w:r>
      <w:r w:rsidR="008071B5" w:rsidRPr="00C7601B">
        <w:rPr>
          <w:i/>
          <w:szCs w:val="24"/>
        </w:rPr>
        <w:t xml:space="preserve">6, </w:t>
      </w:r>
      <w:r w:rsidR="00FB353F" w:rsidRPr="00C7601B">
        <w:rPr>
          <w:i/>
          <w:szCs w:val="24"/>
        </w:rPr>
        <w:t>art.</w:t>
      </w:r>
      <w:r w:rsidR="00FC4A5B" w:rsidRPr="00C7601B">
        <w:rPr>
          <w:i/>
          <w:szCs w:val="24"/>
        </w:rPr>
        <w:t xml:space="preserve"> </w:t>
      </w:r>
      <w:r w:rsidR="008071B5" w:rsidRPr="00C7601B">
        <w:rPr>
          <w:i/>
          <w:szCs w:val="24"/>
        </w:rPr>
        <w:t>53(2)c)</w:t>
      </w:r>
      <w:r w:rsidR="003324A2">
        <w:rPr>
          <w:i/>
          <w:szCs w:val="24"/>
        </w:rPr>
        <w:t>,</w:t>
      </w:r>
      <w:r w:rsidR="008071B5" w:rsidRPr="00C7601B">
        <w:rPr>
          <w:i/>
          <w:szCs w:val="24"/>
        </w:rPr>
        <w:t xml:space="preserve"> d).</w:t>
      </w:r>
    </w:p>
    <w:p w:rsidR="008071B5" w:rsidRPr="00C7601B" w:rsidRDefault="00622BB9" w:rsidP="00B51A8D">
      <w:pPr>
        <w:pStyle w:val="SCCNormalDoubleSpacing"/>
        <w:spacing w:after="480"/>
        <w:rPr>
          <w:szCs w:val="24"/>
        </w:rPr>
      </w:pPr>
      <w:r w:rsidRPr="00C7601B">
        <w:rPr>
          <w:szCs w:val="24"/>
        </w:rPr>
        <w:tab/>
      </w:r>
      <w:r w:rsidR="008071B5" w:rsidRPr="00C7601B">
        <w:rPr>
          <w:szCs w:val="24"/>
        </w:rPr>
        <w:t xml:space="preserve">M a </w:t>
      </w:r>
      <w:r w:rsidR="00093264" w:rsidRPr="00C7601B">
        <w:rPr>
          <w:szCs w:val="24"/>
        </w:rPr>
        <w:t xml:space="preserve">saisi </w:t>
      </w:r>
      <w:r w:rsidR="008071B5" w:rsidRPr="00C7601B">
        <w:rPr>
          <w:szCs w:val="24"/>
        </w:rPr>
        <w:t xml:space="preserve">la Commission canadienne des droits de la personne </w:t>
      </w:r>
      <w:r w:rsidR="00093264" w:rsidRPr="00C7601B">
        <w:rPr>
          <w:szCs w:val="24"/>
        </w:rPr>
        <w:t xml:space="preserve">d’une plainte </w:t>
      </w:r>
      <w:r w:rsidR="00D319CA" w:rsidRPr="00C7601B">
        <w:rPr>
          <w:szCs w:val="24"/>
        </w:rPr>
        <w:t>selon</w:t>
      </w:r>
      <w:r w:rsidR="00093264" w:rsidRPr="00C7601B">
        <w:rPr>
          <w:szCs w:val="24"/>
        </w:rPr>
        <w:t xml:space="preserve"> laquelle les Forces canadiennes avaient fait preuve à son endroit de discrimination</w:t>
      </w:r>
      <w:r w:rsidR="008071B5" w:rsidRPr="00C7601B">
        <w:rPr>
          <w:szCs w:val="24"/>
        </w:rPr>
        <w:t xml:space="preserve"> fondée sur le sexe</w:t>
      </w:r>
      <w:r w:rsidR="00E85B8D" w:rsidRPr="00C7601B">
        <w:rPr>
          <w:szCs w:val="24"/>
        </w:rPr>
        <w:t xml:space="preserve"> et ainsi contrevenu</w:t>
      </w:r>
      <w:r w:rsidR="008071B5" w:rsidRPr="00C7601B">
        <w:rPr>
          <w:szCs w:val="24"/>
        </w:rPr>
        <w:t xml:space="preserve"> aux dispositions de la </w:t>
      </w:r>
      <w:r w:rsidR="008071B5" w:rsidRPr="00C7601B">
        <w:rPr>
          <w:i/>
          <w:szCs w:val="24"/>
        </w:rPr>
        <w:t>Loi canadienne sur les droits de la personne</w:t>
      </w:r>
      <w:r w:rsidR="008071B5" w:rsidRPr="00C7601B">
        <w:rPr>
          <w:szCs w:val="24"/>
        </w:rPr>
        <w:t xml:space="preserve"> (</w:t>
      </w:r>
      <w:r w:rsidR="00967C81" w:rsidRPr="00C7601B">
        <w:rPr>
          <w:szCs w:val="24"/>
        </w:rPr>
        <w:t>«</w:t>
      </w:r>
      <w:r w:rsidR="00FC4A5B" w:rsidRPr="00C7601B">
        <w:rPr>
          <w:szCs w:val="24"/>
        </w:rPr>
        <w:t xml:space="preserve"> </w:t>
      </w:r>
      <w:r w:rsidR="008071B5" w:rsidRPr="00C7601B">
        <w:rPr>
          <w:i/>
          <w:szCs w:val="24"/>
        </w:rPr>
        <w:t>LCDP</w:t>
      </w:r>
      <w:r w:rsidR="00FC4A5B" w:rsidRPr="00C7601B">
        <w:rPr>
          <w:szCs w:val="24"/>
        </w:rPr>
        <w:t xml:space="preserve"> </w:t>
      </w:r>
      <w:r w:rsidR="00967C81" w:rsidRPr="00C7601B">
        <w:rPr>
          <w:szCs w:val="24"/>
        </w:rPr>
        <w:t>»</w:t>
      </w:r>
      <w:r w:rsidR="008071B5" w:rsidRPr="00C7601B">
        <w:rPr>
          <w:szCs w:val="24"/>
        </w:rPr>
        <w:t>).</w:t>
      </w:r>
      <w:r w:rsidR="00FC4A5B" w:rsidRPr="00C7601B">
        <w:rPr>
          <w:szCs w:val="24"/>
        </w:rPr>
        <w:t xml:space="preserve"> </w:t>
      </w:r>
      <w:r w:rsidR="008071B5" w:rsidRPr="00C7601B">
        <w:rPr>
          <w:szCs w:val="24"/>
        </w:rPr>
        <w:t>Le Tribunal canadien des droits de la personne («</w:t>
      </w:r>
      <w:r w:rsidR="00FC4A5B" w:rsidRPr="00C7601B">
        <w:rPr>
          <w:szCs w:val="24"/>
        </w:rPr>
        <w:t xml:space="preserve"> </w:t>
      </w:r>
      <w:r w:rsidR="008071B5" w:rsidRPr="00C7601B">
        <w:rPr>
          <w:szCs w:val="24"/>
        </w:rPr>
        <w:t>Tribunal</w:t>
      </w:r>
      <w:r w:rsidR="00FC4A5B" w:rsidRPr="00C7601B">
        <w:rPr>
          <w:szCs w:val="24"/>
        </w:rPr>
        <w:t xml:space="preserve"> </w:t>
      </w:r>
      <w:r w:rsidR="008071B5" w:rsidRPr="00C7601B">
        <w:rPr>
          <w:szCs w:val="24"/>
        </w:rPr>
        <w:t>») a conclu que M avait établi en partie le bien</w:t>
      </w:r>
      <w:r w:rsidR="00C7601B" w:rsidRPr="00C7601B">
        <w:rPr>
          <w:szCs w:val="24"/>
        </w:rPr>
        <w:t>-</w:t>
      </w:r>
      <w:r w:rsidR="008071B5" w:rsidRPr="00C7601B">
        <w:rPr>
          <w:szCs w:val="24"/>
        </w:rPr>
        <w:t xml:space="preserve">fondé de sa plainte de harcèlement sexuel et </w:t>
      </w:r>
      <w:r w:rsidR="00967C81" w:rsidRPr="00C7601B">
        <w:rPr>
          <w:szCs w:val="24"/>
        </w:rPr>
        <w:t xml:space="preserve">il </w:t>
      </w:r>
      <w:r w:rsidR="008071B5" w:rsidRPr="00C7601B">
        <w:rPr>
          <w:szCs w:val="24"/>
        </w:rPr>
        <w:t>lui a accordé la somme de 4</w:t>
      </w:r>
      <w:r w:rsidR="00E42AFA">
        <w:rPr>
          <w:szCs w:val="24"/>
        </w:rPr>
        <w:t> </w:t>
      </w:r>
      <w:r w:rsidR="008071B5" w:rsidRPr="00C7601B">
        <w:rPr>
          <w:szCs w:val="24"/>
        </w:rPr>
        <w:t>000</w:t>
      </w:r>
      <w:r w:rsidR="00E42AFA">
        <w:rPr>
          <w:szCs w:val="24"/>
        </w:rPr>
        <w:t> </w:t>
      </w:r>
      <w:r w:rsidR="00FB353F" w:rsidRPr="00C7601B">
        <w:rPr>
          <w:szCs w:val="24"/>
        </w:rPr>
        <w:t>$</w:t>
      </w:r>
      <w:r w:rsidR="008071B5" w:rsidRPr="00C7601B">
        <w:rPr>
          <w:szCs w:val="24"/>
        </w:rPr>
        <w:t xml:space="preserve"> </w:t>
      </w:r>
      <w:r w:rsidR="00967C81" w:rsidRPr="00C7601B">
        <w:rPr>
          <w:szCs w:val="24"/>
        </w:rPr>
        <w:t xml:space="preserve">pour </w:t>
      </w:r>
      <w:r w:rsidR="008071B5" w:rsidRPr="00C7601B">
        <w:rPr>
          <w:szCs w:val="24"/>
        </w:rPr>
        <w:t>préjudice mor</w:t>
      </w:r>
      <w:r w:rsidR="00A44F6A" w:rsidRPr="00C7601B">
        <w:rPr>
          <w:szCs w:val="24"/>
        </w:rPr>
        <w:t>al.</w:t>
      </w:r>
      <w:r w:rsidR="00FC4A5B" w:rsidRPr="00C7601B">
        <w:rPr>
          <w:szCs w:val="24"/>
        </w:rPr>
        <w:t xml:space="preserve"> </w:t>
      </w:r>
      <w:r w:rsidR="008071B5" w:rsidRPr="00C7601B">
        <w:rPr>
          <w:szCs w:val="24"/>
        </w:rPr>
        <w:t xml:space="preserve">M a demandé </w:t>
      </w:r>
      <w:r w:rsidR="00967C81" w:rsidRPr="00C7601B">
        <w:rPr>
          <w:szCs w:val="24"/>
        </w:rPr>
        <w:t>le remboursement de ses frais de justice</w:t>
      </w:r>
      <w:r w:rsidR="008071B5" w:rsidRPr="00C7601B">
        <w:rPr>
          <w:szCs w:val="24"/>
        </w:rPr>
        <w:t>.</w:t>
      </w:r>
      <w:r w:rsidR="00FC4A5B" w:rsidRPr="00C7601B">
        <w:rPr>
          <w:szCs w:val="24"/>
        </w:rPr>
        <w:t xml:space="preserve"> </w:t>
      </w:r>
      <w:proofErr w:type="gramStart"/>
      <w:r w:rsidR="00967C81" w:rsidRPr="00C7601B">
        <w:rPr>
          <w:szCs w:val="24"/>
        </w:rPr>
        <w:t>E</w:t>
      </w:r>
      <w:r w:rsidR="008071B5" w:rsidRPr="00C7601B">
        <w:rPr>
          <w:szCs w:val="24"/>
        </w:rPr>
        <w:t>stimant</w:t>
      </w:r>
      <w:proofErr w:type="gramEnd"/>
      <w:r w:rsidR="008071B5" w:rsidRPr="00C7601B">
        <w:rPr>
          <w:szCs w:val="24"/>
        </w:rPr>
        <w:t xml:space="preserve"> </w:t>
      </w:r>
      <w:r w:rsidR="00967C81" w:rsidRPr="00C7601B">
        <w:rPr>
          <w:szCs w:val="24"/>
        </w:rPr>
        <w:t xml:space="preserve">que les </w:t>
      </w:r>
      <w:r w:rsidR="00FB353F" w:rsidRPr="00C7601B">
        <w:rPr>
          <w:szCs w:val="24"/>
        </w:rPr>
        <w:t>al.</w:t>
      </w:r>
      <w:r w:rsidR="00FC4A5B" w:rsidRPr="00C7601B">
        <w:rPr>
          <w:szCs w:val="24"/>
        </w:rPr>
        <w:t xml:space="preserve"> </w:t>
      </w:r>
      <w:r w:rsidR="00967C81" w:rsidRPr="00C7601B">
        <w:rPr>
          <w:szCs w:val="24"/>
        </w:rPr>
        <w:t>53(2)</w:t>
      </w:r>
      <w:r w:rsidR="00967C81" w:rsidRPr="00C7601B">
        <w:rPr>
          <w:i/>
          <w:szCs w:val="24"/>
        </w:rPr>
        <w:t>c</w:t>
      </w:r>
      <w:r w:rsidR="00967C81" w:rsidRPr="00C7601B">
        <w:rPr>
          <w:szCs w:val="24"/>
        </w:rPr>
        <w:t xml:space="preserve">) et </w:t>
      </w:r>
      <w:r w:rsidR="00967C81" w:rsidRPr="00C7601B">
        <w:rPr>
          <w:i/>
          <w:szCs w:val="24"/>
        </w:rPr>
        <w:t>d</w:t>
      </w:r>
      <w:r w:rsidR="00967C81" w:rsidRPr="00C7601B">
        <w:rPr>
          <w:szCs w:val="24"/>
        </w:rPr>
        <w:t xml:space="preserve">) de la </w:t>
      </w:r>
      <w:r w:rsidR="00967C81" w:rsidRPr="00C7601B">
        <w:rPr>
          <w:i/>
          <w:szCs w:val="24"/>
        </w:rPr>
        <w:t>LCDP</w:t>
      </w:r>
      <w:r w:rsidR="00967C81" w:rsidRPr="00C7601B">
        <w:rPr>
          <w:szCs w:val="24"/>
        </w:rPr>
        <w:t xml:space="preserve"> lui conféraient le</w:t>
      </w:r>
      <w:r w:rsidR="008071B5" w:rsidRPr="00C7601B">
        <w:rPr>
          <w:szCs w:val="24"/>
        </w:rPr>
        <w:t xml:space="preserve"> pouvoir d’adjuger des dépens, </w:t>
      </w:r>
      <w:r w:rsidR="00967C81" w:rsidRPr="00C7601B">
        <w:rPr>
          <w:szCs w:val="24"/>
        </w:rPr>
        <w:t xml:space="preserve">le Tribunal </w:t>
      </w:r>
      <w:r w:rsidR="008071B5" w:rsidRPr="00C7601B">
        <w:rPr>
          <w:szCs w:val="24"/>
        </w:rPr>
        <w:lastRenderedPageBreak/>
        <w:t xml:space="preserve">a </w:t>
      </w:r>
      <w:r w:rsidR="00967C81" w:rsidRPr="00C7601B">
        <w:rPr>
          <w:szCs w:val="24"/>
        </w:rPr>
        <w:t xml:space="preserve">fait droit à la demande </w:t>
      </w:r>
      <w:r w:rsidR="00F0763E" w:rsidRPr="00C7601B">
        <w:rPr>
          <w:szCs w:val="24"/>
        </w:rPr>
        <w:t xml:space="preserve">de M </w:t>
      </w:r>
      <w:r w:rsidR="00967C81" w:rsidRPr="00C7601B">
        <w:rPr>
          <w:szCs w:val="24"/>
        </w:rPr>
        <w:t xml:space="preserve">en </w:t>
      </w:r>
      <w:r w:rsidR="00F0763E" w:rsidRPr="00C7601B">
        <w:rPr>
          <w:szCs w:val="24"/>
        </w:rPr>
        <w:t xml:space="preserve">lui </w:t>
      </w:r>
      <w:r w:rsidR="008071B5" w:rsidRPr="00C7601B">
        <w:rPr>
          <w:szCs w:val="24"/>
        </w:rPr>
        <w:t>accord</w:t>
      </w:r>
      <w:r w:rsidR="00967C81" w:rsidRPr="00C7601B">
        <w:rPr>
          <w:szCs w:val="24"/>
        </w:rPr>
        <w:t>ant</w:t>
      </w:r>
      <w:r w:rsidR="008071B5" w:rsidRPr="00C7601B">
        <w:rPr>
          <w:szCs w:val="24"/>
        </w:rPr>
        <w:t xml:space="preserve"> 47</w:t>
      </w:r>
      <w:r w:rsidR="00E42AFA">
        <w:rPr>
          <w:szCs w:val="24"/>
        </w:rPr>
        <w:t> </w:t>
      </w:r>
      <w:r w:rsidR="008071B5" w:rsidRPr="00C7601B">
        <w:rPr>
          <w:szCs w:val="24"/>
        </w:rPr>
        <w:t>000</w:t>
      </w:r>
      <w:r w:rsidR="00E42AFA">
        <w:rPr>
          <w:szCs w:val="24"/>
        </w:rPr>
        <w:t> </w:t>
      </w:r>
      <w:r w:rsidR="00FB353F" w:rsidRPr="00C7601B">
        <w:rPr>
          <w:szCs w:val="24"/>
        </w:rPr>
        <w:t>$</w:t>
      </w:r>
      <w:r w:rsidR="00967C81" w:rsidRPr="00C7601B">
        <w:rPr>
          <w:szCs w:val="24"/>
        </w:rPr>
        <w:t xml:space="preserve"> à </w:t>
      </w:r>
      <w:r w:rsidR="00F0763E" w:rsidRPr="00C7601B">
        <w:rPr>
          <w:szCs w:val="24"/>
        </w:rPr>
        <w:t xml:space="preserve">ce </w:t>
      </w:r>
      <w:r w:rsidR="00967C81" w:rsidRPr="00C7601B">
        <w:rPr>
          <w:szCs w:val="24"/>
        </w:rPr>
        <w:t>titre</w:t>
      </w:r>
      <w:r w:rsidR="008071B5" w:rsidRPr="00C7601B">
        <w:rPr>
          <w:szCs w:val="24"/>
        </w:rPr>
        <w:t>.</w:t>
      </w:r>
      <w:r w:rsidR="00FC4A5B" w:rsidRPr="00C7601B">
        <w:rPr>
          <w:szCs w:val="24"/>
        </w:rPr>
        <w:t xml:space="preserve"> </w:t>
      </w:r>
      <w:r w:rsidR="008071B5" w:rsidRPr="00C7601B">
        <w:rPr>
          <w:szCs w:val="24"/>
        </w:rPr>
        <w:t xml:space="preserve">La Cour fédérale a confirmé </w:t>
      </w:r>
      <w:r w:rsidR="00D319CA" w:rsidRPr="00C7601B">
        <w:rPr>
          <w:szCs w:val="24"/>
        </w:rPr>
        <w:t xml:space="preserve">que </w:t>
      </w:r>
      <w:r w:rsidR="008071B5" w:rsidRPr="00C7601B">
        <w:rPr>
          <w:szCs w:val="24"/>
        </w:rPr>
        <w:t>l</w:t>
      </w:r>
      <w:r w:rsidR="00D319CA" w:rsidRPr="00C7601B">
        <w:rPr>
          <w:szCs w:val="24"/>
        </w:rPr>
        <w:t>e</w:t>
      </w:r>
      <w:r w:rsidR="008071B5" w:rsidRPr="00C7601B">
        <w:rPr>
          <w:szCs w:val="24"/>
        </w:rPr>
        <w:t xml:space="preserve"> Tribunal </w:t>
      </w:r>
      <w:r w:rsidR="00D319CA" w:rsidRPr="00C7601B">
        <w:rPr>
          <w:szCs w:val="24"/>
        </w:rPr>
        <w:t xml:space="preserve">avait le </w:t>
      </w:r>
      <w:r w:rsidR="00967C81" w:rsidRPr="00C7601B">
        <w:rPr>
          <w:szCs w:val="24"/>
        </w:rPr>
        <w:t>pouvoir d’adjuger des dépens, mais</w:t>
      </w:r>
      <w:r w:rsidR="008071B5" w:rsidRPr="00C7601B">
        <w:rPr>
          <w:szCs w:val="24"/>
        </w:rPr>
        <w:t xml:space="preserve"> la Cour d’appel </w:t>
      </w:r>
      <w:r w:rsidR="001108FB" w:rsidRPr="00C7601B">
        <w:rPr>
          <w:szCs w:val="24"/>
        </w:rPr>
        <w:t xml:space="preserve">fédérale </w:t>
      </w:r>
      <w:r w:rsidR="008071B5" w:rsidRPr="00C7601B">
        <w:rPr>
          <w:szCs w:val="24"/>
        </w:rPr>
        <w:t xml:space="preserve">a accueilli </w:t>
      </w:r>
      <w:r w:rsidR="00967C81" w:rsidRPr="00C7601B">
        <w:rPr>
          <w:szCs w:val="24"/>
        </w:rPr>
        <w:t xml:space="preserve">le pourvoi formé contre </w:t>
      </w:r>
      <w:r w:rsidR="008071B5" w:rsidRPr="00C7601B">
        <w:rPr>
          <w:szCs w:val="24"/>
        </w:rPr>
        <w:t xml:space="preserve">cette décision, statuant que le Tribunal n’avait pas </w:t>
      </w:r>
      <w:r w:rsidR="00D319CA" w:rsidRPr="00C7601B">
        <w:rPr>
          <w:szCs w:val="24"/>
        </w:rPr>
        <w:t>c</w:t>
      </w:r>
      <w:r w:rsidR="008071B5" w:rsidRPr="00C7601B">
        <w:rPr>
          <w:szCs w:val="24"/>
        </w:rPr>
        <w:t xml:space="preserve">e pouvoir. </w:t>
      </w:r>
    </w:p>
    <w:p w:rsidR="008071B5" w:rsidRPr="00C7601B" w:rsidRDefault="00622BB9" w:rsidP="00B51A8D">
      <w:pPr>
        <w:pStyle w:val="SCCNormalDoubleSpacing"/>
        <w:spacing w:after="480"/>
        <w:rPr>
          <w:szCs w:val="24"/>
        </w:rPr>
      </w:pPr>
      <w:r w:rsidRPr="00C7601B">
        <w:rPr>
          <w:i/>
          <w:szCs w:val="24"/>
        </w:rPr>
        <w:tab/>
      </w:r>
      <w:r w:rsidR="008071B5" w:rsidRPr="00C7601B">
        <w:rPr>
          <w:i/>
          <w:szCs w:val="24"/>
        </w:rPr>
        <w:t>Arrêt</w:t>
      </w:r>
      <w:r w:rsidR="00FC4A5B" w:rsidRPr="005472FE">
        <w:rPr>
          <w:szCs w:val="24"/>
        </w:rPr>
        <w:t xml:space="preserve"> </w:t>
      </w:r>
      <w:r w:rsidR="00FB353F" w:rsidRPr="005472FE">
        <w:rPr>
          <w:szCs w:val="24"/>
        </w:rPr>
        <w:t>:</w:t>
      </w:r>
      <w:r w:rsidR="008071B5" w:rsidRPr="00C7601B">
        <w:rPr>
          <w:szCs w:val="24"/>
        </w:rPr>
        <w:t xml:space="preserve"> Le pourvoi est rejeté. </w:t>
      </w:r>
    </w:p>
    <w:p w:rsidR="008071B5" w:rsidRPr="00C7601B" w:rsidRDefault="00622BB9" w:rsidP="00B51A8D">
      <w:pPr>
        <w:pStyle w:val="SCCNormalDoubleSpacing"/>
        <w:spacing w:after="480"/>
        <w:rPr>
          <w:szCs w:val="24"/>
        </w:rPr>
      </w:pPr>
      <w:r w:rsidRPr="00C7601B">
        <w:rPr>
          <w:szCs w:val="24"/>
        </w:rPr>
        <w:tab/>
      </w:r>
      <w:r w:rsidR="008071B5" w:rsidRPr="00C7601B">
        <w:rPr>
          <w:szCs w:val="24"/>
        </w:rPr>
        <w:t>Un tribunal administratif a droit en principe à la déférence en ce qui concerne l’interprétation de sa loi constitutive et des règles de droit qui s’y rattachent de près.</w:t>
      </w:r>
      <w:r w:rsidR="00FC4A5B" w:rsidRPr="00C7601B">
        <w:rPr>
          <w:szCs w:val="24"/>
        </w:rPr>
        <w:t xml:space="preserve"> </w:t>
      </w:r>
      <w:r w:rsidR="008071B5" w:rsidRPr="00C7601B">
        <w:rPr>
          <w:szCs w:val="24"/>
        </w:rPr>
        <w:t xml:space="preserve">Toutefois, les questions de droit générales qui revêtent une importance capitale pour le système juridique dans son ensemble et qui sont étrangères au domaine d’expertise de l’organisme juridictionnel </w:t>
      </w:r>
      <w:r w:rsidR="00D319CA" w:rsidRPr="00C7601B">
        <w:rPr>
          <w:szCs w:val="24"/>
        </w:rPr>
        <w:t>so</w:t>
      </w:r>
      <w:r w:rsidR="008071B5" w:rsidRPr="00C7601B">
        <w:rPr>
          <w:szCs w:val="24"/>
        </w:rPr>
        <w:t>nt assujetties à la norme de la décision correcte.</w:t>
      </w:r>
      <w:r w:rsidR="00FC4A5B" w:rsidRPr="00C7601B">
        <w:rPr>
          <w:szCs w:val="24"/>
        </w:rPr>
        <w:t xml:space="preserve"> </w:t>
      </w:r>
      <w:r w:rsidR="008071B5" w:rsidRPr="00C7601B">
        <w:rPr>
          <w:szCs w:val="24"/>
        </w:rPr>
        <w:t xml:space="preserve">La norme applicable à </w:t>
      </w:r>
      <w:r w:rsidR="00967C81" w:rsidRPr="00C7601B">
        <w:rPr>
          <w:szCs w:val="24"/>
        </w:rPr>
        <w:t>la</w:t>
      </w:r>
      <w:r w:rsidR="008071B5" w:rsidRPr="00C7601B">
        <w:rPr>
          <w:szCs w:val="24"/>
        </w:rPr>
        <w:t xml:space="preserve"> décision du Tribunal d’adjuger </w:t>
      </w:r>
      <w:r w:rsidR="00360A90" w:rsidRPr="00C7601B">
        <w:rPr>
          <w:szCs w:val="24"/>
        </w:rPr>
        <w:t>d</w:t>
      </w:r>
      <w:r w:rsidR="008071B5" w:rsidRPr="00C7601B">
        <w:rPr>
          <w:szCs w:val="24"/>
        </w:rPr>
        <w:t>es dépens à la plaignante après que celle</w:t>
      </w:r>
      <w:r w:rsidR="00C7601B" w:rsidRPr="00C7601B">
        <w:rPr>
          <w:szCs w:val="24"/>
        </w:rPr>
        <w:t>-</w:t>
      </w:r>
      <w:r w:rsidR="008071B5" w:rsidRPr="00C7601B">
        <w:rPr>
          <w:szCs w:val="24"/>
        </w:rPr>
        <w:t>ci eut obtenu gain de cause est celle de la décision raisonnable.</w:t>
      </w:r>
      <w:r w:rsidR="00FC4A5B" w:rsidRPr="00C7601B">
        <w:rPr>
          <w:szCs w:val="24"/>
        </w:rPr>
        <w:t xml:space="preserve"> </w:t>
      </w:r>
      <w:r w:rsidR="008071B5" w:rsidRPr="00C7601B">
        <w:rPr>
          <w:szCs w:val="24"/>
        </w:rPr>
        <w:t xml:space="preserve">La question de savoir si le Tribunal peut adjuger des dépens constitue une question de droit qui relève essentiellement du mandat et </w:t>
      </w:r>
      <w:r w:rsidR="008071B5" w:rsidRPr="00C7601B">
        <w:rPr>
          <w:spacing w:val="-3"/>
          <w:szCs w:val="24"/>
        </w:rPr>
        <w:t xml:space="preserve">de l’expertise du Tribunal liés à </w:t>
      </w:r>
      <w:r w:rsidR="008071B5" w:rsidRPr="00C7601B">
        <w:rPr>
          <w:szCs w:val="24"/>
        </w:rPr>
        <w:t>l’interprétation et à l’application de sa loi constitutive.</w:t>
      </w:r>
      <w:r w:rsidR="00FC4A5B" w:rsidRPr="00C7601B">
        <w:rPr>
          <w:szCs w:val="24"/>
        </w:rPr>
        <w:t xml:space="preserve"> </w:t>
      </w:r>
      <w:r w:rsidR="00D8700B" w:rsidRPr="00C7601B">
        <w:rPr>
          <w:szCs w:val="24"/>
        </w:rPr>
        <w:t>Ell</w:t>
      </w:r>
      <w:r w:rsidR="008071B5" w:rsidRPr="00C7601B">
        <w:rPr>
          <w:szCs w:val="24"/>
        </w:rPr>
        <w:t xml:space="preserve">e ne représente ni une question de compétence ni une question de droit d’une importance capitale pour le système juridique dans son ensemble, étrangère au domaine d’expertise du Tribunal au sens de l’arrêt </w:t>
      </w:r>
      <w:proofErr w:type="spellStart"/>
      <w:r w:rsidR="008071B5" w:rsidRPr="00C7601B">
        <w:rPr>
          <w:i/>
          <w:szCs w:val="24"/>
        </w:rPr>
        <w:t>Dunsmuir</w:t>
      </w:r>
      <w:proofErr w:type="spellEnd"/>
      <w:r w:rsidR="00FB353F" w:rsidRPr="00C7601B">
        <w:rPr>
          <w:szCs w:val="24"/>
        </w:rPr>
        <w:t>.</w:t>
      </w:r>
    </w:p>
    <w:p w:rsidR="008071B5" w:rsidRPr="00C7601B" w:rsidRDefault="00622BB9" w:rsidP="00B51A8D">
      <w:pPr>
        <w:pStyle w:val="SCCNormalDoubleSpacing"/>
        <w:spacing w:after="480"/>
        <w:rPr>
          <w:szCs w:val="24"/>
        </w:rPr>
      </w:pPr>
      <w:r w:rsidRPr="00C7601B">
        <w:rPr>
          <w:szCs w:val="24"/>
        </w:rPr>
        <w:tab/>
      </w:r>
      <w:r w:rsidR="008071B5" w:rsidRPr="00C7601B">
        <w:rPr>
          <w:szCs w:val="24"/>
        </w:rPr>
        <w:t xml:space="preserve">La question d’interprétation précise dont était saisi le Tribunal était celle de savoir si les mots employés aux </w:t>
      </w:r>
      <w:r w:rsidR="00FB353F" w:rsidRPr="00C7601B">
        <w:rPr>
          <w:szCs w:val="24"/>
        </w:rPr>
        <w:t>al.</w:t>
      </w:r>
      <w:r w:rsidR="00FC4A5B" w:rsidRPr="00C7601B">
        <w:rPr>
          <w:szCs w:val="24"/>
        </w:rPr>
        <w:t xml:space="preserve"> </w:t>
      </w:r>
      <w:r w:rsidR="008071B5" w:rsidRPr="00C7601B">
        <w:rPr>
          <w:szCs w:val="24"/>
        </w:rPr>
        <w:t>53(2)</w:t>
      </w:r>
      <w:r w:rsidR="008071B5" w:rsidRPr="00C7601B">
        <w:rPr>
          <w:i/>
          <w:szCs w:val="24"/>
        </w:rPr>
        <w:t>c</w:t>
      </w:r>
      <w:r w:rsidR="008071B5" w:rsidRPr="00C7601B">
        <w:rPr>
          <w:szCs w:val="24"/>
        </w:rPr>
        <w:t xml:space="preserve">) et </w:t>
      </w:r>
      <w:r w:rsidR="008071B5" w:rsidRPr="00C7601B">
        <w:rPr>
          <w:i/>
          <w:szCs w:val="24"/>
        </w:rPr>
        <w:t>d</w:t>
      </w:r>
      <w:r w:rsidR="008071B5" w:rsidRPr="00C7601B">
        <w:rPr>
          <w:szCs w:val="24"/>
        </w:rPr>
        <w:t xml:space="preserve">) pour </w:t>
      </w:r>
      <w:r w:rsidR="00D8700B" w:rsidRPr="00C7601B">
        <w:rPr>
          <w:szCs w:val="24"/>
        </w:rPr>
        <w:t>l’</w:t>
      </w:r>
      <w:r w:rsidR="008071B5" w:rsidRPr="00C7601B">
        <w:rPr>
          <w:szCs w:val="24"/>
        </w:rPr>
        <w:t>autoriser à «</w:t>
      </w:r>
      <w:r w:rsidR="00FC4A5B" w:rsidRPr="00C7601B">
        <w:rPr>
          <w:szCs w:val="24"/>
        </w:rPr>
        <w:t xml:space="preserve"> </w:t>
      </w:r>
      <w:r w:rsidR="008071B5" w:rsidRPr="00C7601B">
        <w:rPr>
          <w:szCs w:val="24"/>
        </w:rPr>
        <w:t xml:space="preserve">indemniser la </w:t>
      </w:r>
      <w:r w:rsidR="008071B5" w:rsidRPr="00C7601B">
        <w:rPr>
          <w:szCs w:val="24"/>
        </w:rPr>
        <w:lastRenderedPageBreak/>
        <w:t xml:space="preserve">victime </w:t>
      </w:r>
      <w:r w:rsidR="004860FD" w:rsidRPr="00C7601B">
        <w:rPr>
          <w:szCs w:val="24"/>
        </w:rPr>
        <w:t>[</w:t>
      </w:r>
      <w:r w:rsidR="008071B5" w:rsidRPr="00C7601B">
        <w:rPr>
          <w:szCs w:val="24"/>
        </w:rPr>
        <w:t>.</w:t>
      </w:r>
      <w:r w:rsidR="00FC4A5B" w:rsidRPr="00C7601B">
        <w:rPr>
          <w:szCs w:val="24"/>
        </w:rPr>
        <w:t xml:space="preserve"> </w:t>
      </w:r>
      <w:r w:rsidR="008071B5" w:rsidRPr="00C7601B">
        <w:rPr>
          <w:szCs w:val="24"/>
        </w:rPr>
        <w:t>.</w:t>
      </w:r>
      <w:r w:rsidR="00FC4A5B" w:rsidRPr="00C7601B">
        <w:rPr>
          <w:szCs w:val="24"/>
        </w:rPr>
        <w:t xml:space="preserve"> </w:t>
      </w:r>
      <w:r w:rsidR="008071B5" w:rsidRPr="00C7601B">
        <w:rPr>
          <w:szCs w:val="24"/>
        </w:rPr>
        <w:t>.</w:t>
      </w:r>
      <w:r w:rsidR="004860FD" w:rsidRPr="00C7601B">
        <w:rPr>
          <w:szCs w:val="24"/>
        </w:rPr>
        <w:t>]</w:t>
      </w:r>
      <w:r w:rsidR="008071B5" w:rsidRPr="00C7601B">
        <w:rPr>
          <w:szCs w:val="24"/>
        </w:rPr>
        <w:t xml:space="preserve"> des dépenses entraînées par l’acte [discriminatoire]</w:t>
      </w:r>
      <w:r w:rsidR="00FC4A5B" w:rsidRPr="00C7601B">
        <w:rPr>
          <w:szCs w:val="24"/>
        </w:rPr>
        <w:t xml:space="preserve"> </w:t>
      </w:r>
      <w:r w:rsidR="008071B5" w:rsidRPr="00C7601B">
        <w:rPr>
          <w:szCs w:val="24"/>
        </w:rPr>
        <w:t>» confèrent le pouvoir d’adjuger des dépens.</w:t>
      </w:r>
      <w:r w:rsidR="00FC4A5B" w:rsidRPr="00C7601B">
        <w:rPr>
          <w:szCs w:val="24"/>
        </w:rPr>
        <w:t xml:space="preserve"> </w:t>
      </w:r>
      <w:r w:rsidR="008071B5" w:rsidRPr="00C7601B">
        <w:rPr>
          <w:szCs w:val="24"/>
        </w:rPr>
        <w:t>L’examen du texte des dispositions, de leur contexte et de leur objet révèle que l’interprétation du Tribunal n’était pas raisonnable.</w:t>
      </w:r>
      <w:r w:rsidR="00FC4A5B" w:rsidRPr="00C7601B">
        <w:rPr>
          <w:szCs w:val="24"/>
        </w:rPr>
        <w:t xml:space="preserve"> </w:t>
      </w:r>
      <w:r w:rsidR="008071B5" w:rsidRPr="00C7601B">
        <w:rPr>
          <w:szCs w:val="24"/>
        </w:rPr>
        <w:t>Une loi relative aux droits de la personne exprime des valeurs essentielles et vise la réalisation d’objectifs fondamentaux.</w:t>
      </w:r>
      <w:r w:rsidR="00FC4A5B" w:rsidRPr="00C7601B">
        <w:rPr>
          <w:szCs w:val="24"/>
        </w:rPr>
        <w:t xml:space="preserve"> </w:t>
      </w:r>
      <w:r w:rsidR="008071B5" w:rsidRPr="00C7601B">
        <w:rPr>
          <w:szCs w:val="24"/>
        </w:rPr>
        <w:t>Il convient de l’interpréter libéralement et téléologiquement de manière à reconnaître sans réserve les droits qui y sont énoncés et à leur donner pleinement effet.</w:t>
      </w:r>
      <w:r w:rsidR="00FC4A5B" w:rsidRPr="00C7601B">
        <w:rPr>
          <w:szCs w:val="24"/>
        </w:rPr>
        <w:t xml:space="preserve"> </w:t>
      </w:r>
      <w:r w:rsidR="008071B5" w:rsidRPr="00C7601B">
        <w:rPr>
          <w:szCs w:val="24"/>
        </w:rPr>
        <w:t>Il faut néanmoins respecter l’intention du législateur qui se dégage des termes employés, compte tenu du contexte global et du sens ordinaire et grammatical qui s’harmonise avec l’esprit de la Loi et son objet.</w:t>
      </w:r>
      <w:r w:rsidR="00FC4A5B" w:rsidRPr="00C7601B">
        <w:rPr>
          <w:szCs w:val="24"/>
        </w:rPr>
        <w:t xml:space="preserve"> </w:t>
      </w:r>
      <w:r w:rsidR="008071B5" w:rsidRPr="00C7601B">
        <w:rPr>
          <w:szCs w:val="24"/>
        </w:rPr>
        <w:t>Considérés isolément et indépendamment de leur contexte, les mots «</w:t>
      </w:r>
      <w:r w:rsidR="00FC4A5B" w:rsidRPr="00C7601B">
        <w:rPr>
          <w:szCs w:val="24"/>
        </w:rPr>
        <w:t xml:space="preserve"> </w:t>
      </w:r>
      <w:r w:rsidR="008071B5" w:rsidRPr="00C7601B">
        <w:rPr>
          <w:szCs w:val="24"/>
        </w:rPr>
        <w:t>des dépenses entraînées par l’acte</w:t>
      </w:r>
      <w:r w:rsidR="00FC4A5B" w:rsidRPr="00C7601B">
        <w:rPr>
          <w:szCs w:val="24"/>
        </w:rPr>
        <w:t xml:space="preserve"> </w:t>
      </w:r>
      <w:r w:rsidR="008071B5" w:rsidRPr="00C7601B">
        <w:rPr>
          <w:szCs w:val="24"/>
        </w:rPr>
        <w:t>» sont suffisamment larges pour englober les dépens.</w:t>
      </w:r>
      <w:r w:rsidR="00FC4A5B" w:rsidRPr="00C7601B">
        <w:rPr>
          <w:szCs w:val="24"/>
        </w:rPr>
        <w:t xml:space="preserve"> </w:t>
      </w:r>
      <w:r w:rsidR="008071B5" w:rsidRPr="00C7601B">
        <w:rPr>
          <w:szCs w:val="24"/>
        </w:rPr>
        <w:t>Or, lorsque ces mots sont considérés dans le contexte de la loi, on ne peut pas raisonnablement les interpréter de manière à créer une catégorie distincte d’indemnité susceptible de viser tout type de débours ayant un lien de causalité avec l’acte discriminatoire.</w:t>
      </w:r>
      <w:r w:rsidR="00FC4A5B" w:rsidRPr="00C7601B">
        <w:rPr>
          <w:szCs w:val="24"/>
        </w:rPr>
        <w:t xml:space="preserve"> </w:t>
      </w:r>
      <w:r w:rsidR="008071B5" w:rsidRPr="00C7601B">
        <w:rPr>
          <w:szCs w:val="24"/>
        </w:rPr>
        <w:t>L’interprétation retenue par le Tribunal va à l’encontre de la présomption d’absence de tautologie qu’établissent les règles d’interprétation législative, rend superflue la répétition du mot «</w:t>
      </w:r>
      <w:r w:rsidR="00FC4A5B" w:rsidRPr="00C7601B">
        <w:rPr>
          <w:szCs w:val="24"/>
        </w:rPr>
        <w:t xml:space="preserve"> </w:t>
      </w:r>
      <w:r w:rsidR="008071B5" w:rsidRPr="00C7601B">
        <w:rPr>
          <w:szCs w:val="24"/>
        </w:rPr>
        <w:t>dépenses</w:t>
      </w:r>
      <w:r w:rsidR="00FC4A5B" w:rsidRPr="00C7601B">
        <w:rPr>
          <w:szCs w:val="24"/>
        </w:rPr>
        <w:t xml:space="preserve"> </w:t>
      </w:r>
      <w:r w:rsidR="008071B5" w:rsidRPr="00C7601B">
        <w:rPr>
          <w:szCs w:val="24"/>
        </w:rPr>
        <w:t>» et n’explique pas le rattachement de ce terme à l’indemnité visée à ces alinéas.</w:t>
      </w:r>
      <w:r w:rsidR="00FC4A5B" w:rsidRPr="00C7601B">
        <w:rPr>
          <w:szCs w:val="24"/>
        </w:rPr>
        <w:t xml:space="preserve"> </w:t>
      </w:r>
      <w:r w:rsidR="008071B5" w:rsidRPr="00C7601B">
        <w:rPr>
          <w:szCs w:val="24"/>
        </w:rPr>
        <w:t>Qui plus est, le terme «</w:t>
      </w:r>
      <w:r w:rsidR="00FC4A5B" w:rsidRPr="00C7601B">
        <w:rPr>
          <w:szCs w:val="24"/>
        </w:rPr>
        <w:t xml:space="preserve"> </w:t>
      </w:r>
      <w:r w:rsidR="008071B5" w:rsidRPr="00C7601B">
        <w:rPr>
          <w:szCs w:val="24"/>
        </w:rPr>
        <w:t>dépens</w:t>
      </w:r>
      <w:r w:rsidR="00FC4A5B" w:rsidRPr="00C7601B">
        <w:rPr>
          <w:szCs w:val="24"/>
        </w:rPr>
        <w:t xml:space="preserve"> </w:t>
      </w:r>
      <w:r w:rsidR="008071B5" w:rsidRPr="00C7601B">
        <w:rPr>
          <w:szCs w:val="24"/>
        </w:rPr>
        <w:t>» possède un sens bien défini qui diffère de celui d’indemnité ou de dépenses.</w:t>
      </w:r>
      <w:r w:rsidR="00FC4A5B" w:rsidRPr="00C7601B">
        <w:rPr>
          <w:szCs w:val="24"/>
        </w:rPr>
        <w:t xml:space="preserve"> </w:t>
      </w:r>
      <w:r w:rsidR="008071B5" w:rsidRPr="00C7601B">
        <w:rPr>
          <w:szCs w:val="24"/>
        </w:rPr>
        <w:t>Si le législateur a entendu conférer le pouvoir d’adjuger des dépens, on comprend mal pourquoi il n’a pas employé ce terme juridique consacré et largement répandu pour le faire.</w:t>
      </w:r>
      <w:r w:rsidR="00FC4A5B" w:rsidRPr="00C7601B">
        <w:rPr>
          <w:szCs w:val="24"/>
        </w:rPr>
        <w:t xml:space="preserve"> </w:t>
      </w:r>
      <w:r w:rsidR="008071B5" w:rsidRPr="00C7601B">
        <w:rPr>
          <w:szCs w:val="24"/>
        </w:rPr>
        <w:t xml:space="preserve">L’historique de la </w:t>
      </w:r>
      <w:r w:rsidR="008071B5" w:rsidRPr="00C7601B">
        <w:rPr>
          <w:i/>
          <w:szCs w:val="24"/>
        </w:rPr>
        <w:t>LCDP</w:t>
      </w:r>
      <w:r w:rsidR="008071B5" w:rsidRPr="00C7601B">
        <w:rPr>
          <w:szCs w:val="24"/>
        </w:rPr>
        <w:t xml:space="preserve">, l’opinion de la Commission concernant son pouvoir d’adjuger des dépens et </w:t>
      </w:r>
      <w:r w:rsidR="00D8700B" w:rsidRPr="00C7601B">
        <w:rPr>
          <w:szCs w:val="24"/>
        </w:rPr>
        <w:t>l’</w:t>
      </w:r>
      <w:r w:rsidR="008071B5" w:rsidRPr="00C7601B">
        <w:rPr>
          <w:szCs w:val="24"/>
        </w:rPr>
        <w:t xml:space="preserve">examen des lois comparables adoptées par les provinces donnent aussi </w:t>
      </w:r>
      <w:r w:rsidR="008071B5" w:rsidRPr="00C7601B">
        <w:rPr>
          <w:szCs w:val="24"/>
        </w:rPr>
        <w:lastRenderedPageBreak/>
        <w:t>sérieusement à penser que le Tribunal n’est pas habilité à adjuger des dépens.</w:t>
      </w:r>
      <w:r w:rsidR="00FC4A5B" w:rsidRPr="00C7601B">
        <w:rPr>
          <w:szCs w:val="24"/>
        </w:rPr>
        <w:t xml:space="preserve"> </w:t>
      </w:r>
      <w:r w:rsidR="008071B5" w:rsidRPr="00C7601B">
        <w:rPr>
          <w:szCs w:val="24"/>
        </w:rPr>
        <w:t>Enfin, l’interprétation que retient le Tribunal l’autorise à indemniser le préjudice moral de manière distincte, d’une part, et à adjuger des dépens dont le montant peut être illimité, d’autre p</w:t>
      </w:r>
      <w:r w:rsidR="00A44F6A" w:rsidRPr="00C7601B">
        <w:rPr>
          <w:szCs w:val="24"/>
        </w:rPr>
        <w:t>art.</w:t>
      </w:r>
      <w:r w:rsidR="00FC4A5B" w:rsidRPr="00C7601B">
        <w:rPr>
          <w:szCs w:val="24"/>
        </w:rPr>
        <w:t xml:space="preserve"> </w:t>
      </w:r>
      <w:r w:rsidR="008071B5" w:rsidRPr="00C7601B">
        <w:rPr>
          <w:szCs w:val="24"/>
        </w:rPr>
        <w:t>Il est difficile de concilier cette interprétation avec la limitation de l’indemnité pour préjudice moral</w:t>
      </w:r>
      <w:r w:rsidR="00A64EB5" w:rsidRPr="00C7601B">
        <w:rPr>
          <w:szCs w:val="24"/>
        </w:rPr>
        <w:t xml:space="preserve"> </w:t>
      </w:r>
      <w:r w:rsidR="008071B5" w:rsidRPr="00C7601B">
        <w:rPr>
          <w:szCs w:val="24"/>
        </w:rPr>
        <w:t xml:space="preserve">ou le fait que le </w:t>
      </w:r>
      <w:r w:rsidR="00FB353F" w:rsidRPr="00C7601B">
        <w:rPr>
          <w:szCs w:val="24"/>
        </w:rPr>
        <w:t>par.</w:t>
      </w:r>
      <w:r w:rsidR="00FC4A5B" w:rsidRPr="00C7601B">
        <w:rPr>
          <w:szCs w:val="24"/>
        </w:rPr>
        <w:t xml:space="preserve"> </w:t>
      </w:r>
      <w:r w:rsidR="008071B5" w:rsidRPr="00C7601B">
        <w:rPr>
          <w:szCs w:val="24"/>
        </w:rPr>
        <w:t xml:space="preserve">53(3) ne prévoit pas expressément le pouvoir d’accorder le remboursement des frais. </w:t>
      </w:r>
    </w:p>
    <w:p w:rsidR="008071B5" w:rsidRPr="00C7601B" w:rsidRDefault="00622BB9" w:rsidP="00B51A8D">
      <w:pPr>
        <w:pStyle w:val="SCCNormalDoubleSpacing"/>
        <w:spacing w:after="480"/>
        <w:rPr>
          <w:szCs w:val="24"/>
        </w:rPr>
      </w:pPr>
      <w:r w:rsidRPr="00C7601B">
        <w:rPr>
          <w:szCs w:val="24"/>
        </w:rPr>
        <w:tab/>
      </w:r>
      <w:r w:rsidR="00D8700B" w:rsidRPr="00C7601B">
        <w:rPr>
          <w:szCs w:val="24"/>
        </w:rPr>
        <w:t>Null</w:t>
      </w:r>
      <w:r w:rsidR="008071B5" w:rsidRPr="00C7601B">
        <w:rPr>
          <w:szCs w:val="24"/>
        </w:rPr>
        <w:t xml:space="preserve">e interprétation raisonnable des dispositions pertinentes n’appuie la conclusion selon laquelle le Tribunal peut adjuger des dépens </w:t>
      </w:r>
      <w:r w:rsidR="00D319CA" w:rsidRPr="00C7601B">
        <w:rPr>
          <w:szCs w:val="24"/>
        </w:rPr>
        <w:t>au</w:t>
      </w:r>
      <w:r w:rsidR="008071B5" w:rsidRPr="00C7601B">
        <w:rPr>
          <w:szCs w:val="24"/>
        </w:rPr>
        <w:t xml:space="preserve"> plaignant </w:t>
      </w:r>
      <w:r w:rsidR="00D319CA" w:rsidRPr="00C7601B">
        <w:rPr>
          <w:szCs w:val="24"/>
        </w:rPr>
        <w:t xml:space="preserve">qui </w:t>
      </w:r>
      <w:r w:rsidR="008071B5" w:rsidRPr="00C7601B">
        <w:rPr>
          <w:szCs w:val="24"/>
        </w:rPr>
        <w:t>a gain de cause.</w:t>
      </w:r>
      <w:r w:rsidR="00FC4A5B" w:rsidRPr="00C7601B">
        <w:rPr>
          <w:szCs w:val="24"/>
        </w:rPr>
        <w:t xml:space="preserve"> </w:t>
      </w:r>
      <w:r w:rsidR="008071B5" w:rsidRPr="00C7601B">
        <w:rPr>
          <w:szCs w:val="24"/>
        </w:rPr>
        <w:t>Aux prises avec une question difficile d’interprétation législative et une jurisprudence contradictoire, le Tribunal a retenu la définition de «</w:t>
      </w:r>
      <w:r w:rsidR="00FC4A5B" w:rsidRPr="00C7601B">
        <w:rPr>
          <w:szCs w:val="24"/>
        </w:rPr>
        <w:t xml:space="preserve"> </w:t>
      </w:r>
      <w:r w:rsidR="008071B5" w:rsidRPr="00C7601B">
        <w:rPr>
          <w:szCs w:val="24"/>
        </w:rPr>
        <w:t>dépense</w:t>
      </w:r>
      <w:r w:rsidR="00FC4A5B" w:rsidRPr="00C7601B">
        <w:rPr>
          <w:szCs w:val="24"/>
        </w:rPr>
        <w:t xml:space="preserve"> </w:t>
      </w:r>
      <w:r w:rsidR="008071B5" w:rsidRPr="00C7601B">
        <w:rPr>
          <w:szCs w:val="24"/>
        </w:rPr>
        <w:t>» figurant au dictionnaire et il a formulé ce qu’il tenait pour une solution bénéfique sur le plan des principes au lieu d’entreprendre une démarche d’interprétation fondée sur le texte, le contexte et l’objet des dispositions en cause.</w:t>
      </w:r>
      <w:r w:rsidR="00FC4A5B" w:rsidRPr="00C7601B">
        <w:rPr>
          <w:szCs w:val="24"/>
        </w:rPr>
        <w:t xml:space="preserve"> </w:t>
      </w:r>
      <w:r w:rsidR="008071B5" w:rsidRPr="00C7601B">
        <w:rPr>
          <w:szCs w:val="24"/>
        </w:rPr>
        <w:t xml:space="preserve">On ne saurait substituer à l’analyse textuelle et contextuelle une interprétation libérale et téléologique dans le seul but de donner effet à une autre décision de principe que celle prise par le législateur. </w:t>
      </w:r>
    </w:p>
    <w:p w:rsidR="007E1C47" w:rsidRPr="00C7601B" w:rsidRDefault="0043088E" w:rsidP="00FB353F">
      <w:pPr>
        <w:pStyle w:val="SCCNormalDoubleSpacing"/>
        <w:keepNext/>
        <w:spacing w:after="720" w:line="240" w:lineRule="auto"/>
        <w:rPr>
          <w:b/>
          <w:szCs w:val="24"/>
        </w:rPr>
      </w:pPr>
      <w:r w:rsidRPr="00C7601B">
        <w:rPr>
          <w:b/>
          <w:szCs w:val="24"/>
        </w:rPr>
        <w:t>Jurisprudence</w:t>
      </w:r>
    </w:p>
    <w:p w:rsidR="002E6705" w:rsidRPr="00C7601B" w:rsidRDefault="002E6705" w:rsidP="00FB353F">
      <w:pPr>
        <w:pStyle w:val="SCCNormalDoubleSpacing"/>
        <w:spacing w:after="480"/>
        <w:rPr>
          <w:szCs w:val="24"/>
        </w:rPr>
      </w:pPr>
      <w:r w:rsidRPr="00C7601B">
        <w:rPr>
          <w:szCs w:val="24"/>
        </w:rPr>
        <w:tab/>
      </w:r>
      <w:r w:rsidR="005B3E05" w:rsidRPr="00C7601B">
        <w:rPr>
          <w:b/>
          <w:szCs w:val="24"/>
        </w:rPr>
        <w:t>Arrêt appliqué</w:t>
      </w:r>
      <w:r w:rsidR="00FC4A5B" w:rsidRPr="00C7601B">
        <w:rPr>
          <w:b/>
          <w:szCs w:val="24"/>
        </w:rPr>
        <w:t xml:space="preserve"> </w:t>
      </w:r>
      <w:r w:rsidR="00FB353F" w:rsidRPr="00C7601B">
        <w:rPr>
          <w:b/>
          <w:szCs w:val="24"/>
        </w:rPr>
        <w:t>:</w:t>
      </w:r>
      <w:r w:rsidR="005B3E05" w:rsidRPr="00C7601B">
        <w:rPr>
          <w:szCs w:val="24"/>
        </w:rPr>
        <w:t xml:space="preserve"> </w:t>
      </w:r>
      <w:proofErr w:type="spellStart"/>
      <w:r w:rsidR="005B3E05" w:rsidRPr="00C7601B">
        <w:rPr>
          <w:i/>
          <w:szCs w:val="24"/>
        </w:rPr>
        <w:t>Dunsmuir</w:t>
      </w:r>
      <w:proofErr w:type="spellEnd"/>
      <w:r w:rsidR="005B3E05" w:rsidRPr="00C7601B">
        <w:rPr>
          <w:i/>
          <w:szCs w:val="24"/>
        </w:rPr>
        <w:t xml:space="preserve"> c. Nouveau</w:t>
      </w:r>
      <w:r w:rsidR="00C7601B" w:rsidRPr="00C7601B">
        <w:rPr>
          <w:i/>
          <w:szCs w:val="24"/>
        </w:rPr>
        <w:t>-</w:t>
      </w:r>
      <w:r w:rsidR="005B3E05" w:rsidRPr="00C7601B">
        <w:rPr>
          <w:i/>
          <w:szCs w:val="24"/>
        </w:rPr>
        <w:t>Brunswick</w:t>
      </w:r>
      <w:r w:rsidR="005B3E05" w:rsidRPr="00C7601B">
        <w:rPr>
          <w:szCs w:val="24"/>
        </w:rPr>
        <w:t xml:space="preserve">, 2008 CSC 9, [2008] 1 R.C.S. 190; </w:t>
      </w:r>
      <w:r w:rsidR="005B3E05" w:rsidRPr="00C7601B">
        <w:rPr>
          <w:b/>
          <w:szCs w:val="24"/>
        </w:rPr>
        <w:t>arrêts critiqués</w:t>
      </w:r>
      <w:r w:rsidR="00FC4A5B" w:rsidRPr="00C7601B">
        <w:rPr>
          <w:b/>
          <w:szCs w:val="24"/>
        </w:rPr>
        <w:t xml:space="preserve"> </w:t>
      </w:r>
      <w:r w:rsidR="00FB353F" w:rsidRPr="00C7601B">
        <w:rPr>
          <w:b/>
          <w:szCs w:val="24"/>
        </w:rPr>
        <w:t>:</w:t>
      </w:r>
      <w:r w:rsidR="00FC4A5B" w:rsidRPr="00C7601B">
        <w:rPr>
          <w:b/>
          <w:szCs w:val="24"/>
        </w:rPr>
        <w:t xml:space="preserve"> </w:t>
      </w:r>
      <w:r w:rsidR="005B3E05" w:rsidRPr="00C7601B">
        <w:rPr>
          <w:i/>
          <w:szCs w:val="24"/>
        </w:rPr>
        <w:t xml:space="preserve">Canada (Procureur général) c. </w:t>
      </w:r>
      <w:proofErr w:type="spellStart"/>
      <w:r w:rsidR="005B3E05" w:rsidRPr="00C7601B">
        <w:rPr>
          <w:i/>
          <w:szCs w:val="24"/>
        </w:rPr>
        <w:t>Thwaites</w:t>
      </w:r>
      <w:proofErr w:type="spellEnd"/>
      <w:r w:rsidR="005B3E05" w:rsidRPr="00C7601B">
        <w:rPr>
          <w:szCs w:val="24"/>
        </w:rPr>
        <w:t xml:space="preserve">, [1994] 3 C.F. 38; </w:t>
      </w:r>
      <w:r w:rsidR="005B3E05" w:rsidRPr="00C7601B">
        <w:rPr>
          <w:i/>
          <w:szCs w:val="24"/>
        </w:rPr>
        <w:t>Canada (Procureur général) c. Stevenson</w:t>
      </w:r>
      <w:r w:rsidR="005B3E05" w:rsidRPr="00C7601B">
        <w:rPr>
          <w:szCs w:val="24"/>
        </w:rPr>
        <w:t>, 2003 CFPI 341 (</w:t>
      </w:r>
      <w:proofErr w:type="spellStart"/>
      <w:r w:rsidR="005B3E05" w:rsidRPr="00C7601B">
        <w:rPr>
          <w:szCs w:val="24"/>
        </w:rPr>
        <w:t>CanLII</w:t>
      </w:r>
      <w:proofErr w:type="spellEnd"/>
      <w:r w:rsidR="005B3E05" w:rsidRPr="00C7601B">
        <w:rPr>
          <w:szCs w:val="24"/>
        </w:rPr>
        <w:t xml:space="preserve">); </w:t>
      </w:r>
      <w:r w:rsidR="005B3E05" w:rsidRPr="00C7601B">
        <w:rPr>
          <w:i/>
          <w:szCs w:val="24"/>
        </w:rPr>
        <w:t>Canada (Procureur général) c. Brooks</w:t>
      </w:r>
      <w:r w:rsidR="005B3E05" w:rsidRPr="00C7601B">
        <w:rPr>
          <w:szCs w:val="24"/>
        </w:rPr>
        <w:t>, 2006 CF 500 (</w:t>
      </w:r>
      <w:proofErr w:type="spellStart"/>
      <w:r w:rsidR="005B3E05" w:rsidRPr="00C7601B">
        <w:rPr>
          <w:szCs w:val="24"/>
        </w:rPr>
        <w:t>CanLII</w:t>
      </w:r>
      <w:proofErr w:type="spellEnd"/>
      <w:r w:rsidR="005B3E05" w:rsidRPr="00C7601B">
        <w:rPr>
          <w:szCs w:val="24"/>
        </w:rPr>
        <w:t xml:space="preserve">); </w:t>
      </w:r>
      <w:r w:rsidR="005B3E05" w:rsidRPr="00C7601B">
        <w:rPr>
          <w:b/>
          <w:szCs w:val="24"/>
        </w:rPr>
        <w:t>a</w:t>
      </w:r>
      <w:r w:rsidR="0043088E" w:rsidRPr="00C7601B">
        <w:rPr>
          <w:b/>
          <w:szCs w:val="24"/>
        </w:rPr>
        <w:t>rrêts mentionnés</w:t>
      </w:r>
      <w:r w:rsidR="00FC4A5B" w:rsidRPr="00C7601B">
        <w:rPr>
          <w:b/>
          <w:szCs w:val="24"/>
        </w:rPr>
        <w:t xml:space="preserve"> </w:t>
      </w:r>
      <w:r w:rsidR="00FB353F" w:rsidRPr="00C7601B">
        <w:rPr>
          <w:b/>
          <w:szCs w:val="24"/>
        </w:rPr>
        <w:t>:</w:t>
      </w:r>
      <w:r w:rsidR="00FC4A5B" w:rsidRPr="00C7601B">
        <w:rPr>
          <w:szCs w:val="24"/>
        </w:rPr>
        <w:t xml:space="preserve"> </w:t>
      </w:r>
      <w:proofErr w:type="spellStart"/>
      <w:r w:rsidR="005C3B6B" w:rsidRPr="00C7601B">
        <w:rPr>
          <w:i/>
          <w:szCs w:val="24"/>
        </w:rPr>
        <w:lastRenderedPageBreak/>
        <w:t>Pushpanathan</w:t>
      </w:r>
      <w:proofErr w:type="spellEnd"/>
      <w:r w:rsidR="005C3B6B" w:rsidRPr="00C7601B">
        <w:rPr>
          <w:i/>
          <w:szCs w:val="24"/>
        </w:rPr>
        <w:t xml:space="preserve"> c. Canada (Ministre de la Citoyenneté et de l’Immigration)</w:t>
      </w:r>
      <w:r w:rsidR="005C3B6B" w:rsidRPr="00C7601B">
        <w:rPr>
          <w:szCs w:val="24"/>
        </w:rPr>
        <w:t xml:space="preserve">, [1998] 1 R.C.S. 982; </w:t>
      </w:r>
      <w:r w:rsidR="005C3B6B" w:rsidRPr="00C7601B">
        <w:rPr>
          <w:i/>
          <w:szCs w:val="24"/>
        </w:rPr>
        <w:t>Compagnie des chemins de fer nationaux du Canada c. Canada (Commission canadienne des droits de la personne)</w:t>
      </w:r>
      <w:r w:rsidR="005C3B6B" w:rsidRPr="00C7601B">
        <w:rPr>
          <w:szCs w:val="24"/>
        </w:rPr>
        <w:t xml:space="preserve">, [1987] 1 R.C.S. 1114; </w:t>
      </w:r>
      <w:r w:rsidR="005C3B6B" w:rsidRPr="00C7601B">
        <w:rPr>
          <w:i/>
          <w:szCs w:val="24"/>
        </w:rPr>
        <w:t xml:space="preserve">Canada (Citoyenneté et Immigration) c. </w:t>
      </w:r>
      <w:proofErr w:type="spellStart"/>
      <w:r w:rsidR="005C3B6B" w:rsidRPr="00C7601B">
        <w:rPr>
          <w:i/>
          <w:szCs w:val="24"/>
        </w:rPr>
        <w:t>Khosa</w:t>
      </w:r>
      <w:proofErr w:type="spellEnd"/>
      <w:r w:rsidR="005C3B6B" w:rsidRPr="00C7601B">
        <w:rPr>
          <w:szCs w:val="24"/>
        </w:rPr>
        <w:t xml:space="preserve">, 2009 CSC 12, [2009] 1 R.C.S. 339; </w:t>
      </w:r>
      <w:r w:rsidR="005C3B6B" w:rsidRPr="00C7601B">
        <w:rPr>
          <w:i/>
          <w:szCs w:val="24"/>
        </w:rPr>
        <w:t>Smith c. Alliance Pipeline Ltd.</w:t>
      </w:r>
      <w:r w:rsidR="005C3B6B" w:rsidRPr="00C7601B">
        <w:rPr>
          <w:szCs w:val="24"/>
        </w:rPr>
        <w:t xml:space="preserve">, 2011 CSC 7, [2011] 1 R.C.S. 160; </w:t>
      </w:r>
      <w:r w:rsidR="005C3B6B" w:rsidRPr="00C7601B">
        <w:rPr>
          <w:i/>
          <w:szCs w:val="24"/>
        </w:rPr>
        <w:t xml:space="preserve">United Taxi Drivers’ </w:t>
      </w:r>
      <w:proofErr w:type="spellStart"/>
      <w:r w:rsidR="005C3B6B" w:rsidRPr="00C7601B">
        <w:rPr>
          <w:i/>
          <w:szCs w:val="24"/>
        </w:rPr>
        <w:t>Fellowship</w:t>
      </w:r>
      <w:proofErr w:type="spellEnd"/>
      <w:r w:rsidR="005C3B6B" w:rsidRPr="00C7601B">
        <w:rPr>
          <w:i/>
          <w:szCs w:val="24"/>
        </w:rPr>
        <w:t xml:space="preserve"> of </w:t>
      </w:r>
      <w:proofErr w:type="spellStart"/>
      <w:r w:rsidR="005C3B6B" w:rsidRPr="00C7601B">
        <w:rPr>
          <w:i/>
          <w:szCs w:val="24"/>
        </w:rPr>
        <w:t>Southern</w:t>
      </w:r>
      <w:proofErr w:type="spellEnd"/>
      <w:r w:rsidR="005C3B6B" w:rsidRPr="00C7601B">
        <w:rPr>
          <w:i/>
          <w:szCs w:val="24"/>
        </w:rPr>
        <w:t xml:space="preserve"> Alberta c. Calgary (Ville)</w:t>
      </w:r>
      <w:r w:rsidR="005C3B6B" w:rsidRPr="00C7601B">
        <w:rPr>
          <w:szCs w:val="24"/>
        </w:rPr>
        <w:t xml:space="preserve">, 2004 CSC 19, [2004] 1 R.C.S. 485; </w:t>
      </w:r>
      <w:r w:rsidR="005C3B6B" w:rsidRPr="00C7601B">
        <w:rPr>
          <w:i/>
          <w:szCs w:val="24"/>
        </w:rPr>
        <w:t>National Corn</w:t>
      </w:r>
      <w:r w:rsidR="005865F6" w:rsidRPr="00C7601B">
        <w:rPr>
          <w:i/>
          <w:szCs w:val="24"/>
        </w:rPr>
        <w:t xml:space="preserve"> </w:t>
      </w:r>
      <w:proofErr w:type="spellStart"/>
      <w:r w:rsidR="005865F6" w:rsidRPr="00C7601B">
        <w:rPr>
          <w:i/>
          <w:szCs w:val="24"/>
        </w:rPr>
        <w:t>G</w:t>
      </w:r>
      <w:r w:rsidR="005C3B6B" w:rsidRPr="00C7601B">
        <w:rPr>
          <w:i/>
          <w:szCs w:val="24"/>
        </w:rPr>
        <w:t>rowers</w:t>
      </w:r>
      <w:proofErr w:type="spellEnd"/>
      <w:r w:rsidR="005C3B6B" w:rsidRPr="00C7601B">
        <w:rPr>
          <w:i/>
          <w:szCs w:val="24"/>
        </w:rPr>
        <w:t xml:space="preserve"> </w:t>
      </w:r>
      <w:proofErr w:type="spellStart"/>
      <w:r w:rsidR="005C3B6B" w:rsidRPr="00C7601B">
        <w:rPr>
          <w:i/>
          <w:szCs w:val="24"/>
        </w:rPr>
        <w:t>Assn</w:t>
      </w:r>
      <w:proofErr w:type="spellEnd"/>
      <w:r w:rsidR="005C3B6B" w:rsidRPr="00C7601B">
        <w:rPr>
          <w:i/>
          <w:szCs w:val="24"/>
        </w:rPr>
        <w:t>. c. Canada (Tribunal</w:t>
      </w:r>
      <w:r w:rsidR="005865F6" w:rsidRPr="00C7601B">
        <w:rPr>
          <w:i/>
          <w:szCs w:val="24"/>
        </w:rPr>
        <w:t xml:space="preserve"> des importations</w:t>
      </w:r>
      <w:r w:rsidR="005C3B6B" w:rsidRPr="00C7601B">
        <w:rPr>
          <w:i/>
          <w:szCs w:val="24"/>
        </w:rPr>
        <w:t>)</w:t>
      </w:r>
      <w:r w:rsidR="005C3B6B" w:rsidRPr="00C7601B">
        <w:rPr>
          <w:szCs w:val="24"/>
        </w:rPr>
        <w:t xml:space="preserve">, [1990] 2 R.C.S. 1324; </w:t>
      </w:r>
      <w:proofErr w:type="spellStart"/>
      <w:r w:rsidR="005C3B6B" w:rsidRPr="00C7601B">
        <w:rPr>
          <w:i/>
          <w:szCs w:val="24"/>
        </w:rPr>
        <w:t>Dickason</w:t>
      </w:r>
      <w:proofErr w:type="spellEnd"/>
      <w:r w:rsidR="005C3B6B" w:rsidRPr="00C7601B">
        <w:rPr>
          <w:i/>
          <w:szCs w:val="24"/>
        </w:rPr>
        <w:t xml:space="preserve"> c. Universit</w:t>
      </w:r>
      <w:r w:rsidR="005865F6" w:rsidRPr="00C7601B">
        <w:rPr>
          <w:i/>
          <w:szCs w:val="24"/>
        </w:rPr>
        <w:t>é de l’</w:t>
      </w:r>
      <w:r w:rsidR="005C3B6B" w:rsidRPr="00C7601B">
        <w:rPr>
          <w:i/>
          <w:szCs w:val="24"/>
        </w:rPr>
        <w:t>Alberta</w:t>
      </w:r>
      <w:r w:rsidR="005C3B6B" w:rsidRPr="00C7601B">
        <w:rPr>
          <w:szCs w:val="24"/>
        </w:rPr>
        <w:t xml:space="preserve">, [1992] 2 R.C.S. 1103; </w:t>
      </w:r>
      <w:r w:rsidR="005C3B6B" w:rsidRPr="00C7601B">
        <w:rPr>
          <w:i/>
          <w:szCs w:val="24"/>
        </w:rPr>
        <w:t>Canada (</w:t>
      </w:r>
      <w:r w:rsidR="005865F6" w:rsidRPr="00C7601B">
        <w:rPr>
          <w:i/>
          <w:szCs w:val="24"/>
        </w:rPr>
        <w:t>Procureur</w:t>
      </w:r>
      <w:r w:rsidR="005C3B6B" w:rsidRPr="00C7601B">
        <w:rPr>
          <w:i/>
          <w:szCs w:val="24"/>
        </w:rPr>
        <w:t xml:space="preserve"> </w:t>
      </w:r>
      <w:r w:rsidR="005865F6" w:rsidRPr="00C7601B">
        <w:rPr>
          <w:i/>
          <w:szCs w:val="24"/>
        </w:rPr>
        <w:t>géné</w:t>
      </w:r>
      <w:r w:rsidR="005C3B6B" w:rsidRPr="00C7601B">
        <w:rPr>
          <w:i/>
          <w:szCs w:val="24"/>
        </w:rPr>
        <w:t xml:space="preserve">ral) c. </w:t>
      </w:r>
      <w:proofErr w:type="spellStart"/>
      <w:r w:rsidR="005C3B6B" w:rsidRPr="00C7601B">
        <w:rPr>
          <w:i/>
          <w:szCs w:val="24"/>
        </w:rPr>
        <w:t>Mossop</w:t>
      </w:r>
      <w:proofErr w:type="spellEnd"/>
      <w:r w:rsidR="005C3B6B" w:rsidRPr="00C7601B">
        <w:rPr>
          <w:szCs w:val="24"/>
        </w:rPr>
        <w:t xml:space="preserve">, [1993] 1 R.C.S. 554; </w:t>
      </w:r>
      <w:r w:rsidR="005C3B6B" w:rsidRPr="00C7601B">
        <w:rPr>
          <w:i/>
          <w:szCs w:val="24"/>
        </w:rPr>
        <w:t>Universit</w:t>
      </w:r>
      <w:r w:rsidR="005865F6" w:rsidRPr="00C7601B">
        <w:rPr>
          <w:i/>
          <w:szCs w:val="24"/>
        </w:rPr>
        <w:t>é de la Colombie</w:t>
      </w:r>
      <w:r w:rsidR="00C7601B" w:rsidRPr="00C7601B">
        <w:rPr>
          <w:i/>
          <w:szCs w:val="24"/>
        </w:rPr>
        <w:t>-</w:t>
      </w:r>
      <w:r w:rsidR="005865F6" w:rsidRPr="00C7601B">
        <w:rPr>
          <w:i/>
          <w:szCs w:val="24"/>
        </w:rPr>
        <w:t>Britannique</w:t>
      </w:r>
      <w:r w:rsidR="005C3B6B" w:rsidRPr="00C7601B">
        <w:rPr>
          <w:i/>
          <w:szCs w:val="24"/>
        </w:rPr>
        <w:t xml:space="preserve"> c. Berg</w:t>
      </w:r>
      <w:r w:rsidR="005C3B6B" w:rsidRPr="00C7601B">
        <w:rPr>
          <w:szCs w:val="24"/>
        </w:rPr>
        <w:t xml:space="preserve">, [1993] 2 R.C.S. 353; </w:t>
      </w:r>
      <w:r w:rsidR="005C3B6B" w:rsidRPr="00C7601B">
        <w:rPr>
          <w:i/>
          <w:szCs w:val="24"/>
        </w:rPr>
        <w:t xml:space="preserve">Gould c. Yukon </w:t>
      </w:r>
      <w:proofErr w:type="spellStart"/>
      <w:r w:rsidR="005C3B6B" w:rsidRPr="00C7601B">
        <w:rPr>
          <w:i/>
          <w:szCs w:val="24"/>
        </w:rPr>
        <w:t>Order</w:t>
      </w:r>
      <w:proofErr w:type="spellEnd"/>
      <w:r w:rsidR="005C3B6B" w:rsidRPr="00C7601B">
        <w:rPr>
          <w:i/>
          <w:szCs w:val="24"/>
        </w:rPr>
        <w:t xml:space="preserve"> of </w:t>
      </w:r>
      <w:proofErr w:type="spellStart"/>
      <w:r w:rsidR="005C3B6B" w:rsidRPr="00C7601B">
        <w:rPr>
          <w:i/>
          <w:szCs w:val="24"/>
        </w:rPr>
        <w:t>Pioneers</w:t>
      </w:r>
      <w:proofErr w:type="spellEnd"/>
      <w:r w:rsidR="005C3B6B" w:rsidRPr="00C7601B">
        <w:rPr>
          <w:szCs w:val="24"/>
        </w:rPr>
        <w:t>, [1996] 1 R.C.S. 571;</w:t>
      </w:r>
      <w:r w:rsidR="00560830" w:rsidRPr="00C7601B">
        <w:rPr>
          <w:szCs w:val="24"/>
        </w:rPr>
        <w:t xml:space="preserve"> </w:t>
      </w:r>
      <w:proofErr w:type="spellStart"/>
      <w:r w:rsidR="00560830" w:rsidRPr="00C7601B">
        <w:rPr>
          <w:i/>
          <w:szCs w:val="24"/>
        </w:rPr>
        <w:t>Celgene</w:t>
      </w:r>
      <w:proofErr w:type="spellEnd"/>
      <w:r w:rsidR="00560830" w:rsidRPr="00C7601B">
        <w:rPr>
          <w:i/>
          <w:szCs w:val="24"/>
        </w:rPr>
        <w:t xml:space="preserve"> Cor</w:t>
      </w:r>
      <w:r w:rsidR="00FB353F" w:rsidRPr="00C7601B">
        <w:rPr>
          <w:i/>
          <w:szCs w:val="24"/>
        </w:rPr>
        <w:t>p.</w:t>
      </w:r>
      <w:r w:rsidR="00FC4A5B" w:rsidRPr="00C7601B">
        <w:rPr>
          <w:i/>
          <w:szCs w:val="24"/>
        </w:rPr>
        <w:t xml:space="preserve"> </w:t>
      </w:r>
      <w:r w:rsidR="00560830" w:rsidRPr="00C7601B">
        <w:rPr>
          <w:i/>
          <w:szCs w:val="24"/>
        </w:rPr>
        <w:t>c. Canada (Procureur général)</w:t>
      </w:r>
      <w:r w:rsidR="00560830" w:rsidRPr="00C7601B">
        <w:rPr>
          <w:szCs w:val="24"/>
        </w:rPr>
        <w:t xml:space="preserve">, 2011 CSC 1, [2011] 1 R.C.S. 3; </w:t>
      </w:r>
      <w:r w:rsidR="00560830" w:rsidRPr="00C7601B">
        <w:rPr>
          <w:i/>
          <w:szCs w:val="24"/>
        </w:rPr>
        <w:t>Nolan c. Kerry (Canada) Inc.</w:t>
      </w:r>
      <w:r w:rsidR="00560830" w:rsidRPr="00C7601B">
        <w:rPr>
          <w:szCs w:val="24"/>
        </w:rPr>
        <w:t>, 2009 CSC 39, [2009] 2 R.C.S. 678;</w:t>
      </w:r>
      <w:r w:rsidR="005C3B6B" w:rsidRPr="00C7601B">
        <w:rPr>
          <w:szCs w:val="24"/>
        </w:rPr>
        <w:t xml:space="preserve"> </w:t>
      </w:r>
      <w:r w:rsidR="005C3B6B" w:rsidRPr="00C7601B">
        <w:rPr>
          <w:i/>
          <w:szCs w:val="24"/>
        </w:rPr>
        <w:t>C</w:t>
      </w:r>
      <w:r w:rsidR="00DA2EC4" w:rsidRPr="00C7601B">
        <w:rPr>
          <w:i/>
          <w:szCs w:val="24"/>
        </w:rPr>
        <w:t>onseil des C</w:t>
      </w:r>
      <w:r w:rsidR="005C3B6B" w:rsidRPr="00C7601B">
        <w:rPr>
          <w:i/>
          <w:szCs w:val="24"/>
        </w:rPr>
        <w:t>anadi</w:t>
      </w:r>
      <w:r w:rsidR="00DA2EC4" w:rsidRPr="00C7601B">
        <w:rPr>
          <w:i/>
          <w:szCs w:val="24"/>
        </w:rPr>
        <w:t>e</w:t>
      </w:r>
      <w:r w:rsidR="005C3B6B" w:rsidRPr="00C7601B">
        <w:rPr>
          <w:i/>
          <w:szCs w:val="24"/>
        </w:rPr>
        <w:t xml:space="preserve">ns </w:t>
      </w:r>
      <w:r w:rsidR="00DA2EC4" w:rsidRPr="00C7601B">
        <w:rPr>
          <w:i/>
          <w:szCs w:val="24"/>
        </w:rPr>
        <w:t>avec déficiences</w:t>
      </w:r>
      <w:r w:rsidR="005C3B6B" w:rsidRPr="00C7601B">
        <w:rPr>
          <w:i/>
          <w:szCs w:val="24"/>
        </w:rPr>
        <w:t xml:space="preserve"> c. VIA Rail Canada Inc</w:t>
      </w:r>
      <w:r w:rsidR="005C3B6B" w:rsidRPr="00C7601B">
        <w:rPr>
          <w:szCs w:val="24"/>
        </w:rPr>
        <w:t xml:space="preserve">., 2007 CSC 15, [2007] 1 R.C.S. 650; </w:t>
      </w:r>
      <w:r w:rsidR="005C3B6B" w:rsidRPr="00C7601B">
        <w:rPr>
          <w:i/>
          <w:szCs w:val="24"/>
        </w:rPr>
        <w:t>Lévis (</w:t>
      </w:r>
      <w:r w:rsidR="00DA2EC4" w:rsidRPr="00C7601B">
        <w:rPr>
          <w:i/>
          <w:szCs w:val="24"/>
        </w:rPr>
        <w:t>Ville</w:t>
      </w:r>
      <w:r w:rsidR="005C3B6B" w:rsidRPr="00C7601B">
        <w:rPr>
          <w:i/>
          <w:szCs w:val="24"/>
        </w:rPr>
        <w:t>) c. Fraternité des policiers de Lévis Inc.</w:t>
      </w:r>
      <w:r w:rsidR="005C3B6B" w:rsidRPr="00C7601B">
        <w:rPr>
          <w:szCs w:val="24"/>
        </w:rPr>
        <w:t xml:space="preserve">, 2007 CSC 14, [2007] 1 R.C.S. 591; </w:t>
      </w:r>
      <w:r w:rsidR="005C3B6B" w:rsidRPr="00C7601B">
        <w:rPr>
          <w:i/>
          <w:iCs/>
          <w:szCs w:val="24"/>
        </w:rPr>
        <w:t>Toronto (</w:t>
      </w:r>
      <w:r w:rsidR="00DA2EC4" w:rsidRPr="00C7601B">
        <w:rPr>
          <w:i/>
          <w:iCs/>
          <w:szCs w:val="24"/>
        </w:rPr>
        <w:t>Ville</w:t>
      </w:r>
      <w:r w:rsidR="005C3B6B" w:rsidRPr="00C7601B">
        <w:rPr>
          <w:i/>
          <w:iCs/>
          <w:szCs w:val="24"/>
        </w:rPr>
        <w:t xml:space="preserve">) c. </w:t>
      </w:r>
      <w:r w:rsidR="00DA2EC4" w:rsidRPr="00C7601B">
        <w:rPr>
          <w:i/>
          <w:iCs/>
          <w:szCs w:val="24"/>
        </w:rPr>
        <w:t>S.</w:t>
      </w:r>
      <w:r w:rsidR="005C3B6B" w:rsidRPr="00C7601B">
        <w:rPr>
          <w:i/>
          <w:iCs/>
          <w:szCs w:val="24"/>
        </w:rPr>
        <w:t>C.</w:t>
      </w:r>
      <w:r w:rsidR="00DA2EC4" w:rsidRPr="00C7601B">
        <w:rPr>
          <w:i/>
          <w:iCs/>
          <w:szCs w:val="24"/>
        </w:rPr>
        <w:t>F</w:t>
      </w:r>
      <w:r w:rsidR="005C3B6B" w:rsidRPr="00C7601B">
        <w:rPr>
          <w:i/>
          <w:iCs/>
          <w:szCs w:val="24"/>
        </w:rPr>
        <w:t xml:space="preserve">.P., </w:t>
      </w:r>
      <w:r w:rsidR="00DA2EC4" w:rsidRPr="00C7601B">
        <w:rPr>
          <w:i/>
          <w:iCs/>
          <w:szCs w:val="24"/>
        </w:rPr>
        <w:t>section locale</w:t>
      </w:r>
      <w:r w:rsidR="005C3B6B" w:rsidRPr="00C7601B">
        <w:rPr>
          <w:i/>
          <w:iCs/>
          <w:szCs w:val="24"/>
        </w:rPr>
        <w:t xml:space="preserve"> 79</w:t>
      </w:r>
      <w:r w:rsidR="005C3B6B" w:rsidRPr="00C7601B">
        <w:rPr>
          <w:szCs w:val="24"/>
        </w:rPr>
        <w:t xml:space="preserve">, 2003 CSC 63, [2003] 3 R.C.S. 77; </w:t>
      </w:r>
      <w:r w:rsidR="00DA2EC4" w:rsidRPr="00C7601B">
        <w:rPr>
          <w:i/>
          <w:szCs w:val="24"/>
        </w:rPr>
        <w:t>Syndicat canadien de la Fonction publique, section locale 963</w:t>
      </w:r>
      <w:r w:rsidR="005C3B6B" w:rsidRPr="00C7601B">
        <w:rPr>
          <w:i/>
          <w:iCs/>
          <w:szCs w:val="24"/>
        </w:rPr>
        <w:t xml:space="preserve"> c. </w:t>
      </w:r>
      <w:r w:rsidR="00DA2EC4" w:rsidRPr="00C7601B">
        <w:rPr>
          <w:i/>
          <w:iCs/>
          <w:szCs w:val="24"/>
        </w:rPr>
        <w:t>Société des alcools du Nouveau</w:t>
      </w:r>
      <w:r w:rsidR="00C7601B" w:rsidRPr="00C7601B">
        <w:rPr>
          <w:i/>
          <w:iCs/>
          <w:szCs w:val="24"/>
        </w:rPr>
        <w:t>-</w:t>
      </w:r>
      <w:r w:rsidR="005C3B6B" w:rsidRPr="00C7601B">
        <w:rPr>
          <w:i/>
          <w:iCs/>
          <w:szCs w:val="24"/>
        </w:rPr>
        <w:t>Brunswick</w:t>
      </w:r>
      <w:r w:rsidR="005C3B6B" w:rsidRPr="00C7601B">
        <w:rPr>
          <w:szCs w:val="24"/>
        </w:rPr>
        <w:t xml:space="preserve">, [1979] 2 R.C.S. 227; </w:t>
      </w:r>
      <w:proofErr w:type="spellStart"/>
      <w:r w:rsidR="005C3B6B" w:rsidRPr="00C7601B">
        <w:rPr>
          <w:i/>
          <w:szCs w:val="24"/>
        </w:rPr>
        <w:t>Housen</w:t>
      </w:r>
      <w:proofErr w:type="spellEnd"/>
      <w:r w:rsidR="005C3B6B" w:rsidRPr="00C7601B">
        <w:rPr>
          <w:i/>
          <w:szCs w:val="24"/>
        </w:rPr>
        <w:t xml:space="preserve"> c. </w:t>
      </w:r>
      <w:proofErr w:type="spellStart"/>
      <w:r w:rsidR="005C3B6B" w:rsidRPr="00C7601B">
        <w:rPr>
          <w:i/>
          <w:szCs w:val="24"/>
        </w:rPr>
        <w:t>Nikolaisen</w:t>
      </w:r>
      <w:proofErr w:type="spellEnd"/>
      <w:r w:rsidR="005C3B6B" w:rsidRPr="00C7601B">
        <w:rPr>
          <w:szCs w:val="24"/>
        </w:rPr>
        <w:t xml:space="preserve">, 2002 CSC 33, [2002] 2 R.C.S. 235; </w:t>
      </w:r>
      <w:proofErr w:type="spellStart"/>
      <w:r w:rsidR="005C3B6B" w:rsidRPr="00C7601B">
        <w:rPr>
          <w:i/>
          <w:szCs w:val="24"/>
        </w:rPr>
        <w:t>Rizzo</w:t>
      </w:r>
      <w:proofErr w:type="spellEnd"/>
      <w:r w:rsidR="00DA2EC4" w:rsidRPr="00C7601B">
        <w:rPr>
          <w:i/>
          <w:szCs w:val="24"/>
        </w:rPr>
        <w:t xml:space="preserve"> &amp;</w:t>
      </w:r>
      <w:r w:rsidR="005C3B6B" w:rsidRPr="00C7601B">
        <w:rPr>
          <w:i/>
          <w:szCs w:val="24"/>
        </w:rPr>
        <w:t xml:space="preserve"> </w:t>
      </w:r>
      <w:proofErr w:type="spellStart"/>
      <w:r w:rsidR="005C3B6B" w:rsidRPr="00C7601B">
        <w:rPr>
          <w:i/>
          <w:szCs w:val="24"/>
        </w:rPr>
        <w:t>Rizzo</w:t>
      </w:r>
      <w:proofErr w:type="spellEnd"/>
      <w:r w:rsidR="005C3B6B" w:rsidRPr="00C7601B">
        <w:rPr>
          <w:i/>
          <w:szCs w:val="24"/>
        </w:rPr>
        <w:t xml:space="preserve"> </w:t>
      </w:r>
      <w:proofErr w:type="spellStart"/>
      <w:r w:rsidR="005C3B6B" w:rsidRPr="00C7601B">
        <w:rPr>
          <w:i/>
          <w:szCs w:val="24"/>
        </w:rPr>
        <w:t>Shoes</w:t>
      </w:r>
      <w:proofErr w:type="spellEnd"/>
      <w:r w:rsidR="005C3B6B" w:rsidRPr="00C7601B">
        <w:rPr>
          <w:i/>
          <w:szCs w:val="24"/>
        </w:rPr>
        <w:t xml:space="preserve"> </w:t>
      </w:r>
      <w:r w:rsidR="00DA2EC4" w:rsidRPr="00C7601B">
        <w:rPr>
          <w:i/>
          <w:szCs w:val="24"/>
        </w:rPr>
        <w:t>Ltd. (</w:t>
      </w:r>
      <w:proofErr w:type="spellStart"/>
      <w:r w:rsidR="00DA2EC4" w:rsidRPr="00C7601B">
        <w:rPr>
          <w:i/>
          <w:szCs w:val="24"/>
        </w:rPr>
        <w:t>Re</w:t>
      </w:r>
      <w:proofErr w:type="spellEnd"/>
      <w:r w:rsidR="00DA2EC4" w:rsidRPr="00C7601B">
        <w:rPr>
          <w:i/>
          <w:szCs w:val="24"/>
        </w:rPr>
        <w:t>)</w:t>
      </w:r>
      <w:r w:rsidR="005C3B6B" w:rsidRPr="00C7601B">
        <w:rPr>
          <w:szCs w:val="24"/>
        </w:rPr>
        <w:t>, [1998] 1 R.C.S. 27;</w:t>
      </w:r>
      <w:r w:rsidR="00D3689A" w:rsidRPr="00C7601B">
        <w:rPr>
          <w:szCs w:val="24"/>
        </w:rPr>
        <w:t xml:space="preserve"> </w:t>
      </w:r>
      <w:r w:rsidR="005C3B6B" w:rsidRPr="00C7601B">
        <w:rPr>
          <w:i/>
          <w:szCs w:val="24"/>
        </w:rPr>
        <w:t xml:space="preserve">R. c. </w:t>
      </w:r>
      <w:proofErr w:type="spellStart"/>
      <w:r w:rsidR="005C3B6B" w:rsidRPr="00C7601B">
        <w:rPr>
          <w:i/>
          <w:szCs w:val="24"/>
        </w:rPr>
        <w:t>Proulx</w:t>
      </w:r>
      <w:proofErr w:type="spellEnd"/>
      <w:r w:rsidR="005C3B6B" w:rsidRPr="00C7601B">
        <w:rPr>
          <w:szCs w:val="24"/>
        </w:rPr>
        <w:t xml:space="preserve">, 2000 CSC 5, [2000] 1 R.C.S. 61; </w:t>
      </w:r>
      <w:r w:rsidR="00B94236" w:rsidRPr="00C7601B">
        <w:rPr>
          <w:i/>
          <w:szCs w:val="24"/>
        </w:rPr>
        <w:t>Procureur géné</w:t>
      </w:r>
      <w:r w:rsidR="005C3B6B" w:rsidRPr="00C7601B">
        <w:rPr>
          <w:i/>
          <w:szCs w:val="24"/>
        </w:rPr>
        <w:t xml:space="preserve">ral </w:t>
      </w:r>
      <w:r w:rsidR="00B94236" w:rsidRPr="00C7601B">
        <w:rPr>
          <w:i/>
          <w:szCs w:val="24"/>
        </w:rPr>
        <w:t xml:space="preserve">du </w:t>
      </w:r>
      <w:r w:rsidR="005C3B6B" w:rsidRPr="00C7601B">
        <w:rPr>
          <w:i/>
          <w:szCs w:val="24"/>
        </w:rPr>
        <w:t>Qu</w:t>
      </w:r>
      <w:r w:rsidR="00B94236" w:rsidRPr="00C7601B">
        <w:rPr>
          <w:i/>
          <w:szCs w:val="24"/>
        </w:rPr>
        <w:t>é</w:t>
      </w:r>
      <w:r w:rsidR="005C3B6B" w:rsidRPr="00C7601B">
        <w:rPr>
          <w:i/>
          <w:szCs w:val="24"/>
        </w:rPr>
        <w:t>bec c. Carrières Ste</w:t>
      </w:r>
      <w:r w:rsidR="00C7601B" w:rsidRPr="00C7601B">
        <w:rPr>
          <w:i/>
          <w:szCs w:val="24"/>
        </w:rPr>
        <w:t>-</w:t>
      </w:r>
      <w:r w:rsidR="005C3B6B" w:rsidRPr="00C7601B">
        <w:rPr>
          <w:i/>
          <w:szCs w:val="24"/>
        </w:rPr>
        <w:t>Th</w:t>
      </w:r>
      <w:r w:rsidR="00B94236" w:rsidRPr="00C7601B">
        <w:rPr>
          <w:i/>
          <w:szCs w:val="24"/>
        </w:rPr>
        <w:t>é</w:t>
      </w:r>
      <w:r w:rsidR="005C3B6B" w:rsidRPr="00C7601B">
        <w:rPr>
          <w:i/>
          <w:szCs w:val="24"/>
        </w:rPr>
        <w:t>r</w:t>
      </w:r>
      <w:r w:rsidR="00B94236" w:rsidRPr="00C7601B">
        <w:rPr>
          <w:i/>
          <w:szCs w:val="24"/>
        </w:rPr>
        <w:t>è</w:t>
      </w:r>
      <w:r w:rsidR="005C3B6B" w:rsidRPr="00C7601B">
        <w:rPr>
          <w:i/>
          <w:szCs w:val="24"/>
        </w:rPr>
        <w:t xml:space="preserve">se </w:t>
      </w:r>
      <w:proofErr w:type="spellStart"/>
      <w:r w:rsidR="005C3B6B" w:rsidRPr="00C7601B">
        <w:rPr>
          <w:i/>
          <w:szCs w:val="24"/>
        </w:rPr>
        <w:t>Ltée</w:t>
      </w:r>
      <w:proofErr w:type="spellEnd"/>
      <w:r w:rsidR="005C3B6B" w:rsidRPr="00C7601B">
        <w:rPr>
          <w:szCs w:val="24"/>
        </w:rPr>
        <w:t xml:space="preserve">, [1985] 1 R.C.S. </w:t>
      </w:r>
      <w:r w:rsidR="00B94236" w:rsidRPr="00C7601B">
        <w:rPr>
          <w:szCs w:val="24"/>
        </w:rPr>
        <w:t>83</w:t>
      </w:r>
      <w:r w:rsidR="005C3B6B" w:rsidRPr="00C7601B">
        <w:rPr>
          <w:szCs w:val="24"/>
        </w:rPr>
        <w:t xml:space="preserve">1; </w:t>
      </w:r>
      <w:proofErr w:type="spellStart"/>
      <w:r w:rsidR="005C3B6B" w:rsidRPr="00C7601B">
        <w:rPr>
          <w:i/>
          <w:szCs w:val="24"/>
        </w:rPr>
        <w:t>Merk</w:t>
      </w:r>
      <w:proofErr w:type="spellEnd"/>
      <w:r w:rsidR="005C3B6B" w:rsidRPr="00C7601B">
        <w:rPr>
          <w:i/>
          <w:szCs w:val="24"/>
        </w:rPr>
        <w:t xml:space="preserve"> c. Association</w:t>
      </w:r>
      <w:r w:rsidR="00B94236" w:rsidRPr="00C7601B">
        <w:rPr>
          <w:i/>
          <w:szCs w:val="24"/>
        </w:rPr>
        <w:t xml:space="preserve"> internationale des travailleurs en ponts, en fer structural, ornemental et d’armature, section locale 771</w:t>
      </w:r>
      <w:r w:rsidR="005C3B6B" w:rsidRPr="00C7601B">
        <w:rPr>
          <w:szCs w:val="24"/>
        </w:rPr>
        <w:t xml:space="preserve">, 2005 CSC 70, [2005] 3 R.C.S. 425; </w:t>
      </w:r>
      <w:proofErr w:type="spellStart"/>
      <w:r w:rsidR="005C3B6B" w:rsidRPr="00C7601B">
        <w:rPr>
          <w:i/>
          <w:szCs w:val="24"/>
        </w:rPr>
        <w:t>Hills</w:t>
      </w:r>
      <w:proofErr w:type="spellEnd"/>
      <w:r w:rsidR="005C3B6B" w:rsidRPr="00C7601B">
        <w:rPr>
          <w:i/>
          <w:szCs w:val="24"/>
        </w:rPr>
        <w:t xml:space="preserve"> c. Canada (</w:t>
      </w:r>
      <w:r w:rsidR="00B94236" w:rsidRPr="00C7601B">
        <w:rPr>
          <w:i/>
          <w:szCs w:val="24"/>
        </w:rPr>
        <w:t>Procureur géné</w:t>
      </w:r>
      <w:r w:rsidR="005C3B6B" w:rsidRPr="00C7601B">
        <w:rPr>
          <w:i/>
          <w:szCs w:val="24"/>
        </w:rPr>
        <w:t>ral)</w:t>
      </w:r>
      <w:r w:rsidR="005C3B6B" w:rsidRPr="00C7601B">
        <w:rPr>
          <w:szCs w:val="24"/>
        </w:rPr>
        <w:t xml:space="preserve">, [1988] 1 R.C.S. 513; </w:t>
      </w:r>
      <w:proofErr w:type="spellStart"/>
      <w:r w:rsidR="005C3B6B" w:rsidRPr="00C7601B">
        <w:rPr>
          <w:i/>
          <w:szCs w:val="24"/>
        </w:rPr>
        <w:t>Hilewitz</w:t>
      </w:r>
      <w:proofErr w:type="spellEnd"/>
      <w:r w:rsidR="005C3B6B" w:rsidRPr="00C7601B">
        <w:rPr>
          <w:i/>
          <w:szCs w:val="24"/>
        </w:rPr>
        <w:t xml:space="preserve"> c. Canada (Ministr</w:t>
      </w:r>
      <w:r w:rsidR="00B94236" w:rsidRPr="00C7601B">
        <w:rPr>
          <w:i/>
          <w:szCs w:val="24"/>
        </w:rPr>
        <w:t xml:space="preserve">e de la Citoyenneté et de </w:t>
      </w:r>
      <w:r w:rsidR="00B94236" w:rsidRPr="00C7601B">
        <w:rPr>
          <w:i/>
          <w:szCs w:val="24"/>
        </w:rPr>
        <w:lastRenderedPageBreak/>
        <w:t>l’</w:t>
      </w:r>
      <w:r w:rsidR="005C3B6B" w:rsidRPr="00C7601B">
        <w:rPr>
          <w:i/>
          <w:szCs w:val="24"/>
        </w:rPr>
        <w:t>Immigration)</w:t>
      </w:r>
      <w:r w:rsidR="005C3B6B" w:rsidRPr="00C7601B">
        <w:rPr>
          <w:szCs w:val="24"/>
        </w:rPr>
        <w:t xml:space="preserve">, 2005 CSC 57, [2005] 2 R.C.S. 706; </w:t>
      </w:r>
      <w:r w:rsidR="005C3B6B" w:rsidRPr="00C7601B">
        <w:rPr>
          <w:i/>
          <w:szCs w:val="24"/>
        </w:rPr>
        <w:t>Doré c. Verdun (</w:t>
      </w:r>
      <w:r w:rsidR="009B25EB" w:rsidRPr="00C7601B">
        <w:rPr>
          <w:i/>
          <w:szCs w:val="24"/>
        </w:rPr>
        <w:t>Ville</w:t>
      </w:r>
      <w:r w:rsidR="005C3B6B" w:rsidRPr="00C7601B">
        <w:rPr>
          <w:i/>
          <w:szCs w:val="24"/>
        </w:rPr>
        <w:t>)</w:t>
      </w:r>
      <w:r w:rsidR="005C3B6B" w:rsidRPr="00C7601B">
        <w:rPr>
          <w:szCs w:val="24"/>
        </w:rPr>
        <w:t xml:space="preserve">, [1997] 2 R.C.S. 862; </w:t>
      </w:r>
      <w:r w:rsidR="005C3B6B" w:rsidRPr="00C7601B">
        <w:rPr>
          <w:i/>
          <w:szCs w:val="24"/>
        </w:rPr>
        <w:t>M. c. H.</w:t>
      </w:r>
      <w:r w:rsidR="005C3B6B" w:rsidRPr="00C7601B">
        <w:rPr>
          <w:szCs w:val="24"/>
        </w:rPr>
        <w:t xml:space="preserve">, [1999] 2 R.C.S. 3; </w:t>
      </w:r>
      <w:r w:rsidR="005C3B6B" w:rsidRPr="00C7601B">
        <w:rPr>
          <w:i/>
          <w:szCs w:val="24"/>
        </w:rPr>
        <w:t>Will</w:t>
      </w:r>
      <w:r w:rsidR="00C7601B" w:rsidRPr="00C7601B">
        <w:rPr>
          <w:i/>
          <w:szCs w:val="24"/>
        </w:rPr>
        <w:t>-</w:t>
      </w:r>
      <w:proofErr w:type="spellStart"/>
      <w:r w:rsidR="005C3B6B" w:rsidRPr="00C7601B">
        <w:rPr>
          <w:i/>
          <w:szCs w:val="24"/>
        </w:rPr>
        <w:t>Kare</w:t>
      </w:r>
      <w:proofErr w:type="spellEnd"/>
      <w:r w:rsidR="005C3B6B" w:rsidRPr="00C7601B">
        <w:rPr>
          <w:i/>
          <w:szCs w:val="24"/>
        </w:rPr>
        <w:t xml:space="preserve"> </w:t>
      </w:r>
      <w:proofErr w:type="spellStart"/>
      <w:r w:rsidR="005C3B6B" w:rsidRPr="00C7601B">
        <w:rPr>
          <w:i/>
          <w:szCs w:val="24"/>
        </w:rPr>
        <w:t>Paving</w:t>
      </w:r>
      <w:proofErr w:type="spellEnd"/>
      <w:r w:rsidR="005C3B6B" w:rsidRPr="00C7601B">
        <w:rPr>
          <w:i/>
          <w:szCs w:val="24"/>
        </w:rPr>
        <w:t xml:space="preserve"> &amp; </w:t>
      </w:r>
      <w:proofErr w:type="spellStart"/>
      <w:r w:rsidR="005C3B6B" w:rsidRPr="00C7601B">
        <w:rPr>
          <w:i/>
          <w:szCs w:val="24"/>
        </w:rPr>
        <w:t>Contracting</w:t>
      </w:r>
      <w:proofErr w:type="spellEnd"/>
      <w:r w:rsidR="005C3B6B" w:rsidRPr="00C7601B">
        <w:rPr>
          <w:i/>
          <w:szCs w:val="24"/>
        </w:rPr>
        <w:t xml:space="preserve"> Ltd. c. Canada</w:t>
      </w:r>
      <w:r w:rsidR="005C3B6B" w:rsidRPr="00C7601B">
        <w:rPr>
          <w:szCs w:val="24"/>
        </w:rPr>
        <w:t xml:space="preserve">, 2000 CSC 36, [2000] 1 R.C.S. 915; </w:t>
      </w:r>
      <w:proofErr w:type="spellStart"/>
      <w:r w:rsidR="005C3B6B" w:rsidRPr="00C7601B">
        <w:rPr>
          <w:i/>
          <w:iCs/>
          <w:szCs w:val="24"/>
        </w:rPr>
        <w:t>Harel</w:t>
      </w:r>
      <w:proofErr w:type="spellEnd"/>
      <w:r w:rsidR="005C3B6B" w:rsidRPr="00C7601B">
        <w:rPr>
          <w:i/>
          <w:iCs/>
          <w:szCs w:val="24"/>
        </w:rPr>
        <w:t xml:space="preserve"> c. </w:t>
      </w:r>
      <w:r w:rsidR="00646D47" w:rsidRPr="00C7601B">
        <w:rPr>
          <w:i/>
          <w:iCs/>
          <w:szCs w:val="24"/>
        </w:rPr>
        <w:t>Sous</w:t>
      </w:r>
      <w:r w:rsidR="00C7601B" w:rsidRPr="00C7601B">
        <w:rPr>
          <w:i/>
          <w:iCs/>
          <w:szCs w:val="24"/>
        </w:rPr>
        <w:t>-</w:t>
      </w:r>
      <w:r w:rsidR="00646D47" w:rsidRPr="00C7601B">
        <w:rPr>
          <w:i/>
          <w:iCs/>
          <w:szCs w:val="24"/>
        </w:rPr>
        <w:t>ministre du</w:t>
      </w:r>
      <w:r w:rsidR="005C3B6B" w:rsidRPr="00C7601B">
        <w:rPr>
          <w:i/>
          <w:iCs/>
          <w:szCs w:val="24"/>
        </w:rPr>
        <w:t xml:space="preserve"> Revenu</w:t>
      </w:r>
      <w:r w:rsidR="00646D47" w:rsidRPr="00C7601B">
        <w:rPr>
          <w:i/>
          <w:iCs/>
          <w:szCs w:val="24"/>
        </w:rPr>
        <w:t xml:space="preserve"> du</w:t>
      </w:r>
      <w:r w:rsidR="005C3B6B" w:rsidRPr="00C7601B">
        <w:rPr>
          <w:i/>
          <w:iCs/>
          <w:szCs w:val="24"/>
        </w:rPr>
        <w:t xml:space="preserve"> Qu</w:t>
      </w:r>
      <w:r w:rsidR="00646D47" w:rsidRPr="00C7601B">
        <w:rPr>
          <w:i/>
          <w:iCs/>
          <w:szCs w:val="24"/>
        </w:rPr>
        <w:t>é</w:t>
      </w:r>
      <w:r w:rsidR="005C3B6B" w:rsidRPr="00C7601B">
        <w:rPr>
          <w:i/>
          <w:iCs/>
          <w:szCs w:val="24"/>
        </w:rPr>
        <w:t>bec</w:t>
      </w:r>
      <w:r w:rsidR="005C3B6B" w:rsidRPr="00C7601B">
        <w:rPr>
          <w:szCs w:val="24"/>
        </w:rPr>
        <w:t xml:space="preserve">, [1978] 1 R.C.S. 851; </w:t>
      </w:r>
      <w:proofErr w:type="spellStart"/>
      <w:r w:rsidR="005C3B6B" w:rsidRPr="00C7601B">
        <w:rPr>
          <w:i/>
          <w:iCs/>
          <w:szCs w:val="24"/>
        </w:rPr>
        <w:t>Nowegijick</w:t>
      </w:r>
      <w:proofErr w:type="spellEnd"/>
      <w:r w:rsidR="005C3B6B" w:rsidRPr="00C7601B">
        <w:rPr>
          <w:i/>
          <w:iCs/>
          <w:szCs w:val="24"/>
        </w:rPr>
        <w:t xml:space="preserve"> c. </w:t>
      </w:r>
      <w:r w:rsidR="00646D47" w:rsidRPr="00C7601B">
        <w:rPr>
          <w:i/>
          <w:iCs/>
          <w:szCs w:val="24"/>
        </w:rPr>
        <w:t>La Reine</w:t>
      </w:r>
      <w:r w:rsidR="005C3B6B" w:rsidRPr="00C7601B">
        <w:rPr>
          <w:szCs w:val="24"/>
        </w:rPr>
        <w:t xml:space="preserve">, [1983] 1 R.C.S. 29; </w:t>
      </w:r>
      <w:r w:rsidR="005C3B6B" w:rsidRPr="00C7601B">
        <w:rPr>
          <w:i/>
          <w:szCs w:val="24"/>
        </w:rPr>
        <w:t>Canada (</w:t>
      </w:r>
      <w:r w:rsidR="00C91790" w:rsidRPr="00C7601B">
        <w:rPr>
          <w:i/>
          <w:szCs w:val="24"/>
        </w:rPr>
        <w:t>Procureur géné</w:t>
      </w:r>
      <w:r w:rsidR="005C3B6B" w:rsidRPr="00C7601B">
        <w:rPr>
          <w:i/>
          <w:szCs w:val="24"/>
        </w:rPr>
        <w:t xml:space="preserve">ral) c. Alliance </w:t>
      </w:r>
      <w:r w:rsidR="00C91790" w:rsidRPr="00C7601B">
        <w:rPr>
          <w:i/>
          <w:szCs w:val="24"/>
        </w:rPr>
        <w:t>de la Fonction publique du</w:t>
      </w:r>
      <w:r w:rsidR="005C3B6B" w:rsidRPr="00C7601B">
        <w:rPr>
          <w:i/>
          <w:szCs w:val="24"/>
        </w:rPr>
        <w:t xml:space="preserve"> Canada</w:t>
      </w:r>
      <w:r w:rsidR="005C3B6B" w:rsidRPr="00C7601B">
        <w:rPr>
          <w:szCs w:val="24"/>
        </w:rPr>
        <w:t xml:space="preserve">, [1991] 1 R.C.S. 614; </w:t>
      </w:r>
      <w:proofErr w:type="spellStart"/>
      <w:r w:rsidR="005C3B6B" w:rsidRPr="00C7601B">
        <w:rPr>
          <w:i/>
          <w:szCs w:val="24"/>
        </w:rPr>
        <w:t>Morguard</w:t>
      </w:r>
      <w:proofErr w:type="spellEnd"/>
      <w:r w:rsidR="005C3B6B" w:rsidRPr="00C7601B">
        <w:rPr>
          <w:i/>
          <w:szCs w:val="24"/>
        </w:rPr>
        <w:t xml:space="preserve"> </w:t>
      </w:r>
      <w:proofErr w:type="spellStart"/>
      <w:r w:rsidR="005C3B6B" w:rsidRPr="00C7601B">
        <w:rPr>
          <w:i/>
          <w:szCs w:val="24"/>
        </w:rPr>
        <w:t>Properties</w:t>
      </w:r>
      <w:proofErr w:type="spellEnd"/>
      <w:r w:rsidR="005C3B6B" w:rsidRPr="00C7601B">
        <w:rPr>
          <w:i/>
          <w:szCs w:val="24"/>
        </w:rPr>
        <w:t xml:space="preserve"> Ltd. c. </w:t>
      </w:r>
      <w:r w:rsidR="00C91790" w:rsidRPr="00C7601B">
        <w:rPr>
          <w:i/>
          <w:szCs w:val="24"/>
        </w:rPr>
        <w:t xml:space="preserve">Ville de </w:t>
      </w:r>
      <w:r w:rsidR="005C3B6B" w:rsidRPr="00C7601B">
        <w:rPr>
          <w:i/>
          <w:szCs w:val="24"/>
        </w:rPr>
        <w:t>Winnipeg</w:t>
      </w:r>
      <w:r w:rsidR="005C3B6B" w:rsidRPr="00C7601B">
        <w:rPr>
          <w:szCs w:val="24"/>
        </w:rPr>
        <w:t xml:space="preserve">, [1983] 2 R.C.S. 493; </w:t>
      </w:r>
      <w:r w:rsidR="005C3B6B" w:rsidRPr="00C7601B">
        <w:rPr>
          <w:i/>
          <w:szCs w:val="24"/>
        </w:rPr>
        <w:t xml:space="preserve">Bell Canada c. Bell </w:t>
      </w:r>
      <w:proofErr w:type="spellStart"/>
      <w:r w:rsidR="005C3B6B" w:rsidRPr="00C7601B">
        <w:rPr>
          <w:i/>
          <w:szCs w:val="24"/>
        </w:rPr>
        <w:t>Aliant</w:t>
      </w:r>
      <w:proofErr w:type="spellEnd"/>
      <w:r w:rsidR="005C3B6B" w:rsidRPr="00C7601B">
        <w:rPr>
          <w:i/>
          <w:szCs w:val="24"/>
        </w:rPr>
        <w:t xml:space="preserve"> Communications</w:t>
      </w:r>
      <w:r w:rsidR="00C91790" w:rsidRPr="00C7601B">
        <w:rPr>
          <w:i/>
          <w:szCs w:val="24"/>
        </w:rPr>
        <w:t xml:space="preserve"> régionales</w:t>
      </w:r>
      <w:r w:rsidR="005C3B6B" w:rsidRPr="00C7601B">
        <w:rPr>
          <w:szCs w:val="24"/>
        </w:rPr>
        <w:t>, 2</w:t>
      </w:r>
      <w:r w:rsidR="00C91790" w:rsidRPr="00C7601B">
        <w:rPr>
          <w:szCs w:val="24"/>
        </w:rPr>
        <w:t>009 CSC 40, [2009] 2 R.C.S. 764</w:t>
      </w:r>
      <w:r w:rsidR="005C3B6B" w:rsidRPr="00C7601B">
        <w:rPr>
          <w:szCs w:val="24"/>
        </w:rPr>
        <w:t>.</w:t>
      </w:r>
    </w:p>
    <w:p w:rsidR="00231F3A" w:rsidRPr="00C7601B" w:rsidRDefault="0043088E" w:rsidP="00FB353F">
      <w:pPr>
        <w:pStyle w:val="SCCNormalDoubleSpacing"/>
        <w:keepNext/>
        <w:spacing w:after="720" w:line="240" w:lineRule="auto"/>
        <w:rPr>
          <w:b/>
          <w:szCs w:val="24"/>
        </w:rPr>
      </w:pPr>
      <w:r w:rsidRPr="00C7601B">
        <w:rPr>
          <w:b/>
          <w:szCs w:val="24"/>
        </w:rPr>
        <w:t>Lois</w:t>
      </w:r>
      <w:r w:rsidR="002E6705" w:rsidRPr="00C7601B">
        <w:rPr>
          <w:b/>
          <w:szCs w:val="24"/>
        </w:rPr>
        <w:t xml:space="preserve"> </w:t>
      </w:r>
      <w:r w:rsidR="008A6558" w:rsidRPr="00C7601B">
        <w:rPr>
          <w:b/>
          <w:szCs w:val="24"/>
        </w:rPr>
        <w:t>et</w:t>
      </w:r>
      <w:r w:rsidR="002E6705" w:rsidRPr="00C7601B">
        <w:rPr>
          <w:b/>
          <w:szCs w:val="24"/>
        </w:rPr>
        <w:t xml:space="preserve"> </w:t>
      </w:r>
      <w:r w:rsidRPr="00C7601B">
        <w:rPr>
          <w:b/>
          <w:szCs w:val="24"/>
        </w:rPr>
        <w:t>rè</w:t>
      </w:r>
      <w:r w:rsidR="002E6705" w:rsidRPr="00C7601B">
        <w:rPr>
          <w:b/>
          <w:szCs w:val="24"/>
        </w:rPr>
        <w:t>gl</w:t>
      </w:r>
      <w:r w:rsidRPr="00C7601B">
        <w:rPr>
          <w:b/>
          <w:szCs w:val="24"/>
        </w:rPr>
        <w:t>ements</w:t>
      </w:r>
      <w:r w:rsidR="002E6705" w:rsidRPr="00C7601B">
        <w:rPr>
          <w:b/>
          <w:szCs w:val="24"/>
        </w:rPr>
        <w:t xml:space="preserve"> </w:t>
      </w:r>
      <w:r w:rsidRPr="00C7601B">
        <w:rPr>
          <w:b/>
          <w:szCs w:val="24"/>
        </w:rPr>
        <w:t>c</w:t>
      </w:r>
      <w:r w:rsidR="002E6705" w:rsidRPr="00C7601B">
        <w:rPr>
          <w:b/>
          <w:szCs w:val="24"/>
        </w:rPr>
        <w:t>it</w:t>
      </w:r>
      <w:r w:rsidRPr="00C7601B">
        <w:rPr>
          <w:b/>
          <w:szCs w:val="24"/>
        </w:rPr>
        <w:t>és</w:t>
      </w:r>
    </w:p>
    <w:p w:rsidR="00394B8C" w:rsidRPr="00C7601B" w:rsidRDefault="00394B8C" w:rsidP="00FB353F">
      <w:pPr>
        <w:pStyle w:val="SCCNormalDoubleSpacing"/>
        <w:spacing w:after="240" w:line="240" w:lineRule="auto"/>
        <w:ind w:left="547" w:hanging="547"/>
        <w:rPr>
          <w:i/>
          <w:szCs w:val="24"/>
        </w:rPr>
      </w:pPr>
      <w:proofErr w:type="gramStart"/>
      <w:r w:rsidRPr="00C7601B">
        <w:rPr>
          <w:i/>
          <w:szCs w:val="24"/>
          <w:lang w:val="en-US"/>
        </w:rPr>
        <w:t>Alberta Human Rights Act</w:t>
      </w:r>
      <w:r w:rsidRPr="00C7601B">
        <w:rPr>
          <w:szCs w:val="24"/>
          <w:lang w:val="en-US"/>
        </w:rPr>
        <w:t xml:space="preserve">, R.S.A. 2000, </w:t>
      </w:r>
      <w:proofErr w:type="spellStart"/>
      <w:r w:rsidR="00FB353F" w:rsidRPr="00C7601B">
        <w:rPr>
          <w:szCs w:val="24"/>
          <w:lang w:val="en-US"/>
        </w:rPr>
        <w:t>ch</w:t>
      </w:r>
      <w:proofErr w:type="spellEnd"/>
      <w:r w:rsidR="00FB353F" w:rsidRPr="00C7601B">
        <w:rPr>
          <w:szCs w:val="24"/>
          <w:lang w:val="en-US"/>
        </w:rPr>
        <w:t>.</w:t>
      </w:r>
      <w:r w:rsidR="00FC4A5B" w:rsidRPr="00C7601B">
        <w:rPr>
          <w:szCs w:val="24"/>
          <w:lang w:val="en-US"/>
        </w:rPr>
        <w:t xml:space="preserve"> </w:t>
      </w:r>
      <w:r w:rsidRPr="00C7601B">
        <w:rPr>
          <w:szCs w:val="24"/>
        </w:rPr>
        <w:t>A</w:t>
      </w:r>
      <w:r w:rsidR="004A4BD5">
        <w:rPr>
          <w:szCs w:val="24"/>
        </w:rPr>
        <w:t>-</w:t>
      </w:r>
      <w:r w:rsidRPr="00C7601B">
        <w:rPr>
          <w:szCs w:val="24"/>
        </w:rPr>
        <w:t xml:space="preserve">25.5, </w:t>
      </w:r>
      <w:r w:rsidR="00FB353F" w:rsidRPr="00C7601B">
        <w:rPr>
          <w:szCs w:val="24"/>
        </w:rPr>
        <w:t>art.</w:t>
      </w:r>
      <w:proofErr w:type="gramEnd"/>
      <w:r w:rsidR="00C7601B" w:rsidRPr="00C7601B">
        <w:rPr>
          <w:szCs w:val="24"/>
        </w:rPr>
        <w:t> </w:t>
      </w:r>
      <w:r w:rsidRPr="00C7601B">
        <w:rPr>
          <w:szCs w:val="24"/>
        </w:rPr>
        <w:t>32(2).</w:t>
      </w:r>
    </w:p>
    <w:p w:rsidR="00394B8C" w:rsidRPr="00C7601B" w:rsidRDefault="00394B8C" w:rsidP="00FB353F">
      <w:pPr>
        <w:pStyle w:val="SCCNormalDoubleSpacing"/>
        <w:spacing w:after="240" w:line="240" w:lineRule="auto"/>
        <w:ind w:left="547" w:hanging="547"/>
        <w:rPr>
          <w:szCs w:val="24"/>
        </w:rPr>
      </w:pPr>
      <w:r w:rsidRPr="00C7601B">
        <w:rPr>
          <w:i/>
          <w:szCs w:val="24"/>
        </w:rPr>
        <w:t>Charte des droits et libertés de la personne</w:t>
      </w:r>
      <w:r w:rsidRPr="00C7601B">
        <w:rPr>
          <w:szCs w:val="24"/>
        </w:rPr>
        <w:t xml:space="preserve">, L.R.Q., </w:t>
      </w:r>
      <w:r w:rsidR="00FB353F" w:rsidRPr="00C7601B">
        <w:rPr>
          <w:szCs w:val="24"/>
        </w:rPr>
        <w:t>ch.</w:t>
      </w:r>
      <w:r w:rsidR="00FC4A5B" w:rsidRPr="00C7601B">
        <w:rPr>
          <w:szCs w:val="24"/>
        </w:rPr>
        <w:t xml:space="preserve"> </w:t>
      </w:r>
      <w:r w:rsidRPr="00C7601B">
        <w:rPr>
          <w:szCs w:val="24"/>
        </w:rPr>
        <w:t>C</w:t>
      </w:r>
      <w:r w:rsidR="004A4BD5">
        <w:rPr>
          <w:szCs w:val="24"/>
        </w:rPr>
        <w:t>-</w:t>
      </w:r>
      <w:r w:rsidRPr="00C7601B">
        <w:rPr>
          <w:szCs w:val="24"/>
        </w:rPr>
        <w:t xml:space="preserve">12, </w:t>
      </w:r>
      <w:r w:rsidR="00FB353F" w:rsidRPr="00C7601B">
        <w:rPr>
          <w:szCs w:val="24"/>
        </w:rPr>
        <w:t>art.</w:t>
      </w:r>
      <w:r w:rsidR="00C7601B" w:rsidRPr="00C7601B">
        <w:rPr>
          <w:szCs w:val="24"/>
        </w:rPr>
        <w:t> </w:t>
      </w:r>
      <w:r w:rsidRPr="00C7601B">
        <w:rPr>
          <w:szCs w:val="24"/>
        </w:rPr>
        <w:t>126.</w:t>
      </w:r>
    </w:p>
    <w:p w:rsidR="00394B8C" w:rsidRPr="00C7601B" w:rsidRDefault="00394B8C" w:rsidP="00FB353F">
      <w:pPr>
        <w:pStyle w:val="SCCNormalDoubleSpacing"/>
        <w:spacing w:after="240" w:line="240" w:lineRule="auto"/>
        <w:ind w:left="547" w:hanging="547"/>
        <w:rPr>
          <w:szCs w:val="24"/>
        </w:rPr>
      </w:pPr>
      <w:r w:rsidRPr="00C7601B">
        <w:rPr>
          <w:i/>
          <w:szCs w:val="24"/>
        </w:rPr>
        <w:t>Code des droits de la personne</w:t>
      </w:r>
      <w:r w:rsidR="00D452B7" w:rsidRPr="00C7601B">
        <w:rPr>
          <w:szCs w:val="24"/>
        </w:rPr>
        <w:t>, L.M. 1987</w:t>
      </w:r>
      <w:r w:rsidR="00C7601B" w:rsidRPr="00C7601B">
        <w:rPr>
          <w:szCs w:val="24"/>
        </w:rPr>
        <w:t>-</w:t>
      </w:r>
      <w:r w:rsidR="00D452B7" w:rsidRPr="00C7601B">
        <w:rPr>
          <w:szCs w:val="24"/>
        </w:rPr>
        <w:t xml:space="preserve">88, </w:t>
      </w:r>
      <w:r w:rsidR="00FB353F" w:rsidRPr="00C7601B">
        <w:rPr>
          <w:szCs w:val="24"/>
        </w:rPr>
        <w:t>ch.</w:t>
      </w:r>
      <w:r w:rsidR="00FC4A5B" w:rsidRPr="00C7601B">
        <w:rPr>
          <w:szCs w:val="24"/>
        </w:rPr>
        <w:t xml:space="preserve"> </w:t>
      </w:r>
      <w:r w:rsidR="00D452B7" w:rsidRPr="00C7601B">
        <w:rPr>
          <w:szCs w:val="24"/>
        </w:rPr>
        <w:t>45</w:t>
      </w:r>
      <w:r w:rsidR="00C327A7" w:rsidRPr="00C7601B">
        <w:rPr>
          <w:szCs w:val="24"/>
        </w:rPr>
        <w:t xml:space="preserve">, </w:t>
      </w:r>
      <w:r w:rsidR="00FB353F" w:rsidRPr="00C7601B">
        <w:rPr>
          <w:szCs w:val="24"/>
        </w:rPr>
        <w:t>art.</w:t>
      </w:r>
      <w:r w:rsidR="00C7601B" w:rsidRPr="00C7601B">
        <w:rPr>
          <w:szCs w:val="24"/>
        </w:rPr>
        <w:t> </w:t>
      </w:r>
      <w:r w:rsidRPr="00C7601B">
        <w:rPr>
          <w:szCs w:val="24"/>
        </w:rPr>
        <w:t>45</w:t>
      </w:r>
      <w:r w:rsidR="00CC620E" w:rsidRPr="00C7601B">
        <w:rPr>
          <w:szCs w:val="24"/>
        </w:rPr>
        <w:t>(2)</w:t>
      </w:r>
      <w:r w:rsidRPr="00C7601B">
        <w:rPr>
          <w:szCs w:val="24"/>
        </w:rPr>
        <w:t>.</w:t>
      </w:r>
    </w:p>
    <w:p w:rsidR="00394B8C" w:rsidRPr="00C7601B" w:rsidRDefault="00394B8C" w:rsidP="00FB353F">
      <w:pPr>
        <w:pStyle w:val="SCCNormalDoubleSpacing"/>
        <w:spacing w:after="240" w:line="240" w:lineRule="auto"/>
        <w:ind w:left="547" w:hanging="547"/>
        <w:rPr>
          <w:i/>
          <w:szCs w:val="24"/>
          <w:lang w:val="en-CA"/>
        </w:rPr>
      </w:pPr>
      <w:proofErr w:type="gramStart"/>
      <w:r w:rsidRPr="00C7601B">
        <w:rPr>
          <w:i/>
          <w:szCs w:val="24"/>
          <w:lang w:val="en-CA"/>
        </w:rPr>
        <w:t>Human Rights Act</w:t>
      </w:r>
      <w:r w:rsidRPr="00C7601B">
        <w:rPr>
          <w:szCs w:val="24"/>
          <w:lang w:val="en-CA"/>
        </w:rPr>
        <w:t xml:space="preserve">, R.S.P.E.I. 1988, </w:t>
      </w:r>
      <w:proofErr w:type="spellStart"/>
      <w:r w:rsidR="00FB353F" w:rsidRPr="00C7601B">
        <w:rPr>
          <w:szCs w:val="24"/>
          <w:lang w:val="en-CA"/>
        </w:rPr>
        <w:t>ch</w:t>
      </w:r>
      <w:proofErr w:type="spellEnd"/>
      <w:r w:rsidR="00FB353F" w:rsidRPr="00C7601B">
        <w:rPr>
          <w:szCs w:val="24"/>
          <w:lang w:val="en-CA"/>
        </w:rPr>
        <w:t>.</w:t>
      </w:r>
      <w:r w:rsidR="00FC4A5B" w:rsidRPr="00C7601B">
        <w:rPr>
          <w:szCs w:val="24"/>
          <w:lang w:val="en-CA"/>
        </w:rPr>
        <w:t xml:space="preserve"> </w:t>
      </w:r>
      <w:r w:rsidRPr="00C7601B">
        <w:rPr>
          <w:szCs w:val="24"/>
          <w:lang w:val="en-CA"/>
        </w:rPr>
        <w:t>H</w:t>
      </w:r>
      <w:r w:rsidR="004A4BD5">
        <w:rPr>
          <w:szCs w:val="24"/>
          <w:lang w:val="en-CA"/>
        </w:rPr>
        <w:t>-</w:t>
      </w:r>
      <w:r w:rsidRPr="00C7601B">
        <w:rPr>
          <w:szCs w:val="24"/>
          <w:lang w:val="en-CA"/>
        </w:rPr>
        <w:t xml:space="preserve">12, </w:t>
      </w:r>
      <w:r w:rsidR="00FB353F" w:rsidRPr="00C7601B">
        <w:rPr>
          <w:szCs w:val="24"/>
          <w:lang w:val="en-CA"/>
        </w:rPr>
        <w:t>art.</w:t>
      </w:r>
      <w:proofErr w:type="gramEnd"/>
      <w:r w:rsidR="00C7601B" w:rsidRPr="00C7601B">
        <w:rPr>
          <w:szCs w:val="24"/>
          <w:lang w:val="en-CA"/>
        </w:rPr>
        <w:t> </w:t>
      </w:r>
      <w:proofErr w:type="gramStart"/>
      <w:r w:rsidRPr="00C7601B">
        <w:rPr>
          <w:szCs w:val="24"/>
          <w:lang w:val="en-CA"/>
        </w:rPr>
        <w:t>28.4(6).</w:t>
      </w:r>
      <w:proofErr w:type="gramEnd"/>
    </w:p>
    <w:p w:rsidR="00394B8C" w:rsidRPr="00C7601B" w:rsidRDefault="00394B8C" w:rsidP="00FB353F">
      <w:pPr>
        <w:pStyle w:val="SCCNormalDoubleSpacing"/>
        <w:spacing w:after="240" w:line="240" w:lineRule="auto"/>
        <w:ind w:left="547" w:hanging="547"/>
        <w:rPr>
          <w:i/>
          <w:szCs w:val="24"/>
          <w:lang w:val="en-CA"/>
        </w:rPr>
      </w:pPr>
      <w:proofErr w:type="gramStart"/>
      <w:r w:rsidRPr="00C7601B">
        <w:rPr>
          <w:i/>
          <w:szCs w:val="24"/>
          <w:lang w:val="en-CA"/>
        </w:rPr>
        <w:t>Human Rights Act, 2010</w:t>
      </w:r>
      <w:r w:rsidRPr="00C7601B">
        <w:rPr>
          <w:szCs w:val="24"/>
          <w:lang w:val="en-CA"/>
        </w:rPr>
        <w:t xml:space="preserve">, S.N.L. 2010, </w:t>
      </w:r>
      <w:proofErr w:type="spellStart"/>
      <w:r w:rsidR="00FB353F" w:rsidRPr="00C7601B">
        <w:rPr>
          <w:szCs w:val="24"/>
          <w:lang w:val="en-CA"/>
        </w:rPr>
        <w:t>ch</w:t>
      </w:r>
      <w:proofErr w:type="spellEnd"/>
      <w:r w:rsidR="00FB353F" w:rsidRPr="00C7601B">
        <w:rPr>
          <w:szCs w:val="24"/>
          <w:lang w:val="en-CA"/>
        </w:rPr>
        <w:t>.</w:t>
      </w:r>
      <w:r w:rsidR="00FC4A5B" w:rsidRPr="00C7601B">
        <w:rPr>
          <w:szCs w:val="24"/>
          <w:lang w:val="en-CA"/>
        </w:rPr>
        <w:t xml:space="preserve"> </w:t>
      </w:r>
      <w:r w:rsidRPr="00C7601B">
        <w:rPr>
          <w:szCs w:val="24"/>
          <w:lang w:val="en-CA"/>
        </w:rPr>
        <w:t>H</w:t>
      </w:r>
      <w:r w:rsidR="004A4BD5">
        <w:rPr>
          <w:szCs w:val="24"/>
          <w:lang w:val="en-CA"/>
        </w:rPr>
        <w:t>-</w:t>
      </w:r>
      <w:r w:rsidRPr="00C7601B">
        <w:rPr>
          <w:szCs w:val="24"/>
          <w:lang w:val="en-CA"/>
        </w:rPr>
        <w:t xml:space="preserve">13.1, </w:t>
      </w:r>
      <w:r w:rsidR="00FB353F" w:rsidRPr="00C7601B">
        <w:rPr>
          <w:szCs w:val="24"/>
          <w:lang w:val="en-CA"/>
        </w:rPr>
        <w:t>art.</w:t>
      </w:r>
      <w:proofErr w:type="gramEnd"/>
      <w:r w:rsidR="00C7601B" w:rsidRPr="00C7601B">
        <w:rPr>
          <w:szCs w:val="24"/>
          <w:lang w:val="en-CA"/>
        </w:rPr>
        <w:t> </w:t>
      </w:r>
      <w:proofErr w:type="gramStart"/>
      <w:r w:rsidRPr="00C7601B">
        <w:rPr>
          <w:szCs w:val="24"/>
          <w:lang w:val="en-CA"/>
        </w:rPr>
        <w:t>39(2).</w:t>
      </w:r>
      <w:proofErr w:type="gramEnd"/>
    </w:p>
    <w:p w:rsidR="00394B8C" w:rsidRPr="00C7601B" w:rsidRDefault="00394B8C" w:rsidP="00C7601B">
      <w:pPr>
        <w:pStyle w:val="SCCNormalDoubleSpacing"/>
        <w:spacing w:after="240" w:line="240" w:lineRule="auto"/>
        <w:rPr>
          <w:szCs w:val="24"/>
          <w:lang w:val="en-CA"/>
        </w:rPr>
      </w:pPr>
      <w:proofErr w:type="gramStart"/>
      <w:r w:rsidRPr="00C7601B">
        <w:rPr>
          <w:i/>
          <w:szCs w:val="24"/>
          <w:lang w:val="en-CA"/>
        </w:rPr>
        <w:t>Human Rights Code</w:t>
      </w:r>
      <w:r w:rsidRPr="00C7601B">
        <w:rPr>
          <w:szCs w:val="24"/>
          <w:lang w:val="en-CA"/>
        </w:rPr>
        <w:t xml:space="preserve">, R.S.B.C. 1996, </w:t>
      </w:r>
      <w:proofErr w:type="spellStart"/>
      <w:r w:rsidR="00FB353F" w:rsidRPr="00C7601B">
        <w:rPr>
          <w:szCs w:val="24"/>
          <w:lang w:val="en-CA"/>
        </w:rPr>
        <w:t>ch</w:t>
      </w:r>
      <w:proofErr w:type="spellEnd"/>
      <w:r w:rsidR="00FB353F" w:rsidRPr="00C7601B">
        <w:rPr>
          <w:szCs w:val="24"/>
          <w:lang w:val="en-CA"/>
        </w:rPr>
        <w:t>.</w:t>
      </w:r>
      <w:r w:rsidR="00FC4A5B" w:rsidRPr="00C7601B">
        <w:rPr>
          <w:szCs w:val="24"/>
          <w:lang w:val="en-CA"/>
        </w:rPr>
        <w:t xml:space="preserve"> </w:t>
      </w:r>
      <w:r w:rsidRPr="00C7601B">
        <w:rPr>
          <w:szCs w:val="24"/>
          <w:lang w:val="en-CA"/>
        </w:rPr>
        <w:t xml:space="preserve">210, </w:t>
      </w:r>
      <w:r w:rsidR="00FB353F" w:rsidRPr="00C7601B">
        <w:rPr>
          <w:szCs w:val="24"/>
          <w:lang w:val="en-CA"/>
        </w:rPr>
        <w:t>art.</w:t>
      </w:r>
      <w:proofErr w:type="gramEnd"/>
      <w:r w:rsidR="00C7601B" w:rsidRPr="00C7601B">
        <w:rPr>
          <w:szCs w:val="24"/>
          <w:lang w:val="en-CA"/>
        </w:rPr>
        <w:t> </w:t>
      </w:r>
      <w:proofErr w:type="gramStart"/>
      <w:r w:rsidRPr="00C7601B">
        <w:rPr>
          <w:szCs w:val="24"/>
          <w:lang w:val="en-CA"/>
        </w:rPr>
        <w:t>37(4).</w:t>
      </w:r>
      <w:proofErr w:type="gramEnd"/>
    </w:p>
    <w:p w:rsidR="00394B8C" w:rsidRPr="00C7601B" w:rsidRDefault="00394B8C" w:rsidP="00FB353F">
      <w:pPr>
        <w:pStyle w:val="SCCNormalDoubleSpacing"/>
        <w:spacing w:after="240" w:line="240" w:lineRule="auto"/>
        <w:ind w:left="547" w:hanging="547"/>
        <w:rPr>
          <w:szCs w:val="24"/>
          <w:lang w:val="en-CA"/>
        </w:rPr>
      </w:pPr>
      <w:r w:rsidRPr="00C7601B">
        <w:rPr>
          <w:i/>
          <w:szCs w:val="24"/>
        </w:rPr>
        <w:t>Loi canadienne sur les droits de la personne</w:t>
      </w:r>
      <w:r w:rsidRPr="00C7601B">
        <w:rPr>
          <w:szCs w:val="24"/>
        </w:rPr>
        <w:t xml:space="preserve">, L.R.C. 1985, </w:t>
      </w:r>
      <w:r w:rsidR="00FB353F" w:rsidRPr="00C7601B">
        <w:rPr>
          <w:szCs w:val="24"/>
        </w:rPr>
        <w:t>ch.</w:t>
      </w:r>
      <w:r w:rsidR="00FC4A5B" w:rsidRPr="00C7601B">
        <w:rPr>
          <w:szCs w:val="24"/>
        </w:rPr>
        <w:t xml:space="preserve"> </w:t>
      </w:r>
      <w:r w:rsidRPr="004A4BD5">
        <w:rPr>
          <w:szCs w:val="24"/>
          <w:lang w:val="en-US"/>
        </w:rPr>
        <w:t>H</w:t>
      </w:r>
      <w:r w:rsidR="004A4BD5">
        <w:rPr>
          <w:szCs w:val="24"/>
          <w:lang w:val="en-US"/>
        </w:rPr>
        <w:t>-</w:t>
      </w:r>
      <w:r w:rsidRPr="004A4BD5">
        <w:rPr>
          <w:szCs w:val="24"/>
          <w:lang w:val="en-US"/>
        </w:rPr>
        <w:t xml:space="preserve">6, </w:t>
      </w:r>
      <w:r w:rsidR="00FB353F" w:rsidRPr="004A4BD5">
        <w:rPr>
          <w:szCs w:val="24"/>
          <w:lang w:val="en-US"/>
        </w:rPr>
        <w:t>art.</w:t>
      </w:r>
      <w:r w:rsidR="00FC4A5B" w:rsidRPr="004A4BD5">
        <w:rPr>
          <w:szCs w:val="24"/>
          <w:lang w:val="en-US"/>
        </w:rPr>
        <w:t xml:space="preserve"> </w:t>
      </w:r>
      <w:proofErr w:type="gramStart"/>
      <w:r w:rsidRPr="004A4BD5">
        <w:rPr>
          <w:szCs w:val="24"/>
          <w:lang w:val="en-US"/>
        </w:rPr>
        <w:t>7, 14, 51</w:t>
      </w:r>
      <w:r w:rsidR="00E556D7" w:rsidRPr="004A4BD5">
        <w:rPr>
          <w:szCs w:val="24"/>
          <w:lang w:val="en-US"/>
        </w:rPr>
        <w:t xml:space="preserve"> </w:t>
      </w:r>
      <w:r w:rsidR="00CC620E" w:rsidRPr="004A4BD5">
        <w:rPr>
          <w:szCs w:val="24"/>
          <w:lang w:val="en-US"/>
        </w:rPr>
        <w:t>[</w:t>
      </w:r>
      <w:proofErr w:type="spellStart"/>
      <w:r w:rsidR="00CC620E" w:rsidRPr="004A4BD5">
        <w:rPr>
          <w:szCs w:val="24"/>
          <w:lang w:val="en-US"/>
        </w:rPr>
        <w:t>rempl</w:t>
      </w:r>
      <w:proofErr w:type="spellEnd"/>
      <w:r w:rsidR="00CC620E" w:rsidRPr="004A4BD5">
        <w:rPr>
          <w:szCs w:val="24"/>
          <w:lang w:val="en-US"/>
        </w:rPr>
        <w:t xml:space="preserve">. </w:t>
      </w:r>
      <w:r w:rsidR="00CC620E" w:rsidRPr="00C7601B">
        <w:rPr>
          <w:szCs w:val="24"/>
          <w:lang w:val="en-CA"/>
        </w:rPr>
        <w:t xml:space="preserve">1998, </w:t>
      </w:r>
      <w:proofErr w:type="spellStart"/>
      <w:r w:rsidR="00FB353F" w:rsidRPr="00C7601B">
        <w:rPr>
          <w:szCs w:val="24"/>
          <w:lang w:val="en-CA"/>
        </w:rPr>
        <w:t>ch</w:t>
      </w:r>
      <w:proofErr w:type="spellEnd"/>
      <w:r w:rsidR="00FB353F" w:rsidRPr="00C7601B">
        <w:rPr>
          <w:szCs w:val="24"/>
          <w:lang w:val="en-CA"/>
        </w:rPr>
        <w:t>.</w:t>
      </w:r>
      <w:r w:rsidR="00FC4A5B" w:rsidRPr="00C7601B">
        <w:rPr>
          <w:szCs w:val="24"/>
          <w:lang w:val="en-CA"/>
        </w:rPr>
        <w:t xml:space="preserve"> </w:t>
      </w:r>
      <w:r w:rsidR="00CC620E" w:rsidRPr="00C7601B">
        <w:rPr>
          <w:szCs w:val="24"/>
          <w:lang w:val="en-CA"/>
        </w:rPr>
        <w:t xml:space="preserve">9, </w:t>
      </w:r>
      <w:r w:rsidR="00FB353F" w:rsidRPr="00C7601B">
        <w:rPr>
          <w:szCs w:val="24"/>
          <w:lang w:val="en-CA"/>
        </w:rPr>
        <w:t>art.</w:t>
      </w:r>
      <w:r w:rsidR="00FC4A5B" w:rsidRPr="00C7601B">
        <w:rPr>
          <w:szCs w:val="24"/>
          <w:lang w:val="en-CA"/>
        </w:rPr>
        <w:t xml:space="preserve"> </w:t>
      </w:r>
      <w:r w:rsidR="00CC620E" w:rsidRPr="00C7601B">
        <w:rPr>
          <w:szCs w:val="24"/>
          <w:lang w:val="en-CA"/>
        </w:rPr>
        <w:t>27], 53 [</w:t>
      </w:r>
      <w:r w:rsidR="00CC620E" w:rsidRPr="00C7601B">
        <w:rPr>
          <w:i/>
          <w:szCs w:val="24"/>
          <w:lang w:val="en-CA"/>
        </w:rPr>
        <w:t>idem</w:t>
      </w:r>
      <w:r w:rsidR="00CC620E" w:rsidRPr="00C7601B">
        <w:rPr>
          <w:szCs w:val="24"/>
          <w:lang w:val="en-CA"/>
        </w:rPr>
        <w:t>]</w:t>
      </w:r>
      <w:r w:rsidRPr="00C7601B">
        <w:rPr>
          <w:szCs w:val="24"/>
          <w:lang w:val="en-CA"/>
        </w:rPr>
        <w:t>.</w:t>
      </w:r>
      <w:proofErr w:type="gramEnd"/>
    </w:p>
    <w:p w:rsidR="00E872EA" w:rsidRPr="00C7601B" w:rsidRDefault="00E872EA" w:rsidP="00FB353F">
      <w:pPr>
        <w:pStyle w:val="SCCNormalDoubleSpacing"/>
        <w:spacing w:after="240" w:line="240" w:lineRule="auto"/>
        <w:ind w:left="547" w:hanging="547"/>
        <w:rPr>
          <w:szCs w:val="24"/>
        </w:rPr>
      </w:pPr>
      <w:r w:rsidRPr="00C7601B">
        <w:rPr>
          <w:i/>
          <w:szCs w:val="24"/>
        </w:rPr>
        <w:t>Loi modifiant la Loi canadienne sur les droits de la personne et d’autres lois en conséquence</w:t>
      </w:r>
      <w:r w:rsidRPr="00C7601B">
        <w:rPr>
          <w:szCs w:val="24"/>
        </w:rPr>
        <w:t>, projet de loi C</w:t>
      </w:r>
      <w:r w:rsidR="004A4BD5">
        <w:rPr>
          <w:szCs w:val="24"/>
        </w:rPr>
        <w:t>-</w:t>
      </w:r>
      <w:r w:rsidRPr="00C7601B">
        <w:rPr>
          <w:szCs w:val="24"/>
        </w:rPr>
        <w:t>108, 3</w:t>
      </w:r>
      <w:r w:rsidRPr="00C7601B">
        <w:rPr>
          <w:szCs w:val="24"/>
          <w:vertAlign w:val="superscript"/>
        </w:rPr>
        <w:t>e</w:t>
      </w:r>
      <w:r w:rsidRPr="00C7601B">
        <w:rPr>
          <w:szCs w:val="24"/>
        </w:rPr>
        <w:t xml:space="preserve"> </w:t>
      </w:r>
      <w:proofErr w:type="spellStart"/>
      <w:r w:rsidRPr="00C7601B">
        <w:rPr>
          <w:szCs w:val="24"/>
        </w:rPr>
        <w:t>sess</w:t>
      </w:r>
      <w:proofErr w:type="spellEnd"/>
      <w:r w:rsidRPr="00C7601B">
        <w:rPr>
          <w:szCs w:val="24"/>
        </w:rPr>
        <w:t>., 34</w:t>
      </w:r>
      <w:r w:rsidRPr="00C7601B">
        <w:rPr>
          <w:szCs w:val="24"/>
          <w:vertAlign w:val="superscript"/>
        </w:rPr>
        <w:t>e</w:t>
      </w:r>
      <w:r w:rsidRPr="00C7601B">
        <w:rPr>
          <w:szCs w:val="24"/>
        </w:rPr>
        <w:t xml:space="preserve"> </w:t>
      </w:r>
      <w:proofErr w:type="spellStart"/>
      <w:r w:rsidRPr="00C7601B">
        <w:rPr>
          <w:szCs w:val="24"/>
        </w:rPr>
        <w:t>lég</w:t>
      </w:r>
      <w:proofErr w:type="spellEnd"/>
      <w:r w:rsidRPr="00C7601B">
        <w:rPr>
          <w:szCs w:val="24"/>
        </w:rPr>
        <w:t>., 1991</w:t>
      </w:r>
      <w:r w:rsidR="00C7601B" w:rsidRPr="00C7601B">
        <w:rPr>
          <w:szCs w:val="24"/>
        </w:rPr>
        <w:t>-</w:t>
      </w:r>
      <w:r w:rsidRPr="00C7601B">
        <w:rPr>
          <w:szCs w:val="24"/>
        </w:rPr>
        <w:t xml:space="preserve">92, </w:t>
      </w:r>
      <w:r w:rsidR="00FB353F" w:rsidRPr="00C7601B">
        <w:rPr>
          <w:szCs w:val="24"/>
        </w:rPr>
        <w:t>art.</w:t>
      </w:r>
      <w:r w:rsidR="00FC4A5B" w:rsidRPr="00C7601B">
        <w:rPr>
          <w:szCs w:val="24"/>
        </w:rPr>
        <w:t xml:space="preserve"> </w:t>
      </w:r>
      <w:r w:rsidRPr="00C7601B">
        <w:rPr>
          <w:szCs w:val="24"/>
        </w:rPr>
        <w:t>21, 24(3).</w:t>
      </w:r>
    </w:p>
    <w:p w:rsidR="00E872EA" w:rsidRPr="00C7601B" w:rsidRDefault="001150FD" w:rsidP="00FB353F">
      <w:pPr>
        <w:pStyle w:val="SCCNormalDoubleSpacing"/>
        <w:spacing w:after="240" w:line="240" w:lineRule="auto"/>
        <w:ind w:left="547" w:hanging="547"/>
        <w:rPr>
          <w:szCs w:val="24"/>
        </w:rPr>
      </w:pPr>
      <w:r w:rsidRPr="00C7601B">
        <w:rPr>
          <w:i/>
          <w:szCs w:val="24"/>
        </w:rPr>
        <w:t>Loi sur l’exercic</w:t>
      </w:r>
      <w:r w:rsidR="00E872EA" w:rsidRPr="00C7601B">
        <w:rPr>
          <w:i/>
          <w:szCs w:val="24"/>
        </w:rPr>
        <w:t>e des compétences légales</w:t>
      </w:r>
      <w:r w:rsidR="00E872EA" w:rsidRPr="00C7601B">
        <w:rPr>
          <w:szCs w:val="24"/>
        </w:rPr>
        <w:t xml:space="preserve">, L.R.O. 1990, </w:t>
      </w:r>
      <w:r w:rsidR="00FB353F" w:rsidRPr="00C7601B">
        <w:rPr>
          <w:szCs w:val="24"/>
        </w:rPr>
        <w:t>ch.</w:t>
      </w:r>
      <w:r w:rsidR="00FC4A5B" w:rsidRPr="00C7601B">
        <w:rPr>
          <w:szCs w:val="24"/>
        </w:rPr>
        <w:t xml:space="preserve"> </w:t>
      </w:r>
      <w:r w:rsidR="00E872EA" w:rsidRPr="00C7601B">
        <w:rPr>
          <w:szCs w:val="24"/>
        </w:rPr>
        <w:t xml:space="preserve">S.22, </w:t>
      </w:r>
      <w:r w:rsidR="00FB353F" w:rsidRPr="00C7601B">
        <w:rPr>
          <w:szCs w:val="24"/>
        </w:rPr>
        <w:t>art.</w:t>
      </w:r>
      <w:r w:rsidR="00C7601B" w:rsidRPr="00C7601B">
        <w:rPr>
          <w:szCs w:val="24"/>
        </w:rPr>
        <w:t> </w:t>
      </w:r>
      <w:r w:rsidR="00E872EA" w:rsidRPr="00C7601B">
        <w:rPr>
          <w:szCs w:val="24"/>
        </w:rPr>
        <w:t>17.1</w:t>
      </w:r>
      <w:r w:rsidR="00E556D7" w:rsidRPr="00C7601B">
        <w:rPr>
          <w:szCs w:val="24"/>
        </w:rPr>
        <w:t>(2)</w:t>
      </w:r>
      <w:r w:rsidR="00E872EA" w:rsidRPr="00C7601B">
        <w:rPr>
          <w:szCs w:val="24"/>
        </w:rPr>
        <w:t>.</w:t>
      </w:r>
    </w:p>
    <w:p w:rsidR="001150FD" w:rsidRPr="00C7601B" w:rsidRDefault="001150FD" w:rsidP="001150FD">
      <w:pPr>
        <w:pStyle w:val="SCCNormalDoubleSpacing"/>
        <w:spacing w:after="240" w:line="240" w:lineRule="auto"/>
        <w:ind w:left="547" w:hanging="547"/>
        <w:rPr>
          <w:i/>
          <w:szCs w:val="24"/>
        </w:rPr>
      </w:pPr>
      <w:r w:rsidRPr="00C7601B">
        <w:rPr>
          <w:i/>
          <w:szCs w:val="24"/>
        </w:rPr>
        <w:t>Loi sur les droits de la personne</w:t>
      </w:r>
      <w:r w:rsidRPr="00C7601B">
        <w:rPr>
          <w:szCs w:val="24"/>
        </w:rPr>
        <w:t>, L.T.N.</w:t>
      </w:r>
      <w:r w:rsidR="004A4BD5">
        <w:rPr>
          <w:szCs w:val="24"/>
        </w:rPr>
        <w:t>-</w:t>
      </w:r>
      <w:r w:rsidRPr="00C7601B">
        <w:rPr>
          <w:szCs w:val="24"/>
        </w:rPr>
        <w:t>O. 2002, ch.</w:t>
      </w:r>
      <w:r w:rsidR="00FC4A5B" w:rsidRPr="00C7601B">
        <w:rPr>
          <w:szCs w:val="24"/>
        </w:rPr>
        <w:t xml:space="preserve"> </w:t>
      </w:r>
      <w:r w:rsidRPr="00C7601B">
        <w:rPr>
          <w:szCs w:val="24"/>
        </w:rPr>
        <w:t>18, art.</w:t>
      </w:r>
      <w:r w:rsidR="00C7601B" w:rsidRPr="00C7601B">
        <w:rPr>
          <w:szCs w:val="24"/>
        </w:rPr>
        <w:t> </w:t>
      </w:r>
      <w:r w:rsidRPr="00C7601B">
        <w:rPr>
          <w:szCs w:val="24"/>
        </w:rPr>
        <w:t>63.</w:t>
      </w:r>
    </w:p>
    <w:p w:rsidR="003E0B0B" w:rsidRPr="00C7601B" w:rsidRDefault="003E0B0B" w:rsidP="00FB353F">
      <w:pPr>
        <w:pStyle w:val="SCCNormalDoubleSpacing"/>
        <w:spacing w:after="240" w:line="240" w:lineRule="auto"/>
        <w:ind w:left="547" w:hanging="547"/>
        <w:rPr>
          <w:szCs w:val="24"/>
        </w:rPr>
      </w:pPr>
      <w:r w:rsidRPr="00C7601B">
        <w:rPr>
          <w:i/>
          <w:szCs w:val="24"/>
        </w:rPr>
        <w:t>Loi visant à compléter la législation canadienne actuelle en matière de discrimination et de protection de la vie privée</w:t>
      </w:r>
      <w:r w:rsidRPr="00C7601B">
        <w:rPr>
          <w:szCs w:val="24"/>
        </w:rPr>
        <w:t xml:space="preserve">, </w:t>
      </w:r>
      <w:r w:rsidR="00E872EA" w:rsidRPr="00C7601B">
        <w:rPr>
          <w:szCs w:val="24"/>
        </w:rPr>
        <w:t>projet de loi C</w:t>
      </w:r>
      <w:r w:rsidR="004A4BD5">
        <w:rPr>
          <w:szCs w:val="24"/>
        </w:rPr>
        <w:t>-</w:t>
      </w:r>
      <w:r w:rsidR="00E872EA" w:rsidRPr="00C7601B">
        <w:rPr>
          <w:szCs w:val="24"/>
        </w:rPr>
        <w:t xml:space="preserve">72, </w:t>
      </w:r>
      <w:r w:rsidRPr="00C7601B">
        <w:rPr>
          <w:szCs w:val="24"/>
        </w:rPr>
        <w:t>1</w:t>
      </w:r>
      <w:r w:rsidRPr="00C7601B">
        <w:rPr>
          <w:szCs w:val="24"/>
          <w:vertAlign w:val="superscript"/>
        </w:rPr>
        <w:t>re</w:t>
      </w:r>
      <w:r w:rsidRPr="00C7601B">
        <w:rPr>
          <w:szCs w:val="24"/>
        </w:rPr>
        <w:t xml:space="preserve"> </w:t>
      </w:r>
      <w:proofErr w:type="spellStart"/>
      <w:r w:rsidRPr="00C7601B">
        <w:rPr>
          <w:szCs w:val="24"/>
        </w:rPr>
        <w:t>sess</w:t>
      </w:r>
      <w:proofErr w:type="spellEnd"/>
      <w:r w:rsidRPr="00C7601B">
        <w:rPr>
          <w:szCs w:val="24"/>
        </w:rPr>
        <w:t>., 30</w:t>
      </w:r>
      <w:r w:rsidRPr="00C7601B">
        <w:rPr>
          <w:szCs w:val="24"/>
          <w:vertAlign w:val="superscript"/>
        </w:rPr>
        <w:t>e</w:t>
      </w:r>
      <w:r w:rsidRPr="00C7601B">
        <w:rPr>
          <w:szCs w:val="24"/>
        </w:rPr>
        <w:t xml:space="preserve"> </w:t>
      </w:r>
      <w:proofErr w:type="spellStart"/>
      <w:r w:rsidRPr="00C7601B">
        <w:rPr>
          <w:szCs w:val="24"/>
        </w:rPr>
        <w:t>lég</w:t>
      </w:r>
      <w:proofErr w:type="spellEnd"/>
      <w:r w:rsidRPr="00C7601B">
        <w:rPr>
          <w:szCs w:val="24"/>
        </w:rPr>
        <w:t xml:space="preserve">., 1975, </w:t>
      </w:r>
      <w:r w:rsidR="00FB353F" w:rsidRPr="00C7601B">
        <w:rPr>
          <w:szCs w:val="24"/>
        </w:rPr>
        <w:t>art.</w:t>
      </w:r>
      <w:r w:rsidR="00C7601B" w:rsidRPr="00C7601B">
        <w:rPr>
          <w:szCs w:val="24"/>
        </w:rPr>
        <w:t> </w:t>
      </w:r>
      <w:r w:rsidRPr="00C7601B">
        <w:rPr>
          <w:szCs w:val="24"/>
        </w:rPr>
        <w:t>37(4).</w:t>
      </w:r>
    </w:p>
    <w:p w:rsidR="00394B8C" w:rsidRPr="00C7601B" w:rsidRDefault="00394B8C" w:rsidP="00FB353F">
      <w:pPr>
        <w:pStyle w:val="SCCNormalDoubleSpacing"/>
        <w:spacing w:after="720" w:line="240" w:lineRule="auto"/>
        <w:ind w:left="547" w:hanging="547"/>
        <w:rPr>
          <w:szCs w:val="24"/>
        </w:rPr>
      </w:pPr>
      <w:proofErr w:type="gramStart"/>
      <w:r w:rsidRPr="00C7601B">
        <w:rPr>
          <w:i/>
          <w:szCs w:val="24"/>
          <w:lang w:val="en-CA"/>
        </w:rPr>
        <w:lastRenderedPageBreak/>
        <w:t>Saskatchewan Human Rights Code Regulations</w:t>
      </w:r>
      <w:r w:rsidRPr="00C7601B">
        <w:rPr>
          <w:szCs w:val="24"/>
          <w:lang w:val="en-CA"/>
        </w:rPr>
        <w:t xml:space="preserve">, R.R.S., </w:t>
      </w:r>
      <w:proofErr w:type="spellStart"/>
      <w:r w:rsidR="00FB353F" w:rsidRPr="00C7601B">
        <w:rPr>
          <w:szCs w:val="24"/>
          <w:lang w:val="en-CA"/>
        </w:rPr>
        <w:t>ch</w:t>
      </w:r>
      <w:proofErr w:type="spellEnd"/>
      <w:r w:rsidR="00FB353F" w:rsidRPr="00C7601B">
        <w:rPr>
          <w:szCs w:val="24"/>
          <w:lang w:val="en-CA"/>
        </w:rPr>
        <w:t>.</w:t>
      </w:r>
      <w:r w:rsidR="00FC4A5B" w:rsidRPr="00C7601B">
        <w:rPr>
          <w:szCs w:val="24"/>
          <w:lang w:val="en-CA"/>
        </w:rPr>
        <w:t xml:space="preserve"> </w:t>
      </w:r>
      <w:r w:rsidR="00C327A7" w:rsidRPr="004A4BD5">
        <w:rPr>
          <w:szCs w:val="24"/>
        </w:rPr>
        <w:t>S</w:t>
      </w:r>
      <w:r w:rsidR="004A4BD5">
        <w:rPr>
          <w:szCs w:val="24"/>
        </w:rPr>
        <w:t>-</w:t>
      </w:r>
      <w:r w:rsidR="00A71D91" w:rsidRPr="004A4BD5">
        <w:rPr>
          <w:szCs w:val="24"/>
        </w:rPr>
        <w:t xml:space="preserve">24.1, </w:t>
      </w:r>
      <w:proofErr w:type="spellStart"/>
      <w:r w:rsidR="00A71D91" w:rsidRPr="004A4BD5">
        <w:rPr>
          <w:szCs w:val="24"/>
        </w:rPr>
        <w:t>r</w:t>
      </w:r>
      <w:r w:rsidR="001150FD" w:rsidRPr="004A4BD5">
        <w:rPr>
          <w:szCs w:val="24"/>
        </w:rPr>
        <w:t>è</w:t>
      </w:r>
      <w:r w:rsidR="00C327A7" w:rsidRPr="004A4BD5">
        <w:rPr>
          <w:szCs w:val="24"/>
        </w:rPr>
        <w:t>g</w:t>
      </w:r>
      <w:r w:rsidR="001150FD" w:rsidRPr="004A4BD5">
        <w:rPr>
          <w:szCs w:val="24"/>
        </w:rPr>
        <w:t>l</w:t>
      </w:r>
      <w:proofErr w:type="spellEnd"/>
      <w:r w:rsidR="00C327A7" w:rsidRPr="004A4BD5">
        <w:rPr>
          <w:szCs w:val="24"/>
        </w:rPr>
        <w:t>.</w:t>
      </w:r>
      <w:proofErr w:type="gramEnd"/>
      <w:r w:rsidR="00C327A7" w:rsidRPr="004A4BD5">
        <w:rPr>
          <w:szCs w:val="24"/>
        </w:rPr>
        <w:t xml:space="preserve"> </w:t>
      </w:r>
      <w:r w:rsidR="00C327A7" w:rsidRPr="00C7601B">
        <w:rPr>
          <w:szCs w:val="24"/>
        </w:rPr>
        <w:t xml:space="preserve">1, </w:t>
      </w:r>
      <w:r w:rsidR="00FB353F" w:rsidRPr="00C7601B">
        <w:rPr>
          <w:szCs w:val="24"/>
        </w:rPr>
        <w:t>art.</w:t>
      </w:r>
      <w:r w:rsidR="00C7601B" w:rsidRPr="00C7601B">
        <w:rPr>
          <w:szCs w:val="24"/>
        </w:rPr>
        <w:t> </w:t>
      </w:r>
      <w:r w:rsidR="00CC620E" w:rsidRPr="00C7601B">
        <w:rPr>
          <w:szCs w:val="24"/>
        </w:rPr>
        <w:t>21(1</w:t>
      </w:r>
      <w:r w:rsidRPr="00C7601B">
        <w:rPr>
          <w:szCs w:val="24"/>
        </w:rPr>
        <w:t>).</w:t>
      </w:r>
    </w:p>
    <w:p w:rsidR="002E6705" w:rsidRPr="00C7601B" w:rsidRDefault="0043088E" w:rsidP="00FB353F">
      <w:pPr>
        <w:pStyle w:val="SCCNormalDoubleSpacing"/>
        <w:keepNext/>
        <w:spacing w:after="720" w:line="240" w:lineRule="auto"/>
        <w:rPr>
          <w:b/>
          <w:szCs w:val="24"/>
        </w:rPr>
      </w:pPr>
      <w:r w:rsidRPr="00C7601B">
        <w:rPr>
          <w:b/>
          <w:szCs w:val="24"/>
        </w:rPr>
        <w:t>Doctrine</w:t>
      </w:r>
      <w:r w:rsidR="002E6705" w:rsidRPr="00C7601B">
        <w:rPr>
          <w:b/>
          <w:szCs w:val="24"/>
        </w:rPr>
        <w:t xml:space="preserve"> </w:t>
      </w:r>
      <w:r w:rsidRPr="00C7601B">
        <w:rPr>
          <w:b/>
          <w:szCs w:val="24"/>
        </w:rPr>
        <w:t>c</w:t>
      </w:r>
      <w:r w:rsidR="002E6705" w:rsidRPr="00C7601B">
        <w:rPr>
          <w:b/>
          <w:szCs w:val="24"/>
        </w:rPr>
        <w:t>it</w:t>
      </w:r>
      <w:r w:rsidRPr="00C7601B">
        <w:rPr>
          <w:b/>
          <w:szCs w:val="24"/>
        </w:rPr>
        <w:t>é</w:t>
      </w:r>
      <w:r w:rsidR="002E6705" w:rsidRPr="00C7601B">
        <w:rPr>
          <w:b/>
          <w:szCs w:val="24"/>
        </w:rPr>
        <w:t>e</w:t>
      </w:r>
    </w:p>
    <w:p w:rsidR="00235AD1" w:rsidRPr="00C7601B" w:rsidRDefault="00235AD1" w:rsidP="00FB353F">
      <w:pPr>
        <w:pStyle w:val="SCCNormalDoubleSpacing"/>
        <w:spacing w:after="240" w:line="240" w:lineRule="auto"/>
        <w:ind w:left="540" w:hanging="540"/>
        <w:rPr>
          <w:szCs w:val="24"/>
        </w:rPr>
      </w:pPr>
      <w:r w:rsidRPr="00C7601B">
        <w:rPr>
          <w:szCs w:val="24"/>
        </w:rPr>
        <w:t>Canada.</w:t>
      </w:r>
      <w:r w:rsidR="00FC4A5B" w:rsidRPr="00C7601B">
        <w:rPr>
          <w:szCs w:val="24"/>
        </w:rPr>
        <w:t xml:space="preserve"> </w:t>
      </w:r>
      <w:r w:rsidR="00701164" w:rsidRPr="00C7601B">
        <w:rPr>
          <w:szCs w:val="24"/>
        </w:rPr>
        <w:t>Comité de révision de la Loi canadienne sur les droits de la personne</w:t>
      </w:r>
      <w:r w:rsidRPr="00C7601B">
        <w:rPr>
          <w:szCs w:val="24"/>
        </w:rPr>
        <w:t>.</w:t>
      </w:r>
      <w:r w:rsidR="00FC4A5B" w:rsidRPr="00C7601B">
        <w:rPr>
          <w:szCs w:val="24"/>
        </w:rPr>
        <w:t xml:space="preserve"> </w:t>
      </w:r>
      <w:r w:rsidR="00701164" w:rsidRPr="00C7601B">
        <w:rPr>
          <w:i/>
          <w:szCs w:val="24"/>
        </w:rPr>
        <w:t>La promotion de l’égalité</w:t>
      </w:r>
      <w:r w:rsidR="00FC4A5B" w:rsidRPr="00C7601B">
        <w:rPr>
          <w:i/>
          <w:szCs w:val="24"/>
        </w:rPr>
        <w:t xml:space="preserve"> </w:t>
      </w:r>
      <w:r w:rsidR="00FB353F" w:rsidRPr="00C7601B">
        <w:rPr>
          <w:i/>
          <w:szCs w:val="24"/>
        </w:rPr>
        <w:t>:</w:t>
      </w:r>
      <w:r w:rsidR="00701164" w:rsidRPr="00C7601B">
        <w:rPr>
          <w:i/>
          <w:szCs w:val="24"/>
        </w:rPr>
        <w:t xml:space="preserve"> Une nouvelle vision</w:t>
      </w:r>
      <w:r w:rsidRPr="00C7601B">
        <w:rPr>
          <w:szCs w:val="24"/>
        </w:rPr>
        <w:t>. Ottawa</w:t>
      </w:r>
      <w:r w:rsidR="00FC4A5B" w:rsidRPr="00C7601B">
        <w:rPr>
          <w:szCs w:val="24"/>
        </w:rPr>
        <w:t xml:space="preserve"> </w:t>
      </w:r>
      <w:r w:rsidR="00FB353F" w:rsidRPr="00C7601B">
        <w:rPr>
          <w:szCs w:val="24"/>
        </w:rPr>
        <w:t>:</w:t>
      </w:r>
      <w:r w:rsidRPr="00C7601B">
        <w:rPr>
          <w:szCs w:val="24"/>
        </w:rPr>
        <w:t xml:space="preserve"> </w:t>
      </w:r>
      <w:r w:rsidR="00701164" w:rsidRPr="00C7601B">
        <w:rPr>
          <w:szCs w:val="24"/>
        </w:rPr>
        <w:t>Ministère de la</w:t>
      </w:r>
      <w:r w:rsidRPr="00C7601B">
        <w:rPr>
          <w:szCs w:val="24"/>
        </w:rPr>
        <w:t xml:space="preserve"> Justice, 2000.</w:t>
      </w:r>
    </w:p>
    <w:p w:rsidR="00D85533" w:rsidRPr="00C7601B" w:rsidRDefault="00D85533" w:rsidP="00FB353F">
      <w:pPr>
        <w:pStyle w:val="SCCNormalDoubleSpacing"/>
        <w:spacing w:after="240" w:line="240" w:lineRule="auto"/>
        <w:ind w:left="540" w:hanging="540"/>
        <w:rPr>
          <w:szCs w:val="24"/>
        </w:rPr>
      </w:pPr>
      <w:r w:rsidRPr="00C7601B">
        <w:rPr>
          <w:szCs w:val="24"/>
        </w:rPr>
        <w:t>Canada.</w:t>
      </w:r>
      <w:r w:rsidR="00FC4A5B" w:rsidRPr="00C7601B">
        <w:rPr>
          <w:szCs w:val="24"/>
        </w:rPr>
        <w:t xml:space="preserve"> </w:t>
      </w:r>
      <w:r w:rsidRPr="00C7601B">
        <w:rPr>
          <w:szCs w:val="24"/>
        </w:rPr>
        <w:t>Commission des droits de la personne.</w:t>
      </w:r>
      <w:r w:rsidR="00FC4A5B" w:rsidRPr="00C7601B">
        <w:rPr>
          <w:szCs w:val="24"/>
        </w:rPr>
        <w:t xml:space="preserve"> </w:t>
      </w:r>
      <w:r w:rsidRPr="00C7601B">
        <w:rPr>
          <w:i/>
          <w:szCs w:val="24"/>
        </w:rPr>
        <w:t>Rapport annuel 1985</w:t>
      </w:r>
      <w:r w:rsidRPr="00C7601B">
        <w:rPr>
          <w:szCs w:val="24"/>
        </w:rPr>
        <w:t>.</w:t>
      </w:r>
      <w:r w:rsidR="00FC4A5B" w:rsidRPr="00C7601B">
        <w:rPr>
          <w:szCs w:val="24"/>
        </w:rPr>
        <w:t xml:space="preserve"> </w:t>
      </w:r>
      <w:r w:rsidRPr="00C7601B">
        <w:rPr>
          <w:szCs w:val="24"/>
        </w:rPr>
        <w:t>Ottawa</w:t>
      </w:r>
      <w:r w:rsidR="00FC4A5B" w:rsidRPr="00C7601B">
        <w:rPr>
          <w:szCs w:val="24"/>
        </w:rPr>
        <w:t xml:space="preserve"> </w:t>
      </w:r>
      <w:r w:rsidR="00FB353F" w:rsidRPr="00C7601B">
        <w:rPr>
          <w:szCs w:val="24"/>
        </w:rPr>
        <w:t>:</w:t>
      </w:r>
      <w:r w:rsidRPr="00C7601B">
        <w:rPr>
          <w:szCs w:val="24"/>
        </w:rPr>
        <w:t xml:space="preserve"> La Commission, 1986.</w:t>
      </w:r>
    </w:p>
    <w:p w:rsidR="00235AD1" w:rsidRPr="00C7601B" w:rsidRDefault="00235AD1" w:rsidP="00FB353F">
      <w:pPr>
        <w:pStyle w:val="SCCNormalDoubleSpacing"/>
        <w:spacing w:after="240" w:line="240" w:lineRule="auto"/>
        <w:ind w:left="540" w:hanging="540"/>
        <w:rPr>
          <w:szCs w:val="24"/>
        </w:rPr>
      </w:pPr>
      <w:r w:rsidRPr="00C7601B">
        <w:rPr>
          <w:szCs w:val="24"/>
        </w:rPr>
        <w:t>Canada.</w:t>
      </w:r>
      <w:r w:rsidR="00FC4A5B" w:rsidRPr="00C7601B">
        <w:rPr>
          <w:szCs w:val="24"/>
        </w:rPr>
        <w:t xml:space="preserve"> </w:t>
      </w:r>
      <w:r w:rsidR="00701164" w:rsidRPr="00C7601B">
        <w:rPr>
          <w:szCs w:val="24"/>
        </w:rPr>
        <w:t>Commission des droits de la personne</w:t>
      </w:r>
      <w:r w:rsidRPr="00C7601B">
        <w:rPr>
          <w:szCs w:val="24"/>
        </w:rPr>
        <w:t>.</w:t>
      </w:r>
      <w:r w:rsidR="00FC4A5B" w:rsidRPr="00C7601B">
        <w:rPr>
          <w:szCs w:val="24"/>
        </w:rPr>
        <w:t xml:space="preserve"> </w:t>
      </w:r>
      <w:r w:rsidR="00701164" w:rsidRPr="00C7601B">
        <w:rPr>
          <w:i/>
          <w:szCs w:val="24"/>
        </w:rPr>
        <w:t>Rapport spécial au Parlement</w:t>
      </w:r>
      <w:r w:rsidR="00FC4A5B" w:rsidRPr="00C7601B">
        <w:rPr>
          <w:i/>
          <w:szCs w:val="24"/>
        </w:rPr>
        <w:t xml:space="preserve"> </w:t>
      </w:r>
      <w:r w:rsidR="00FB353F" w:rsidRPr="00C7601B">
        <w:rPr>
          <w:i/>
          <w:szCs w:val="24"/>
        </w:rPr>
        <w:t>:</w:t>
      </w:r>
      <w:r w:rsidR="00701164" w:rsidRPr="00C7601B">
        <w:rPr>
          <w:i/>
          <w:szCs w:val="24"/>
        </w:rPr>
        <w:t xml:space="preserve"> Liberté d’expression et droit à la protection contre la haine à l’ère d’Internet</w:t>
      </w:r>
      <w:r w:rsidRPr="00C7601B">
        <w:rPr>
          <w:szCs w:val="24"/>
        </w:rPr>
        <w:t>.</w:t>
      </w:r>
      <w:r w:rsidR="00FC4A5B" w:rsidRPr="00C7601B">
        <w:rPr>
          <w:szCs w:val="24"/>
        </w:rPr>
        <w:t xml:space="preserve"> </w:t>
      </w:r>
      <w:r w:rsidRPr="00C7601B">
        <w:rPr>
          <w:szCs w:val="24"/>
        </w:rPr>
        <w:t>Ottawa</w:t>
      </w:r>
      <w:r w:rsidR="00FC4A5B" w:rsidRPr="00C7601B">
        <w:rPr>
          <w:szCs w:val="24"/>
        </w:rPr>
        <w:t xml:space="preserve"> </w:t>
      </w:r>
      <w:r w:rsidR="00FB353F" w:rsidRPr="00C7601B">
        <w:rPr>
          <w:szCs w:val="24"/>
        </w:rPr>
        <w:t>:</w:t>
      </w:r>
      <w:r w:rsidRPr="00C7601B">
        <w:rPr>
          <w:szCs w:val="24"/>
        </w:rPr>
        <w:t xml:space="preserve"> </w:t>
      </w:r>
      <w:r w:rsidR="00701164" w:rsidRPr="00C7601B">
        <w:rPr>
          <w:szCs w:val="24"/>
        </w:rPr>
        <w:t>La</w:t>
      </w:r>
      <w:r w:rsidRPr="00C7601B">
        <w:rPr>
          <w:szCs w:val="24"/>
        </w:rPr>
        <w:t xml:space="preserve"> Commission, 2009.</w:t>
      </w:r>
    </w:p>
    <w:p w:rsidR="00235AD1" w:rsidRPr="00C7601B" w:rsidRDefault="00235AD1" w:rsidP="00FB353F">
      <w:pPr>
        <w:pStyle w:val="SCCNormalDoubleSpacing"/>
        <w:spacing w:after="240" w:line="240" w:lineRule="auto"/>
        <w:ind w:left="540" w:hanging="540"/>
        <w:rPr>
          <w:szCs w:val="24"/>
        </w:rPr>
      </w:pPr>
      <w:r w:rsidRPr="00C7601B">
        <w:rPr>
          <w:szCs w:val="24"/>
        </w:rPr>
        <w:t>Côté, Pierre</w:t>
      </w:r>
      <w:r w:rsidR="00C7601B" w:rsidRPr="00C7601B">
        <w:rPr>
          <w:szCs w:val="24"/>
        </w:rPr>
        <w:t>-</w:t>
      </w:r>
      <w:r w:rsidRPr="00C7601B">
        <w:rPr>
          <w:szCs w:val="24"/>
        </w:rPr>
        <w:t xml:space="preserve">André, avec la collaboration de Stéphane </w:t>
      </w:r>
      <w:proofErr w:type="spellStart"/>
      <w:r w:rsidRPr="00C7601B">
        <w:rPr>
          <w:szCs w:val="24"/>
        </w:rPr>
        <w:t>Beaulac</w:t>
      </w:r>
      <w:proofErr w:type="spellEnd"/>
      <w:r w:rsidRPr="00C7601B">
        <w:rPr>
          <w:szCs w:val="24"/>
        </w:rPr>
        <w:t xml:space="preserve"> et M</w:t>
      </w:r>
      <w:r w:rsidR="004860FD" w:rsidRPr="00C7601B">
        <w:rPr>
          <w:szCs w:val="24"/>
        </w:rPr>
        <w:t>a</w:t>
      </w:r>
      <w:r w:rsidRPr="00C7601B">
        <w:rPr>
          <w:szCs w:val="24"/>
        </w:rPr>
        <w:t xml:space="preserve">thieu </w:t>
      </w:r>
      <w:proofErr w:type="spellStart"/>
      <w:r w:rsidRPr="00C7601B">
        <w:rPr>
          <w:szCs w:val="24"/>
        </w:rPr>
        <w:t>Devinat</w:t>
      </w:r>
      <w:proofErr w:type="spellEnd"/>
      <w:r w:rsidRPr="00C7601B">
        <w:rPr>
          <w:szCs w:val="24"/>
        </w:rPr>
        <w:t xml:space="preserve">. </w:t>
      </w:r>
      <w:r w:rsidRPr="00C7601B">
        <w:rPr>
          <w:i/>
          <w:szCs w:val="24"/>
        </w:rPr>
        <w:t>Interprétation des lois</w:t>
      </w:r>
      <w:r w:rsidRPr="00C7601B">
        <w:rPr>
          <w:szCs w:val="24"/>
        </w:rPr>
        <w:t>, 4</w:t>
      </w:r>
      <w:r w:rsidRPr="00C7601B">
        <w:rPr>
          <w:szCs w:val="24"/>
          <w:vertAlign w:val="superscript"/>
        </w:rPr>
        <w:t xml:space="preserve">e </w:t>
      </w:r>
      <w:r w:rsidRPr="00C7601B">
        <w:rPr>
          <w:szCs w:val="24"/>
        </w:rPr>
        <w:t>éd.</w:t>
      </w:r>
      <w:r w:rsidR="00FC4A5B" w:rsidRPr="00C7601B">
        <w:rPr>
          <w:szCs w:val="24"/>
        </w:rPr>
        <w:t xml:space="preserve"> </w:t>
      </w:r>
      <w:r w:rsidRPr="00C7601B">
        <w:rPr>
          <w:szCs w:val="24"/>
        </w:rPr>
        <w:t>Montréal</w:t>
      </w:r>
      <w:r w:rsidR="00FC4A5B" w:rsidRPr="00C7601B">
        <w:rPr>
          <w:szCs w:val="24"/>
        </w:rPr>
        <w:t xml:space="preserve"> </w:t>
      </w:r>
      <w:r w:rsidR="00FB353F" w:rsidRPr="00C7601B">
        <w:rPr>
          <w:szCs w:val="24"/>
        </w:rPr>
        <w:t>:</w:t>
      </w:r>
      <w:r w:rsidRPr="00C7601B">
        <w:rPr>
          <w:szCs w:val="24"/>
        </w:rPr>
        <w:t xml:space="preserve"> Thémis, 2009.</w:t>
      </w:r>
    </w:p>
    <w:p w:rsidR="003303E1" w:rsidRPr="00C7601B" w:rsidRDefault="0060221D" w:rsidP="00FB353F">
      <w:pPr>
        <w:pStyle w:val="SCCNormalDoubleSpacing"/>
        <w:spacing w:after="240" w:line="240" w:lineRule="auto"/>
        <w:ind w:left="540" w:hanging="540"/>
        <w:rPr>
          <w:szCs w:val="24"/>
        </w:rPr>
      </w:pPr>
      <w:proofErr w:type="spellStart"/>
      <w:r w:rsidRPr="00C7601B">
        <w:rPr>
          <w:szCs w:val="24"/>
        </w:rPr>
        <w:t>Driedger</w:t>
      </w:r>
      <w:proofErr w:type="spellEnd"/>
      <w:r w:rsidRPr="00C7601B">
        <w:rPr>
          <w:szCs w:val="24"/>
        </w:rPr>
        <w:t>, Elmer</w:t>
      </w:r>
      <w:r w:rsidR="00FC4A5B" w:rsidRPr="00C7601B">
        <w:rPr>
          <w:szCs w:val="24"/>
        </w:rPr>
        <w:t xml:space="preserve"> </w:t>
      </w:r>
      <w:r w:rsidR="003303E1" w:rsidRPr="00C7601B">
        <w:rPr>
          <w:szCs w:val="24"/>
        </w:rPr>
        <w:t>A.</w:t>
      </w:r>
      <w:r w:rsidR="00FC4A5B" w:rsidRPr="00C7601B">
        <w:rPr>
          <w:szCs w:val="24"/>
        </w:rPr>
        <w:t xml:space="preserve"> </w:t>
      </w:r>
      <w:r w:rsidR="003303E1" w:rsidRPr="00C7601B">
        <w:rPr>
          <w:i/>
          <w:szCs w:val="24"/>
        </w:rPr>
        <w:t xml:space="preserve">Construction of </w:t>
      </w:r>
      <w:proofErr w:type="spellStart"/>
      <w:r w:rsidR="003303E1" w:rsidRPr="00C7601B">
        <w:rPr>
          <w:i/>
          <w:szCs w:val="24"/>
        </w:rPr>
        <w:t>Statutes</w:t>
      </w:r>
      <w:proofErr w:type="spellEnd"/>
      <w:r w:rsidR="003303E1" w:rsidRPr="00C7601B">
        <w:rPr>
          <w:szCs w:val="24"/>
        </w:rPr>
        <w:t xml:space="preserve">, 2nd </w:t>
      </w:r>
      <w:proofErr w:type="spellStart"/>
      <w:r w:rsidR="003303E1" w:rsidRPr="00C7601B">
        <w:rPr>
          <w:szCs w:val="24"/>
        </w:rPr>
        <w:t>ed</w:t>
      </w:r>
      <w:proofErr w:type="spellEnd"/>
      <w:r w:rsidR="003303E1" w:rsidRPr="00C7601B">
        <w:rPr>
          <w:szCs w:val="24"/>
        </w:rPr>
        <w:t>.</w:t>
      </w:r>
      <w:r w:rsidR="00FC4A5B" w:rsidRPr="00C7601B">
        <w:rPr>
          <w:szCs w:val="24"/>
        </w:rPr>
        <w:t xml:space="preserve"> </w:t>
      </w:r>
      <w:r w:rsidR="003303E1" w:rsidRPr="00C7601B">
        <w:rPr>
          <w:szCs w:val="24"/>
        </w:rPr>
        <w:t>Toronto</w:t>
      </w:r>
      <w:r w:rsidR="00FC4A5B" w:rsidRPr="00C7601B">
        <w:rPr>
          <w:szCs w:val="24"/>
        </w:rPr>
        <w:t xml:space="preserve"> </w:t>
      </w:r>
      <w:r w:rsidR="00FB353F" w:rsidRPr="00C7601B">
        <w:rPr>
          <w:szCs w:val="24"/>
        </w:rPr>
        <w:t>:</w:t>
      </w:r>
      <w:r w:rsidR="003303E1" w:rsidRPr="00C7601B">
        <w:rPr>
          <w:szCs w:val="24"/>
        </w:rPr>
        <w:t xml:space="preserve"> Butterworths, 1983.</w:t>
      </w:r>
    </w:p>
    <w:p w:rsidR="00235AD1" w:rsidRPr="00C7601B" w:rsidRDefault="00235AD1" w:rsidP="00FB353F">
      <w:pPr>
        <w:pStyle w:val="SCCNormalDoubleSpacing"/>
        <w:spacing w:after="240" w:line="240" w:lineRule="auto"/>
        <w:ind w:left="540" w:hanging="540"/>
        <w:rPr>
          <w:szCs w:val="24"/>
        </w:rPr>
      </w:pPr>
      <w:r w:rsidRPr="00C7601B">
        <w:rPr>
          <w:szCs w:val="24"/>
        </w:rPr>
        <w:t>Garant, Patrice, avec la collaboration de Philippe Garant et Jérôme Garant.</w:t>
      </w:r>
      <w:r w:rsidR="00FC4A5B" w:rsidRPr="00C7601B">
        <w:rPr>
          <w:szCs w:val="24"/>
        </w:rPr>
        <w:t xml:space="preserve"> </w:t>
      </w:r>
      <w:r w:rsidRPr="00C7601B">
        <w:rPr>
          <w:i/>
          <w:szCs w:val="24"/>
        </w:rPr>
        <w:t>Droit administratif</w:t>
      </w:r>
      <w:r w:rsidRPr="00C7601B">
        <w:rPr>
          <w:szCs w:val="24"/>
        </w:rPr>
        <w:t>, 6</w:t>
      </w:r>
      <w:r w:rsidRPr="00C7601B">
        <w:rPr>
          <w:szCs w:val="24"/>
          <w:vertAlign w:val="superscript"/>
        </w:rPr>
        <w:t>e</w:t>
      </w:r>
      <w:r w:rsidRPr="00C7601B">
        <w:rPr>
          <w:szCs w:val="24"/>
        </w:rPr>
        <w:t xml:space="preserve"> éd.</w:t>
      </w:r>
      <w:r w:rsidR="00FC4A5B" w:rsidRPr="00C7601B">
        <w:rPr>
          <w:szCs w:val="24"/>
        </w:rPr>
        <w:t xml:space="preserve"> </w:t>
      </w:r>
      <w:r w:rsidRPr="00C7601B">
        <w:rPr>
          <w:szCs w:val="24"/>
        </w:rPr>
        <w:t>Cowansville, Qué.</w:t>
      </w:r>
      <w:r w:rsidR="00FC4A5B" w:rsidRPr="00C7601B">
        <w:rPr>
          <w:szCs w:val="24"/>
        </w:rPr>
        <w:t xml:space="preserve"> </w:t>
      </w:r>
      <w:r w:rsidR="00FB353F" w:rsidRPr="00C7601B">
        <w:rPr>
          <w:szCs w:val="24"/>
        </w:rPr>
        <w:t>:</w:t>
      </w:r>
      <w:r w:rsidRPr="00C7601B">
        <w:rPr>
          <w:szCs w:val="24"/>
        </w:rPr>
        <w:t xml:space="preserve"> Yvon Blais, 2010.</w:t>
      </w:r>
    </w:p>
    <w:p w:rsidR="00235AD1" w:rsidRPr="00C7601B" w:rsidRDefault="00235AD1" w:rsidP="00FB353F">
      <w:pPr>
        <w:pStyle w:val="SCCNormalDoubleSpacing"/>
        <w:spacing w:after="240" w:line="240" w:lineRule="auto"/>
        <w:ind w:left="540" w:hanging="540"/>
        <w:rPr>
          <w:szCs w:val="24"/>
        </w:rPr>
      </w:pPr>
      <w:r w:rsidRPr="00C7601B">
        <w:rPr>
          <w:szCs w:val="24"/>
        </w:rPr>
        <w:t xml:space="preserve">Hawkins, </w:t>
      </w:r>
      <w:r w:rsidR="0060221D" w:rsidRPr="00C7601B">
        <w:rPr>
          <w:szCs w:val="24"/>
        </w:rPr>
        <w:t>Robert</w:t>
      </w:r>
      <w:r w:rsidR="00FC4A5B" w:rsidRPr="00C7601B">
        <w:rPr>
          <w:szCs w:val="24"/>
        </w:rPr>
        <w:t xml:space="preserve"> </w:t>
      </w:r>
      <w:r w:rsidRPr="00C7601B">
        <w:rPr>
          <w:szCs w:val="24"/>
        </w:rPr>
        <w:t>E.</w:t>
      </w:r>
      <w:r w:rsidR="00FC4A5B" w:rsidRPr="00C7601B">
        <w:rPr>
          <w:szCs w:val="24"/>
        </w:rPr>
        <w:t xml:space="preserve"> </w:t>
      </w:r>
      <w:r w:rsidR="00EF6AB8" w:rsidRPr="00C7601B">
        <w:rPr>
          <w:szCs w:val="24"/>
        </w:rPr>
        <w:t>«</w:t>
      </w:r>
      <w:r w:rsidR="00FC4A5B" w:rsidRPr="00C7601B">
        <w:rPr>
          <w:szCs w:val="24"/>
        </w:rPr>
        <w:t xml:space="preserve"> </w:t>
      </w:r>
      <w:proofErr w:type="spellStart"/>
      <w:r w:rsidRPr="00C7601B">
        <w:rPr>
          <w:szCs w:val="24"/>
        </w:rPr>
        <w:t>Whither</w:t>
      </w:r>
      <w:proofErr w:type="spellEnd"/>
      <w:r w:rsidRPr="00C7601B">
        <w:rPr>
          <w:szCs w:val="24"/>
        </w:rPr>
        <w:t xml:space="preserve"> </w:t>
      </w:r>
      <w:proofErr w:type="spellStart"/>
      <w:r w:rsidRPr="00C7601B">
        <w:rPr>
          <w:szCs w:val="24"/>
        </w:rPr>
        <w:t>Judicial</w:t>
      </w:r>
      <w:proofErr w:type="spellEnd"/>
      <w:r w:rsidRPr="00C7601B">
        <w:rPr>
          <w:szCs w:val="24"/>
        </w:rPr>
        <w:t xml:space="preserve"> </w:t>
      </w:r>
      <w:proofErr w:type="spellStart"/>
      <w:r w:rsidRPr="00C7601B">
        <w:rPr>
          <w:szCs w:val="24"/>
        </w:rPr>
        <w:t>Review</w:t>
      </w:r>
      <w:proofErr w:type="spellEnd"/>
      <w:r w:rsidRPr="00C7601B">
        <w:rPr>
          <w:szCs w:val="24"/>
        </w:rPr>
        <w:t>?</w:t>
      </w:r>
      <w:r w:rsidR="00FC4A5B" w:rsidRPr="00C7601B">
        <w:rPr>
          <w:szCs w:val="24"/>
        </w:rPr>
        <w:t xml:space="preserve"> </w:t>
      </w:r>
      <w:r w:rsidR="00EF6AB8" w:rsidRPr="00C7601B">
        <w:rPr>
          <w:szCs w:val="24"/>
        </w:rPr>
        <w:t>»</w:t>
      </w:r>
      <w:r w:rsidRPr="00C7601B">
        <w:rPr>
          <w:szCs w:val="24"/>
        </w:rPr>
        <w:t xml:space="preserve"> (2010), 88 </w:t>
      </w:r>
      <w:r w:rsidRPr="00C7601B">
        <w:rPr>
          <w:i/>
          <w:szCs w:val="24"/>
        </w:rPr>
        <w:t>R.</w:t>
      </w:r>
      <w:r w:rsidR="003B2970" w:rsidRPr="00C7601B">
        <w:rPr>
          <w:i/>
          <w:szCs w:val="24"/>
        </w:rPr>
        <w:t xml:space="preserve"> </w:t>
      </w:r>
      <w:r w:rsidR="00EF6AB8" w:rsidRPr="00C7601B">
        <w:rPr>
          <w:i/>
          <w:szCs w:val="24"/>
        </w:rPr>
        <w:t>du</w:t>
      </w:r>
      <w:r w:rsidR="003B2970" w:rsidRPr="00C7601B">
        <w:rPr>
          <w:i/>
          <w:szCs w:val="24"/>
        </w:rPr>
        <w:t xml:space="preserve"> B. </w:t>
      </w:r>
      <w:proofErr w:type="spellStart"/>
      <w:r w:rsidR="00EF6AB8" w:rsidRPr="00C7601B">
        <w:rPr>
          <w:i/>
          <w:szCs w:val="24"/>
        </w:rPr>
        <w:t>can</w:t>
      </w:r>
      <w:proofErr w:type="spellEnd"/>
      <w:r w:rsidR="003B2970" w:rsidRPr="00C7601B">
        <w:rPr>
          <w:i/>
          <w:szCs w:val="24"/>
        </w:rPr>
        <w:t>.</w:t>
      </w:r>
      <w:r w:rsidRPr="00C7601B">
        <w:rPr>
          <w:szCs w:val="24"/>
        </w:rPr>
        <w:t xml:space="preserve"> 603.</w:t>
      </w:r>
    </w:p>
    <w:p w:rsidR="001D7128" w:rsidRPr="00C7601B" w:rsidRDefault="001D7128" w:rsidP="00FB353F">
      <w:pPr>
        <w:pStyle w:val="SCCNormalDoubleSpacing"/>
        <w:spacing w:after="240" w:line="240" w:lineRule="auto"/>
        <w:ind w:left="540" w:hanging="540"/>
        <w:rPr>
          <w:szCs w:val="24"/>
          <w:lang w:val="en-CA"/>
        </w:rPr>
      </w:pPr>
      <w:proofErr w:type="gramStart"/>
      <w:r w:rsidRPr="004A4BD5">
        <w:rPr>
          <w:szCs w:val="24"/>
          <w:lang w:val="en-US"/>
        </w:rPr>
        <w:t>Macklin, Audrey.</w:t>
      </w:r>
      <w:proofErr w:type="gramEnd"/>
      <w:r w:rsidR="00FC4A5B" w:rsidRPr="004A4BD5">
        <w:rPr>
          <w:szCs w:val="24"/>
          <w:lang w:val="en-US"/>
        </w:rPr>
        <w:t xml:space="preserve"> </w:t>
      </w:r>
      <w:r w:rsidR="00EF6AB8" w:rsidRPr="00C7601B">
        <w:rPr>
          <w:szCs w:val="24"/>
          <w:lang w:val="en-CA"/>
        </w:rPr>
        <w:t>«</w:t>
      </w:r>
      <w:r w:rsidR="00FC4A5B" w:rsidRPr="00C7601B">
        <w:rPr>
          <w:szCs w:val="24"/>
          <w:lang w:val="en-CA"/>
        </w:rPr>
        <w:t xml:space="preserve"> </w:t>
      </w:r>
      <w:r w:rsidRPr="00C7601B">
        <w:rPr>
          <w:szCs w:val="24"/>
          <w:lang w:val="en-CA"/>
        </w:rPr>
        <w:t xml:space="preserve">Standard of </w:t>
      </w:r>
      <w:proofErr w:type="gramStart"/>
      <w:r w:rsidRPr="00C7601B">
        <w:rPr>
          <w:szCs w:val="24"/>
          <w:lang w:val="en-CA"/>
        </w:rPr>
        <w:t>Review</w:t>
      </w:r>
      <w:r w:rsidR="00FC4A5B" w:rsidRPr="00C7601B">
        <w:rPr>
          <w:szCs w:val="24"/>
          <w:lang w:val="en-CA"/>
        </w:rPr>
        <w:t xml:space="preserve"> </w:t>
      </w:r>
      <w:r w:rsidR="00FB353F" w:rsidRPr="00C7601B">
        <w:rPr>
          <w:szCs w:val="24"/>
          <w:lang w:val="en-CA"/>
        </w:rPr>
        <w:t>:</w:t>
      </w:r>
      <w:proofErr w:type="gramEnd"/>
      <w:r w:rsidRPr="00C7601B">
        <w:rPr>
          <w:szCs w:val="24"/>
          <w:lang w:val="en-CA"/>
        </w:rPr>
        <w:t xml:space="preserve"> The Pragmatic and Functional Test</w:t>
      </w:r>
      <w:r w:rsidR="00FC4A5B" w:rsidRPr="00C7601B">
        <w:rPr>
          <w:szCs w:val="24"/>
          <w:lang w:val="en-CA"/>
        </w:rPr>
        <w:t xml:space="preserve"> </w:t>
      </w:r>
      <w:r w:rsidR="00EF6AB8" w:rsidRPr="00C7601B">
        <w:rPr>
          <w:szCs w:val="24"/>
          <w:lang w:val="en-CA"/>
        </w:rPr>
        <w:t>»</w:t>
      </w:r>
      <w:r w:rsidRPr="00C7601B">
        <w:rPr>
          <w:szCs w:val="24"/>
          <w:lang w:val="en-CA"/>
        </w:rPr>
        <w:t xml:space="preserve">, in </w:t>
      </w:r>
      <w:r w:rsidRPr="00C7601B">
        <w:rPr>
          <w:i/>
          <w:szCs w:val="24"/>
          <w:lang w:val="en-CA"/>
        </w:rPr>
        <w:t>Administrative Law in Context</w:t>
      </w:r>
      <w:r w:rsidR="0060221D" w:rsidRPr="00C7601B">
        <w:rPr>
          <w:szCs w:val="24"/>
          <w:lang w:val="en-CA"/>
        </w:rPr>
        <w:t>, Colleen</w:t>
      </w:r>
      <w:r w:rsidR="00FC4A5B" w:rsidRPr="00C7601B">
        <w:rPr>
          <w:szCs w:val="24"/>
          <w:lang w:val="en-CA"/>
        </w:rPr>
        <w:t xml:space="preserve"> </w:t>
      </w:r>
      <w:r w:rsidRPr="00C7601B">
        <w:rPr>
          <w:szCs w:val="24"/>
          <w:lang w:val="en-CA"/>
        </w:rPr>
        <w:t>M. Flood and Lorne Sossin, eds. Toronto</w:t>
      </w:r>
      <w:r w:rsidR="00FC4A5B" w:rsidRPr="00C7601B">
        <w:rPr>
          <w:szCs w:val="24"/>
          <w:lang w:val="en-CA"/>
        </w:rPr>
        <w:t xml:space="preserve"> </w:t>
      </w:r>
      <w:r w:rsidR="00FB353F" w:rsidRPr="00C7601B">
        <w:rPr>
          <w:szCs w:val="24"/>
          <w:lang w:val="en-CA"/>
        </w:rPr>
        <w:t>:</w:t>
      </w:r>
      <w:r w:rsidRPr="00C7601B">
        <w:rPr>
          <w:szCs w:val="24"/>
          <w:lang w:val="en-CA"/>
        </w:rPr>
        <w:t xml:space="preserve"> Emond Montgomery, 2008, 197.</w:t>
      </w:r>
    </w:p>
    <w:p w:rsidR="00235AD1" w:rsidRPr="00C7601B" w:rsidRDefault="00235AD1" w:rsidP="00FB353F">
      <w:pPr>
        <w:pStyle w:val="SCCNormalDoubleSpacing"/>
        <w:spacing w:after="720" w:line="240" w:lineRule="auto"/>
        <w:ind w:left="547" w:hanging="547"/>
        <w:rPr>
          <w:szCs w:val="24"/>
        </w:rPr>
      </w:pPr>
      <w:r w:rsidRPr="00C7601B">
        <w:rPr>
          <w:szCs w:val="24"/>
          <w:lang w:val="en-CA"/>
        </w:rPr>
        <w:t>Sullivan, Ruth.</w:t>
      </w:r>
      <w:r w:rsidR="00FC4A5B" w:rsidRPr="00C7601B">
        <w:rPr>
          <w:szCs w:val="24"/>
          <w:lang w:val="en-CA"/>
        </w:rPr>
        <w:t xml:space="preserve"> </w:t>
      </w:r>
      <w:r w:rsidRPr="00C7601B">
        <w:rPr>
          <w:i/>
          <w:szCs w:val="24"/>
          <w:lang w:val="en-CA"/>
        </w:rPr>
        <w:t xml:space="preserve">Sullivan </w:t>
      </w:r>
      <w:r w:rsidR="00D452B7" w:rsidRPr="00C7601B">
        <w:rPr>
          <w:i/>
          <w:szCs w:val="24"/>
          <w:lang w:val="en-CA"/>
        </w:rPr>
        <w:t>o</w:t>
      </w:r>
      <w:r w:rsidRPr="00C7601B">
        <w:rPr>
          <w:i/>
          <w:szCs w:val="24"/>
          <w:lang w:val="en-CA"/>
        </w:rPr>
        <w:t>n the Construction of Statutes</w:t>
      </w:r>
      <w:r w:rsidRPr="00C7601B">
        <w:rPr>
          <w:szCs w:val="24"/>
          <w:lang w:val="en-CA"/>
        </w:rPr>
        <w:t xml:space="preserve">, 5th ed. </w:t>
      </w:r>
      <w:r w:rsidRPr="00C7601B">
        <w:rPr>
          <w:szCs w:val="24"/>
        </w:rPr>
        <w:t>Markham, Ont</w:t>
      </w:r>
      <w:proofErr w:type="gramStart"/>
      <w:r w:rsidRPr="00C7601B">
        <w:rPr>
          <w:szCs w:val="24"/>
        </w:rPr>
        <w:t>.</w:t>
      </w:r>
      <w:r w:rsidR="00FC4A5B" w:rsidRPr="00C7601B">
        <w:rPr>
          <w:szCs w:val="24"/>
        </w:rPr>
        <w:t xml:space="preserve"> </w:t>
      </w:r>
      <w:r w:rsidR="00FB353F" w:rsidRPr="00C7601B">
        <w:rPr>
          <w:szCs w:val="24"/>
        </w:rPr>
        <w:t>:</w:t>
      </w:r>
      <w:proofErr w:type="gramEnd"/>
      <w:r w:rsidRPr="00C7601B">
        <w:rPr>
          <w:szCs w:val="24"/>
        </w:rPr>
        <w:t xml:space="preserve"> </w:t>
      </w:r>
      <w:proofErr w:type="spellStart"/>
      <w:r w:rsidRPr="00C7601B">
        <w:rPr>
          <w:szCs w:val="24"/>
        </w:rPr>
        <w:t>LexisNexis</w:t>
      </w:r>
      <w:proofErr w:type="spellEnd"/>
      <w:r w:rsidRPr="00C7601B">
        <w:rPr>
          <w:szCs w:val="24"/>
        </w:rPr>
        <w:t>, 2008.</w:t>
      </w:r>
    </w:p>
    <w:p w:rsidR="00D5435D" w:rsidRPr="00C7601B" w:rsidRDefault="009B57B3" w:rsidP="004030F1">
      <w:pPr>
        <w:pStyle w:val="SCCNormalDoubleSpacing"/>
        <w:spacing w:after="480"/>
        <w:rPr>
          <w:szCs w:val="24"/>
          <w:lang w:val="en-US"/>
        </w:rPr>
      </w:pPr>
      <w:r w:rsidRPr="00C7601B">
        <w:rPr>
          <w:szCs w:val="24"/>
        </w:rPr>
        <w:tab/>
        <w:t>P</w:t>
      </w:r>
      <w:r w:rsidR="0043088E" w:rsidRPr="00C7601B">
        <w:rPr>
          <w:szCs w:val="24"/>
        </w:rPr>
        <w:t>OURVOI contre un arrêt de la</w:t>
      </w:r>
      <w:r w:rsidRPr="00C7601B">
        <w:rPr>
          <w:szCs w:val="24"/>
        </w:rPr>
        <w:t xml:space="preserve"> Cour d’appel fédérale</w:t>
      </w:r>
      <w:r w:rsidR="00235AD1" w:rsidRPr="00C7601B">
        <w:rPr>
          <w:szCs w:val="24"/>
        </w:rPr>
        <w:t xml:space="preserve"> (</w:t>
      </w:r>
      <w:r w:rsidR="004449C9" w:rsidRPr="00C7601B">
        <w:rPr>
          <w:szCs w:val="24"/>
        </w:rPr>
        <w:t xml:space="preserve">les juges </w:t>
      </w:r>
      <w:proofErr w:type="spellStart"/>
      <w:r w:rsidR="004449C9" w:rsidRPr="00C7601B">
        <w:rPr>
          <w:szCs w:val="24"/>
        </w:rPr>
        <w:t>Létourneau</w:t>
      </w:r>
      <w:proofErr w:type="spellEnd"/>
      <w:r w:rsidR="004449C9" w:rsidRPr="00C7601B">
        <w:rPr>
          <w:szCs w:val="24"/>
        </w:rPr>
        <w:t xml:space="preserve">, </w:t>
      </w:r>
      <w:proofErr w:type="spellStart"/>
      <w:r w:rsidR="004449C9" w:rsidRPr="00C7601B">
        <w:rPr>
          <w:szCs w:val="24"/>
        </w:rPr>
        <w:t>Sexton</w:t>
      </w:r>
      <w:proofErr w:type="spellEnd"/>
      <w:r w:rsidR="004449C9" w:rsidRPr="00C7601B">
        <w:rPr>
          <w:szCs w:val="24"/>
        </w:rPr>
        <w:t xml:space="preserve"> et </w:t>
      </w:r>
      <w:proofErr w:type="spellStart"/>
      <w:r w:rsidR="004449C9" w:rsidRPr="00C7601B">
        <w:rPr>
          <w:szCs w:val="24"/>
        </w:rPr>
        <w:t>Layden</w:t>
      </w:r>
      <w:proofErr w:type="spellEnd"/>
      <w:r w:rsidR="00C7601B" w:rsidRPr="00C7601B">
        <w:rPr>
          <w:szCs w:val="24"/>
        </w:rPr>
        <w:t>-</w:t>
      </w:r>
      <w:r w:rsidR="004449C9" w:rsidRPr="00C7601B">
        <w:rPr>
          <w:szCs w:val="24"/>
        </w:rPr>
        <w:t xml:space="preserve">Stevenson), 2009 CAF 309, </w:t>
      </w:r>
      <w:r w:rsidR="003B3360" w:rsidRPr="00C7601B">
        <w:rPr>
          <w:szCs w:val="24"/>
        </w:rPr>
        <w:t xml:space="preserve">[2010] 4 R.C.F. 579, </w:t>
      </w:r>
      <w:r w:rsidR="004449C9" w:rsidRPr="00C7601B">
        <w:rPr>
          <w:szCs w:val="24"/>
        </w:rPr>
        <w:t xml:space="preserve">312 D.L.R. (4th) 294, 4 </w:t>
      </w:r>
      <w:proofErr w:type="spellStart"/>
      <w:r w:rsidR="004449C9" w:rsidRPr="00C7601B">
        <w:rPr>
          <w:szCs w:val="24"/>
        </w:rPr>
        <w:t>Admin</w:t>
      </w:r>
      <w:proofErr w:type="spellEnd"/>
      <w:r w:rsidR="004449C9" w:rsidRPr="00C7601B">
        <w:rPr>
          <w:szCs w:val="24"/>
        </w:rPr>
        <w:t xml:space="preserve">. L.R. (5th) 192, 395 N.R. 52, [2009] </w:t>
      </w:r>
      <w:r w:rsidR="003B3360" w:rsidRPr="00C7601B">
        <w:rPr>
          <w:szCs w:val="24"/>
        </w:rPr>
        <w:t>A.C.</w:t>
      </w:r>
      <w:r w:rsidR="004449C9" w:rsidRPr="00C7601B">
        <w:rPr>
          <w:szCs w:val="24"/>
        </w:rPr>
        <w:t xml:space="preserve">F. </w:t>
      </w:r>
      <w:r w:rsidR="003B3360" w:rsidRPr="00C7601B">
        <w:rPr>
          <w:szCs w:val="24"/>
        </w:rPr>
        <w:t>n</w:t>
      </w:r>
      <w:r w:rsidR="003B3360" w:rsidRPr="00C7601B">
        <w:rPr>
          <w:szCs w:val="24"/>
          <w:vertAlign w:val="superscript"/>
        </w:rPr>
        <w:t>o</w:t>
      </w:r>
      <w:r w:rsidR="004449C9" w:rsidRPr="00C7601B">
        <w:rPr>
          <w:szCs w:val="24"/>
        </w:rPr>
        <w:t xml:space="preserve"> 1359 (QL), 2009 </w:t>
      </w:r>
      <w:proofErr w:type="spellStart"/>
      <w:r w:rsidR="004449C9" w:rsidRPr="00C7601B">
        <w:rPr>
          <w:szCs w:val="24"/>
        </w:rPr>
        <w:t>CarswellNat</w:t>
      </w:r>
      <w:proofErr w:type="spellEnd"/>
      <w:r w:rsidR="004449C9" w:rsidRPr="00C7601B">
        <w:rPr>
          <w:szCs w:val="24"/>
        </w:rPr>
        <w:t xml:space="preserve"> </w:t>
      </w:r>
      <w:r w:rsidR="00480769">
        <w:rPr>
          <w:szCs w:val="24"/>
        </w:rPr>
        <w:t>5063</w:t>
      </w:r>
      <w:r w:rsidR="004449C9" w:rsidRPr="00C7601B">
        <w:rPr>
          <w:szCs w:val="24"/>
        </w:rPr>
        <w:t xml:space="preserve">, </w:t>
      </w:r>
      <w:r w:rsidR="00EC67CC" w:rsidRPr="00C7601B">
        <w:rPr>
          <w:szCs w:val="24"/>
        </w:rPr>
        <w:t>qui a infirmé</w:t>
      </w:r>
      <w:r w:rsidR="004449C9" w:rsidRPr="00C7601B">
        <w:rPr>
          <w:szCs w:val="24"/>
        </w:rPr>
        <w:t xml:space="preserve"> une décision du juge </w:t>
      </w:r>
      <w:proofErr w:type="spellStart"/>
      <w:r w:rsidR="004449C9" w:rsidRPr="00C7601B">
        <w:rPr>
          <w:szCs w:val="24"/>
        </w:rPr>
        <w:t>Mandamin</w:t>
      </w:r>
      <w:proofErr w:type="spellEnd"/>
      <w:r w:rsidR="004449C9" w:rsidRPr="00C7601B">
        <w:rPr>
          <w:szCs w:val="24"/>
        </w:rPr>
        <w:t xml:space="preserve">, 2008 CF 118, </w:t>
      </w:r>
      <w:r w:rsidR="004449C9" w:rsidRPr="00C7601B">
        <w:rPr>
          <w:szCs w:val="24"/>
        </w:rPr>
        <w:lastRenderedPageBreak/>
        <w:t xml:space="preserve">322 F.T.R. 222, 78 </w:t>
      </w:r>
      <w:proofErr w:type="spellStart"/>
      <w:r w:rsidR="004449C9" w:rsidRPr="00C7601B">
        <w:rPr>
          <w:szCs w:val="24"/>
        </w:rPr>
        <w:t>Admin</w:t>
      </w:r>
      <w:proofErr w:type="spellEnd"/>
      <w:r w:rsidR="004449C9" w:rsidRPr="00C7601B">
        <w:rPr>
          <w:szCs w:val="24"/>
        </w:rPr>
        <w:t xml:space="preserve">. </w:t>
      </w:r>
      <w:r w:rsidR="004449C9" w:rsidRPr="000053CF">
        <w:rPr>
          <w:szCs w:val="24"/>
          <w:lang w:val="en-US"/>
        </w:rPr>
        <w:t>L.R. (4th) 127, [2008] A.C.F. n</w:t>
      </w:r>
      <w:r w:rsidR="004449C9" w:rsidRPr="000053CF">
        <w:rPr>
          <w:szCs w:val="24"/>
          <w:vertAlign w:val="superscript"/>
          <w:lang w:val="en-US"/>
        </w:rPr>
        <w:t>o</w:t>
      </w:r>
      <w:r w:rsidR="008D2DF7" w:rsidRPr="000053CF">
        <w:rPr>
          <w:szCs w:val="24"/>
          <w:lang w:val="en-US"/>
        </w:rPr>
        <w:t xml:space="preserve"> 143 (QL), 2008 </w:t>
      </w:r>
      <w:proofErr w:type="spellStart"/>
      <w:r w:rsidR="008D2DF7" w:rsidRPr="000053CF">
        <w:rPr>
          <w:szCs w:val="24"/>
          <w:lang w:val="en-US"/>
        </w:rPr>
        <w:t>CarswellNat</w:t>
      </w:r>
      <w:proofErr w:type="spellEnd"/>
      <w:r w:rsidR="008D2DF7" w:rsidRPr="000053CF">
        <w:rPr>
          <w:szCs w:val="24"/>
          <w:lang w:val="en-US"/>
        </w:rPr>
        <w:t xml:space="preserve"> </w:t>
      </w:r>
      <w:r w:rsidR="00480769" w:rsidRPr="000053CF">
        <w:rPr>
          <w:szCs w:val="24"/>
          <w:lang w:val="en-US"/>
        </w:rPr>
        <w:t>200</w:t>
      </w:r>
      <w:r w:rsidR="004449C9" w:rsidRPr="000053CF">
        <w:rPr>
          <w:szCs w:val="24"/>
          <w:lang w:val="en-US"/>
        </w:rPr>
        <w:t>.</w:t>
      </w:r>
      <w:r w:rsidR="00FC4A5B" w:rsidRPr="000053CF">
        <w:rPr>
          <w:szCs w:val="24"/>
          <w:lang w:val="en-US"/>
        </w:rPr>
        <w:t xml:space="preserve"> </w:t>
      </w:r>
      <w:proofErr w:type="spellStart"/>
      <w:proofErr w:type="gramStart"/>
      <w:r w:rsidR="004449C9" w:rsidRPr="00C7601B">
        <w:rPr>
          <w:szCs w:val="24"/>
          <w:lang w:val="en-US"/>
        </w:rPr>
        <w:t>Pourvoi</w:t>
      </w:r>
      <w:proofErr w:type="spellEnd"/>
      <w:r w:rsidR="004449C9" w:rsidRPr="00C7601B">
        <w:rPr>
          <w:szCs w:val="24"/>
          <w:lang w:val="en-US"/>
        </w:rPr>
        <w:t xml:space="preserve"> </w:t>
      </w:r>
      <w:proofErr w:type="spellStart"/>
      <w:r w:rsidR="003D1702" w:rsidRPr="00C7601B">
        <w:rPr>
          <w:szCs w:val="24"/>
          <w:lang w:val="en-US"/>
        </w:rPr>
        <w:t>rejeté</w:t>
      </w:r>
      <w:proofErr w:type="spellEnd"/>
      <w:r w:rsidR="004449C9" w:rsidRPr="00C7601B">
        <w:rPr>
          <w:szCs w:val="24"/>
          <w:lang w:val="en-US"/>
        </w:rPr>
        <w:t>.</w:t>
      </w:r>
      <w:proofErr w:type="gramEnd"/>
    </w:p>
    <w:p w:rsidR="002116C3" w:rsidRPr="00C7601B" w:rsidRDefault="008A2F8D" w:rsidP="004030F1">
      <w:pPr>
        <w:pStyle w:val="SCCNormalDoubleSpacing"/>
        <w:spacing w:after="480"/>
        <w:rPr>
          <w:szCs w:val="24"/>
        </w:rPr>
      </w:pPr>
      <w:r w:rsidRPr="00C7601B">
        <w:rPr>
          <w:i/>
          <w:szCs w:val="24"/>
          <w:lang w:val="en-US"/>
        </w:rPr>
        <w:tab/>
      </w:r>
      <w:r w:rsidRPr="00C7601B">
        <w:rPr>
          <w:i/>
          <w:szCs w:val="24"/>
        </w:rPr>
        <w:t>Philippe Dufresne</w:t>
      </w:r>
      <w:r w:rsidRPr="00C7601B">
        <w:rPr>
          <w:szCs w:val="24"/>
        </w:rPr>
        <w:t xml:space="preserve"> et </w:t>
      </w:r>
      <w:r w:rsidRPr="00C7601B">
        <w:rPr>
          <w:i/>
          <w:szCs w:val="24"/>
        </w:rPr>
        <w:t>Daniel Poulin</w:t>
      </w:r>
      <w:r w:rsidR="00AF6C11" w:rsidRPr="00C7601B">
        <w:rPr>
          <w:szCs w:val="24"/>
        </w:rPr>
        <w:t>, pour l’</w:t>
      </w:r>
      <w:r w:rsidR="00231105" w:rsidRPr="00C7601B">
        <w:rPr>
          <w:szCs w:val="24"/>
        </w:rPr>
        <w:t>appelante la Commission canadienne des droits de la personne</w:t>
      </w:r>
      <w:r w:rsidRPr="00C7601B">
        <w:rPr>
          <w:szCs w:val="24"/>
        </w:rPr>
        <w:t>.</w:t>
      </w:r>
    </w:p>
    <w:p w:rsidR="002116C3" w:rsidRPr="00C7601B" w:rsidRDefault="008A2F8D" w:rsidP="004030F1">
      <w:pPr>
        <w:pStyle w:val="SCCNormalDoubleSpacing"/>
        <w:spacing w:after="480"/>
        <w:rPr>
          <w:szCs w:val="24"/>
        </w:rPr>
      </w:pPr>
      <w:r w:rsidRPr="00C7601B">
        <w:rPr>
          <w:i/>
          <w:szCs w:val="24"/>
        </w:rPr>
        <w:tab/>
        <w:t xml:space="preserve">Andrew </w:t>
      </w:r>
      <w:proofErr w:type="spellStart"/>
      <w:r w:rsidRPr="00C7601B">
        <w:rPr>
          <w:i/>
          <w:szCs w:val="24"/>
        </w:rPr>
        <w:t>Raven</w:t>
      </w:r>
      <w:proofErr w:type="spellEnd"/>
      <w:r w:rsidRPr="00C7601B">
        <w:rPr>
          <w:szCs w:val="24"/>
        </w:rPr>
        <w:t xml:space="preserve">, </w:t>
      </w:r>
      <w:r w:rsidR="00231105" w:rsidRPr="00C7601B">
        <w:rPr>
          <w:i/>
          <w:szCs w:val="24"/>
        </w:rPr>
        <w:t xml:space="preserve">Andrew </w:t>
      </w:r>
      <w:proofErr w:type="spellStart"/>
      <w:r w:rsidR="00231105" w:rsidRPr="00C7601B">
        <w:rPr>
          <w:i/>
          <w:szCs w:val="24"/>
        </w:rPr>
        <w:t>Astritis</w:t>
      </w:r>
      <w:proofErr w:type="spellEnd"/>
      <w:r w:rsidR="00231105" w:rsidRPr="00C7601B">
        <w:rPr>
          <w:i/>
          <w:szCs w:val="24"/>
        </w:rPr>
        <w:t xml:space="preserve"> </w:t>
      </w:r>
      <w:r w:rsidR="00231105" w:rsidRPr="00C7601B">
        <w:rPr>
          <w:szCs w:val="24"/>
        </w:rPr>
        <w:t>et</w:t>
      </w:r>
      <w:r w:rsidR="00231105" w:rsidRPr="00C7601B">
        <w:rPr>
          <w:i/>
          <w:szCs w:val="24"/>
        </w:rPr>
        <w:t xml:space="preserve"> </w:t>
      </w:r>
      <w:r w:rsidRPr="00C7601B">
        <w:rPr>
          <w:i/>
          <w:szCs w:val="24"/>
        </w:rPr>
        <w:t>Bijon Roy</w:t>
      </w:r>
      <w:r w:rsidR="00231105" w:rsidRPr="00C7601B">
        <w:rPr>
          <w:szCs w:val="24"/>
        </w:rPr>
        <w:t>, pour l’</w:t>
      </w:r>
      <w:r w:rsidRPr="00C7601B">
        <w:rPr>
          <w:szCs w:val="24"/>
        </w:rPr>
        <w:t>appelante</w:t>
      </w:r>
      <w:r w:rsidR="00231105" w:rsidRPr="00C7601B">
        <w:rPr>
          <w:szCs w:val="24"/>
        </w:rPr>
        <w:t xml:space="preserve"> Donna </w:t>
      </w:r>
      <w:proofErr w:type="spellStart"/>
      <w:r w:rsidR="00231105" w:rsidRPr="00C7601B">
        <w:rPr>
          <w:szCs w:val="24"/>
        </w:rPr>
        <w:t>Mowat</w:t>
      </w:r>
      <w:proofErr w:type="spellEnd"/>
      <w:r w:rsidRPr="00C7601B">
        <w:rPr>
          <w:szCs w:val="24"/>
        </w:rPr>
        <w:t>.</w:t>
      </w:r>
    </w:p>
    <w:p w:rsidR="002116C3" w:rsidRPr="00C7601B" w:rsidRDefault="008A2F8D" w:rsidP="004030F1">
      <w:pPr>
        <w:pStyle w:val="SCCNormalDoubleSpacing"/>
        <w:spacing w:after="480"/>
        <w:rPr>
          <w:szCs w:val="24"/>
        </w:rPr>
      </w:pPr>
      <w:r w:rsidRPr="00C7601B">
        <w:rPr>
          <w:i/>
          <w:szCs w:val="24"/>
        </w:rPr>
        <w:tab/>
      </w:r>
      <w:r w:rsidR="00231105" w:rsidRPr="00C7601B">
        <w:rPr>
          <w:i/>
          <w:szCs w:val="24"/>
        </w:rPr>
        <w:t xml:space="preserve">Peter Southey </w:t>
      </w:r>
      <w:r w:rsidR="00231105" w:rsidRPr="00C7601B">
        <w:rPr>
          <w:szCs w:val="24"/>
        </w:rPr>
        <w:t>et</w:t>
      </w:r>
      <w:r w:rsidR="00231105" w:rsidRPr="00C7601B">
        <w:rPr>
          <w:i/>
          <w:szCs w:val="24"/>
        </w:rPr>
        <w:t xml:space="preserve"> </w:t>
      </w:r>
      <w:r w:rsidRPr="00C7601B">
        <w:rPr>
          <w:i/>
          <w:szCs w:val="24"/>
        </w:rPr>
        <w:t>Sean Gaudet</w:t>
      </w:r>
      <w:r w:rsidRPr="00C7601B">
        <w:rPr>
          <w:szCs w:val="24"/>
        </w:rPr>
        <w:t>, pour l</w:t>
      </w:r>
      <w:r w:rsidR="00231105" w:rsidRPr="00C7601B">
        <w:rPr>
          <w:szCs w:val="24"/>
        </w:rPr>
        <w:t>’</w:t>
      </w:r>
      <w:r w:rsidRPr="00C7601B">
        <w:rPr>
          <w:szCs w:val="24"/>
        </w:rPr>
        <w:t>intimé.</w:t>
      </w:r>
    </w:p>
    <w:p w:rsidR="002116C3" w:rsidRPr="00C7601B" w:rsidRDefault="004030F1" w:rsidP="004030F1">
      <w:pPr>
        <w:pStyle w:val="SCCNormalDoubleSpacing"/>
        <w:spacing w:after="480"/>
        <w:rPr>
          <w:szCs w:val="24"/>
        </w:rPr>
      </w:pPr>
      <w:r w:rsidRPr="00C7601B">
        <w:rPr>
          <w:i/>
          <w:szCs w:val="24"/>
        </w:rPr>
        <w:tab/>
      </w:r>
      <w:proofErr w:type="spellStart"/>
      <w:r w:rsidRPr="00C7601B">
        <w:rPr>
          <w:i/>
          <w:szCs w:val="24"/>
        </w:rPr>
        <w:t>Reidar</w:t>
      </w:r>
      <w:proofErr w:type="spellEnd"/>
      <w:r w:rsidR="00FC4A5B" w:rsidRPr="00C7601B">
        <w:rPr>
          <w:i/>
          <w:szCs w:val="24"/>
        </w:rPr>
        <w:t xml:space="preserve"> </w:t>
      </w:r>
      <w:r w:rsidR="008A2F8D" w:rsidRPr="00C7601B">
        <w:rPr>
          <w:i/>
          <w:szCs w:val="24"/>
        </w:rPr>
        <w:t xml:space="preserve">M. </w:t>
      </w:r>
      <w:proofErr w:type="spellStart"/>
      <w:r w:rsidR="008A2F8D" w:rsidRPr="00C7601B">
        <w:rPr>
          <w:i/>
          <w:szCs w:val="24"/>
        </w:rPr>
        <w:t>Mogerman</w:t>
      </w:r>
      <w:proofErr w:type="spellEnd"/>
      <w:r w:rsidR="008A2F8D" w:rsidRPr="00C7601B">
        <w:rPr>
          <w:szCs w:val="24"/>
        </w:rPr>
        <w:t>, pour l</w:t>
      </w:r>
      <w:r w:rsidR="00231105" w:rsidRPr="00C7601B">
        <w:rPr>
          <w:szCs w:val="24"/>
        </w:rPr>
        <w:t>’</w:t>
      </w:r>
      <w:r w:rsidR="008A2F8D" w:rsidRPr="00C7601B">
        <w:rPr>
          <w:szCs w:val="24"/>
        </w:rPr>
        <w:t xml:space="preserve">intervenante </w:t>
      </w:r>
      <w:r w:rsidR="00231105" w:rsidRPr="00C7601B">
        <w:rPr>
          <w:szCs w:val="24"/>
        </w:rPr>
        <w:t>l’</w:t>
      </w:r>
      <w:r w:rsidR="008A2F8D" w:rsidRPr="00C7601B">
        <w:rPr>
          <w:szCs w:val="24"/>
        </w:rPr>
        <w:t>Association du Barreau canadien.</w:t>
      </w:r>
    </w:p>
    <w:p w:rsidR="002116C3" w:rsidRPr="00C7601B" w:rsidRDefault="008A2F8D" w:rsidP="004030F1">
      <w:pPr>
        <w:pStyle w:val="SCCNormalDoubleSpacing"/>
        <w:spacing w:after="480"/>
        <w:rPr>
          <w:szCs w:val="24"/>
        </w:rPr>
      </w:pPr>
      <w:r w:rsidRPr="00C7601B">
        <w:rPr>
          <w:i/>
          <w:szCs w:val="24"/>
        </w:rPr>
        <w:tab/>
      </w:r>
      <w:r w:rsidR="00231105" w:rsidRPr="00C7601B">
        <w:rPr>
          <w:i/>
          <w:szCs w:val="24"/>
        </w:rPr>
        <w:t xml:space="preserve">David Baker </w:t>
      </w:r>
      <w:r w:rsidR="00231105" w:rsidRPr="00C7601B">
        <w:rPr>
          <w:szCs w:val="24"/>
        </w:rPr>
        <w:t xml:space="preserve">et </w:t>
      </w:r>
      <w:r w:rsidRPr="00C7601B">
        <w:rPr>
          <w:i/>
          <w:szCs w:val="24"/>
        </w:rPr>
        <w:t>Paul Champ</w:t>
      </w:r>
      <w:r w:rsidRPr="00C7601B">
        <w:rPr>
          <w:szCs w:val="24"/>
        </w:rPr>
        <w:t>, pour l</w:t>
      </w:r>
      <w:r w:rsidR="00231105" w:rsidRPr="00C7601B">
        <w:rPr>
          <w:szCs w:val="24"/>
        </w:rPr>
        <w:t>’</w:t>
      </w:r>
      <w:r w:rsidRPr="00C7601B">
        <w:rPr>
          <w:szCs w:val="24"/>
        </w:rPr>
        <w:t>intervenant</w:t>
      </w:r>
      <w:r w:rsidR="00231105" w:rsidRPr="00C7601B">
        <w:rPr>
          <w:szCs w:val="24"/>
        </w:rPr>
        <w:t xml:space="preserve"> le</w:t>
      </w:r>
      <w:r w:rsidRPr="00C7601B">
        <w:rPr>
          <w:szCs w:val="24"/>
        </w:rPr>
        <w:t xml:space="preserve"> Conseil des Canadiens avec déficiences.</w:t>
      </w:r>
    </w:p>
    <w:p w:rsidR="001150FD" w:rsidRPr="00C7601B" w:rsidRDefault="001150FD" w:rsidP="004030F1">
      <w:pPr>
        <w:pStyle w:val="SCCNormalDoubleSpacing"/>
        <w:spacing w:after="480"/>
        <w:rPr>
          <w:szCs w:val="24"/>
        </w:rPr>
      </w:pPr>
      <w:r w:rsidRPr="00C7601B">
        <w:rPr>
          <w:szCs w:val="24"/>
        </w:rPr>
        <w:tab/>
        <w:t>Version française du jugement de la Cour rendu par</w:t>
      </w:r>
    </w:p>
    <w:p w:rsidR="00956B54" w:rsidRPr="00C7601B" w:rsidRDefault="00956B54" w:rsidP="00956B54">
      <w:pPr>
        <w:pStyle w:val="JudgeJuge"/>
        <w:spacing w:before="480"/>
        <w:rPr>
          <w:szCs w:val="24"/>
          <w:lang w:val="fr-CA"/>
        </w:rPr>
      </w:pPr>
      <w:r w:rsidRPr="00C7601B">
        <w:rPr>
          <w:smallCaps w:val="0"/>
          <w:szCs w:val="24"/>
          <w:lang w:val="fr-CA"/>
        </w:rPr>
        <w:tab/>
      </w:r>
      <w:r w:rsidRPr="00C7601B">
        <w:rPr>
          <w:szCs w:val="24"/>
          <w:lang w:val="fr-CA"/>
        </w:rPr>
        <w:t xml:space="preserve">Les juges </w:t>
      </w:r>
      <w:proofErr w:type="spellStart"/>
      <w:r w:rsidRPr="00C7601B">
        <w:rPr>
          <w:szCs w:val="24"/>
          <w:lang w:val="fr-CA"/>
        </w:rPr>
        <w:t>LeBel</w:t>
      </w:r>
      <w:proofErr w:type="spellEnd"/>
      <w:r w:rsidRPr="00C7601B">
        <w:rPr>
          <w:szCs w:val="24"/>
          <w:lang w:val="fr-CA"/>
        </w:rPr>
        <w:t xml:space="preserve"> et Cromwell </w:t>
      </w:r>
      <w:r w:rsidRPr="00C7601B">
        <w:rPr>
          <w:smallCaps w:val="0"/>
          <w:szCs w:val="24"/>
          <w:lang w:val="fr-CA"/>
        </w:rPr>
        <w:t xml:space="preserve">— </w:t>
      </w:r>
    </w:p>
    <w:p w:rsidR="00956B54" w:rsidRPr="00C7601B" w:rsidRDefault="00956B54" w:rsidP="00C7601B">
      <w:pPr>
        <w:pStyle w:val="TitleTitre-AltT"/>
        <w:tabs>
          <w:tab w:val="clear" w:pos="360"/>
          <w:tab w:val="left" w:pos="540"/>
        </w:tabs>
        <w:ind w:left="540" w:hanging="540"/>
        <w:rPr>
          <w:rFonts w:cs="Times New Roman"/>
          <w:szCs w:val="24"/>
          <w:lang w:val="fr-CA"/>
        </w:rPr>
      </w:pPr>
      <w:r w:rsidRPr="00C7601B">
        <w:rPr>
          <w:rFonts w:cs="Times New Roman"/>
          <w:szCs w:val="24"/>
          <w:lang w:val="fr-CA"/>
        </w:rPr>
        <w:lastRenderedPageBreak/>
        <w:t>I.</w:t>
      </w:r>
      <w:r w:rsidRPr="00C7601B">
        <w:rPr>
          <w:rFonts w:cs="Times New Roman"/>
          <w:szCs w:val="24"/>
          <w:lang w:val="fr-CA"/>
        </w:rPr>
        <w:tab/>
      </w:r>
      <w:r w:rsidRPr="00C7601B">
        <w:rPr>
          <w:rFonts w:cs="Times New Roman"/>
          <w:szCs w:val="24"/>
          <w:u w:val="single"/>
          <w:lang w:val="fr-CA"/>
        </w:rPr>
        <w:t>Vue d’ensemble</w:t>
      </w:r>
      <w:r w:rsidR="001150FD" w:rsidRPr="00C7601B">
        <w:rPr>
          <w:rFonts w:cs="Times New Roman"/>
          <w:szCs w:val="24"/>
          <w:lang w:val="fr-CA"/>
        </w:rPr>
        <w:t xml:space="preserve"> </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Le Tribunal canadien des droits de la personne peut ordonner à l’auteur d’un acte discriminatoire contraire à la </w:t>
      </w:r>
      <w:r w:rsidRPr="00C7601B">
        <w:rPr>
          <w:rFonts w:cs="Times New Roman"/>
          <w:i/>
          <w:szCs w:val="24"/>
          <w:lang w:val="fr-CA"/>
        </w:rPr>
        <w:t>Loi canadienne sur les droits de la personne</w:t>
      </w:r>
      <w:r w:rsidRPr="00C7601B">
        <w:rPr>
          <w:rFonts w:cs="Times New Roman"/>
          <w:szCs w:val="24"/>
          <w:lang w:val="fr-CA"/>
        </w:rPr>
        <w:t>,</w:t>
      </w:r>
      <w:r w:rsidRPr="00C7601B">
        <w:rPr>
          <w:rFonts w:cs="Times New Roman"/>
          <w:i/>
          <w:szCs w:val="24"/>
          <w:lang w:val="fr-CA"/>
        </w:rPr>
        <w:t xml:space="preserve"> </w:t>
      </w:r>
      <w:r w:rsidRPr="00C7601B">
        <w:rPr>
          <w:rFonts w:cs="Times New Roman"/>
          <w:szCs w:val="24"/>
          <w:lang w:val="fr-CA"/>
        </w:rPr>
        <w:t>L.R.C. 1985, ch.</w:t>
      </w:r>
      <w:r w:rsidR="00FC4A5B" w:rsidRPr="00C7601B">
        <w:rPr>
          <w:rFonts w:cs="Times New Roman"/>
          <w:szCs w:val="24"/>
          <w:lang w:val="fr-CA"/>
        </w:rPr>
        <w:t xml:space="preserve"> </w:t>
      </w:r>
      <w:r w:rsidRPr="00C7601B">
        <w:rPr>
          <w:rFonts w:cs="Times New Roman"/>
          <w:szCs w:val="24"/>
          <w:lang w:val="fr-CA"/>
        </w:rPr>
        <w:t>H</w:t>
      </w:r>
      <w:r w:rsidR="004A4BD5">
        <w:rPr>
          <w:rFonts w:cs="Times New Roman"/>
          <w:szCs w:val="24"/>
          <w:lang w:val="fr-CA"/>
        </w:rPr>
        <w:t>-</w:t>
      </w:r>
      <w:r w:rsidRPr="00C7601B">
        <w:rPr>
          <w:rFonts w:cs="Times New Roman"/>
          <w:szCs w:val="24"/>
          <w:lang w:val="fr-CA"/>
        </w:rPr>
        <w:t>6 («</w:t>
      </w:r>
      <w:r w:rsidR="00FC4A5B" w:rsidRPr="00C7601B">
        <w:rPr>
          <w:rFonts w:cs="Times New Roman"/>
          <w:szCs w:val="24"/>
          <w:lang w:val="fr-CA"/>
        </w:rPr>
        <w:t xml:space="preserve"> </w:t>
      </w:r>
      <w:r w:rsidRPr="00C7601B">
        <w:rPr>
          <w:rFonts w:cs="Times New Roman"/>
          <w:i/>
          <w:szCs w:val="24"/>
          <w:lang w:val="fr-CA"/>
        </w:rPr>
        <w:t>LCDP</w:t>
      </w:r>
      <w:r w:rsidR="00FC4A5B" w:rsidRPr="00C7601B">
        <w:rPr>
          <w:rFonts w:cs="Times New Roman"/>
          <w:szCs w:val="24"/>
          <w:lang w:val="fr-CA"/>
        </w:rPr>
        <w:t xml:space="preserve"> </w:t>
      </w:r>
      <w:r w:rsidRPr="00C7601B">
        <w:rPr>
          <w:rFonts w:cs="Times New Roman"/>
          <w:szCs w:val="24"/>
          <w:lang w:val="fr-CA"/>
        </w:rPr>
        <w:t>» ou «</w:t>
      </w:r>
      <w:r w:rsidR="00FC4A5B" w:rsidRPr="00C7601B">
        <w:rPr>
          <w:rFonts w:cs="Times New Roman"/>
          <w:szCs w:val="24"/>
          <w:lang w:val="fr-CA"/>
        </w:rPr>
        <w:t xml:space="preserve"> </w:t>
      </w:r>
      <w:r w:rsidRPr="00C7601B">
        <w:rPr>
          <w:rFonts w:cs="Times New Roman"/>
          <w:szCs w:val="24"/>
          <w:lang w:val="fr-CA"/>
        </w:rPr>
        <w:t>Loi</w:t>
      </w:r>
      <w:r w:rsidR="00FC4A5B" w:rsidRPr="00C7601B">
        <w:rPr>
          <w:rFonts w:cs="Times New Roman"/>
          <w:szCs w:val="24"/>
          <w:lang w:val="fr-CA"/>
        </w:rPr>
        <w:t xml:space="preserve"> </w:t>
      </w:r>
      <w:r w:rsidRPr="00C7601B">
        <w:rPr>
          <w:rFonts w:cs="Times New Roman"/>
          <w:szCs w:val="24"/>
          <w:lang w:val="fr-CA"/>
        </w:rPr>
        <w:t>») d’indemniser la victime des pertes de salaire et des frais supplémentaires occasionnés par le recours à d’autres biens, services, installations ou moyens d’hébergement, ainsi que «</w:t>
      </w:r>
      <w:r w:rsidR="00FC4A5B" w:rsidRPr="00C7601B">
        <w:rPr>
          <w:rFonts w:cs="Times New Roman"/>
          <w:szCs w:val="24"/>
          <w:lang w:val="fr-CA"/>
        </w:rPr>
        <w:t xml:space="preserve"> </w:t>
      </w:r>
      <w:r w:rsidRPr="00C7601B">
        <w:rPr>
          <w:rFonts w:cs="Times New Roman"/>
          <w:szCs w:val="24"/>
          <w:lang w:val="fr-CA"/>
        </w:rPr>
        <w:t>des dépenses entraînées par l’acte</w:t>
      </w:r>
      <w:r w:rsidR="00FC4A5B" w:rsidRPr="00C7601B">
        <w:rPr>
          <w:rFonts w:cs="Times New Roman"/>
          <w:szCs w:val="24"/>
          <w:lang w:val="fr-CA"/>
        </w:rPr>
        <w:t xml:space="preserve"> </w:t>
      </w:r>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53(2)).</w:t>
      </w:r>
      <w:r w:rsidR="00FC4A5B" w:rsidRPr="00C7601B">
        <w:rPr>
          <w:rFonts w:cs="Times New Roman"/>
          <w:szCs w:val="24"/>
          <w:lang w:val="fr-CA"/>
        </w:rPr>
        <w:t xml:space="preserve"> </w:t>
      </w:r>
      <w:r w:rsidRPr="00C7601B">
        <w:rPr>
          <w:rFonts w:cs="Times New Roman"/>
          <w:szCs w:val="24"/>
          <w:lang w:val="fr-CA"/>
        </w:rPr>
        <w:t>La principale question à trancher en l’espèce est celle de savoir si, en décidant que ce pouvoir d’ordonner l’indemnisation de la victime «</w:t>
      </w:r>
      <w:r w:rsidR="00FC4A5B" w:rsidRPr="00C7601B">
        <w:rPr>
          <w:rFonts w:cs="Times New Roman"/>
          <w:szCs w:val="24"/>
          <w:lang w:val="fr-CA"/>
        </w:rPr>
        <w:t xml:space="preserve"> </w:t>
      </w:r>
      <w:r w:rsidRPr="00C7601B">
        <w:rPr>
          <w:rFonts w:cs="Times New Roman"/>
          <w:szCs w:val="24"/>
          <w:lang w:val="fr-CA"/>
        </w:rPr>
        <w:t>des dépenses entraînées par l’acte [discriminatoire]</w:t>
      </w:r>
      <w:r w:rsidR="00FC4A5B" w:rsidRPr="00C7601B">
        <w:rPr>
          <w:rFonts w:cs="Times New Roman"/>
          <w:szCs w:val="24"/>
          <w:lang w:val="fr-CA"/>
        </w:rPr>
        <w:t xml:space="preserve"> </w:t>
      </w:r>
      <w:r w:rsidRPr="00C7601B">
        <w:rPr>
          <w:rFonts w:cs="Times New Roman"/>
          <w:szCs w:val="24"/>
          <w:lang w:val="fr-CA"/>
        </w:rPr>
        <w:t xml:space="preserve">» lui permettait également d’ordonner le paiement total ou partiel des dépens de la victime, le Tribunal a commis une erreur susceptible de contrôle judiciaire. </w:t>
      </w:r>
    </w:p>
    <w:p w:rsidR="00956B54" w:rsidRPr="00C7601B" w:rsidRDefault="00956B54" w:rsidP="00956B54">
      <w:pPr>
        <w:pStyle w:val="ParaNoNdepar-AltN"/>
        <w:rPr>
          <w:rFonts w:cs="Times New Roman"/>
          <w:szCs w:val="24"/>
          <w:lang w:val="fr-CA"/>
        </w:rPr>
      </w:pPr>
      <w:r w:rsidRPr="00C7601B">
        <w:rPr>
          <w:rFonts w:cs="Times New Roman"/>
          <w:szCs w:val="24"/>
          <w:lang w:val="fr-CA"/>
        </w:rPr>
        <w:t>Saisie d’une demande de contrôle judiciaire, la Cour fédérale a appliqué la norme de la décision raisonnable et a confirmé la décision du Tribunal selon laquelle il possédait ce pouvoir (2008 CF 118, 322 F.T.R. 222).</w:t>
      </w:r>
      <w:r w:rsidR="00FC4A5B" w:rsidRPr="00C7601B">
        <w:rPr>
          <w:rFonts w:cs="Times New Roman"/>
          <w:szCs w:val="24"/>
          <w:lang w:val="fr-CA"/>
        </w:rPr>
        <w:t xml:space="preserve"> </w:t>
      </w:r>
      <w:r w:rsidRPr="00C7601B">
        <w:rPr>
          <w:rFonts w:cs="Times New Roman"/>
          <w:szCs w:val="24"/>
          <w:lang w:val="fr-CA"/>
        </w:rPr>
        <w:t>La Cour d’appel fédérale a toutefois annulé la décision au motif que la norme de contrôle applicable était celle de la décision correcte et que la décision du Tribunal était incorrecte (2009 CAF 309, [2010] 4 R.C.F. 579).</w:t>
      </w:r>
      <w:r w:rsidR="00FC4A5B" w:rsidRPr="00C7601B">
        <w:rPr>
          <w:rFonts w:cs="Times New Roman"/>
          <w:szCs w:val="24"/>
          <w:lang w:val="fr-CA"/>
        </w:rPr>
        <w:t xml:space="preserve"> </w:t>
      </w:r>
      <w:r w:rsidRPr="00C7601B">
        <w:rPr>
          <w:rFonts w:cs="Times New Roman"/>
          <w:szCs w:val="24"/>
          <w:lang w:val="fr-CA"/>
        </w:rPr>
        <w:t xml:space="preserve">Elle a également estimé que même au regard de la norme de la décision raisonnable, la décision du Tribunal était déraisonnable. </w:t>
      </w:r>
    </w:p>
    <w:p w:rsidR="00956B54" w:rsidRPr="00C7601B" w:rsidRDefault="00956B54" w:rsidP="00956B54">
      <w:pPr>
        <w:pStyle w:val="ParaNoNdepar-AltN"/>
        <w:rPr>
          <w:rFonts w:cs="Times New Roman"/>
          <w:szCs w:val="24"/>
          <w:lang w:val="fr-CA"/>
        </w:rPr>
      </w:pPr>
      <w:r w:rsidRPr="00C7601B">
        <w:rPr>
          <w:rFonts w:cs="Times New Roman"/>
          <w:szCs w:val="24"/>
          <w:lang w:val="fr-CA"/>
        </w:rPr>
        <w:t>M</w:t>
      </w:r>
      <w:r w:rsidRPr="00C7601B">
        <w:rPr>
          <w:rFonts w:cs="Times New Roman"/>
          <w:szCs w:val="24"/>
          <w:vertAlign w:val="superscript"/>
          <w:lang w:val="fr-CA"/>
        </w:rPr>
        <w:t>me</w:t>
      </w:r>
      <w:r w:rsidR="00FC4A5B" w:rsidRPr="00C7601B">
        <w:rPr>
          <w:rFonts w:cs="Times New Roman"/>
          <w:szCs w:val="24"/>
          <w:lang w:val="fr-CA"/>
        </w:rPr>
        <w:t xml:space="preserve"> </w:t>
      </w:r>
      <w:proofErr w:type="spellStart"/>
      <w:r w:rsidRPr="00C7601B">
        <w:rPr>
          <w:rFonts w:cs="Times New Roman"/>
          <w:szCs w:val="24"/>
          <w:lang w:val="fr-CA"/>
        </w:rPr>
        <w:t>Mowat</w:t>
      </w:r>
      <w:proofErr w:type="spellEnd"/>
      <w:r w:rsidRPr="00C7601B">
        <w:rPr>
          <w:rFonts w:cs="Times New Roman"/>
          <w:szCs w:val="24"/>
          <w:lang w:val="fr-CA"/>
        </w:rPr>
        <w:t xml:space="preserve"> n’a pas pris part à l’instance en Cour d’appel fédérale, mais elle demande aujourd’hui à notre Cour de rétablir la décision du Tribunal.</w:t>
      </w:r>
      <w:r w:rsidR="00FC4A5B" w:rsidRPr="00C7601B">
        <w:rPr>
          <w:rFonts w:cs="Times New Roman"/>
          <w:szCs w:val="24"/>
          <w:lang w:val="fr-CA"/>
        </w:rPr>
        <w:t xml:space="preserve"> </w:t>
      </w:r>
      <w:r w:rsidRPr="00C7601B">
        <w:rPr>
          <w:rFonts w:cs="Times New Roman"/>
          <w:szCs w:val="24"/>
          <w:lang w:val="fr-CA"/>
        </w:rPr>
        <w:t xml:space="preserve">La </w:t>
      </w:r>
      <w:r w:rsidRPr="00C7601B">
        <w:rPr>
          <w:rFonts w:cs="Times New Roman"/>
          <w:szCs w:val="24"/>
          <w:lang w:val="fr-CA"/>
        </w:rPr>
        <w:lastRenderedPageBreak/>
        <w:t>Commission canadienne des droits de la personne, qui n’a pas été partie aux instances devant le Tribunal et la Cour fédérale, mais qui est intervenue en Cour d’appel fédérale, se constitue aujourd’hui partie appelante aux côtés de M</w:t>
      </w:r>
      <w:r w:rsidRPr="00C7601B">
        <w:rPr>
          <w:rFonts w:cs="Times New Roman"/>
          <w:szCs w:val="24"/>
          <w:vertAlign w:val="superscript"/>
          <w:lang w:val="fr-CA"/>
        </w:rPr>
        <w:t>me</w:t>
      </w:r>
      <w:r w:rsidR="00FC4A5B" w:rsidRPr="00C7601B">
        <w:rPr>
          <w:rFonts w:cs="Times New Roman"/>
          <w:szCs w:val="24"/>
          <w:lang w:val="fr-CA"/>
        </w:rPr>
        <w:t xml:space="preserve"> </w:t>
      </w:r>
      <w:proofErr w:type="spellStart"/>
      <w:r w:rsidRPr="00C7601B">
        <w:rPr>
          <w:rFonts w:cs="Times New Roman"/>
          <w:szCs w:val="24"/>
          <w:lang w:val="fr-CA"/>
        </w:rPr>
        <w:t>Mowat</w:t>
      </w:r>
      <w:proofErr w:type="spellEnd"/>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(Dans les présents motifs, «</w:t>
      </w:r>
      <w:r w:rsidR="00FC4A5B" w:rsidRPr="00C7601B">
        <w:rPr>
          <w:rFonts w:cs="Times New Roman"/>
          <w:szCs w:val="24"/>
          <w:lang w:val="fr-CA"/>
        </w:rPr>
        <w:t xml:space="preserve"> </w:t>
      </w:r>
      <w:r w:rsidRPr="00C7601B">
        <w:rPr>
          <w:rFonts w:cs="Times New Roman"/>
          <w:szCs w:val="24"/>
          <w:lang w:val="fr-CA"/>
        </w:rPr>
        <w:t>appelante</w:t>
      </w:r>
      <w:r w:rsidR="00FC4A5B" w:rsidRPr="00C7601B">
        <w:rPr>
          <w:rFonts w:cs="Times New Roman"/>
          <w:szCs w:val="24"/>
          <w:lang w:val="fr-CA"/>
        </w:rPr>
        <w:t xml:space="preserve"> </w:t>
      </w:r>
      <w:r w:rsidRPr="00C7601B">
        <w:rPr>
          <w:rFonts w:cs="Times New Roman"/>
          <w:szCs w:val="24"/>
          <w:lang w:val="fr-CA"/>
        </w:rPr>
        <w:t>» s’entend de M</w:t>
      </w:r>
      <w:r w:rsidRPr="00C7601B">
        <w:rPr>
          <w:rFonts w:cs="Times New Roman"/>
          <w:szCs w:val="24"/>
          <w:vertAlign w:val="superscript"/>
          <w:lang w:val="fr-CA"/>
        </w:rPr>
        <w:t>me</w:t>
      </w:r>
      <w:r w:rsidR="00FC4A5B" w:rsidRPr="00C7601B">
        <w:rPr>
          <w:rFonts w:cs="Times New Roman"/>
          <w:szCs w:val="24"/>
          <w:lang w:val="fr-CA"/>
        </w:rPr>
        <w:t xml:space="preserve"> </w:t>
      </w:r>
      <w:proofErr w:type="spellStart"/>
      <w:r w:rsidRPr="00C7601B">
        <w:rPr>
          <w:rFonts w:cs="Times New Roman"/>
          <w:szCs w:val="24"/>
          <w:lang w:val="fr-CA"/>
        </w:rPr>
        <w:t>Mowat</w:t>
      </w:r>
      <w:proofErr w:type="spellEnd"/>
      <w:r w:rsidRPr="00C7601B">
        <w:rPr>
          <w:rFonts w:cs="Times New Roman"/>
          <w:szCs w:val="24"/>
          <w:lang w:val="fr-CA"/>
        </w:rPr>
        <w:t>, et «</w:t>
      </w:r>
      <w:r w:rsidR="00FC4A5B" w:rsidRPr="00C7601B">
        <w:rPr>
          <w:rFonts w:cs="Times New Roman"/>
          <w:szCs w:val="24"/>
          <w:lang w:val="fr-CA"/>
        </w:rPr>
        <w:t xml:space="preserve"> </w:t>
      </w:r>
      <w:r w:rsidRPr="00C7601B">
        <w:rPr>
          <w:rFonts w:cs="Times New Roman"/>
          <w:szCs w:val="24"/>
          <w:lang w:val="fr-CA"/>
        </w:rPr>
        <w:t>Commission</w:t>
      </w:r>
      <w:r w:rsidR="00FC4A5B" w:rsidRPr="00C7601B">
        <w:rPr>
          <w:rFonts w:cs="Times New Roman"/>
          <w:szCs w:val="24"/>
          <w:lang w:val="fr-CA"/>
        </w:rPr>
        <w:t xml:space="preserve"> </w:t>
      </w:r>
      <w:r w:rsidRPr="00C7601B">
        <w:rPr>
          <w:rFonts w:cs="Times New Roman"/>
          <w:szCs w:val="24"/>
          <w:lang w:val="fr-CA"/>
        </w:rPr>
        <w:t>», de la Commission canadienne des droits de la personne.)</w:t>
      </w:r>
    </w:p>
    <w:p w:rsidR="00956B54" w:rsidRPr="00C7601B" w:rsidRDefault="00956B54" w:rsidP="00956B54">
      <w:pPr>
        <w:pStyle w:val="ParaNoNdepar-AltN"/>
        <w:rPr>
          <w:rFonts w:cs="Times New Roman"/>
          <w:szCs w:val="24"/>
          <w:lang w:val="fr-CA"/>
        </w:rPr>
      </w:pPr>
      <w:r w:rsidRPr="00C7601B">
        <w:rPr>
          <w:rFonts w:cs="Times New Roman"/>
          <w:szCs w:val="24"/>
          <w:lang w:val="fr-CA"/>
        </w:rPr>
        <w:t>Le pourvoi formé devant notre Cour soulève la question préliminaire de la norme de contrôle judiciaire qu’il convient d’appliquer à la décision du Tribunal, ainsi que la question principale de savoir si le Tribunal a commis une erreur susceptible de contrôle judiciaire lorsqu’il a conclu qu’il avait le pouvoir d’adjuger des dépens.</w:t>
      </w:r>
      <w:r w:rsidR="00FC4A5B" w:rsidRPr="00C7601B">
        <w:rPr>
          <w:rFonts w:cs="Times New Roman"/>
          <w:szCs w:val="24"/>
          <w:lang w:val="fr-CA"/>
        </w:rPr>
        <w:t xml:space="preserve"> </w:t>
      </w:r>
      <w:r w:rsidRPr="00C7601B">
        <w:rPr>
          <w:rFonts w:cs="Times New Roman"/>
          <w:szCs w:val="24"/>
          <w:lang w:val="fr-CA"/>
        </w:rPr>
        <w:t>Nous sommes d’avis que la norme applicable est celle de la décision raisonnable et que le Tribunal a interprété de manière déraisonnable cette facette de son pouvoir d’accorder réparation.</w:t>
      </w:r>
      <w:r w:rsidR="00FC4A5B" w:rsidRPr="00C7601B">
        <w:rPr>
          <w:rFonts w:cs="Times New Roman"/>
          <w:szCs w:val="24"/>
          <w:lang w:val="fr-CA"/>
        </w:rPr>
        <w:t xml:space="preserve"> </w:t>
      </w:r>
      <w:r w:rsidRPr="00C7601B">
        <w:rPr>
          <w:rFonts w:cs="Times New Roman"/>
          <w:szCs w:val="24"/>
          <w:lang w:val="fr-CA"/>
        </w:rPr>
        <w:t xml:space="preserve">Nous sommes par conséquent d’avis de rejeter le pourvoi. </w:t>
      </w:r>
    </w:p>
    <w:p w:rsidR="00956B54" w:rsidRPr="00C7601B" w:rsidRDefault="00956B54" w:rsidP="001150FD">
      <w:pPr>
        <w:pStyle w:val="TitleTitre-AltT"/>
        <w:tabs>
          <w:tab w:val="clear" w:pos="360"/>
          <w:tab w:val="left" w:pos="540"/>
        </w:tabs>
        <w:ind w:left="540" w:hanging="540"/>
        <w:rPr>
          <w:rFonts w:cs="Times New Roman"/>
          <w:szCs w:val="24"/>
          <w:lang w:val="fr-CA"/>
        </w:rPr>
      </w:pPr>
      <w:r w:rsidRPr="00C7601B">
        <w:rPr>
          <w:rFonts w:cs="Times New Roman"/>
          <w:szCs w:val="24"/>
          <w:lang w:val="fr-CA"/>
        </w:rPr>
        <w:t>II.</w:t>
      </w:r>
      <w:r w:rsidRPr="00C7601B">
        <w:rPr>
          <w:rFonts w:cs="Times New Roman"/>
          <w:szCs w:val="24"/>
          <w:lang w:val="fr-CA"/>
        </w:rPr>
        <w:tab/>
      </w:r>
      <w:r w:rsidRPr="00C7601B">
        <w:rPr>
          <w:rFonts w:cs="Times New Roman"/>
          <w:szCs w:val="24"/>
          <w:u w:val="single"/>
          <w:lang w:val="fr-CA"/>
        </w:rPr>
        <w:t>Faits à l’origine de l’instance</w:t>
      </w:r>
      <w:r w:rsidR="001150FD" w:rsidRPr="00C7601B">
        <w:rPr>
          <w:rFonts w:cs="Times New Roman"/>
          <w:szCs w:val="24"/>
          <w:lang w:val="fr-CA"/>
        </w:rPr>
        <w:t xml:space="preserve"> </w:t>
      </w:r>
    </w:p>
    <w:p w:rsidR="00956B54" w:rsidRPr="00C7601B" w:rsidRDefault="00956B54" w:rsidP="00956B54">
      <w:pPr>
        <w:pStyle w:val="ParaNoNdepar-AltN"/>
        <w:rPr>
          <w:rFonts w:cs="Times New Roman"/>
          <w:szCs w:val="24"/>
          <w:lang w:val="fr-CA"/>
        </w:rPr>
      </w:pPr>
      <w:r w:rsidRPr="00C7601B">
        <w:rPr>
          <w:rFonts w:cs="Times New Roman"/>
          <w:szCs w:val="24"/>
          <w:lang w:val="fr-CA"/>
        </w:rPr>
        <w:t>En 1995, après avoir exercé pendant 14 ans la fonction de technicienne des mouvements, M</w:t>
      </w:r>
      <w:r w:rsidRPr="00C7601B">
        <w:rPr>
          <w:rFonts w:cs="Times New Roman"/>
          <w:szCs w:val="24"/>
          <w:vertAlign w:val="superscript"/>
          <w:lang w:val="fr-CA"/>
        </w:rPr>
        <w:t>me</w:t>
      </w:r>
      <w:r w:rsidR="00FC4A5B" w:rsidRPr="00C7601B">
        <w:rPr>
          <w:rFonts w:cs="Times New Roman"/>
          <w:szCs w:val="24"/>
          <w:lang w:val="fr-CA"/>
        </w:rPr>
        <w:t xml:space="preserve"> </w:t>
      </w:r>
      <w:proofErr w:type="spellStart"/>
      <w:r w:rsidRPr="00C7601B">
        <w:rPr>
          <w:rFonts w:cs="Times New Roman"/>
          <w:szCs w:val="24"/>
          <w:lang w:val="fr-CA"/>
        </w:rPr>
        <w:t>Mowat</w:t>
      </w:r>
      <w:proofErr w:type="spellEnd"/>
      <w:r w:rsidRPr="00C7601B">
        <w:rPr>
          <w:rFonts w:cs="Times New Roman"/>
          <w:szCs w:val="24"/>
          <w:lang w:val="fr-CA"/>
        </w:rPr>
        <w:t xml:space="preserve"> a fait l’objet d’une libération obligatoire des Forces canadiennes.</w:t>
      </w:r>
      <w:r w:rsidR="00FC4A5B" w:rsidRPr="00C7601B">
        <w:rPr>
          <w:rFonts w:cs="Times New Roman"/>
          <w:szCs w:val="24"/>
          <w:lang w:val="fr-CA"/>
        </w:rPr>
        <w:t xml:space="preserve"> </w:t>
      </w:r>
      <w:r w:rsidRPr="00C7601B">
        <w:rPr>
          <w:rFonts w:cs="Times New Roman"/>
          <w:szCs w:val="24"/>
          <w:lang w:val="fr-CA"/>
        </w:rPr>
        <w:t>Au cours de sa carrière militaire, l’appelante a présenté un grand nombre de plaintes et de griefs en bonne et due forme, notamment contre des membres de sa chaîne de commandement.</w:t>
      </w:r>
      <w:r w:rsidR="00FC4A5B" w:rsidRPr="00C7601B">
        <w:rPr>
          <w:rFonts w:cs="Times New Roman"/>
          <w:szCs w:val="24"/>
          <w:lang w:val="fr-CA"/>
        </w:rPr>
        <w:t xml:space="preserve"> </w:t>
      </w:r>
      <w:r w:rsidRPr="00C7601B">
        <w:rPr>
          <w:rFonts w:cs="Times New Roman"/>
          <w:szCs w:val="24"/>
          <w:lang w:val="fr-CA"/>
        </w:rPr>
        <w:t>Bon nombre de ces plaintes et de ces griefs ont été soumis à l’état</w:t>
      </w:r>
      <w:r w:rsidR="00C7601B" w:rsidRPr="00C7601B">
        <w:rPr>
          <w:rFonts w:cs="Times New Roman"/>
          <w:szCs w:val="24"/>
          <w:lang w:val="fr-CA"/>
        </w:rPr>
        <w:t>-</w:t>
      </w:r>
      <w:r w:rsidRPr="00C7601B">
        <w:rPr>
          <w:rFonts w:cs="Times New Roman"/>
          <w:szCs w:val="24"/>
          <w:lang w:val="fr-CA"/>
        </w:rPr>
        <w:t xml:space="preserve">major de la Défense — le palier le plus élevé de règlement des </w:t>
      </w:r>
      <w:r w:rsidRPr="00C7601B">
        <w:rPr>
          <w:rFonts w:cs="Times New Roman"/>
          <w:szCs w:val="24"/>
          <w:lang w:val="fr-CA"/>
        </w:rPr>
        <w:lastRenderedPageBreak/>
        <w:t>griefs au sein des Forces canadiennes —, mais aucun n’a été jugé fondé (2005 TCDP 31, 54 C.H.R.R. D/21 (la «</w:t>
      </w:r>
      <w:r w:rsidR="00FC4A5B" w:rsidRPr="00C7601B">
        <w:rPr>
          <w:rFonts w:cs="Times New Roman"/>
          <w:szCs w:val="24"/>
          <w:lang w:val="fr-CA"/>
        </w:rPr>
        <w:t xml:space="preserve"> </w:t>
      </w:r>
      <w:r w:rsidRPr="00C7601B">
        <w:rPr>
          <w:rFonts w:cs="Times New Roman"/>
          <w:szCs w:val="24"/>
          <w:lang w:val="fr-CA"/>
        </w:rPr>
        <w:t>décision sur le fond</w:t>
      </w:r>
      <w:r w:rsidR="00FC4A5B" w:rsidRPr="00C7601B">
        <w:rPr>
          <w:rFonts w:cs="Times New Roman"/>
          <w:szCs w:val="24"/>
          <w:lang w:val="fr-CA"/>
        </w:rPr>
        <w:t xml:space="preserve"> </w:t>
      </w:r>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20, 81</w:t>
      </w:r>
      <w:r w:rsidR="00C7601B" w:rsidRPr="00C7601B">
        <w:rPr>
          <w:rFonts w:cs="Times New Roman"/>
          <w:szCs w:val="24"/>
          <w:lang w:val="fr-CA"/>
        </w:rPr>
        <w:t>-</w:t>
      </w:r>
      <w:r w:rsidRPr="00C7601B">
        <w:rPr>
          <w:rFonts w:cs="Times New Roman"/>
          <w:szCs w:val="24"/>
          <w:lang w:val="fr-CA"/>
        </w:rPr>
        <w:t>82, 94, 143, 193, 207</w:t>
      </w:r>
      <w:r w:rsidR="00C7601B" w:rsidRPr="00C7601B">
        <w:rPr>
          <w:rFonts w:cs="Times New Roman"/>
          <w:szCs w:val="24"/>
          <w:lang w:val="fr-CA"/>
        </w:rPr>
        <w:t>-</w:t>
      </w:r>
      <w:r w:rsidRPr="00C7601B">
        <w:rPr>
          <w:rFonts w:cs="Times New Roman"/>
          <w:szCs w:val="24"/>
          <w:lang w:val="fr-CA"/>
        </w:rPr>
        <w:t>208, 216, 218, 231, 236, 286, 294, 297 et 299).</w:t>
      </w:r>
      <w:r w:rsidR="00FC4A5B" w:rsidRPr="00C7601B">
        <w:rPr>
          <w:rFonts w:cs="Times New Roman"/>
          <w:szCs w:val="24"/>
          <w:lang w:val="fr-CA"/>
        </w:rPr>
        <w:t xml:space="preserve"> </w:t>
      </w:r>
      <w:r w:rsidRPr="00C7601B">
        <w:rPr>
          <w:rFonts w:cs="Times New Roman"/>
          <w:szCs w:val="24"/>
          <w:lang w:val="fr-CA"/>
        </w:rPr>
        <w:t>Les Forces canadiennes ont ouvert une enquête interne au sujet des propos d’un collègue de travail qui, de l’avis de l’appelante, constituaient du harcèlement sexuel à son endroit.</w:t>
      </w:r>
      <w:r w:rsidR="00FC4A5B" w:rsidRPr="00C7601B">
        <w:rPr>
          <w:rFonts w:cs="Times New Roman"/>
          <w:szCs w:val="24"/>
          <w:lang w:val="fr-CA"/>
        </w:rPr>
        <w:t xml:space="preserve"> </w:t>
      </w:r>
      <w:r w:rsidRPr="00C7601B">
        <w:rPr>
          <w:rFonts w:cs="Times New Roman"/>
          <w:szCs w:val="24"/>
          <w:lang w:val="fr-CA"/>
        </w:rPr>
        <w:t>Il a été conclu qu’il s’agissait effectivement de harcèlement sexuel (par.</w:t>
      </w:r>
      <w:r w:rsidR="00FC4A5B" w:rsidRPr="00C7601B">
        <w:rPr>
          <w:rFonts w:cs="Times New Roman"/>
          <w:szCs w:val="24"/>
          <w:lang w:val="fr-CA"/>
        </w:rPr>
        <w:t xml:space="preserve"> </w:t>
      </w:r>
      <w:r w:rsidRPr="00C7601B">
        <w:rPr>
          <w:rFonts w:cs="Times New Roman"/>
          <w:szCs w:val="24"/>
          <w:lang w:val="fr-CA"/>
        </w:rPr>
        <w:t>303).</w:t>
      </w:r>
      <w:r w:rsidR="00FC4A5B" w:rsidRPr="00C7601B">
        <w:rPr>
          <w:rFonts w:cs="Times New Roman"/>
          <w:szCs w:val="24"/>
          <w:lang w:val="fr-CA"/>
        </w:rPr>
        <w:t xml:space="preserve"> </w:t>
      </w:r>
      <w:r w:rsidRPr="00C7601B">
        <w:rPr>
          <w:rFonts w:cs="Times New Roman"/>
          <w:szCs w:val="24"/>
          <w:lang w:val="fr-CA"/>
        </w:rPr>
        <w:t>Les recommandations formulées dans les quelques rapports établis à la suite des incidents ont été suivies par le commandant de l’appelante, et des mesures disciplinaires ont été prises contre le collègue</w:t>
      </w:r>
      <w:r w:rsidR="001150FD" w:rsidRPr="00C7601B">
        <w:rPr>
          <w:rFonts w:cs="Times New Roman"/>
          <w:szCs w:val="24"/>
          <w:lang w:val="fr-CA"/>
        </w:rPr>
        <w:t xml:space="preserve"> visé par la plainte (par.</w:t>
      </w:r>
      <w:r w:rsidR="00C7601B" w:rsidRPr="00C7601B">
        <w:rPr>
          <w:rFonts w:cs="Times New Roman"/>
          <w:szCs w:val="24"/>
          <w:lang w:val="fr-CA"/>
        </w:rPr>
        <w:t> </w:t>
      </w:r>
      <w:r w:rsidR="001150FD" w:rsidRPr="00C7601B">
        <w:rPr>
          <w:rFonts w:cs="Times New Roman"/>
          <w:szCs w:val="24"/>
          <w:lang w:val="fr-CA"/>
        </w:rPr>
        <w:t>83-</w:t>
      </w:r>
      <w:r w:rsidRPr="00C7601B">
        <w:rPr>
          <w:rFonts w:cs="Times New Roman"/>
          <w:szCs w:val="24"/>
          <w:lang w:val="fr-CA"/>
        </w:rPr>
        <w:t>87).</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Cependant, en 1998, trois ans après son départ des Forces armées, l’appelante a saisi la Commission, sur le fondement </w:t>
      </w:r>
      <w:proofErr w:type="gramStart"/>
      <w:r w:rsidRPr="00C7601B">
        <w:rPr>
          <w:rFonts w:cs="Times New Roman"/>
          <w:szCs w:val="24"/>
          <w:lang w:val="fr-CA"/>
        </w:rPr>
        <w:t>des art</w:t>
      </w:r>
      <w:proofErr w:type="gramEnd"/>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 xml:space="preserve">7 et 14 de la </w:t>
      </w:r>
      <w:r w:rsidRPr="00C7601B">
        <w:rPr>
          <w:rFonts w:cs="Times New Roman"/>
          <w:i/>
          <w:szCs w:val="24"/>
          <w:lang w:val="fr-CA"/>
        </w:rPr>
        <w:t>LCDP</w:t>
      </w:r>
      <w:r w:rsidRPr="00C7601B">
        <w:rPr>
          <w:rFonts w:cs="Times New Roman"/>
          <w:szCs w:val="24"/>
          <w:lang w:val="fr-CA"/>
        </w:rPr>
        <w:t>, d’une plainte alléguant le harcèlement sexuel, la distinction défavorable en cours d’emploi et le refus de continuer de l’employer en raison de son sexe.</w:t>
      </w:r>
      <w:r w:rsidR="00FC4A5B" w:rsidRPr="00C7601B">
        <w:rPr>
          <w:rFonts w:cs="Times New Roman"/>
          <w:szCs w:val="24"/>
          <w:lang w:val="fr-CA"/>
        </w:rPr>
        <w:t xml:space="preserve"> </w:t>
      </w:r>
      <w:r w:rsidRPr="00C7601B">
        <w:rPr>
          <w:rFonts w:cs="Times New Roman"/>
          <w:szCs w:val="24"/>
          <w:lang w:val="fr-CA"/>
        </w:rPr>
        <w:t xml:space="preserve">L’affaire a finalement été portée devant le Tribunal canadien des droits de la personne. </w:t>
      </w:r>
    </w:p>
    <w:p w:rsidR="00956B54" w:rsidRPr="00C7601B" w:rsidRDefault="00956B54" w:rsidP="001150FD">
      <w:pPr>
        <w:pStyle w:val="TitleTitre-AltT"/>
        <w:tabs>
          <w:tab w:val="clear" w:pos="360"/>
          <w:tab w:val="left" w:pos="540"/>
        </w:tabs>
        <w:ind w:left="540" w:hanging="540"/>
        <w:rPr>
          <w:rFonts w:cs="Times New Roman"/>
          <w:szCs w:val="24"/>
          <w:lang w:val="fr-CA"/>
        </w:rPr>
      </w:pPr>
      <w:r w:rsidRPr="00C7601B">
        <w:rPr>
          <w:rFonts w:cs="Times New Roman"/>
          <w:szCs w:val="24"/>
          <w:lang w:val="fr-CA"/>
        </w:rPr>
        <w:t>III.</w:t>
      </w:r>
      <w:r w:rsidRPr="00C7601B">
        <w:rPr>
          <w:rFonts w:cs="Times New Roman"/>
          <w:szCs w:val="24"/>
          <w:lang w:val="fr-CA"/>
        </w:rPr>
        <w:tab/>
      </w:r>
      <w:r w:rsidRPr="00C7601B">
        <w:rPr>
          <w:rFonts w:cs="Times New Roman"/>
          <w:szCs w:val="24"/>
          <w:u w:val="single"/>
          <w:lang w:val="fr-CA"/>
        </w:rPr>
        <w:t>Historique judiciaire</w:t>
      </w:r>
      <w:r w:rsidR="001150FD" w:rsidRPr="00C7601B">
        <w:rPr>
          <w:rFonts w:cs="Times New Roman"/>
          <w:szCs w:val="24"/>
          <w:lang w:val="fr-CA"/>
        </w:rPr>
        <w:t xml:space="preserve"> </w:t>
      </w:r>
    </w:p>
    <w:p w:rsidR="00956B54" w:rsidRPr="00C7601B" w:rsidRDefault="00956B54" w:rsidP="001150FD">
      <w:pPr>
        <w:pStyle w:val="TitleTitre-AltT"/>
        <w:tabs>
          <w:tab w:val="clear" w:pos="360"/>
          <w:tab w:val="left" w:pos="540"/>
        </w:tabs>
        <w:ind w:left="0" w:firstLine="0"/>
        <w:rPr>
          <w:rFonts w:cs="Times New Roman"/>
          <w:szCs w:val="24"/>
          <w:lang w:val="fr-CA"/>
        </w:rPr>
      </w:pPr>
      <w:r w:rsidRPr="00C7601B">
        <w:rPr>
          <w:rFonts w:cs="Times New Roman"/>
          <w:szCs w:val="24"/>
          <w:lang w:val="fr-CA"/>
        </w:rPr>
        <w:t>A.</w:t>
      </w:r>
      <w:r w:rsidRPr="00C7601B">
        <w:rPr>
          <w:rFonts w:cs="Times New Roman"/>
          <w:szCs w:val="24"/>
          <w:lang w:val="fr-CA"/>
        </w:rPr>
        <w:tab/>
      </w:r>
      <w:r w:rsidRPr="00C7601B">
        <w:rPr>
          <w:rFonts w:cs="Times New Roman"/>
          <w:i/>
          <w:szCs w:val="24"/>
          <w:lang w:val="fr-CA"/>
        </w:rPr>
        <w:t>Tribunal canadien des droits de la personne, 2005 TCDP 31, 54 C.H.R.R. D/21</w:t>
      </w:r>
    </w:p>
    <w:p w:rsidR="00956B54" w:rsidRPr="00C7601B" w:rsidRDefault="00956B54" w:rsidP="00956B54">
      <w:pPr>
        <w:pStyle w:val="ParaNoNdepar-AltN"/>
        <w:rPr>
          <w:rFonts w:cs="Times New Roman"/>
          <w:szCs w:val="24"/>
          <w:lang w:val="fr-CA"/>
        </w:rPr>
      </w:pPr>
      <w:r w:rsidRPr="00C7601B">
        <w:rPr>
          <w:rFonts w:cs="Times New Roman"/>
          <w:szCs w:val="24"/>
          <w:lang w:val="fr-CA"/>
        </w:rPr>
        <w:t>Le Tribunal a consacré six semaines à l’audition de l’affaire, et son dossier comptait au moins 4</w:t>
      </w:r>
      <w:r w:rsidR="00C7601B" w:rsidRPr="00C7601B">
        <w:rPr>
          <w:rFonts w:cs="Times New Roman"/>
          <w:szCs w:val="24"/>
          <w:lang w:val="fr-CA"/>
        </w:rPr>
        <w:t> </w:t>
      </w:r>
      <w:r w:rsidRPr="00C7601B">
        <w:rPr>
          <w:rFonts w:cs="Times New Roman"/>
          <w:szCs w:val="24"/>
          <w:lang w:val="fr-CA"/>
        </w:rPr>
        <w:t>000 pages de transcription de témoignages et plus de 200 pièces.</w:t>
      </w:r>
      <w:r w:rsidR="00FC4A5B" w:rsidRPr="00C7601B">
        <w:rPr>
          <w:rFonts w:cs="Times New Roman"/>
          <w:szCs w:val="24"/>
          <w:lang w:val="fr-CA"/>
        </w:rPr>
        <w:t xml:space="preserve"> </w:t>
      </w:r>
      <w:r w:rsidRPr="00C7601B">
        <w:rPr>
          <w:rFonts w:cs="Times New Roman"/>
          <w:szCs w:val="24"/>
          <w:lang w:val="fr-CA"/>
        </w:rPr>
        <w:t>Son président et membre instructeur, J.</w:t>
      </w:r>
      <w:r w:rsidR="00FC4A5B" w:rsidRPr="00C7601B">
        <w:rPr>
          <w:rFonts w:cs="Times New Roman"/>
          <w:szCs w:val="24"/>
          <w:lang w:val="fr-CA"/>
        </w:rPr>
        <w:t xml:space="preserve"> </w:t>
      </w:r>
      <w:r w:rsidRPr="00C7601B">
        <w:rPr>
          <w:rFonts w:cs="Times New Roman"/>
          <w:szCs w:val="24"/>
          <w:lang w:val="fr-CA"/>
        </w:rPr>
        <w:t xml:space="preserve">Grant Sinclair, critique sévèrement la </w:t>
      </w:r>
      <w:r w:rsidRPr="00C7601B">
        <w:rPr>
          <w:rFonts w:cs="Times New Roman"/>
          <w:szCs w:val="24"/>
          <w:lang w:val="fr-CA"/>
        </w:rPr>
        <w:lastRenderedPageBreak/>
        <w:t>conduite de l’appelante pendant le déroulement de l’instance.</w:t>
      </w:r>
      <w:r w:rsidR="00FC4A5B" w:rsidRPr="00C7601B">
        <w:rPr>
          <w:rFonts w:cs="Times New Roman"/>
          <w:szCs w:val="24"/>
          <w:lang w:val="fr-CA"/>
        </w:rPr>
        <w:t xml:space="preserve"> </w:t>
      </w:r>
      <w:r w:rsidRPr="00C7601B">
        <w:rPr>
          <w:rFonts w:cs="Times New Roman"/>
          <w:szCs w:val="24"/>
          <w:lang w:val="fr-CA"/>
        </w:rPr>
        <w:t>Il fait observer que la plainte est «</w:t>
      </w:r>
      <w:r w:rsidR="00FC4A5B" w:rsidRPr="00C7601B">
        <w:rPr>
          <w:rFonts w:cs="Times New Roman"/>
          <w:szCs w:val="24"/>
          <w:lang w:val="fr-CA"/>
        </w:rPr>
        <w:t xml:space="preserve"> </w:t>
      </w:r>
      <w:r w:rsidRPr="00C7601B">
        <w:rPr>
          <w:rFonts w:cs="Times New Roman"/>
          <w:szCs w:val="24"/>
          <w:lang w:val="fr-CA"/>
        </w:rPr>
        <w:t>marquée par un manque fondamental de précision de la part de la plaignante quant à sa thèse</w:t>
      </w:r>
      <w:r w:rsidR="00FC4A5B" w:rsidRPr="00C7601B">
        <w:rPr>
          <w:rFonts w:cs="Times New Roman"/>
          <w:szCs w:val="24"/>
          <w:lang w:val="fr-CA"/>
        </w:rPr>
        <w:t xml:space="preserve"> </w:t>
      </w:r>
      <w:r w:rsidRPr="00C7601B">
        <w:rPr>
          <w:rFonts w:cs="Times New Roman"/>
          <w:szCs w:val="24"/>
          <w:lang w:val="fr-CA"/>
        </w:rPr>
        <w:t>», ses allégations relevant de la «</w:t>
      </w:r>
      <w:r w:rsidR="00FC4A5B" w:rsidRPr="00C7601B">
        <w:rPr>
          <w:rFonts w:cs="Times New Roman"/>
          <w:szCs w:val="24"/>
          <w:lang w:val="fr-CA"/>
        </w:rPr>
        <w:t xml:space="preserve"> </w:t>
      </w:r>
      <w:r w:rsidRPr="00C7601B">
        <w:rPr>
          <w:rFonts w:cs="Times New Roman"/>
          <w:szCs w:val="24"/>
          <w:lang w:val="fr-CA"/>
        </w:rPr>
        <w:t>théorie de la conspiration</w:t>
      </w:r>
      <w:r w:rsidR="00FC4A5B" w:rsidRPr="00C7601B">
        <w:rPr>
          <w:rFonts w:cs="Times New Roman"/>
          <w:szCs w:val="24"/>
          <w:lang w:val="fr-CA"/>
        </w:rPr>
        <w:t xml:space="preserve"> </w:t>
      </w:r>
      <w:r w:rsidRPr="00C7601B">
        <w:rPr>
          <w:rFonts w:cs="Times New Roman"/>
          <w:szCs w:val="24"/>
          <w:lang w:val="fr-CA"/>
        </w:rPr>
        <w:t>», et il déplore qu’il s’agisse d’une «</w:t>
      </w:r>
      <w:r w:rsidR="00FC4A5B" w:rsidRPr="00C7601B">
        <w:rPr>
          <w:rFonts w:cs="Times New Roman"/>
          <w:szCs w:val="24"/>
          <w:lang w:val="fr-CA"/>
        </w:rPr>
        <w:t xml:space="preserve"> </w:t>
      </w:r>
      <w:r w:rsidRPr="00C7601B">
        <w:rPr>
          <w:rFonts w:cs="Times New Roman"/>
          <w:szCs w:val="24"/>
          <w:lang w:val="fr-CA"/>
        </w:rPr>
        <w:t>plainte diffuse qui comporte des allégations décousues</w:t>
      </w:r>
      <w:r w:rsidR="00FC4A5B" w:rsidRPr="00C7601B">
        <w:rPr>
          <w:rFonts w:cs="Times New Roman"/>
          <w:szCs w:val="24"/>
          <w:lang w:val="fr-CA"/>
        </w:rPr>
        <w:t xml:space="preserve"> </w:t>
      </w:r>
      <w:r w:rsidRPr="00C7601B">
        <w:rPr>
          <w:rFonts w:cs="Times New Roman"/>
          <w:szCs w:val="24"/>
          <w:lang w:val="fr-CA"/>
        </w:rPr>
        <w:t>» (décision sur le fond, par.</w:t>
      </w:r>
      <w:r w:rsidR="00FC4A5B" w:rsidRPr="00C7601B">
        <w:rPr>
          <w:rFonts w:cs="Times New Roman"/>
          <w:szCs w:val="24"/>
          <w:lang w:val="fr-CA"/>
        </w:rPr>
        <w:t xml:space="preserve"> </w:t>
      </w:r>
      <w:r w:rsidRPr="00C7601B">
        <w:rPr>
          <w:rFonts w:cs="Times New Roman"/>
          <w:szCs w:val="24"/>
          <w:lang w:val="fr-CA"/>
        </w:rPr>
        <w:t>4, 357 et 408).</w:t>
      </w:r>
    </w:p>
    <w:p w:rsidR="00956B54" w:rsidRPr="00C7601B" w:rsidRDefault="00956B54" w:rsidP="00956B54">
      <w:pPr>
        <w:pStyle w:val="ParaNoNdepar-AltN"/>
        <w:rPr>
          <w:rFonts w:cs="Times New Roman"/>
          <w:szCs w:val="24"/>
          <w:lang w:val="fr-CA"/>
        </w:rPr>
      </w:pPr>
      <w:r w:rsidRPr="00C7601B">
        <w:rPr>
          <w:rFonts w:cs="Times New Roman"/>
          <w:szCs w:val="24"/>
          <w:lang w:val="fr-CA"/>
        </w:rPr>
        <w:t>Il conclut toutefois que l’appelante a établi en partie le bien</w:t>
      </w:r>
      <w:r w:rsidR="00C7601B" w:rsidRPr="00C7601B">
        <w:rPr>
          <w:rFonts w:cs="Times New Roman"/>
          <w:szCs w:val="24"/>
          <w:lang w:val="fr-CA"/>
        </w:rPr>
        <w:t>-</w:t>
      </w:r>
      <w:r w:rsidRPr="00C7601B">
        <w:rPr>
          <w:rFonts w:cs="Times New Roman"/>
          <w:szCs w:val="24"/>
          <w:lang w:val="fr-CA"/>
        </w:rPr>
        <w:t>fondé de sa plainte.</w:t>
      </w:r>
      <w:r w:rsidR="00FC4A5B" w:rsidRPr="00C7601B">
        <w:rPr>
          <w:rFonts w:cs="Times New Roman"/>
          <w:szCs w:val="24"/>
          <w:lang w:val="fr-CA"/>
        </w:rPr>
        <w:t xml:space="preserve"> </w:t>
      </w:r>
      <w:r w:rsidRPr="00C7601B">
        <w:rPr>
          <w:rFonts w:cs="Times New Roman"/>
          <w:szCs w:val="24"/>
          <w:lang w:val="fr-CA"/>
        </w:rPr>
        <w:t>À son avis, l’allégation de harcèlement sexuel, consécutive aux propos tenus par son collègue de travail à trois reprises, est prouvée, et il ajoute que les Forces armées n’ont pas pris de mesures adéquates ou conformes à leurs polit</w:t>
      </w:r>
      <w:r w:rsidR="00406220" w:rsidRPr="00C7601B">
        <w:rPr>
          <w:rFonts w:cs="Times New Roman"/>
          <w:szCs w:val="24"/>
          <w:lang w:val="fr-CA"/>
        </w:rPr>
        <w:t>iques (par.</w:t>
      </w:r>
      <w:r w:rsidR="00FC4A5B" w:rsidRPr="00C7601B">
        <w:rPr>
          <w:rFonts w:cs="Times New Roman"/>
          <w:szCs w:val="24"/>
          <w:lang w:val="fr-CA"/>
        </w:rPr>
        <w:t xml:space="preserve"> </w:t>
      </w:r>
      <w:r w:rsidR="00406220" w:rsidRPr="00C7601B">
        <w:rPr>
          <w:rFonts w:cs="Times New Roman"/>
          <w:szCs w:val="24"/>
          <w:lang w:val="fr-CA"/>
        </w:rPr>
        <w:t>42, 47, 49 et 312-</w:t>
      </w:r>
      <w:r w:rsidRPr="00C7601B">
        <w:rPr>
          <w:rFonts w:cs="Times New Roman"/>
          <w:szCs w:val="24"/>
          <w:lang w:val="fr-CA"/>
        </w:rPr>
        <w:t>322).</w:t>
      </w:r>
      <w:r w:rsidR="00FC4A5B" w:rsidRPr="00C7601B">
        <w:rPr>
          <w:rFonts w:cs="Times New Roman"/>
          <w:szCs w:val="24"/>
          <w:lang w:val="fr-CA"/>
        </w:rPr>
        <w:t xml:space="preserve"> </w:t>
      </w:r>
      <w:r w:rsidRPr="00C7601B">
        <w:rPr>
          <w:rFonts w:cs="Times New Roman"/>
          <w:szCs w:val="24"/>
          <w:lang w:val="fr-CA"/>
        </w:rPr>
        <w:t>Les autres allégations sont rejetées.</w:t>
      </w:r>
    </w:p>
    <w:p w:rsidR="00956B54" w:rsidRPr="00C7601B" w:rsidRDefault="00956B54" w:rsidP="00956B54">
      <w:pPr>
        <w:pStyle w:val="ParaNoNdepar-AltN"/>
        <w:rPr>
          <w:rFonts w:cs="Times New Roman"/>
          <w:szCs w:val="24"/>
          <w:lang w:val="fr-CA"/>
        </w:rPr>
      </w:pPr>
      <w:r w:rsidRPr="00C7601B">
        <w:rPr>
          <w:rFonts w:cs="Times New Roman"/>
          <w:szCs w:val="24"/>
          <w:lang w:val="fr-CA"/>
        </w:rPr>
        <w:t>Le Tribunal accorde à l’appelante la somme de 4</w:t>
      </w:r>
      <w:r w:rsidR="00E42AFA">
        <w:rPr>
          <w:rFonts w:cs="Times New Roman"/>
          <w:szCs w:val="24"/>
          <w:lang w:val="fr-CA"/>
        </w:rPr>
        <w:t> </w:t>
      </w:r>
      <w:r w:rsidRPr="00C7601B">
        <w:rPr>
          <w:rFonts w:cs="Times New Roman"/>
          <w:szCs w:val="24"/>
          <w:lang w:val="fr-CA"/>
        </w:rPr>
        <w:t>000</w:t>
      </w:r>
      <w:r w:rsidR="00E42AFA">
        <w:rPr>
          <w:rFonts w:cs="Times New Roman"/>
          <w:szCs w:val="24"/>
          <w:lang w:val="fr-CA"/>
        </w:rPr>
        <w:t> </w:t>
      </w:r>
      <w:r w:rsidRPr="00C7601B">
        <w:rPr>
          <w:rFonts w:cs="Times New Roman"/>
          <w:szCs w:val="24"/>
          <w:lang w:val="fr-CA"/>
        </w:rPr>
        <w:t>$ qui, majorée de l’intérêt, atteint 5</w:t>
      </w:r>
      <w:r w:rsidR="00E42AFA">
        <w:rPr>
          <w:rFonts w:cs="Times New Roman"/>
          <w:szCs w:val="24"/>
          <w:lang w:val="fr-CA"/>
        </w:rPr>
        <w:t> </w:t>
      </w:r>
      <w:r w:rsidRPr="00C7601B">
        <w:rPr>
          <w:rFonts w:cs="Times New Roman"/>
          <w:szCs w:val="24"/>
          <w:lang w:val="fr-CA"/>
        </w:rPr>
        <w:t>000</w:t>
      </w:r>
      <w:r w:rsidR="00E42AFA">
        <w:rPr>
          <w:rFonts w:cs="Times New Roman"/>
          <w:szCs w:val="24"/>
          <w:lang w:val="fr-CA"/>
        </w:rPr>
        <w:t> </w:t>
      </w:r>
      <w:r w:rsidRPr="00C7601B">
        <w:rPr>
          <w:rFonts w:cs="Times New Roman"/>
          <w:szCs w:val="24"/>
          <w:lang w:val="fr-CA"/>
        </w:rPr>
        <w:t>$, soit le maximum alors prévu par la loi pour le préjudice moral (par.</w:t>
      </w:r>
      <w:r w:rsidR="00FC4A5B" w:rsidRPr="00C7601B">
        <w:rPr>
          <w:rFonts w:cs="Times New Roman"/>
          <w:szCs w:val="24"/>
          <w:lang w:val="fr-CA"/>
        </w:rPr>
        <w:t xml:space="preserve"> </w:t>
      </w:r>
      <w:r w:rsidRPr="00C7601B">
        <w:rPr>
          <w:rFonts w:cs="Times New Roman"/>
          <w:szCs w:val="24"/>
          <w:lang w:val="fr-CA"/>
        </w:rPr>
        <w:t>7).</w:t>
      </w:r>
      <w:r w:rsidR="00FC4A5B" w:rsidRPr="00C7601B">
        <w:rPr>
          <w:rFonts w:cs="Times New Roman"/>
          <w:szCs w:val="24"/>
          <w:lang w:val="fr-CA"/>
        </w:rPr>
        <w:t xml:space="preserve"> </w:t>
      </w:r>
      <w:r w:rsidRPr="00C7601B">
        <w:rPr>
          <w:rFonts w:cs="Times New Roman"/>
          <w:szCs w:val="24"/>
          <w:lang w:val="fr-CA"/>
        </w:rPr>
        <w:t>Il conclut à l’application des dispositions de la Loi qui étaient en vigueur au moment où M</w:t>
      </w:r>
      <w:r w:rsidRPr="00C7601B">
        <w:rPr>
          <w:rFonts w:cs="Times New Roman"/>
          <w:szCs w:val="24"/>
          <w:vertAlign w:val="superscript"/>
          <w:lang w:val="fr-CA"/>
        </w:rPr>
        <w:t>me</w:t>
      </w:r>
      <w:r w:rsidR="00FC4A5B" w:rsidRPr="00C7601B">
        <w:rPr>
          <w:rFonts w:cs="Times New Roman"/>
          <w:szCs w:val="24"/>
          <w:lang w:val="fr-CA"/>
        </w:rPr>
        <w:t xml:space="preserve"> </w:t>
      </w:r>
      <w:proofErr w:type="spellStart"/>
      <w:r w:rsidRPr="00C7601B">
        <w:rPr>
          <w:rFonts w:cs="Times New Roman"/>
          <w:szCs w:val="24"/>
          <w:lang w:val="fr-CA"/>
        </w:rPr>
        <w:t>Mowat</w:t>
      </w:r>
      <w:proofErr w:type="spellEnd"/>
      <w:r w:rsidRPr="00C7601B">
        <w:rPr>
          <w:rFonts w:cs="Times New Roman"/>
          <w:szCs w:val="24"/>
          <w:lang w:val="fr-CA"/>
        </w:rPr>
        <w:t xml:space="preserve"> a déposé sa plainte et à la non</w:t>
      </w:r>
      <w:r w:rsidR="00C7601B" w:rsidRPr="00C7601B">
        <w:rPr>
          <w:rFonts w:cs="Times New Roman"/>
          <w:szCs w:val="24"/>
          <w:lang w:val="fr-CA"/>
        </w:rPr>
        <w:t>-</w:t>
      </w:r>
      <w:r w:rsidRPr="00C7601B">
        <w:rPr>
          <w:rFonts w:cs="Times New Roman"/>
          <w:szCs w:val="24"/>
          <w:lang w:val="fr-CA"/>
        </w:rPr>
        <w:t>rétroactivité des modifications substantielles apportées en 1998 (par.</w:t>
      </w:r>
      <w:r w:rsidR="00FC4A5B" w:rsidRPr="00C7601B">
        <w:rPr>
          <w:rFonts w:cs="Times New Roman"/>
          <w:szCs w:val="24"/>
          <w:lang w:val="fr-CA"/>
        </w:rPr>
        <w:t xml:space="preserve"> </w:t>
      </w:r>
      <w:r w:rsidRPr="00C7601B">
        <w:rPr>
          <w:rFonts w:cs="Times New Roman"/>
          <w:szCs w:val="24"/>
          <w:lang w:val="fr-CA"/>
        </w:rPr>
        <w:t>399</w:t>
      </w:r>
      <w:r w:rsidR="00C7601B" w:rsidRPr="00C7601B">
        <w:rPr>
          <w:rFonts w:cs="Times New Roman"/>
          <w:szCs w:val="24"/>
          <w:lang w:val="fr-CA"/>
        </w:rPr>
        <w:t>-</w:t>
      </w:r>
      <w:r w:rsidRPr="00C7601B">
        <w:rPr>
          <w:rFonts w:cs="Times New Roman"/>
          <w:szCs w:val="24"/>
          <w:lang w:val="fr-CA"/>
        </w:rPr>
        <w:t>401).</w:t>
      </w:r>
      <w:r w:rsidR="00FC4A5B" w:rsidRPr="00C7601B">
        <w:rPr>
          <w:rFonts w:cs="Times New Roman"/>
          <w:szCs w:val="24"/>
          <w:lang w:val="fr-CA"/>
        </w:rPr>
        <w:t xml:space="preserve"> </w:t>
      </w:r>
      <w:r w:rsidRPr="00C7601B">
        <w:rPr>
          <w:rFonts w:cs="Times New Roman"/>
          <w:szCs w:val="24"/>
          <w:lang w:val="fr-CA"/>
        </w:rPr>
        <w:t>Il demande ensuite à l’appelante de lui présenter des observations complémentaires au sujet des dépens réclamés s’élevant au total à plus de 196</w:t>
      </w:r>
      <w:r w:rsidR="00E42AFA">
        <w:rPr>
          <w:rFonts w:cs="Times New Roman"/>
          <w:szCs w:val="24"/>
          <w:lang w:val="fr-CA"/>
        </w:rPr>
        <w:t> </w:t>
      </w:r>
      <w:r w:rsidRPr="00C7601B">
        <w:rPr>
          <w:rFonts w:cs="Times New Roman"/>
          <w:szCs w:val="24"/>
          <w:lang w:val="fr-CA"/>
        </w:rPr>
        <w:t>000</w:t>
      </w:r>
      <w:r w:rsidR="00E42AFA">
        <w:rPr>
          <w:rFonts w:cs="Times New Roman"/>
          <w:szCs w:val="24"/>
          <w:lang w:val="fr-CA"/>
        </w:rPr>
        <w:t> </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Il lui fallait décider si le pouvoir du Tribunal d’indemniser la victime «</w:t>
      </w:r>
      <w:r w:rsidR="00FC4A5B" w:rsidRPr="00C7601B">
        <w:rPr>
          <w:rFonts w:cs="Times New Roman"/>
          <w:szCs w:val="24"/>
          <w:lang w:val="fr-CA"/>
        </w:rPr>
        <w:t xml:space="preserve"> </w:t>
      </w:r>
      <w:r w:rsidRPr="00C7601B">
        <w:rPr>
          <w:rFonts w:cs="Times New Roman"/>
          <w:szCs w:val="24"/>
          <w:lang w:val="fr-CA"/>
        </w:rPr>
        <w:t>des dépenses entraînées par l’acte</w:t>
      </w:r>
      <w:r w:rsidR="00FC4A5B" w:rsidRPr="00C7601B">
        <w:rPr>
          <w:rFonts w:cs="Times New Roman"/>
          <w:szCs w:val="24"/>
          <w:lang w:val="fr-CA"/>
        </w:rPr>
        <w:t xml:space="preserve"> </w:t>
      </w:r>
      <w:r w:rsidRPr="00C7601B">
        <w:rPr>
          <w:rFonts w:cs="Times New Roman"/>
          <w:szCs w:val="24"/>
          <w:lang w:val="fr-CA"/>
        </w:rPr>
        <w:t>[discriminatoire]</w:t>
      </w:r>
      <w:r w:rsidR="00FC4A5B" w:rsidRPr="00C7601B">
        <w:rPr>
          <w:rFonts w:cs="Times New Roman"/>
          <w:szCs w:val="24"/>
          <w:lang w:val="fr-CA"/>
        </w:rPr>
        <w:t xml:space="preserve"> </w:t>
      </w:r>
      <w:r w:rsidRPr="00C7601B">
        <w:rPr>
          <w:rFonts w:cs="Times New Roman"/>
          <w:szCs w:val="24"/>
          <w:lang w:val="fr-CA"/>
        </w:rPr>
        <w:t>» conféré aux al.</w:t>
      </w:r>
      <w:r w:rsidR="00FC4A5B" w:rsidRPr="00C7601B">
        <w:rPr>
          <w:rFonts w:cs="Times New Roman"/>
          <w:szCs w:val="24"/>
          <w:lang w:val="fr-CA"/>
        </w:rPr>
        <w:t xml:space="preserve"> </w:t>
      </w:r>
      <w:r w:rsidRPr="00C7601B">
        <w:rPr>
          <w:rFonts w:cs="Times New Roman"/>
          <w:szCs w:val="24"/>
          <w:lang w:val="fr-CA"/>
        </w:rPr>
        <w:t>53(2)</w:t>
      </w:r>
      <w:r w:rsidRPr="00C7601B">
        <w:rPr>
          <w:rFonts w:cs="Times New Roman"/>
          <w:i/>
          <w:szCs w:val="24"/>
          <w:lang w:val="fr-CA"/>
        </w:rPr>
        <w:t>c</w:t>
      </w:r>
      <w:r w:rsidRPr="00C7601B">
        <w:rPr>
          <w:rFonts w:cs="Times New Roman"/>
          <w:szCs w:val="24"/>
          <w:lang w:val="fr-CA"/>
        </w:rPr>
        <w:t xml:space="preserve">) et </w:t>
      </w:r>
      <w:r w:rsidRPr="00C7601B">
        <w:rPr>
          <w:rFonts w:cs="Times New Roman"/>
          <w:i/>
          <w:szCs w:val="24"/>
          <w:lang w:val="fr-CA"/>
        </w:rPr>
        <w:t>d</w:t>
      </w:r>
      <w:r w:rsidRPr="00C7601B">
        <w:rPr>
          <w:rFonts w:cs="Times New Roman"/>
          <w:szCs w:val="24"/>
          <w:lang w:val="fr-CA"/>
        </w:rPr>
        <w:t xml:space="preserve">) de la </w:t>
      </w:r>
      <w:r w:rsidRPr="00C7601B">
        <w:rPr>
          <w:rFonts w:cs="Times New Roman"/>
          <w:i/>
          <w:szCs w:val="24"/>
          <w:lang w:val="fr-CA"/>
        </w:rPr>
        <w:t>LCDP</w:t>
      </w:r>
      <w:r w:rsidRPr="00C7601B">
        <w:rPr>
          <w:rFonts w:cs="Times New Roman"/>
          <w:szCs w:val="24"/>
          <w:lang w:val="fr-CA"/>
        </w:rPr>
        <w:t xml:space="preserve"> comprenait celui d’adjuger des dépens. </w:t>
      </w:r>
    </w:p>
    <w:p w:rsidR="00956B54" w:rsidRPr="00C7601B" w:rsidRDefault="00956B54" w:rsidP="00956B54">
      <w:pPr>
        <w:pStyle w:val="ParaNoNdepar-AltN"/>
        <w:rPr>
          <w:rFonts w:cs="Times New Roman"/>
          <w:szCs w:val="24"/>
          <w:lang w:val="fr-CA"/>
        </w:rPr>
      </w:pPr>
      <w:r w:rsidRPr="00C7601B">
        <w:rPr>
          <w:rFonts w:cs="Times New Roman"/>
          <w:szCs w:val="24"/>
          <w:lang w:val="fr-CA"/>
        </w:rPr>
        <w:lastRenderedPageBreak/>
        <w:t xml:space="preserve">Dans une décision distincte, après examen de la jurisprudence contradictoire de la Cour fédérale et des considérations de principe favorables au paiement des frais de justice, le membre instructeur Sinclair s’estime investi du pouvoir d’adjuger des dépens </w:t>
      </w:r>
      <w:r w:rsidR="00406220" w:rsidRPr="00C7601B">
        <w:rPr>
          <w:rFonts w:cs="Times New Roman"/>
          <w:szCs w:val="24"/>
          <w:lang w:val="fr-CA"/>
        </w:rPr>
        <w:t>(2006 TCDP 49 (</w:t>
      </w:r>
      <w:proofErr w:type="spellStart"/>
      <w:r w:rsidR="00406220" w:rsidRPr="00C7601B">
        <w:rPr>
          <w:rFonts w:cs="Times New Roman"/>
          <w:szCs w:val="24"/>
          <w:lang w:val="fr-CA"/>
        </w:rPr>
        <w:t>Can</w:t>
      </w:r>
      <w:r w:rsidRPr="00C7601B">
        <w:rPr>
          <w:rFonts w:cs="Times New Roman"/>
          <w:szCs w:val="24"/>
          <w:lang w:val="fr-CA"/>
        </w:rPr>
        <w:t>LII</w:t>
      </w:r>
      <w:proofErr w:type="spellEnd"/>
      <w:r w:rsidRPr="00C7601B">
        <w:rPr>
          <w:rFonts w:cs="Times New Roman"/>
          <w:szCs w:val="24"/>
          <w:lang w:val="fr-CA"/>
        </w:rPr>
        <w:t>) (la «</w:t>
      </w:r>
      <w:r w:rsidR="00FC4A5B" w:rsidRPr="00C7601B">
        <w:rPr>
          <w:rFonts w:cs="Times New Roman"/>
          <w:szCs w:val="24"/>
          <w:lang w:val="fr-CA"/>
        </w:rPr>
        <w:t xml:space="preserve"> </w:t>
      </w:r>
      <w:r w:rsidRPr="00C7601B">
        <w:rPr>
          <w:rFonts w:cs="Times New Roman"/>
          <w:szCs w:val="24"/>
          <w:lang w:val="fr-CA"/>
        </w:rPr>
        <w:t>décision relative aux dépens</w:t>
      </w:r>
      <w:r w:rsidR="00FC4A5B" w:rsidRPr="00C7601B">
        <w:rPr>
          <w:rFonts w:cs="Times New Roman"/>
          <w:szCs w:val="24"/>
          <w:lang w:val="fr-CA"/>
        </w:rPr>
        <w:t xml:space="preserve"> </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 xml:space="preserve">Il conclut que le plaignant qui aurait gain de cause sans pouvoir recouvrer ses dépens remporterait une victoire </w:t>
      </w:r>
      <w:proofErr w:type="gramStart"/>
      <w:r w:rsidRPr="00C7601B">
        <w:rPr>
          <w:rFonts w:cs="Times New Roman"/>
          <w:szCs w:val="24"/>
          <w:lang w:val="fr-CA"/>
        </w:rPr>
        <w:t>fort</w:t>
      </w:r>
      <w:proofErr w:type="gramEnd"/>
      <w:r w:rsidRPr="00C7601B">
        <w:rPr>
          <w:rFonts w:cs="Times New Roman"/>
          <w:szCs w:val="24"/>
          <w:lang w:val="fr-CA"/>
        </w:rPr>
        <w:t xml:space="preserve"> «</w:t>
      </w:r>
      <w:r w:rsidR="00FC4A5B" w:rsidRPr="00C7601B">
        <w:rPr>
          <w:rFonts w:cs="Times New Roman"/>
          <w:szCs w:val="24"/>
          <w:lang w:val="fr-CA"/>
        </w:rPr>
        <w:t xml:space="preserve"> </w:t>
      </w:r>
      <w:r w:rsidRPr="00C7601B">
        <w:rPr>
          <w:rFonts w:cs="Times New Roman"/>
          <w:szCs w:val="24"/>
          <w:lang w:val="fr-CA"/>
        </w:rPr>
        <w:t>coûteuse</w:t>
      </w:r>
      <w:r w:rsidR="00FC4A5B" w:rsidRPr="00C7601B">
        <w:rPr>
          <w:rFonts w:cs="Times New Roman"/>
          <w:szCs w:val="24"/>
          <w:lang w:val="fr-CA"/>
        </w:rPr>
        <w:t xml:space="preserve"> </w:t>
      </w:r>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29).</w:t>
      </w:r>
      <w:r w:rsidR="00FC4A5B" w:rsidRPr="00C7601B">
        <w:rPr>
          <w:rFonts w:cs="Times New Roman"/>
          <w:szCs w:val="24"/>
          <w:lang w:val="fr-CA"/>
        </w:rPr>
        <w:t xml:space="preserve"> </w:t>
      </w:r>
      <w:r w:rsidRPr="00C7601B">
        <w:rPr>
          <w:rFonts w:cs="Times New Roman"/>
          <w:szCs w:val="24"/>
          <w:lang w:val="fr-CA"/>
        </w:rPr>
        <w:t>Il accorde alors à M</w:t>
      </w:r>
      <w:r w:rsidRPr="00C7601B">
        <w:rPr>
          <w:rFonts w:cs="Times New Roman"/>
          <w:szCs w:val="24"/>
          <w:vertAlign w:val="superscript"/>
          <w:lang w:val="fr-CA"/>
        </w:rPr>
        <w:t>me</w:t>
      </w:r>
      <w:r w:rsidR="00FC4A5B" w:rsidRPr="00C7601B">
        <w:rPr>
          <w:rFonts w:cs="Times New Roman"/>
          <w:szCs w:val="24"/>
          <w:lang w:val="fr-CA"/>
        </w:rPr>
        <w:t xml:space="preserve"> </w:t>
      </w:r>
      <w:proofErr w:type="spellStart"/>
      <w:r w:rsidRPr="00C7601B">
        <w:rPr>
          <w:rFonts w:cs="Times New Roman"/>
          <w:szCs w:val="24"/>
          <w:lang w:val="fr-CA"/>
        </w:rPr>
        <w:t>Mowat</w:t>
      </w:r>
      <w:proofErr w:type="spellEnd"/>
      <w:r w:rsidRPr="00C7601B">
        <w:rPr>
          <w:rFonts w:cs="Times New Roman"/>
          <w:szCs w:val="24"/>
          <w:lang w:val="fr-CA"/>
        </w:rPr>
        <w:t xml:space="preserve"> 47</w:t>
      </w:r>
      <w:r w:rsidR="00FC4A5B" w:rsidRPr="00C7601B">
        <w:rPr>
          <w:rFonts w:cs="Times New Roman"/>
          <w:szCs w:val="24"/>
          <w:lang w:val="fr-CA"/>
        </w:rPr>
        <w:t xml:space="preserve"> </w:t>
      </w:r>
      <w:r w:rsidRPr="00C7601B">
        <w:rPr>
          <w:rFonts w:cs="Times New Roman"/>
          <w:szCs w:val="24"/>
          <w:lang w:val="fr-CA"/>
        </w:rPr>
        <w:t>000</w:t>
      </w:r>
      <w:r w:rsidR="00FC4A5B" w:rsidRPr="00C7601B">
        <w:rPr>
          <w:rFonts w:cs="Times New Roman"/>
          <w:szCs w:val="24"/>
          <w:lang w:val="fr-CA"/>
        </w:rPr>
        <w:t xml:space="preserve"> </w:t>
      </w:r>
      <w:r w:rsidRPr="00C7601B">
        <w:rPr>
          <w:rFonts w:cs="Times New Roman"/>
          <w:szCs w:val="24"/>
          <w:lang w:val="fr-CA"/>
        </w:rPr>
        <w:t>$ pour ses frais juridiques, un montant qu’il établit en fonction du nombre d’éléments de preuve présentés à l’appui de l’allégation de harcèlement sexuel — dont le bien</w:t>
      </w:r>
      <w:r w:rsidR="00C7601B" w:rsidRPr="00C7601B">
        <w:rPr>
          <w:rFonts w:cs="Times New Roman"/>
          <w:szCs w:val="24"/>
          <w:lang w:val="fr-CA"/>
        </w:rPr>
        <w:t>-</w:t>
      </w:r>
      <w:r w:rsidRPr="00C7601B">
        <w:rPr>
          <w:rFonts w:cs="Times New Roman"/>
          <w:szCs w:val="24"/>
          <w:lang w:val="fr-CA"/>
        </w:rPr>
        <w:t>fondé est reconnu — par rapport au reste de la preuve offerte à l’appui des allégations rejetées.</w:t>
      </w:r>
    </w:p>
    <w:p w:rsidR="00956B54" w:rsidRPr="00C7601B" w:rsidRDefault="00956B54" w:rsidP="00406220">
      <w:pPr>
        <w:pStyle w:val="TitleTitre-AltT"/>
        <w:tabs>
          <w:tab w:val="clear" w:pos="360"/>
          <w:tab w:val="left" w:pos="540"/>
          <w:tab w:val="left" w:pos="1440"/>
        </w:tabs>
        <w:ind w:left="0" w:firstLine="0"/>
        <w:rPr>
          <w:rFonts w:cs="Times New Roman"/>
          <w:szCs w:val="24"/>
          <w:lang w:val="fr-CA"/>
        </w:rPr>
      </w:pPr>
      <w:r w:rsidRPr="00C7601B">
        <w:rPr>
          <w:rFonts w:cs="Times New Roman"/>
          <w:szCs w:val="24"/>
          <w:lang w:val="fr-CA"/>
        </w:rPr>
        <w:t>B.</w:t>
      </w:r>
      <w:r w:rsidRPr="00C7601B">
        <w:rPr>
          <w:rFonts w:cs="Times New Roman"/>
          <w:szCs w:val="24"/>
          <w:lang w:val="fr-CA"/>
        </w:rPr>
        <w:tab/>
      </w:r>
      <w:r w:rsidRPr="00C7601B">
        <w:rPr>
          <w:rFonts w:cs="Times New Roman"/>
          <w:i/>
          <w:szCs w:val="24"/>
          <w:lang w:val="fr-CA"/>
        </w:rPr>
        <w:t>Contrôle judiciaire — Cour fédérale du Canada, 2008 CF 118</w:t>
      </w:r>
      <w:r w:rsidR="00406220" w:rsidRPr="00C7601B">
        <w:rPr>
          <w:rFonts w:cs="Times New Roman"/>
          <w:i/>
          <w:szCs w:val="24"/>
          <w:lang w:val="fr-CA"/>
        </w:rPr>
        <w:t xml:space="preserve"> (</w:t>
      </w:r>
      <w:proofErr w:type="spellStart"/>
      <w:r w:rsidR="00406220" w:rsidRPr="00C7601B">
        <w:rPr>
          <w:rFonts w:cs="Times New Roman"/>
          <w:i/>
          <w:szCs w:val="24"/>
          <w:lang w:val="fr-CA"/>
        </w:rPr>
        <w:t>CanLII</w:t>
      </w:r>
      <w:proofErr w:type="spellEnd"/>
      <w:r w:rsidR="00406220" w:rsidRPr="00C7601B">
        <w:rPr>
          <w:rFonts w:cs="Times New Roman"/>
          <w:i/>
          <w:szCs w:val="24"/>
          <w:lang w:val="fr-CA"/>
        </w:rPr>
        <w:t>)</w:t>
      </w:r>
    </w:p>
    <w:p w:rsidR="00956B54" w:rsidRPr="00C7601B" w:rsidRDefault="00956B54" w:rsidP="00956B54">
      <w:pPr>
        <w:pStyle w:val="ParaNoNdepar-AltN"/>
        <w:widowControl w:val="0"/>
        <w:rPr>
          <w:rFonts w:cs="Times New Roman"/>
          <w:szCs w:val="24"/>
          <w:lang w:val="fr-CA"/>
        </w:rPr>
      </w:pPr>
      <w:r w:rsidRPr="00C7601B">
        <w:rPr>
          <w:rFonts w:cs="Times New Roman"/>
          <w:szCs w:val="24"/>
          <w:lang w:val="fr-CA"/>
        </w:rPr>
        <w:t>Le procureur général du Canada a demandé le contrôle judiciaire de la décision relative aux dépens, mais l’appelante n’a pas pris part à l’instance.</w:t>
      </w:r>
      <w:r w:rsidR="00FC4A5B" w:rsidRPr="00C7601B">
        <w:rPr>
          <w:rFonts w:cs="Times New Roman"/>
          <w:szCs w:val="24"/>
          <w:lang w:val="fr-CA"/>
        </w:rPr>
        <w:t xml:space="preserve"> </w:t>
      </w:r>
      <w:r w:rsidRPr="00C7601B">
        <w:rPr>
          <w:rFonts w:cs="Times New Roman"/>
          <w:szCs w:val="24"/>
          <w:lang w:val="fr-CA"/>
        </w:rPr>
        <w:t xml:space="preserve">Examinant en premier lieu la question de la norme de contrôle, le juge </w:t>
      </w:r>
      <w:proofErr w:type="spellStart"/>
      <w:r w:rsidRPr="00C7601B">
        <w:rPr>
          <w:rFonts w:cs="Times New Roman"/>
          <w:szCs w:val="24"/>
          <w:lang w:val="fr-CA"/>
        </w:rPr>
        <w:t>Mandamin</w:t>
      </w:r>
      <w:proofErr w:type="spellEnd"/>
      <w:r w:rsidRPr="00C7601B">
        <w:rPr>
          <w:rFonts w:cs="Times New Roman"/>
          <w:szCs w:val="24"/>
          <w:lang w:val="fr-CA"/>
        </w:rPr>
        <w:t xml:space="preserve"> applique les quatre facteurs formulés dans l’arrêt </w:t>
      </w:r>
      <w:proofErr w:type="spellStart"/>
      <w:r w:rsidRPr="00C7601B">
        <w:rPr>
          <w:rFonts w:cs="Times New Roman"/>
          <w:i/>
          <w:szCs w:val="24"/>
          <w:lang w:val="fr-CA"/>
        </w:rPr>
        <w:t>Pushpanathan</w:t>
      </w:r>
      <w:proofErr w:type="spellEnd"/>
      <w:r w:rsidRPr="00C7601B">
        <w:rPr>
          <w:rFonts w:cs="Times New Roman"/>
          <w:i/>
          <w:szCs w:val="24"/>
          <w:lang w:val="fr-CA"/>
        </w:rPr>
        <w:t xml:space="preserve"> c. Canada (Ministre de la Citoyenneté et de l’Immigration)</w:t>
      </w:r>
      <w:r w:rsidRPr="00C7601B">
        <w:rPr>
          <w:rFonts w:cs="Times New Roman"/>
          <w:szCs w:val="24"/>
          <w:lang w:val="fr-CA"/>
        </w:rPr>
        <w:t>,</w:t>
      </w:r>
      <w:r w:rsidRPr="00C7601B">
        <w:rPr>
          <w:rFonts w:cs="Times New Roman"/>
          <w:i/>
          <w:szCs w:val="24"/>
          <w:lang w:val="fr-CA"/>
        </w:rPr>
        <w:t xml:space="preserve"> </w:t>
      </w:r>
      <w:r w:rsidRPr="00C7601B">
        <w:rPr>
          <w:rFonts w:cs="Times New Roman"/>
          <w:szCs w:val="24"/>
          <w:lang w:val="fr-CA"/>
        </w:rPr>
        <w:t xml:space="preserve">[1998] 1 R.C.S. 982, puis il se livre à une analyse pragmatique et fonctionnelle pour retenir la norme de la décision raisonnable </w:t>
      </w:r>
      <w:proofErr w:type="spellStart"/>
      <w:r w:rsidRPr="00C7601B">
        <w:rPr>
          <w:rFonts w:cs="Times New Roman"/>
          <w:i/>
          <w:szCs w:val="24"/>
          <w:lang w:val="fr-CA"/>
        </w:rPr>
        <w:t>simpliciter</w:t>
      </w:r>
      <w:proofErr w:type="spellEnd"/>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 xml:space="preserve">Il considère qu’une question de droit est en litige, mais il fait observer que le Tribunal s’est livré à une interprétation de sa loi constitutive sur un </w:t>
      </w:r>
      <w:r w:rsidRPr="00C7601B">
        <w:rPr>
          <w:rFonts w:cs="Times New Roman"/>
          <w:spacing w:val="-3"/>
          <w:szCs w:val="24"/>
          <w:lang w:val="fr-CA"/>
        </w:rPr>
        <w:t>sujet qui «</w:t>
      </w:r>
      <w:r w:rsidR="00FC4A5B" w:rsidRPr="00C7601B">
        <w:rPr>
          <w:rFonts w:cs="Times New Roman"/>
          <w:spacing w:val="-3"/>
          <w:szCs w:val="24"/>
          <w:lang w:val="fr-CA"/>
        </w:rPr>
        <w:t xml:space="preserve"> </w:t>
      </w:r>
      <w:r w:rsidRPr="00C7601B">
        <w:rPr>
          <w:rFonts w:cs="Times New Roman"/>
          <w:spacing w:val="-3"/>
          <w:szCs w:val="24"/>
          <w:lang w:val="fr-CA"/>
        </w:rPr>
        <w:t>touche au cœur même</w:t>
      </w:r>
      <w:r w:rsidR="00FC4A5B" w:rsidRPr="00C7601B">
        <w:rPr>
          <w:rFonts w:cs="Times New Roman"/>
          <w:spacing w:val="-3"/>
          <w:szCs w:val="24"/>
          <w:lang w:val="fr-CA"/>
        </w:rPr>
        <w:t xml:space="preserve"> </w:t>
      </w:r>
      <w:r w:rsidRPr="00C7601B">
        <w:rPr>
          <w:rFonts w:cs="Times New Roman"/>
          <w:spacing w:val="-3"/>
          <w:szCs w:val="24"/>
          <w:lang w:val="fr-CA"/>
        </w:rPr>
        <w:t>» de son expertise (par.</w:t>
      </w:r>
      <w:r w:rsidR="00FC4A5B" w:rsidRPr="00C7601B">
        <w:rPr>
          <w:rFonts w:cs="Times New Roman"/>
          <w:spacing w:val="-3"/>
          <w:szCs w:val="24"/>
          <w:lang w:val="fr-CA"/>
        </w:rPr>
        <w:t xml:space="preserve"> </w:t>
      </w:r>
      <w:r w:rsidRPr="00C7601B">
        <w:rPr>
          <w:rFonts w:cs="Times New Roman"/>
          <w:spacing w:val="-3"/>
          <w:szCs w:val="24"/>
          <w:lang w:val="fr-CA"/>
        </w:rPr>
        <w:t>24).</w:t>
      </w:r>
      <w:r w:rsidR="00FC4A5B" w:rsidRPr="00C7601B">
        <w:rPr>
          <w:rFonts w:cs="Times New Roman"/>
          <w:spacing w:val="-3"/>
          <w:szCs w:val="24"/>
          <w:lang w:val="fr-CA"/>
        </w:rPr>
        <w:t xml:space="preserve"> </w:t>
      </w:r>
      <w:r w:rsidRPr="00C7601B">
        <w:rPr>
          <w:rFonts w:cs="Times New Roman"/>
          <w:spacing w:val="-3"/>
          <w:szCs w:val="24"/>
          <w:lang w:val="fr-CA"/>
        </w:rPr>
        <w:t>Il invoque également «</w:t>
      </w:r>
      <w:r w:rsidR="00FC4A5B" w:rsidRPr="00C7601B">
        <w:rPr>
          <w:rFonts w:cs="Times New Roman"/>
          <w:spacing w:val="-3"/>
          <w:szCs w:val="24"/>
          <w:lang w:val="fr-CA"/>
        </w:rPr>
        <w:t xml:space="preserve"> </w:t>
      </w:r>
      <w:r w:rsidR="007F237F" w:rsidRPr="00C7601B">
        <w:rPr>
          <w:rFonts w:cs="Times New Roman"/>
          <w:spacing w:val="-3"/>
          <w:szCs w:val="24"/>
          <w:lang w:val="fr-CA"/>
        </w:rPr>
        <w:t>[</w:t>
      </w:r>
      <w:r w:rsidRPr="00C7601B">
        <w:rPr>
          <w:rFonts w:cs="Times New Roman"/>
          <w:spacing w:val="-3"/>
          <w:szCs w:val="24"/>
          <w:lang w:val="fr-CA"/>
        </w:rPr>
        <w:t>l</w:t>
      </w:r>
      <w:r w:rsidR="007F237F" w:rsidRPr="00C7601B">
        <w:rPr>
          <w:rFonts w:cs="Times New Roman"/>
          <w:spacing w:val="-3"/>
          <w:szCs w:val="24"/>
          <w:lang w:val="fr-CA"/>
        </w:rPr>
        <w:t>]</w:t>
      </w:r>
      <w:r w:rsidRPr="00C7601B">
        <w:rPr>
          <w:rFonts w:cs="Times New Roman"/>
          <w:spacing w:val="-3"/>
          <w:szCs w:val="24"/>
          <w:lang w:val="fr-CA"/>
        </w:rPr>
        <w:t xml:space="preserve">’approche stratégique en matière de droits de la personne à l’interprétation </w:t>
      </w:r>
      <w:r w:rsidR="007F237F" w:rsidRPr="00C7601B">
        <w:rPr>
          <w:rFonts w:cs="Times New Roman"/>
          <w:spacing w:val="-3"/>
          <w:szCs w:val="24"/>
          <w:lang w:val="fr-CA"/>
        </w:rPr>
        <w:t>[</w:t>
      </w:r>
      <w:r w:rsidRPr="00C7601B">
        <w:rPr>
          <w:rFonts w:cs="Times New Roman"/>
          <w:spacing w:val="-3"/>
          <w:szCs w:val="24"/>
          <w:lang w:val="fr-CA"/>
        </w:rPr>
        <w:t>des lois</w:t>
      </w:r>
      <w:r w:rsidR="007F237F" w:rsidRPr="00C7601B">
        <w:rPr>
          <w:rFonts w:cs="Times New Roman"/>
          <w:spacing w:val="-3"/>
          <w:szCs w:val="24"/>
          <w:lang w:val="fr-CA"/>
        </w:rPr>
        <w:t>]</w:t>
      </w:r>
      <w:r w:rsidR="00FC4A5B" w:rsidRPr="00C7601B">
        <w:rPr>
          <w:rFonts w:cs="Times New Roman"/>
          <w:spacing w:val="-3"/>
          <w:szCs w:val="24"/>
          <w:lang w:val="fr-CA"/>
        </w:rPr>
        <w:t xml:space="preserve"> </w:t>
      </w:r>
      <w:r w:rsidRPr="00C7601B">
        <w:rPr>
          <w:rFonts w:cs="Times New Roman"/>
          <w:spacing w:val="-3"/>
          <w:szCs w:val="24"/>
          <w:lang w:val="fr-CA"/>
        </w:rPr>
        <w:t>» (par.</w:t>
      </w:r>
      <w:r w:rsidR="00FC4A5B" w:rsidRPr="00C7601B">
        <w:rPr>
          <w:rFonts w:cs="Times New Roman"/>
          <w:spacing w:val="-3"/>
          <w:szCs w:val="24"/>
          <w:lang w:val="fr-CA"/>
        </w:rPr>
        <w:t xml:space="preserve"> </w:t>
      </w:r>
      <w:r w:rsidRPr="00C7601B">
        <w:rPr>
          <w:rFonts w:cs="Times New Roman"/>
          <w:spacing w:val="-3"/>
          <w:szCs w:val="24"/>
          <w:lang w:val="fr-CA"/>
        </w:rPr>
        <w:t xml:space="preserve">41) </w:t>
      </w:r>
      <w:r w:rsidRPr="00C7601B">
        <w:rPr>
          <w:rFonts w:cs="Times New Roman"/>
          <w:spacing w:val="-3"/>
          <w:szCs w:val="24"/>
          <w:lang w:val="fr-CA"/>
        </w:rPr>
        <w:lastRenderedPageBreak/>
        <w:t xml:space="preserve">censée découler de l’arrêt </w:t>
      </w:r>
      <w:r w:rsidR="007F237F" w:rsidRPr="00C7601B">
        <w:rPr>
          <w:rFonts w:cs="Times New Roman"/>
          <w:i/>
          <w:iCs/>
          <w:spacing w:val="-3"/>
          <w:szCs w:val="24"/>
          <w:lang w:val="fr-CA"/>
        </w:rPr>
        <w:t>Compagni</w:t>
      </w:r>
      <w:r w:rsidRPr="00C7601B">
        <w:rPr>
          <w:rFonts w:cs="Times New Roman"/>
          <w:i/>
          <w:iCs/>
          <w:spacing w:val="-3"/>
          <w:szCs w:val="24"/>
          <w:lang w:val="fr-CA"/>
        </w:rPr>
        <w:t>e des chemins de fer nationaux du Canada c. Canada (Commission canadienne des droits de la personne)</w:t>
      </w:r>
      <w:r w:rsidRPr="00C7601B">
        <w:rPr>
          <w:rFonts w:cs="Times New Roman"/>
          <w:spacing w:val="-3"/>
          <w:szCs w:val="24"/>
          <w:lang w:val="fr-CA"/>
        </w:rPr>
        <w:t>, [1987] 1 R.C.S. 1114</w:t>
      </w:r>
      <w:r w:rsidR="007F237F" w:rsidRPr="00C7601B">
        <w:rPr>
          <w:rFonts w:cs="Times New Roman"/>
          <w:spacing w:val="-3"/>
          <w:szCs w:val="24"/>
          <w:lang w:val="fr-CA"/>
        </w:rPr>
        <w:t>,</w:t>
      </w:r>
      <w:r w:rsidRPr="00C7601B">
        <w:rPr>
          <w:rFonts w:cs="Times New Roman"/>
          <w:spacing w:val="-3"/>
          <w:szCs w:val="24"/>
          <w:lang w:val="fr-CA"/>
        </w:rPr>
        <w:t xml:space="preserve"> pour étayer son analyse et justifier l’existence d’un régime partial d’adjudication des dépens.</w:t>
      </w:r>
      <w:r w:rsidR="00FC4A5B" w:rsidRPr="00C7601B">
        <w:rPr>
          <w:rFonts w:cs="Times New Roman"/>
          <w:spacing w:val="-3"/>
          <w:szCs w:val="24"/>
          <w:lang w:val="fr-CA"/>
        </w:rPr>
        <w:t xml:space="preserve"> </w:t>
      </w:r>
      <w:r w:rsidRPr="00C7601B">
        <w:rPr>
          <w:rFonts w:cs="Times New Roman"/>
          <w:spacing w:val="-3"/>
          <w:szCs w:val="24"/>
          <w:lang w:val="fr-CA"/>
        </w:rPr>
        <w:t xml:space="preserve">Dès lors s’impose une interprétation à la fois large et téléologique de la </w:t>
      </w:r>
      <w:r w:rsidRPr="00C7601B">
        <w:rPr>
          <w:rFonts w:cs="Times New Roman"/>
          <w:i/>
          <w:spacing w:val="-3"/>
          <w:szCs w:val="24"/>
          <w:lang w:val="fr-CA"/>
        </w:rPr>
        <w:t>LCDP</w:t>
      </w:r>
      <w:r w:rsidRPr="00C7601B">
        <w:rPr>
          <w:rFonts w:cs="Times New Roman"/>
          <w:spacing w:val="-3"/>
          <w:szCs w:val="24"/>
          <w:lang w:val="fr-CA"/>
        </w:rPr>
        <w:t>, adaptée à ses objectifs réparateurs et à sa nature particulière.</w:t>
      </w:r>
      <w:r w:rsidR="00FC4A5B" w:rsidRPr="00C7601B">
        <w:rPr>
          <w:rFonts w:cs="Times New Roman"/>
          <w:spacing w:val="-3"/>
          <w:szCs w:val="24"/>
          <w:lang w:val="fr-CA"/>
        </w:rPr>
        <w:t xml:space="preserve"> </w:t>
      </w:r>
      <w:r w:rsidRPr="00C7601B">
        <w:rPr>
          <w:rFonts w:cs="Times New Roman"/>
          <w:spacing w:val="-3"/>
          <w:szCs w:val="24"/>
          <w:lang w:val="fr-CA"/>
        </w:rPr>
        <w:t xml:space="preserve">Le juge </w:t>
      </w:r>
      <w:proofErr w:type="spellStart"/>
      <w:r w:rsidRPr="00C7601B">
        <w:rPr>
          <w:rFonts w:cs="Times New Roman"/>
          <w:szCs w:val="24"/>
          <w:lang w:val="fr-CA"/>
        </w:rPr>
        <w:t>Mandamin</w:t>
      </w:r>
      <w:proofErr w:type="spellEnd"/>
      <w:r w:rsidRPr="00C7601B">
        <w:rPr>
          <w:rFonts w:cs="Times New Roman"/>
          <w:spacing w:val="-3"/>
          <w:szCs w:val="24"/>
          <w:lang w:val="fr-CA"/>
        </w:rPr>
        <w:t xml:space="preserve"> conclut ensuite que la décision du Tribunal sur son pouvoir d’adjuger des dépens est raisonnable (par.</w:t>
      </w:r>
      <w:r w:rsidR="00FC4A5B" w:rsidRPr="00C7601B">
        <w:rPr>
          <w:rFonts w:cs="Times New Roman"/>
          <w:spacing w:val="-3"/>
          <w:szCs w:val="24"/>
          <w:lang w:val="fr-CA"/>
        </w:rPr>
        <w:t xml:space="preserve"> </w:t>
      </w:r>
      <w:r w:rsidRPr="00C7601B">
        <w:rPr>
          <w:rFonts w:cs="Times New Roman"/>
          <w:spacing w:val="-3"/>
          <w:szCs w:val="24"/>
          <w:lang w:val="fr-CA"/>
        </w:rPr>
        <w:t>40).</w:t>
      </w:r>
      <w:r w:rsidR="00FC4A5B" w:rsidRPr="00C7601B">
        <w:rPr>
          <w:rFonts w:cs="Times New Roman"/>
          <w:spacing w:val="-3"/>
          <w:szCs w:val="24"/>
          <w:lang w:val="fr-CA"/>
        </w:rPr>
        <w:t xml:space="preserve"> </w:t>
      </w:r>
      <w:r w:rsidRPr="00C7601B">
        <w:rPr>
          <w:rFonts w:cs="Times New Roman"/>
          <w:spacing w:val="-3"/>
          <w:szCs w:val="24"/>
          <w:lang w:val="fr-CA"/>
        </w:rPr>
        <w:t xml:space="preserve">Il </w:t>
      </w:r>
      <w:r w:rsidRPr="00C7601B">
        <w:rPr>
          <w:rFonts w:cs="Times New Roman"/>
          <w:szCs w:val="24"/>
          <w:lang w:val="fr-CA"/>
        </w:rPr>
        <w:t xml:space="preserve">estime toutefois que le membre instructeur n’a pas bien </w:t>
      </w:r>
      <w:r w:rsidRPr="00C7601B">
        <w:rPr>
          <w:rFonts w:cs="Times New Roman"/>
          <w:spacing w:val="-3"/>
          <w:szCs w:val="24"/>
          <w:lang w:val="fr-CA"/>
        </w:rPr>
        <w:t>expliqué sa démarche pour arriver au montant de 47</w:t>
      </w:r>
      <w:r w:rsidR="00C7601B" w:rsidRPr="00C7601B">
        <w:rPr>
          <w:rFonts w:cs="Times New Roman"/>
          <w:spacing w:val="-3"/>
          <w:szCs w:val="24"/>
          <w:lang w:val="fr-CA"/>
        </w:rPr>
        <w:t> </w:t>
      </w:r>
      <w:r w:rsidRPr="00C7601B">
        <w:rPr>
          <w:rFonts w:cs="Times New Roman"/>
          <w:spacing w:val="-3"/>
          <w:szCs w:val="24"/>
          <w:lang w:val="fr-CA"/>
        </w:rPr>
        <w:t>000</w:t>
      </w:r>
      <w:r w:rsidR="00C7601B" w:rsidRPr="00C7601B">
        <w:rPr>
          <w:rFonts w:cs="Times New Roman"/>
          <w:spacing w:val="-3"/>
          <w:szCs w:val="24"/>
          <w:lang w:val="fr-CA"/>
        </w:rPr>
        <w:t> </w:t>
      </w:r>
      <w:r w:rsidRPr="00C7601B">
        <w:rPr>
          <w:rFonts w:cs="Times New Roman"/>
          <w:spacing w:val="-3"/>
          <w:szCs w:val="24"/>
          <w:lang w:val="fr-CA"/>
        </w:rPr>
        <w:t xml:space="preserve">$, ce qui constitue un manquement à l’obligation </w:t>
      </w:r>
      <w:r w:rsidRPr="00C7601B">
        <w:rPr>
          <w:rFonts w:cs="Times New Roman"/>
          <w:szCs w:val="24"/>
          <w:lang w:val="fr-CA"/>
        </w:rPr>
        <w:t>d’équité procédurale.</w:t>
      </w:r>
      <w:r w:rsidR="00FC4A5B" w:rsidRPr="00C7601B">
        <w:rPr>
          <w:rFonts w:cs="Times New Roman"/>
          <w:szCs w:val="24"/>
          <w:lang w:val="fr-CA"/>
        </w:rPr>
        <w:t xml:space="preserve"> </w:t>
      </w:r>
      <w:r w:rsidRPr="00C7601B">
        <w:rPr>
          <w:rFonts w:cs="Times New Roman"/>
          <w:szCs w:val="24"/>
          <w:lang w:val="fr-CA"/>
        </w:rPr>
        <w:t>Il annule donc la décision et renvoie le dossier au Tribunal pour ce motif.</w:t>
      </w:r>
      <w:r w:rsidR="00FC4A5B" w:rsidRPr="00C7601B">
        <w:rPr>
          <w:rFonts w:cs="Times New Roman"/>
          <w:szCs w:val="24"/>
          <w:lang w:val="fr-CA"/>
        </w:rPr>
        <w:t xml:space="preserve"> </w:t>
      </w:r>
      <w:r w:rsidRPr="00C7601B">
        <w:rPr>
          <w:rFonts w:cs="Times New Roman"/>
          <w:szCs w:val="24"/>
          <w:lang w:val="fr-CA"/>
        </w:rPr>
        <w:t>Ce volet de l’affaire n’a pas été porté en appel, de sorte qu’il ne fait pas l’objet du présent pourvoi.</w:t>
      </w:r>
    </w:p>
    <w:p w:rsidR="00956B54" w:rsidRPr="00C7601B" w:rsidRDefault="00956B54" w:rsidP="007F237F">
      <w:pPr>
        <w:pStyle w:val="TitleTitre-AltT"/>
        <w:tabs>
          <w:tab w:val="clear" w:pos="360"/>
          <w:tab w:val="left" w:pos="540"/>
          <w:tab w:val="left" w:pos="1350"/>
        </w:tabs>
        <w:ind w:left="0" w:firstLine="0"/>
        <w:rPr>
          <w:rFonts w:cs="Times New Roman"/>
          <w:szCs w:val="24"/>
          <w:lang w:val="fr-CA"/>
        </w:rPr>
      </w:pPr>
      <w:r w:rsidRPr="00C7601B">
        <w:rPr>
          <w:rFonts w:cs="Times New Roman"/>
          <w:szCs w:val="24"/>
          <w:lang w:val="fr-CA"/>
        </w:rPr>
        <w:t>C.</w:t>
      </w:r>
      <w:r w:rsidRPr="00C7601B">
        <w:rPr>
          <w:rFonts w:cs="Times New Roman"/>
          <w:szCs w:val="24"/>
          <w:lang w:val="fr-CA"/>
        </w:rPr>
        <w:tab/>
      </w:r>
      <w:r w:rsidRPr="00C7601B">
        <w:rPr>
          <w:rFonts w:cs="Times New Roman"/>
          <w:i/>
          <w:szCs w:val="24"/>
          <w:lang w:val="fr-CA"/>
        </w:rPr>
        <w:t>Cour d’appel fédérale, 2009 CAF 309, [2010] 4 R.C.F. 579</w:t>
      </w:r>
    </w:p>
    <w:p w:rsidR="00956B54" w:rsidRPr="00C7601B" w:rsidRDefault="00956B54" w:rsidP="00956B54">
      <w:pPr>
        <w:pStyle w:val="ParaNoNdepar-AltN"/>
        <w:rPr>
          <w:rFonts w:cs="Times New Roman"/>
          <w:szCs w:val="24"/>
          <w:lang w:val="fr-CA"/>
        </w:rPr>
      </w:pPr>
      <w:r w:rsidRPr="00C7601B">
        <w:rPr>
          <w:rFonts w:cs="Times New Roman"/>
          <w:szCs w:val="24"/>
          <w:lang w:val="fr-CA"/>
        </w:rPr>
        <w:t>Le procureur général du Canada s’est tourné vers la Cour d’appel fédérale, qui a accueilli son appel à l’unanimité, statuant que le Tribunal n’avait pas le pouvoir d’adjuger des dépens.</w:t>
      </w:r>
      <w:r w:rsidR="00FC4A5B" w:rsidRPr="00C7601B">
        <w:rPr>
          <w:rFonts w:cs="Times New Roman"/>
          <w:szCs w:val="24"/>
          <w:lang w:val="fr-CA"/>
        </w:rPr>
        <w:t xml:space="preserve"> </w:t>
      </w:r>
      <w:r w:rsidRPr="00C7601B">
        <w:rPr>
          <w:rFonts w:cs="Times New Roman"/>
          <w:szCs w:val="24"/>
          <w:lang w:val="fr-CA"/>
        </w:rPr>
        <w:t xml:space="preserve">La juge </w:t>
      </w:r>
      <w:proofErr w:type="spellStart"/>
      <w:r w:rsidRPr="00C7601B">
        <w:rPr>
          <w:rFonts w:cs="Times New Roman"/>
          <w:szCs w:val="24"/>
          <w:lang w:val="fr-CA"/>
        </w:rPr>
        <w:t>Layden</w:t>
      </w:r>
      <w:proofErr w:type="spellEnd"/>
      <w:r w:rsidR="00C7601B" w:rsidRPr="00C7601B">
        <w:rPr>
          <w:rFonts w:cs="Times New Roman"/>
          <w:szCs w:val="24"/>
          <w:lang w:val="fr-CA"/>
        </w:rPr>
        <w:t>-</w:t>
      </w:r>
      <w:r w:rsidRPr="00C7601B">
        <w:rPr>
          <w:rFonts w:cs="Times New Roman"/>
          <w:szCs w:val="24"/>
          <w:lang w:val="fr-CA"/>
        </w:rPr>
        <w:t xml:space="preserve">Stevenson applique les principes relatifs à la norme de contrôle énoncés par notre Cour dans </w:t>
      </w:r>
      <w:proofErr w:type="spellStart"/>
      <w:r w:rsidRPr="00C7601B">
        <w:rPr>
          <w:rFonts w:cs="Times New Roman"/>
          <w:i/>
          <w:szCs w:val="24"/>
          <w:lang w:val="fr-CA"/>
        </w:rPr>
        <w:t>Dunsmuir</w:t>
      </w:r>
      <w:proofErr w:type="spellEnd"/>
      <w:r w:rsidRPr="00C7601B">
        <w:rPr>
          <w:rFonts w:cs="Times New Roman"/>
          <w:i/>
          <w:szCs w:val="24"/>
          <w:lang w:val="fr-CA"/>
        </w:rPr>
        <w:t xml:space="preserve"> c. Nouveau</w:t>
      </w:r>
      <w:r w:rsidR="00C7601B" w:rsidRPr="00C7601B">
        <w:rPr>
          <w:rFonts w:cs="Times New Roman"/>
          <w:i/>
          <w:szCs w:val="24"/>
          <w:lang w:val="fr-CA"/>
        </w:rPr>
        <w:t>-</w:t>
      </w:r>
      <w:r w:rsidRPr="00C7601B">
        <w:rPr>
          <w:rFonts w:cs="Times New Roman"/>
          <w:i/>
          <w:szCs w:val="24"/>
          <w:lang w:val="fr-CA"/>
        </w:rPr>
        <w:t>Brunswick</w:t>
      </w:r>
      <w:r w:rsidRPr="00C7601B">
        <w:rPr>
          <w:rFonts w:cs="Times New Roman"/>
          <w:szCs w:val="24"/>
          <w:lang w:val="fr-CA"/>
        </w:rPr>
        <w:t>, 2008 CSC 9, [2008] 1 R.C.S. 190, un arrêt rendu après l’audience en Cour fédérale.</w:t>
      </w:r>
      <w:r w:rsidR="00FC4A5B" w:rsidRPr="00C7601B">
        <w:rPr>
          <w:rFonts w:cs="Times New Roman"/>
          <w:szCs w:val="24"/>
          <w:lang w:val="fr-CA"/>
        </w:rPr>
        <w:t xml:space="preserve"> </w:t>
      </w:r>
      <w:r w:rsidRPr="00C7601B">
        <w:rPr>
          <w:rFonts w:cs="Times New Roman"/>
          <w:szCs w:val="24"/>
          <w:lang w:val="fr-CA"/>
        </w:rPr>
        <w:t xml:space="preserve">Elle arrête son choix sur la norme de la décision correcte pour la raison principale </w:t>
      </w:r>
      <w:r w:rsidRPr="00C7601B">
        <w:rPr>
          <w:rFonts w:cs="Times New Roman"/>
          <w:spacing w:val="-3"/>
          <w:szCs w:val="24"/>
          <w:lang w:val="fr-CA"/>
        </w:rPr>
        <w:t>que le litige porte sur une question de droit à la fois étrangère au domaine d’expertise du Tribunal</w:t>
      </w:r>
      <w:r w:rsidRPr="00C7601B">
        <w:rPr>
          <w:rFonts w:cs="Times New Roman"/>
          <w:szCs w:val="24"/>
          <w:lang w:val="fr-CA"/>
        </w:rPr>
        <w:t xml:space="preserve"> et d’</w:t>
      </w:r>
      <w:r w:rsidRPr="00C7601B">
        <w:rPr>
          <w:rFonts w:cs="Times New Roman"/>
          <w:spacing w:val="-3"/>
          <w:szCs w:val="24"/>
          <w:lang w:val="fr-CA"/>
        </w:rPr>
        <w:t xml:space="preserve">une importance capitale pour le système juridique dans son </w:t>
      </w:r>
      <w:r w:rsidRPr="00C7601B">
        <w:rPr>
          <w:rFonts w:cs="Times New Roman"/>
          <w:spacing w:val="-3"/>
          <w:szCs w:val="24"/>
          <w:lang w:val="fr-CA"/>
        </w:rPr>
        <w:lastRenderedPageBreak/>
        <w:t>ensemble (par.</w:t>
      </w:r>
      <w:r w:rsidR="00FC4A5B" w:rsidRPr="00C7601B">
        <w:rPr>
          <w:rFonts w:cs="Times New Roman"/>
          <w:spacing w:val="-3"/>
          <w:szCs w:val="24"/>
          <w:lang w:val="fr-CA"/>
        </w:rPr>
        <w:t xml:space="preserve"> </w:t>
      </w:r>
      <w:r w:rsidRPr="00C7601B">
        <w:rPr>
          <w:rFonts w:cs="Times New Roman"/>
          <w:spacing w:val="-3"/>
          <w:szCs w:val="24"/>
          <w:lang w:val="fr-CA"/>
        </w:rPr>
        <w:t>42).</w:t>
      </w:r>
      <w:r w:rsidR="00FC4A5B" w:rsidRPr="00C7601B">
        <w:rPr>
          <w:rFonts w:cs="Times New Roman"/>
          <w:spacing w:val="-3"/>
          <w:szCs w:val="24"/>
          <w:lang w:val="fr-CA"/>
        </w:rPr>
        <w:t xml:space="preserve"> </w:t>
      </w:r>
      <w:r w:rsidRPr="00C7601B">
        <w:rPr>
          <w:rFonts w:cs="Times New Roman"/>
          <w:spacing w:val="-3"/>
          <w:szCs w:val="24"/>
          <w:lang w:val="fr-CA"/>
        </w:rPr>
        <w:t>La question, qui commande une réponse certaine et cohérente, ne fait pas intervenir l’expertise du Tribunal en matière de droits de la personne (par.</w:t>
      </w:r>
      <w:r w:rsidR="00C7601B" w:rsidRPr="00C7601B">
        <w:rPr>
          <w:rFonts w:cs="Times New Roman"/>
          <w:spacing w:val="-3"/>
          <w:szCs w:val="24"/>
          <w:lang w:val="fr-CA"/>
        </w:rPr>
        <w:t> </w:t>
      </w:r>
      <w:r w:rsidRPr="00C7601B">
        <w:rPr>
          <w:rFonts w:cs="Times New Roman"/>
          <w:spacing w:val="-3"/>
          <w:szCs w:val="24"/>
          <w:lang w:val="fr-CA"/>
        </w:rPr>
        <w:t>47).</w:t>
      </w:r>
    </w:p>
    <w:p w:rsidR="00956B54" w:rsidRPr="00C7601B" w:rsidRDefault="00956B54" w:rsidP="00956B54">
      <w:pPr>
        <w:pStyle w:val="ParaNoNdepar-AltN"/>
        <w:tabs>
          <w:tab w:val="left" w:pos="5400"/>
        </w:tabs>
        <w:rPr>
          <w:rFonts w:cs="Times New Roman"/>
          <w:szCs w:val="24"/>
          <w:lang w:val="fr-CA"/>
        </w:rPr>
      </w:pPr>
      <w:r w:rsidRPr="00C7601B">
        <w:rPr>
          <w:rFonts w:cs="Times New Roman"/>
          <w:szCs w:val="24"/>
          <w:lang w:val="fr-CA"/>
        </w:rPr>
        <w:t>La Cour d’appel fédérale conclut ensuite que la décision du Tribunal d’adjuger des dépens est incorrecte.</w:t>
      </w:r>
      <w:r w:rsidR="00FC4A5B" w:rsidRPr="00C7601B">
        <w:rPr>
          <w:rFonts w:cs="Times New Roman"/>
          <w:szCs w:val="24"/>
          <w:lang w:val="fr-CA"/>
        </w:rPr>
        <w:t xml:space="preserve"> </w:t>
      </w:r>
      <w:r w:rsidRPr="00C7601B">
        <w:rPr>
          <w:rFonts w:cs="Times New Roman"/>
          <w:szCs w:val="24"/>
          <w:lang w:val="fr-CA"/>
        </w:rPr>
        <w:t xml:space="preserve">Après un examen approfondi de la jurisprudence contradictoire du Tribunal et de la Cour fédérale sur ce point, la juge </w:t>
      </w:r>
      <w:proofErr w:type="spellStart"/>
      <w:r w:rsidRPr="00C7601B">
        <w:rPr>
          <w:rFonts w:cs="Times New Roman"/>
          <w:szCs w:val="24"/>
          <w:lang w:val="fr-CA"/>
        </w:rPr>
        <w:t>Layden</w:t>
      </w:r>
      <w:proofErr w:type="spellEnd"/>
      <w:r w:rsidR="00C7601B" w:rsidRPr="00C7601B">
        <w:rPr>
          <w:rFonts w:cs="Times New Roman"/>
          <w:szCs w:val="24"/>
          <w:lang w:val="fr-CA"/>
        </w:rPr>
        <w:t>-</w:t>
      </w:r>
      <w:r w:rsidRPr="00C7601B">
        <w:rPr>
          <w:rFonts w:cs="Times New Roman"/>
          <w:szCs w:val="24"/>
          <w:lang w:val="fr-CA"/>
        </w:rPr>
        <w:t>Stevenson se penche sur l’historique de la disposition en cause et conclut qu’il témoigne de l’intention manifeste du législateur d’écarter l’adjudication des dépens et de conférer un rôle plus actif à la Commission (par.</w:t>
      </w:r>
      <w:r w:rsidR="00FC4A5B" w:rsidRPr="00C7601B">
        <w:rPr>
          <w:rFonts w:cs="Times New Roman"/>
          <w:szCs w:val="24"/>
          <w:lang w:val="fr-CA"/>
        </w:rPr>
        <w:t xml:space="preserve"> </w:t>
      </w:r>
      <w:r w:rsidRPr="00C7601B">
        <w:rPr>
          <w:rFonts w:cs="Times New Roman"/>
          <w:szCs w:val="24"/>
          <w:lang w:val="fr-CA"/>
        </w:rPr>
        <w:t>65</w:t>
      </w:r>
      <w:r w:rsidR="00C7601B" w:rsidRPr="00C7601B">
        <w:rPr>
          <w:rFonts w:cs="Times New Roman"/>
          <w:szCs w:val="24"/>
          <w:lang w:val="fr-CA"/>
        </w:rPr>
        <w:t>-</w:t>
      </w:r>
      <w:r w:rsidR="008D2DF7">
        <w:rPr>
          <w:rFonts w:cs="Times New Roman"/>
          <w:szCs w:val="24"/>
          <w:lang w:val="fr-CA"/>
        </w:rPr>
        <w:t>67 et</w:t>
      </w:r>
      <w:r w:rsidRPr="00C7601B">
        <w:rPr>
          <w:rFonts w:cs="Times New Roman"/>
          <w:szCs w:val="24"/>
          <w:lang w:val="fr-CA"/>
        </w:rPr>
        <w:t xml:space="preserve"> 88).</w:t>
      </w:r>
      <w:r w:rsidR="00FC4A5B" w:rsidRPr="00C7601B">
        <w:rPr>
          <w:rFonts w:cs="Times New Roman"/>
          <w:szCs w:val="24"/>
          <w:lang w:val="fr-CA"/>
        </w:rPr>
        <w:t xml:space="preserve"> </w:t>
      </w:r>
      <w:r w:rsidRPr="00C7601B">
        <w:rPr>
          <w:rFonts w:cs="Times New Roman"/>
          <w:szCs w:val="24"/>
          <w:lang w:val="fr-CA"/>
        </w:rPr>
        <w:t>La juge fait observer que dans un rapport spécial au Parlement, la Commission reconnaît elle</w:t>
      </w:r>
      <w:r w:rsidR="00C7601B" w:rsidRPr="00C7601B">
        <w:rPr>
          <w:rFonts w:cs="Times New Roman"/>
          <w:szCs w:val="24"/>
          <w:lang w:val="fr-CA"/>
        </w:rPr>
        <w:t>-</w:t>
      </w:r>
      <w:r w:rsidRPr="00C7601B">
        <w:rPr>
          <w:rFonts w:cs="Times New Roman"/>
          <w:szCs w:val="24"/>
          <w:lang w:val="fr-CA"/>
        </w:rPr>
        <w:t xml:space="preserve">même que la </w:t>
      </w:r>
      <w:r w:rsidRPr="00C7601B">
        <w:rPr>
          <w:rFonts w:cs="Times New Roman"/>
          <w:i/>
          <w:szCs w:val="24"/>
          <w:lang w:val="fr-CA"/>
        </w:rPr>
        <w:t>LCDP</w:t>
      </w:r>
      <w:r w:rsidRPr="00C7601B">
        <w:rPr>
          <w:rFonts w:cs="Times New Roman"/>
          <w:szCs w:val="24"/>
          <w:lang w:val="fr-CA"/>
        </w:rPr>
        <w:t xml:space="preserve"> ne permet pas à une partie de recouvrer ses dépens (par.</w:t>
      </w:r>
      <w:r w:rsidR="00FC4A5B" w:rsidRPr="00C7601B">
        <w:rPr>
          <w:rFonts w:cs="Times New Roman"/>
          <w:szCs w:val="24"/>
          <w:lang w:val="fr-CA"/>
        </w:rPr>
        <w:t xml:space="preserve"> </w:t>
      </w:r>
      <w:r w:rsidRPr="00C7601B">
        <w:rPr>
          <w:rFonts w:cs="Times New Roman"/>
          <w:szCs w:val="24"/>
          <w:lang w:val="fr-CA"/>
        </w:rPr>
        <w:t>68 et 90).</w:t>
      </w:r>
      <w:r w:rsidR="00FC4A5B" w:rsidRPr="00C7601B">
        <w:rPr>
          <w:rFonts w:cs="Times New Roman"/>
          <w:szCs w:val="24"/>
          <w:lang w:val="fr-CA"/>
        </w:rPr>
        <w:t xml:space="preserve"> </w:t>
      </w:r>
      <w:r w:rsidRPr="00C7601B">
        <w:rPr>
          <w:rFonts w:cs="Times New Roman"/>
          <w:szCs w:val="24"/>
          <w:lang w:val="fr-CA"/>
        </w:rPr>
        <w:t xml:space="preserve">Elle ajoute que </w:t>
      </w:r>
      <w:r w:rsidRPr="00C7601B">
        <w:rPr>
          <w:rFonts w:cs="Times New Roman"/>
          <w:spacing w:val="-3"/>
          <w:szCs w:val="24"/>
          <w:lang w:val="fr-CA"/>
        </w:rPr>
        <w:t>le mot «</w:t>
      </w:r>
      <w:r w:rsidR="00FC4A5B" w:rsidRPr="00C7601B">
        <w:rPr>
          <w:rFonts w:cs="Times New Roman"/>
          <w:spacing w:val="-3"/>
          <w:szCs w:val="24"/>
          <w:lang w:val="fr-CA"/>
        </w:rPr>
        <w:t xml:space="preserve"> </w:t>
      </w:r>
      <w:r w:rsidRPr="00C7601B">
        <w:rPr>
          <w:rFonts w:cs="Times New Roman"/>
          <w:spacing w:val="-3"/>
          <w:szCs w:val="24"/>
          <w:lang w:val="fr-CA"/>
        </w:rPr>
        <w:t>dépens</w:t>
      </w:r>
      <w:r w:rsidR="00FC4A5B" w:rsidRPr="00C7601B">
        <w:rPr>
          <w:rFonts w:cs="Times New Roman"/>
          <w:spacing w:val="-3"/>
          <w:szCs w:val="24"/>
          <w:lang w:val="fr-CA"/>
        </w:rPr>
        <w:t xml:space="preserve"> </w:t>
      </w:r>
      <w:r w:rsidRPr="00C7601B">
        <w:rPr>
          <w:rFonts w:cs="Times New Roman"/>
          <w:spacing w:val="-3"/>
          <w:szCs w:val="24"/>
          <w:lang w:val="fr-CA"/>
        </w:rPr>
        <w:t>» est un terme technique propre au domaine juridique</w:t>
      </w:r>
      <w:r w:rsidRPr="00C7601B">
        <w:rPr>
          <w:rFonts w:cs="Times New Roman"/>
          <w:szCs w:val="24"/>
          <w:lang w:val="fr-CA"/>
        </w:rPr>
        <w:t xml:space="preserve"> (par.</w:t>
      </w:r>
      <w:r w:rsidR="00FC4A5B" w:rsidRPr="00C7601B">
        <w:rPr>
          <w:rFonts w:cs="Times New Roman"/>
          <w:szCs w:val="24"/>
          <w:lang w:val="fr-CA"/>
        </w:rPr>
        <w:t xml:space="preserve"> </w:t>
      </w:r>
      <w:r w:rsidRPr="00C7601B">
        <w:rPr>
          <w:rFonts w:cs="Times New Roman"/>
          <w:szCs w:val="24"/>
          <w:lang w:val="fr-CA"/>
        </w:rPr>
        <w:t xml:space="preserve">76) et que </w:t>
      </w:r>
      <w:r w:rsidRPr="00C7601B">
        <w:rPr>
          <w:rFonts w:cs="Times New Roman"/>
          <w:spacing w:val="-3"/>
          <w:szCs w:val="24"/>
          <w:lang w:val="fr-CA"/>
        </w:rPr>
        <w:t>le pouvoir d’accorder des dépens doit être conféré par la loi</w:t>
      </w:r>
      <w:r w:rsidRPr="00C7601B">
        <w:rPr>
          <w:rFonts w:cs="Times New Roman"/>
          <w:szCs w:val="24"/>
          <w:lang w:val="fr-CA"/>
        </w:rPr>
        <w:t xml:space="preserve"> (par.</w:t>
      </w:r>
      <w:r w:rsidR="00FC4A5B" w:rsidRPr="00C7601B">
        <w:rPr>
          <w:rFonts w:cs="Times New Roman"/>
          <w:szCs w:val="24"/>
          <w:lang w:val="fr-CA"/>
        </w:rPr>
        <w:t xml:space="preserve"> </w:t>
      </w:r>
      <w:r w:rsidRPr="00C7601B">
        <w:rPr>
          <w:rFonts w:cs="Times New Roman"/>
          <w:szCs w:val="24"/>
          <w:lang w:val="fr-CA"/>
        </w:rPr>
        <w:t>78).</w:t>
      </w:r>
      <w:r w:rsidR="00FC4A5B" w:rsidRPr="00C7601B">
        <w:rPr>
          <w:rFonts w:cs="Times New Roman"/>
          <w:szCs w:val="24"/>
          <w:lang w:val="fr-CA"/>
        </w:rPr>
        <w:t xml:space="preserve"> </w:t>
      </w:r>
      <w:r w:rsidRPr="00C7601B">
        <w:rPr>
          <w:rFonts w:cs="Times New Roman"/>
          <w:szCs w:val="24"/>
          <w:lang w:val="fr-CA"/>
        </w:rPr>
        <w:t>Elle se fonde également sur l’analyse comparative de lois équivalentes sur les droits de la personne applicables dans d’autres ressorts canadiens.</w:t>
      </w:r>
      <w:r w:rsidR="00FC4A5B" w:rsidRPr="00C7601B">
        <w:rPr>
          <w:rFonts w:cs="Times New Roman"/>
          <w:szCs w:val="24"/>
          <w:lang w:val="fr-CA"/>
        </w:rPr>
        <w:t xml:space="preserve"> </w:t>
      </w:r>
      <w:r w:rsidRPr="00C7601B">
        <w:rPr>
          <w:rFonts w:cs="Times New Roman"/>
          <w:szCs w:val="24"/>
          <w:lang w:val="fr-CA"/>
        </w:rPr>
        <w:t>Bon nombre de ces lois mentionnent expressément le pouvoir d’adjuger des dépens en plus de celui d’ordonner le remboursement des dépenses (par.</w:t>
      </w:r>
      <w:r w:rsidR="00FC4A5B" w:rsidRPr="00C7601B">
        <w:rPr>
          <w:rFonts w:cs="Times New Roman"/>
          <w:szCs w:val="24"/>
          <w:lang w:val="fr-CA"/>
        </w:rPr>
        <w:t xml:space="preserve"> </w:t>
      </w:r>
      <w:r w:rsidRPr="00C7601B">
        <w:rPr>
          <w:rFonts w:cs="Times New Roman"/>
          <w:szCs w:val="24"/>
          <w:lang w:val="fr-CA"/>
        </w:rPr>
        <w:t>70</w:t>
      </w:r>
      <w:r w:rsidR="00C7601B" w:rsidRPr="00C7601B">
        <w:rPr>
          <w:rFonts w:cs="Times New Roman"/>
          <w:szCs w:val="24"/>
          <w:lang w:val="fr-CA"/>
        </w:rPr>
        <w:t>-</w:t>
      </w:r>
      <w:r w:rsidR="008D2DF7">
        <w:rPr>
          <w:rFonts w:cs="Times New Roman"/>
          <w:szCs w:val="24"/>
          <w:lang w:val="fr-CA"/>
        </w:rPr>
        <w:t>74 et</w:t>
      </w:r>
      <w:r w:rsidRPr="00C7601B">
        <w:rPr>
          <w:rFonts w:cs="Times New Roman"/>
          <w:szCs w:val="24"/>
          <w:lang w:val="fr-CA"/>
        </w:rPr>
        <w:t xml:space="preserve"> 84</w:t>
      </w:r>
      <w:r w:rsidR="00C7601B" w:rsidRPr="00C7601B">
        <w:rPr>
          <w:rFonts w:cs="Times New Roman"/>
          <w:szCs w:val="24"/>
          <w:lang w:val="fr-CA"/>
        </w:rPr>
        <w:t>-</w:t>
      </w:r>
      <w:r w:rsidRPr="00C7601B">
        <w:rPr>
          <w:rFonts w:cs="Times New Roman"/>
          <w:szCs w:val="24"/>
          <w:lang w:val="fr-CA"/>
        </w:rPr>
        <w:t>87).</w:t>
      </w:r>
      <w:r w:rsidR="00FC4A5B" w:rsidRPr="00C7601B">
        <w:rPr>
          <w:rFonts w:cs="Times New Roman"/>
          <w:szCs w:val="24"/>
          <w:lang w:val="fr-CA"/>
        </w:rPr>
        <w:t xml:space="preserve"> </w:t>
      </w:r>
      <w:r w:rsidRPr="00C7601B">
        <w:rPr>
          <w:rFonts w:cs="Times New Roman"/>
          <w:szCs w:val="24"/>
          <w:lang w:val="fr-CA"/>
        </w:rPr>
        <w:t xml:space="preserve">En conclusion, la juge </w:t>
      </w:r>
      <w:proofErr w:type="spellStart"/>
      <w:r w:rsidRPr="00C7601B">
        <w:rPr>
          <w:rFonts w:cs="Times New Roman"/>
          <w:szCs w:val="24"/>
          <w:lang w:val="fr-CA"/>
        </w:rPr>
        <w:t>Layden</w:t>
      </w:r>
      <w:proofErr w:type="spellEnd"/>
      <w:r w:rsidR="00C7601B" w:rsidRPr="00C7601B">
        <w:rPr>
          <w:rFonts w:cs="Times New Roman"/>
          <w:szCs w:val="24"/>
          <w:lang w:val="fr-CA"/>
        </w:rPr>
        <w:t>-</w:t>
      </w:r>
      <w:r w:rsidRPr="00C7601B">
        <w:rPr>
          <w:rFonts w:cs="Times New Roman"/>
          <w:szCs w:val="24"/>
          <w:lang w:val="fr-CA"/>
        </w:rPr>
        <w:t>Stevenson estime qu’aucune considération de politique générale, non plus que l’usage d’une méthode d’</w:t>
      </w:r>
      <w:r w:rsidRPr="00C7601B">
        <w:rPr>
          <w:rFonts w:cs="Times New Roman"/>
          <w:spacing w:val="-3"/>
          <w:szCs w:val="24"/>
          <w:lang w:val="fr-CA"/>
        </w:rPr>
        <w:t xml:space="preserve">interprétation libérale et téléologique, ne justifierait la neutralisation de l’intention manifeste du </w:t>
      </w:r>
      <w:r w:rsidRPr="00C7601B">
        <w:rPr>
          <w:rFonts w:cs="Times New Roman"/>
          <w:szCs w:val="24"/>
          <w:lang w:val="fr-CA"/>
        </w:rPr>
        <w:t>législateur (par.</w:t>
      </w:r>
      <w:r w:rsidR="00FC4A5B" w:rsidRPr="00C7601B">
        <w:rPr>
          <w:rFonts w:cs="Times New Roman"/>
          <w:szCs w:val="24"/>
          <w:lang w:val="fr-CA"/>
        </w:rPr>
        <w:t xml:space="preserve"> </w:t>
      </w:r>
      <w:r w:rsidR="008D2DF7">
        <w:rPr>
          <w:rFonts w:cs="Times New Roman"/>
          <w:szCs w:val="24"/>
          <w:lang w:val="fr-CA"/>
        </w:rPr>
        <w:t>99-</w:t>
      </w:r>
      <w:r w:rsidRPr="00C7601B">
        <w:rPr>
          <w:rFonts w:cs="Times New Roman"/>
          <w:szCs w:val="24"/>
          <w:lang w:val="fr-CA"/>
        </w:rPr>
        <w:t>100).</w:t>
      </w:r>
      <w:r w:rsidR="00FC4A5B" w:rsidRPr="00C7601B">
        <w:rPr>
          <w:rFonts w:cs="Times New Roman"/>
          <w:szCs w:val="24"/>
          <w:lang w:val="fr-CA"/>
        </w:rPr>
        <w:t xml:space="preserve"> </w:t>
      </w:r>
      <w:r w:rsidRPr="00C7601B">
        <w:rPr>
          <w:rFonts w:cs="Times New Roman"/>
          <w:szCs w:val="24"/>
          <w:lang w:val="fr-CA"/>
        </w:rPr>
        <w:t xml:space="preserve">Elle explique qu’il vaut mieux laisser au législateur le soin de </w:t>
      </w:r>
      <w:r w:rsidRPr="00C7601B">
        <w:rPr>
          <w:rFonts w:cs="Times New Roman"/>
          <w:spacing w:val="-3"/>
          <w:szCs w:val="24"/>
          <w:lang w:val="fr-CA"/>
        </w:rPr>
        <w:t>décider de conférer ou non au Tribunal le pouvoir d’adjuger des dépens (par.</w:t>
      </w:r>
      <w:r w:rsidR="00FC4A5B" w:rsidRPr="00C7601B">
        <w:rPr>
          <w:rFonts w:cs="Times New Roman"/>
          <w:spacing w:val="-3"/>
          <w:szCs w:val="24"/>
          <w:lang w:val="fr-CA"/>
        </w:rPr>
        <w:t xml:space="preserve"> </w:t>
      </w:r>
      <w:r w:rsidRPr="00C7601B">
        <w:rPr>
          <w:rFonts w:cs="Times New Roman"/>
          <w:spacing w:val="-3"/>
          <w:szCs w:val="24"/>
          <w:lang w:val="fr-CA"/>
        </w:rPr>
        <w:t>101).</w:t>
      </w:r>
      <w:r w:rsidR="00FC4A5B" w:rsidRPr="00C7601B">
        <w:rPr>
          <w:rFonts w:cs="Times New Roman"/>
          <w:spacing w:val="-3"/>
          <w:szCs w:val="24"/>
          <w:lang w:val="fr-CA"/>
        </w:rPr>
        <w:t xml:space="preserve"> </w:t>
      </w:r>
      <w:r w:rsidRPr="00C7601B">
        <w:rPr>
          <w:rFonts w:cs="Times New Roman"/>
          <w:spacing w:val="-3"/>
          <w:szCs w:val="24"/>
          <w:lang w:val="fr-CA"/>
        </w:rPr>
        <w:t xml:space="preserve">Elle fait observer que même au regard de la </w:t>
      </w:r>
      <w:r w:rsidRPr="00C7601B">
        <w:rPr>
          <w:rFonts w:cs="Times New Roman"/>
          <w:spacing w:val="-3"/>
          <w:szCs w:val="24"/>
          <w:lang w:val="fr-CA"/>
        </w:rPr>
        <w:lastRenderedPageBreak/>
        <w:t xml:space="preserve">norme de la décision raisonnable, il y a lieu d’annuler la </w:t>
      </w:r>
      <w:r w:rsidRPr="00C7601B">
        <w:rPr>
          <w:rFonts w:cs="Times New Roman"/>
          <w:szCs w:val="24"/>
          <w:lang w:val="fr-CA"/>
        </w:rPr>
        <w:t>décision du Tribunal relative à l’adjudication des dépens (par.</w:t>
      </w:r>
      <w:r w:rsidR="00C7601B" w:rsidRPr="00C7601B">
        <w:rPr>
          <w:lang w:val="fr-CA"/>
        </w:rPr>
        <w:t> </w:t>
      </w:r>
      <w:r w:rsidRPr="00C7601B">
        <w:rPr>
          <w:rFonts w:cs="Times New Roman"/>
          <w:szCs w:val="24"/>
          <w:lang w:val="fr-CA"/>
        </w:rPr>
        <w:t>96).</w:t>
      </w:r>
    </w:p>
    <w:p w:rsidR="00956B54" w:rsidRPr="00C7601B" w:rsidRDefault="00956B54" w:rsidP="007F237F">
      <w:pPr>
        <w:pStyle w:val="TitleTitre-AltT"/>
        <w:tabs>
          <w:tab w:val="clear" w:pos="360"/>
          <w:tab w:val="left" w:pos="540"/>
        </w:tabs>
        <w:ind w:left="540" w:hanging="540"/>
        <w:rPr>
          <w:rFonts w:cs="Times New Roman"/>
          <w:szCs w:val="24"/>
          <w:lang w:val="fr-CA"/>
        </w:rPr>
      </w:pPr>
      <w:r w:rsidRPr="00C7601B">
        <w:rPr>
          <w:rFonts w:cs="Times New Roman"/>
          <w:szCs w:val="24"/>
          <w:lang w:val="fr-CA"/>
        </w:rPr>
        <w:t>IV.</w:t>
      </w:r>
      <w:r w:rsidRPr="00C7601B">
        <w:rPr>
          <w:rFonts w:cs="Times New Roman"/>
          <w:szCs w:val="24"/>
          <w:lang w:val="fr-CA"/>
        </w:rPr>
        <w:tab/>
      </w:r>
      <w:r w:rsidRPr="00C7601B">
        <w:rPr>
          <w:rFonts w:cs="Times New Roman"/>
          <w:szCs w:val="24"/>
          <w:u w:val="single"/>
          <w:lang w:val="fr-CA"/>
        </w:rPr>
        <w:t>Analyse</w:t>
      </w:r>
    </w:p>
    <w:p w:rsidR="00956B54" w:rsidRPr="00C7601B" w:rsidRDefault="00956B54" w:rsidP="007F237F">
      <w:pPr>
        <w:pStyle w:val="TitleTitre-AltT"/>
        <w:tabs>
          <w:tab w:val="clear" w:pos="360"/>
          <w:tab w:val="left" w:pos="540"/>
        </w:tabs>
        <w:ind w:left="540" w:hanging="540"/>
        <w:rPr>
          <w:rFonts w:cs="Times New Roman"/>
          <w:szCs w:val="24"/>
          <w:lang w:val="fr-CA"/>
        </w:rPr>
      </w:pPr>
      <w:r w:rsidRPr="00C7601B">
        <w:rPr>
          <w:rFonts w:cs="Times New Roman"/>
          <w:szCs w:val="24"/>
          <w:lang w:val="fr-CA"/>
        </w:rPr>
        <w:t>A.</w:t>
      </w:r>
      <w:r w:rsidRPr="00C7601B">
        <w:rPr>
          <w:rFonts w:cs="Times New Roman"/>
          <w:szCs w:val="24"/>
          <w:lang w:val="fr-CA"/>
        </w:rPr>
        <w:tab/>
      </w:r>
      <w:r w:rsidRPr="00C7601B">
        <w:rPr>
          <w:rFonts w:cs="Times New Roman"/>
          <w:i/>
          <w:szCs w:val="24"/>
          <w:lang w:val="fr-CA"/>
        </w:rPr>
        <w:t>Questions en litige</w:t>
      </w:r>
    </w:p>
    <w:p w:rsidR="00956B54" w:rsidRPr="00C7601B" w:rsidRDefault="00956B54" w:rsidP="00956B54">
      <w:pPr>
        <w:pStyle w:val="ParaNoNdepar-AltN"/>
        <w:rPr>
          <w:rFonts w:cs="Times New Roman"/>
          <w:szCs w:val="24"/>
          <w:lang w:val="fr-CA"/>
        </w:rPr>
      </w:pPr>
      <w:r w:rsidRPr="00C7601B">
        <w:rPr>
          <w:rFonts w:cs="Times New Roman"/>
          <w:szCs w:val="24"/>
          <w:lang w:val="fr-CA"/>
        </w:rPr>
        <w:t>Comme nous le signalons précédemment, le présent pourvoi soulève deux questions</w:t>
      </w:r>
      <w:r w:rsidR="00FC4A5B" w:rsidRPr="00C7601B">
        <w:rPr>
          <w:rFonts w:cs="Times New Roman"/>
          <w:szCs w:val="24"/>
          <w:lang w:val="fr-CA"/>
        </w:rPr>
        <w:t xml:space="preserve"> </w:t>
      </w:r>
      <w:r w:rsidRPr="00C7601B">
        <w:rPr>
          <w:rFonts w:cs="Times New Roman"/>
          <w:szCs w:val="24"/>
          <w:lang w:val="fr-CA"/>
        </w:rPr>
        <w:t>:</w:t>
      </w:r>
    </w:p>
    <w:p w:rsidR="00956B54" w:rsidRPr="00C7601B" w:rsidRDefault="00956B54" w:rsidP="004661AE">
      <w:pPr>
        <w:pStyle w:val="Citation-AltC"/>
        <w:numPr>
          <w:ilvl w:val="4"/>
          <w:numId w:val="1"/>
        </w:numPr>
        <w:spacing w:after="480" w:line="480" w:lineRule="auto"/>
        <w:ind w:left="1170" w:hanging="1170"/>
        <w:contextualSpacing w:val="0"/>
        <w:rPr>
          <w:szCs w:val="24"/>
          <w:lang w:val="fr-CA"/>
        </w:rPr>
      </w:pPr>
      <w:r w:rsidRPr="00C7601B">
        <w:rPr>
          <w:szCs w:val="24"/>
          <w:lang w:val="fr-CA"/>
        </w:rPr>
        <w:t>Quelle norme de contrôle judiciaire s’applique à la décision du Tribunal concernant son pouvoir d’adjuger des dépens sur le fondement des al.</w:t>
      </w:r>
      <w:r w:rsidR="00FC4A5B" w:rsidRPr="00C7601B">
        <w:rPr>
          <w:szCs w:val="24"/>
          <w:lang w:val="fr-CA"/>
        </w:rPr>
        <w:t xml:space="preserve"> </w:t>
      </w:r>
      <w:r w:rsidRPr="00C7601B">
        <w:rPr>
          <w:szCs w:val="24"/>
          <w:lang w:val="fr-CA"/>
        </w:rPr>
        <w:t>53(2)</w:t>
      </w:r>
      <w:r w:rsidRPr="00C7601B">
        <w:rPr>
          <w:i/>
          <w:szCs w:val="24"/>
          <w:lang w:val="fr-CA"/>
        </w:rPr>
        <w:t>c</w:t>
      </w:r>
      <w:r w:rsidRPr="00C7601B">
        <w:rPr>
          <w:szCs w:val="24"/>
          <w:lang w:val="fr-CA"/>
        </w:rPr>
        <w:t xml:space="preserve">) et </w:t>
      </w:r>
      <w:r w:rsidRPr="00C7601B">
        <w:rPr>
          <w:i/>
          <w:szCs w:val="24"/>
          <w:lang w:val="fr-CA"/>
        </w:rPr>
        <w:t>d</w:t>
      </w:r>
      <w:r w:rsidRPr="00C7601B">
        <w:rPr>
          <w:szCs w:val="24"/>
          <w:lang w:val="fr-CA"/>
        </w:rPr>
        <w:t>) de la Loi?</w:t>
      </w:r>
    </w:p>
    <w:p w:rsidR="00956B54" w:rsidRPr="00C7601B" w:rsidRDefault="00956B54" w:rsidP="004661AE">
      <w:pPr>
        <w:pStyle w:val="Citation-AltC"/>
        <w:numPr>
          <w:ilvl w:val="4"/>
          <w:numId w:val="1"/>
        </w:numPr>
        <w:spacing w:after="480" w:line="480" w:lineRule="auto"/>
        <w:ind w:left="1170" w:hanging="1170"/>
        <w:contextualSpacing w:val="0"/>
        <w:rPr>
          <w:szCs w:val="24"/>
          <w:lang w:val="fr-CA"/>
        </w:rPr>
      </w:pPr>
      <w:r w:rsidRPr="00C7601B">
        <w:rPr>
          <w:szCs w:val="24"/>
          <w:lang w:val="fr-CA"/>
        </w:rPr>
        <w:t>Le Tribunal a</w:t>
      </w:r>
      <w:r w:rsidR="00C7601B" w:rsidRPr="00C7601B">
        <w:rPr>
          <w:szCs w:val="24"/>
          <w:lang w:val="fr-CA"/>
        </w:rPr>
        <w:t>-</w:t>
      </w:r>
      <w:r w:rsidRPr="00C7601B">
        <w:rPr>
          <w:szCs w:val="24"/>
          <w:lang w:val="fr-CA"/>
        </w:rPr>
        <w:t>t</w:t>
      </w:r>
      <w:r w:rsidR="00C7601B" w:rsidRPr="00C7601B">
        <w:rPr>
          <w:szCs w:val="24"/>
          <w:lang w:val="fr-CA"/>
        </w:rPr>
        <w:t>-</w:t>
      </w:r>
      <w:r w:rsidRPr="00C7601B">
        <w:rPr>
          <w:szCs w:val="24"/>
          <w:lang w:val="fr-CA"/>
        </w:rPr>
        <w:t>il commis une erreur susceptible de contrôle judiciaire lorsqu’il a conclu qu’il pouvait accorder une indemnité pour les dépens?</w:t>
      </w:r>
    </w:p>
    <w:p w:rsidR="00956B54" w:rsidRPr="00C7601B" w:rsidRDefault="00956B54" w:rsidP="007F237F">
      <w:pPr>
        <w:pStyle w:val="TitleTitre-AltT"/>
        <w:tabs>
          <w:tab w:val="clear" w:pos="360"/>
          <w:tab w:val="left" w:pos="540"/>
        </w:tabs>
        <w:ind w:left="540" w:hanging="540"/>
        <w:rPr>
          <w:rFonts w:cs="Times New Roman"/>
          <w:szCs w:val="24"/>
          <w:lang w:val="fr-CA"/>
        </w:rPr>
      </w:pPr>
      <w:r w:rsidRPr="00C7601B">
        <w:rPr>
          <w:rFonts w:cs="Times New Roman"/>
          <w:szCs w:val="24"/>
          <w:lang w:val="fr-CA"/>
        </w:rPr>
        <w:t>B.</w:t>
      </w:r>
      <w:r w:rsidRPr="00C7601B">
        <w:rPr>
          <w:rFonts w:cs="Times New Roman"/>
          <w:szCs w:val="24"/>
          <w:lang w:val="fr-CA"/>
        </w:rPr>
        <w:tab/>
      </w:r>
      <w:r w:rsidRPr="00C7601B">
        <w:rPr>
          <w:rFonts w:cs="Times New Roman"/>
          <w:i/>
          <w:szCs w:val="24"/>
          <w:lang w:val="fr-CA"/>
        </w:rPr>
        <w:t xml:space="preserve">Analyse au regard de l’arrêt </w:t>
      </w:r>
      <w:proofErr w:type="spellStart"/>
      <w:r w:rsidRPr="00C7601B">
        <w:rPr>
          <w:rFonts w:cs="Times New Roman"/>
          <w:i/>
          <w:szCs w:val="24"/>
          <w:lang w:val="fr-CA"/>
        </w:rPr>
        <w:t>Dunsmuir</w:t>
      </w:r>
      <w:proofErr w:type="spellEnd"/>
      <w:r w:rsidRPr="00C7601B">
        <w:rPr>
          <w:rFonts w:cs="Times New Roman"/>
          <w:i/>
          <w:szCs w:val="24"/>
          <w:lang w:val="fr-CA"/>
        </w:rPr>
        <w:t xml:space="preserve"> </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Dans les arrêts </w:t>
      </w:r>
      <w:proofErr w:type="spellStart"/>
      <w:r w:rsidRPr="00C7601B">
        <w:rPr>
          <w:rFonts w:cs="Times New Roman"/>
          <w:i/>
          <w:szCs w:val="24"/>
          <w:lang w:val="fr-CA"/>
        </w:rPr>
        <w:t>Dunsmuir</w:t>
      </w:r>
      <w:proofErr w:type="spellEnd"/>
      <w:r w:rsidRPr="00C7601B">
        <w:rPr>
          <w:rFonts w:cs="Times New Roman"/>
          <w:i/>
          <w:szCs w:val="24"/>
          <w:lang w:val="fr-CA"/>
        </w:rPr>
        <w:t xml:space="preserve"> </w:t>
      </w:r>
      <w:r w:rsidRPr="00C7601B">
        <w:rPr>
          <w:rFonts w:cs="Times New Roman"/>
          <w:szCs w:val="24"/>
          <w:lang w:val="fr-CA"/>
        </w:rPr>
        <w:t xml:space="preserve">et </w:t>
      </w:r>
      <w:r w:rsidRPr="00C7601B">
        <w:rPr>
          <w:rFonts w:cs="Times New Roman"/>
          <w:i/>
          <w:szCs w:val="24"/>
          <w:lang w:val="fr-CA"/>
        </w:rPr>
        <w:t>Canada</w:t>
      </w:r>
      <w:r w:rsidRPr="00C7601B">
        <w:rPr>
          <w:rFonts w:cs="Times New Roman"/>
          <w:szCs w:val="24"/>
          <w:lang w:val="fr-CA"/>
        </w:rPr>
        <w:t xml:space="preserve"> </w:t>
      </w:r>
      <w:r w:rsidRPr="00C7601B">
        <w:rPr>
          <w:rFonts w:cs="Times New Roman"/>
          <w:i/>
          <w:szCs w:val="24"/>
          <w:lang w:val="fr-CA"/>
        </w:rPr>
        <w:t xml:space="preserve">(Citoyenneté et Immigration) c. </w:t>
      </w:r>
      <w:proofErr w:type="spellStart"/>
      <w:r w:rsidRPr="00C7601B">
        <w:rPr>
          <w:rFonts w:cs="Times New Roman"/>
          <w:i/>
          <w:szCs w:val="24"/>
          <w:lang w:val="fr-CA"/>
        </w:rPr>
        <w:t>Khosa</w:t>
      </w:r>
      <w:proofErr w:type="spellEnd"/>
      <w:r w:rsidRPr="00C7601B">
        <w:rPr>
          <w:rFonts w:cs="Times New Roman"/>
          <w:szCs w:val="24"/>
          <w:lang w:val="fr-CA"/>
        </w:rPr>
        <w:t>, 2009 CSC 12, [2009] 1 R.C.S. 339, la Cour simplifie une démarche analytique jugée ardue par les tribunaux.</w:t>
      </w:r>
      <w:r w:rsidR="00FC4A5B" w:rsidRPr="00C7601B">
        <w:rPr>
          <w:rFonts w:cs="Times New Roman"/>
          <w:szCs w:val="24"/>
          <w:lang w:val="fr-CA"/>
        </w:rPr>
        <w:t xml:space="preserve"> </w:t>
      </w:r>
      <w:r w:rsidRPr="00C7601B">
        <w:rPr>
          <w:rFonts w:cs="Times New Roman"/>
          <w:szCs w:val="24"/>
          <w:lang w:val="fr-CA"/>
        </w:rPr>
        <w:t xml:space="preserve">Estimant que la distinction entre la norme de la décision manifestement déraisonnable et celle de la décision raisonnable </w:t>
      </w:r>
      <w:proofErr w:type="spellStart"/>
      <w:r w:rsidRPr="00C7601B">
        <w:rPr>
          <w:rFonts w:cs="Times New Roman"/>
          <w:i/>
          <w:szCs w:val="24"/>
          <w:lang w:val="fr-CA"/>
        </w:rPr>
        <w:t>simpliciter</w:t>
      </w:r>
      <w:proofErr w:type="spellEnd"/>
      <w:r w:rsidRPr="00C7601B">
        <w:rPr>
          <w:rFonts w:cs="Times New Roman"/>
          <w:szCs w:val="24"/>
          <w:lang w:val="fr-CA"/>
        </w:rPr>
        <w:t xml:space="preserve"> est illusoire, les juges majoritaires suppriment la norme de la décision manifestement </w:t>
      </w:r>
      <w:r w:rsidRPr="00C7601B">
        <w:rPr>
          <w:rFonts w:cs="Times New Roman"/>
          <w:szCs w:val="24"/>
          <w:lang w:val="fr-CA"/>
        </w:rPr>
        <w:lastRenderedPageBreak/>
        <w:t>déraisonn</w:t>
      </w:r>
      <w:r w:rsidR="008D2DF7">
        <w:rPr>
          <w:rFonts w:cs="Times New Roman"/>
          <w:szCs w:val="24"/>
          <w:lang w:val="fr-CA"/>
        </w:rPr>
        <w:t>able</w:t>
      </w:r>
      <w:r w:rsidRPr="00C7601B">
        <w:rPr>
          <w:rFonts w:cs="Times New Roman"/>
          <w:szCs w:val="24"/>
          <w:lang w:val="fr-CA"/>
        </w:rPr>
        <w:t xml:space="preserve"> et concluent qu’il ne doit y avoir désormais que deux normes de contrôle</w:t>
      </w:r>
      <w:r w:rsidR="00FC4A5B" w:rsidRPr="00C7601B">
        <w:rPr>
          <w:rFonts w:cs="Times New Roman"/>
          <w:szCs w:val="24"/>
          <w:lang w:val="fr-CA"/>
        </w:rPr>
        <w:t xml:space="preserve"> </w:t>
      </w:r>
      <w:r w:rsidRPr="00C7601B">
        <w:rPr>
          <w:rFonts w:cs="Times New Roman"/>
          <w:szCs w:val="24"/>
          <w:lang w:val="fr-CA"/>
        </w:rPr>
        <w:t xml:space="preserve">: celles de la décision correcte et de la décision raisonnable. </w:t>
      </w:r>
    </w:p>
    <w:p w:rsidR="00956B54" w:rsidRPr="00C7601B" w:rsidRDefault="00956B54" w:rsidP="00956B54">
      <w:pPr>
        <w:pStyle w:val="ParaNoNdepar-AltN"/>
        <w:rPr>
          <w:rFonts w:cs="Times New Roman"/>
          <w:szCs w:val="24"/>
          <w:lang w:val="fr-CA"/>
        </w:rPr>
      </w:pPr>
      <w:r w:rsidRPr="00C7601B">
        <w:rPr>
          <w:rFonts w:cs="Times New Roman"/>
          <w:szCs w:val="24"/>
          <w:lang w:val="fr-CA"/>
        </w:rPr>
        <w:t>Dans</w:t>
      </w:r>
      <w:r w:rsidRPr="00C7601B">
        <w:rPr>
          <w:rFonts w:cs="Times New Roman"/>
          <w:i/>
          <w:szCs w:val="24"/>
          <w:lang w:val="fr-CA"/>
        </w:rPr>
        <w:t xml:space="preserve"> </w:t>
      </w:r>
      <w:proofErr w:type="spellStart"/>
      <w:r w:rsidRPr="00C7601B">
        <w:rPr>
          <w:rFonts w:cs="Times New Roman"/>
          <w:i/>
          <w:szCs w:val="24"/>
          <w:lang w:val="fr-CA"/>
        </w:rPr>
        <w:t>Dunsmuir</w:t>
      </w:r>
      <w:proofErr w:type="spellEnd"/>
      <w:r w:rsidRPr="00C7601B">
        <w:rPr>
          <w:rFonts w:cs="Times New Roman"/>
          <w:szCs w:val="24"/>
          <w:lang w:val="fr-CA"/>
        </w:rPr>
        <w:t>, la Cour consacre la démarche en deux étapes qui permet d’arrêter la norme de contrôle applicable : l’analyse relative à la norme de contrôle.</w:t>
      </w:r>
      <w:r w:rsidR="00FC4A5B" w:rsidRPr="00C7601B">
        <w:rPr>
          <w:rFonts w:cs="Times New Roman"/>
          <w:szCs w:val="24"/>
          <w:lang w:val="fr-CA"/>
        </w:rPr>
        <w:t xml:space="preserve"> </w:t>
      </w:r>
      <w:r w:rsidRPr="00C7601B">
        <w:rPr>
          <w:rFonts w:cs="Times New Roman"/>
          <w:szCs w:val="24"/>
          <w:lang w:val="fr-CA"/>
        </w:rPr>
        <w:t>Premièrement, la cour saisie «</w:t>
      </w:r>
      <w:r w:rsidR="00FC4A5B" w:rsidRPr="00C7601B">
        <w:rPr>
          <w:rFonts w:cs="Times New Roman"/>
          <w:szCs w:val="24"/>
          <w:lang w:val="fr-CA"/>
        </w:rPr>
        <w:t xml:space="preserve"> </w:t>
      </w:r>
      <w:r w:rsidRPr="00C7601B">
        <w:rPr>
          <w:rFonts w:cs="Times New Roman"/>
          <w:szCs w:val="24"/>
          <w:lang w:val="fr-CA"/>
        </w:rPr>
        <w:t>vérifie si la jurisprudence établit déjà de manière satisfaisante le degré de déférence correspondant à une catégorie de questions en particulier.</w:t>
      </w:r>
      <w:r w:rsidR="00FC4A5B" w:rsidRPr="00C7601B">
        <w:rPr>
          <w:rFonts w:cs="Times New Roman"/>
          <w:szCs w:val="24"/>
          <w:lang w:val="fr-CA"/>
        </w:rPr>
        <w:t xml:space="preserve"> </w:t>
      </w:r>
      <w:r w:rsidRPr="00C7601B">
        <w:rPr>
          <w:rFonts w:cs="Times New Roman"/>
          <w:szCs w:val="24"/>
          <w:lang w:val="fr-CA"/>
        </w:rPr>
        <w:t>En second lieu, lorsque cette démarche se révèle infructueuse, elle entreprend l’analyse des éléments qui permettent d’arrêter la bonne norme de contrôle</w:t>
      </w:r>
      <w:r w:rsidR="00FC4A5B" w:rsidRPr="00C7601B">
        <w:rPr>
          <w:rFonts w:cs="Times New Roman"/>
          <w:szCs w:val="24"/>
          <w:lang w:val="fr-CA"/>
        </w:rPr>
        <w:t xml:space="preserve"> </w:t>
      </w:r>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62).</w:t>
      </w:r>
      <w:r w:rsidR="00FC4A5B" w:rsidRPr="00C7601B">
        <w:rPr>
          <w:rFonts w:cs="Times New Roman"/>
          <w:szCs w:val="24"/>
          <w:lang w:val="fr-CA"/>
        </w:rPr>
        <w:t xml:space="preserve"> </w:t>
      </w:r>
      <w:r w:rsidRPr="00C7601B">
        <w:rPr>
          <w:rFonts w:cs="Times New Roman"/>
          <w:szCs w:val="24"/>
          <w:lang w:val="fr-CA"/>
        </w:rPr>
        <w:t>L’analyse doit demeurer axée sur la nature de la question soumise au tribunal administratif en cause (</w:t>
      </w:r>
      <w:proofErr w:type="spellStart"/>
      <w:r w:rsidRPr="00C7601B">
        <w:rPr>
          <w:rFonts w:cs="Times New Roman"/>
          <w:i/>
          <w:szCs w:val="24"/>
          <w:lang w:val="fr-CA"/>
        </w:rPr>
        <w:t>Khosa</w:t>
      </w:r>
      <w:proofErr w:type="spellEnd"/>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4, le juge Binnie).</w:t>
      </w:r>
      <w:r w:rsidR="00FC4A5B" w:rsidRPr="00C7601B">
        <w:rPr>
          <w:rFonts w:cs="Times New Roman"/>
          <w:szCs w:val="24"/>
          <w:lang w:val="fr-CA"/>
        </w:rPr>
        <w:t xml:space="preserve"> </w:t>
      </w:r>
      <w:r w:rsidRPr="00C7601B">
        <w:rPr>
          <w:rFonts w:cs="Times New Roman"/>
          <w:szCs w:val="24"/>
          <w:lang w:val="fr-CA"/>
        </w:rPr>
        <w:t>Les facteurs dont il doit être tenu compte pour déterminer si, dans un cas donné, la déférence s’impose à l’endroit du tribunal administratif sont les suivants</w:t>
      </w:r>
      <w:r w:rsidR="00FC4A5B" w:rsidRPr="00C7601B">
        <w:rPr>
          <w:rFonts w:cs="Times New Roman"/>
          <w:szCs w:val="24"/>
          <w:lang w:val="fr-CA"/>
        </w:rPr>
        <w:t xml:space="preserve"> </w:t>
      </w:r>
      <w:r w:rsidRPr="00C7601B">
        <w:rPr>
          <w:rFonts w:cs="Times New Roman"/>
          <w:szCs w:val="24"/>
          <w:lang w:val="fr-CA"/>
        </w:rPr>
        <w:t>: l’existence d’une disposition d’</w:t>
      </w:r>
      <w:proofErr w:type="spellStart"/>
      <w:r w:rsidRPr="00C7601B">
        <w:rPr>
          <w:rFonts w:cs="Times New Roman"/>
          <w:szCs w:val="24"/>
          <w:lang w:val="fr-CA"/>
        </w:rPr>
        <w:t>inattaquabilité</w:t>
      </w:r>
      <w:proofErr w:type="spellEnd"/>
      <w:r w:rsidRPr="00C7601B">
        <w:rPr>
          <w:rFonts w:cs="Times New Roman"/>
          <w:szCs w:val="24"/>
          <w:lang w:val="fr-CA"/>
        </w:rPr>
        <w:t xml:space="preserve"> (ou «</w:t>
      </w:r>
      <w:r w:rsidR="00FC4A5B" w:rsidRPr="00C7601B">
        <w:rPr>
          <w:rFonts w:cs="Times New Roman"/>
          <w:szCs w:val="24"/>
          <w:lang w:val="fr-CA"/>
        </w:rPr>
        <w:t xml:space="preserve"> </w:t>
      </w:r>
      <w:r w:rsidRPr="00C7601B">
        <w:rPr>
          <w:rFonts w:cs="Times New Roman"/>
          <w:i/>
          <w:szCs w:val="24"/>
          <w:lang w:val="fr-CA"/>
        </w:rPr>
        <w:t>clause privative</w:t>
      </w:r>
      <w:r w:rsidR="00FC4A5B" w:rsidRPr="00C7601B">
        <w:rPr>
          <w:rFonts w:cs="Times New Roman"/>
          <w:szCs w:val="24"/>
          <w:lang w:val="fr-CA"/>
        </w:rPr>
        <w:t xml:space="preserve"> </w:t>
      </w:r>
      <w:r w:rsidRPr="00C7601B">
        <w:rPr>
          <w:rFonts w:cs="Times New Roman"/>
          <w:szCs w:val="24"/>
          <w:lang w:val="fr-CA"/>
        </w:rPr>
        <w:t>» dans le vocabulaire juridique traditionnel), l’existence d’un régime administratif distinct et particulier dans le cadre duquel le décideur possède une expertise spéciale et la nature de la question de droit (</w:t>
      </w:r>
      <w:proofErr w:type="spellStart"/>
      <w:r w:rsidRPr="00C7601B">
        <w:rPr>
          <w:rFonts w:cs="Times New Roman"/>
          <w:i/>
          <w:szCs w:val="24"/>
          <w:lang w:val="fr-CA"/>
        </w:rPr>
        <w:t>Dunsmuir</w:t>
      </w:r>
      <w:proofErr w:type="spellEnd"/>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55).</w:t>
      </w:r>
      <w:r w:rsidR="00FC4A5B" w:rsidRPr="00C7601B">
        <w:rPr>
          <w:rFonts w:cs="Times New Roman"/>
          <w:szCs w:val="24"/>
          <w:lang w:val="fr-CA"/>
        </w:rPr>
        <w:t xml:space="preserve"> </w:t>
      </w:r>
      <w:r w:rsidRPr="00C7601B">
        <w:rPr>
          <w:rFonts w:cs="Times New Roman"/>
          <w:szCs w:val="24"/>
          <w:lang w:val="fr-CA"/>
        </w:rPr>
        <w:t>La Cour reconnaît que la déférence est généralement de mise lorsque le tribunal administratif interprète sa propre loi constitutive ou une loi étroitement liée à son mandat et dont il a une connaissance approfondie.</w:t>
      </w:r>
      <w:r w:rsidR="00FC4A5B" w:rsidRPr="00C7601B">
        <w:rPr>
          <w:rFonts w:cs="Times New Roman"/>
          <w:szCs w:val="24"/>
          <w:lang w:val="fr-CA"/>
        </w:rPr>
        <w:t xml:space="preserve"> </w:t>
      </w:r>
      <w:r w:rsidRPr="00C7601B">
        <w:rPr>
          <w:rFonts w:cs="Times New Roman"/>
          <w:szCs w:val="24"/>
          <w:lang w:val="fr-CA"/>
        </w:rPr>
        <w:t xml:space="preserve">La déférence peut également s’imposer lorsque le tribunal administratif a acquis une expertise dans l’application d’une règle générale de </w:t>
      </w:r>
      <w:proofErr w:type="spellStart"/>
      <w:r w:rsidRPr="00C7601B">
        <w:rPr>
          <w:rFonts w:cs="Times New Roman"/>
          <w:szCs w:val="24"/>
          <w:lang w:val="fr-CA"/>
        </w:rPr>
        <w:t>common</w:t>
      </w:r>
      <w:proofErr w:type="spellEnd"/>
      <w:r w:rsidRPr="00C7601B">
        <w:rPr>
          <w:rFonts w:cs="Times New Roman"/>
          <w:szCs w:val="24"/>
          <w:lang w:val="fr-CA"/>
        </w:rPr>
        <w:t xml:space="preserve"> </w:t>
      </w:r>
      <w:proofErr w:type="spellStart"/>
      <w:r w:rsidRPr="00C7601B">
        <w:rPr>
          <w:rFonts w:cs="Times New Roman"/>
          <w:szCs w:val="24"/>
          <w:lang w:val="fr-CA"/>
        </w:rPr>
        <w:t>law</w:t>
      </w:r>
      <w:proofErr w:type="spellEnd"/>
      <w:r w:rsidRPr="00C7601B">
        <w:rPr>
          <w:rFonts w:cs="Times New Roman"/>
          <w:szCs w:val="24"/>
          <w:lang w:val="fr-CA"/>
        </w:rPr>
        <w:t xml:space="preserve"> ou de droit civil dans son domaine spécialisé (</w:t>
      </w:r>
      <w:proofErr w:type="spellStart"/>
      <w:r w:rsidRPr="00C7601B">
        <w:rPr>
          <w:rFonts w:cs="Times New Roman"/>
          <w:i/>
          <w:szCs w:val="24"/>
          <w:lang w:val="fr-CA"/>
        </w:rPr>
        <w:t>Dunsmuir</w:t>
      </w:r>
      <w:proofErr w:type="spellEnd"/>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 xml:space="preserve">54; </w:t>
      </w:r>
      <w:proofErr w:type="spellStart"/>
      <w:r w:rsidRPr="00C7601B">
        <w:rPr>
          <w:rFonts w:cs="Times New Roman"/>
          <w:i/>
          <w:szCs w:val="24"/>
          <w:lang w:val="fr-CA"/>
        </w:rPr>
        <w:t>Khosa</w:t>
      </w:r>
      <w:proofErr w:type="spellEnd"/>
      <w:r w:rsidRPr="00C7601B">
        <w:rPr>
          <w:rFonts w:cs="Times New Roman"/>
          <w:szCs w:val="24"/>
          <w:lang w:val="fr-CA"/>
        </w:rPr>
        <w:t>, par.</w:t>
      </w:r>
      <w:r w:rsidR="00C7601B" w:rsidRPr="00C7601B">
        <w:rPr>
          <w:rFonts w:cs="Times New Roman"/>
          <w:szCs w:val="24"/>
          <w:lang w:val="fr-CA"/>
        </w:rPr>
        <w:t> </w:t>
      </w:r>
      <w:r w:rsidRPr="00C7601B">
        <w:rPr>
          <w:rFonts w:cs="Times New Roman"/>
          <w:szCs w:val="24"/>
          <w:lang w:val="fr-CA"/>
        </w:rPr>
        <w:t>25).</w:t>
      </w:r>
    </w:p>
    <w:p w:rsidR="00956B54" w:rsidRPr="00C7601B" w:rsidRDefault="00956B54" w:rsidP="00956B54">
      <w:pPr>
        <w:pStyle w:val="ParaNoNdepar-AltN"/>
        <w:rPr>
          <w:rFonts w:cs="Times New Roman"/>
          <w:szCs w:val="24"/>
          <w:lang w:val="fr-CA"/>
        </w:rPr>
      </w:pPr>
      <w:r w:rsidRPr="00C7601B">
        <w:rPr>
          <w:rFonts w:cs="Times New Roman"/>
          <w:szCs w:val="24"/>
          <w:lang w:val="fr-CA"/>
        </w:rPr>
        <w:lastRenderedPageBreak/>
        <w:t>Dans l’arrêt</w:t>
      </w:r>
      <w:r w:rsidRPr="00C7601B">
        <w:rPr>
          <w:rFonts w:cs="Times New Roman"/>
          <w:i/>
          <w:szCs w:val="24"/>
          <w:lang w:val="fr-CA"/>
        </w:rPr>
        <w:t xml:space="preserve"> </w:t>
      </w:r>
      <w:proofErr w:type="spellStart"/>
      <w:r w:rsidRPr="00C7601B">
        <w:rPr>
          <w:rFonts w:cs="Times New Roman"/>
          <w:i/>
          <w:szCs w:val="24"/>
          <w:lang w:val="fr-CA"/>
        </w:rPr>
        <w:t>Dunsmuir</w:t>
      </w:r>
      <w:proofErr w:type="spellEnd"/>
      <w:r w:rsidRPr="00C7601B">
        <w:rPr>
          <w:rFonts w:cs="Times New Roman"/>
          <w:szCs w:val="24"/>
          <w:lang w:val="fr-CA"/>
        </w:rPr>
        <w:t>, notre Cour nuance la jurisprudence antérieure sur les dispositions d’</w:t>
      </w:r>
      <w:proofErr w:type="spellStart"/>
      <w:r w:rsidRPr="00C7601B">
        <w:rPr>
          <w:rFonts w:cs="Times New Roman"/>
          <w:szCs w:val="24"/>
          <w:lang w:val="fr-CA"/>
        </w:rPr>
        <w:t>inattaquabilité</w:t>
      </w:r>
      <w:proofErr w:type="spellEnd"/>
      <w:r w:rsidRPr="00C7601B">
        <w:rPr>
          <w:rFonts w:cs="Times New Roman"/>
          <w:szCs w:val="24"/>
          <w:lang w:val="fr-CA"/>
        </w:rPr>
        <w:t xml:space="preserve"> en reconnaissant que celles</w:t>
      </w:r>
      <w:r w:rsidR="00C7601B" w:rsidRPr="00C7601B">
        <w:rPr>
          <w:rFonts w:cs="Times New Roman"/>
          <w:szCs w:val="24"/>
          <w:lang w:val="fr-CA"/>
        </w:rPr>
        <w:t>-</w:t>
      </w:r>
      <w:r w:rsidRPr="00C7601B">
        <w:rPr>
          <w:rFonts w:cs="Times New Roman"/>
          <w:szCs w:val="24"/>
          <w:lang w:val="fr-CA"/>
        </w:rPr>
        <w:t>ci, qui ont longtemps permis de soustraire les décisions administratives au contrôle judiciaire, peuvent donner lieu à l’application d’une norme déférente.</w:t>
      </w:r>
      <w:r w:rsidR="00FC4A5B" w:rsidRPr="00C7601B">
        <w:rPr>
          <w:rFonts w:cs="Times New Roman"/>
          <w:szCs w:val="24"/>
          <w:lang w:val="fr-CA"/>
        </w:rPr>
        <w:t xml:space="preserve"> </w:t>
      </w:r>
      <w:r w:rsidRPr="00C7601B">
        <w:rPr>
          <w:rFonts w:cs="Times New Roman"/>
          <w:szCs w:val="24"/>
          <w:lang w:val="fr-CA"/>
        </w:rPr>
        <w:t>Mais leur présence ou leur absence ne sont plus déterminantes quant à savoir si la déférence s’impose ou non à l’endroit du tribunal administratif (</w:t>
      </w:r>
      <w:proofErr w:type="spellStart"/>
      <w:r w:rsidR="007F237F" w:rsidRPr="00C7601B">
        <w:rPr>
          <w:rFonts w:cs="Times New Roman"/>
          <w:i/>
          <w:szCs w:val="24"/>
          <w:lang w:val="fr-CA"/>
        </w:rPr>
        <w:t>Dunsmuir</w:t>
      </w:r>
      <w:proofErr w:type="spellEnd"/>
      <w:r w:rsidR="007F237F" w:rsidRPr="00C7601B">
        <w:rPr>
          <w:rFonts w:cs="Times New Roman"/>
          <w:szCs w:val="24"/>
          <w:lang w:val="fr-CA"/>
        </w:rPr>
        <w:t xml:space="preserve">, </w:t>
      </w:r>
      <w:r w:rsidRPr="00C7601B">
        <w:rPr>
          <w:rFonts w:cs="Times New Roman"/>
          <w:szCs w:val="24"/>
          <w:lang w:val="fr-CA"/>
        </w:rPr>
        <w:t>par.</w:t>
      </w:r>
      <w:r w:rsidR="00FC4A5B" w:rsidRPr="00C7601B">
        <w:rPr>
          <w:rFonts w:cs="Times New Roman"/>
          <w:szCs w:val="24"/>
          <w:lang w:val="fr-CA"/>
        </w:rPr>
        <w:t xml:space="preserve"> </w:t>
      </w:r>
      <w:r w:rsidRPr="00C7601B">
        <w:rPr>
          <w:rFonts w:cs="Times New Roman"/>
          <w:szCs w:val="24"/>
          <w:lang w:val="fr-CA"/>
        </w:rPr>
        <w:t>52).</w:t>
      </w:r>
      <w:r w:rsidR="00FC4A5B" w:rsidRPr="00C7601B">
        <w:rPr>
          <w:rFonts w:cs="Times New Roman"/>
          <w:szCs w:val="24"/>
          <w:lang w:val="fr-CA"/>
        </w:rPr>
        <w:t xml:space="preserve"> </w:t>
      </w:r>
      <w:r w:rsidRPr="00C7601B">
        <w:rPr>
          <w:rFonts w:cs="Times New Roman"/>
          <w:szCs w:val="24"/>
          <w:lang w:val="fr-CA"/>
        </w:rPr>
        <w:t xml:space="preserve">Dans l’arrêt </w:t>
      </w:r>
      <w:proofErr w:type="spellStart"/>
      <w:r w:rsidRPr="00C7601B">
        <w:rPr>
          <w:rFonts w:cs="Times New Roman"/>
          <w:i/>
          <w:szCs w:val="24"/>
          <w:lang w:val="fr-CA"/>
        </w:rPr>
        <w:t>Khosa</w:t>
      </w:r>
      <w:proofErr w:type="spellEnd"/>
      <w:r w:rsidRPr="00C7601B">
        <w:rPr>
          <w:rFonts w:cs="Times New Roman"/>
          <w:szCs w:val="24"/>
          <w:lang w:val="fr-CA"/>
        </w:rPr>
        <w:t>, les juges majoritaires de notre Cour confirment qu’indépendamment de l’existence d’une disposition d’</w:t>
      </w:r>
      <w:proofErr w:type="spellStart"/>
      <w:r w:rsidRPr="00C7601B">
        <w:rPr>
          <w:rFonts w:cs="Times New Roman"/>
          <w:szCs w:val="24"/>
          <w:lang w:val="fr-CA"/>
        </w:rPr>
        <w:t>inattaquabilité</w:t>
      </w:r>
      <w:proofErr w:type="spellEnd"/>
      <w:r w:rsidRPr="00C7601B">
        <w:rPr>
          <w:rFonts w:cs="Times New Roman"/>
          <w:szCs w:val="24"/>
          <w:lang w:val="fr-CA"/>
        </w:rPr>
        <w:t>, une certaine déférence s’impose à l’égard du tribunal administratif dans une affaire ayant trait au rôle, à la fonction et à l’expertise propres à ce décideur (par.</w:t>
      </w:r>
      <w:r w:rsidR="00C7601B" w:rsidRPr="00C7601B">
        <w:rPr>
          <w:rFonts w:cs="Times New Roman"/>
          <w:szCs w:val="24"/>
          <w:lang w:val="fr-CA"/>
        </w:rPr>
        <w:t> </w:t>
      </w:r>
      <w:r w:rsidRPr="00C7601B">
        <w:rPr>
          <w:rFonts w:cs="Times New Roman"/>
          <w:szCs w:val="24"/>
          <w:lang w:val="fr-CA"/>
        </w:rPr>
        <w:t>25</w:t>
      </w:r>
      <w:r w:rsidR="00C7601B" w:rsidRPr="00C7601B">
        <w:rPr>
          <w:rFonts w:cs="Times New Roman"/>
          <w:szCs w:val="24"/>
          <w:lang w:val="fr-CA"/>
        </w:rPr>
        <w:t>-</w:t>
      </w:r>
      <w:r w:rsidRPr="00C7601B">
        <w:rPr>
          <w:rFonts w:cs="Times New Roman"/>
          <w:szCs w:val="24"/>
          <w:lang w:val="fr-CA"/>
        </w:rPr>
        <w:t xml:space="preserve">26). </w:t>
      </w:r>
    </w:p>
    <w:p w:rsidR="00956B54" w:rsidRPr="00C7601B" w:rsidRDefault="00956B54" w:rsidP="00956B54">
      <w:pPr>
        <w:pStyle w:val="ParaNoNdepar-AltN"/>
        <w:rPr>
          <w:rFonts w:cs="Times New Roman"/>
          <w:szCs w:val="24"/>
          <w:lang w:val="fr-CA"/>
        </w:rPr>
      </w:pPr>
      <w:r w:rsidRPr="00C7601B">
        <w:rPr>
          <w:rFonts w:cs="Times New Roman"/>
          <w:szCs w:val="24"/>
          <w:lang w:val="fr-CA"/>
        </w:rPr>
        <w:t>L’arrêt</w:t>
      </w:r>
      <w:r w:rsidRPr="00C7601B">
        <w:rPr>
          <w:rFonts w:cs="Times New Roman"/>
          <w:i/>
          <w:szCs w:val="24"/>
          <w:lang w:val="fr-CA"/>
        </w:rPr>
        <w:t xml:space="preserve"> </w:t>
      </w:r>
      <w:proofErr w:type="spellStart"/>
      <w:r w:rsidRPr="00C7601B">
        <w:rPr>
          <w:rFonts w:cs="Times New Roman"/>
          <w:i/>
          <w:szCs w:val="24"/>
          <w:lang w:val="fr-CA"/>
        </w:rPr>
        <w:t>Dunsmuir</w:t>
      </w:r>
      <w:proofErr w:type="spellEnd"/>
      <w:r w:rsidRPr="00C7601B">
        <w:rPr>
          <w:rFonts w:cs="Times New Roman"/>
          <w:szCs w:val="24"/>
          <w:lang w:val="fr-CA"/>
        </w:rPr>
        <w:t xml:space="preserve"> reconnaît que la norme de la décision correcte continue de s’appliquer aux questions constitutionnelles, aux questions de droit qui revêtent une importance capitale pour le système juridique dans son ensemble et qui sont étrangères au domaine d’expertise du décideur, ainsi qu’aux questions portant sur la «</w:t>
      </w:r>
      <w:r w:rsidR="00FC4A5B" w:rsidRPr="00C7601B">
        <w:rPr>
          <w:rFonts w:cs="Times New Roman"/>
          <w:szCs w:val="24"/>
          <w:lang w:val="fr-CA"/>
        </w:rPr>
        <w:t xml:space="preserve"> </w:t>
      </w:r>
      <w:r w:rsidRPr="00C7601B">
        <w:rPr>
          <w:rFonts w:cs="Times New Roman"/>
          <w:szCs w:val="24"/>
          <w:lang w:val="fr-CA"/>
        </w:rPr>
        <w:t>délimitation des compétences respectives de tribunaux spécialisé</w:t>
      </w:r>
      <w:r w:rsidR="007F237F" w:rsidRPr="00C7601B">
        <w:rPr>
          <w:rFonts w:cs="Times New Roman"/>
          <w:szCs w:val="24"/>
          <w:lang w:val="fr-CA"/>
        </w:rPr>
        <w:t>s concurrents</w:t>
      </w:r>
      <w:r w:rsidR="00FC4A5B" w:rsidRPr="00C7601B">
        <w:rPr>
          <w:rFonts w:cs="Times New Roman"/>
          <w:szCs w:val="24"/>
          <w:lang w:val="fr-CA"/>
        </w:rPr>
        <w:t xml:space="preserve"> </w:t>
      </w:r>
      <w:r w:rsidR="007F237F" w:rsidRPr="00C7601B">
        <w:rPr>
          <w:rFonts w:cs="Times New Roman"/>
          <w:szCs w:val="24"/>
          <w:lang w:val="fr-CA"/>
        </w:rPr>
        <w:t>» (par.</w:t>
      </w:r>
      <w:r w:rsidR="00FC4A5B" w:rsidRPr="00C7601B">
        <w:rPr>
          <w:rFonts w:cs="Times New Roman"/>
          <w:szCs w:val="24"/>
          <w:lang w:val="fr-CA"/>
        </w:rPr>
        <w:t xml:space="preserve"> </w:t>
      </w:r>
      <w:r w:rsidR="007F237F" w:rsidRPr="00C7601B">
        <w:rPr>
          <w:rFonts w:cs="Times New Roman"/>
          <w:szCs w:val="24"/>
          <w:lang w:val="fr-CA"/>
        </w:rPr>
        <w:t>58, 60</w:t>
      </w:r>
      <w:r w:rsidR="00C7601B" w:rsidRPr="00C7601B">
        <w:rPr>
          <w:rFonts w:cs="Times New Roman"/>
          <w:szCs w:val="24"/>
          <w:lang w:val="fr-CA"/>
        </w:rPr>
        <w:t>-</w:t>
      </w:r>
      <w:r w:rsidR="007F237F" w:rsidRPr="00C7601B">
        <w:rPr>
          <w:rFonts w:cs="Times New Roman"/>
          <w:szCs w:val="24"/>
          <w:lang w:val="fr-CA"/>
        </w:rPr>
        <w:t>61</w:t>
      </w:r>
      <w:r w:rsidRPr="00C7601B">
        <w:rPr>
          <w:rFonts w:cs="Times New Roman"/>
          <w:szCs w:val="24"/>
          <w:lang w:val="fr-CA"/>
        </w:rPr>
        <w:t xml:space="preserve">; voir également l’arrêt </w:t>
      </w:r>
      <w:r w:rsidRPr="00C7601B">
        <w:rPr>
          <w:rFonts w:cs="Times New Roman"/>
          <w:i/>
          <w:szCs w:val="24"/>
          <w:lang w:val="fr-CA"/>
        </w:rPr>
        <w:t>Smith c. Alliance Pipeline Ltd.</w:t>
      </w:r>
      <w:r w:rsidRPr="00C7601B">
        <w:rPr>
          <w:rFonts w:cs="Times New Roman"/>
          <w:szCs w:val="24"/>
          <w:lang w:val="fr-CA"/>
        </w:rPr>
        <w:t>, 2011 CSC 7, [2011] 1 R.C.S. 160, par.</w:t>
      </w:r>
      <w:r w:rsidR="00FC4A5B" w:rsidRPr="00C7601B">
        <w:rPr>
          <w:rFonts w:cs="Times New Roman"/>
          <w:szCs w:val="24"/>
          <w:lang w:val="fr-CA"/>
        </w:rPr>
        <w:t xml:space="preserve"> </w:t>
      </w:r>
      <w:r w:rsidRPr="00C7601B">
        <w:rPr>
          <w:rFonts w:cs="Times New Roman"/>
          <w:szCs w:val="24"/>
          <w:lang w:val="fr-CA"/>
        </w:rPr>
        <w:t>26, le juge Fish</w:t>
      </w:r>
      <w:r w:rsidR="007F237F" w:rsidRPr="00C7601B">
        <w:rPr>
          <w:rFonts w:cs="Times New Roman"/>
          <w:szCs w:val="24"/>
          <w:lang w:val="fr-CA"/>
        </w:rPr>
        <w:t>)</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La norme de la décision correcte vaut aussi pour les questions touchant véritablement à la compétence.</w:t>
      </w:r>
      <w:r w:rsidR="008D2DF7">
        <w:rPr>
          <w:rFonts w:cs="Times New Roman"/>
          <w:szCs w:val="24"/>
          <w:lang w:val="fr-CA"/>
        </w:rPr>
        <w:t xml:space="preserve"> </w:t>
      </w:r>
      <w:r w:rsidR="00FC4A5B" w:rsidRPr="00C7601B">
        <w:rPr>
          <w:rFonts w:cs="Times New Roman"/>
          <w:szCs w:val="24"/>
          <w:lang w:val="fr-CA"/>
        </w:rPr>
        <w:t xml:space="preserve"> </w:t>
      </w:r>
      <w:r w:rsidRPr="00C7601B">
        <w:rPr>
          <w:rFonts w:cs="Times New Roman"/>
          <w:szCs w:val="24"/>
          <w:lang w:val="fr-CA"/>
        </w:rPr>
        <w:t>À cet égard, la Cour se distancie expressément des définitions larges de la compétence de façon qu’une question se rapportant à celle-ci se pose uniquement lorsque le tribunal administratif «</w:t>
      </w:r>
      <w:r w:rsidR="00FC4A5B" w:rsidRPr="00C7601B">
        <w:rPr>
          <w:rFonts w:cs="Times New Roman"/>
          <w:szCs w:val="24"/>
          <w:lang w:val="fr-CA"/>
        </w:rPr>
        <w:t xml:space="preserve"> </w:t>
      </w:r>
      <w:r w:rsidRPr="00C7601B">
        <w:rPr>
          <w:rFonts w:cs="Times New Roman"/>
          <w:szCs w:val="24"/>
          <w:lang w:val="fr-CA"/>
        </w:rPr>
        <w:t>doit déterminer expressément si les pouvoirs dont le législateur l’a investi l’autorisent à trancher une question</w:t>
      </w:r>
      <w:r w:rsidR="00FC4A5B" w:rsidRPr="00C7601B">
        <w:rPr>
          <w:rFonts w:cs="Times New Roman"/>
          <w:szCs w:val="24"/>
          <w:lang w:val="fr-CA"/>
        </w:rPr>
        <w:t xml:space="preserve"> </w:t>
      </w:r>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 xml:space="preserve">59; voir également l’arrêt </w:t>
      </w:r>
      <w:r w:rsidRPr="00C7601B">
        <w:rPr>
          <w:rFonts w:cs="Times New Roman"/>
          <w:i/>
          <w:szCs w:val="24"/>
          <w:lang w:val="fr-CA"/>
        </w:rPr>
        <w:t xml:space="preserve">United Taxi Drivers’ </w:t>
      </w:r>
      <w:proofErr w:type="spellStart"/>
      <w:r w:rsidRPr="00C7601B">
        <w:rPr>
          <w:rFonts w:cs="Times New Roman"/>
          <w:i/>
          <w:szCs w:val="24"/>
          <w:lang w:val="fr-CA"/>
        </w:rPr>
        <w:lastRenderedPageBreak/>
        <w:t>Fellowship</w:t>
      </w:r>
      <w:proofErr w:type="spellEnd"/>
      <w:r w:rsidRPr="00C7601B">
        <w:rPr>
          <w:rFonts w:cs="Times New Roman"/>
          <w:i/>
          <w:szCs w:val="24"/>
          <w:lang w:val="fr-CA"/>
        </w:rPr>
        <w:t xml:space="preserve"> of </w:t>
      </w:r>
      <w:proofErr w:type="spellStart"/>
      <w:r w:rsidRPr="00C7601B">
        <w:rPr>
          <w:rFonts w:cs="Times New Roman"/>
          <w:i/>
          <w:szCs w:val="24"/>
          <w:lang w:val="fr-CA"/>
        </w:rPr>
        <w:t>Southern</w:t>
      </w:r>
      <w:proofErr w:type="spellEnd"/>
      <w:r w:rsidRPr="00C7601B">
        <w:rPr>
          <w:rFonts w:cs="Times New Roman"/>
          <w:i/>
          <w:szCs w:val="24"/>
          <w:lang w:val="fr-CA"/>
        </w:rPr>
        <w:t xml:space="preserve"> Alberta c. Calgary (Ville)</w:t>
      </w:r>
      <w:r w:rsidRPr="00C7601B">
        <w:rPr>
          <w:rFonts w:cs="Times New Roman"/>
          <w:szCs w:val="24"/>
          <w:lang w:val="fr-CA"/>
        </w:rPr>
        <w:t>, 2004 CSC 19, [2004] 1 R.C.S. 485, par.</w:t>
      </w:r>
      <w:r w:rsidR="00C7601B" w:rsidRPr="00C7601B">
        <w:rPr>
          <w:rFonts w:cs="Times New Roman"/>
          <w:szCs w:val="24"/>
          <w:lang w:val="fr-CA"/>
        </w:rPr>
        <w:t> </w:t>
      </w:r>
      <w:r w:rsidRPr="00C7601B">
        <w:rPr>
          <w:rFonts w:cs="Times New Roman"/>
          <w:szCs w:val="24"/>
          <w:lang w:val="fr-CA"/>
        </w:rPr>
        <w:t>5).</w:t>
      </w:r>
    </w:p>
    <w:p w:rsidR="00956B54" w:rsidRPr="00C7601B" w:rsidRDefault="00956B54" w:rsidP="00956B54">
      <w:pPr>
        <w:pStyle w:val="ParaNoNdepar-AltN"/>
        <w:rPr>
          <w:rFonts w:cs="Times New Roman"/>
          <w:szCs w:val="24"/>
          <w:lang w:val="fr-CA"/>
        </w:rPr>
      </w:pPr>
      <w:r w:rsidRPr="00C7601B">
        <w:rPr>
          <w:rFonts w:cs="Times New Roman"/>
          <w:szCs w:val="24"/>
          <w:lang w:val="fr-CA"/>
        </w:rPr>
        <w:t>Après l’énoncé des principes applicables à l’analyse que commande le contrôle judiciaire, notre examen doit maintenant porter sur la façon dont ces principes doivent être appliqués à la décision du Tribunal.</w:t>
      </w:r>
      <w:r w:rsidR="00FC4A5B" w:rsidRPr="00C7601B">
        <w:rPr>
          <w:rFonts w:cs="Times New Roman"/>
          <w:szCs w:val="24"/>
          <w:lang w:val="fr-CA"/>
        </w:rPr>
        <w:t xml:space="preserve"> </w:t>
      </w:r>
      <w:r w:rsidRPr="00C7601B">
        <w:rPr>
          <w:rFonts w:cs="Times New Roman"/>
          <w:szCs w:val="24"/>
          <w:lang w:val="fr-CA"/>
        </w:rPr>
        <w:t xml:space="preserve">Ainsi que le recommande la Cour dans l’arrêt </w:t>
      </w:r>
      <w:proofErr w:type="spellStart"/>
      <w:r w:rsidRPr="00C7601B">
        <w:rPr>
          <w:rFonts w:cs="Times New Roman"/>
          <w:i/>
          <w:szCs w:val="24"/>
          <w:lang w:val="fr-CA"/>
        </w:rPr>
        <w:t>Dunsmuir</w:t>
      </w:r>
      <w:proofErr w:type="spellEnd"/>
      <w:r w:rsidRPr="00C7601B">
        <w:rPr>
          <w:rFonts w:cs="Times New Roman"/>
          <w:szCs w:val="24"/>
          <w:lang w:val="fr-CA"/>
        </w:rPr>
        <w:t>, il faut d’abord s’intéresser à la jurisprudence relative aux décisions du Tribunal et à celles d’organismes apparentés auxquels il incombe de statuer sur des plaintes en matière de droits de la personne.</w:t>
      </w:r>
      <w:r w:rsidR="00FC4A5B" w:rsidRPr="00C7601B">
        <w:rPr>
          <w:rFonts w:cs="Times New Roman"/>
          <w:szCs w:val="24"/>
          <w:lang w:val="fr-CA"/>
        </w:rPr>
        <w:t xml:space="preserve"> </w:t>
      </w:r>
      <w:r w:rsidRPr="00C7601B">
        <w:rPr>
          <w:rFonts w:cs="Times New Roman"/>
          <w:szCs w:val="24"/>
          <w:lang w:val="fr-CA"/>
        </w:rPr>
        <w:t>Au fil des ans, une abondante jurisprudence s’est constituée sur la question des normes de contrôle applicables à ces décisions.</w:t>
      </w:r>
      <w:r w:rsidR="00FC4A5B" w:rsidRPr="00C7601B">
        <w:rPr>
          <w:rFonts w:cs="Times New Roman"/>
          <w:szCs w:val="24"/>
          <w:lang w:val="fr-CA"/>
        </w:rPr>
        <w:t xml:space="preserve"> </w:t>
      </w:r>
      <w:r w:rsidRPr="00C7601B">
        <w:rPr>
          <w:rFonts w:cs="Times New Roman"/>
          <w:szCs w:val="24"/>
          <w:lang w:val="fr-CA"/>
        </w:rPr>
        <w:t>En règle générale, les juridictions de révision défèrent aux conclusions de fait des tribunaux des droits de la personne (P.</w:t>
      </w:r>
      <w:r w:rsidR="00FC4A5B" w:rsidRPr="00C7601B">
        <w:rPr>
          <w:rFonts w:cs="Times New Roman"/>
          <w:szCs w:val="24"/>
          <w:lang w:val="fr-CA"/>
        </w:rPr>
        <w:t xml:space="preserve"> </w:t>
      </w:r>
      <w:r w:rsidRPr="00C7601B">
        <w:rPr>
          <w:rFonts w:cs="Times New Roman"/>
          <w:szCs w:val="24"/>
          <w:lang w:val="fr-CA"/>
        </w:rPr>
        <w:t xml:space="preserve">Garant, </w:t>
      </w:r>
      <w:r w:rsidRPr="00C7601B">
        <w:rPr>
          <w:rFonts w:cs="Times New Roman"/>
          <w:i/>
          <w:szCs w:val="24"/>
          <w:lang w:val="fr-CA"/>
        </w:rPr>
        <w:t xml:space="preserve">Droit administratif </w:t>
      </w:r>
      <w:r w:rsidRPr="00C7601B">
        <w:rPr>
          <w:rFonts w:cs="Times New Roman"/>
          <w:szCs w:val="24"/>
          <w:lang w:val="fr-CA"/>
        </w:rPr>
        <w:t>(6</w:t>
      </w:r>
      <w:r w:rsidRPr="00C7601B">
        <w:rPr>
          <w:rFonts w:cs="Times New Roman"/>
          <w:szCs w:val="24"/>
          <w:vertAlign w:val="superscript"/>
          <w:lang w:val="fr-CA"/>
        </w:rPr>
        <w:t>e</w:t>
      </w:r>
      <w:r w:rsidR="00FC4A5B" w:rsidRPr="00C7601B">
        <w:rPr>
          <w:rFonts w:cs="Times New Roman"/>
          <w:szCs w:val="24"/>
          <w:lang w:val="fr-CA"/>
        </w:rPr>
        <w:t xml:space="preserve"> </w:t>
      </w:r>
      <w:r w:rsidRPr="00C7601B">
        <w:rPr>
          <w:rFonts w:cs="Times New Roman"/>
          <w:szCs w:val="24"/>
          <w:lang w:val="fr-CA"/>
        </w:rPr>
        <w:t>éd. 2010), p.</w:t>
      </w:r>
      <w:r w:rsidR="00FC4A5B" w:rsidRPr="00C7601B">
        <w:rPr>
          <w:rFonts w:cs="Times New Roman"/>
          <w:szCs w:val="24"/>
          <w:lang w:val="fr-CA"/>
        </w:rPr>
        <w:t xml:space="preserve"> </w:t>
      </w:r>
      <w:r w:rsidRPr="00C7601B">
        <w:rPr>
          <w:rFonts w:cs="Times New Roman"/>
          <w:szCs w:val="24"/>
          <w:lang w:val="fr-CA"/>
        </w:rPr>
        <w:t>553).</w:t>
      </w:r>
      <w:r w:rsidR="00FC4A5B" w:rsidRPr="00C7601B">
        <w:rPr>
          <w:rFonts w:cs="Times New Roman"/>
          <w:szCs w:val="24"/>
          <w:lang w:val="fr-CA"/>
        </w:rPr>
        <w:t xml:space="preserve"> </w:t>
      </w:r>
      <w:r w:rsidRPr="00C7601B">
        <w:rPr>
          <w:rFonts w:cs="Times New Roman"/>
          <w:szCs w:val="24"/>
          <w:lang w:val="fr-CA"/>
        </w:rPr>
        <w:t>Par contre, elles font preuve de peu de déférence envers ces mêmes tribunaux lorsqu’ils interprètent la loi, y compris leur propre loi habilitante.</w:t>
      </w:r>
      <w:r w:rsidR="00FC4A5B" w:rsidRPr="00C7601B">
        <w:rPr>
          <w:rFonts w:cs="Times New Roman"/>
          <w:szCs w:val="24"/>
          <w:lang w:val="fr-CA"/>
        </w:rPr>
        <w:t xml:space="preserve"> </w:t>
      </w:r>
      <w:r w:rsidRPr="00C7601B">
        <w:rPr>
          <w:rFonts w:cs="Times New Roman"/>
          <w:szCs w:val="24"/>
          <w:lang w:val="fr-CA"/>
        </w:rPr>
        <w:t>Il est bien connu que les cours de justice font traditionnellement preuve de respect vis</w:t>
      </w:r>
      <w:r w:rsidR="00C7601B" w:rsidRPr="00C7601B">
        <w:rPr>
          <w:rFonts w:cs="Times New Roman"/>
          <w:szCs w:val="24"/>
          <w:lang w:val="fr-CA"/>
        </w:rPr>
        <w:t>-</w:t>
      </w:r>
      <w:r w:rsidRPr="00C7601B">
        <w:rPr>
          <w:rFonts w:cs="Times New Roman"/>
          <w:szCs w:val="24"/>
          <w:lang w:val="fr-CA"/>
        </w:rPr>
        <w:t>à</w:t>
      </w:r>
      <w:r w:rsidR="00C7601B" w:rsidRPr="00C7601B">
        <w:rPr>
          <w:rFonts w:cs="Times New Roman"/>
          <w:szCs w:val="24"/>
          <w:lang w:val="fr-CA"/>
        </w:rPr>
        <w:t>-</w:t>
      </w:r>
      <w:r w:rsidRPr="00C7601B">
        <w:rPr>
          <w:rFonts w:cs="Times New Roman"/>
          <w:szCs w:val="24"/>
          <w:lang w:val="fr-CA"/>
        </w:rPr>
        <w:t>vis des organismes administratifs chargés de l’application de régimes administratifs complexes dans certains domaines comme les relations de travail, les télécommunications, la réglementation des marchés financiers et les relations économiques internationales (</w:t>
      </w:r>
      <w:r w:rsidRPr="00C7601B">
        <w:rPr>
          <w:rFonts w:cs="Times New Roman"/>
          <w:i/>
          <w:szCs w:val="24"/>
          <w:lang w:val="fr-CA"/>
        </w:rPr>
        <w:t xml:space="preserve">National Corn </w:t>
      </w:r>
      <w:proofErr w:type="spellStart"/>
      <w:r w:rsidRPr="00C7601B">
        <w:rPr>
          <w:rFonts w:cs="Times New Roman"/>
          <w:i/>
          <w:szCs w:val="24"/>
          <w:lang w:val="fr-CA"/>
        </w:rPr>
        <w:t>Growers</w:t>
      </w:r>
      <w:proofErr w:type="spellEnd"/>
      <w:r w:rsidRPr="00C7601B">
        <w:rPr>
          <w:rFonts w:cs="Times New Roman"/>
          <w:i/>
          <w:szCs w:val="24"/>
          <w:lang w:val="fr-CA"/>
        </w:rPr>
        <w:t xml:space="preserve"> </w:t>
      </w:r>
      <w:proofErr w:type="spellStart"/>
      <w:r w:rsidRPr="00C7601B">
        <w:rPr>
          <w:rFonts w:cs="Times New Roman"/>
          <w:i/>
          <w:szCs w:val="24"/>
          <w:lang w:val="fr-CA"/>
        </w:rPr>
        <w:t>Ass</w:t>
      </w:r>
      <w:r w:rsidR="007F237F" w:rsidRPr="00C7601B">
        <w:rPr>
          <w:rFonts w:cs="Times New Roman"/>
          <w:i/>
          <w:szCs w:val="24"/>
          <w:lang w:val="fr-CA"/>
        </w:rPr>
        <w:t>n</w:t>
      </w:r>
      <w:proofErr w:type="spellEnd"/>
      <w:r w:rsidRPr="00C7601B">
        <w:rPr>
          <w:rFonts w:cs="Times New Roman"/>
          <w:i/>
          <w:szCs w:val="24"/>
          <w:lang w:val="fr-CA"/>
        </w:rPr>
        <w:t>. c. Canada (Tribunal des importations)</w:t>
      </w:r>
      <w:r w:rsidRPr="00C7601B">
        <w:rPr>
          <w:rFonts w:cs="Times New Roman"/>
          <w:szCs w:val="24"/>
          <w:lang w:val="fr-CA"/>
        </w:rPr>
        <w:t>, [1990] 2 R.C.S. 1324, p.</w:t>
      </w:r>
      <w:r w:rsidR="00FC4A5B" w:rsidRPr="00C7601B">
        <w:rPr>
          <w:rFonts w:cs="Times New Roman"/>
          <w:szCs w:val="24"/>
          <w:lang w:val="fr-CA"/>
        </w:rPr>
        <w:t xml:space="preserve"> </w:t>
      </w:r>
      <w:r w:rsidRPr="00C7601B">
        <w:rPr>
          <w:rFonts w:cs="Times New Roman"/>
          <w:szCs w:val="24"/>
          <w:lang w:val="fr-CA"/>
        </w:rPr>
        <w:t>1339 et 1341, la juge Wilson, et p.</w:t>
      </w:r>
      <w:r w:rsidR="00FC4A5B" w:rsidRPr="00C7601B">
        <w:rPr>
          <w:rFonts w:cs="Times New Roman"/>
          <w:szCs w:val="24"/>
          <w:lang w:val="fr-CA"/>
        </w:rPr>
        <w:t xml:space="preserve"> </w:t>
      </w:r>
      <w:r w:rsidRPr="00C7601B">
        <w:rPr>
          <w:rFonts w:cs="Times New Roman"/>
          <w:szCs w:val="24"/>
          <w:lang w:val="fr-CA"/>
        </w:rPr>
        <w:t>1369</w:t>
      </w:r>
      <w:r w:rsidR="00B415C7">
        <w:rPr>
          <w:rFonts w:cs="Times New Roman"/>
          <w:szCs w:val="24"/>
          <w:lang w:val="fr-CA"/>
        </w:rPr>
        <w:t>-</w:t>
      </w:r>
      <w:r w:rsidRPr="00C7601B">
        <w:rPr>
          <w:rFonts w:cs="Times New Roman"/>
          <w:szCs w:val="24"/>
          <w:lang w:val="fr-CA"/>
        </w:rPr>
        <w:t>1370, le juge Gonthier).</w:t>
      </w:r>
      <w:r w:rsidR="00FC4A5B" w:rsidRPr="00C7601B">
        <w:rPr>
          <w:rFonts w:cs="Times New Roman"/>
          <w:szCs w:val="24"/>
          <w:lang w:val="fr-CA"/>
        </w:rPr>
        <w:t xml:space="preserve"> </w:t>
      </w:r>
      <w:r w:rsidRPr="00C7601B">
        <w:rPr>
          <w:rFonts w:cs="Times New Roman"/>
          <w:szCs w:val="24"/>
          <w:lang w:val="fr-CA"/>
        </w:rPr>
        <w:t>En revanche, les juridictions de révision ne se montrent pas déférentes envers les tribunaux des droits de la personne appelés à trancher des questions de droit.</w:t>
      </w:r>
      <w:r w:rsidR="00FC4A5B" w:rsidRPr="00C7601B">
        <w:rPr>
          <w:rFonts w:cs="Times New Roman"/>
          <w:szCs w:val="24"/>
          <w:lang w:val="fr-CA"/>
        </w:rPr>
        <w:t xml:space="preserve"> </w:t>
      </w:r>
      <w:r w:rsidRPr="00C7601B">
        <w:rPr>
          <w:rFonts w:cs="Times New Roman"/>
          <w:szCs w:val="24"/>
          <w:lang w:val="fr-CA"/>
        </w:rPr>
        <w:t xml:space="preserve">À leur avis, l’expertise relative de ces tribunaux administratifs </w:t>
      </w:r>
      <w:r w:rsidRPr="00C7601B">
        <w:rPr>
          <w:rFonts w:cs="Times New Roman"/>
          <w:szCs w:val="24"/>
          <w:lang w:val="fr-CA"/>
        </w:rPr>
        <w:lastRenderedPageBreak/>
        <w:t>demeure minime, et les régimes qu’ils administrent ne sont pas particulièrement complexes (voir A.</w:t>
      </w:r>
      <w:r w:rsidR="00FC4A5B" w:rsidRPr="00C7601B">
        <w:rPr>
          <w:rFonts w:cs="Times New Roman"/>
          <w:szCs w:val="24"/>
          <w:lang w:val="fr-CA"/>
        </w:rPr>
        <w:t xml:space="preserve"> </w:t>
      </w:r>
      <w:proofErr w:type="spellStart"/>
      <w:r w:rsidRPr="00C7601B">
        <w:rPr>
          <w:rFonts w:cs="Times New Roman"/>
          <w:szCs w:val="24"/>
          <w:lang w:val="fr-CA"/>
        </w:rPr>
        <w:t>Macklin</w:t>
      </w:r>
      <w:proofErr w:type="spellEnd"/>
      <w:r w:rsidRPr="00C7601B">
        <w:rPr>
          <w:rFonts w:cs="Times New Roman"/>
          <w:szCs w:val="24"/>
          <w:lang w:val="fr-CA"/>
        </w:rPr>
        <w:t>, «</w:t>
      </w:r>
      <w:r w:rsidR="00FC4A5B" w:rsidRPr="00C7601B">
        <w:rPr>
          <w:rFonts w:cs="Times New Roman"/>
          <w:szCs w:val="24"/>
          <w:lang w:val="fr-CA"/>
        </w:rPr>
        <w:t xml:space="preserve"> </w:t>
      </w:r>
      <w:r w:rsidRPr="00C7601B">
        <w:rPr>
          <w:rFonts w:cs="Times New Roman"/>
          <w:szCs w:val="24"/>
          <w:lang w:val="fr-CA"/>
        </w:rPr>
        <w:t xml:space="preserve">Standard of </w:t>
      </w:r>
      <w:proofErr w:type="spellStart"/>
      <w:r w:rsidRPr="00C7601B">
        <w:rPr>
          <w:rFonts w:cs="Times New Roman"/>
          <w:szCs w:val="24"/>
          <w:lang w:val="fr-CA"/>
        </w:rPr>
        <w:t>Review</w:t>
      </w:r>
      <w:proofErr w:type="spellEnd"/>
      <w:r w:rsidR="00FC4A5B" w:rsidRPr="00C7601B">
        <w:rPr>
          <w:rFonts w:cs="Times New Roman"/>
          <w:szCs w:val="24"/>
          <w:lang w:val="fr-CA"/>
        </w:rPr>
        <w:t xml:space="preserve"> </w:t>
      </w:r>
      <w:r w:rsidRPr="00C7601B">
        <w:rPr>
          <w:rFonts w:cs="Times New Roman"/>
          <w:szCs w:val="24"/>
          <w:lang w:val="fr-CA"/>
        </w:rPr>
        <w:t xml:space="preserve">: The </w:t>
      </w:r>
      <w:proofErr w:type="spellStart"/>
      <w:r w:rsidRPr="00C7601B">
        <w:rPr>
          <w:rFonts w:cs="Times New Roman"/>
          <w:szCs w:val="24"/>
          <w:lang w:val="fr-CA"/>
        </w:rPr>
        <w:t>Pragmatic</w:t>
      </w:r>
      <w:proofErr w:type="spellEnd"/>
      <w:r w:rsidRPr="00C7601B">
        <w:rPr>
          <w:rFonts w:cs="Times New Roman"/>
          <w:szCs w:val="24"/>
          <w:lang w:val="fr-CA"/>
        </w:rPr>
        <w:t xml:space="preserve"> and </w:t>
      </w:r>
      <w:proofErr w:type="spellStart"/>
      <w:r w:rsidRPr="00C7601B">
        <w:rPr>
          <w:rFonts w:cs="Times New Roman"/>
          <w:szCs w:val="24"/>
          <w:lang w:val="fr-CA"/>
        </w:rPr>
        <w:t>Functional</w:t>
      </w:r>
      <w:proofErr w:type="spellEnd"/>
      <w:r w:rsidRPr="00C7601B">
        <w:rPr>
          <w:rFonts w:cs="Times New Roman"/>
          <w:szCs w:val="24"/>
          <w:lang w:val="fr-CA"/>
        </w:rPr>
        <w:t xml:space="preserve"> Test</w:t>
      </w:r>
      <w:r w:rsidR="00FC4A5B" w:rsidRPr="00C7601B">
        <w:rPr>
          <w:rFonts w:cs="Times New Roman"/>
          <w:szCs w:val="24"/>
          <w:lang w:val="fr-CA"/>
        </w:rPr>
        <w:t xml:space="preserve"> </w:t>
      </w:r>
      <w:r w:rsidRPr="00C7601B">
        <w:rPr>
          <w:rFonts w:cs="Times New Roman"/>
          <w:szCs w:val="24"/>
          <w:lang w:val="fr-CA"/>
        </w:rPr>
        <w:t>», dans C.</w:t>
      </w:r>
      <w:r w:rsidR="00C7601B" w:rsidRPr="00C7601B">
        <w:rPr>
          <w:rFonts w:cs="Times New Roman"/>
          <w:szCs w:val="24"/>
          <w:lang w:val="fr-CA"/>
        </w:rPr>
        <w:t> </w:t>
      </w:r>
      <w:r w:rsidRPr="00C7601B">
        <w:rPr>
          <w:rFonts w:cs="Times New Roman"/>
          <w:szCs w:val="24"/>
          <w:lang w:val="fr-CA"/>
        </w:rPr>
        <w:t>M.</w:t>
      </w:r>
      <w:r w:rsidR="00FC4A5B" w:rsidRPr="00C7601B">
        <w:rPr>
          <w:rFonts w:cs="Times New Roman"/>
          <w:szCs w:val="24"/>
          <w:lang w:val="fr-CA"/>
        </w:rPr>
        <w:t xml:space="preserve"> </w:t>
      </w:r>
      <w:r w:rsidRPr="00C7601B">
        <w:rPr>
          <w:rFonts w:cs="Times New Roman"/>
          <w:szCs w:val="24"/>
          <w:lang w:val="fr-CA"/>
        </w:rPr>
        <w:t>Flood et L.</w:t>
      </w:r>
      <w:r w:rsidR="00FC4A5B" w:rsidRPr="00C7601B">
        <w:rPr>
          <w:rFonts w:cs="Times New Roman"/>
          <w:szCs w:val="24"/>
          <w:lang w:val="fr-CA"/>
        </w:rPr>
        <w:t xml:space="preserve"> </w:t>
      </w:r>
      <w:proofErr w:type="spellStart"/>
      <w:r w:rsidRPr="00C7601B">
        <w:rPr>
          <w:rFonts w:cs="Times New Roman"/>
          <w:szCs w:val="24"/>
          <w:lang w:val="fr-CA"/>
        </w:rPr>
        <w:t>Sossin</w:t>
      </w:r>
      <w:proofErr w:type="spellEnd"/>
      <w:r w:rsidRPr="00C7601B">
        <w:rPr>
          <w:rFonts w:cs="Times New Roman"/>
          <w:szCs w:val="24"/>
          <w:lang w:val="fr-CA"/>
        </w:rPr>
        <w:t xml:space="preserve">, </w:t>
      </w:r>
      <w:proofErr w:type="spellStart"/>
      <w:proofErr w:type="gramStart"/>
      <w:r w:rsidRPr="00C7601B">
        <w:rPr>
          <w:rFonts w:cs="Times New Roman"/>
          <w:szCs w:val="24"/>
          <w:lang w:val="fr-CA"/>
        </w:rPr>
        <w:t>dir</w:t>
      </w:r>
      <w:proofErr w:type="spellEnd"/>
      <w:r w:rsidRPr="00C7601B">
        <w:rPr>
          <w:rFonts w:cs="Times New Roman"/>
          <w:szCs w:val="24"/>
          <w:lang w:val="fr-CA"/>
        </w:rPr>
        <w:t>.,</w:t>
      </w:r>
      <w:proofErr w:type="gramEnd"/>
      <w:r w:rsidRPr="00C7601B">
        <w:rPr>
          <w:rFonts w:cs="Times New Roman"/>
          <w:szCs w:val="24"/>
          <w:lang w:val="fr-CA"/>
        </w:rPr>
        <w:t xml:space="preserve"> </w:t>
      </w:r>
      <w:r w:rsidRPr="00C7601B">
        <w:rPr>
          <w:rFonts w:cs="Times New Roman"/>
          <w:i/>
          <w:szCs w:val="24"/>
          <w:lang w:val="fr-CA"/>
        </w:rPr>
        <w:t xml:space="preserve">Administrative Law in </w:t>
      </w:r>
      <w:proofErr w:type="spellStart"/>
      <w:r w:rsidRPr="00C7601B">
        <w:rPr>
          <w:rFonts w:cs="Times New Roman"/>
          <w:i/>
          <w:szCs w:val="24"/>
          <w:lang w:val="fr-CA"/>
        </w:rPr>
        <w:t>Context</w:t>
      </w:r>
      <w:proofErr w:type="spellEnd"/>
      <w:r w:rsidRPr="00C7601B">
        <w:rPr>
          <w:rFonts w:cs="Times New Roman"/>
          <w:i/>
          <w:szCs w:val="24"/>
          <w:lang w:val="fr-CA"/>
        </w:rPr>
        <w:t xml:space="preserve"> </w:t>
      </w:r>
      <w:r w:rsidRPr="00C7601B">
        <w:rPr>
          <w:rFonts w:cs="Times New Roman"/>
          <w:szCs w:val="24"/>
          <w:lang w:val="fr-CA"/>
        </w:rPr>
        <w:t>(2008), 197, p.</w:t>
      </w:r>
      <w:r w:rsidR="00C7601B" w:rsidRPr="00C7601B">
        <w:rPr>
          <w:rFonts w:cs="Times New Roman"/>
          <w:szCs w:val="24"/>
          <w:lang w:val="fr-CA"/>
        </w:rPr>
        <w:t> </w:t>
      </w:r>
      <w:r w:rsidRPr="00C7601B">
        <w:rPr>
          <w:rFonts w:cs="Times New Roman"/>
          <w:szCs w:val="24"/>
          <w:lang w:val="fr-CA"/>
        </w:rPr>
        <w:t xml:space="preserve">216). </w:t>
      </w:r>
    </w:p>
    <w:p w:rsidR="00956B54" w:rsidRPr="00C7601B" w:rsidRDefault="00956B54" w:rsidP="00956B54">
      <w:pPr>
        <w:pStyle w:val="ParaNoNdepar-AltN"/>
        <w:rPr>
          <w:rFonts w:cs="Times New Roman"/>
          <w:szCs w:val="24"/>
          <w:lang w:val="fr-CA"/>
        </w:rPr>
      </w:pPr>
      <w:r w:rsidRPr="00C7601B">
        <w:rPr>
          <w:rFonts w:cs="Times New Roman"/>
          <w:szCs w:val="24"/>
          <w:lang w:val="fr-CA"/>
        </w:rPr>
        <w:t>La jurisprudence de la Cour recèle plusieurs exemples.</w:t>
      </w:r>
      <w:r w:rsidR="00FC4A5B" w:rsidRPr="00C7601B">
        <w:rPr>
          <w:rFonts w:cs="Times New Roman"/>
          <w:szCs w:val="24"/>
          <w:lang w:val="fr-CA"/>
        </w:rPr>
        <w:t xml:space="preserve"> </w:t>
      </w:r>
      <w:r w:rsidRPr="00C7601B">
        <w:rPr>
          <w:rFonts w:cs="Times New Roman"/>
          <w:szCs w:val="24"/>
          <w:lang w:val="fr-CA"/>
        </w:rPr>
        <w:t xml:space="preserve">Dans l’arrêt </w:t>
      </w:r>
      <w:proofErr w:type="spellStart"/>
      <w:r w:rsidRPr="00C7601B">
        <w:rPr>
          <w:rFonts w:cs="Times New Roman"/>
          <w:i/>
          <w:szCs w:val="24"/>
          <w:lang w:val="fr-CA"/>
        </w:rPr>
        <w:t>Dickason</w:t>
      </w:r>
      <w:proofErr w:type="spellEnd"/>
      <w:r w:rsidRPr="00C7601B">
        <w:rPr>
          <w:rFonts w:cs="Times New Roman"/>
          <w:i/>
          <w:szCs w:val="24"/>
          <w:lang w:val="fr-CA"/>
        </w:rPr>
        <w:t xml:space="preserve"> c. Université de l’Alberta</w:t>
      </w:r>
      <w:r w:rsidRPr="00C7601B">
        <w:rPr>
          <w:rFonts w:cs="Times New Roman"/>
          <w:szCs w:val="24"/>
          <w:lang w:val="fr-CA"/>
        </w:rPr>
        <w:t>, [1992] 2 R.C.S. 1103, la Cour statue qu’en l’absence d’une disposition d’</w:t>
      </w:r>
      <w:proofErr w:type="spellStart"/>
      <w:r w:rsidRPr="00C7601B">
        <w:rPr>
          <w:rFonts w:cs="Times New Roman"/>
          <w:szCs w:val="24"/>
          <w:lang w:val="fr-CA"/>
        </w:rPr>
        <w:t>inattaquabilité</w:t>
      </w:r>
      <w:proofErr w:type="spellEnd"/>
      <w:r w:rsidRPr="00C7601B">
        <w:rPr>
          <w:rFonts w:cs="Times New Roman"/>
          <w:szCs w:val="24"/>
          <w:lang w:val="fr-CA"/>
        </w:rPr>
        <w:t>, la commission ou le tribunal des droits de la personne qui n’a pas de connaissances spécialisées doit interpréter la loi correctement (p.</w:t>
      </w:r>
      <w:r w:rsidR="00FC4A5B" w:rsidRPr="00C7601B">
        <w:rPr>
          <w:rFonts w:cs="Times New Roman"/>
          <w:szCs w:val="24"/>
          <w:lang w:val="fr-CA"/>
        </w:rPr>
        <w:t xml:space="preserve"> </w:t>
      </w:r>
      <w:r w:rsidRPr="00C7601B">
        <w:rPr>
          <w:rFonts w:cs="Times New Roman"/>
          <w:szCs w:val="24"/>
          <w:lang w:val="fr-CA"/>
        </w:rPr>
        <w:t>1125</w:t>
      </w:r>
      <w:r w:rsidR="00C7601B" w:rsidRPr="00C7601B">
        <w:rPr>
          <w:rFonts w:cs="Times New Roman"/>
          <w:szCs w:val="24"/>
          <w:lang w:val="fr-CA"/>
        </w:rPr>
        <w:t>-</w:t>
      </w:r>
      <w:r w:rsidRPr="00C7601B">
        <w:rPr>
          <w:rFonts w:cs="Times New Roman"/>
          <w:szCs w:val="24"/>
          <w:lang w:val="fr-CA"/>
        </w:rPr>
        <w:t>1126).</w:t>
      </w:r>
      <w:r w:rsidR="00FC4A5B" w:rsidRPr="00C7601B">
        <w:rPr>
          <w:rFonts w:cs="Times New Roman"/>
          <w:szCs w:val="24"/>
          <w:lang w:val="fr-CA"/>
        </w:rPr>
        <w:t xml:space="preserve"> </w:t>
      </w:r>
      <w:r w:rsidRPr="00C7601B">
        <w:rPr>
          <w:rFonts w:cs="Times New Roman"/>
          <w:szCs w:val="24"/>
          <w:lang w:val="fr-CA"/>
        </w:rPr>
        <w:t>Dans des décisions subséquentes, elle juge que la question de savoir si le terme «</w:t>
      </w:r>
      <w:r w:rsidR="00FC4A5B" w:rsidRPr="00C7601B">
        <w:rPr>
          <w:rFonts w:cs="Times New Roman"/>
          <w:szCs w:val="24"/>
          <w:lang w:val="fr-CA"/>
        </w:rPr>
        <w:t xml:space="preserve"> </w:t>
      </w:r>
      <w:r w:rsidRPr="00C7601B">
        <w:rPr>
          <w:rFonts w:cs="Times New Roman"/>
          <w:szCs w:val="24"/>
          <w:lang w:val="fr-CA"/>
        </w:rPr>
        <w:t>situation de famille</w:t>
      </w:r>
      <w:r w:rsidR="00FC4A5B" w:rsidRPr="00C7601B">
        <w:rPr>
          <w:rFonts w:cs="Times New Roman"/>
          <w:szCs w:val="24"/>
          <w:lang w:val="fr-CA"/>
        </w:rPr>
        <w:t xml:space="preserve"> </w:t>
      </w:r>
      <w:r w:rsidRPr="00C7601B">
        <w:rPr>
          <w:rFonts w:cs="Times New Roman"/>
          <w:szCs w:val="24"/>
          <w:lang w:val="fr-CA"/>
        </w:rPr>
        <w:t>» — un motif de distinction illicite prévu par la loi fédérale — englobe le couple homosexuel (</w:t>
      </w:r>
      <w:r w:rsidRPr="00C7601B">
        <w:rPr>
          <w:rFonts w:cs="Times New Roman"/>
          <w:i/>
          <w:szCs w:val="24"/>
          <w:lang w:val="fr-CA"/>
        </w:rPr>
        <w:t xml:space="preserve">Canada (Procureur général) c. </w:t>
      </w:r>
      <w:proofErr w:type="spellStart"/>
      <w:r w:rsidRPr="00C7601B">
        <w:rPr>
          <w:rFonts w:cs="Times New Roman"/>
          <w:i/>
          <w:szCs w:val="24"/>
          <w:lang w:val="fr-CA"/>
        </w:rPr>
        <w:t>Mossop</w:t>
      </w:r>
      <w:proofErr w:type="spellEnd"/>
      <w:r w:rsidRPr="00C7601B">
        <w:rPr>
          <w:rFonts w:cs="Times New Roman"/>
          <w:szCs w:val="24"/>
          <w:lang w:val="fr-CA"/>
        </w:rPr>
        <w:t>, [1993] 1 R.C.S. 554), et celle de savoir ce qu’il faut entendre par les expressions «</w:t>
      </w:r>
      <w:r w:rsidR="00FC4A5B" w:rsidRPr="00C7601B">
        <w:rPr>
          <w:rFonts w:cs="Times New Roman"/>
          <w:szCs w:val="24"/>
          <w:lang w:val="fr-CA"/>
        </w:rPr>
        <w:t xml:space="preserve"> </w:t>
      </w:r>
      <w:r w:rsidRPr="00C7601B">
        <w:rPr>
          <w:rFonts w:cs="Times New Roman"/>
          <w:szCs w:val="24"/>
          <w:lang w:val="fr-CA"/>
        </w:rPr>
        <w:t>services habituellement offerts au public</w:t>
      </w:r>
      <w:r w:rsidR="00FC4A5B" w:rsidRPr="00C7601B">
        <w:rPr>
          <w:rFonts w:cs="Times New Roman"/>
          <w:szCs w:val="24"/>
          <w:lang w:val="fr-CA"/>
        </w:rPr>
        <w:t xml:space="preserve"> </w:t>
      </w:r>
      <w:r w:rsidRPr="00C7601B">
        <w:rPr>
          <w:rFonts w:cs="Times New Roman"/>
          <w:szCs w:val="24"/>
          <w:lang w:val="fr-CA"/>
        </w:rPr>
        <w:t>» ou «</w:t>
      </w:r>
      <w:r w:rsidR="00FC4A5B" w:rsidRPr="00C7601B">
        <w:rPr>
          <w:rFonts w:cs="Times New Roman"/>
          <w:szCs w:val="24"/>
          <w:lang w:val="fr-CA"/>
        </w:rPr>
        <w:t xml:space="preserve"> </w:t>
      </w:r>
      <w:r w:rsidRPr="00C7601B">
        <w:rPr>
          <w:rFonts w:cs="Times New Roman"/>
          <w:szCs w:val="24"/>
          <w:lang w:val="fr-CA"/>
        </w:rPr>
        <w:t>services public</w:t>
      </w:r>
      <w:r w:rsidR="007F237F" w:rsidRPr="00C7601B">
        <w:rPr>
          <w:rFonts w:cs="Times New Roman"/>
          <w:szCs w:val="24"/>
          <w:lang w:val="fr-CA"/>
        </w:rPr>
        <w:t>s</w:t>
      </w:r>
      <w:r w:rsidR="00FC4A5B" w:rsidRPr="00C7601B">
        <w:rPr>
          <w:rFonts w:cs="Times New Roman"/>
          <w:szCs w:val="24"/>
          <w:lang w:val="fr-CA"/>
        </w:rPr>
        <w:t xml:space="preserve"> </w:t>
      </w:r>
      <w:r w:rsidRPr="00C7601B">
        <w:rPr>
          <w:rFonts w:cs="Times New Roman"/>
          <w:szCs w:val="24"/>
          <w:lang w:val="fr-CA"/>
        </w:rPr>
        <w:t>» employées dans les lois provinciales sur les droits de la personne (</w:t>
      </w:r>
      <w:r w:rsidRPr="00C7601B">
        <w:rPr>
          <w:rFonts w:cs="Times New Roman"/>
          <w:i/>
          <w:szCs w:val="24"/>
          <w:lang w:val="fr-CA"/>
        </w:rPr>
        <w:t>Université de la Colombie</w:t>
      </w:r>
      <w:r w:rsidR="00C7601B" w:rsidRPr="00C7601B">
        <w:rPr>
          <w:rFonts w:cs="Times New Roman"/>
          <w:i/>
          <w:szCs w:val="24"/>
          <w:lang w:val="fr-CA"/>
        </w:rPr>
        <w:t>-</w:t>
      </w:r>
      <w:r w:rsidRPr="00C7601B">
        <w:rPr>
          <w:rFonts w:cs="Times New Roman"/>
          <w:i/>
          <w:szCs w:val="24"/>
          <w:lang w:val="fr-CA"/>
        </w:rPr>
        <w:t>Britannique c. Berg</w:t>
      </w:r>
      <w:r w:rsidRPr="00C7601B">
        <w:rPr>
          <w:rFonts w:cs="Times New Roman"/>
          <w:szCs w:val="24"/>
          <w:lang w:val="fr-CA"/>
        </w:rPr>
        <w:t>, [1993] 2 R.C.S. 353;</w:t>
      </w:r>
      <w:r w:rsidRPr="00C7601B">
        <w:rPr>
          <w:rFonts w:cs="Times New Roman"/>
          <w:i/>
          <w:szCs w:val="24"/>
          <w:lang w:val="fr-CA"/>
        </w:rPr>
        <w:t xml:space="preserve"> Gould c. Yukon </w:t>
      </w:r>
      <w:proofErr w:type="spellStart"/>
      <w:r w:rsidRPr="00C7601B">
        <w:rPr>
          <w:rFonts w:cs="Times New Roman"/>
          <w:i/>
          <w:szCs w:val="24"/>
          <w:lang w:val="fr-CA"/>
        </w:rPr>
        <w:t>Order</w:t>
      </w:r>
      <w:proofErr w:type="spellEnd"/>
      <w:r w:rsidRPr="00C7601B">
        <w:rPr>
          <w:rFonts w:cs="Times New Roman"/>
          <w:i/>
          <w:szCs w:val="24"/>
          <w:lang w:val="fr-CA"/>
        </w:rPr>
        <w:t xml:space="preserve"> of </w:t>
      </w:r>
      <w:proofErr w:type="spellStart"/>
      <w:r w:rsidRPr="00C7601B">
        <w:rPr>
          <w:rFonts w:cs="Times New Roman"/>
          <w:i/>
          <w:szCs w:val="24"/>
          <w:lang w:val="fr-CA"/>
        </w:rPr>
        <w:t>Pioneers</w:t>
      </w:r>
      <w:proofErr w:type="spellEnd"/>
      <w:r w:rsidRPr="00C7601B">
        <w:rPr>
          <w:rFonts w:cs="Times New Roman"/>
          <w:szCs w:val="24"/>
          <w:lang w:val="fr-CA"/>
        </w:rPr>
        <w:t>, [1996] 1 R.C.S. 571) constituent des questions de droit à l’égard desquelles tribunaux et organismes des droits de la personne ne possèdent pas d’expertise particulière par rapport aux cours de justice et qu’elles emportent l’application de la norme de la décision correcte.</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Mais en raison de l’évolution récente du droit en matière de contrôle judiciaire depuis l’arrêt </w:t>
      </w:r>
      <w:proofErr w:type="spellStart"/>
      <w:r w:rsidRPr="00C7601B">
        <w:rPr>
          <w:rFonts w:cs="Times New Roman"/>
          <w:i/>
          <w:szCs w:val="24"/>
          <w:lang w:val="fr-CA"/>
        </w:rPr>
        <w:t>Dunsmuir</w:t>
      </w:r>
      <w:proofErr w:type="spellEnd"/>
      <w:r w:rsidRPr="00C7601B">
        <w:rPr>
          <w:rFonts w:cs="Times New Roman"/>
          <w:szCs w:val="24"/>
          <w:lang w:val="fr-CA"/>
        </w:rPr>
        <w:t xml:space="preserve">, et de l’accent mis sur la déférence qui s’impose à </w:t>
      </w:r>
      <w:r w:rsidRPr="00C7601B">
        <w:rPr>
          <w:rFonts w:cs="Times New Roman"/>
          <w:szCs w:val="24"/>
          <w:lang w:val="fr-CA"/>
        </w:rPr>
        <w:lastRenderedPageBreak/>
        <w:t>l’endroit d’un tribunal administratif, même en ce qui concerne bon nombre de questions de droit, il nous faut déterminer si toute décision du Tribunal ou d’un organisme apparenté sur une question de droit est assujettie à la norme de la décision correcte.</w:t>
      </w:r>
      <w:r w:rsidR="00FC4A5B" w:rsidRPr="00C7601B">
        <w:rPr>
          <w:rFonts w:cs="Times New Roman"/>
          <w:szCs w:val="24"/>
          <w:lang w:val="fr-CA"/>
        </w:rPr>
        <w:t xml:space="preserve"> </w:t>
      </w:r>
      <w:r w:rsidRPr="00C7601B">
        <w:rPr>
          <w:rFonts w:cs="Times New Roman"/>
          <w:szCs w:val="24"/>
          <w:lang w:val="fr-CA"/>
        </w:rPr>
        <w:t>Nous devons ici reconnaître l’existence d’une tension entre certains des principes qui sous-tendent l’actuel régime de contrôle judiciaire lorsqu’il s’applique aux décisions d’un tribunal des droits de la personne.</w:t>
      </w:r>
    </w:p>
    <w:p w:rsidR="00956B54" w:rsidRPr="00C7601B" w:rsidRDefault="00956B54" w:rsidP="00956B54">
      <w:pPr>
        <w:pStyle w:val="ParaNoNdepar-AltN"/>
        <w:rPr>
          <w:rFonts w:cs="Times New Roman"/>
          <w:szCs w:val="24"/>
          <w:lang w:val="fr-CA"/>
        </w:rPr>
      </w:pPr>
      <w:r w:rsidRPr="00C7601B">
        <w:rPr>
          <w:rFonts w:cs="Times New Roman"/>
          <w:szCs w:val="24"/>
          <w:lang w:val="fr-CA"/>
        </w:rPr>
        <w:t>Cette difficulté s’explique par la nature d’un tel tribunal.</w:t>
      </w:r>
      <w:r w:rsidR="00FC4A5B" w:rsidRPr="00C7601B">
        <w:rPr>
          <w:rFonts w:cs="Times New Roman"/>
          <w:szCs w:val="24"/>
          <w:lang w:val="fr-CA"/>
        </w:rPr>
        <w:t xml:space="preserve"> </w:t>
      </w:r>
      <w:r w:rsidRPr="00C7601B">
        <w:rPr>
          <w:rFonts w:cs="Times New Roman"/>
          <w:szCs w:val="24"/>
          <w:lang w:val="fr-CA"/>
        </w:rPr>
        <w:t xml:space="preserve">D’une part, faisant fond sur la jurisprudence antérieure, les arrêts </w:t>
      </w:r>
      <w:proofErr w:type="spellStart"/>
      <w:r w:rsidRPr="00C7601B">
        <w:rPr>
          <w:rFonts w:cs="Times New Roman"/>
          <w:i/>
          <w:szCs w:val="24"/>
          <w:lang w:val="fr-CA"/>
        </w:rPr>
        <w:t>Dunsmuir</w:t>
      </w:r>
      <w:proofErr w:type="spellEnd"/>
      <w:r w:rsidRPr="00C7601B">
        <w:rPr>
          <w:rFonts w:cs="Times New Roman"/>
          <w:i/>
          <w:szCs w:val="24"/>
          <w:lang w:val="fr-CA"/>
        </w:rPr>
        <w:t xml:space="preserve"> </w:t>
      </w:r>
      <w:r w:rsidRPr="00C7601B">
        <w:rPr>
          <w:rFonts w:cs="Times New Roman"/>
          <w:szCs w:val="24"/>
          <w:lang w:val="fr-CA"/>
        </w:rPr>
        <w:t xml:space="preserve">et </w:t>
      </w:r>
      <w:proofErr w:type="spellStart"/>
      <w:r w:rsidRPr="00C7601B">
        <w:rPr>
          <w:rFonts w:cs="Times New Roman"/>
          <w:i/>
          <w:szCs w:val="24"/>
          <w:lang w:val="fr-CA"/>
        </w:rPr>
        <w:t>Khosa</w:t>
      </w:r>
      <w:proofErr w:type="spellEnd"/>
      <w:r w:rsidRPr="00C7601B">
        <w:rPr>
          <w:rFonts w:cs="Times New Roman"/>
          <w:szCs w:val="24"/>
          <w:lang w:val="fr-CA"/>
        </w:rPr>
        <w:t xml:space="preserve"> reconnaissent qu’un tribunal administratif a droit en principe à la déférence d’une cour de justice en ce qui concerne l’interprétation de sa loi constitutive et des règles de droit qui s’y rattachent de près.</w:t>
      </w:r>
      <w:r w:rsidR="00FC4A5B" w:rsidRPr="00C7601B">
        <w:rPr>
          <w:rFonts w:cs="Times New Roman"/>
          <w:szCs w:val="24"/>
          <w:lang w:val="fr-CA"/>
        </w:rPr>
        <w:t xml:space="preserve"> </w:t>
      </w:r>
      <w:r w:rsidRPr="00C7601B">
        <w:rPr>
          <w:rFonts w:cs="Times New Roman"/>
          <w:szCs w:val="24"/>
          <w:lang w:val="fr-CA"/>
        </w:rPr>
        <w:t>D’autre part, la Cour réaffirme que les questions de droit générales qui revêtent une importance capitale pour le système juridique dans son ensemble et qui sont étrangères au domaine d’expertise de l’organisme juridictionnel demeurent assujetties à la norme de la décision correcte, et ce, dans un souci de cohérence de l’ordre juridique fondamental du pays.</w:t>
      </w:r>
      <w:r w:rsidR="00FC4A5B" w:rsidRPr="00C7601B">
        <w:rPr>
          <w:rFonts w:cs="Times New Roman"/>
          <w:szCs w:val="24"/>
          <w:lang w:val="fr-CA"/>
        </w:rPr>
        <w:t xml:space="preserve"> </w:t>
      </w:r>
      <w:r w:rsidRPr="00C7601B">
        <w:rPr>
          <w:rFonts w:cs="Times New Roman"/>
          <w:szCs w:val="24"/>
          <w:lang w:val="fr-CA"/>
        </w:rPr>
        <w:t>La nature de la «</w:t>
      </w:r>
      <w:r w:rsidR="00FC4A5B" w:rsidRPr="00C7601B">
        <w:rPr>
          <w:rFonts w:cs="Times New Roman"/>
          <w:szCs w:val="24"/>
          <w:lang w:val="fr-CA"/>
        </w:rPr>
        <w:t xml:space="preserve"> </w:t>
      </w:r>
      <w:r w:rsidRPr="00C7601B">
        <w:rPr>
          <w:rFonts w:cs="Times New Roman"/>
          <w:szCs w:val="24"/>
          <w:lang w:val="fr-CA"/>
        </w:rPr>
        <w:t>loi constitutive</w:t>
      </w:r>
      <w:r w:rsidR="00FC4A5B" w:rsidRPr="00C7601B">
        <w:rPr>
          <w:rFonts w:cs="Times New Roman"/>
          <w:szCs w:val="24"/>
          <w:lang w:val="fr-CA"/>
        </w:rPr>
        <w:t xml:space="preserve"> </w:t>
      </w:r>
      <w:r w:rsidRPr="00C7601B">
        <w:rPr>
          <w:rFonts w:cs="Times New Roman"/>
          <w:szCs w:val="24"/>
          <w:lang w:val="fr-CA"/>
        </w:rPr>
        <w:t>» qu’administre un tribunal des droits de la personne rend très délicat le maintien de l’équilibre entre ces deux énoncés contradictoires.</w:t>
      </w:r>
      <w:r w:rsidR="00FC4A5B" w:rsidRPr="00C7601B">
        <w:rPr>
          <w:rFonts w:cs="Times New Roman"/>
          <w:szCs w:val="24"/>
          <w:lang w:val="fr-CA"/>
        </w:rPr>
        <w:t xml:space="preserve"> </w:t>
      </w:r>
      <w:r w:rsidRPr="00C7601B">
        <w:rPr>
          <w:rFonts w:cs="Times New Roman"/>
          <w:szCs w:val="24"/>
          <w:lang w:val="fr-CA"/>
        </w:rPr>
        <w:t>Au Canada, un volet essentiel de toute loi sur les droits de la personne énonce les principes et les règles visant à contrer la discrimination.</w:t>
      </w:r>
      <w:r w:rsidR="00FC4A5B" w:rsidRPr="00C7601B">
        <w:rPr>
          <w:rFonts w:cs="Times New Roman"/>
          <w:szCs w:val="24"/>
          <w:lang w:val="fr-CA"/>
        </w:rPr>
        <w:t xml:space="preserve"> </w:t>
      </w:r>
      <w:r w:rsidRPr="00C7601B">
        <w:rPr>
          <w:rFonts w:cs="Times New Roman"/>
          <w:szCs w:val="24"/>
          <w:lang w:val="fr-CA"/>
        </w:rPr>
        <w:t>Or, cette loi renferme aussi un grand nombre de dispositions qui ont trait, par exemple, à la preuve et à la procédure ou au pouvoir de réparation du tribunal ou de la commission des droits de la personne.</w:t>
      </w:r>
    </w:p>
    <w:p w:rsidR="00956B54" w:rsidRPr="00C7601B" w:rsidRDefault="00956B54" w:rsidP="00956B54">
      <w:pPr>
        <w:pStyle w:val="ParaNoNdepar-AltN"/>
        <w:rPr>
          <w:rFonts w:cs="Times New Roman"/>
          <w:szCs w:val="24"/>
          <w:lang w:val="fr-CA"/>
        </w:rPr>
      </w:pPr>
      <w:r w:rsidRPr="00C7601B">
        <w:rPr>
          <w:rFonts w:cs="Times New Roman"/>
          <w:szCs w:val="24"/>
          <w:lang w:val="fr-CA"/>
        </w:rPr>
        <w:lastRenderedPageBreak/>
        <w:t>Nul doute qu’un tribunal des droits de la personne est souvent appelé à se prononcer sur des questions de très large portée.</w:t>
      </w:r>
      <w:r w:rsidR="00FC4A5B" w:rsidRPr="00C7601B">
        <w:rPr>
          <w:rFonts w:cs="Times New Roman"/>
          <w:szCs w:val="24"/>
          <w:lang w:val="fr-CA"/>
        </w:rPr>
        <w:t xml:space="preserve"> </w:t>
      </w:r>
      <w:r w:rsidRPr="00C7601B">
        <w:rPr>
          <w:rFonts w:cs="Times New Roman"/>
          <w:szCs w:val="24"/>
          <w:lang w:val="fr-CA"/>
        </w:rPr>
        <w:t>Or</w:t>
      </w:r>
      <w:r w:rsidR="00B415C7">
        <w:rPr>
          <w:rFonts w:cs="Times New Roman"/>
          <w:szCs w:val="24"/>
          <w:lang w:val="fr-CA"/>
        </w:rPr>
        <w:t>,</w:t>
      </w:r>
      <w:r w:rsidRPr="00C7601B">
        <w:rPr>
          <w:rFonts w:cs="Times New Roman"/>
          <w:szCs w:val="24"/>
          <w:lang w:val="fr-CA"/>
        </w:rPr>
        <w:t xml:space="preserve"> les mêmes questions peuvent être soulevées devant d’autres organismes juridictionnels, en particulier des cours de justice.</w:t>
      </w:r>
      <w:r w:rsidR="00FC4A5B" w:rsidRPr="00C7601B">
        <w:rPr>
          <w:rFonts w:cs="Times New Roman"/>
          <w:szCs w:val="24"/>
          <w:lang w:val="fr-CA"/>
        </w:rPr>
        <w:t xml:space="preserve"> </w:t>
      </w:r>
      <w:r w:rsidRPr="00C7601B">
        <w:rPr>
          <w:rFonts w:cs="Times New Roman"/>
          <w:szCs w:val="24"/>
          <w:lang w:val="fr-CA"/>
        </w:rPr>
        <w:t xml:space="preserve">À l’issue de l’analyse relative à la norme de contrôle proposée dans l’arrêt </w:t>
      </w:r>
      <w:proofErr w:type="spellStart"/>
      <w:r w:rsidRPr="00C7601B">
        <w:rPr>
          <w:rFonts w:cs="Times New Roman"/>
          <w:i/>
          <w:szCs w:val="24"/>
          <w:lang w:val="fr-CA"/>
        </w:rPr>
        <w:t>Dunsmuir</w:t>
      </w:r>
      <w:proofErr w:type="spellEnd"/>
      <w:r w:rsidRPr="00C7601B">
        <w:rPr>
          <w:rFonts w:cs="Times New Roman"/>
          <w:szCs w:val="24"/>
          <w:lang w:val="fr-CA"/>
        </w:rPr>
        <w:t>,</w:t>
      </w:r>
      <w:r w:rsidRPr="00C7601B">
        <w:rPr>
          <w:rFonts w:cs="Times New Roman"/>
          <w:i/>
          <w:szCs w:val="24"/>
          <w:lang w:val="fr-CA"/>
        </w:rPr>
        <w:t xml:space="preserve"> </w:t>
      </w:r>
      <w:r w:rsidRPr="00C7601B">
        <w:rPr>
          <w:rFonts w:cs="Times New Roman"/>
          <w:szCs w:val="24"/>
          <w:lang w:val="fr-CA"/>
        </w:rPr>
        <w:t>la norme applicable aux décisions sur certaines de ces questions pourrait bien être celle de la décision correcte.</w:t>
      </w:r>
      <w:r w:rsidR="00FC4A5B" w:rsidRPr="00C7601B">
        <w:rPr>
          <w:rFonts w:cs="Times New Roman"/>
          <w:szCs w:val="24"/>
          <w:lang w:val="fr-CA"/>
        </w:rPr>
        <w:t xml:space="preserve"> </w:t>
      </w:r>
      <w:r w:rsidRPr="00C7601B">
        <w:rPr>
          <w:rFonts w:cs="Times New Roman"/>
          <w:szCs w:val="24"/>
          <w:lang w:val="fr-CA"/>
        </w:rPr>
        <w:t>Mais les questions de droit générales que le Tribunal est appelé à trancher n’équivalent pas toutes à des questions d’une importance capitale pour le système juridique et elles ne sont pas toutes étrangères au domaine d’expertise de l’organisme décisionnel.</w:t>
      </w:r>
      <w:r w:rsidR="00FC4A5B" w:rsidRPr="00C7601B">
        <w:rPr>
          <w:rFonts w:cs="Times New Roman"/>
          <w:szCs w:val="24"/>
          <w:lang w:val="fr-CA"/>
        </w:rPr>
        <w:t xml:space="preserve"> </w:t>
      </w:r>
      <w:r w:rsidRPr="00C7601B">
        <w:rPr>
          <w:rFonts w:cs="Times New Roman"/>
          <w:szCs w:val="24"/>
          <w:lang w:val="fr-CA"/>
        </w:rPr>
        <w:t>Il convient d’établir les distinctions qui s’imposent, surtout en ce qui concerne le litige qu’il nous faut aujourd’hui trancher.</w:t>
      </w:r>
    </w:p>
    <w:p w:rsidR="00956B54" w:rsidRPr="00C7601B" w:rsidRDefault="00956B54" w:rsidP="00956B54">
      <w:pPr>
        <w:pStyle w:val="ParaNoNdepar-AltN"/>
        <w:rPr>
          <w:rFonts w:cs="Times New Roman"/>
          <w:szCs w:val="24"/>
          <w:lang w:val="fr-CA"/>
        </w:rPr>
      </w:pPr>
      <w:r w:rsidRPr="00C7601B">
        <w:rPr>
          <w:rFonts w:cs="Times New Roman"/>
          <w:szCs w:val="24"/>
          <w:lang w:val="fr-CA"/>
        </w:rPr>
        <w:t>Dans le cas qui nous occupe, le Tribunal possède sans aucun doute le pouvoir d’indemniser la victime «</w:t>
      </w:r>
      <w:r w:rsidR="00FC4A5B" w:rsidRPr="00C7601B">
        <w:rPr>
          <w:rFonts w:cs="Times New Roman"/>
          <w:szCs w:val="24"/>
          <w:lang w:val="fr-CA"/>
        </w:rPr>
        <w:t xml:space="preserve"> </w:t>
      </w:r>
      <w:r w:rsidRPr="00C7601B">
        <w:rPr>
          <w:rFonts w:cs="Times New Roman"/>
          <w:szCs w:val="24"/>
          <w:lang w:val="fr-CA"/>
        </w:rPr>
        <w:t>des dépenses entraînées par l’acte</w:t>
      </w:r>
      <w:r w:rsidR="00FC4A5B" w:rsidRPr="00C7601B">
        <w:rPr>
          <w:rFonts w:cs="Times New Roman"/>
          <w:szCs w:val="24"/>
          <w:lang w:val="fr-CA"/>
        </w:rPr>
        <w:t xml:space="preserve"> </w:t>
      </w:r>
      <w:r w:rsidRPr="00C7601B">
        <w:rPr>
          <w:rFonts w:cs="Times New Roman"/>
          <w:szCs w:val="24"/>
          <w:lang w:val="fr-CA"/>
        </w:rPr>
        <w:t>[discriminatoire]</w:t>
      </w:r>
      <w:r w:rsidR="00FC4A5B" w:rsidRPr="00C7601B">
        <w:rPr>
          <w:rFonts w:cs="Times New Roman"/>
          <w:szCs w:val="24"/>
          <w:lang w:val="fr-CA"/>
        </w:rPr>
        <w:t xml:space="preserve"> </w:t>
      </w:r>
      <w:r w:rsidRPr="00C7601B">
        <w:rPr>
          <w:rFonts w:cs="Times New Roman"/>
          <w:szCs w:val="24"/>
          <w:lang w:val="fr-CA"/>
        </w:rPr>
        <w:t>» suivant les al.</w:t>
      </w:r>
      <w:r w:rsidR="00FC4A5B" w:rsidRPr="00C7601B">
        <w:rPr>
          <w:rFonts w:cs="Times New Roman"/>
          <w:szCs w:val="24"/>
          <w:lang w:val="fr-CA"/>
        </w:rPr>
        <w:t xml:space="preserve"> </w:t>
      </w:r>
      <w:r w:rsidRPr="00C7601B">
        <w:rPr>
          <w:rFonts w:cs="Times New Roman"/>
          <w:szCs w:val="24"/>
          <w:lang w:val="fr-CA"/>
        </w:rPr>
        <w:t>53(2)</w:t>
      </w:r>
      <w:r w:rsidRPr="00C7601B">
        <w:rPr>
          <w:rFonts w:cs="Times New Roman"/>
          <w:i/>
          <w:szCs w:val="24"/>
          <w:lang w:val="fr-CA"/>
        </w:rPr>
        <w:t>c</w:t>
      </w:r>
      <w:r w:rsidRPr="00C7601B">
        <w:rPr>
          <w:rFonts w:cs="Times New Roman"/>
          <w:szCs w:val="24"/>
          <w:lang w:val="fr-CA"/>
        </w:rPr>
        <w:t xml:space="preserve">) et </w:t>
      </w:r>
      <w:r w:rsidRPr="00C7601B">
        <w:rPr>
          <w:rFonts w:cs="Times New Roman"/>
          <w:i/>
          <w:szCs w:val="24"/>
          <w:lang w:val="fr-CA"/>
        </w:rPr>
        <w:t>d</w:t>
      </w:r>
      <w:r w:rsidRPr="00C7601B">
        <w:rPr>
          <w:rFonts w:cs="Times New Roman"/>
          <w:szCs w:val="24"/>
          <w:lang w:val="fr-CA"/>
        </w:rPr>
        <w:t>) de la Loi.</w:t>
      </w:r>
      <w:r w:rsidR="00FC4A5B" w:rsidRPr="00C7601B">
        <w:rPr>
          <w:rFonts w:cs="Times New Roman"/>
          <w:szCs w:val="24"/>
          <w:lang w:val="fr-CA"/>
        </w:rPr>
        <w:t xml:space="preserve"> </w:t>
      </w:r>
      <w:r w:rsidRPr="00C7601B">
        <w:rPr>
          <w:rFonts w:cs="Times New Roman"/>
          <w:szCs w:val="24"/>
          <w:lang w:val="fr-CA"/>
        </w:rPr>
        <w:t>Il faut alors se demander s’il pouvait adjuger des dépens à titre d’indemnité.</w:t>
      </w:r>
      <w:r w:rsidR="00FC4A5B" w:rsidRPr="00C7601B">
        <w:rPr>
          <w:rFonts w:cs="Times New Roman"/>
          <w:szCs w:val="24"/>
          <w:lang w:val="fr-CA"/>
        </w:rPr>
        <w:t xml:space="preserve"> </w:t>
      </w:r>
      <w:r w:rsidRPr="00C7601B">
        <w:rPr>
          <w:rFonts w:cs="Times New Roman"/>
          <w:szCs w:val="24"/>
          <w:lang w:val="fr-CA"/>
        </w:rPr>
        <w:t xml:space="preserve">Même si, dans </w:t>
      </w:r>
      <w:proofErr w:type="spellStart"/>
      <w:r w:rsidRPr="00C7601B">
        <w:rPr>
          <w:rFonts w:cs="Times New Roman"/>
          <w:i/>
          <w:szCs w:val="24"/>
          <w:lang w:val="fr-CA"/>
        </w:rPr>
        <w:t>Dunsmuir</w:t>
      </w:r>
      <w:proofErr w:type="spellEnd"/>
      <w:r w:rsidRPr="00C7601B">
        <w:rPr>
          <w:rFonts w:cs="Times New Roman"/>
          <w:szCs w:val="24"/>
          <w:lang w:val="fr-CA"/>
        </w:rPr>
        <w:t>, elle ne supprime pas la catégorie des questions de compétence, la Cour juge que celles</w:t>
      </w:r>
      <w:r w:rsidR="00C7601B" w:rsidRPr="00C7601B">
        <w:rPr>
          <w:rFonts w:cs="Times New Roman"/>
          <w:szCs w:val="24"/>
          <w:lang w:val="fr-CA"/>
        </w:rPr>
        <w:t>-</w:t>
      </w:r>
      <w:r w:rsidRPr="00C7601B">
        <w:rPr>
          <w:rFonts w:cs="Times New Roman"/>
          <w:szCs w:val="24"/>
          <w:lang w:val="fr-CA"/>
        </w:rPr>
        <w:t>ci appellent une interprétation stricte.</w:t>
      </w:r>
      <w:r w:rsidR="00FC4A5B" w:rsidRPr="00C7601B">
        <w:rPr>
          <w:rFonts w:cs="Times New Roman"/>
          <w:szCs w:val="24"/>
          <w:lang w:val="fr-CA"/>
        </w:rPr>
        <w:t xml:space="preserve"> </w:t>
      </w:r>
      <w:r w:rsidRPr="00C7601B">
        <w:rPr>
          <w:rFonts w:cs="Times New Roman"/>
          <w:szCs w:val="24"/>
          <w:lang w:val="fr-CA"/>
        </w:rPr>
        <w:t>Ainsi, depuis cet arrêt, des questions que certains auraient pu auparavant considérer comme des questions de compétence doivent désormais faire l’objet de l’analyse relative à la norme de contrôle afin que l’on détermine si elles sont assujetties à la norme de la décision correcte ou à celle de la décision raisonnable (voir</w:t>
      </w:r>
      <w:r w:rsidR="007F237F" w:rsidRPr="00C7601B">
        <w:rPr>
          <w:rFonts w:cs="Times New Roman"/>
          <w:szCs w:val="24"/>
          <w:lang w:val="fr-CA"/>
        </w:rPr>
        <w:t>,</w:t>
      </w:r>
      <w:r w:rsidRPr="00C7601B">
        <w:rPr>
          <w:rFonts w:cs="Times New Roman"/>
          <w:szCs w:val="24"/>
          <w:lang w:val="fr-CA"/>
        </w:rPr>
        <w:t xml:space="preserve"> p.</w:t>
      </w:r>
      <w:r w:rsidR="00FC4A5B" w:rsidRPr="00C7601B">
        <w:rPr>
          <w:rFonts w:cs="Times New Roman"/>
          <w:szCs w:val="24"/>
          <w:lang w:val="fr-CA"/>
        </w:rPr>
        <w:t xml:space="preserve"> </w:t>
      </w:r>
      <w:r w:rsidRPr="00C7601B">
        <w:rPr>
          <w:rFonts w:cs="Times New Roman"/>
          <w:szCs w:val="24"/>
          <w:lang w:val="fr-CA"/>
        </w:rPr>
        <w:t>ex.</w:t>
      </w:r>
      <w:r w:rsidR="007F237F" w:rsidRPr="00C7601B">
        <w:rPr>
          <w:rFonts w:cs="Times New Roman"/>
          <w:szCs w:val="24"/>
          <w:lang w:val="fr-CA"/>
        </w:rPr>
        <w:t>,</w:t>
      </w:r>
      <w:r w:rsidRPr="00C7601B">
        <w:rPr>
          <w:rFonts w:cs="Times New Roman"/>
          <w:szCs w:val="24"/>
          <w:lang w:val="fr-CA"/>
        </w:rPr>
        <w:t xml:space="preserve"> </w:t>
      </w:r>
      <w:proofErr w:type="spellStart"/>
      <w:r w:rsidRPr="00C7601B">
        <w:rPr>
          <w:rFonts w:cs="Times New Roman"/>
          <w:i/>
          <w:szCs w:val="24"/>
          <w:lang w:val="fr-CA"/>
        </w:rPr>
        <w:t>Celgene</w:t>
      </w:r>
      <w:proofErr w:type="spellEnd"/>
      <w:r w:rsidRPr="00C7601B">
        <w:rPr>
          <w:rFonts w:cs="Times New Roman"/>
          <w:i/>
          <w:szCs w:val="24"/>
          <w:lang w:val="fr-CA"/>
        </w:rPr>
        <w:t xml:space="preserve"> Corp. c. Canada (Procureur général)</w:t>
      </w:r>
      <w:r w:rsidRPr="00C7601B">
        <w:rPr>
          <w:rFonts w:cs="Times New Roman"/>
          <w:szCs w:val="24"/>
          <w:lang w:val="fr-CA"/>
        </w:rPr>
        <w:t>, 2011 CSC 1, [2011] 1 R.C.S. 3, par.</w:t>
      </w:r>
      <w:r w:rsidR="00FC4A5B" w:rsidRPr="00C7601B">
        <w:rPr>
          <w:rFonts w:cs="Times New Roman"/>
          <w:szCs w:val="24"/>
          <w:lang w:val="fr-CA"/>
        </w:rPr>
        <w:t xml:space="preserve"> </w:t>
      </w:r>
      <w:r w:rsidRPr="00C7601B">
        <w:rPr>
          <w:rFonts w:cs="Times New Roman"/>
          <w:szCs w:val="24"/>
          <w:lang w:val="fr-CA"/>
        </w:rPr>
        <w:t>33</w:t>
      </w:r>
      <w:r w:rsidR="00C7601B" w:rsidRPr="00C7601B">
        <w:rPr>
          <w:rFonts w:cs="Times New Roman"/>
          <w:szCs w:val="24"/>
          <w:lang w:val="fr-CA"/>
        </w:rPr>
        <w:t>-</w:t>
      </w:r>
      <w:r w:rsidRPr="00C7601B">
        <w:rPr>
          <w:rFonts w:cs="Times New Roman"/>
          <w:szCs w:val="24"/>
          <w:lang w:val="fr-CA"/>
        </w:rPr>
        <w:t xml:space="preserve">34; </w:t>
      </w:r>
      <w:r w:rsidRPr="00C7601B">
        <w:rPr>
          <w:rFonts w:cs="Times New Roman"/>
          <w:i/>
          <w:szCs w:val="24"/>
          <w:lang w:val="fr-CA"/>
        </w:rPr>
        <w:t>Nolan c. Kerry (Canada) Inc.</w:t>
      </w:r>
      <w:r w:rsidRPr="00C7601B">
        <w:rPr>
          <w:rFonts w:cs="Times New Roman"/>
          <w:szCs w:val="24"/>
          <w:lang w:val="fr-CA"/>
        </w:rPr>
        <w:t>, 2009 CSC 3</w:t>
      </w:r>
      <w:r w:rsidR="007F237F" w:rsidRPr="00C7601B">
        <w:rPr>
          <w:rFonts w:cs="Times New Roman"/>
          <w:szCs w:val="24"/>
          <w:lang w:val="fr-CA"/>
        </w:rPr>
        <w:t xml:space="preserve">9, [2009] 2 R.C.S. </w:t>
      </w:r>
      <w:r w:rsidR="007F237F" w:rsidRPr="00C7601B">
        <w:rPr>
          <w:rFonts w:cs="Times New Roman"/>
          <w:szCs w:val="24"/>
          <w:lang w:val="fr-CA"/>
        </w:rPr>
        <w:lastRenderedPageBreak/>
        <w:t>678, par.</w:t>
      </w:r>
      <w:r w:rsidR="00FC4A5B" w:rsidRPr="00C7601B">
        <w:rPr>
          <w:rFonts w:cs="Times New Roman"/>
          <w:szCs w:val="24"/>
          <w:lang w:val="fr-CA"/>
        </w:rPr>
        <w:t xml:space="preserve"> </w:t>
      </w:r>
      <w:r w:rsidR="007F237F" w:rsidRPr="00C7601B">
        <w:rPr>
          <w:rFonts w:cs="Times New Roman"/>
          <w:szCs w:val="24"/>
          <w:lang w:val="fr-CA"/>
        </w:rPr>
        <w:t>28-</w:t>
      </w:r>
      <w:r w:rsidRPr="00C7601B">
        <w:rPr>
          <w:rFonts w:cs="Times New Roman"/>
          <w:szCs w:val="24"/>
          <w:lang w:val="fr-CA"/>
        </w:rPr>
        <w:t>34).</w:t>
      </w:r>
      <w:r w:rsidR="00FC4A5B" w:rsidRPr="00C7601B">
        <w:rPr>
          <w:rFonts w:cs="Times New Roman"/>
          <w:szCs w:val="24"/>
          <w:lang w:val="fr-CA"/>
        </w:rPr>
        <w:t xml:space="preserve"> </w:t>
      </w:r>
      <w:r w:rsidRPr="00C7601B">
        <w:rPr>
          <w:rFonts w:cs="Times New Roman"/>
          <w:szCs w:val="24"/>
          <w:lang w:val="fr-CA"/>
        </w:rPr>
        <w:t>En somme, lorsqu’il s’agit d’interpréter et d’appliquer sa propre loi, dans son domaine d’expertise et sans que soit soulevée une question de droit générale, la norme de la décision raisonnable s’applique habituellement, et le Tribunal a droit à la déférence.</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La question des dépens constitue une question de droit qui relève essentiellement du mandat et </w:t>
      </w:r>
      <w:r w:rsidRPr="00C7601B">
        <w:rPr>
          <w:rFonts w:cs="Times New Roman"/>
          <w:spacing w:val="-3"/>
          <w:szCs w:val="24"/>
          <w:lang w:val="fr-CA"/>
        </w:rPr>
        <w:t xml:space="preserve">de l’expertise du Tribunal liés à </w:t>
      </w:r>
      <w:r w:rsidRPr="00C7601B">
        <w:rPr>
          <w:rFonts w:cs="Times New Roman"/>
          <w:szCs w:val="24"/>
          <w:lang w:val="fr-CA"/>
        </w:rPr>
        <w:t>l’interprétation et à l’application de sa loi constitutive (</w:t>
      </w:r>
      <w:proofErr w:type="spellStart"/>
      <w:r w:rsidRPr="00C7601B">
        <w:rPr>
          <w:rFonts w:cs="Times New Roman"/>
          <w:i/>
          <w:szCs w:val="24"/>
          <w:lang w:val="fr-CA"/>
        </w:rPr>
        <w:t>Dunsmuir</w:t>
      </w:r>
      <w:proofErr w:type="spellEnd"/>
      <w:r w:rsidRPr="00C7601B">
        <w:rPr>
          <w:rFonts w:cs="Times New Roman"/>
          <w:szCs w:val="24"/>
          <w:lang w:val="fr-CA"/>
        </w:rPr>
        <w:t>,</w:t>
      </w:r>
      <w:r w:rsidRPr="00C7601B">
        <w:rPr>
          <w:rFonts w:cs="Times New Roman"/>
          <w:i/>
          <w:szCs w:val="24"/>
          <w:lang w:val="fr-CA"/>
        </w:rPr>
        <w:t xml:space="preserve"> </w:t>
      </w:r>
      <w:r w:rsidRPr="00C7601B">
        <w:rPr>
          <w:rFonts w:cs="Times New Roman"/>
          <w:szCs w:val="24"/>
          <w:lang w:val="fr-CA"/>
        </w:rPr>
        <w:t>par.</w:t>
      </w:r>
      <w:r w:rsidR="00FC4A5B" w:rsidRPr="00C7601B">
        <w:rPr>
          <w:rFonts w:cs="Times New Roman"/>
          <w:szCs w:val="24"/>
          <w:lang w:val="fr-CA"/>
        </w:rPr>
        <w:t xml:space="preserve"> </w:t>
      </w:r>
      <w:r w:rsidRPr="00C7601B">
        <w:rPr>
          <w:rFonts w:cs="Times New Roman"/>
          <w:szCs w:val="24"/>
          <w:lang w:val="fr-CA"/>
        </w:rPr>
        <w:t>54).</w:t>
      </w:r>
      <w:r w:rsidR="00FC4A5B" w:rsidRPr="00C7601B">
        <w:rPr>
          <w:rFonts w:cs="Times New Roman"/>
          <w:szCs w:val="24"/>
          <w:lang w:val="fr-CA"/>
        </w:rPr>
        <w:t xml:space="preserve"> </w:t>
      </w:r>
      <w:r w:rsidRPr="00C7601B">
        <w:rPr>
          <w:rFonts w:cs="Times New Roman"/>
          <w:szCs w:val="24"/>
          <w:lang w:val="fr-CA"/>
        </w:rPr>
        <w:t>L’intimé prétend qu’un tribunal des droits de la personne ne possède pas d’expertise particulière en la matière.</w:t>
      </w:r>
      <w:r w:rsidR="00FC4A5B" w:rsidRPr="00C7601B">
        <w:rPr>
          <w:rFonts w:cs="Times New Roman"/>
          <w:szCs w:val="24"/>
          <w:lang w:val="fr-CA"/>
        </w:rPr>
        <w:t xml:space="preserve"> </w:t>
      </w:r>
      <w:r w:rsidRPr="00C7601B">
        <w:rPr>
          <w:rFonts w:cs="Times New Roman"/>
          <w:szCs w:val="24"/>
          <w:lang w:val="fr-CA"/>
        </w:rPr>
        <w:t>Toutefois, il faut se garder de retomber dans le formalisme antérieur qui accolait une «</w:t>
      </w:r>
      <w:r w:rsidR="00FC4A5B" w:rsidRPr="00C7601B">
        <w:rPr>
          <w:rFonts w:cs="Times New Roman"/>
          <w:szCs w:val="24"/>
          <w:lang w:val="fr-CA"/>
        </w:rPr>
        <w:t xml:space="preserve"> </w:t>
      </w:r>
      <w:r w:rsidRPr="00C7601B">
        <w:rPr>
          <w:rFonts w:cs="Times New Roman"/>
          <w:szCs w:val="24"/>
          <w:lang w:val="fr-CA"/>
        </w:rPr>
        <w:t>étiquette limitative de compétence, comme celle d’“interprétation législative” ou de “droits de l</w:t>
      </w:r>
      <w:r w:rsidR="00B415C7">
        <w:rPr>
          <w:rFonts w:cs="Times New Roman"/>
          <w:szCs w:val="24"/>
          <w:lang w:val="fr-CA"/>
        </w:rPr>
        <w:t>a personne”, à ce qui est</w:t>
      </w:r>
      <w:r w:rsidRPr="00C7601B">
        <w:rPr>
          <w:rFonts w:cs="Times New Roman"/>
          <w:szCs w:val="24"/>
          <w:lang w:val="fr-CA"/>
        </w:rPr>
        <w:t xml:space="preserve"> en réalité une fonction confiée [à un tribunal administratif] et exercée correctement [par lui] en vertu de la loi habilitante</w:t>
      </w:r>
      <w:r w:rsidR="00FC4A5B" w:rsidRPr="00C7601B">
        <w:rPr>
          <w:rFonts w:cs="Times New Roman"/>
          <w:szCs w:val="24"/>
          <w:lang w:val="fr-CA"/>
        </w:rPr>
        <w:t xml:space="preserve"> </w:t>
      </w:r>
      <w:r w:rsidRPr="00C7601B">
        <w:rPr>
          <w:rFonts w:cs="Times New Roman"/>
          <w:szCs w:val="24"/>
          <w:lang w:val="fr-CA"/>
        </w:rPr>
        <w:t>» (</w:t>
      </w:r>
      <w:r w:rsidRPr="00C7601B">
        <w:rPr>
          <w:rFonts w:cs="Times New Roman"/>
          <w:i/>
          <w:szCs w:val="24"/>
          <w:lang w:val="fr-CA"/>
        </w:rPr>
        <w:t>Conseil des Canadiens avec déficiences c. VIA Rail Canada Inc</w:t>
      </w:r>
      <w:r w:rsidRPr="00C7601B">
        <w:rPr>
          <w:rFonts w:cs="Times New Roman"/>
          <w:szCs w:val="24"/>
          <w:lang w:val="fr-CA"/>
        </w:rPr>
        <w:t>., 2007 CSC 15, [2007] 1 R.C.S. 650, par.</w:t>
      </w:r>
      <w:r w:rsidR="00FC4A5B" w:rsidRPr="00C7601B">
        <w:rPr>
          <w:rFonts w:cs="Times New Roman"/>
          <w:szCs w:val="24"/>
          <w:lang w:val="fr-CA"/>
        </w:rPr>
        <w:t xml:space="preserve"> </w:t>
      </w:r>
      <w:r w:rsidRPr="00C7601B">
        <w:rPr>
          <w:rFonts w:cs="Times New Roman"/>
          <w:szCs w:val="24"/>
          <w:lang w:val="fr-CA"/>
        </w:rPr>
        <w:t>96, la juge Abella).</w:t>
      </w:r>
      <w:r w:rsidR="00FC4A5B" w:rsidRPr="00C7601B">
        <w:rPr>
          <w:rFonts w:cs="Times New Roman"/>
          <w:szCs w:val="24"/>
          <w:lang w:val="fr-CA"/>
        </w:rPr>
        <w:t xml:space="preserve"> </w:t>
      </w:r>
      <w:r w:rsidRPr="00C7601B">
        <w:rPr>
          <w:rFonts w:cs="Times New Roman"/>
          <w:szCs w:val="24"/>
          <w:lang w:val="fr-CA"/>
        </w:rPr>
        <w:t>La détermination des dépenses engagées par la plaignante à cause de l’acte discriminatoire dont elle a été victime demeure inextricablement liée au mandat du Tribunal et à sa compétence spécialisée qui lui permettent de tirer des conclusions de fait au chapitre de la discrimination (</w:t>
      </w:r>
      <w:r w:rsidR="00B415C7">
        <w:rPr>
          <w:rFonts w:cs="Times New Roman"/>
          <w:szCs w:val="24"/>
          <w:lang w:val="fr-CA"/>
        </w:rPr>
        <w:t xml:space="preserve">voir </w:t>
      </w:r>
      <w:r w:rsidRPr="00C7601B">
        <w:rPr>
          <w:rFonts w:cs="Times New Roman"/>
          <w:i/>
          <w:szCs w:val="24"/>
          <w:lang w:val="fr-CA"/>
        </w:rPr>
        <w:t>Lévis (Ville) c. Fraternité des policiers de Lévis Inc.</w:t>
      </w:r>
      <w:r w:rsidRPr="00C7601B">
        <w:rPr>
          <w:rFonts w:cs="Times New Roman"/>
          <w:szCs w:val="24"/>
          <w:lang w:val="fr-CA"/>
        </w:rPr>
        <w:t>, 2007 CSC 14, [2007] 1 R.C.S. 591, par.</w:t>
      </w:r>
      <w:r w:rsidR="00FC4A5B" w:rsidRPr="00C7601B">
        <w:rPr>
          <w:rFonts w:cs="Times New Roman"/>
          <w:szCs w:val="24"/>
          <w:lang w:val="fr-CA"/>
        </w:rPr>
        <w:t xml:space="preserve"> </w:t>
      </w:r>
      <w:r w:rsidRPr="00C7601B">
        <w:rPr>
          <w:rFonts w:cs="Times New Roman"/>
          <w:szCs w:val="24"/>
          <w:lang w:val="fr-CA"/>
        </w:rPr>
        <w:t xml:space="preserve">112, la juge Abella; </w:t>
      </w:r>
      <w:r w:rsidRPr="00C7601B">
        <w:rPr>
          <w:rFonts w:cs="Times New Roman"/>
          <w:i/>
          <w:iCs/>
          <w:szCs w:val="24"/>
          <w:lang w:val="fr-CA"/>
        </w:rPr>
        <w:t>Toronto (Ville) c. S.C.F.P., section locale 79</w:t>
      </w:r>
      <w:r w:rsidRPr="00C7601B">
        <w:rPr>
          <w:rFonts w:cs="Times New Roman"/>
          <w:szCs w:val="24"/>
          <w:lang w:val="fr-CA"/>
        </w:rPr>
        <w:t>, 2003 CSC 63, [2003]</w:t>
      </w:r>
      <w:r w:rsidR="00FC4A5B" w:rsidRPr="00C7601B">
        <w:rPr>
          <w:rFonts w:cs="Times New Roman"/>
          <w:szCs w:val="24"/>
          <w:lang w:val="fr-CA"/>
        </w:rPr>
        <w:t xml:space="preserve"> </w:t>
      </w:r>
      <w:r w:rsidRPr="00C7601B">
        <w:rPr>
          <w:rFonts w:cs="Times New Roman"/>
          <w:szCs w:val="24"/>
          <w:lang w:val="fr-CA"/>
        </w:rPr>
        <w:t>3 R.C.S. 77, par.</w:t>
      </w:r>
      <w:r w:rsidR="00FC4A5B" w:rsidRPr="00C7601B">
        <w:rPr>
          <w:rFonts w:cs="Times New Roman"/>
          <w:szCs w:val="24"/>
          <w:lang w:val="fr-CA"/>
        </w:rPr>
        <w:t xml:space="preserve"> </w:t>
      </w:r>
      <w:r w:rsidRPr="00C7601B">
        <w:rPr>
          <w:rFonts w:cs="Times New Roman"/>
          <w:szCs w:val="24"/>
          <w:lang w:val="fr-CA"/>
        </w:rPr>
        <w:t xml:space="preserve">76, le juge </w:t>
      </w:r>
      <w:proofErr w:type="spellStart"/>
      <w:r w:rsidRPr="00C7601B">
        <w:rPr>
          <w:rFonts w:cs="Times New Roman"/>
          <w:szCs w:val="24"/>
          <w:lang w:val="fr-CA"/>
        </w:rPr>
        <w:t>LeBel</w:t>
      </w:r>
      <w:proofErr w:type="spellEnd"/>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 xml:space="preserve">En tant qu’organisme administratif couramment appelé à tirer de telles conclusions de fait, le Tribunal se trouve bien placé pour examiner des questions se rapportant à l’indemnité dont il </w:t>
      </w:r>
      <w:r w:rsidRPr="00C7601B">
        <w:rPr>
          <w:rFonts w:cs="Times New Roman"/>
          <w:szCs w:val="24"/>
          <w:lang w:val="fr-CA"/>
        </w:rPr>
        <w:lastRenderedPageBreak/>
        <w:t>convient d’ordonner le versement en application du par.</w:t>
      </w:r>
      <w:r w:rsidR="00FC4A5B" w:rsidRPr="00C7601B">
        <w:rPr>
          <w:rFonts w:cs="Times New Roman"/>
          <w:szCs w:val="24"/>
          <w:lang w:val="fr-CA"/>
        </w:rPr>
        <w:t xml:space="preserve"> </w:t>
      </w:r>
      <w:r w:rsidRPr="00C7601B">
        <w:rPr>
          <w:rFonts w:cs="Times New Roman"/>
          <w:szCs w:val="24"/>
          <w:lang w:val="fr-CA"/>
        </w:rPr>
        <w:t>53(2).</w:t>
      </w:r>
      <w:r w:rsidR="00FC4A5B" w:rsidRPr="00C7601B">
        <w:rPr>
          <w:rFonts w:cs="Times New Roman"/>
          <w:szCs w:val="24"/>
          <w:lang w:val="fr-CA"/>
        </w:rPr>
        <w:t xml:space="preserve"> </w:t>
      </w:r>
      <w:r w:rsidRPr="00C7601B">
        <w:rPr>
          <w:rFonts w:cs="Times New Roman"/>
          <w:szCs w:val="24"/>
          <w:lang w:val="fr-CA"/>
        </w:rPr>
        <w:t>De plus, on ne saurait affirmer que la décision d’un tribunal d’accorder ou non un type particulier d’indemnité, en l’occurrence des dépens, revêt une importance capitale pour le système juridique canadien dans son ensemble ni qu’elle est étrangère au domaine d’expertise du décideur.</w:t>
      </w:r>
      <w:r w:rsidR="00FC4A5B" w:rsidRPr="00C7601B">
        <w:rPr>
          <w:rFonts w:cs="Times New Roman"/>
          <w:szCs w:val="24"/>
          <w:lang w:val="fr-CA"/>
        </w:rPr>
        <w:t xml:space="preserve"> </w:t>
      </w:r>
      <w:r w:rsidRPr="00C7601B">
        <w:rPr>
          <w:rFonts w:cs="Times New Roman"/>
          <w:szCs w:val="24"/>
          <w:lang w:val="fr-CA"/>
        </w:rPr>
        <w:t>L’indemnisation intervient souvent dans des circonstances variées et en application de régimes multiples.</w:t>
      </w:r>
      <w:r w:rsidR="00FC4A5B" w:rsidRPr="00C7601B">
        <w:rPr>
          <w:rFonts w:cs="Times New Roman"/>
          <w:szCs w:val="24"/>
          <w:lang w:val="fr-CA"/>
        </w:rPr>
        <w:t xml:space="preserve"> </w:t>
      </w:r>
      <w:r w:rsidRPr="00C7601B">
        <w:rPr>
          <w:rFonts w:cs="Times New Roman"/>
          <w:szCs w:val="24"/>
          <w:lang w:val="fr-CA"/>
        </w:rPr>
        <w:t>On ne saurait dire non plus de la décision d’accorder ou non des dépens dans le cadre de cette indemnisation, ni de la détermination de leur montant, qu’elles mettraient en péril le système juridique, et ce, même si une juridiction de révision concluait que la décision est erronée.</w:t>
      </w:r>
      <w:r w:rsidR="00FC4A5B" w:rsidRPr="00C7601B">
        <w:rPr>
          <w:rFonts w:cs="Times New Roman"/>
          <w:szCs w:val="24"/>
          <w:lang w:val="fr-CA"/>
        </w:rPr>
        <w:t xml:space="preserve"> </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Assujettir l’octroi de dépens à la norme de la décision correcte irait à l’encontre de </w:t>
      </w:r>
      <w:proofErr w:type="spellStart"/>
      <w:r w:rsidRPr="00C7601B">
        <w:rPr>
          <w:rFonts w:cs="Times New Roman"/>
          <w:i/>
          <w:szCs w:val="24"/>
          <w:lang w:val="fr-CA"/>
        </w:rPr>
        <w:t>Dunsmuir</w:t>
      </w:r>
      <w:proofErr w:type="spellEnd"/>
      <w:r w:rsidRPr="00C7601B">
        <w:rPr>
          <w:rFonts w:cs="Times New Roman"/>
          <w:szCs w:val="24"/>
          <w:lang w:val="fr-CA"/>
        </w:rPr>
        <w:t xml:space="preserve"> et de notre récent arrêt </w:t>
      </w:r>
      <w:r w:rsidRPr="00C7601B">
        <w:rPr>
          <w:rFonts w:cs="Times New Roman"/>
          <w:i/>
          <w:szCs w:val="24"/>
          <w:lang w:val="fr-CA"/>
        </w:rPr>
        <w:t>Smith.</w:t>
      </w:r>
      <w:r w:rsidR="00FC4A5B" w:rsidRPr="00C7601B">
        <w:rPr>
          <w:rFonts w:cs="Times New Roman"/>
          <w:i/>
          <w:szCs w:val="24"/>
          <w:lang w:val="fr-CA"/>
        </w:rPr>
        <w:t xml:space="preserve"> </w:t>
      </w:r>
      <w:r w:rsidRPr="00C7601B">
        <w:rPr>
          <w:rFonts w:cs="Times New Roman"/>
          <w:szCs w:val="24"/>
          <w:lang w:val="fr-CA"/>
        </w:rPr>
        <w:t>Il convient de faire observer que le contexte factuel de cette dernière affaire était à la fois complexe et considérable.</w:t>
      </w:r>
      <w:r w:rsidR="00FC4A5B" w:rsidRPr="00C7601B">
        <w:rPr>
          <w:rFonts w:cs="Times New Roman"/>
          <w:szCs w:val="24"/>
          <w:lang w:val="fr-CA"/>
        </w:rPr>
        <w:t xml:space="preserve"> </w:t>
      </w:r>
      <w:r w:rsidRPr="00C7601B">
        <w:rPr>
          <w:rFonts w:cs="Times New Roman"/>
          <w:szCs w:val="24"/>
          <w:lang w:val="fr-CA"/>
        </w:rPr>
        <w:t>La Cour devait en effet décider si le tribunal administratif investi du pouvoir de trancher tout litige consécutif à l’expropriation forcée d’un terrain et d’indemniser l’exproprié de « tous les frais, notamment de procédure et d’évaluation</w:t>
      </w:r>
      <w:r w:rsidR="00FC4A5B" w:rsidRPr="00C7601B">
        <w:rPr>
          <w:rFonts w:cs="Times New Roman"/>
          <w:szCs w:val="24"/>
          <w:lang w:val="fr-CA"/>
        </w:rPr>
        <w:t xml:space="preserve"> </w:t>
      </w:r>
      <w:r w:rsidRPr="00C7601B">
        <w:rPr>
          <w:rFonts w:cs="Times New Roman"/>
          <w:szCs w:val="24"/>
          <w:lang w:val="fr-CA"/>
        </w:rPr>
        <w:t>» entraînés par l’exercice du recours, pouvait accorder les frais et dépens afférents aux instances connexes qui, à son avis, avaient été nécessaires à l’obtention de l’indemnité d’expropriation.</w:t>
      </w:r>
      <w:r w:rsidR="00FC4A5B" w:rsidRPr="00C7601B">
        <w:rPr>
          <w:rFonts w:cs="Times New Roman"/>
          <w:szCs w:val="24"/>
          <w:lang w:val="fr-CA"/>
        </w:rPr>
        <w:t xml:space="preserve"> </w:t>
      </w:r>
      <w:r w:rsidRPr="00C7601B">
        <w:rPr>
          <w:rFonts w:cs="Times New Roman"/>
          <w:szCs w:val="24"/>
          <w:lang w:val="fr-CA"/>
        </w:rPr>
        <w:t>Au nom des juges majoritaires de la Cour, le juge Fish conclut que la décision relative aux frais et dépens est assujettie à la norme de la décision raisonnable étant donné que le tribunal interprète une disposition de sa loi constitutive portant sur l’adjudication des dépens et que «</w:t>
      </w:r>
      <w:r w:rsidR="00FC4A5B" w:rsidRPr="00C7601B">
        <w:rPr>
          <w:rFonts w:cs="Times New Roman"/>
          <w:szCs w:val="24"/>
          <w:lang w:val="fr-CA"/>
        </w:rPr>
        <w:t xml:space="preserve"> </w:t>
      </w:r>
      <w:r w:rsidRPr="00C7601B">
        <w:rPr>
          <w:rFonts w:cs="Times New Roman"/>
          <w:szCs w:val="24"/>
          <w:lang w:val="fr-CA"/>
        </w:rPr>
        <w:t xml:space="preserve">[l]es décisions à cet égard sont invariablement tributaires des faits et ont en règle générale un caractère </w:t>
      </w:r>
      <w:r w:rsidRPr="00C7601B">
        <w:rPr>
          <w:rFonts w:cs="Times New Roman"/>
          <w:szCs w:val="24"/>
          <w:lang w:val="fr-CA"/>
        </w:rPr>
        <w:lastRenderedPageBreak/>
        <w:t>discrétionnaire</w:t>
      </w:r>
      <w:r w:rsidR="00FC4A5B" w:rsidRPr="00C7601B">
        <w:rPr>
          <w:rFonts w:cs="Times New Roman"/>
          <w:szCs w:val="24"/>
          <w:lang w:val="fr-CA"/>
        </w:rPr>
        <w:t xml:space="preserve"> </w:t>
      </w:r>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30).</w:t>
      </w:r>
      <w:r w:rsidR="00FC4A5B" w:rsidRPr="00C7601B">
        <w:rPr>
          <w:rFonts w:cs="Times New Roman"/>
          <w:szCs w:val="24"/>
          <w:lang w:val="fr-CA"/>
        </w:rPr>
        <w:t xml:space="preserve"> </w:t>
      </w:r>
      <w:r w:rsidRPr="00C7601B">
        <w:rPr>
          <w:rFonts w:cs="Times New Roman"/>
          <w:szCs w:val="24"/>
          <w:lang w:val="fr-CA"/>
        </w:rPr>
        <w:t>À son avis, le texte de la loi traduit la volonté du législateur de confier à ce seul tribunal le soin de déterminer la nature et le montant des frais qu’il convient d’accorder, un processus qui soulève par ailleurs des questions qui ne se prêtent pas aisément à la dissociation du droit et des faits (par.</w:t>
      </w:r>
      <w:r w:rsidR="00FC4A5B" w:rsidRPr="00C7601B">
        <w:rPr>
          <w:rFonts w:cs="Times New Roman"/>
          <w:szCs w:val="24"/>
          <w:lang w:val="fr-CA"/>
        </w:rPr>
        <w:t xml:space="preserve"> </w:t>
      </w:r>
      <w:r w:rsidRPr="00C7601B">
        <w:rPr>
          <w:rFonts w:cs="Times New Roman"/>
          <w:szCs w:val="24"/>
          <w:lang w:val="fr-CA"/>
        </w:rPr>
        <w:t>30</w:t>
      </w:r>
      <w:r w:rsidR="00C7601B" w:rsidRPr="00C7601B">
        <w:rPr>
          <w:rFonts w:cs="Times New Roman"/>
          <w:szCs w:val="24"/>
          <w:lang w:val="fr-CA"/>
        </w:rPr>
        <w:t>-</w:t>
      </w:r>
      <w:r w:rsidRPr="00C7601B">
        <w:rPr>
          <w:rFonts w:cs="Times New Roman"/>
          <w:szCs w:val="24"/>
          <w:lang w:val="fr-CA"/>
        </w:rPr>
        <w:t>32).</w:t>
      </w:r>
      <w:r w:rsidR="00FC4A5B" w:rsidRPr="00C7601B">
        <w:rPr>
          <w:rFonts w:cs="Times New Roman"/>
          <w:szCs w:val="24"/>
          <w:lang w:val="fr-CA"/>
        </w:rPr>
        <w:t xml:space="preserve"> </w:t>
      </w:r>
      <w:r w:rsidRPr="00C7601B">
        <w:rPr>
          <w:rFonts w:cs="Times New Roman"/>
          <w:szCs w:val="24"/>
          <w:lang w:val="fr-CA"/>
        </w:rPr>
        <w:t>Tout comme ce décideur administratif, le tribunal fédéral en cause dans la présente affaire a interprété une disposition de sa loi constitutive qui requérait un examen approfondi des faits et qui lui laissait une certaine marge d’appréciation.</w:t>
      </w:r>
      <w:r w:rsidR="00FC4A5B" w:rsidRPr="00C7601B">
        <w:rPr>
          <w:rFonts w:cs="Times New Roman"/>
          <w:szCs w:val="24"/>
          <w:lang w:val="fr-CA"/>
        </w:rPr>
        <w:t xml:space="preserve"> </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En résumé, la question de savoir si le Tribunal peut adjuger des dépens dans le cadre de l’indemnisation qu’il ordonne ne représente ni une question de compétence ni une question de droit d’une importance capitale pour le système juridique dans son ensemble, étrangère au domaine d’expertise du Tribunal au sens de l’arrêt </w:t>
      </w:r>
      <w:proofErr w:type="spellStart"/>
      <w:r w:rsidRPr="00C7601B">
        <w:rPr>
          <w:rFonts w:cs="Times New Roman"/>
          <w:i/>
          <w:szCs w:val="24"/>
          <w:lang w:val="fr-CA"/>
        </w:rPr>
        <w:t>Dunsmuir</w:t>
      </w:r>
      <w:proofErr w:type="spellEnd"/>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La décision du Tribunal d’adjuger des dépens à la plaignante, après que celle</w:t>
      </w:r>
      <w:r w:rsidR="00C7601B" w:rsidRPr="00C7601B">
        <w:rPr>
          <w:rFonts w:cs="Times New Roman"/>
          <w:szCs w:val="24"/>
          <w:lang w:val="fr-CA"/>
        </w:rPr>
        <w:t>-</w:t>
      </w:r>
      <w:r w:rsidRPr="00C7601B">
        <w:rPr>
          <w:rFonts w:cs="Times New Roman"/>
          <w:szCs w:val="24"/>
          <w:lang w:val="fr-CA"/>
        </w:rPr>
        <w:t xml:space="preserve">ci eut obtenu gain de cause, est par conséquent susceptible de contrôle judiciaire au regard de la norme de la décision raisonnable. </w:t>
      </w:r>
    </w:p>
    <w:p w:rsidR="00956B54" w:rsidRPr="00C7601B" w:rsidRDefault="00956B54" w:rsidP="007C46DA">
      <w:pPr>
        <w:pStyle w:val="TitleTitre-AltT"/>
        <w:tabs>
          <w:tab w:val="clear" w:pos="360"/>
          <w:tab w:val="left" w:pos="540"/>
        </w:tabs>
        <w:ind w:left="540" w:hanging="540"/>
        <w:rPr>
          <w:rFonts w:cs="Times New Roman"/>
          <w:szCs w:val="24"/>
          <w:lang w:val="fr-CA"/>
        </w:rPr>
      </w:pPr>
      <w:r w:rsidRPr="00C7601B">
        <w:rPr>
          <w:rFonts w:cs="Times New Roman"/>
          <w:szCs w:val="24"/>
          <w:lang w:val="fr-CA"/>
        </w:rPr>
        <w:t>C.</w:t>
      </w:r>
      <w:r w:rsidRPr="00C7601B">
        <w:rPr>
          <w:rFonts w:cs="Times New Roman"/>
          <w:szCs w:val="24"/>
          <w:lang w:val="fr-CA"/>
        </w:rPr>
        <w:tab/>
      </w:r>
      <w:r w:rsidRPr="00C7601B">
        <w:rPr>
          <w:rFonts w:cs="Times New Roman"/>
          <w:i/>
          <w:szCs w:val="24"/>
          <w:lang w:val="fr-CA"/>
        </w:rPr>
        <w:t>Caractère raisonnable de la décision</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Dans l’arrêt </w:t>
      </w:r>
      <w:proofErr w:type="spellStart"/>
      <w:r w:rsidRPr="00C7601B">
        <w:rPr>
          <w:rFonts w:cs="Times New Roman"/>
          <w:i/>
          <w:szCs w:val="24"/>
          <w:lang w:val="fr-CA"/>
        </w:rPr>
        <w:t>Dunsmuir</w:t>
      </w:r>
      <w:proofErr w:type="spellEnd"/>
      <w:r w:rsidRPr="00C7601B">
        <w:rPr>
          <w:rFonts w:cs="Times New Roman"/>
          <w:szCs w:val="24"/>
          <w:lang w:val="fr-CA"/>
        </w:rPr>
        <w:t>, les juges majoritaires définissent comme suit la norme du caractère raisonnable</w:t>
      </w:r>
      <w:r w:rsidR="00FC4A5B" w:rsidRPr="00C7601B">
        <w:rPr>
          <w:rFonts w:cs="Times New Roman"/>
          <w:szCs w:val="24"/>
          <w:lang w:val="fr-CA"/>
        </w:rPr>
        <w:t xml:space="preserve"> </w:t>
      </w:r>
      <w:r w:rsidRPr="00C7601B">
        <w:rPr>
          <w:rFonts w:cs="Times New Roman"/>
          <w:szCs w:val="24"/>
          <w:lang w:val="fr-CA"/>
        </w:rPr>
        <w:t xml:space="preserve">: </w:t>
      </w:r>
    </w:p>
    <w:p w:rsidR="00956B54" w:rsidRPr="00C7601B" w:rsidRDefault="00956B54" w:rsidP="007C46DA">
      <w:pPr>
        <w:pStyle w:val="Citation-AltC"/>
        <w:tabs>
          <w:tab w:val="left" w:pos="1620"/>
        </w:tabs>
        <w:ind w:hanging="1166"/>
        <w:rPr>
          <w:rFonts w:eastAsiaTheme="minorEastAsia"/>
          <w:szCs w:val="24"/>
          <w:lang w:val="fr-CA" w:eastAsia="en-US" w:bidi="en-US"/>
        </w:rPr>
      </w:pPr>
      <w:r w:rsidRPr="00C7601B">
        <w:rPr>
          <w:szCs w:val="24"/>
          <w:lang w:val="fr-CA"/>
        </w:rPr>
        <w:tab/>
      </w:r>
      <w:r w:rsidR="007C46DA" w:rsidRPr="00C7601B">
        <w:rPr>
          <w:szCs w:val="24"/>
          <w:lang w:val="fr-CA"/>
        </w:rPr>
        <w:tab/>
      </w:r>
      <w:r w:rsidRPr="00C7601B">
        <w:rPr>
          <w:szCs w:val="24"/>
          <w:lang w:val="fr-CA"/>
        </w:rPr>
        <w:t xml:space="preserve">La norme déférente du caractère raisonnable procède du principe à l’origine des deux normes antérieures de </w:t>
      </w:r>
      <w:proofErr w:type="spellStart"/>
      <w:r w:rsidRPr="00C7601B">
        <w:rPr>
          <w:szCs w:val="24"/>
          <w:lang w:val="fr-CA"/>
        </w:rPr>
        <w:t>raisonnabilité</w:t>
      </w:r>
      <w:proofErr w:type="spellEnd"/>
      <w:r w:rsidR="00FC4A5B" w:rsidRPr="00C7601B">
        <w:rPr>
          <w:szCs w:val="24"/>
          <w:lang w:val="fr-CA"/>
        </w:rPr>
        <w:t xml:space="preserve"> </w:t>
      </w:r>
      <w:r w:rsidRPr="00C7601B">
        <w:rPr>
          <w:szCs w:val="24"/>
          <w:lang w:val="fr-CA"/>
        </w:rPr>
        <w:t xml:space="preserve">: certaines questions soumises aux tribunaux administratifs n’appellent pas une seule solution précise, mais peuvent plutôt donner lieu à un certain nombre de </w:t>
      </w:r>
      <w:r w:rsidRPr="00C7601B">
        <w:rPr>
          <w:szCs w:val="24"/>
          <w:lang w:val="fr-CA"/>
        </w:rPr>
        <w:lastRenderedPageBreak/>
        <w:t>conclusions raisonnables.</w:t>
      </w:r>
      <w:r w:rsidR="00FC4A5B" w:rsidRPr="00C7601B">
        <w:rPr>
          <w:szCs w:val="24"/>
          <w:lang w:val="fr-CA"/>
        </w:rPr>
        <w:t xml:space="preserve"> </w:t>
      </w:r>
      <w:r w:rsidRPr="00C7601B">
        <w:rPr>
          <w:szCs w:val="24"/>
          <w:lang w:val="fr-CA"/>
        </w:rPr>
        <w:t>Il est loisible au tribunal administratif d’opter pour l’une ou l’autre des différentes solutions rationnelles acceptables.</w:t>
      </w:r>
      <w:r w:rsidR="00FC4A5B" w:rsidRPr="00C7601B">
        <w:rPr>
          <w:szCs w:val="24"/>
          <w:lang w:val="fr-CA"/>
        </w:rPr>
        <w:t xml:space="preserve"> </w:t>
      </w:r>
      <w:r w:rsidRPr="00C7601B">
        <w:rPr>
          <w:szCs w:val="24"/>
          <w:lang w:val="fr-CA"/>
        </w:rPr>
        <w:t xml:space="preserve">La cour de révision se demande dès lors si la décision et sa justification possèdent les attributs de la </w:t>
      </w:r>
      <w:proofErr w:type="spellStart"/>
      <w:r w:rsidRPr="00C7601B">
        <w:rPr>
          <w:szCs w:val="24"/>
          <w:lang w:val="fr-CA"/>
        </w:rPr>
        <w:t>raisonnabilité</w:t>
      </w:r>
      <w:proofErr w:type="spellEnd"/>
      <w:r w:rsidRPr="00C7601B">
        <w:rPr>
          <w:szCs w:val="24"/>
          <w:lang w:val="fr-CA"/>
        </w:rPr>
        <w:t>.</w:t>
      </w:r>
      <w:r w:rsidR="00FC4A5B" w:rsidRPr="00C7601B">
        <w:rPr>
          <w:szCs w:val="24"/>
          <w:lang w:val="fr-CA"/>
        </w:rPr>
        <w:t xml:space="preserve"> </w:t>
      </w:r>
      <w:r w:rsidRPr="00C7601B">
        <w:rPr>
          <w:szCs w:val="24"/>
          <w:lang w:val="fr-CA"/>
        </w:rPr>
        <w:t>Le caractère raisonnable tient principalement à la justification de la décision, à la transparence et à l’intelligibilité du processus décisionnel, ainsi qu’à l’appartenance de la décision aux issues possibles acceptables pouvant se justifier au regard des faits et du droit</w:t>
      </w:r>
      <w:r w:rsidRPr="00C7601B">
        <w:rPr>
          <w:rFonts w:eastAsiaTheme="minorEastAsia"/>
          <w:szCs w:val="24"/>
          <w:lang w:val="fr-CA" w:eastAsia="en-US" w:bidi="en-US"/>
        </w:rPr>
        <w:t>.</w:t>
      </w:r>
      <w:r w:rsidR="00FC4A5B" w:rsidRPr="00C7601B">
        <w:rPr>
          <w:rFonts w:eastAsiaTheme="minorEastAsia"/>
          <w:szCs w:val="24"/>
          <w:lang w:val="fr-CA" w:eastAsia="en-US" w:bidi="en-US"/>
        </w:rPr>
        <w:t xml:space="preserve"> </w:t>
      </w:r>
      <w:r w:rsidRPr="00C7601B">
        <w:rPr>
          <w:rFonts w:eastAsiaTheme="minorEastAsia"/>
          <w:szCs w:val="24"/>
          <w:lang w:val="fr-CA" w:eastAsia="en-US" w:bidi="en-US"/>
        </w:rPr>
        <w:t>[</w:t>
      </w:r>
      <w:proofErr w:type="gramStart"/>
      <w:r w:rsidRPr="00C7601B">
        <w:rPr>
          <w:rFonts w:eastAsiaTheme="minorEastAsia"/>
          <w:szCs w:val="24"/>
          <w:lang w:val="fr-CA" w:eastAsia="en-US" w:bidi="en-US"/>
        </w:rPr>
        <w:t>par</w:t>
      </w:r>
      <w:proofErr w:type="gramEnd"/>
      <w:r w:rsidRPr="00C7601B">
        <w:rPr>
          <w:rFonts w:eastAsiaTheme="minorEastAsia"/>
          <w:szCs w:val="24"/>
          <w:lang w:val="fr-CA" w:eastAsia="en-US" w:bidi="en-US"/>
        </w:rPr>
        <w:t>.</w:t>
      </w:r>
      <w:r w:rsidR="00C7601B" w:rsidRPr="00C7601B">
        <w:rPr>
          <w:rFonts w:eastAsiaTheme="minorEastAsia"/>
          <w:szCs w:val="24"/>
          <w:lang w:val="fr-CA" w:eastAsia="en-US" w:bidi="en-US"/>
        </w:rPr>
        <w:t> </w:t>
      </w:r>
      <w:r w:rsidRPr="00C7601B">
        <w:rPr>
          <w:rFonts w:eastAsiaTheme="minorEastAsia"/>
          <w:szCs w:val="24"/>
          <w:lang w:val="fr-CA" w:eastAsia="en-US" w:bidi="en-US"/>
        </w:rPr>
        <w:t xml:space="preserve">47] </w:t>
      </w:r>
    </w:p>
    <w:p w:rsidR="00956B54" w:rsidRPr="00C7601B" w:rsidRDefault="00956B54" w:rsidP="00956B54">
      <w:pPr>
        <w:pStyle w:val="ParaNoNdepar-AltN"/>
        <w:rPr>
          <w:rFonts w:cs="Times New Roman"/>
          <w:szCs w:val="24"/>
          <w:lang w:val="fr-CA"/>
        </w:rPr>
      </w:pPr>
      <w:r w:rsidRPr="00C7601B">
        <w:rPr>
          <w:rFonts w:cs="Times New Roman"/>
          <w:szCs w:val="24"/>
          <w:lang w:val="fr-CA"/>
        </w:rPr>
        <w:t>La norme du caractère raisonnable constitue donc une norme déférente qui se veut respectueuse de l’expérience et de l’expertise du décideur administratif.</w:t>
      </w:r>
      <w:r w:rsidR="00FC4A5B" w:rsidRPr="00C7601B">
        <w:rPr>
          <w:rFonts w:cs="Times New Roman"/>
          <w:szCs w:val="24"/>
          <w:lang w:val="fr-CA"/>
        </w:rPr>
        <w:t xml:space="preserve"> </w:t>
      </w:r>
      <w:r w:rsidRPr="00C7601B">
        <w:rPr>
          <w:rFonts w:cs="Times New Roman"/>
          <w:szCs w:val="24"/>
          <w:lang w:val="fr-CA"/>
        </w:rPr>
        <w:t>La notion de déférence joue un rôle fondamental en matière de contrôle judiciaire, comme le con</w:t>
      </w:r>
      <w:r w:rsidR="00B415C7">
        <w:rPr>
          <w:rFonts w:cs="Times New Roman"/>
          <w:szCs w:val="24"/>
          <w:lang w:val="fr-CA"/>
        </w:rPr>
        <w:t>c</w:t>
      </w:r>
      <w:r w:rsidRPr="00C7601B">
        <w:rPr>
          <w:rFonts w:cs="Times New Roman"/>
          <w:szCs w:val="24"/>
          <w:lang w:val="fr-CA"/>
        </w:rPr>
        <w:t xml:space="preserve">lut la Cour dans l’arrêt charnière </w:t>
      </w:r>
      <w:r w:rsidRPr="00C7601B">
        <w:rPr>
          <w:rFonts w:cs="Times New Roman"/>
          <w:i/>
          <w:szCs w:val="24"/>
          <w:lang w:val="fr-CA"/>
        </w:rPr>
        <w:t>Syndicat canadien de la Fonction publique, section locale 963 c. Société des alcools du Nouveau</w:t>
      </w:r>
      <w:r w:rsidR="00C7601B" w:rsidRPr="00C7601B">
        <w:rPr>
          <w:rFonts w:cs="Times New Roman"/>
          <w:i/>
          <w:szCs w:val="24"/>
          <w:lang w:val="fr-CA"/>
        </w:rPr>
        <w:t>-</w:t>
      </w:r>
      <w:r w:rsidRPr="00C7601B">
        <w:rPr>
          <w:rFonts w:cs="Times New Roman"/>
          <w:i/>
          <w:szCs w:val="24"/>
          <w:lang w:val="fr-CA"/>
        </w:rPr>
        <w:t>Brunswick</w:t>
      </w:r>
      <w:r w:rsidRPr="00C7601B">
        <w:rPr>
          <w:rFonts w:cs="Times New Roman"/>
          <w:szCs w:val="24"/>
          <w:lang w:val="fr-CA"/>
        </w:rPr>
        <w:t>, [1979] 2 R.C.S. 227.</w:t>
      </w:r>
      <w:r w:rsidR="00FC4A5B" w:rsidRPr="00C7601B">
        <w:rPr>
          <w:rFonts w:cs="Times New Roman"/>
          <w:szCs w:val="24"/>
          <w:lang w:val="fr-CA"/>
        </w:rPr>
        <w:t xml:space="preserve"> </w:t>
      </w:r>
      <w:r w:rsidRPr="00C7601B">
        <w:rPr>
          <w:rFonts w:cs="Times New Roman"/>
          <w:szCs w:val="24"/>
          <w:lang w:val="fr-CA"/>
        </w:rPr>
        <w:t>La déférence envers un tribunal administratif tient compte de la possibilité de plusieurs interprétations concurrentes.</w:t>
      </w:r>
      <w:r w:rsidR="00FC4A5B" w:rsidRPr="00C7601B">
        <w:rPr>
          <w:rFonts w:cs="Times New Roman"/>
          <w:szCs w:val="24"/>
          <w:lang w:val="fr-CA"/>
        </w:rPr>
        <w:t xml:space="preserve"> </w:t>
      </w:r>
      <w:r w:rsidRPr="00C7601B">
        <w:rPr>
          <w:rFonts w:cs="Times New Roman"/>
          <w:szCs w:val="24"/>
          <w:lang w:val="fr-CA"/>
        </w:rPr>
        <w:t>Cette prise en compte permet de se demander qui du tribunal administratif ou de la cour de justice est le mieux placé pour faire ce choix (</w:t>
      </w:r>
      <w:proofErr w:type="spellStart"/>
      <w:r w:rsidRPr="00C7601B">
        <w:rPr>
          <w:rFonts w:cs="Times New Roman"/>
          <w:szCs w:val="24"/>
          <w:lang w:val="fr-CA"/>
        </w:rPr>
        <w:t>Macklin</w:t>
      </w:r>
      <w:proofErr w:type="spellEnd"/>
      <w:r w:rsidRPr="00C7601B">
        <w:rPr>
          <w:rFonts w:cs="Times New Roman"/>
          <w:szCs w:val="24"/>
          <w:lang w:val="fr-CA"/>
        </w:rPr>
        <w:t>, p.</w:t>
      </w:r>
      <w:r w:rsidR="00C7601B" w:rsidRPr="00C7601B">
        <w:rPr>
          <w:rFonts w:cs="Times New Roman"/>
          <w:szCs w:val="24"/>
          <w:lang w:val="fr-CA"/>
        </w:rPr>
        <w:t> </w:t>
      </w:r>
      <w:r w:rsidRPr="00C7601B">
        <w:rPr>
          <w:rFonts w:cs="Times New Roman"/>
          <w:szCs w:val="24"/>
          <w:lang w:val="fr-CA"/>
        </w:rPr>
        <w:t>205).</w:t>
      </w:r>
    </w:p>
    <w:p w:rsidR="00956B54" w:rsidRPr="00C7601B" w:rsidRDefault="00956B54" w:rsidP="00956B54">
      <w:pPr>
        <w:pStyle w:val="ParaNoNdepar-AltN"/>
        <w:rPr>
          <w:rFonts w:cs="Times New Roman"/>
          <w:szCs w:val="24"/>
          <w:lang w:val="fr-CA"/>
        </w:rPr>
      </w:pPr>
      <w:r w:rsidRPr="00C7601B">
        <w:rPr>
          <w:rFonts w:cs="Times New Roman"/>
          <w:szCs w:val="24"/>
          <w:lang w:val="fr-CA"/>
        </w:rPr>
        <w:t>La notion de déférence permet également de distinguer le contrôle judiciaire de l’appel.</w:t>
      </w:r>
      <w:r w:rsidR="00FC4A5B" w:rsidRPr="00C7601B">
        <w:rPr>
          <w:rFonts w:cs="Times New Roman"/>
          <w:szCs w:val="24"/>
          <w:lang w:val="fr-CA"/>
        </w:rPr>
        <w:t xml:space="preserve"> </w:t>
      </w:r>
      <w:r w:rsidRPr="00C7601B">
        <w:rPr>
          <w:rFonts w:cs="Times New Roman"/>
          <w:szCs w:val="24"/>
          <w:lang w:val="fr-CA"/>
        </w:rPr>
        <w:t>Bien que les deux tiennent compte du principe de déférence, il faut se garder de les confondre.</w:t>
      </w:r>
      <w:r w:rsidR="00FC4A5B" w:rsidRPr="00C7601B">
        <w:rPr>
          <w:rFonts w:cs="Times New Roman"/>
          <w:szCs w:val="24"/>
          <w:lang w:val="fr-CA"/>
        </w:rPr>
        <w:t xml:space="preserve"> </w:t>
      </w:r>
      <w:r w:rsidRPr="00C7601B">
        <w:rPr>
          <w:rFonts w:cs="Times New Roman"/>
          <w:szCs w:val="24"/>
          <w:lang w:val="fr-CA"/>
        </w:rPr>
        <w:t>Dans le cas du contrôle judiciaire, la déférence peut protéger le décideur administratif d’une immixtion judiciaire trop poussée, même à l’égard de certaines questions de droit dès lors que celles</w:t>
      </w:r>
      <w:r w:rsidR="00C7601B" w:rsidRPr="00C7601B">
        <w:rPr>
          <w:rFonts w:cs="Times New Roman"/>
          <w:szCs w:val="24"/>
          <w:lang w:val="fr-CA"/>
        </w:rPr>
        <w:t>-</w:t>
      </w:r>
      <w:r w:rsidRPr="00C7601B">
        <w:rPr>
          <w:rFonts w:cs="Times New Roman"/>
          <w:szCs w:val="24"/>
          <w:lang w:val="fr-CA"/>
        </w:rPr>
        <w:t xml:space="preserve">ci touchent </w:t>
      </w:r>
      <w:r w:rsidRPr="00C7601B">
        <w:rPr>
          <w:rFonts w:cs="Times New Roman"/>
          <w:spacing w:val="-3"/>
          <w:szCs w:val="24"/>
          <w:lang w:val="fr-CA"/>
        </w:rPr>
        <w:t>au cœur même du mandat et du domaine d’expertise du décideur.</w:t>
      </w:r>
      <w:r w:rsidR="00FC4A5B" w:rsidRPr="00C7601B">
        <w:rPr>
          <w:rFonts w:cs="Times New Roman"/>
          <w:spacing w:val="-3"/>
          <w:szCs w:val="24"/>
          <w:lang w:val="fr-CA"/>
        </w:rPr>
        <w:t xml:space="preserve"> </w:t>
      </w:r>
      <w:r w:rsidRPr="00C7601B">
        <w:rPr>
          <w:rFonts w:cs="Times New Roman"/>
          <w:szCs w:val="24"/>
          <w:lang w:val="fr-CA"/>
        </w:rPr>
        <w:t xml:space="preserve">En pareil cas, la déférence a pour effet de protéger toute une gamme d’interprétations raisonnables possibles de sa loi </w:t>
      </w:r>
      <w:r w:rsidRPr="00C7601B">
        <w:rPr>
          <w:rFonts w:cs="Times New Roman"/>
          <w:szCs w:val="24"/>
          <w:lang w:val="fr-CA"/>
        </w:rPr>
        <w:lastRenderedPageBreak/>
        <w:t>constitutive par le tribunal (</w:t>
      </w:r>
      <w:r w:rsidR="00B415C7">
        <w:rPr>
          <w:rFonts w:cs="Times New Roman"/>
          <w:szCs w:val="24"/>
          <w:lang w:val="fr-CA"/>
        </w:rPr>
        <w:t xml:space="preserve">voir </w:t>
      </w:r>
      <w:r w:rsidRPr="00C7601B">
        <w:rPr>
          <w:rFonts w:cs="Times New Roman"/>
          <w:szCs w:val="24"/>
          <w:lang w:val="fr-CA"/>
        </w:rPr>
        <w:t>R.</w:t>
      </w:r>
      <w:r w:rsidR="00C7601B" w:rsidRPr="00C7601B">
        <w:rPr>
          <w:rFonts w:cs="Times New Roman"/>
          <w:szCs w:val="24"/>
          <w:lang w:val="fr-CA"/>
        </w:rPr>
        <w:t> </w:t>
      </w:r>
      <w:r w:rsidRPr="00C7601B">
        <w:rPr>
          <w:rFonts w:cs="Times New Roman"/>
          <w:szCs w:val="24"/>
          <w:lang w:val="fr-CA"/>
        </w:rPr>
        <w:t>E.</w:t>
      </w:r>
      <w:r w:rsidR="00FC4A5B" w:rsidRPr="00C7601B">
        <w:rPr>
          <w:rFonts w:cs="Times New Roman"/>
          <w:szCs w:val="24"/>
          <w:lang w:val="fr-CA"/>
        </w:rPr>
        <w:t xml:space="preserve"> </w:t>
      </w:r>
      <w:r w:rsidRPr="00C7601B">
        <w:rPr>
          <w:rFonts w:cs="Times New Roman"/>
          <w:szCs w:val="24"/>
          <w:lang w:val="fr-CA"/>
        </w:rPr>
        <w:t>Hawkins, «</w:t>
      </w:r>
      <w:r w:rsidR="00FC4A5B" w:rsidRPr="00C7601B">
        <w:rPr>
          <w:rFonts w:cs="Times New Roman"/>
          <w:szCs w:val="24"/>
          <w:lang w:val="fr-CA"/>
        </w:rPr>
        <w:t xml:space="preserve"> </w:t>
      </w:r>
      <w:proofErr w:type="spellStart"/>
      <w:r w:rsidRPr="00C7601B">
        <w:rPr>
          <w:rFonts w:cs="Times New Roman"/>
          <w:szCs w:val="24"/>
          <w:lang w:val="fr-CA"/>
        </w:rPr>
        <w:t>Whither</w:t>
      </w:r>
      <w:proofErr w:type="spellEnd"/>
      <w:r w:rsidRPr="00C7601B">
        <w:rPr>
          <w:rFonts w:cs="Times New Roman"/>
          <w:szCs w:val="24"/>
          <w:lang w:val="fr-CA"/>
        </w:rPr>
        <w:t xml:space="preserve"> </w:t>
      </w:r>
      <w:proofErr w:type="spellStart"/>
      <w:r w:rsidRPr="00C7601B">
        <w:rPr>
          <w:rFonts w:cs="Times New Roman"/>
          <w:szCs w:val="24"/>
          <w:lang w:val="fr-CA"/>
        </w:rPr>
        <w:t>Judicial</w:t>
      </w:r>
      <w:proofErr w:type="spellEnd"/>
      <w:r w:rsidRPr="00C7601B">
        <w:rPr>
          <w:rFonts w:cs="Times New Roman"/>
          <w:szCs w:val="24"/>
          <w:lang w:val="fr-CA"/>
        </w:rPr>
        <w:t xml:space="preserve"> </w:t>
      </w:r>
      <w:proofErr w:type="spellStart"/>
      <w:r w:rsidRPr="00C7601B">
        <w:rPr>
          <w:rFonts w:cs="Times New Roman"/>
          <w:szCs w:val="24"/>
          <w:lang w:val="fr-CA"/>
        </w:rPr>
        <w:t>Review</w:t>
      </w:r>
      <w:proofErr w:type="spellEnd"/>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 xml:space="preserve">» (2010), 88 </w:t>
      </w:r>
      <w:r w:rsidRPr="00C7601B">
        <w:rPr>
          <w:rFonts w:cs="Times New Roman"/>
          <w:i/>
          <w:szCs w:val="24"/>
          <w:lang w:val="fr-CA"/>
        </w:rPr>
        <w:t xml:space="preserve">R. du B. </w:t>
      </w:r>
      <w:proofErr w:type="spellStart"/>
      <w:r w:rsidRPr="00C7601B">
        <w:rPr>
          <w:rFonts w:cs="Times New Roman"/>
          <w:i/>
          <w:szCs w:val="24"/>
          <w:lang w:val="fr-CA"/>
        </w:rPr>
        <w:t>can</w:t>
      </w:r>
      <w:proofErr w:type="spellEnd"/>
      <w:r w:rsidRPr="00C7601B">
        <w:rPr>
          <w:rFonts w:cs="Times New Roman"/>
          <w:i/>
          <w:szCs w:val="24"/>
          <w:lang w:val="fr-CA"/>
        </w:rPr>
        <w:t>.</w:t>
      </w:r>
      <w:r w:rsidRPr="00C7601B">
        <w:rPr>
          <w:rFonts w:cs="Times New Roman"/>
          <w:szCs w:val="24"/>
          <w:lang w:val="fr-CA"/>
        </w:rPr>
        <w:t xml:space="preserve"> 603). </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En revanche, suivant les principes régissant l’appel qu’a posés l’arrêt </w:t>
      </w:r>
      <w:proofErr w:type="spellStart"/>
      <w:r w:rsidRPr="00C7601B">
        <w:rPr>
          <w:rFonts w:cs="Times New Roman"/>
          <w:i/>
          <w:szCs w:val="24"/>
          <w:lang w:val="fr-CA"/>
        </w:rPr>
        <w:t>Housen</w:t>
      </w:r>
      <w:proofErr w:type="spellEnd"/>
      <w:r w:rsidRPr="00C7601B">
        <w:rPr>
          <w:rFonts w:cs="Times New Roman"/>
          <w:i/>
          <w:szCs w:val="24"/>
          <w:lang w:val="fr-CA"/>
        </w:rPr>
        <w:t xml:space="preserve"> c. </w:t>
      </w:r>
      <w:proofErr w:type="spellStart"/>
      <w:r w:rsidRPr="00C7601B">
        <w:rPr>
          <w:rFonts w:cs="Times New Roman"/>
          <w:i/>
          <w:szCs w:val="24"/>
          <w:lang w:val="fr-CA"/>
        </w:rPr>
        <w:t>Nikolaisen</w:t>
      </w:r>
      <w:proofErr w:type="spellEnd"/>
      <w:r w:rsidRPr="00C7601B">
        <w:rPr>
          <w:rFonts w:cs="Times New Roman"/>
          <w:szCs w:val="24"/>
          <w:lang w:val="fr-CA"/>
        </w:rPr>
        <w:t>, 2002 CSC 33, [2002] 2 R.C.S. 235, la juridiction d’appel n’est tenue à aucune déférence envers la juridiction inférieure sur une question de droit qui rend la décision automatiquement susceptible de contrôle selon la norme de la décision correcte.</w:t>
      </w:r>
      <w:r w:rsidR="00FC4A5B" w:rsidRPr="00C7601B">
        <w:rPr>
          <w:rFonts w:cs="Times New Roman"/>
          <w:szCs w:val="24"/>
          <w:lang w:val="fr-CA"/>
        </w:rPr>
        <w:t xml:space="preserve"> </w:t>
      </w:r>
      <w:r w:rsidRPr="00C7601B">
        <w:rPr>
          <w:rFonts w:cs="Times New Roman"/>
          <w:szCs w:val="24"/>
          <w:lang w:val="fr-CA"/>
        </w:rPr>
        <w:t xml:space="preserve">Dans l’arrêt </w:t>
      </w:r>
      <w:proofErr w:type="spellStart"/>
      <w:r w:rsidRPr="00C7601B">
        <w:rPr>
          <w:rFonts w:cs="Times New Roman"/>
          <w:i/>
          <w:szCs w:val="24"/>
          <w:lang w:val="fr-CA"/>
        </w:rPr>
        <w:t>Khosa</w:t>
      </w:r>
      <w:proofErr w:type="spellEnd"/>
      <w:r w:rsidRPr="00C7601B">
        <w:rPr>
          <w:rFonts w:cs="Times New Roman"/>
          <w:szCs w:val="24"/>
          <w:lang w:val="fr-CA"/>
        </w:rPr>
        <w:t xml:space="preserve">, la Cour confirme à la majorité qu’on ne doit pas appliquer au contrôle judiciaire ces principes propres à l’appel. </w:t>
      </w:r>
    </w:p>
    <w:p w:rsidR="00956B54" w:rsidRPr="00C7601B" w:rsidRDefault="00956B54" w:rsidP="00C7601B">
      <w:pPr>
        <w:pStyle w:val="TitleTitre-AltT"/>
        <w:tabs>
          <w:tab w:val="clear" w:pos="360"/>
          <w:tab w:val="left" w:pos="540"/>
        </w:tabs>
        <w:ind w:left="540" w:hanging="540"/>
        <w:rPr>
          <w:rFonts w:cs="Times New Roman"/>
          <w:szCs w:val="24"/>
          <w:lang w:val="fr-CA"/>
        </w:rPr>
      </w:pPr>
      <w:r w:rsidRPr="00C7601B">
        <w:rPr>
          <w:rFonts w:cs="Times New Roman"/>
          <w:szCs w:val="24"/>
          <w:lang w:val="fr-CA"/>
        </w:rPr>
        <w:t>D.</w:t>
      </w:r>
      <w:r w:rsidRPr="00C7601B">
        <w:rPr>
          <w:rFonts w:cs="Times New Roman"/>
          <w:szCs w:val="24"/>
          <w:lang w:val="fr-CA"/>
        </w:rPr>
        <w:tab/>
      </w:r>
      <w:r w:rsidRPr="00C7601B">
        <w:rPr>
          <w:rFonts w:cs="Times New Roman"/>
          <w:i/>
          <w:szCs w:val="24"/>
          <w:lang w:val="fr-CA"/>
        </w:rPr>
        <w:t>Application — Caractère raisonnable de l’interprétation du Tribunal</w:t>
      </w:r>
    </w:p>
    <w:p w:rsidR="00956B54" w:rsidRPr="00C7601B" w:rsidRDefault="00956B54" w:rsidP="00956B54">
      <w:pPr>
        <w:pStyle w:val="ParaNoNdepar-AltN"/>
        <w:rPr>
          <w:rFonts w:cs="Times New Roman"/>
          <w:szCs w:val="24"/>
          <w:lang w:val="fr-CA"/>
        </w:rPr>
      </w:pPr>
      <w:r w:rsidRPr="00C7601B">
        <w:rPr>
          <w:rFonts w:cs="Times New Roman"/>
          <w:szCs w:val="24"/>
          <w:lang w:val="fr-CA"/>
        </w:rPr>
        <w:t>Le Tribunal a estimé que tout pouvoir d’adjuger des dépens devait se fonder sur l’al.</w:t>
      </w:r>
      <w:r w:rsidR="00FC4A5B" w:rsidRPr="00C7601B">
        <w:rPr>
          <w:rFonts w:cs="Times New Roman"/>
          <w:szCs w:val="24"/>
          <w:lang w:val="fr-CA"/>
        </w:rPr>
        <w:t xml:space="preserve"> </w:t>
      </w:r>
      <w:r w:rsidRPr="00C7601B">
        <w:rPr>
          <w:rFonts w:cs="Times New Roman"/>
          <w:szCs w:val="24"/>
          <w:lang w:val="fr-CA"/>
        </w:rPr>
        <w:t>53(2)</w:t>
      </w:r>
      <w:r w:rsidRPr="00C7601B">
        <w:rPr>
          <w:rFonts w:cs="Times New Roman"/>
          <w:i/>
          <w:szCs w:val="24"/>
          <w:lang w:val="fr-CA"/>
        </w:rPr>
        <w:t>c</w:t>
      </w:r>
      <w:r w:rsidRPr="00C7601B">
        <w:rPr>
          <w:rFonts w:cs="Times New Roman"/>
          <w:szCs w:val="24"/>
          <w:lang w:val="fr-CA"/>
        </w:rPr>
        <w:t xml:space="preserve">) ou </w:t>
      </w:r>
      <w:r w:rsidRPr="00C7601B">
        <w:rPr>
          <w:rFonts w:cs="Times New Roman"/>
          <w:i/>
          <w:szCs w:val="24"/>
          <w:lang w:val="fr-CA"/>
        </w:rPr>
        <w:t>d</w:t>
      </w:r>
      <w:r w:rsidRPr="00C7601B">
        <w:rPr>
          <w:rFonts w:cs="Times New Roman"/>
          <w:szCs w:val="24"/>
          <w:lang w:val="fr-CA"/>
        </w:rPr>
        <w:t xml:space="preserve">) de la Loi (décision </w:t>
      </w:r>
      <w:r w:rsidR="00B415C7">
        <w:rPr>
          <w:rFonts w:cs="Times New Roman"/>
          <w:szCs w:val="24"/>
          <w:lang w:val="fr-CA"/>
        </w:rPr>
        <w:t>relative aux</w:t>
      </w:r>
      <w:r w:rsidRPr="00C7601B">
        <w:rPr>
          <w:rFonts w:cs="Times New Roman"/>
          <w:szCs w:val="24"/>
          <w:lang w:val="fr-CA"/>
        </w:rPr>
        <w:t xml:space="preserve"> dépens, par.</w:t>
      </w:r>
      <w:r w:rsidR="00FC4A5B" w:rsidRPr="00C7601B">
        <w:rPr>
          <w:rFonts w:cs="Times New Roman"/>
          <w:szCs w:val="24"/>
          <w:lang w:val="fr-CA"/>
        </w:rPr>
        <w:t xml:space="preserve"> </w:t>
      </w:r>
      <w:r w:rsidRPr="00C7601B">
        <w:rPr>
          <w:rFonts w:cs="Times New Roman"/>
          <w:szCs w:val="24"/>
          <w:lang w:val="fr-CA"/>
        </w:rPr>
        <w:t>11).</w:t>
      </w:r>
      <w:r w:rsidR="00FC4A5B" w:rsidRPr="00C7601B">
        <w:rPr>
          <w:rFonts w:cs="Times New Roman"/>
          <w:szCs w:val="24"/>
          <w:lang w:val="fr-CA"/>
        </w:rPr>
        <w:t xml:space="preserve"> </w:t>
      </w:r>
      <w:r w:rsidRPr="00C7601B">
        <w:rPr>
          <w:rFonts w:cs="Times New Roman"/>
          <w:szCs w:val="24"/>
          <w:lang w:val="fr-CA"/>
        </w:rPr>
        <w:t xml:space="preserve">L’appelante et la Commission n’ont pas invoqué d’autres dispositions susceptibles de justifier le résultat recherché, et elles ont reconnu en plaidoirie se fonder à la fois sur l’une et </w:t>
      </w:r>
      <w:proofErr w:type="gramStart"/>
      <w:r w:rsidRPr="00C7601B">
        <w:rPr>
          <w:rFonts w:cs="Times New Roman"/>
          <w:szCs w:val="24"/>
          <w:lang w:val="fr-CA"/>
        </w:rPr>
        <w:t>l’autre dispositions</w:t>
      </w:r>
      <w:proofErr w:type="gramEnd"/>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La question d’interprétation précise dont était saisi le Tribunal était donc celle de savoir si les mots employés aux al.</w:t>
      </w:r>
      <w:r w:rsidR="00FC4A5B" w:rsidRPr="00C7601B">
        <w:rPr>
          <w:rFonts w:cs="Times New Roman"/>
          <w:szCs w:val="24"/>
          <w:lang w:val="fr-CA"/>
        </w:rPr>
        <w:t xml:space="preserve"> </w:t>
      </w:r>
      <w:r w:rsidRPr="00C7601B">
        <w:rPr>
          <w:rFonts w:cs="Times New Roman"/>
          <w:szCs w:val="24"/>
          <w:lang w:val="fr-CA"/>
        </w:rPr>
        <w:t>53(2)</w:t>
      </w:r>
      <w:r w:rsidRPr="00C7601B">
        <w:rPr>
          <w:rFonts w:cs="Times New Roman"/>
          <w:i/>
          <w:szCs w:val="24"/>
          <w:lang w:val="fr-CA"/>
        </w:rPr>
        <w:t>c</w:t>
      </w:r>
      <w:r w:rsidRPr="00C7601B">
        <w:rPr>
          <w:rFonts w:cs="Times New Roman"/>
          <w:szCs w:val="24"/>
          <w:lang w:val="fr-CA"/>
        </w:rPr>
        <w:t xml:space="preserve">) et </w:t>
      </w:r>
      <w:r w:rsidRPr="00C7601B">
        <w:rPr>
          <w:rFonts w:cs="Times New Roman"/>
          <w:i/>
          <w:szCs w:val="24"/>
          <w:lang w:val="fr-CA"/>
        </w:rPr>
        <w:t>d</w:t>
      </w:r>
      <w:r w:rsidRPr="00C7601B">
        <w:rPr>
          <w:rFonts w:cs="Times New Roman"/>
          <w:szCs w:val="24"/>
          <w:lang w:val="fr-CA"/>
        </w:rPr>
        <w:t>) pour l’autoriser à «</w:t>
      </w:r>
      <w:r w:rsidR="00FC4A5B" w:rsidRPr="00C7601B">
        <w:rPr>
          <w:rFonts w:cs="Times New Roman"/>
          <w:szCs w:val="24"/>
          <w:lang w:val="fr-CA"/>
        </w:rPr>
        <w:t xml:space="preserve"> </w:t>
      </w:r>
      <w:r w:rsidRPr="00C7601B">
        <w:rPr>
          <w:rFonts w:cs="Times New Roman"/>
          <w:szCs w:val="24"/>
          <w:lang w:val="fr-CA"/>
        </w:rPr>
        <w:t xml:space="preserve">indemniser la victime </w:t>
      </w:r>
      <w:r w:rsidR="002236BA">
        <w:rPr>
          <w:rFonts w:cs="Times New Roman"/>
          <w:szCs w:val="24"/>
          <w:lang w:val="fr-CA"/>
        </w:rPr>
        <w:t>[</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w:t>
      </w:r>
      <w:r w:rsidR="002236BA">
        <w:rPr>
          <w:rFonts w:cs="Times New Roman"/>
          <w:szCs w:val="24"/>
          <w:lang w:val="fr-CA"/>
        </w:rPr>
        <w:t>]</w:t>
      </w:r>
      <w:r w:rsidRPr="00C7601B">
        <w:rPr>
          <w:rFonts w:cs="Times New Roman"/>
          <w:szCs w:val="24"/>
          <w:lang w:val="fr-CA"/>
        </w:rPr>
        <w:t xml:space="preserve"> des dépenses entraînées par l’acte [discriminatoire]</w:t>
      </w:r>
      <w:r w:rsidR="00FC4A5B" w:rsidRPr="00C7601B">
        <w:rPr>
          <w:rFonts w:cs="Times New Roman"/>
          <w:szCs w:val="24"/>
          <w:lang w:val="fr-CA"/>
        </w:rPr>
        <w:t xml:space="preserve"> </w:t>
      </w:r>
      <w:r w:rsidRPr="00C7601B">
        <w:rPr>
          <w:rFonts w:cs="Times New Roman"/>
          <w:szCs w:val="24"/>
          <w:lang w:val="fr-CA"/>
        </w:rPr>
        <w:t>» confèrent le pouvoir d’adjuger des dépens.</w:t>
      </w:r>
      <w:r w:rsidR="00FC4A5B" w:rsidRPr="00C7601B">
        <w:rPr>
          <w:rFonts w:cs="Times New Roman"/>
          <w:szCs w:val="24"/>
          <w:lang w:val="fr-CA"/>
        </w:rPr>
        <w:t xml:space="preserve"> </w:t>
      </w:r>
      <w:r w:rsidRPr="00C7601B">
        <w:rPr>
          <w:rFonts w:cs="Times New Roman"/>
          <w:szCs w:val="24"/>
          <w:lang w:val="fr-CA"/>
        </w:rPr>
        <w:t>Le Tribunal a décidé que tel était le cas.</w:t>
      </w:r>
      <w:r w:rsidR="00FC4A5B" w:rsidRPr="00C7601B">
        <w:rPr>
          <w:rFonts w:cs="Times New Roman"/>
          <w:szCs w:val="24"/>
          <w:lang w:val="fr-CA"/>
        </w:rPr>
        <w:t xml:space="preserve"> </w:t>
      </w:r>
      <w:r w:rsidRPr="00C7601B">
        <w:rPr>
          <w:rFonts w:cs="Times New Roman"/>
          <w:szCs w:val="24"/>
          <w:lang w:val="fr-CA"/>
        </w:rPr>
        <w:t>Or, nous croyons que son interprétation n’est pas raisonnable, ce que révèle l’examen attentif du texte des dispositions, de leur contexte et de leur objet.</w:t>
      </w:r>
    </w:p>
    <w:p w:rsidR="00956B54" w:rsidRPr="00C7601B" w:rsidRDefault="00956B54" w:rsidP="00956B54">
      <w:pPr>
        <w:pStyle w:val="ParaNoNdepar-AltN"/>
        <w:rPr>
          <w:rFonts w:cs="Times New Roman"/>
          <w:szCs w:val="24"/>
          <w:lang w:val="fr-CA"/>
        </w:rPr>
      </w:pPr>
      <w:r w:rsidRPr="00C7601B">
        <w:rPr>
          <w:rFonts w:cs="Times New Roman"/>
          <w:szCs w:val="24"/>
          <w:lang w:val="fr-CA"/>
        </w:rPr>
        <w:lastRenderedPageBreak/>
        <w:t>Il nous faut interpréter le texte législatif et discerner l’intention du législateur à partir des termes employés, compte tenu du contexte global et du sens ordinaire et grammatical qui s’harmonise avec l’esprit de la Loi, son objet et l’intention du législateur (E.</w:t>
      </w:r>
      <w:r w:rsidR="00FC4A5B" w:rsidRPr="00C7601B">
        <w:rPr>
          <w:rFonts w:cs="Times New Roman"/>
          <w:szCs w:val="24"/>
          <w:lang w:val="fr-CA"/>
        </w:rPr>
        <w:t xml:space="preserve"> </w:t>
      </w:r>
      <w:r w:rsidRPr="00C7601B">
        <w:rPr>
          <w:rFonts w:cs="Times New Roman"/>
          <w:szCs w:val="24"/>
          <w:lang w:val="fr-CA"/>
        </w:rPr>
        <w:t>A.</w:t>
      </w:r>
      <w:r w:rsidR="00FC4A5B" w:rsidRPr="00C7601B">
        <w:rPr>
          <w:rFonts w:cs="Times New Roman"/>
          <w:szCs w:val="24"/>
          <w:lang w:val="fr-CA"/>
        </w:rPr>
        <w:t xml:space="preserve"> </w:t>
      </w:r>
      <w:proofErr w:type="spellStart"/>
      <w:r w:rsidRPr="00C7601B">
        <w:rPr>
          <w:rFonts w:cs="Times New Roman"/>
          <w:szCs w:val="24"/>
          <w:lang w:val="fr-CA"/>
        </w:rPr>
        <w:t>Driedger</w:t>
      </w:r>
      <w:proofErr w:type="spellEnd"/>
      <w:r w:rsidRPr="00C7601B">
        <w:rPr>
          <w:rFonts w:cs="Times New Roman"/>
          <w:szCs w:val="24"/>
          <w:lang w:val="fr-CA"/>
        </w:rPr>
        <w:t xml:space="preserve">, </w:t>
      </w:r>
      <w:r w:rsidRPr="00C7601B">
        <w:rPr>
          <w:rFonts w:cs="Times New Roman"/>
          <w:i/>
          <w:szCs w:val="24"/>
          <w:lang w:val="fr-CA"/>
        </w:rPr>
        <w:t xml:space="preserve">Construction of </w:t>
      </w:r>
      <w:proofErr w:type="spellStart"/>
      <w:r w:rsidRPr="00C7601B">
        <w:rPr>
          <w:rFonts w:cs="Times New Roman"/>
          <w:i/>
          <w:szCs w:val="24"/>
          <w:lang w:val="fr-CA"/>
        </w:rPr>
        <w:t>Statutes</w:t>
      </w:r>
      <w:proofErr w:type="spellEnd"/>
      <w:r w:rsidRPr="00C7601B">
        <w:rPr>
          <w:rFonts w:cs="Times New Roman"/>
          <w:szCs w:val="24"/>
          <w:lang w:val="fr-CA"/>
        </w:rPr>
        <w:t xml:space="preserve"> (2</w:t>
      </w:r>
      <w:r w:rsidRPr="00C7601B">
        <w:rPr>
          <w:rFonts w:cs="Times New Roman"/>
          <w:szCs w:val="24"/>
          <w:vertAlign w:val="superscript"/>
          <w:lang w:val="fr-CA"/>
        </w:rPr>
        <w:t>e</w:t>
      </w:r>
      <w:r w:rsidR="00FC4A5B" w:rsidRPr="00C7601B">
        <w:rPr>
          <w:rFonts w:cs="Times New Roman"/>
          <w:szCs w:val="24"/>
          <w:lang w:val="fr-CA"/>
        </w:rPr>
        <w:t xml:space="preserve"> </w:t>
      </w:r>
      <w:r w:rsidRPr="00C7601B">
        <w:rPr>
          <w:rFonts w:cs="Times New Roman"/>
          <w:szCs w:val="24"/>
          <w:lang w:val="fr-CA"/>
        </w:rPr>
        <w:t>éd. 1983), p.</w:t>
      </w:r>
      <w:r w:rsidR="00FC4A5B" w:rsidRPr="00C7601B">
        <w:rPr>
          <w:rFonts w:cs="Times New Roman"/>
          <w:szCs w:val="24"/>
          <w:lang w:val="fr-CA"/>
        </w:rPr>
        <w:t xml:space="preserve"> </w:t>
      </w:r>
      <w:r w:rsidRPr="00C7601B">
        <w:rPr>
          <w:rFonts w:cs="Times New Roman"/>
          <w:szCs w:val="24"/>
          <w:lang w:val="fr-CA"/>
        </w:rPr>
        <w:t>87</w:t>
      </w:r>
      <w:r w:rsidR="00B415C7">
        <w:rPr>
          <w:rFonts w:cs="Times New Roman"/>
          <w:szCs w:val="24"/>
          <w:lang w:val="fr-CA"/>
        </w:rPr>
        <w:t>,</w:t>
      </w:r>
      <w:r w:rsidRPr="00C7601B">
        <w:rPr>
          <w:rFonts w:cs="Times New Roman"/>
          <w:szCs w:val="24"/>
          <w:lang w:val="fr-CA"/>
        </w:rPr>
        <w:t xml:space="preserve"> cité dans l’arrêt </w:t>
      </w:r>
      <w:proofErr w:type="spellStart"/>
      <w:r w:rsidRPr="00C7601B">
        <w:rPr>
          <w:rFonts w:cs="Times New Roman"/>
          <w:i/>
          <w:szCs w:val="24"/>
          <w:lang w:val="fr-CA"/>
        </w:rPr>
        <w:t>Rizzo</w:t>
      </w:r>
      <w:proofErr w:type="spellEnd"/>
      <w:r w:rsidRPr="00C7601B">
        <w:rPr>
          <w:rFonts w:cs="Times New Roman"/>
          <w:i/>
          <w:szCs w:val="24"/>
          <w:lang w:val="fr-CA"/>
        </w:rPr>
        <w:t xml:space="preserve"> &amp; </w:t>
      </w:r>
      <w:proofErr w:type="spellStart"/>
      <w:r w:rsidRPr="00C7601B">
        <w:rPr>
          <w:rFonts w:cs="Times New Roman"/>
          <w:i/>
          <w:szCs w:val="24"/>
          <w:lang w:val="fr-CA"/>
        </w:rPr>
        <w:t>Rizzo</w:t>
      </w:r>
      <w:proofErr w:type="spellEnd"/>
      <w:r w:rsidRPr="00C7601B">
        <w:rPr>
          <w:rFonts w:cs="Times New Roman"/>
          <w:i/>
          <w:szCs w:val="24"/>
          <w:lang w:val="fr-CA"/>
        </w:rPr>
        <w:t xml:space="preserve"> </w:t>
      </w:r>
      <w:proofErr w:type="spellStart"/>
      <w:r w:rsidRPr="00C7601B">
        <w:rPr>
          <w:rFonts w:cs="Times New Roman"/>
          <w:i/>
          <w:szCs w:val="24"/>
          <w:lang w:val="fr-CA"/>
        </w:rPr>
        <w:t>Shoes</w:t>
      </w:r>
      <w:proofErr w:type="spellEnd"/>
      <w:r w:rsidRPr="00C7601B">
        <w:rPr>
          <w:rFonts w:cs="Times New Roman"/>
          <w:i/>
          <w:szCs w:val="24"/>
          <w:lang w:val="fr-CA"/>
        </w:rPr>
        <w:t xml:space="preserve"> Ltd. (</w:t>
      </w:r>
      <w:proofErr w:type="spellStart"/>
      <w:r w:rsidRPr="00C7601B">
        <w:rPr>
          <w:rFonts w:cs="Times New Roman"/>
          <w:i/>
          <w:szCs w:val="24"/>
          <w:lang w:val="fr-CA"/>
        </w:rPr>
        <w:t>Re</w:t>
      </w:r>
      <w:proofErr w:type="spellEnd"/>
      <w:r w:rsidRPr="00C7601B">
        <w:rPr>
          <w:rFonts w:cs="Times New Roman"/>
          <w:i/>
          <w:szCs w:val="24"/>
          <w:lang w:val="fr-CA"/>
        </w:rPr>
        <w:t>)</w:t>
      </w:r>
      <w:r w:rsidRPr="00C7601B">
        <w:rPr>
          <w:rFonts w:cs="Times New Roman"/>
          <w:szCs w:val="24"/>
          <w:lang w:val="fr-CA"/>
        </w:rPr>
        <w:t>, [1998]</w:t>
      </w:r>
      <w:r w:rsidR="00FC4A5B" w:rsidRPr="00C7601B">
        <w:rPr>
          <w:rFonts w:cs="Times New Roman"/>
          <w:szCs w:val="24"/>
          <w:lang w:val="fr-CA"/>
        </w:rPr>
        <w:t xml:space="preserve"> </w:t>
      </w:r>
      <w:r w:rsidRPr="00C7601B">
        <w:rPr>
          <w:rFonts w:cs="Times New Roman"/>
          <w:szCs w:val="24"/>
          <w:lang w:val="fr-CA"/>
        </w:rPr>
        <w:t>1</w:t>
      </w:r>
      <w:r w:rsidR="00FC4A5B" w:rsidRPr="00C7601B">
        <w:rPr>
          <w:rFonts w:cs="Times New Roman"/>
          <w:szCs w:val="24"/>
          <w:lang w:val="fr-CA"/>
        </w:rPr>
        <w:t xml:space="preserve"> </w:t>
      </w:r>
      <w:r w:rsidRPr="00C7601B">
        <w:rPr>
          <w:rFonts w:cs="Times New Roman"/>
          <w:szCs w:val="24"/>
          <w:lang w:val="fr-CA"/>
        </w:rPr>
        <w:t>R.C.S. 27, par.</w:t>
      </w:r>
      <w:r w:rsidR="00FC4A5B" w:rsidRPr="00C7601B">
        <w:rPr>
          <w:rFonts w:cs="Times New Roman"/>
          <w:szCs w:val="24"/>
          <w:lang w:val="fr-CA"/>
        </w:rPr>
        <w:t xml:space="preserve"> </w:t>
      </w:r>
      <w:r w:rsidRPr="00C7601B">
        <w:rPr>
          <w:rFonts w:cs="Times New Roman"/>
          <w:szCs w:val="24"/>
          <w:lang w:val="fr-CA"/>
        </w:rPr>
        <w:t>21).</w:t>
      </w:r>
      <w:r w:rsidR="00FC4A5B" w:rsidRPr="00C7601B">
        <w:rPr>
          <w:rFonts w:cs="Times New Roman"/>
          <w:szCs w:val="24"/>
          <w:lang w:val="fr-CA"/>
        </w:rPr>
        <w:t xml:space="preserve"> </w:t>
      </w:r>
      <w:r w:rsidRPr="00C7601B">
        <w:rPr>
          <w:rFonts w:cs="Times New Roman"/>
          <w:szCs w:val="24"/>
          <w:lang w:val="fr-CA"/>
        </w:rPr>
        <w:t>Dans le cas d’une loi relative aux droits de la personne, il faut se rappeler qu’elle exprime des valeurs essentielles et vise la réalisation d’objectifs fondamentaux.</w:t>
      </w:r>
      <w:r w:rsidR="00FC4A5B" w:rsidRPr="00C7601B">
        <w:rPr>
          <w:rFonts w:cs="Times New Roman"/>
          <w:szCs w:val="24"/>
          <w:lang w:val="fr-CA"/>
        </w:rPr>
        <w:t xml:space="preserve"> </w:t>
      </w:r>
      <w:r w:rsidRPr="00C7601B">
        <w:rPr>
          <w:rFonts w:cs="Times New Roman"/>
          <w:szCs w:val="24"/>
          <w:lang w:val="fr-CA"/>
        </w:rPr>
        <w:t>Il convient donc de l’interpréter libéralement et téléologiquement de manière à reconnaître sans réserve les droits qui y sont énoncés et à leur donner pleinement effet (voir, p.</w:t>
      </w:r>
      <w:r w:rsidR="00C7601B" w:rsidRPr="00C7601B">
        <w:rPr>
          <w:rFonts w:cs="Times New Roman"/>
          <w:szCs w:val="24"/>
          <w:lang w:val="fr-CA"/>
        </w:rPr>
        <w:t> </w:t>
      </w:r>
      <w:r w:rsidRPr="00C7601B">
        <w:rPr>
          <w:rFonts w:cs="Times New Roman"/>
          <w:szCs w:val="24"/>
          <w:lang w:val="fr-CA"/>
        </w:rPr>
        <w:t xml:space="preserve">ex., R. Sullivan, </w:t>
      </w:r>
      <w:r w:rsidRPr="00C7601B">
        <w:rPr>
          <w:rFonts w:cs="Times New Roman"/>
          <w:i/>
          <w:szCs w:val="24"/>
          <w:lang w:val="fr-CA"/>
        </w:rPr>
        <w:t xml:space="preserve">Sullivan on the Construction of </w:t>
      </w:r>
      <w:proofErr w:type="spellStart"/>
      <w:r w:rsidRPr="00C7601B">
        <w:rPr>
          <w:rFonts w:cs="Times New Roman"/>
          <w:i/>
          <w:szCs w:val="24"/>
          <w:lang w:val="fr-CA"/>
        </w:rPr>
        <w:t>Statutes</w:t>
      </w:r>
      <w:proofErr w:type="spellEnd"/>
      <w:r w:rsidRPr="00C7601B">
        <w:rPr>
          <w:rFonts w:cs="Times New Roman"/>
          <w:szCs w:val="24"/>
          <w:lang w:val="fr-CA"/>
        </w:rPr>
        <w:t xml:space="preserve"> (5</w:t>
      </w:r>
      <w:r w:rsidRPr="00C7601B">
        <w:rPr>
          <w:rFonts w:cs="Times New Roman"/>
          <w:szCs w:val="24"/>
          <w:vertAlign w:val="superscript"/>
          <w:lang w:val="fr-CA"/>
        </w:rPr>
        <w:t>e</w:t>
      </w:r>
      <w:r w:rsidR="00FC4A5B" w:rsidRPr="00C7601B">
        <w:rPr>
          <w:rFonts w:cs="Times New Roman"/>
          <w:szCs w:val="24"/>
          <w:lang w:val="fr-CA"/>
        </w:rPr>
        <w:t xml:space="preserve"> </w:t>
      </w:r>
      <w:r w:rsidRPr="00C7601B">
        <w:rPr>
          <w:rFonts w:cs="Times New Roman"/>
          <w:szCs w:val="24"/>
          <w:lang w:val="fr-CA"/>
        </w:rPr>
        <w:t>éd. 2008), p.</w:t>
      </w:r>
      <w:r w:rsidR="00FC4A5B" w:rsidRPr="00C7601B">
        <w:rPr>
          <w:rFonts w:cs="Times New Roman"/>
          <w:szCs w:val="24"/>
          <w:lang w:val="fr-CA"/>
        </w:rPr>
        <w:t xml:space="preserve"> </w:t>
      </w:r>
      <w:r w:rsidRPr="00C7601B">
        <w:rPr>
          <w:rFonts w:cs="Times New Roman"/>
          <w:szCs w:val="24"/>
          <w:lang w:val="fr-CA"/>
        </w:rPr>
        <w:t>497</w:t>
      </w:r>
      <w:r w:rsidR="00C7601B" w:rsidRPr="00C7601B">
        <w:rPr>
          <w:rFonts w:cs="Times New Roman"/>
          <w:szCs w:val="24"/>
          <w:lang w:val="fr-CA"/>
        </w:rPr>
        <w:t>-</w:t>
      </w:r>
      <w:r w:rsidRPr="00C7601B">
        <w:rPr>
          <w:rFonts w:cs="Times New Roman"/>
          <w:szCs w:val="24"/>
          <w:lang w:val="fr-CA"/>
        </w:rPr>
        <w:t>500).</w:t>
      </w:r>
      <w:r w:rsidR="00FC4A5B" w:rsidRPr="00C7601B">
        <w:rPr>
          <w:rFonts w:cs="Times New Roman"/>
          <w:szCs w:val="24"/>
          <w:lang w:val="fr-CA"/>
        </w:rPr>
        <w:t xml:space="preserve"> </w:t>
      </w:r>
      <w:r w:rsidRPr="00C7601B">
        <w:rPr>
          <w:rFonts w:cs="Times New Roman"/>
          <w:szCs w:val="24"/>
          <w:lang w:val="fr-CA"/>
        </w:rPr>
        <w:t>On doit tout de même retenir une interprétation de la loi qui respecte le libellé choisi par le législateur.</w:t>
      </w:r>
    </w:p>
    <w:p w:rsidR="00956B54" w:rsidRPr="00C7601B" w:rsidRDefault="00956B54" w:rsidP="00956B54">
      <w:pPr>
        <w:pStyle w:val="ParaNoNdepar-AltN"/>
        <w:rPr>
          <w:rFonts w:cs="Times New Roman"/>
          <w:szCs w:val="24"/>
          <w:lang w:val="fr-CA"/>
        </w:rPr>
      </w:pPr>
      <w:r w:rsidRPr="00C7601B">
        <w:rPr>
          <w:rFonts w:cs="Times New Roman"/>
          <w:szCs w:val="24"/>
          <w:lang w:val="fr-CA"/>
        </w:rPr>
        <w:t>La conclusion du Tribunal selon laquelle il possède le pouvoir d’accorder des dépens s’appuie sur deux éléments.</w:t>
      </w:r>
      <w:r w:rsidR="00FC4A5B" w:rsidRPr="00C7601B">
        <w:rPr>
          <w:rFonts w:cs="Times New Roman"/>
          <w:szCs w:val="24"/>
          <w:lang w:val="fr-CA"/>
        </w:rPr>
        <w:t xml:space="preserve"> </w:t>
      </w:r>
      <w:r w:rsidRPr="00C7601B">
        <w:rPr>
          <w:rFonts w:cs="Times New Roman"/>
          <w:szCs w:val="24"/>
          <w:lang w:val="fr-CA"/>
        </w:rPr>
        <w:t>Premièrement, il invoque trois décisions de la Cour fédérale pour conclure que le syntagme «</w:t>
      </w:r>
      <w:r w:rsidR="00FC4A5B" w:rsidRPr="00C7601B">
        <w:rPr>
          <w:rFonts w:cs="Times New Roman"/>
          <w:szCs w:val="24"/>
          <w:lang w:val="fr-CA"/>
        </w:rPr>
        <w:t xml:space="preserve"> </w:t>
      </w:r>
      <w:r w:rsidRPr="00C7601B">
        <w:rPr>
          <w:rFonts w:cs="Times New Roman"/>
          <w:szCs w:val="24"/>
          <w:lang w:val="fr-CA"/>
        </w:rPr>
        <w:t>dépenses entraînées</w:t>
      </w:r>
      <w:r w:rsidR="00FC4A5B" w:rsidRPr="00C7601B">
        <w:rPr>
          <w:rFonts w:cs="Times New Roman"/>
          <w:szCs w:val="24"/>
          <w:lang w:val="fr-CA"/>
        </w:rPr>
        <w:t xml:space="preserve"> </w:t>
      </w:r>
      <w:r w:rsidRPr="00C7601B">
        <w:rPr>
          <w:rFonts w:cs="Times New Roman"/>
          <w:szCs w:val="24"/>
          <w:lang w:val="fr-CA"/>
        </w:rPr>
        <w:t>» employé aux al.</w:t>
      </w:r>
      <w:r w:rsidR="00FC4A5B" w:rsidRPr="00C7601B">
        <w:rPr>
          <w:rFonts w:cs="Times New Roman"/>
          <w:szCs w:val="24"/>
          <w:lang w:val="fr-CA"/>
        </w:rPr>
        <w:t xml:space="preserve"> </w:t>
      </w:r>
      <w:r w:rsidRPr="00C7601B">
        <w:rPr>
          <w:rFonts w:cs="Times New Roman"/>
          <w:szCs w:val="24"/>
          <w:lang w:val="fr-CA"/>
        </w:rPr>
        <w:t>53(2)</w:t>
      </w:r>
      <w:r w:rsidRPr="00C7601B">
        <w:rPr>
          <w:rFonts w:cs="Times New Roman"/>
          <w:i/>
          <w:szCs w:val="24"/>
          <w:lang w:val="fr-CA"/>
        </w:rPr>
        <w:t>c</w:t>
      </w:r>
      <w:r w:rsidRPr="00C7601B">
        <w:rPr>
          <w:rFonts w:cs="Times New Roman"/>
          <w:szCs w:val="24"/>
          <w:lang w:val="fr-CA"/>
        </w:rPr>
        <w:t xml:space="preserve">) et </w:t>
      </w:r>
      <w:r w:rsidRPr="00C7601B">
        <w:rPr>
          <w:rFonts w:cs="Times New Roman"/>
          <w:i/>
          <w:szCs w:val="24"/>
          <w:lang w:val="fr-CA"/>
        </w:rPr>
        <w:t>d</w:t>
      </w:r>
      <w:r w:rsidRPr="00C7601B">
        <w:rPr>
          <w:rFonts w:cs="Times New Roman"/>
          <w:szCs w:val="24"/>
          <w:lang w:val="fr-CA"/>
        </w:rPr>
        <w:t>) est suffisamment large pour englober les dépens</w:t>
      </w:r>
      <w:r w:rsidR="00FC4A5B" w:rsidRPr="00C7601B">
        <w:rPr>
          <w:rFonts w:cs="Times New Roman"/>
          <w:szCs w:val="24"/>
          <w:lang w:val="fr-CA"/>
        </w:rPr>
        <w:t xml:space="preserve"> </w:t>
      </w:r>
      <w:r w:rsidRPr="00C7601B">
        <w:rPr>
          <w:rFonts w:cs="Times New Roman"/>
          <w:szCs w:val="24"/>
          <w:lang w:val="fr-CA"/>
        </w:rPr>
        <w:t xml:space="preserve">: </w:t>
      </w:r>
      <w:r w:rsidRPr="00C7601B">
        <w:rPr>
          <w:rFonts w:cs="Times New Roman"/>
          <w:i/>
          <w:szCs w:val="24"/>
          <w:lang w:val="fr-CA"/>
        </w:rPr>
        <w:t xml:space="preserve">Canada (Procureur général) c. </w:t>
      </w:r>
      <w:proofErr w:type="spellStart"/>
      <w:r w:rsidRPr="00C7601B">
        <w:rPr>
          <w:rFonts w:cs="Times New Roman"/>
          <w:i/>
          <w:szCs w:val="24"/>
          <w:lang w:val="fr-CA"/>
        </w:rPr>
        <w:t>Thwaites</w:t>
      </w:r>
      <w:proofErr w:type="spellEnd"/>
      <w:r w:rsidRPr="00C7601B">
        <w:rPr>
          <w:rFonts w:cs="Times New Roman"/>
          <w:szCs w:val="24"/>
          <w:lang w:val="fr-CA"/>
        </w:rPr>
        <w:t>, [1994] 3 C.F. 38, p.</w:t>
      </w:r>
      <w:r w:rsidR="00FC4A5B" w:rsidRPr="00C7601B">
        <w:rPr>
          <w:rFonts w:cs="Times New Roman"/>
          <w:szCs w:val="24"/>
          <w:lang w:val="fr-CA"/>
        </w:rPr>
        <w:t xml:space="preserve"> </w:t>
      </w:r>
      <w:r w:rsidRPr="00C7601B">
        <w:rPr>
          <w:rFonts w:cs="Times New Roman"/>
          <w:szCs w:val="24"/>
          <w:lang w:val="fr-CA"/>
        </w:rPr>
        <w:t xml:space="preserve">71; </w:t>
      </w:r>
      <w:r w:rsidRPr="00C7601B">
        <w:rPr>
          <w:rFonts w:cs="Times New Roman"/>
          <w:i/>
          <w:szCs w:val="24"/>
          <w:lang w:val="fr-CA"/>
        </w:rPr>
        <w:t>Canada (Procureur général) c. Stevenson</w:t>
      </w:r>
      <w:r w:rsidR="007C46DA" w:rsidRPr="00C7601B">
        <w:rPr>
          <w:rFonts w:cs="Times New Roman"/>
          <w:szCs w:val="24"/>
          <w:lang w:val="fr-CA"/>
        </w:rPr>
        <w:t>, 2003 CFPI 341</w:t>
      </w:r>
      <w:r w:rsidR="00B415C7">
        <w:rPr>
          <w:rFonts w:cs="Times New Roman"/>
          <w:szCs w:val="24"/>
          <w:lang w:val="fr-CA"/>
        </w:rPr>
        <w:t xml:space="preserve"> </w:t>
      </w:r>
      <w:r w:rsidR="007C46DA" w:rsidRPr="00C7601B">
        <w:rPr>
          <w:rFonts w:cs="Times New Roman"/>
          <w:szCs w:val="24"/>
          <w:lang w:val="fr-CA"/>
        </w:rPr>
        <w:t>(</w:t>
      </w:r>
      <w:proofErr w:type="spellStart"/>
      <w:r w:rsidR="007C46DA" w:rsidRPr="00C7601B">
        <w:rPr>
          <w:rFonts w:cs="Times New Roman"/>
          <w:szCs w:val="24"/>
          <w:lang w:val="fr-CA"/>
        </w:rPr>
        <w:t>Can</w:t>
      </w:r>
      <w:r w:rsidRPr="00C7601B">
        <w:rPr>
          <w:rFonts w:cs="Times New Roman"/>
          <w:szCs w:val="24"/>
          <w:lang w:val="fr-CA"/>
        </w:rPr>
        <w:t>LII</w:t>
      </w:r>
      <w:proofErr w:type="spellEnd"/>
      <w:r w:rsidRPr="00C7601B">
        <w:rPr>
          <w:rFonts w:cs="Times New Roman"/>
          <w:szCs w:val="24"/>
          <w:lang w:val="fr-CA"/>
        </w:rPr>
        <w:t>)</w:t>
      </w:r>
      <w:r w:rsidR="007C46DA" w:rsidRPr="00C7601B">
        <w:rPr>
          <w:rFonts w:cs="Times New Roman"/>
          <w:szCs w:val="24"/>
          <w:lang w:val="fr-CA"/>
        </w:rPr>
        <w:t>, par.</w:t>
      </w:r>
      <w:r w:rsidR="00FC4A5B" w:rsidRPr="00C7601B">
        <w:rPr>
          <w:rFonts w:cs="Times New Roman"/>
          <w:szCs w:val="24"/>
          <w:lang w:val="fr-CA"/>
        </w:rPr>
        <w:t xml:space="preserve"> </w:t>
      </w:r>
      <w:r w:rsidR="007C46DA" w:rsidRPr="00C7601B">
        <w:rPr>
          <w:rFonts w:cs="Times New Roman"/>
          <w:szCs w:val="24"/>
          <w:lang w:val="fr-CA"/>
        </w:rPr>
        <w:t>23-</w:t>
      </w:r>
      <w:r w:rsidRPr="00C7601B">
        <w:rPr>
          <w:rFonts w:cs="Times New Roman"/>
          <w:szCs w:val="24"/>
          <w:lang w:val="fr-CA"/>
        </w:rPr>
        <w:t xml:space="preserve">26; </w:t>
      </w:r>
      <w:r w:rsidRPr="00C7601B">
        <w:rPr>
          <w:rFonts w:cs="Times New Roman"/>
          <w:i/>
          <w:szCs w:val="24"/>
          <w:lang w:val="fr-CA"/>
        </w:rPr>
        <w:t>Canada (Procureur général) c. Brooks</w:t>
      </w:r>
      <w:r w:rsidRPr="00C7601B">
        <w:rPr>
          <w:rFonts w:cs="Times New Roman"/>
          <w:szCs w:val="24"/>
          <w:lang w:val="fr-CA"/>
        </w:rPr>
        <w:t xml:space="preserve">, </w:t>
      </w:r>
      <w:r w:rsidR="007C46DA" w:rsidRPr="00C7601B">
        <w:rPr>
          <w:rFonts w:cs="Times New Roman"/>
          <w:szCs w:val="24"/>
          <w:lang w:val="fr-CA"/>
        </w:rPr>
        <w:t>2006 CF 500 (</w:t>
      </w:r>
      <w:proofErr w:type="spellStart"/>
      <w:r w:rsidR="007C46DA" w:rsidRPr="00C7601B">
        <w:rPr>
          <w:rFonts w:cs="Times New Roman"/>
          <w:szCs w:val="24"/>
          <w:lang w:val="fr-CA"/>
        </w:rPr>
        <w:t>Can</w:t>
      </w:r>
      <w:r w:rsidRPr="00C7601B">
        <w:rPr>
          <w:rFonts w:cs="Times New Roman"/>
          <w:szCs w:val="24"/>
          <w:lang w:val="fr-CA"/>
        </w:rPr>
        <w:t>LII</w:t>
      </w:r>
      <w:proofErr w:type="spellEnd"/>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10</w:t>
      </w:r>
      <w:r w:rsidR="00C7601B" w:rsidRPr="00C7601B">
        <w:rPr>
          <w:rFonts w:cs="Times New Roman"/>
          <w:szCs w:val="24"/>
          <w:lang w:val="fr-CA"/>
        </w:rPr>
        <w:t>-</w:t>
      </w:r>
      <w:r w:rsidRPr="00C7601B">
        <w:rPr>
          <w:rFonts w:cs="Times New Roman"/>
          <w:szCs w:val="24"/>
          <w:lang w:val="fr-CA"/>
        </w:rPr>
        <w:t>16.</w:t>
      </w:r>
      <w:r w:rsidR="00FC4A5B" w:rsidRPr="00C7601B">
        <w:rPr>
          <w:rFonts w:cs="Times New Roman"/>
          <w:szCs w:val="24"/>
          <w:lang w:val="fr-CA"/>
        </w:rPr>
        <w:t xml:space="preserve"> </w:t>
      </w:r>
      <w:r w:rsidRPr="00C7601B">
        <w:rPr>
          <w:rFonts w:cs="Times New Roman"/>
          <w:szCs w:val="24"/>
          <w:lang w:val="fr-CA"/>
        </w:rPr>
        <w:t>Deuxièmement, le Tribunal fait fond sur ce qu’il tient pour d’importantes considérations de politique juridique liées à l’accès à la justice en matière de droits de la personne.</w:t>
      </w:r>
      <w:r w:rsidR="00FC4A5B" w:rsidRPr="00C7601B">
        <w:rPr>
          <w:rFonts w:cs="Times New Roman"/>
          <w:szCs w:val="24"/>
          <w:lang w:val="fr-CA"/>
        </w:rPr>
        <w:t xml:space="preserve"> </w:t>
      </w:r>
      <w:r w:rsidRPr="00C7601B">
        <w:rPr>
          <w:rFonts w:cs="Times New Roman"/>
          <w:szCs w:val="24"/>
          <w:lang w:val="fr-CA"/>
        </w:rPr>
        <w:t>Pour les motifs exposés ci</w:t>
      </w:r>
      <w:r w:rsidR="00C7601B" w:rsidRPr="00C7601B">
        <w:rPr>
          <w:rFonts w:cs="Times New Roman"/>
          <w:szCs w:val="24"/>
          <w:lang w:val="fr-CA"/>
        </w:rPr>
        <w:t>-</w:t>
      </w:r>
      <w:r w:rsidRPr="00C7601B">
        <w:rPr>
          <w:rFonts w:cs="Times New Roman"/>
          <w:szCs w:val="24"/>
          <w:lang w:val="fr-CA"/>
        </w:rPr>
        <w:t xml:space="preserve">après, nous estimons que ces facteurs n’étayent pas raisonnablement la conclusion selon laquelle </w:t>
      </w:r>
      <w:r w:rsidRPr="00C7601B">
        <w:rPr>
          <w:rFonts w:cs="Times New Roman"/>
          <w:szCs w:val="24"/>
          <w:lang w:val="fr-CA"/>
        </w:rPr>
        <w:lastRenderedPageBreak/>
        <w:t>le Tribunal peut adjuger des dépens.</w:t>
      </w:r>
      <w:r w:rsidR="00FC4A5B" w:rsidRPr="00C7601B">
        <w:rPr>
          <w:rFonts w:cs="Times New Roman"/>
          <w:szCs w:val="24"/>
          <w:lang w:val="fr-CA"/>
        </w:rPr>
        <w:t xml:space="preserve"> </w:t>
      </w:r>
      <w:r w:rsidRPr="00C7601B">
        <w:rPr>
          <w:rFonts w:cs="Times New Roman"/>
          <w:szCs w:val="24"/>
          <w:lang w:val="fr-CA"/>
        </w:rPr>
        <w:t>Il appert d’une analyse exhaustive de nature contextuelle et téléologique qu’aucune interprétation raisonnable des dispositions n’appuie cette conclusion.</w:t>
      </w:r>
      <w:r w:rsidR="00FC4A5B" w:rsidRPr="00C7601B">
        <w:rPr>
          <w:rFonts w:cs="Times New Roman"/>
          <w:szCs w:val="24"/>
          <w:lang w:val="fr-CA"/>
        </w:rPr>
        <w:t xml:space="preserve"> </w:t>
      </w:r>
    </w:p>
    <w:p w:rsidR="00956B54" w:rsidRPr="00C7601B" w:rsidRDefault="00956B54" w:rsidP="00956B54">
      <w:pPr>
        <w:pStyle w:val="TitleTitre-AltT"/>
        <w:tabs>
          <w:tab w:val="clear" w:pos="360"/>
          <w:tab w:val="left" w:pos="1620"/>
        </w:tabs>
        <w:ind w:left="1170" w:hanging="1170"/>
        <w:rPr>
          <w:rFonts w:cs="Times New Roman"/>
          <w:szCs w:val="24"/>
          <w:lang w:val="fr-CA"/>
        </w:rPr>
      </w:pPr>
      <w:r w:rsidRPr="00C7601B">
        <w:rPr>
          <w:rFonts w:cs="Times New Roman"/>
          <w:szCs w:val="24"/>
          <w:lang w:val="fr-CA"/>
        </w:rPr>
        <w:tab/>
        <w:t>(1)</w:t>
      </w:r>
      <w:r w:rsidRPr="00C7601B">
        <w:rPr>
          <w:rFonts w:cs="Times New Roman"/>
          <w:szCs w:val="24"/>
          <w:lang w:val="fr-CA"/>
        </w:rPr>
        <w:tab/>
      </w:r>
      <w:r w:rsidRPr="00C7601B">
        <w:rPr>
          <w:rFonts w:cs="Times New Roman"/>
          <w:szCs w:val="24"/>
          <w:u w:val="single"/>
          <w:lang w:val="fr-CA"/>
        </w:rPr>
        <w:t>Le texte</w:t>
      </w:r>
    </w:p>
    <w:p w:rsidR="00956B54" w:rsidRPr="00C7601B" w:rsidRDefault="00956B54" w:rsidP="00956B54">
      <w:pPr>
        <w:pStyle w:val="ParaNoNdepar-AltN"/>
        <w:widowControl w:val="0"/>
        <w:spacing w:before="0"/>
        <w:rPr>
          <w:rFonts w:cs="Times New Roman"/>
          <w:szCs w:val="24"/>
          <w:lang w:val="fr-CA"/>
        </w:rPr>
      </w:pPr>
      <w:r w:rsidRPr="00C7601B">
        <w:rPr>
          <w:rFonts w:cs="Times New Roman"/>
          <w:szCs w:val="24"/>
          <w:lang w:val="fr-CA"/>
        </w:rPr>
        <w:t>En ce qui concerne le texte des dispositions en cause, considérés isolément et indépendamment de leur contexte, les mots «</w:t>
      </w:r>
      <w:r w:rsidR="00FC4A5B" w:rsidRPr="00C7601B">
        <w:rPr>
          <w:rFonts w:cs="Times New Roman"/>
          <w:szCs w:val="24"/>
          <w:lang w:val="fr-CA"/>
        </w:rPr>
        <w:t xml:space="preserve"> </w:t>
      </w:r>
      <w:r w:rsidRPr="00C7601B">
        <w:rPr>
          <w:rFonts w:cs="Times New Roman"/>
          <w:szCs w:val="24"/>
          <w:lang w:val="fr-CA"/>
        </w:rPr>
        <w:t>des dépenses entraînées par l’acte</w:t>
      </w:r>
      <w:r w:rsidR="00FC4A5B" w:rsidRPr="00C7601B">
        <w:rPr>
          <w:rFonts w:cs="Times New Roman"/>
          <w:szCs w:val="24"/>
          <w:lang w:val="fr-CA"/>
        </w:rPr>
        <w:t xml:space="preserve"> </w:t>
      </w:r>
      <w:r w:rsidRPr="00C7601B">
        <w:rPr>
          <w:rFonts w:cs="Times New Roman"/>
          <w:szCs w:val="24"/>
          <w:lang w:val="fr-CA"/>
        </w:rPr>
        <w:t>» sont suffisamment larges pour englober les dépens.</w:t>
      </w:r>
      <w:r w:rsidR="00FC4A5B" w:rsidRPr="00C7601B">
        <w:rPr>
          <w:rFonts w:cs="Times New Roman"/>
          <w:szCs w:val="24"/>
          <w:lang w:val="fr-CA"/>
        </w:rPr>
        <w:t xml:space="preserve"> </w:t>
      </w:r>
      <w:r w:rsidRPr="00C7601B">
        <w:rPr>
          <w:rFonts w:cs="Times New Roman"/>
          <w:szCs w:val="24"/>
          <w:lang w:val="fr-CA"/>
        </w:rPr>
        <w:t>Tel est le point de vue du Tribunal ainsi que celui de la Cour fédérale dans les décisions qu’il invoque à l’appui.</w:t>
      </w:r>
      <w:r w:rsidR="00FC4A5B" w:rsidRPr="00C7601B">
        <w:rPr>
          <w:rFonts w:cs="Times New Roman"/>
          <w:szCs w:val="24"/>
          <w:lang w:val="fr-CA"/>
        </w:rPr>
        <w:t xml:space="preserve"> </w:t>
      </w:r>
      <w:r w:rsidRPr="00C7601B">
        <w:rPr>
          <w:rFonts w:cs="Times New Roman"/>
          <w:szCs w:val="24"/>
          <w:lang w:val="fr-CA"/>
        </w:rPr>
        <w:t>Or, lorsque ces mots sont dûment considérés dans le contexte de la loi, il devient manifeste qu’on ne peut pas raisonnablement les interpréter de manière à créer une catégorie distincte d’indemnité susceptible de viser tout type de débours ayant un lien de causalité avec l’acte discriminatoire.</w:t>
      </w:r>
      <w:r w:rsidR="00FC4A5B" w:rsidRPr="00C7601B">
        <w:rPr>
          <w:rFonts w:cs="Times New Roman"/>
          <w:szCs w:val="24"/>
          <w:lang w:val="fr-CA"/>
        </w:rPr>
        <w:t xml:space="preserve"> </w:t>
      </w:r>
      <w:r w:rsidRPr="00C7601B">
        <w:rPr>
          <w:rFonts w:cs="Times New Roman"/>
          <w:szCs w:val="24"/>
          <w:lang w:val="fr-CA"/>
        </w:rPr>
        <w:t>La prétention contraire fait selon nous abstraction de la structure des dispositions dans lesquelles figurent les mots «</w:t>
      </w:r>
      <w:r w:rsidR="00FC4A5B" w:rsidRPr="00C7601B">
        <w:rPr>
          <w:rFonts w:cs="Times New Roman"/>
          <w:szCs w:val="24"/>
          <w:lang w:val="fr-CA"/>
        </w:rPr>
        <w:t xml:space="preserve"> </w:t>
      </w:r>
      <w:r w:rsidRPr="00C7601B">
        <w:rPr>
          <w:rFonts w:cs="Times New Roman"/>
          <w:szCs w:val="24"/>
          <w:lang w:val="fr-CA"/>
        </w:rPr>
        <w:t>des dépenses entraînées par l’acte</w:t>
      </w:r>
      <w:r w:rsidR="00FC4A5B" w:rsidRPr="00C7601B">
        <w:rPr>
          <w:rFonts w:cs="Times New Roman"/>
          <w:szCs w:val="24"/>
          <w:lang w:val="fr-CA"/>
        </w:rPr>
        <w:t xml:space="preserve"> </w:t>
      </w:r>
      <w:r w:rsidRPr="00C7601B">
        <w:rPr>
          <w:rFonts w:cs="Times New Roman"/>
          <w:szCs w:val="24"/>
          <w:lang w:val="fr-CA"/>
        </w:rPr>
        <w:t>».</w:t>
      </w:r>
    </w:p>
    <w:p w:rsidR="00956B54" w:rsidRPr="00C7601B" w:rsidRDefault="00956B54" w:rsidP="00956B54">
      <w:pPr>
        <w:pStyle w:val="ParaNoNdepar-AltN"/>
        <w:rPr>
          <w:rFonts w:cs="Times New Roman"/>
          <w:szCs w:val="24"/>
          <w:lang w:val="fr-CA"/>
        </w:rPr>
      </w:pPr>
      <w:r w:rsidRPr="00C7601B">
        <w:rPr>
          <w:rFonts w:cs="Times New Roman"/>
          <w:szCs w:val="24"/>
          <w:lang w:val="fr-CA"/>
        </w:rPr>
        <w:t>Pour en faciliter la consultation, nous reproduisons les par</w:t>
      </w:r>
      <w:r w:rsidR="007C46DA"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53(2) et (3) dans leur version en vigueur au moment où l’appelante a déposé sa plainte</w:t>
      </w:r>
      <w:r w:rsidR="00FC4A5B" w:rsidRPr="00C7601B">
        <w:rPr>
          <w:rFonts w:cs="Times New Roman"/>
          <w:szCs w:val="24"/>
          <w:lang w:val="fr-CA"/>
        </w:rPr>
        <w:t xml:space="preserve"> </w:t>
      </w:r>
      <w:r w:rsidRPr="00C7601B">
        <w:rPr>
          <w:rFonts w:cs="Times New Roman"/>
          <w:szCs w:val="24"/>
          <w:lang w:val="fr-CA"/>
        </w:rPr>
        <w:t xml:space="preserve">: </w:t>
      </w:r>
    </w:p>
    <w:p w:rsidR="00B415C7" w:rsidRPr="00B415C7" w:rsidRDefault="00B415C7" w:rsidP="007C46DA">
      <w:pPr>
        <w:pStyle w:val="Citation-AltC"/>
        <w:tabs>
          <w:tab w:val="left" w:pos="1710"/>
        </w:tabs>
        <w:spacing w:after="240"/>
        <w:ind w:hanging="1166"/>
        <w:contextualSpacing w:val="0"/>
        <w:rPr>
          <w:szCs w:val="24"/>
          <w:lang w:val="fr-CA" w:eastAsia="en-US"/>
        </w:rPr>
      </w:pPr>
      <w:r>
        <w:rPr>
          <w:b/>
          <w:szCs w:val="24"/>
          <w:lang w:val="fr-CA" w:eastAsia="en-US"/>
        </w:rPr>
        <w:tab/>
      </w:r>
      <w:r>
        <w:rPr>
          <w:b/>
          <w:szCs w:val="24"/>
          <w:lang w:val="fr-CA" w:eastAsia="en-US"/>
        </w:rPr>
        <w:tab/>
        <w:t>53.</w:t>
      </w:r>
      <w:r>
        <w:rPr>
          <w:szCs w:val="24"/>
          <w:lang w:val="fr-CA" w:eastAsia="en-US"/>
        </w:rPr>
        <w:t xml:space="preserve">  . . .</w:t>
      </w:r>
    </w:p>
    <w:p w:rsidR="00956B54" w:rsidRPr="00C7601B" w:rsidRDefault="00956B54" w:rsidP="007C46DA">
      <w:pPr>
        <w:pStyle w:val="Citation-AltC"/>
        <w:tabs>
          <w:tab w:val="left" w:pos="1710"/>
        </w:tabs>
        <w:spacing w:after="240"/>
        <w:ind w:hanging="1166"/>
        <w:contextualSpacing w:val="0"/>
        <w:rPr>
          <w:szCs w:val="24"/>
          <w:lang w:val="fr-CA" w:eastAsia="en-US"/>
        </w:rPr>
      </w:pPr>
      <w:r w:rsidRPr="00C7601B">
        <w:rPr>
          <w:b/>
          <w:szCs w:val="24"/>
          <w:lang w:val="fr-CA" w:eastAsia="en-US"/>
        </w:rPr>
        <w:tab/>
      </w:r>
      <w:r w:rsidRPr="00C7601B">
        <w:rPr>
          <w:szCs w:val="24"/>
          <w:lang w:val="fr-CA" w:eastAsia="en-US"/>
        </w:rPr>
        <w:tab/>
        <w:t>(2)</w:t>
      </w:r>
      <w:r w:rsidRPr="00C7601B">
        <w:rPr>
          <w:szCs w:val="24"/>
          <w:lang w:val="fr-CA" w:eastAsia="en-US"/>
        </w:rPr>
        <w:tab/>
      </w:r>
      <w:r w:rsidRPr="00C7601B">
        <w:rPr>
          <w:szCs w:val="24"/>
          <w:lang w:val="fr-CA"/>
        </w:rPr>
        <w:t xml:space="preserve">À l’issue de son enquête, le tribunal qui juge la plainte fondée peut </w:t>
      </w:r>
      <w:r w:rsidR="007C46DA" w:rsidRPr="00C7601B">
        <w:rPr>
          <w:szCs w:val="24"/>
          <w:lang w:val="fr-CA"/>
        </w:rPr>
        <w:t>[</w:t>
      </w:r>
      <w:r w:rsidRPr="00C7601B">
        <w:rPr>
          <w:szCs w:val="24"/>
          <w:lang w:val="fr-CA"/>
        </w:rPr>
        <w:t>.</w:t>
      </w:r>
      <w:r w:rsidR="00FC4A5B" w:rsidRPr="00C7601B">
        <w:rPr>
          <w:szCs w:val="24"/>
          <w:lang w:val="fr-CA"/>
        </w:rPr>
        <w:t xml:space="preserve"> </w:t>
      </w:r>
      <w:r w:rsidRPr="00C7601B">
        <w:rPr>
          <w:szCs w:val="24"/>
          <w:lang w:val="fr-CA"/>
        </w:rPr>
        <w:t>.</w:t>
      </w:r>
      <w:r w:rsidR="00FC4A5B" w:rsidRPr="00C7601B">
        <w:rPr>
          <w:szCs w:val="24"/>
          <w:lang w:val="fr-CA"/>
        </w:rPr>
        <w:t xml:space="preserve"> </w:t>
      </w:r>
      <w:r w:rsidRPr="00C7601B">
        <w:rPr>
          <w:szCs w:val="24"/>
          <w:lang w:val="fr-CA"/>
        </w:rPr>
        <w:t>.</w:t>
      </w:r>
      <w:r w:rsidR="007C46DA" w:rsidRPr="00C7601B">
        <w:rPr>
          <w:szCs w:val="24"/>
          <w:lang w:val="fr-CA"/>
        </w:rPr>
        <w:t>]</w:t>
      </w:r>
      <w:r w:rsidRPr="00C7601B">
        <w:rPr>
          <w:szCs w:val="24"/>
          <w:lang w:val="fr-CA"/>
        </w:rPr>
        <w:t xml:space="preserve"> ordonner, selon les circonstances, à la personne trouvée coupable d’un acte discriminatoire</w:t>
      </w:r>
      <w:r w:rsidR="00FC4A5B" w:rsidRPr="00C7601B">
        <w:rPr>
          <w:szCs w:val="24"/>
          <w:lang w:val="fr-CA"/>
        </w:rPr>
        <w:t xml:space="preserve"> </w:t>
      </w:r>
      <w:r w:rsidRPr="00C7601B">
        <w:rPr>
          <w:szCs w:val="24"/>
          <w:lang w:val="fr-CA"/>
        </w:rPr>
        <w:t>:</w:t>
      </w:r>
    </w:p>
    <w:p w:rsidR="00956B54" w:rsidRPr="00C7601B" w:rsidRDefault="00956B54" w:rsidP="00956B54">
      <w:pPr>
        <w:pStyle w:val="Citation-AltC"/>
        <w:tabs>
          <w:tab w:val="left" w:pos="2070"/>
        </w:tabs>
        <w:spacing w:after="240"/>
        <w:ind w:left="1714" w:hanging="1714"/>
        <w:contextualSpacing w:val="0"/>
        <w:rPr>
          <w:szCs w:val="24"/>
          <w:lang w:val="fr-CA" w:eastAsia="en-US"/>
        </w:rPr>
      </w:pPr>
      <w:r w:rsidRPr="00C7601B">
        <w:rPr>
          <w:i/>
          <w:iCs/>
          <w:szCs w:val="24"/>
          <w:lang w:val="fr-CA" w:eastAsia="en-US"/>
        </w:rPr>
        <w:lastRenderedPageBreak/>
        <w:tab/>
        <w:t>a</w:t>
      </w:r>
      <w:r w:rsidRPr="00C7601B">
        <w:rPr>
          <w:szCs w:val="24"/>
          <w:lang w:val="fr-CA" w:eastAsia="en-US"/>
        </w:rPr>
        <w:t>)</w:t>
      </w:r>
      <w:r w:rsidRPr="00C7601B">
        <w:rPr>
          <w:szCs w:val="24"/>
          <w:lang w:val="fr-CA" w:eastAsia="en-US"/>
        </w:rPr>
        <w:tab/>
      </w:r>
      <w:r w:rsidRPr="00C7601B">
        <w:rPr>
          <w:szCs w:val="24"/>
          <w:lang w:val="fr-CA"/>
        </w:rPr>
        <w:t>de mettre fin à l’acte et de prendre, en consultation avec la Commission relativement à leurs objectifs généraux, des mesures destinées à prévenir des actes semblables, notamment</w:t>
      </w:r>
      <w:r w:rsidR="00FC4A5B" w:rsidRPr="00C7601B">
        <w:rPr>
          <w:szCs w:val="24"/>
          <w:lang w:val="fr-CA"/>
        </w:rPr>
        <w:t xml:space="preserve"> </w:t>
      </w:r>
      <w:r w:rsidRPr="00C7601B">
        <w:rPr>
          <w:szCs w:val="24"/>
          <w:lang w:val="fr-CA"/>
        </w:rPr>
        <w:t>:</w:t>
      </w:r>
    </w:p>
    <w:p w:rsidR="00956B54" w:rsidRPr="00C7601B" w:rsidRDefault="00956B54" w:rsidP="007C46DA">
      <w:pPr>
        <w:pStyle w:val="Citation-AltC"/>
        <w:tabs>
          <w:tab w:val="left" w:pos="2790"/>
        </w:tabs>
        <w:spacing w:after="240"/>
        <w:ind w:left="2070" w:hanging="2347"/>
        <w:contextualSpacing w:val="0"/>
        <w:rPr>
          <w:szCs w:val="24"/>
          <w:lang w:val="fr-CA"/>
        </w:rPr>
      </w:pPr>
      <w:r w:rsidRPr="00C7601B">
        <w:rPr>
          <w:szCs w:val="24"/>
          <w:lang w:val="fr-CA" w:eastAsia="en-US"/>
        </w:rPr>
        <w:tab/>
        <w:t>(i)</w:t>
      </w:r>
      <w:r w:rsidRPr="00C7601B">
        <w:rPr>
          <w:szCs w:val="24"/>
          <w:lang w:val="fr-CA" w:eastAsia="en-US"/>
        </w:rPr>
        <w:tab/>
      </w:r>
      <w:r w:rsidRPr="00C7601B">
        <w:rPr>
          <w:szCs w:val="24"/>
          <w:lang w:val="fr-CA"/>
        </w:rPr>
        <w:t>d’adopter un programme, plan ou arrangement visé au paragraphe</w:t>
      </w:r>
      <w:r w:rsidR="00FC4A5B" w:rsidRPr="00C7601B">
        <w:rPr>
          <w:szCs w:val="24"/>
          <w:lang w:val="fr-CA"/>
        </w:rPr>
        <w:t xml:space="preserve"> </w:t>
      </w:r>
      <w:r w:rsidRPr="00C7601B">
        <w:rPr>
          <w:szCs w:val="24"/>
          <w:lang w:val="fr-CA"/>
        </w:rPr>
        <w:t>16(1),</w:t>
      </w:r>
    </w:p>
    <w:p w:rsidR="00956B54" w:rsidRPr="00C7601B" w:rsidRDefault="00956B54" w:rsidP="007C46DA">
      <w:pPr>
        <w:pStyle w:val="Citation-AltC"/>
        <w:tabs>
          <w:tab w:val="left" w:pos="2070"/>
          <w:tab w:val="left" w:pos="2790"/>
        </w:tabs>
        <w:spacing w:after="240"/>
        <w:ind w:left="2070" w:hanging="2070"/>
        <w:contextualSpacing w:val="0"/>
        <w:rPr>
          <w:szCs w:val="24"/>
          <w:lang w:val="fr-CA"/>
        </w:rPr>
      </w:pPr>
      <w:r w:rsidRPr="00C7601B">
        <w:rPr>
          <w:szCs w:val="24"/>
          <w:lang w:val="fr-CA" w:eastAsia="en-US"/>
        </w:rPr>
        <w:tab/>
        <w:t>(ii)</w:t>
      </w:r>
      <w:r w:rsidRPr="00C7601B">
        <w:rPr>
          <w:szCs w:val="24"/>
          <w:lang w:val="fr-CA" w:eastAsia="en-US"/>
        </w:rPr>
        <w:tab/>
      </w:r>
      <w:r w:rsidRPr="00C7601B">
        <w:rPr>
          <w:szCs w:val="24"/>
          <w:lang w:val="fr-CA"/>
        </w:rPr>
        <w:t>de présenter une demande d’approbation et de mettre en œuvre un programme prévus à l’article</w:t>
      </w:r>
      <w:r w:rsidR="00C7601B" w:rsidRPr="00C7601B">
        <w:rPr>
          <w:szCs w:val="24"/>
          <w:lang w:val="fr-CA"/>
        </w:rPr>
        <w:t> </w:t>
      </w:r>
      <w:r w:rsidRPr="00C7601B">
        <w:rPr>
          <w:szCs w:val="24"/>
          <w:lang w:val="fr-CA"/>
        </w:rPr>
        <w:t>17;</w:t>
      </w:r>
    </w:p>
    <w:p w:rsidR="00956B54" w:rsidRPr="00C7601B" w:rsidRDefault="00956B54" w:rsidP="00956B54">
      <w:pPr>
        <w:pStyle w:val="Citation-AltC"/>
        <w:tabs>
          <w:tab w:val="left" w:pos="2070"/>
        </w:tabs>
        <w:spacing w:after="240"/>
        <w:ind w:left="1714" w:hanging="1714"/>
        <w:contextualSpacing w:val="0"/>
        <w:rPr>
          <w:szCs w:val="24"/>
          <w:lang w:val="fr-CA" w:eastAsia="en-US"/>
        </w:rPr>
      </w:pPr>
      <w:r w:rsidRPr="00C7601B">
        <w:rPr>
          <w:i/>
          <w:iCs/>
          <w:szCs w:val="24"/>
          <w:lang w:val="fr-CA" w:eastAsia="en-US"/>
        </w:rPr>
        <w:tab/>
        <w:t>b</w:t>
      </w:r>
      <w:r w:rsidRPr="00C7601B">
        <w:rPr>
          <w:szCs w:val="24"/>
          <w:lang w:val="fr-CA" w:eastAsia="en-US"/>
        </w:rPr>
        <w:t>)</w:t>
      </w:r>
      <w:r w:rsidRPr="00C7601B">
        <w:rPr>
          <w:szCs w:val="24"/>
          <w:lang w:val="fr-CA" w:eastAsia="en-US"/>
        </w:rPr>
        <w:tab/>
      </w:r>
      <w:r w:rsidRPr="00C7601B">
        <w:rPr>
          <w:szCs w:val="24"/>
          <w:lang w:val="fr-CA"/>
        </w:rPr>
        <w:t>d’accorder à la victime, dès que les circonstances le permettent, les droits, chances ou avantages dont, de l’avis du tribunal, l’acte l’a privée;</w:t>
      </w:r>
    </w:p>
    <w:p w:rsidR="00956B54" w:rsidRPr="00C7601B" w:rsidRDefault="00956B54" w:rsidP="00956B54">
      <w:pPr>
        <w:pStyle w:val="Citation-AltC"/>
        <w:tabs>
          <w:tab w:val="left" w:pos="2070"/>
        </w:tabs>
        <w:spacing w:after="240"/>
        <w:ind w:left="1714" w:hanging="1714"/>
        <w:contextualSpacing w:val="0"/>
        <w:rPr>
          <w:szCs w:val="24"/>
          <w:lang w:val="fr-CA" w:eastAsia="en-US"/>
        </w:rPr>
      </w:pPr>
      <w:r w:rsidRPr="00C7601B">
        <w:rPr>
          <w:i/>
          <w:iCs/>
          <w:szCs w:val="24"/>
          <w:lang w:val="fr-CA" w:eastAsia="en-US"/>
        </w:rPr>
        <w:tab/>
        <w:t>c</w:t>
      </w:r>
      <w:r w:rsidRPr="00C7601B">
        <w:rPr>
          <w:szCs w:val="24"/>
          <w:lang w:val="fr-CA" w:eastAsia="en-US"/>
        </w:rPr>
        <w:t>)</w:t>
      </w:r>
      <w:r w:rsidRPr="00C7601B">
        <w:rPr>
          <w:szCs w:val="24"/>
          <w:lang w:val="fr-CA" w:eastAsia="en-US"/>
        </w:rPr>
        <w:tab/>
      </w:r>
      <w:r w:rsidRPr="00C7601B">
        <w:rPr>
          <w:szCs w:val="24"/>
          <w:lang w:val="fr-CA"/>
        </w:rPr>
        <w:t>d’indemniser la victime de la totalité, ou de la fraction qu’il juge indiquée, des pertes de salaire et des dépenses entraînées par l’acte;</w:t>
      </w:r>
    </w:p>
    <w:p w:rsidR="00956B54" w:rsidRPr="00C7601B" w:rsidRDefault="00956B54" w:rsidP="00956B54">
      <w:pPr>
        <w:pStyle w:val="Citation-AltC"/>
        <w:tabs>
          <w:tab w:val="left" w:pos="2070"/>
        </w:tabs>
        <w:spacing w:after="240"/>
        <w:ind w:left="1714" w:hanging="1714"/>
        <w:contextualSpacing w:val="0"/>
        <w:rPr>
          <w:szCs w:val="24"/>
          <w:lang w:val="fr-CA" w:eastAsia="en-US"/>
        </w:rPr>
      </w:pPr>
      <w:r w:rsidRPr="00C7601B">
        <w:rPr>
          <w:i/>
          <w:iCs/>
          <w:szCs w:val="24"/>
          <w:lang w:val="fr-CA" w:eastAsia="en-US"/>
        </w:rPr>
        <w:tab/>
        <w:t>d</w:t>
      </w:r>
      <w:r w:rsidRPr="00C7601B">
        <w:rPr>
          <w:szCs w:val="24"/>
          <w:lang w:val="fr-CA" w:eastAsia="en-US"/>
        </w:rPr>
        <w:t>)</w:t>
      </w:r>
      <w:r w:rsidRPr="00C7601B">
        <w:rPr>
          <w:szCs w:val="24"/>
          <w:lang w:val="fr-CA" w:eastAsia="en-US"/>
        </w:rPr>
        <w:tab/>
      </w:r>
      <w:r w:rsidRPr="00C7601B">
        <w:rPr>
          <w:szCs w:val="24"/>
          <w:lang w:val="fr-CA"/>
        </w:rPr>
        <w:t>d’indemniser la victime de la totalité, ou de la fraction qu’il juge indiquée, des frais supplémentaires occasionnés par le recours à d’autres biens, services, installations ou moyens d’hébergement, et des dépenses entraînées par l’acte.</w:t>
      </w:r>
    </w:p>
    <w:p w:rsidR="00956B54" w:rsidRPr="00C7601B" w:rsidRDefault="00956B54" w:rsidP="007C46DA">
      <w:pPr>
        <w:pStyle w:val="Citation-AltC"/>
        <w:tabs>
          <w:tab w:val="left" w:pos="1710"/>
          <w:tab w:val="left" w:pos="1800"/>
        </w:tabs>
        <w:spacing w:after="240"/>
        <w:ind w:hanging="1166"/>
        <w:contextualSpacing w:val="0"/>
        <w:rPr>
          <w:szCs w:val="24"/>
          <w:lang w:val="fr-CA" w:eastAsia="en-US"/>
        </w:rPr>
      </w:pPr>
      <w:r w:rsidRPr="00C7601B">
        <w:rPr>
          <w:szCs w:val="24"/>
          <w:lang w:val="fr-CA" w:eastAsia="en-US"/>
        </w:rPr>
        <w:tab/>
      </w:r>
      <w:r w:rsidR="007C46DA" w:rsidRPr="00C7601B">
        <w:rPr>
          <w:szCs w:val="24"/>
          <w:lang w:val="fr-CA" w:eastAsia="en-US"/>
        </w:rPr>
        <w:tab/>
      </w:r>
      <w:r w:rsidRPr="00C7601B">
        <w:rPr>
          <w:szCs w:val="24"/>
          <w:lang w:val="fr-CA" w:eastAsia="en-US"/>
        </w:rPr>
        <w:t>(3)</w:t>
      </w:r>
      <w:r w:rsidRPr="00C7601B">
        <w:rPr>
          <w:szCs w:val="24"/>
          <w:lang w:val="fr-CA" w:eastAsia="en-US"/>
        </w:rPr>
        <w:tab/>
      </w:r>
      <w:r w:rsidRPr="00C7601B">
        <w:rPr>
          <w:szCs w:val="24"/>
          <w:lang w:val="fr-CA"/>
        </w:rPr>
        <w:t>Outre les pouvoirs que lui confère le paragraphe</w:t>
      </w:r>
      <w:r w:rsidR="00FC4A5B" w:rsidRPr="00C7601B">
        <w:rPr>
          <w:szCs w:val="24"/>
          <w:lang w:val="fr-CA"/>
        </w:rPr>
        <w:t xml:space="preserve"> </w:t>
      </w:r>
      <w:r w:rsidRPr="00C7601B">
        <w:rPr>
          <w:szCs w:val="24"/>
          <w:lang w:val="fr-CA"/>
        </w:rPr>
        <w:t>(2), le tribunal peut ordonner à l’auteur d’un acte discriminatoire de payer à la victime une indemnité maximale de cinq mille dollars, s’il en vient à la conclusion, selon le cas</w:t>
      </w:r>
      <w:r w:rsidR="00FC4A5B" w:rsidRPr="00C7601B">
        <w:rPr>
          <w:szCs w:val="24"/>
          <w:lang w:val="fr-CA"/>
        </w:rPr>
        <w:t xml:space="preserve"> </w:t>
      </w:r>
      <w:r w:rsidRPr="00C7601B">
        <w:rPr>
          <w:szCs w:val="24"/>
          <w:lang w:val="fr-CA"/>
        </w:rPr>
        <w:t>:</w:t>
      </w:r>
    </w:p>
    <w:p w:rsidR="00956B54" w:rsidRPr="00C7601B" w:rsidRDefault="00956B54" w:rsidP="00956B54">
      <w:pPr>
        <w:pStyle w:val="Citation-AltC"/>
        <w:tabs>
          <w:tab w:val="left" w:pos="2070"/>
        </w:tabs>
        <w:spacing w:after="240"/>
        <w:ind w:left="1714" w:hanging="1714"/>
        <w:contextualSpacing w:val="0"/>
        <w:rPr>
          <w:szCs w:val="24"/>
          <w:lang w:val="fr-CA" w:eastAsia="en-US"/>
        </w:rPr>
      </w:pPr>
      <w:r w:rsidRPr="00C7601B">
        <w:rPr>
          <w:i/>
          <w:szCs w:val="24"/>
          <w:lang w:val="fr-CA" w:eastAsia="en-US"/>
        </w:rPr>
        <w:tab/>
        <w:t>a</w:t>
      </w:r>
      <w:r w:rsidRPr="00C7601B">
        <w:rPr>
          <w:szCs w:val="24"/>
          <w:lang w:val="fr-CA" w:eastAsia="en-US"/>
        </w:rPr>
        <w:t>)</w:t>
      </w:r>
      <w:r w:rsidRPr="00C7601B">
        <w:rPr>
          <w:szCs w:val="24"/>
          <w:lang w:val="fr-CA" w:eastAsia="en-US"/>
        </w:rPr>
        <w:tab/>
      </w:r>
      <w:r w:rsidRPr="00C7601B">
        <w:rPr>
          <w:szCs w:val="24"/>
          <w:lang w:val="fr-CA"/>
        </w:rPr>
        <w:t>que l’acte a été délibéré ou inconsidéré;</w:t>
      </w:r>
    </w:p>
    <w:p w:rsidR="00956B54" w:rsidRPr="00C7601B" w:rsidRDefault="00956B54" w:rsidP="007C46DA">
      <w:pPr>
        <w:pStyle w:val="Citation-AltC"/>
        <w:tabs>
          <w:tab w:val="left" w:pos="2070"/>
        </w:tabs>
        <w:spacing w:after="480" w:line="480" w:lineRule="auto"/>
        <w:ind w:left="1714" w:hanging="1714"/>
        <w:contextualSpacing w:val="0"/>
        <w:rPr>
          <w:szCs w:val="24"/>
          <w:lang w:val="fr-CA" w:eastAsia="en-US"/>
        </w:rPr>
      </w:pPr>
      <w:r w:rsidRPr="00C7601B">
        <w:rPr>
          <w:i/>
          <w:szCs w:val="24"/>
          <w:lang w:val="fr-CA" w:eastAsia="en-US"/>
        </w:rPr>
        <w:tab/>
        <w:t>b</w:t>
      </w:r>
      <w:r w:rsidRPr="00C7601B">
        <w:rPr>
          <w:szCs w:val="24"/>
          <w:lang w:val="fr-CA" w:eastAsia="en-US"/>
        </w:rPr>
        <w:t>)</w:t>
      </w:r>
      <w:r w:rsidRPr="00C7601B">
        <w:rPr>
          <w:szCs w:val="24"/>
          <w:lang w:val="fr-CA" w:eastAsia="en-US"/>
        </w:rPr>
        <w:tab/>
      </w:r>
      <w:r w:rsidRPr="00C7601B">
        <w:rPr>
          <w:szCs w:val="24"/>
          <w:lang w:val="fr-CA"/>
        </w:rPr>
        <w:t>que la victime en a souffert un préjudice moral.</w:t>
      </w:r>
    </w:p>
    <w:p w:rsidR="00956B54" w:rsidRPr="00C7601B" w:rsidRDefault="00956B54" w:rsidP="00956B54">
      <w:pPr>
        <w:pStyle w:val="ParaNoNdepar-AltN"/>
        <w:rPr>
          <w:rFonts w:cs="Times New Roman"/>
          <w:szCs w:val="24"/>
          <w:lang w:val="fr-CA"/>
        </w:rPr>
      </w:pPr>
      <w:r w:rsidRPr="00C7601B">
        <w:rPr>
          <w:rFonts w:cs="Times New Roman"/>
          <w:szCs w:val="24"/>
          <w:lang w:val="fr-CA"/>
        </w:rPr>
        <w:t>Il nous paraît significatif que l’expression «</w:t>
      </w:r>
      <w:r w:rsidR="00FC4A5B" w:rsidRPr="00C7601B">
        <w:rPr>
          <w:rFonts w:cs="Times New Roman"/>
          <w:szCs w:val="24"/>
          <w:lang w:val="fr-CA"/>
        </w:rPr>
        <w:t xml:space="preserve"> </w:t>
      </w:r>
      <w:r w:rsidRPr="00C7601B">
        <w:rPr>
          <w:rFonts w:cs="Times New Roman"/>
          <w:szCs w:val="24"/>
          <w:lang w:val="fr-CA"/>
        </w:rPr>
        <w:t xml:space="preserve">indemniser la victime </w:t>
      </w:r>
      <w:r w:rsidR="007C46DA" w:rsidRPr="00C7601B">
        <w:rPr>
          <w:rFonts w:cs="Times New Roman"/>
          <w:szCs w:val="24"/>
          <w:lang w:val="fr-CA"/>
        </w:rPr>
        <w:t>[</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w:t>
      </w:r>
      <w:r w:rsidR="007C46DA" w:rsidRPr="00C7601B">
        <w:rPr>
          <w:rFonts w:cs="Times New Roman"/>
          <w:szCs w:val="24"/>
          <w:lang w:val="fr-CA"/>
        </w:rPr>
        <w:t>]</w:t>
      </w:r>
      <w:r w:rsidRPr="00C7601B">
        <w:rPr>
          <w:rFonts w:cs="Times New Roman"/>
          <w:szCs w:val="24"/>
          <w:lang w:val="fr-CA"/>
        </w:rPr>
        <w:t xml:space="preserve"> des dépenses entraînées par l’acte</w:t>
      </w:r>
      <w:r w:rsidR="00FC4A5B" w:rsidRPr="00C7601B">
        <w:rPr>
          <w:rFonts w:cs="Times New Roman"/>
          <w:szCs w:val="24"/>
          <w:lang w:val="fr-CA"/>
        </w:rPr>
        <w:t xml:space="preserve"> </w:t>
      </w:r>
      <w:r w:rsidRPr="00C7601B">
        <w:rPr>
          <w:rFonts w:cs="Times New Roman"/>
          <w:szCs w:val="24"/>
          <w:lang w:val="fr-CA"/>
        </w:rPr>
        <w:t>» figure dans deux alinéas successifs.</w:t>
      </w:r>
      <w:r w:rsidR="00FC4A5B" w:rsidRPr="00C7601B">
        <w:rPr>
          <w:rFonts w:cs="Times New Roman"/>
          <w:szCs w:val="24"/>
          <w:lang w:val="fr-CA"/>
        </w:rPr>
        <w:t xml:space="preserve"> </w:t>
      </w:r>
      <w:r w:rsidRPr="00C7601B">
        <w:rPr>
          <w:rFonts w:cs="Times New Roman"/>
          <w:szCs w:val="24"/>
          <w:lang w:val="fr-CA"/>
        </w:rPr>
        <w:t>Le texte est identique, mais chaque fois, le renvoi aux dépenses est précédé d’un libellé particulier et différent.</w:t>
      </w:r>
      <w:r w:rsidR="00FC4A5B" w:rsidRPr="00C7601B">
        <w:rPr>
          <w:rFonts w:cs="Times New Roman"/>
          <w:szCs w:val="24"/>
          <w:lang w:val="fr-CA"/>
        </w:rPr>
        <w:t xml:space="preserve"> </w:t>
      </w:r>
      <w:r w:rsidRPr="00C7601B">
        <w:rPr>
          <w:rFonts w:cs="Times New Roman"/>
          <w:szCs w:val="24"/>
          <w:lang w:val="fr-CA"/>
        </w:rPr>
        <w:t>La répétition du mot «</w:t>
      </w:r>
      <w:r w:rsidR="00FC4A5B" w:rsidRPr="00C7601B">
        <w:rPr>
          <w:rFonts w:cs="Times New Roman"/>
          <w:szCs w:val="24"/>
          <w:lang w:val="fr-CA"/>
        </w:rPr>
        <w:t xml:space="preserve"> </w:t>
      </w:r>
      <w:r w:rsidRPr="00C7601B">
        <w:rPr>
          <w:rFonts w:cs="Times New Roman"/>
          <w:szCs w:val="24"/>
          <w:lang w:val="fr-CA"/>
        </w:rPr>
        <w:t>dépenses</w:t>
      </w:r>
      <w:r w:rsidR="00FC4A5B" w:rsidRPr="00C7601B">
        <w:rPr>
          <w:rFonts w:cs="Times New Roman"/>
          <w:szCs w:val="24"/>
          <w:lang w:val="fr-CA"/>
        </w:rPr>
        <w:t xml:space="preserve"> </w:t>
      </w:r>
      <w:r w:rsidRPr="00C7601B">
        <w:rPr>
          <w:rFonts w:cs="Times New Roman"/>
          <w:szCs w:val="24"/>
          <w:lang w:val="fr-CA"/>
        </w:rPr>
        <w:t>» et le contexte dans lequel celui-ci est employé donnent franchement à penser que la nature des dépenses visées dépend du type d’indemnité prévu par le libellé particulier de chacun de ces alinéas.</w:t>
      </w:r>
      <w:r w:rsidR="00FC4A5B" w:rsidRPr="00C7601B">
        <w:rPr>
          <w:rFonts w:cs="Times New Roman"/>
          <w:szCs w:val="24"/>
          <w:lang w:val="fr-CA"/>
        </w:rPr>
        <w:t xml:space="preserve"> </w:t>
      </w:r>
      <w:r w:rsidRPr="00C7601B">
        <w:rPr>
          <w:rFonts w:cs="Times New Roman"/>
          <w:szCs w:val="24"/>
          <w:lang w:val="fr-CA"/>
        </w:rPr>
        <w:t>Ainsi, à l’al.</w:t>
      </w:r>
      <w:r w:rsidR="00FC4A5B" w:rsidRPr="00C7601B">
        <w:rPr>
          <w:rFonts w:cs="Times New Roman"/>
          <w:szCs w:val="24"/>
          <w:lang w:val="fr-CA"/>
        </w:rPr>
        <w:t xml:space="preserve"> </w:t>
      </w:r>
      <w:r w:rsidRPr="00C7601B">
        <w:rPr>
          <w:rFonts w:cs="Times New Roman"/>
          <w:szCs w:val="24"/>
          <w:lang w:val="fr-CA"/>
        </w:rPr>
        <w:t>53(2)</w:t>
      </w:r>
      <w:r w:rsidRPr="00C7601B">
        <w:rPr>
          <w:rFonts w:cs="Times New Roman"/>
          <w:i/>
          <w:szCs w:val="24"/>
          <w:lang w:val="fr-CA"/>
        </w:rPr>
        <w:t>c</w:t>
      </w:r>
      <w:r w:rsidRPr="00C7601B">
        <w:rPr>
          <w:rFonts w:cs="Times New Roman"/>
          <w:szCs w:val="24"/>
          <w:lang w:val="fr-CA"/>
        </w:rPr>
        <w:t xml:space="preserve">), l’auteur de l’acte discriminatoire est tenu d’indemniser la victime des pertes </w:t>
      </w:r>
      <w:r w:rsidRPr="00C7601B">
        <w:rPr>
          <w:rFonts w:cs="Times New Roman"/>
          <w:szCs w:val="24"/>
          <w:lang w:val="fr-CA"/>
        </w:rPr>
        <w:lastRenderedPageBreak/>
        <w:t>de salaire et des dépenses entraînées par l’acte.</w:t>
      </w:r>
      <w:r w:rsidR="00FC4A5B" w:rsidRPr="00C7601B">
        <w:rPr>
          <w:rFonts w:cs="Times New Roman"/>
          <w:szCs w:val="24"/>
          <w:lang w:val="fr-CA"/>
        </w:rPr>
        <w:t xml:space="preserve"> </w:t>
      </w:r>
      <w:r w:rsidRPr="00C7601B">
        <w:rPr>
          <w:rFonts w:cs="Times New Roman"/>
          <w:szCs w:val="24"/>
          <w:lang w:val="fr-CA"/>
        </w:rPr>
        <w:t>À l’alinéa</w:t>
      </w:r>
      <w:r w:rsidR="00FC4A5B" w:rsidRPr="00C7601B">
        <w:rPr>
          <w:rFonts w:cs="Times New Roman"/>
          <w:szCs w:val="24"/>
          <w:lang w:val="fr-CA"/>
        </w:rPr>
        <w:t xml:space="preserve"> </w:t>
      </w:r>
      <w:r w:rsidRPr="00C7601B">
        <w:rPr>
          <w:rFonts w:cs="Times New Roman"/>
          <w:szCs w:val="24"/>
          <w:lang w:val="fr-CA"/>
        </w:rPr>
        <w:t>53(2)</w:t>
      </w:r>
      <w:r w:rsidRPr="00C7601B">
        <w:rPr>
          <w:rFonts w:cs="Times New Roman"/>
          <w:i/>
          <w:szCs w:val="24"/>
          <w:lang w:val="fr-CA"/>
        </w:rPr>
        <w:t>d</w:t>
      </w:r>
      <w:r w:rsidRPr="00C7601B">
        <w:rPr>
          <w:rFonts w:cs="Times New Roman"/>
          <w:szCs w:val="24"/>
          <w:lang w:val="fr-CA"/>
        </w:rPr>
        <w:t>), l’indemnité vise les frais supplémentaires occasionnés par le recours à d’autres biens, services, installations ou moyens d’hébergement, en plus des dépenses entraînées par l’acte discriminatoire.</w:t>
      </w:r>
      <w:r w:rsidR="00FC4A5B" w:rsidRPr="00C7601B">
        <w:rPr>
          <w:rFonts w:cs="Times New Roman"/>
          <w:szCs w:val="24"/>
          <w:lang w:val="fr-CA"/>
        </w:rPr>
        <w:t xml:space="preserve"> </w:t>
      </w:r>
      <w:r w:rsidRPr="00C7601B">
        <w:rPr>
          <w:rFonts w:cs="Times New Roman"/>
          <w:szCs w:val="24"/>
          <w:lang w:val="fr-CA"/>
        </w:rPr>
        <w:t>Si l’emploi du mot «</w:t>
      </w:r>
      <w:r w:rsidR="00FC4A5B" w:rsidRPr="00C7601B">
        <w:rPr>
          <w:rFonts w:cs="Times New Roman"/>
          <w:szCs w:val="24"/>
          <w:lang w:val="fr-CA"/>
        </w:rPr>
        <w:t xml:space="preserve"> </w:t>
      </w:r>
      <w:r w:rsidRPr="00C7601B">
        <w:rPr>
          <w:rFonts w:cs="Times New Roman"/>
          <w:szCs w:val="24"/>
          <w:lang w:val="fr-CA"/>
        </w:rPr>
        <w:t>dépenses</w:t>
      </w:r>
      <w:r w:rsidR="00FC4A5B" w:rsidRPr="00C7601B">
        <w:rPr>
          <w:rFonts w:cs="Times New Roman"/>
          <w:szCs w:val="24"/>
          <w:lang w:val="fr-CA"/>
        </w:rPr>
        <w:t xml:space="preserve"> </w:t>
      </w:r>
      <w:r w:rsidRPr="00C7601B">
        <w:rPr>
          <w:rFonts w:cs="Times New Roman"/>
          <w:szCs w:val="24"/>
          <w:lang w:val="fr-CA"/>
        </w:rPr>
        <w:t>» vise à conférer le pouvoir distinct d’accorder des dépens pour tous les types de plaintes, on conçoit difficilement que ce pouvoir soit attribué non seulement dans le contexte de la perte de salaire, mais aussi dans celui de la fourniture de services et que le pouvoir d’adjuger des dépens ne fasse pas l’objet d’un alinéa distinct au lieu d’être prévu dans le contexte précis de deux alinéas.</w:t>
      </w:r>
      <w:r w:rsidR="00FC4A5B" w:rsidRPr="00C7601B">
        <w:rPr>
          <w:rFonts w:cs="Times New Roman"/>
          <w:szCs w:val="24"/>
          <w:lang w:val="fr-CA"/>
        </w:rPr>
        <w:t xml:space="preserve"> </w:t>
      </w:r>
      <w:r w:rsidRPr="00C7601B">
        <w:rPr>
          <w:rFonts w:cs="Times New Roman"/>
          <w:szCs w:val="24"/>
          <w:lang w:val="fr-CA"/>
        </w:rPr>
        <w:t>On peut en conclure que l’intention du législateur était de faire en sorte que le mot «</w:t>
      </w:r>
      <w:r w:rsidR="00FC4A5B" w:rsidRPr="00C7601B">
        <w:rPr>
          <w:rFonts w:cs="Times New Roman"/>
          <w:szCs w:val="24"/>
          <w:lang w:val="fr-CA"/>
        </w:rPr>
        <w:t xml:space="preserve"> </w:t>
      </w:r>
      <w:r w:rsidRPr="00C7601B">
        <w:rPr>
          <w:rFonts w:cs="Times New Roman"/>
          <w:szCs w:val="24"/>
          <w:lang w:val="fr-CA"/>
        </w:rPr>
        <w:t>dépenses</w:t>
      </w:r>
      <w:r w:rsidR="00FC4A5B" w:rsidRPr="00C7601B">
        <w:rPr>
          <w:rFonts w:cs="Times New Roman"/>
          <w:szCs w:val="24"/>
          <w:lang w:val="fr-CA"/>
        </w:rPr>
        <w:t xml:space="preserve"> </w:t>
      </w:r>
      <w:r w:rsidRPr="00C7601B">
        <w:rPr>
          <w:rFonts w:cs="Times New Roman"/>
          <w:szCs w:val="24"/>
          <w:lang w:val="fr-CA"/>
        </w:rPr>
        <w:t>» ait un sens différent à chacun des al</w:t>
      </w:r>
      <w:r w:rsidR="007C46DA" w:rsidRPr="00C7601B">
        <w:rPr>
          <w:rFonts w:cs="Times New Roman"/>
          <w:szCs w:val="24"/>
          <w:lang w:val="fr-CA"/>
        </w:rPr>
        <w:t>.</w:t>
      </w:r>
      <w:r w:rsidR="00FC4A5B" w:rsidRPr="00C7601B">
        <w:rPr>
          <w:rFonts w:cs="Times New Roman"/>
          <w:szCs w:val="24"/>
          <w:lang w:val="fr-CA"/>
        </w:rPr>
        <w:t xml:space="preserve"> </w:t>
      </w:r>
      <w:r w:rsidRPr="00C7601B">
        <w:rPr>
          <w:rFonts w:cs="Times New Roman"/>
          <w:i/>
          <w:szCs w:val="24"/>
          <w:lang w:val="fr-CA"/>
        </w:rPr>
        <w:t>c</w:t>
      </w:r>
      <w:r w:rsidRPr="00C7601B">
        <w:rPr>
          <w:rFonts w:cs="Times New Roman"/>
          <w:szCs w:val="24"/>
          <w:lang w:val="fr-CA"/>
        </w:rPr>
        <w:t xml:space="preserve">) et </w:t>
      </w:r>
      <w:r w:rsidRPr="00C7601B">
        <w:rPr>
          <w:rFonts w:cs="Times New Roman"/>
          <w:i/>
          <w:szCs w:val="24"/>
          <w:lang w:val="fr-CA"/>
        </w:rPr>
        <w:t>d</w:t>
      </w:r>
      <w:r w:rsidRPr="00C7601B">
        <w:rPr>
          <w:rFonts w:cs="Times New Roman"/>
          <w:szCs w:val="24"/>
          <w:lang w:val="fr-CA"/>
        </w:rPr>
        <w:t xml:space="preserve">). </w:t>
      </w:r>
    </w:p>
    <w:p w:rsidR="00956B54" w:rsidRPr="00C7601B" w:rsidRDefault="00956B54" w:rsidP="00956B54">
      <w:pPr>
        <w:pStyle w:val="ParaNoNdepar-AltN"/>
        <w:rPr>
          <w:rFonts w:cs="Times New Roman"/>
          <w:szCs w:val="24"/>
          <w:lang w:val="fr-CA"/>
        </w:rPr>
      </w:pPr>
      <w:r w:rsidRPr="00C7601B">
        <w:rPr>
          <w:rFonts w:cs="Times New Roman"/>
          <w:szCs w:val="24"/>
          <w:lang w:val="fr-CA"/>
        </w:rPr>
        <w:t>L’interprétation retenue par le Tribunal rend superflue la répétition du mot «</w:t>
      </w:r>
      <w:r w:rsidR="00FC4A5B" w:rsidRPr="00C7601B">
        <w:rPr>
          <w:rFonts w:cs="Times New Roman"/>
          <w:szCs w:val="24"/>
          <w:lang w:val="fr-CA"/>
        </w:rPr>
        <w:t xml:space="preserve"> </w:t>
      </w:r>
      <w:r w:rsidRPr="00C7601B">
        <w:rPr>
          <w:rFonts w:cs="Times New Roman"/>
          <w:szCs w:val="24"/>
          <w:lang w:val="fr-CA"/>
        </w:rPr>
        <w:t>dépenses</w:t>
      </w:r>
      <w:r w:rsidR="00FC4A5B" w:rsidRPr="00C7601B">
        <w:rPr>
          <w:rFonts w:cs="Times New Roman"/>
          <w:szCs w:val="24"/>
          <w:lang w:val="fr-CA"/>
        </w:rPr>
        <w:t xml:space="preserve"> </w:t>
      </w:r>
      <w:r w:rsidRPr="00C7601B">
        <w:rPr>
          <w:rFonts w:cs="Times New Roman"/>
          <w:szCs w:val="24"/>
          <w:lang w:val="fr-CA"/>
        </w:rPr>
        <w:t>» et n’explique pas le rattachement de ce terme à l’indemnité visée par chacun des alinéas.</w:t>
      </w:r>
      <w:r w:rsidR="00FC4A5B" w:rsidRPr="00C7601B">
        <w:rPr>
          <w:rFonts w:cs="Times New Roman"/>
          <w:szCs w:val="24"/>
          <w:lang w:val="fr-CA"/>
        </w:rPr>
        <w:t xml:space="preserve"> </w:t>
      </w:r>
      <w:r w:rsidRPr="00C7601B">
        <w:rPr>
          <w:rFonts w:cs="Times New Roman"/>
          <w:szCs w:val="24"/>
          <w:lang w:val="fr-CA"/>
        </w:rPr>
        <w:t>Elle va à l’encontre de la présomption d’absence de tautologie qu’établissent les règles d’interprétation législative.</w:t>
      </w:r>
      <w:r w:rsidR="00FC4A5B" w:rsidRPr="00C7601B">
        <w:rPr>
          <w:rFonts w:cs="Times New Roman"/>
          <w:szCs w:val="24"/>
          <w:lang w:val="fr-CA"/>
        </w:rPr>
        <w:t xml:space="preserve"> </w:t>
      </w:r>
      <w:r w:rsidRPr="00C7601B">
        <w:rPr>
          <w:rFonts w:cs="Times New Roman"/>
          <w:szCs w:val="24"/>
          <w:lang w:val="fr-CA"/>
        </w:rPr>
        <w:t>La professeure Sullivan signale d’ailleurs à la p.</w:t>
      </w:r>
      <w:r w:rsidR="00FC4A5B" w:rsidRPr="00C7601B">
        <w:rPr>
          <w:rFonts w:cs="Times New Roman"/>
          <w:szCs w:val="24"/>
          <w:lang w:val="fr-CA"/>
        </w:rPr>
        <w:t xml:space="preserve"> </w:t>
      </w:r>
      <w:r w:rsidRPr="00C7601B">
        <w:rPr>
          <w:rFonts w:cs="Times New Roman"/>
          <w:szCs w:val="24"/>
          <w:lang w:val="fr-CA"/>
        </w:rPr>
        <w:t>210 de son ouvrage que [</w:t>
      </w:r>
      <w:r w:rsidR="004A4BD5" w:rsidRPr="004A4BD5">
        <w:rPr>
          <w:rFonts w:cs="Times New Roman"/>
          <w:smallCaps/>
          <w:szCs w:val="24"/>
          <w:lang w:val="fr-CA"/>
        </w:rPr>
        <w:t>traduction</w:t>
      </w:r>
      <w:r w:rsidRPr="00C7601B">
        <w:rPr>
          <w:rFonts w:cs="Times New Roman"/>
          <w:szCs w:val="24"/>
          <w:lang w:val="fr-CA"/>
        </w:rPr>
        <w:t>] « [l]</w:t>
      </w:r>
      <w:r w:rsidRPr="0051705B">
        <w:rPr>
          <w:rFonts w:cs="Times New Roman"/>
          <w:szCs w:val="24"/>
          <w:lang w:val="fr-CA"/>
        </w:rPr>
        <w:t>e législateur est présumé ne pas utiliser de mots superflus ou dénués de sens, ne pas se répéter inutilement ni s’exprimer en vain.</w:t>
      </w:r>
      <w:r w:rsidR="00FC4A5B" w:rsidRPr="00C7601B">
        <w:rPr>
          <w:rFonts w:cs="Times New Roman"/>
          <w:szCs w:val="24"/>
          <w:lang w:val="fr-CA"/>
        </w:rPr>
        <w:t xml:space="preserve"> </w:t>
      </w:r>
      <w:r w:rsidR="0031663A" w:rsidRPr="00C7601B">
        <w:rPr>
          <w:rFonts w:cs="Times New Roman"/>
          <w:szCs w:val="24"/>
          <w:lang w:val="fr-CA"/>
        </w:rPr>
        <w:t>Chaque mot d’une loi est présumé avoir un sens et jouer un rôle précis dans la réalisation de l’objectif du législateur</w:t>
      </w:r>
      <w:r w:rsidR="0051705B">
        <w:rPr>
          <w:rFonts w:cs="Times New Roman"/>
          <w:szCs w:val="24"/>
          <w:lang w:val="fr-CA"/>
        </w:rPr>
        <w:t>.</w:t>
      </w:r>
      <w:r w:rsidR="00FC4A5B" w:rsidRPr="00C7601B">
        <w:rPr>
          <w:rFonts w:cs="Times New Roman"/>
          <w:szCs w:val="24"/>
          <w:lang w:val="fr-CA"/>
        </w:rPr>
        <w:t xml:space="preserve"> </w:t>
      </w:r>
      <w:r w:rsidR="0051705B">
        <w:rPr>
          <w:rFonts w:cs="Times New Roman"/>
          <w:szCs w:val="24"/>
          <w:lang w:val="fr-CA"/>
        </w:rPr>
        <w:t>»</w:t>
      </w:r>
      <w:r w:rsidR="00FC4A5B" w:rsidRPr="00C7601B">
        <w:rPr>
          <w:rFonts w:cs="Times New Roman"/>
          <w:szCs w:val="24"/>
          <w:lang w:val="fr-CA"/>
        </w:rPr>
        <w:t xml:space="preserve"> </w:t>
      </w:r>
      <w:r w:rsidR="0031663A" w:rsidRPr="00C7601B">
        <w:rPr>
          <w:rFonts w:cs="Times New Roman"/>
          <w:szCs w:val="24"/>
          <w:lang w:val="fr-CA"/>
        </w:rPr>
        <w:t xml:space="preserve">Comme l’explique l’ancien juge en chef </w:t>
      </w:r>
      <w:r w:rsidRPr="00C7601B">
        <w:rPr>
          <w:rFonts w:cs="Times New Roman"/>
          <w:szCs w:val="24"/>
          <w:lang w:val="fr-CA"/>
        </w:rPr>
        <w:t xml:space="preserve">Lamer dans l’arrêt </w:t>
      </w:r>
      <w:r w:rsidRPr="00C7601B">
        <w:rPr>
          <w:rFonts w:cs="Times New Roman"/>
          <w:i/>
          <w:szCs w:val="24"/>
          <w:lang w:val="fr-CA"/>
        </w:rPr>
        <w:t xml:space="preserve">R. c. </w:t>
      </w:r>
      <w:proofErr w:type="spellStart"/>
      <w:r w:rsidRPr="00C7601B">
        <w:rPr>
          <w:rFonts w:cs="Times New Roman"/>
          <w:i/>
          <w:szCs w:val="24"/>
          <w:lang w:val="fr-CA"/>
        </w:rPr>
        <w:t>Proulx</w:t>
      </w:r>
      <w:proofErr w:type="spellEnd"/>
      <w:r w:rsidRPr="00C7601B">
        <w:rPr>
          <w:rFonts w:cs="Times New Roman"/>
          <w:szCs w:val="24"/>
          <w:lang w:val="fr-CA"/>
        </w:rPr>
        <w:t>, 2000 CSC 5, [2000] 1 R.C.S. 61, au par.</w:t>
      </w:r>
      <w:r w:rsidR="00FC4A5B" w:rsidRPr="00C7601B">
        <w:rPr>
          <w:rFonts w:cs="Times New Roman"/>
          <w:szCs w:val="24"/>
          <w:lang w:val="fr-CA"/>
        </w:rPr>
        <w:t xml:space="preserve"> </w:t>
      </w:r>
      <w:r w:rsidRPr="00C7601B">
        <w:rPr>
          <w:rFonts w:cs="Times New Roman"/>
          <w:szCs w:val="24"/>
          <w:lang w:val="fr-CA"/>
        </w:rPr>
        <w:t>28, «</w:t>
      </w:r>
      <w:r w:rsidR="00FC4A5B" w:rsidRPr="00C7601B">
        <w:rPr>
          <w:rFonts w:cs="Times New Roman"/>
          <w:szCs w:val="24"/>
          <w:lang w:val="fr-CA"/>
        </w:rPr>
        <w:t xml:space="preserve"> </w:t>
      </w:r>
      <w:r w:rsidRPr="00C7601B">
        <w:rPr>
          <w:rFonts w:cs="Times New Roman"/>
          <w:szCs w:val="24"/>
          <w:lang w:val="fr-CA"/>
        </w:rPr>
        <w:t>[s]</w:t>
      </w:r>
      <w:proofErr w:type="spellStart"/>
      <w:r w:rsidRPr="00C7601B">
        <w:rPr>
          <w:rFonts w:cs="Times New Roman"/>
          <w:szCs w:val="24"/>
          <w:lang w:val="fr-CA"/>
        </w:rPr>
        <w:t>uivant</w:t>
      </w:r>
      <w:proofErr w:type="spellEnd"/>
      <w:r w:rsidRPr="00C7601B">
        <w:rPr>
          <w:rFonts w:cs="Times New Roman"/>
          <w:szCs w:val="24"/>
          <w:lang w:val="fr-CA"/>
        </w:rPr>
        <w:t xml:space="preserve"> un principe d’interprétation législative reconnu, une disposition législative ne devrait jamais être interprétée de façon telle qu</w:t>
      </w:r>
      <w:r w:rsidR="007C46DA" w:rsidRPr="00C7601B">
        <w:rPr>
          <w:rFonts w:cs="Times New Roman"/>
          <w:szCs w:val="24"/>
          <w:lang w:val="fr-CA"/>
        </w:rPr>
        <w:t xml:space="preserve">’elle devienne </w:t>
      </w:r>
      <w:r w:rsidR="007C46DA" w:rsidRPr="00C7601B">
        <w:rPr>
          <w:rFonts w:cs="Times New Roman"/>
          <w:szCs w:val="24"/>
          <w:lang w:val="fr-CA"/>
        </w:rPr>
        <w:lastRenderedPageBreak/>
        <w:t>superfétatoire.</w:t>
      </w:r>
      <w:r w:rsidR="00FC4A5B" w:rsidRPr="00C7601B">
        <w:rPr>
          <w:rFonts w:cs="Times New Roman"/>
          <w:szCs w:val="24"/>
          <w:lang w:val="fr-CA"/>
        </w:rPr>
        <w:t xml:space="preserve"> </w:t>
      </w:r>
      <w:r w:rsidR="007C46DA"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 xml:space="preserve">Voir également l’arrêt </w:t>
      </w:r>
      <w:r w:rsidRPr="00C7601B">
        <w:rPr>
          <w:rFonts w:cs="Times New Roman"/>
          <w:i/>
          <w:szCs w:val="24"/>
          <w:lang w:val="fr-CA"/>
        </w:rPr>
        <w:t xml:space="preserve">Procureur général du Québec c. Carrières </w:t>
      </w:r>
      <w:r w:rsidR="007C46DA" w:rsidRPr="00C7601B">
        <w:rPr>
          <w:rFonts w:cs="Times New Roman"/>
          <w:i/>
          <w:szCs w:val="24"/>
          <w:lang w:val="fr-CA"/>
        </w:rPr>
        <w:t>S</w:t>
      </w:r>
      <w:r w:rsidR="0031663A" w:rsidRPr="00C7601B">
        <w:rPr>
          <w:rFonts w:cs="Times New Roman"/>
          <w:i/>
          <w:szCs w:val="24"/>
          <w:lang w:val="fr-CA"/>
        </w:rPr>
        <w:t>te-</w:t>
      </w:r>
      <w:r w:rsidRPr="00C7601B">
        <w:rPr>
          <w:rFonts w:cs="Times New Roman"/>
          <w:i/>
          <w:szCs w:val="24"/>
          <w:lang w:val="fr-CA"/>
        </w:rPr>
        <w:t xml:space="preserve">Thérèse </w:t>
      </w:r>
      <w:proofErr w:type="spellStart"/>
      <w:r w:rsidRPr="00C7601B">
        <w:rPr>
          <w:rFonts w:cs="Times New Roman"/>
          <w:i/>
          <w:szCs w:val="24"/>
          <w:lang w:val="fr-CA"/>
        </w:rPr>
        <w:t>Ltée</w:t>
      </w:r>
      <w:proofErr w:type="spellEnd"/>
      <w:r w:rsidRPr="00C7601B">
        <w:rPr>
          <w:rFonts w:cs="Times New Roman"/>
          <w:szCs w:val="24"/>
          <w:lang w:val="fr-CA"/>
        </w:rPr>
        <w:t>,</w:t>
      </w:r>
      <w:r w:rsidRPr="00C7601B">
        <w:rPr>
          <w:rFonts w:cs="Times New Roman"/>
          <w:i/>
          <w:szCs w:val="24"/>
          <w:lang w:val="fr-CA"/>
        </w:rPr>
        <w:t xml:space="preserve"> </w:t>
      </w:r>
      <w:r w:rsidRPr="00C7601B">
        <w:rPr>
          <w:rFonts w:cs="Times New Roman"/>
          <w:szCs w:val="24"/>
          <w:lang w:val="fr-CA"/>
        </w:rPr>
        <w:t>[1985] 1 R.C.S. 831, p.</w:t>
      </w:r>
      <w:r w:rsidR="00C7601B" w:rsidRPr="00C7601B">
        <w:rPr>
          <w:rFonts w:cs="Times New Roman"/>
          <w:szCs w:val="24"/>
          <w:lang w:val="fr-CA"/>
        </w:rPr>
        <w:t> </w:t>
      </w:r>
      <w:r w:rsidRPr="00C7601B">
        <w:rPr>
          <w:rFonts w:cs="Times New Roman"/>
          <w:szCs w:val="24"/>
          <w:lang w:val="fr-CA"/>
        </w:rPr>
        <w:t>838.</w:t>
      </w:r>
    </w:p>
    <w:p w:rsidR="00956B54" w:rsidRPr="00C7601B" w:rsidRDefault="00956B54" w:rsidP="00956B54">
      <w:pPr>
        <w:pStyle w:val="ParaNoNdepar-AltN"/>
        <w:rPr>
          <w:rFonts w:cs="Times New Roman"/>
          <w:szCs w:val="24"/>
          <w:lang w:val="fr-CA"/>
        </w:rPr>
      </w:pPr>
      <w:r w:rsidRPr="00C7601B">
        <w:rPr>
          <w:rFonts w:cs="Times New Roman"/>
          <w:szCs w:val="24"/>
          <w:lang w:val="fr-CA"/>
        </w:rPr>
        <w:t>L’appelante a obtenu une indemnité pour préjudice moral en application du par.</w:t>
      </w:r>
      <w:r w:rsidR="00FC4A5B" w:rsidRPr="00C7601B">
        <w:rPr>
          <w:rFonts w:cs="Times New Roman"/>
          <w:szCs w:val="24"/>
          <w:lang w:val="fr-CA"/>
        </w:rPr>
        <w:t xml:space="preserve"> </w:t>
      </w:r>
      <w:r w:rsidRPr="00C7601B">
        <w:rPr>
          <w:rFonts w:cs="Times New Roman"/>
          <w:szCs w:val="24"/>
          <w:lang w:val="fr-CA"/>
        </w:rPr>
        <w:t xml:space="preserve">53(3) de la </w:t>
      </w:r>
      <w:r w:rsidRPr="00C7601B">
        <w:rPr>
          <w:rFonts w:cs="Times New Roman"/>
          <w:i/>
          <w:szCs w:val="24"/>
          <w:lang w:val="fr-CA"/>
        </w:rPr>
        <w:t>LCDP</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Le Tribunal a par ailleurs refusé expressément le remboursement de ses frais médicaux (décision sur le fond, par.</w:t>
      </w:r>
      <w:r w:rsidR="00FC4A5B" w:rsidRPr="00C7601B">
        <w:rPr>
          <w:rFonts w:cs="Times New Roman"/>
          <w:szCs w:val="24"/>
          <w:lang w:val="fr-CA"/>
        </w:rPr>
        <w:t xml:space="preserve"> </w:t>
      </w:r>
      <w:r w:rsidRPr="00C7601B">
        <w:rPr>
          <w:rFonts w:cs="Times New Roman"/>
          <w:szCs w:val="24"/>
          <w:lang w:val="fr-CA"/>
        </w:rPr>
        <w:t>404</w:t>
      </w:r>
      <w:r w:rsidR="00C7601B" w:rsidRPr="00C7601B">
        <w:rPr>
          <w:rFonts w:cs="Times New Roman"/>
          <w:szCs w:val="24"/>
          <w:lang w:val="fr-CA"/>
        </w:rPr>
        <w:t>-</w:t>
      </w:r>
      <w:r w:rsidRPr="00C7601B">
        <w:rPr>
          <w:rFonts w:cs="Times New Roman"/>
          <w:szCs w:val="24"/>
          <w:lang w:val="fr-CA"/>
        </w:rPr>
        <w:t>406).</w:t>
      </w:r>
      <w:r w:rsidR="00FC4A5B" w:rsidRPr="00C7601B">
        <w:rPr>
          <w:rFonts w:cs="Times New Roman"/>
          <w:szCs w:val="24"/>
          <w:lang w:val="fr-CA"/>
        </w:rPr>
        <w:t xml:space="preserve"> </w:t>
      </w:r>
      <w:r w:rsidRPr="00C7601B">
        <w:rPr>
          <w:rFonts w:cs="Times New Roman"/>
          <w:szCs w:val="24"/>
          <w:lang w:val="fr-CA"/>
        </w:rPr>
        <w:t>À la différence des al.</w:t>
      </w:r>
      <w:r w:rsidR="00FC4A5B" w:rsidRPr="00C7601B">
        <w:rPr>
          <w:rFonts w:cs="Times New Roman"/>
          <w:szCs w:val="24"/>
          <w:lang w:val="fr-CA"/>
        </w:rPr>
        <w:t xml:space="preserve"> </w:t>
      </w:r>
      <w:r w:rsidRPr="00C7601B">
        <w:rPr>
          <w:rFonts w:cs="Times New Roman"/>
          <w:szCs w:val="24"/>
          <w:lang w:val="fr-CA"/>
        </w:rPr>
        <w:t>53(2)</w:t>
      </w:r>
      <w:r w:rsidRPr="00C7601B">
        <w:rPr>
          <w:rFonts w:cs="Times New Roman"/>
          <w:i/>
          <w:szCs w:val="24"/>
          <w:lang w:val="fr-CA"/>
        </w:rPr>
        <w:t>c</w:t>
      </w:r>
      <w:r w:rsidRPr="00C7601B">
        <w:rPr>
          <w:rFonts w:cs="Times New Roman"/>
          <w:szCs w:val="24"/>
          <w:lang w:val="fr-CA"/>
        </w:rPr>
        <w:t xml:space="preserve">) et </w:t>
      </w:r>
      <w:r w:rsidRPr="00C7601B">
        <w:rPr>
          <w:rFonts w:cs="Times New Roman"/>
          <w:i/>
          <w:szCs w:val="24"/>
          <w:lang w:val="fr-CA"/>
        </w:rPr>
        <w:t>d</w:t>
      </w:r>
      <w:r w:rsidRPr="00C7601B">
        <w:rPr>
          <w:rFonts w:cs="Times New Roman"/>
          <w:szCs w:val="24"/>
          <w:lang w:val="fr-CA"/>
        </w:rPr>
        <w:t>), le par.</w:t>
      </w:r>
      <w:r w:rsidR="00FC4A5B" w:rsidRPr="00C7601B">
        <w:rPr>
          <w:rFonts w:cs="Times New Roman"/>
          <w:szCs w:val="24"/>
          <w:lang w:val="fr-CA"/>
        </w:rPr>
        <w:t xml:space="preserve"> </w:t>
      </w:r>
      <w:r w:rsidRPr="00C7601B">
        <w:rPr>
          <w:rFonts w:cs="Times New Roman"/>
          <w:szCs w:val="24"/>
          <w:lang w:val="fr-CA"/>
        </w:rPr>
        <w:t>(3) ne fait aucune mention du remboursement de dépenses.</w:t>
      </w:r>
      <w:r w:rsidR="00FC4A5B" w:rsidRPr="00C7601B">
        <w:rPr>
          <w:rFonts w:cs="Times New Roman"/>
          <w:szCs w:val="24"/>
          <w:lang w:val="fr-CA"/>
        </w:rPr>
        <w:t xml:space="preserve"> </w:t>
      </w:r>
      <w:r w:rsidRPr="00C7601B">
        <w:rPr>
          <w:rFonts w:cs="Times New Roman"/>
          <w:szCs w:val="24"/>
          <w:lang w:val="fr-CA"/>
        </w:rPr>
        <w:t>Là encore, si le législateur a voulu conférer un pouvoir distinct d’adjuger des dépens, on s’explique mal son omission de le faire explicitement dans la mesure où l’indemnisation des dépenses est expressément prévue pour la perte de salaire, à l’al.</w:t>
      </w:r>
      <w:r w:rsidR="00FC4A5B" w:rsidRPr="00C7601B">
        <w:rPr>
          <w:rFonts w:cs="Times New Roman"/>
          <w:szCs w:val="24"/>
          <w:lang w:val="fr-CA"/>
        </w:rPr>
        <w:t xml:space="preserve"> </w:t>
      </w:r>
      <w:r w:rsidRPr="00C7601B">
        <w:rPr>
          <w:rFonts w:cs="Times New Roman"/>
          <w:i/>
          <w:szCs w:val="24"/>
          <w:lang w:val="fr-CA"/>
        </w:rPr>
        <w:t>c</w:t>
      </w:r>
      <w:r w:rsidRPr="00C7601B">
        <w:rPr>
          <w:rFonts w:cs="Times New Roman"/>
          <w:szCs w:val="24"/>
          <w:lang w:val="fr-CA"/>
        </w:rPr>
        <w:t>), puis pour les frais supplémentaires occasionnés par le recours à d’autres biens et services, à l’al.</w:t>
      </w:r>
      <w:r w:rsidR="00C7601B" w:rsidRPr="00C7601B">
        <w:rPr>
          <w:rFonts w:cs="Times New Roman"/>
          <w:szCs w:val="24"/>
          <w:lang w:val="fr-CA"/>
        </w:rPr>
        <w:t> </w:t>
      </w:r>
      <w:r w:rsidRPr="00C7601B">
        <w:rPr>
          <w:rFonts w:cs="Times New Roman"/>
          <w:i/>
          <w:szCs w:val="24"/>
          <w:lang w:val="fr-CA"/>
        </w:rPr>
        <w:t>d</w:t>
      </w:r>
      <w:r w:rsidRPr="00C7601B">
        <w:rPr>
          <w:rFonts w:cs="Times New Roman"/>
          <w:szCs w:val="24"/>
          <w:lang w:val="fr-CA"/>
        </w:rPr>
        <w:t>).</w:t>
      </w:r>
    </w:p>
    <w:p w:rsidR="00956B54" w:rsidRPr="00C7601B" w:rsidRDefault="00956B54" w:rsidP="00956B54">
      <w:pPr>
        <w:pStyle w:val="ParaNoNdepar-AltN"/>
        <w:rPr>
          <w:rFonts w:cs="Times New Roman"/>
          <w:szCs w:val="24"/>
          <w:lang w:val="fr-CA"/>
        </w:rPr>
      </w:pPr>
      <w:r w:rsidRPr="00C7601B">
        <w:rPr>
          <w:rFonts w:cs="Times New Roman"/>
          <w:szCs w:val="24"/>
          <w:lang w:val="fr-CA"/>
        </w:rPr>
        <w:t>Qui plus est, dans le vocabulaire juridique, le terme «</w:t>
      </w:r>
      <w:r w:rsidR="00FC4A5B" w:rsidRPr="00C7601B">
        <w:rPr>
          <w:rFonts w:cs="Times New Roman"/>
          <w:szCs w:val="24"/>
          <w:lang w:val="fr-CA"/>
        </w:rPr>
        <w:t xml:space="preserve"> </w:t>
      </w:r>
      <w:r w:rsidRPr="00C7601B">
        <w:rPr>
          <w:rFonts w:cs="Times New Roman"/>
          <w:szCs w:val="24"/>
          <w:lang w:val="fr-CA"/>
        </w:rPr>
        <w:t>dépens</w:t>
      </w:r>
      <w:r w:rsidR="00FC4A5B" w:rsidRPr="00C7601B">
        <w:rPr>
          <w:rFonts w:cs="Times New Roman"/>
          <w:szCs w:val="24"/>
          <w:lang w:val="fr-CA"/>
        </w:rPr>
        <w:t xml:space="preserve"> </w:t>
      </w:r>
      <w:r w:rsidRPr="00C7601B">
        <w:rPr>
          <w:rFonts w:cs="Times New Roman"/>
          <w:szCs w:val="24"/>
          <w:lang w:val="fr-CA"/>
        </w:rPr>
        <w:t>» possède un sens bien défini qui diffère de celui d’«</w:t>
      </w:r>
      <w:r w:rsidR="00FC4A5B" w:rsidRPr="00C7601B">
        <w:rPr>
          <w:rFonts w:cs="Times New Roman"/>
          <w:szCs w:val="24"/>
          <w:lang w:val="fr-CA"/>
        </w:rPr>
        <w:t xml:space="preserve"> </w:t>
      </w:r>
      <w:r w:rsidRPr="00C7601B">
        <w:rPr>
          <w:rFonts w:cs="Times New Roman"/>
          <w:szCs w:val="24"/>
          <w:lang w:val="fr-CA"/>
        </w:rPr>
        <w:t>indemnité</w:t>
      </w:r>
      <w:r w:rsidR="00FC4A5B" w:rsidRPr="00C7601B">
        <w:rPr>
          <w:rFonts w:cs="Times New Roman"/>
          <w:szCs w:val="24"/>
          <w:lang w:val="fr-CA"/>
        </w:rPr>
        <w:t xml:space="preserve"> </w:t>
      </w:r>
      <w:r w:rsidRPr="00C7601B">
        <w:rPr>
          <w:rFonts w:cs="Times New Roman"/>
          <w:szCs w:val="24"/>
          <w:lang w:val="fr-CA"/>
        </w:rPr>
        <w:t>» ou de «</w:t>
      </w:r>
      <w:r w:rsidR="00FC4A5B" w:rsidRPr="00C7601B">
        <w:rPr>
          <w:rFonts w:cs="Times New Roman"/>
          <w:szCs w:val="24"/>
          <w:lang w:val="fr-CA"/>
        </w:rPr>
        <w:t xml:space="preserve"> </w:t>
      </w:r>
      <w:r w:rsidRPr="00C7601B">
        <w:rPr>
          <w:rFonts w:cs="Times New Roman"/>
          <w:szCs w:val="24"/>
          <w:lang w:val="fr-CA"/>
        </w:rPr>
        <w:t>dépenses</w:t>
      </w:r>
      <w:r w:rsidR="00FC4A5B" w:rsidRPr="00C7601B">
        <w:rPr>
          <w:rFonts w:cs="Times New Roman"/>
          <w:szCs w:val="24"/>
          <w:lang w:val="fr-CA"/>
        </w:rPr>
        <w:t xml:space="preserve"> </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Il s’agit d’</w:t>
      </w:r>
      <w:r w:rsidRPr="00C7601B">
        <w:rPr>
          <w:rFonts w:cs="Times New Roman"/>
          <w:spacing w:val="-3"/>
          <w:szCs w:val="24"/>
          <w:lang w:val="fr-CA"/>
        </w:rPr>
        <w:t>un terme technique propre à la langue du droit</w:t>
      </w:r>
      <w:r w:rsidRPr="00C7601B">
        <w:rPr>
          <w:rFonts w:cs="Times New Roman"/>
          <w:szCs w:val="24"/>
          <w:lang w:val="fr-CA"/>
        </w:rPr>
        <w:t xml:space="preserve"> en ce qu’il correspond à [</w:t>
      </w:r>
      <w:r w:rsidR="004A4BD5" w:rsidRPr="004A4BD5">
        <w:rPr>
          <w:rFonts w:cs="Times New Roman"/>
          <w:smallCaps/>
          <w:szCs w:val="24"/>
          <w:lang w:val="fr-CA"/>
        </w:rPr>
        <w:t>traduction</w:t>
      </w:r>
      <w:r w:rsidRPr="00C7601B">
        <w:rPr>
          <w:rFonts w:cs="Times New Roman"/>
          <w:szCs w:val="24"/>
          <w:lang w:val="fr-CA"/>
        </w:rPr>
        <w:t>] «</w:t>
      </w:r>
      <w:r w:rsidR="00FC4A5B" w:rsidRPr="00C7601B">
        <w:rPr>
          <w:rFonts w:cs="Times New Roman"/>
          <w:szCs w:val="24"/>
          <w:lang w:val="fr-CA"/>
        </w:rPr>
        <w:t xml:space="preserve"> </w:t>
      </w:r>
      <w:r w:rsidRPr="00C7601B">
        <w:rPr>
          <w:rFonts w:cs="Times New Roman"/>
          <w:szCs w:val="24"/>
          <w:lang w:val="fr-CA"/>
        </w:rPr>
        <w:t>un mot ou une expression qui, du fait de son emploi par les professionnels du droit, a acquis un sens juridique distinct</w:t>
      </w:r>
      <w:r w:rsidR="00FC4A5B" w:rsidRPr="00C7601B">
        <w:rPr>
          <w:rFonts w:cs="Times New Roman"/>
          <w:szCs w:val="24"/>
          <w:lang w:val="fr-CA"/>
        </w:rPr>
        <w:t xml:space="preserve"> </w:t>
      </w:r>
      <w:r w:rsidRPr="00C7601B">
        <w:rPr>
          <w:rFonts w:cs="Times New Roman"/>
          <w:szCs w:val="24"/>
          <w:lang w:val="fr-CA"/>
        </w:rPr>
        <w:t>» (Sullivan, p.</w:t>
      </w:r>
      <w:r w:rsidR="00FC4A5B" w:rsidRPr="00C7601B">
        <w:rPr>
          <w:rFonts w:cs="Times New Roman"/>
          <w:szCs w:val="24"/>
          <w:lang w:val="fr-CA"/>
        </w:rPr>
        <w:t xml:space="preserve"> </w:t>
      </w:r>
      <w:r w:rsidRPr="00C7601B">
        <w:rPr>
          <w:rFonts w:cs="Times New Roman"/>
          <w:szCs w:val="24"/>
          <w:lang w:val="fr-CA"/>
        </w:rPr>
        <w:t>57).</w:t>
      </w:r>
      <w:r w:rsidR="00FC4A5B" w:rsidRPr="00C7601B">
        <w:rPr>
          <w:rFonts w:cs="Times New Roman"/>
          <w:szCs w:val="24"/>
          <w:lang w:val="fr-CA"/>
        </w:rPr>
        <w:t xml:space="preserve"> </w:t>
      </w:r>
      <w:r w:rsidRPr="00C7601B">
        <w:rPr>
          <w:rFonts w:cs="Times New Roman"/>
          <w:szCs w:val="24"/>
          <w:lang w:val="fr-CA"/>
        </w:rPr>
        <w:t>Les «</w:t>
      </w:r>
      <w:r w:rsidR="00FC4A5B" w:rsidRPr="00C7601B">
        <w:rPr>
          <w:rFonts w:cs="Times New Roman"/>
          <w:szCs w:val="24"/>
          <w:lang w:val="fr-CA"/>
        </w:rPr>
        <w:t xml:space="preserve"> </w:t>
      </w:r>
      <w:r w:rsidRPr="00C7601B">
        <w:rPr>
          <w:rFonts w:cs="Times New Roman"/>
          <w:szCs w:val="24"/>
          <w:lang w:val="fr-CA"/>
        </w:rPr>
        <w:t>dépens</w:t>
      </w:r>
      <w:r w:rsidR="00FC4A5B" w:rsidRPr="00C7601B">
        <w:rPr>
          <w:rFonts w:cs="Times New Roman"/>
          <w:szCs w:val="24"/>
          <w:lang w:val="fr-CA"/>
        </w:rPr>
        <w:t xml:space="preserve"> </w:t>
      </w:r>
      <w:r w:rsidRPr="00C7601B">
        <w:rPr>
          <w:rFonts w:cs="Times New Roman"/>
          <w:szCs w:val="24"/>
          <w:lang w:val="fr-CA"/>
        </w:rPr>
        <w:t>» s’entendent habituellement d’une indemnité accordée pour les frais de justice engagés et les services juridiques retenus dans le cadre d’une instance.</w:t>
      </w:r>
      <w:r w:rsidR="00FC4A5B" w:rsidRPr="00C7601B">
        <w:rPr>
          <w:rFonts w:cs="Times New Roman"/>
          <w:szCs w:val="24"/>
          <w:lang w:val="fr-CA"/>
        </w:rPr>
        <w:t xml:space="preserve"> </w:t>
      </w:r>
      <w:r w:rsidRPr="00C7601B">
        <w:rPr>
          <w:rFonts w:cs="Times New Roman"/>
          <w:szCs w:val="24"/>
          <w:lang w:val="fr-CA"/>
        </w:rPr>
        <w:t xml:space="preserve">Si le législateur a entendu conférer le pouvoir d’adjuger des dépens, on comprend mal pourquoi il n’a pas employé ce terme juridique consacré et largement répandu pour le </w:t>
      </w:r>
      <w:r w:rsidRPr="00C7601B">
        <w:rPr>
          <w:rFonts w:cs="Times New Roman"/>
          <w:szCs w:val="24"/>
          <w:lang w:val="fr-CA"/>
        </w:rPr>
        <w:lastRenderedPageBreak/>
        <w:t>faire.</w:t>
      </w:r>
      <w:r w:rsidR="00FC4A5B" w:rsidRPr="00C7601B">
        <w:rPr>
          <w:rFonts w:cs="Times New Roman"/>
          <w:szCs w:val="24"/>
          <w:lang w:val="fr-CA"/>
        </w:rPr>
        <w:t xml:space="preserve"> </w:t>
      </w:r>
      <w:r w:rsidRPr="00C7601B">
        <w:rPr>
          <w:rFonts w:cs="Times New Roman"/>
          <w:szCs w:val="24"/>
          <w:lang w:val="fr-CA"/>
        </w:rPr>
        <w:t>Nous verrons plus loin que l’historique de la loi donne aussi sérieusement à penser que telle n’était pas l’intention du législateur.</w:t>
      </w:r>
    </w:p>
    <w:p w:rsidR="00956B54" w:rsidRPr="00C7601B" w:rsidRDefault="00956B54" w:rsidP="00956B54">
      <w:pPr>
        <w:pStyle w:val="ParaNoNdepar-AltN"/>
        <w:rPr>
          <w:rFonts w:cs="Times New Roman"/>
          <w:szCs w:val="24"/>
          <w:u w:val="single"/>
          <w:lang w:val="fr-CA"/>
        </w:rPr>
      </w:pPr>
      <w:r w:rsidRPr="00C7601B">
        <w:rPr>
          <w:rFonts w:cs="Times New Roman"/>
          <w:szCs w:val="24"/>
          <w:lang w:val="fr-CA"/>
        </w:rPr>
        <w:t>Enfin, pour ce qui est du texte de la Loi, il vaut la peine de signaler qu’il plafonne très strictement le dédommagement que le Tribunal peut accorder pour le préjudice moral infligé par l’acte discriminatoire.</w:t>
      </w:r>
      <w:r w:rsidR="00FC4A5B" w:rsidRPr="00C7601B">
        <w:rPr>
          <w:rFonts w:cs="Times New Roman"/>
          <w:szCs w:val="24"/>
          <w:lang w:val="fr-CA"/>
        </w:rPr>
        <w:t xml:space="preserve"> </w:t>
      </w:r>
      <w:r w:rsidRPr="00C7601B">
        <w:rPr>
          <w:rFonts w:cs="Times New Roman"/>
          <w:szCs w:val="24"/>
          <w:lang w:val="fr-CA"/>
        </w:rPr>
        <w:t>Rappelons aussi qu’il ne prévoit pas explicitement le remboursement des frais engagés pour l’obtention de ce dédommagement.</w:t>
      </w:r>
      <w:r w:rsidR="00FC4A5B" w:rsidRPr="00C7601B">
        <w:rPr>
          <w:rFonts w:cs="Times New Roman"/>
          <w:szCs w:val="24"/>
          <w:lang w:val="fr-CA"/>
        </w:rPr>
        <w:t xml:space="preserve"> </w:t>
      </w:r>
      <w:r w:rsidRPr="00C7601B">
        <w:rPr>
          <w:rFonts w:cs="Times New Roman"/>
          <w:szCs w:val="24"/>
          <w:lang w:val="fr-CA"/>
        </w:rPr>
        <w:t>Au moment d’engager l’instance, la somme maximale susceptible d’être accordée s’élevait à 5</w:t>
      </w:r>
      <w:r w:rsidR="00C7601B" w:rsidRPr="00C7601B">
        <w:rPr>
          <w:rFonts w:cs="Times New Roman"/>
          <w:szCs w:val="24"/>
          <w:lang w:val="fr-CA"/>
        </w:rPr>
        <w:t> </w:t>
      </w:r>
      <w:r w:rsidRPr="00C7601B">
        <w:rPr>
          <w:rFonts w:cs="Times New Roman"/>
          <w:szCs w:val="24"/>
          <w:lang w:val="fr-CA"/>
        </w:rPr>
        <w:t>000</w:t>
      </w:r>
      <w:r w:rsidR="00C7601B" w:rsidRPr="00C7601B">
        <w:rPr>
          <w:rFonts w:cs="Times New Roman"/>
          <w:szCs w:val="24"/>
          <w:lang w:val="fr-CA"/>
        </w:rPr>
        <w:t> </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L’interprétation que retient le Tribunal l’autorise à indemniser le préjudice moral de manière distincte, d’une part, et à adjuger des dépens dont le montant peut être illimité, d’autre part.</w:t>
      </w:r>
      <w:r w:rsidR="00FC4A5B" w:rsidRPr="00C7601B">
        <w:rPr>
          <w:rFonts w:cs="Times New Roman"/>
          <w:szCs w:val="24"/>
          <w:lang w:val="fr-CA"/>
        </w:rPr>
        <w:t xml:space="preserve"> </w:t>
      </w:r>
      <w:r w:rsidRPr="00C7601B">
        <w:rPr>
          <w:rFonts w:cs="Times New Roman"/>
          <w:szCs w:val="24"/>
          <w:lang w:val="fr-CA"/>
        </w:rPr>
        <w:t>Il est difficile de concilier cette interprétation avec la limitation de l’indemnité ou le fait que le par.</w:t>
      </w:r>
      <w:r w:rsidR="00FC4A5B" w:rsidRPr="00C7601B">
        <w:rPr>
          <w:rFonts w:cs="Times New Roman"/>
          <w:szCs w:val="24"/>
          <w:lang w:val="fr-CA"/>
        </w:rPr>
        <w:t xml:space="preserve"> </w:t>
      </w:r>
      <w:r w:rsidRPr="00C7601B">
        <w:rPr>
          <w:rFonts w:cs="Times New Roman"/>
          <w:szCs w:val="24"/>
          <w:lang w:val="fr-CA"/>
        </w:rPr>
        <w:t>53(3) ne prévoit pas expressément le pouvoir d’accorder le remboursement des frais.</w:t>
      </w:r>
    </w:p>
    <w:p w:rsidR="00956B54" w:rsidRPr="00C7601B" w:rsidRDefault="00956B54" w:rsidP="00956B54">
      <w:pPr>
        <w:pStyle w:val="TitleTitre-AltT"/>
        <w:tabs>
          <w:tab w:val="clear" w:pos="360"/>
          <w:tab w:val="left" w:pos="1620"/>
        </w:tabs>
        <w:ind w:left="1170" w:hanging="1170"/>
        <w:rPr>
          <w:rFonts w:cs="Times New Roman"/>
          <w:szCs w:val="24"/>
          <w:u w:val="single"/>
          <w:lang w:val="fr-CA"/>
        </w:rPr>
      </w:pPr>
      <w:r w:rsidRPr="00C7601B">
        <w:rPr>
          <w:rFonts w:cs="Times New Roman"/>
          <w:szCs w:val="24"/>
          <w:lang w:val="fr-CA"/>
        </w:rPr>
        <w:tab/>
        <w:t>(2)</w:t>
      </w:r>
      <w:r w:rsidRPr="00C7601B">
        <w:rPr>
          <w:rFonts w:cs="Times New Roman"/>
          <w:szCs w:val="24"/>
          <w:lang w:val="fr-CA"/>
        </w:rPr>
        <w:tab/>
      </w:r>
      <w:r w:rsidRPr="00C7601B">
        <w:rPr>
          <w:rFonts w:cs="Times New Roman"/>
          <w:szCs w:val="24"/>
          <w:u w:val="single"/>
          <w:lang w:val="fr-CA"/>
        </w:rPr>
        <w:t>Le contexte</w:t>
      </w:r>
    </w:p>
    <w:p w:rsidR="00956B54" w:rsidRPr="00C7601B" w:rsidRDefault="00956B54" w:rsidP="00956B54">
      <w:pPr>
        <w:pStyle w:val="ParaNoNdepar-AltN"/>
        <w:rPr>
          <w:rFonts w:cs="Times New Roman"/>
          <w:szCs w:val="24"/>
          <w:lang w:val="fr-CA"/>
        </w:rPr>
      </w:pPr>
      <w:r w:rsidRPr="00C7601B">
        <w:rPr>
          <w:rFonts w:cs="Times New Roman"/>
          <w:szCs w:val="24"/>
          <w:lang w:val="fr-CA"/>
        </w:rPr>
        <w:t>À propos du contexte, trois éléments doivent être pris en compte</w:t>
      </w:r>
      <w:r w:rsidR="00FC4A5B" w:rsidRPr="00C7601B">
        <w:rPr>
          <w:rFonts w:cs="Times New Roman"/>
          <w:szCs w:val="24"/>
          <w:lang w:val="fr-CA"/>
        </w:rPr>
        <w:t xml:space="preserve"> </w:t>
      </w:r>
      <w:r w:rsidRPr="00C7601B">
        <w:rPr>
          <w:rFonts w:cs="Times New Roman"/>
          <w:szCs w:val="24"/>
          <w:lang w:val="fr-CA"/>
        </w:rPr>
        <w:t>: l’historique législatif, l’opinion constante de la Commission concernant le pouvoir du Tribunal d’adjuger des dépens et les dispositions législatives comparables adoptées par les provinces et les territoires.</w:t>
      </w:r>
      <w:r w:rsidR="00FC4A5B" w:rsidRPr="00C7601B">
        <w:rPr>
          <w:rFonts w:cs="Times New Roman"/>
          <w:szCs w:val="24"/>
          <w:lang w:val="fr-CA"/>
        </w:rPr>
        <w:t xml:space="preserve"> </w:t>
      </w:r>
      <w:r w:rsidRPr="00C7601B">
        <w:rPr>
          <w:rFonts w:cs="Times New Roman"/>
          <w:szCs w:val="24"/>
          <w:lang w:val="fr-CA"/>
        </w:rPr>
        <w:t>Lorsque ces éléments sont considérés de pair avec le texte des dispositions et leur objet, l’interprétation retenue par le Tribunal ne fait pas partie de celles qui sont raisonnables.</w:t>
      </w:r>
    </w:p>
    <w:p w:rsidR="00956B54" w:rsidRPr="00C7601B" w:rsidRDefault="00EF0949" w:rsidP="00956B54">
      <w:pPr>
        <w:pStyle w:val="TitleTitre-AltT"/>
        <w:tabs>
          <w:tab w:val="clear" w:pos="360"/>
          <w:tab w:val="left" w:pos="1620"/>
        </w:tabs>
        <w:ind w:left="1170" w:hanging="1170"/>
        <w:rPr>
          <w:rFonts w:cs="Times New Roman"/>
          <w:szCs w:val="24"/>
          <w:lang w:val="fr-CA"/>
        </w:rPr>
      </w:pPr>
      <w:r w:rsidRPr="00C7601B">
        <w:rPr>
          <w:rFonts w:cs="Times New Roman"/>
          <w:szCs w:val="24"/>
          <w:lang w:val="fr-CA"/>
        </w:rPr>
        <w:lastRenderedPageBreak/>
        <w:tab/>
      </w:r>
      <w:r w:rsidR="00956B54" w:rsidRPr="00C7601B">
        <w:rPr>
          <w:rFonts w:cs="Times New Roman"/>
          <w:szCs w:val="24"/>
          <w:lang w:val="fr-CA"/>
        </w:rPr>
        <w:t>a)</w:t>
      </w:r>
      <w:r w:rsidR="00956B54" w:rsidRPr="00C7601B">
        <w:rPr>
          <w:rFonts w:cs="Times New Roman"/>
          <w:szCs w:val="24"/>
          <w:lang w:val="fr-CA"/>
        </w:rPr>
        <w:tab/>
      </w:r>
      <w:r w:rsidR="00956B54" w:rsidRPr="00C7601B">
        <w:rPr>
          <w:rFonts w:cs="Times New Roman"/>
          <w:i/>
          <w:szCs w:val="24"/>
          <w:lang w:val="fr-CA"/>
        </w:rPr>
        <w:t>Historique législatif</w:t>
      </w:r>
    </w:p>
    <w:p w:rsidR="00956B54" w:rsidRPr="00C7601B" w:rsidRDefault="00956B54" w:rsidP="00956B54">
      <w:pPr>
        <w:pStyle w:val="ParaNoNdepar-AltN"/>
        <w:rPr>
          <w:rFonts w:cs="Times New Roman"/>
          <w:szCs w:val="24"/>
          <w:lang w:val="fr-CA"/>
        </w:rPr>
      </w:pPr>
      <w:r w:rsidRPr="00C7601B">
        <w:rPr>
          <w:rFonts w:cs="Times New Roman"/>
          <w:szCs w:val="24"/>
          <w:lang w:val="fr-CA"/>
        </w:rPr>
        <w:t>Souvent, l’évolution et l’historique législatifs d’une disposition peuvent constituer des aspects importants du contexte dont il doit être tenu compte dans une démarche moderne d’interprétation des lois (</w:t>
      </w:r>
      <w:proofErr w:type="spellStart"/>
      <w:r w:rsidRPr="00C7601B">
        <w:rPr>
          <w:rFonts w:cs="Times New Roman"/>
          <w:i/>
          <w:szCs w:val="24"/>
          <w:lang w:val="fr-CA"/>
        </w:rPr>
        <w:t>Merk</w:t>
      </w:r>
      <w:proofErr w:type="spellEnd"/>
      <w:r w:rsidRPr="00C7601B">
        <w:rPr>
          <w:rFonts w:cs="Times New Roman"/>
          <w:i/>
          <w:szCs w:val="24"/>
          <w:lang w:val="fr-CA"/>
        </w:rPr>
        <w:t xml:space="preserve"> c. Association internationale des travailleurs en ponts, en fer structural, ornemental et d’armature, section locale 771</w:t>
      </w:r>
      <w:r w:rsidRPr="00C7601B">
        <w:rPr>
          <w:rFonts w:cs="Times New Roman"/>
          <w:szCs w:val="24"/>
          <w:lang w:val="fr-CA"/>
        </w:rPr>
        <w:t>, 2005 CSC 70, [2005] 3 R.C.S. 425, par.</w:t>
      </w:r>
      <w:r w:rsidR="00FC4A5B" w:rsidRPr="00C7601B">
        <w:rPr>
          <w:rFonts w:cs="Times New Roman"/>
          <w:szCs w:val="24"/>
          <w:lang w:val="fr-CA"/>
        </w:rPr>
        <w:t xml:space="preserve"> </w:t>
      </w:r>
      <w:r w:rsidRPr="00C7601B">
        <w:rPr>
          <w:rFonts w:cs="Times New Roman"/>
          <w:szCs w:val="24"/>
          <w:lang w:val="fr-CA"/>
        </w:rPr>
        <w:t xml:space="preserve">28, le juge </w:t>
      </w:r>
      <w:proofErr w:type="spellStart"/>
      <w:r w:rsidRPr="00C7601B">
        <w:rPr>
          <w:rFonts w:cs="Times New Roman"/>
          <w:szCs w:val="24"/>
          <w:lang w:val="fr-CA"/>
        </w:rPr>
        <w:t>Binnie</w:t>
      </w:r>
      <w:proofErr w:type="spellEnd"/>
      <w:r w:rsidRPr="00C7601B">
        <w:rPr>
          <w:rFonts w:cs="Times New Roman"/>
          <w:szCs w:val="24"/>
          <w:lang w:val="fr-CA"/>
        </w:rPr>
        <w:t xml:space="preserve">; </w:t>
      </w:r>
      <w:proofErr w:type="spellStart"/>
      <w:r w:rsidRPr="00C7601B">
        <w:rPr>
          <w:rFonts w:cs="Times New Roman"/>
          <w:i/>
          <w:szCs w:val="24"/>
          <w:lang w:val="fr-CA"/>
        </w:rPr>
        <w:t>Hills</w:t>
      </w:r>
      <w:proofErr w:type="spellEnd"/>
      <w:r w:rsidRPr="00C7601B">
        <w:rPr>
          <w:rFonts w:cs="Times New Roman"/>
          <w:i/>
          <w:szCs w:val="24"/>
          <w:lang w:val="fr-CA"/>
        </w:rPr>
        <w:t xml:space="preserve"> c. Canada (Procureur général)</w:t>
      </w:r>
      <w:r w:rsidRPr="00C7601B">
        <w:rPr>
          <w:rFonts w:cs="Times New Roman"/>
          <w:szCs w:val="24"/>
          <w:lang w:val="fr-CA"/>
        </w:rPr>
        <w:t>, [1988] 1 R.C.S. 513, p.</w:t>
      </w:r>
      <w:r w:rsidR="00FC4A5B" w:rsidRPr="00C7601B">
        <w:rPr>
          <w:rFonts w:cs="Times New Roman"/>
          <w:szCs w:val="24"/>
          <w:lang w:val="fr-CA"/>
        </w:rPr>
        <w:t xml:space="preserve"> </w:t>
      </w:r>
      <w:r w:rsidRPr="00C7601B">
        <w:rPr>
          <w:rFonts w:cs="Times New Roman"/>
          <w:szCs w:val="24"/>
          <w:lang w:val="fr-CA"/>
        </w:rPr>
        <w:t>528, la juge L’Heureux</w:t>
      </w:r>
      <w:r w:rsidR="00C7601B" w:rsidRPr="00C7601B">
        <w:rPr>
          <w:rFonts w:cs="Times New Roman"/>
          <w:szCs w:val="24"/>
          <w:lang w:val="fr-CA"/>
        </w:rPr>
        <w:t>-</w:t>
      </w:r>
      <w:proofErr w:type="spellStart"/>
      <w:r w:rsidRPr="00C7601B">
        <w:rPr>
          <w:rFonts w:cs="Times New Roman"/>
          <w:szCs w:val="24"/>
          <w:lang w:val="fr-CA"/>
        </w:rPr>
        <w:t>Dubé</w:t>
      </w:r>
      <w:proofErr w:type="spellEnd"/>
      <w:r w:rsidRPr="00C7601B">
        <w:rPr>
          <w:rFonts w:cs="Times New Roman"/>
          <w:szCs w:val="24"/>
          <w:lang w:val="fr-CA"/>
        </w:rPr>
        <w:t xml:space="preserve">; </w:t>
      </w:r>
      <w:proofErr w:type="spellStart"/>
      <w:r w:rsidRPr="00C7601B">
        <w:rPr>
          <w:rFonts w:cs="Times New Roman"/>
          <w:i/>
          <w:szCs w:val="24"/>
          <w:lang w:val="fr-CA"/>
        </w:rPr>
        <w:t>Hilewitz</w:t>
      </w:r>
      <w:proofErr w:type="spellEnd"/>
      <w:r w:rsidRPr="00C7601B">
        <w:rPr>
          <w:rFonts w:cs="Times New Roman"/>
          <w:i/>
          <w:szCs w:val="24"/>
          <w:lang w:val="fr-CA"/>
        </w:rPr>
        <w:t xml:space="preserve"> c. Canada (Ministre de la Citoyenneté et de l’Immigration)</w:t>
      </w:r>
      <w:r w:rsidRPr="00C7601B">
        <w:rPr>
          <w:rFonts w:cs="Times New Roman"/>
          <w:szCs w:val="24"/>
          <w:lang w:val="fr-CA"/>
        </w:rPr>
        <w:t>, 2005 CSC 5</w:t>
      </w:r>
      <w:r w:rsidR="00EF0949" w:rsidRPr="00C7601B">
        <w:rPr>
          <w:rFonts w:cs="Times New Roman"/>
          <w:szCs w:val="24"/>
          <w:lang w:val="fr-CA"/>
        </w:rPr>
        <w:t>7, [2005] 2 R.C.S. 706, par.</w:t>
      </w:r>
      <w:r w:rsidR="00FC4A5B" w:rsidRPr="00C7601B">
        <w:rPr>
          <w:rFonts w:cs="Times New Roman"/>
          <w:szCs w:val="24"/>
          <w:lang w:val="fr-CA"/>
        </w:rPr>
        <w:t xml:space="preserve"> </w:t>
      </w:r>
      <w:r w:rsidR="00EF0949" w:rsidRPr="00C7601B">
        <w:rPr>
          <w:rFonts w:cs="Times New Roman"/>
          <w:szCs w:val="24"/>
          <w:lang w:val="fr-CA"/>
        </w:rPr>
        <w:t>41-</w:t>
      </w:r>
      <w:r w:rsidRPr="00C7601B">
        <w:rPr>
          <w:rFonts w:cs="Times New Roman"/>
          <w:szCs w:val="24"/>
          <w:lang w:val="fr-CA"/>
        </w:rPr>
        <w:t>53, la juge Abella).</w:t>
      </w:r>
      <w:r w:rsidR="00FC4A5B" w:rsidRPr="00C7601B">
        <w:rPr>
          <w:rFonts w:cs="Times New Roman"/>
          <w:szCs w:val="24"/>
          <w:lang w:val="fr-CA"/>
        </w:rPr>
        <w:t xml:space="preserve"> </w:t>
      </w:r>
      <w:r w:rsidRPr="00C7601B">
        <w:rPr>
          <w:rFonts w:cs="Times New Roman"/>
          <w:szCs w:val="24"/>
          <w:lang w:val="fr-CA"/>
        </w:rPr>
        <w:t xml:space="preserve">L’évolution législative s’entend de la formulation initiale, puis subséquente, d’une disposition, et l’historique législatif, des éléments touchant à la conception, à l’élaboration et à l’adoption du </w:t>
      </w:r>
      <w:r w:rsidR="00EF0949" w:rsidRPr="00C7601B">
        <w:rPr>
          <w:rFonts w:cs="Times New Roman"/>
          <w:szCs w:val="24"/>
          <w:lang w:val="fr-CA"/>
        </w:rPr>
        <w:t>texte de loi</w:t>
      </w:r>
      <w:r w:rsidR="00FC4A5B" w:rsidRPr="00C7601B">
        <w:rPr>
          <w:rFonts w:cs="Times New Roman"/>
          <w:szCs w:val="24"/>
          <w:lang w:val="fr-CA"/>
        </w:rPr>
        <w:t xml:space="preserve"> </w:t>
      </w:r>
      <w:r w:rsidR="00EF0949" w:rsidRPr="00C7601B">
        <w:rPr>
          <w:rFonts w:cs="Times New Roman"/>
          <w:szCs w:val="24"/>
          <w:lang w:val="fr-CA"/>
        </w:rPr>
        <w:t>: Sullivan, p.</w:t>
      </w:r>
      <w:r w:rsidR="00FC4A5B" w:rsidRPr="00C7601B">
        <w:rPr>
          <w:rFonts w:cs="Times New Roman"/>
          <w:szCs w:val="24"/>
          <w:lang w:val="fr-CA"/>
        </w:rPr>
        <w:t xml:space="preserve"> </w:t>
      </w:r>
      <w:r w:rsidR="00EF0949" w:rsidRPr="00C7601B">
        <w:rPr>
          <w:rFonts w:cs="Times New Roman"/>
          <w:szCs w:val="24"/>
          <w:lang w:val="fr-CA"/>
        </w:rPr>
        <w:t>587-593; P.</w:t>
      </w:r>
      <w:r w:rsidR="004A4BD5">
        <w:rPr>
          <w:rFonts w:cs="Times New Roman"/>
          <w:szCs w:val="24"/>
          <w:lang w:val="fr-CA"/>
        </w:rPr>
        <w:t>-</w:t>
      </w:r>
      <w:r w:rsidRPr="00C7601B">
        <w:rPr>
          <w:rFonts w:cs="Times New Roman"/>
          <w:szCs w:val="24"/>
          <w:lang w:val="fr-CA"/>
        </w:rPr>
        <w:t>A.</w:t>
      </w:r>
      <w:r w:rsidR="00FC4A5B" w:rsidRPr="00C7601B">
        <w:rPr>
          <w:rFonts w:cs="Times New Roman"/>
          <w:szCs w:val="24"/>
          <w:lang w:val="fr-CA"/>
        </w:rPr>
        <w:t xml:space="preserve"> </w:t>
      </w:r>
      <w:r w:rsidRPr="00C7601B">
        <w:rPr>
          <w:rFonts w:cs="Times New Roman"/>
          <w:szCs w:val="24"/>
          <w:lang w:val="fr-CA"/>
        </w:rPr>
        <w:t xml:space="preserve">Côté, </w:t>
      </w:r>
      <w:r w:rsidR="00A12A36">
        <w:rPr>
          <w:rFonts w:cs="Times New Roman"/>
          <w:szCs w:val="24"/>
          <w:lang w:val="fr-CA"/>
        </w:rPr>
        <w:t>avec la</w:t>
      </w:r>
      <w:r w:rsidRPr="00C7601B">
        <w:rPr>
          <w:rFonts w:cs="Times New Roman"/>
          <w:szCs w:val="24"/>
          <w:lang w:val="fr-CA"/>
        </w:rPr>
        <w:t xml:space="preserve"> collaboration </w:t>
      </w:r>
      <w:r w:rsidR="00A12A36">
        <w:rPr>
          <w:rFonts w:cs="Times New Roman"/>
          <w:szCs w:val="24"/>
          <w:lang w:val="fr-CA"/>
        </w:rPr>
        <w:t>d</w:t>
      </w:r>
      <w:r w:rsidRPr="00C7601B">
        <w:rPr>
          <w:rFonts w:cs="Times New Roman"/>
          <w:szCs w:val="24"/>
          <w:lang w:val="fr-CA"/>
        </w:rPr>
        <w:t>e S.</w:t>
      </w:r>
      <w:r w:rsidR="00FC4A5B" w:rsidRPr="00C7601B">
        <w:rPr>
          <w:rFonts w:cs="Times New Roman"/>
          <w:szCs w:val="24"/>
          <w:lang w:val="fr-CA"/>
        </w:rPr>
        <w:t xml:space="preserve"> </w:t>
      </w:r>
      <w:proofErr w:type="spellStart"/>
      <w:r w:rsidRPr="00C7601B">
        <w:rPr>
          <w:rFonts w:cs="Times New Roman"/>
          <w:szCs w:val="24"/>
          <w:lang w:val="fr-CA"/>
        </w:rPr>
        <w:t>Beaulac</w:t>
      </w:r>
      <w:proofErr w:type="spellEnd"/>
      <w:r w:rsidRPr="00C7601B">
        <w:rPr>
          <w:rFonts w:cs="Times New Roman"/>
          <w:szCs w:val="24"/>
          <w:lang w:val="fr-CA"/>
        </w:rPr>
        <w:t xml:space="preserve"> et M.</w:t>
      </w:r>
      <w:r w:rsidR="00FC4A5B" w:rsidRPr="00C7601B">
        <w:rPr>
          <w:rFonts w:cs="Times New Roman"/>
          <w:szCs w:val="24"/>
          <w:lang w:val="fr-CA"/>
        </w:rPr>
        <w:t xml:space="preserve"> </w:t>
      </w:r>
      <w:proofErr w:type="spellStart"/>
      <w:r w:rsidRPr="00C7601B">
        <w:rPr>
          <w:rFonts w:cs="Times New Roman"/>
          <w:szCs w:val="24"/>
          <w:lang w:val="fr-CA"/>
        </w:rPr>
        <w:t>Devinat</w:t>
      </w:r>
      <w:proofErr w:type="spellEnd"/>
      <w:r w:rsidRPr="00C7601B">
        <w:rPr>
          <w:rFonts w:cs="Times New Roman"/>
          <w:szCs w:val="24"/>
          <w:lang w:val="fr-CA"/>
        </w:rPr>
        <w:t xml:space="preserve">, </w:t>
      </w:r>
      <w:r w:rsidRPr="00C7601B">
        <w:rPr>
          <w:rFonts w:cs="Times New Roman"/>
          <w:i/>
          <w:szCs w:val="24"/>
          <w:lang w:val="fr-CA"/>
        </w:rPr>
        <w:t>Interprétation des lois</w:t>
      </w:r>
      <w:r w:rsidRPr="00C7601B">
        <w:rPr>
          <w:rFonts w:cs="Times New Roman"/>
          <w:szCs w:val="24"/>
          <w:lang w:val="fr-CA"/>
        </w:rPr>
        <w:t xml:space="preserve"> (4</w:t>
      </w:r>
      <w:r w:rsidRPr="00C7601B">
        <w:rPr>
          <w:rFonts w:cs="Times New Roman"/>
          <w:szCs w:val="24"/>
          <w:vertAlign w:val="superscript"/>
          <w:lang w:val="fr-CA"/>
        </w:rPr>
        <w:t>e</w:t>
      </w:r>
      <w:r w:rsidR="00FC4A5B" w:rsidRPr="00C7601B">
        <w:rPr>
          <w:rFonts w:cs="Times New Roman"/>
          <w:szCs w:val="24"/>
          <w:vertAlign w:val="superscript"/>
          <w:lang w:val="fr-CA"/>
        </w:rPr>
        <w:t xml:space="preserve"> </w:t>
      </w:r>
      <w:r w:rsidRPr="00C7601B">
        <w:rPr>
          <w:rFonts w:cs="Times New Roman"/>
          <w:szCs w:val="24"/>
          <w:lang w:val="fr-CA"/>
        </w:rPr>
        <w:t>éd. 2009), p.</w:t>
      </w:r>
      <w:r w:rsidR="00FC4A5B" w:rsidRPr="00C7601B">
        <w:rPr>
          <w:rFonts w:cs="Times New Roman"/>
          <w:szCs w:val="24"/>
          <w:lang w:val="fr-CA"/>
        </w:rPr>
        <w:t xml:space="preserve"> </w:t>
      </w:r>
      <w:r w:rsidRPr="00C7601B">
        <w:rPr>
          <w:rFonts w:cs="Times New Roman"/>
          <w:szCs w:val="24"/>
          <w:lang w:val="fr-CA"/>
        </w:rPr>
        <w:t>496 et 501</w:t>
      </w:r>
      <w:r w:rsidR="00C7601B" w:rsidRPr="00C7601B">
        <w:rPr>
          <w:rFonts w:cs="Times New Roman"/>
          <w:szCs w:val="24"/>
          <w:lang w:val="fr-CA"/>
        </w:rPr>
        <w:t>-</w:t>
      </w:r>
      <w:r w:rsidRPr="00C7601B">
        <w:rPr>
          <w:rFonts w:cs="Times New Roman"/>
          <w:szCs w:val="24"/>
          <w:lang w:val="fr-CA"/>
        </w:rPr>
        <w:t>508.</w:t>
      </w:r>
    </w:p>
    <w:p w:rsidR="00956B54" w:rsidRPr="00C7601B" w:rsidRDefault="00956B54" w:rsidP="00956B54">
      <w:pPr>
        <w:pStyle w:val="ParaNoNdepar-AltN"/>
        <w:rPr>
          <w:rFonts w:cs="Times New Roman"/>
          <w:szCs w:val="24"/>
          <w:lang w:val="fr-CA"/>
        </w:rPr>
      </w:pPr>
      <w:r w:rsidRPr="00C7601B">
        <w:rPr>
          <w:rFonts w:cs="Times New Roman"/>
          <w:szCs w:val="24"/>
          <w:lang w:val="fr-CA"/>
        </w:rPr>
        <w:t>Nous croyons que rien ne justifie d’oublier les dispositions envisagées mais non retenues dans la mesure où elles peuvent contribuer à la détermination de l’objet de la loi.</w:t>
      </w:r>
      <w:r w:rsidR="00FC4A5B" w:rsidRPr="00C7601B">
        <w:rPr>
          <w:rFonts w:cs="Times New Roman"/>
          <w:szCs w:val="24"/>
          <w:lang w:val="fr-CA"/>
        </w:rPr>
        <w:t xml:space="preserve"> </w:t>
      </w:r>
      <w:r w:rsidRPr="00C7601B">
        <w:rPr>
          <w:rFonts w:cs="Times New Roman"/>
          <w:szCs w:val="24"/>
          <w:lang w:val="fr-CA"/>
        </w:rPr>
        <w:t>Une grande prudence s’impose quant à l’importance éventuelle qu’il convient de leur accorder.</w:t>
      </w:r>
      <w:r w:rsidR="00FC4A5B" w:rsidRPr="00C7601B">
        <w:rPr>
          <w:rFonts w:cs="Times New Roman"/>
          <w:szCs w:val="24"/>
          <w:lang w:val="fr-CA"/>
        </w:rPr>
        <w:t xml:space="preserve"> </w:t>
      </w:r>
      <w:r w:rsidRPr="00C7601B">
        <w:rPr>
          <w:rFonts w:cs="Times New Roman"/>
          <w:szCs w:val="24"/>
          <w:lang w:val="fr-CA"/>
        </w:rPr>
        <w:t>Cependant, elles peuvent renseigner utilement sur l’historique et l’objet de la loi et, dans certains cas, offrir un élément de preuve direct de l’intention du législateur (Sullivan, p.</w:t>
      </w:r>
      <w:r w:rsidR="00FC4A5B" w:rsidRPr="00C7601B">
        <w:rPr>
          <w:rFonts w:cs="Times New Roman"/>
          <w:szCs w:val="24"/>
          <w:lang w:val="fr-CA"/>
        </w:rPr>
        <w:t xml:space="preserve"> </w:t>
      </w:r>
      <w:r w:rsidRPr="00C7601B">
        <w:rPr>
          <w:rFonts w:cs="Times New Roman"/>
          <w:szCs w:val="24"/>
          <w:lang w:val="fr-CA"/>
        </w:rPr>
        <w:t>609; Côté, p.</w:t>
      </w:r>
      <w:r w:rsidR="00FC4A5B" w:rsidRPr="00C7601B">
        <w:rPr>
          <w:rFonts w:cs="Times New Roman"/>
          <w:szCs w:val="24"/>
          <w:lang w:val="fr-CA"/>
        </w:rPr>
        <w:t xml:space="preserve"> </w:t>
      </w:r>
      <w:r w:rsidRPr="00C7601B">
        <w:rPr>
          <w:rFonts w:cs="Times New Roman"/>
          <w:szCs w:val="24"/>
          <w:lang w:val="fr-CA"/>
        </w:rPr>
        <w:t xml:space="preserve">507; </w:t>
      </w:r>
      <w:r w:rsidRPr="00C7601B">
        <w:rPr>
          <w:rFonts w:cs="Times New Roman"/>
          <w:i/>
          <w:szCs w:val="24"/>
          <w:lang w:val="fr-CA"/>
        </w:rPr>
        <w:t>Doré c. Verdun (Ville)</w:t>
      </w:r>
      <w:r w:rsidRPr="00C7601B">
        <w:rPr>
          <w:rFonts w:cs="Times New Roman"/>
          <w:szCs w:val="24"/>
          <w:lang w:val="fr-CA"/>
        </w:rPr>
        <w:t>, [1997] 2 R.C.S. 862, par.</w:t>
      </w:r>
      <w:r w:rsidR="00FC4A5B" w:rsidRPr="00C7601B">
        <w:rPr>
          <w:rFonts w:cs="Times New Roman"/>
          <w:szCs w:val="24"/>
          <w:lang w:val="fr-CA"/>
        </w:rPr>
        <w:t xml:space="preserve"> </w:t>
      </w:r>
      <w:r w:rsidRPr="00C7601B">
        <w:rPr>
          <w:rFonts w:cs="Times New Roman"/>
          <w:szCs w:val="24"/>
          <w:lang w:val="fr-CA"/>
        </w:rPr>
        <w:t>37).</w:t>
      </w:r>
      <w:r w:rsidR="00FC4A5B" w:rsidRPr="00C7601B">
        <w:rPr>
          <w:rFonts w:cs="Times New Roman"/>
          <w:szCs w:val="24"/>
          <w:lang w:val="fr-CA"/>
        </w:rPr>
        <w:t xml:space="preserve"> </w:t>
      </w:r>
      <w:r w:rsidRPr="00C7601B">
        <w:rPr>
          <w:rFonts w:cs="Times New Roman"/>
          <w:szCs w:val="24"/>
          <w:lang w:val="fr-CA"/>
        </w:rPr>
        <w:t xml:space="preserve">Dans l’arrêt </w:t>
      </w:r>
      <w:r w:rsidRPr="00C7601B">
        <w:rPr>
          <w:rFonts w:cs="Times New Roman"/>
          <w:i/>
          <w:szCs w:val="24"/>
          <w:lang w:val="fr-CA"/>
        </w:rPr>
        <w:t>M. c. H</w:t>
      </w:r>
      <w:r w:rsidRPr="00C7601B">
        <w:rPr>
          <w:rFonts w:cs="Times New Roman"/>
          <w:szCs w:val="24"/>
          <w:lang w:val="fr-CA"/>
        </w:rPr>
        <w:t xml:space="preserve">., [1999] 2 R.C.S. 3, notre Cour a </w:t>
      </w:r>
      <w:r w:rsidRPr="00C7601B">
        <w:rPr>
          <w:rFonts w:cs="Times New Roman"/>
          <w:szCs w:val="24"/>
          <w:lang w:val="fr-CA"/>
        </w:rPr>
        <w:lastRenderedPageBreak/>
        <w:t>statué qu’un projet de modification législative rejeté pouvait servir à établir l’intention du législateur</w:t>
      </w:r>
      <w:r w:rsidR="00FC4A5B" w:rsidRPr="00C7601B">
        <w:rPr>
          <w:rFonts w:cs="Times New Roman"/>
          <w:szCs w:val="24"/>
          <w:lang w:val="fr-CA"/>
        </w:rPr>
        <w:t xml:space="preserve"> </w:t>
      </w:r>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348</w:t>
      </w:r>
      <w:r w:rsidR="00C7601B" w:rsidRPr="00C7601B">
        <w:rPr>
          <w:rFonts w:cs="Times New Roman"/>
          <w:szCs w:val="24"/>
          <w:lang w:val="fr-CA"/>
        </w:rPr>
        <w:t>-</w:t>
      </w:r>
      <w:r w:rsidRPr="00C7601B">
        <w:rPr>
          <w:rFonts w:cs="Times New Roman"/>
          <w:szCs w:val="24"/>
          <w:lang w:val="fr-CA"/>
        </w:rPr>
        <w:t xml:space="preserve">349, le juge </w:t>
      </w:r>
      <w:proofErr w:type="spellStart"/>
      <w:r w:rsidRPr="00C7601B">
        <w:rPr>
          <w:rFonts w:cs="Times New Roman"/>
          <w:szCs w:val="24"/>
          <w:lang w:val="fr-CA"/>
        </w:rPr>
        <w:t>Bastarache</w:t>
      </w:r>
      <w:proofErr w:type="spellEnd"/>
      <w:r w:rsidRPr="00C7601B">
        <w:rPr>
          <w:rFonts w:cs="Times New Roman"/>
          <w:szCs w:val="24"/>
          <w:lang w:val="fr-CA"/>
        </w:rPr>
        <w:t>.</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L’évolution et l’historique de la </w:t>
      </w:r>
      <w:r w:rsidRPr="00C7601B">
        <w:rPr>
          <w:rFonts w:cs="Times New Roman"/>
          <w:i/>
          <w:szCs w:val="24"/>
          <w:lang w:val="fr-CA"/>
        </w:rPr>
        <w:t>LCDP</w:t>
      </w:r>
      <w:r w:rsidRPr="00C7601B">
        <w:rPr>
          <w:rFonts w:cs="Times New Roman"/>
          <w:szCs w:val="24"/>
          <w:lang w:val="fr-CA"/>
        </w:rPr>
        <w:t xml:space="preserve"> nous éclairent sur deux points importants.</w:t>
      </w:r>
      <w:r w:rsidR="00FC4A5B" w:rsidRPr="00C7601B">
        <w:rPr>
          <w:rFonts w:cs="Times New Roman"/>
          <w:szCs w:val="24"/>
          <w:lang w:val="fr-CA"/>
        </w:rPr>
        <w:t xml:space="preserve"> </w:t>
      </w:r>
      <w:r w:rsidRPr="00C7601B">
        <w:rPr>
          <w:rFonts w:cs="Times New Roman"/>
          <w:szCs w:val="24"/>
          <w:lang w:val="fr-CA"/>
        </w:rPr>
        <w:t>Premièrement, ils donnent fortement à penser que le législateur aurait eu recours au terme juridique consacré s’il avait voulu conférer le pouvoir d’adjuger des dépens.</w:t>
      </w:r>
      <w:r w:rsidR="00FC4A5B" w:rsidRPr="00C7601B">
        <w:rPr>
          <w:rFonts w:cs="Times New Roman"/>
          <w:szCs w:val="24"/>
          <w:lang w:val="fr-CA"/>
        </w:rPr>
        <w:t xml:space="preserve"> </w:t>
      </w:r>
      <w:r w:rsidRPr="00C7601B">
        <w:rPr>
          <w:rFonts w:cs="Times New Roman"/>
          <w:szCs w:val="24"/>
          <w:lang w:val="fr-CA"/>
        </w:rPr>
        <w:t>Le législateur est présumé connaître la loi, et l’omission d’employer un terme technique usité en droit permet d’inférer que le terme utilisé a une autre signification.</w:t>
      </w:r>
      <w:r w:rsidR="00FC4A5B" w:rsidRPr="00C7601B">
        <w:rPr>
          <w:rFonts w:cs="Times New Roman"/>
          <w:szCs w:val="24"/>
          <w:lang w:val="fr-CA"/>
        </w:rPr>
        <w:t xml:space="preserve"> </w:t>
      </w:r>
      <w:r w:rsidRPr="00C7601B">
        <w:rPr>
          <w:rFonts w:cs="Times New Roman"/>
          <w:szCs w:val="24"/>
          <w:lang w:val="fr-CA"/>
        </w:rPr>
        <w:t>L’historique de l’adoption des dispositions en cause étaye cette inférence raisonnable, car le terme juridique «</w:t>
      </w:r>
      <w:r w:rsidR="00FC4A5B" w:rsidRPr="00C7601B">
        <w:rPr>
          <w:rFonts w:cs="Times New Roman"/>
          <w:szCs w:val="24"/>
          <w:lang w:val="fr-CA"/>
        </w:rPr>
        <w:t xml:space="preserve"> </w:t>
      </w:r>
      <w:r w:rsidRPr="00C7601B">
        <w:rPr>
          <w:rFonts w:cs="Times New Roman"/>
          <w:szCs w:val="24"/>
          <w:lang w:val="fr-CA"/>
        </w:rPr>
        <w:t>dépens</w:t>
      </w:r>
      <w:r w:rsidR="00FC4A5B" w:rsidRPr="00C7601B">
        <w:rPr>
          <w:rFonts w:cs="Times New Roman"/>
          <w:szCs w:val="24"/>
          <w:lang w:val="fr-CA"/>
        </w:rPr>
        <w:t xml:space="preserve"> </w:t>
      </w:r>
      <w:r w:rsidRPr="00C7601B">
        <w:rPr>
          <w:rFonts w:cs="Times New Roman"/>
          <w:szCs w:val="24"/>
          <w:lang w:val="fr-CA"/>
        </w:rPr>
        <w:t>» a été employé dans l’ébauche de certaines dispositions, mais pas dans d’autres.</w:t>
      </w:r>
      <w:r w:rsidR="00FC4A5B" w:rsidRPr="00C7601B">
        <w:rPr>
          <w:rFonts w:cs="Times New Roman"/>
          <w:szCs w:val="24"/>
          <w:lang w:val="fr-CA"/>
        </w:rPr>
        <w:t xml:space="preserve"> </w:t>
      </w:r>
      <w:r w:rsidRPr="00C7601B">
        <w:rPr>
          <w:rFonts w:cs="Times New Roman"/>
          <w:szCs w:val="24"/>
          <w:lang w:val="fr-CA"/>
        </w:rPr>
        <w:t>En second lieu, le rôle qu’il projetait de confier à la Commission explique que le législateur n’a pas voulu lui attribuer le pouvoir d’adjuger des dépens.</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L’adoption en 1977 de la </w:t>
      </w:r>
      <w:r w:rsidRPr="00C7601B">
        <w:rPr>
          <w:rFonts w:cs="Times New Roman"/>
          <w:i/>
          <w:szCs w:val="24"/>
          <w:lang w:val="fr-CA"/>
        </w:rPr>
        <w:t>Loi canadienne sur les droits de la personne</w:t>
      </w:r>
      <w:r w:rsidRPr="00C7601B">
        <w:rPr>
          <w:rFonts w:cs="Times New Roman"/>
          <w:szCs w:val="24"/>
          <w:lang w:val="fr-CA"/>
        </w:rPr>
        <w:t xml:space="preserve"> a été précédée par le dépôt, en 1975, du projet de loi C</w:t>
      </w:r>
      <w:r w:rsidR="004A4BD5">
        <w:rPr>
          <w:rFonts w:cs="Times New Roman"/>
          <w:szCs w:val="24"/>
          <w:lang w:val="fr-CA"/>
        </w:rPr>
        <w:t>-</w:t>
      </w:r>
      <w:r w:rsidRPr="00C7601B">
        <w:rPr>
          <w:rFonts w:cs="Times New Roman"/>
          <w:szCs w:val="24"/>
          <w:lang w:val="fr-CA"/>
        </w:rPr>
        <w:t xml:space="preserve">72 intitulé </w:t>
      </w:r>
      <w:r w:rsidRPr="00C7601B">
        <w:rPr>
          <w:rFonts w:cs="Times New Roman"/>
          <w:i/>
          <w:szCs w:val="24"/>
          <w:lang w:val="fr-CA"/>
        </w:rPr>
        <w:t>Loi visant à compléter la législation canadienne actuelle en matière de discrimination et de protection de la vie privée</w:t>
      </w:r>
      <w:r w:rsidRPr="00C7601B">
        <w:rPr>
          <w:rFonts w:cs="Times New Roman"/>
          <w:szCs w:val="24"/>
          <w:lang w:val="fr-CA"/>
        </w:rPr>
        <w:t>, 1</w:t>
      </w:r>
      <w:r w:rsidRPr="00C7601B">
        <w:rPr>
          <w:rFonts w:cs="Times New Roman"/>
          <w:szCs w:val="24"/>
          <w:vertAlign w:val="superscript"/>
          <w:lang w:val="fr-CA"/>
        </w:rPr>
        <w:t>re</w:t>
      </w:r>
      <w:r w:rsidR="00FC4A5B" w:rsidRPr="00C7601B">
        <w:rPr>
          <w:rFonts w:cs="Times New Roman"/>
          <w:szCs w:val="24"/>
          <w:lang w:val="fr-CA"/>
        </w:rPr>
        <w:t xml:space="preserve"> </w:t>
      </w:r>
      <w:proofErr w:type="spellStart"/>
      <w:r w:rsidRPr="00C7601B">
        <w:rPr>
          <w:rFonts w:cs="Times New Roman"/>
          <w:szCs w:val="24"/>
          <w:lang w:val="fr-CA"/>
        </w:rPr>
        <w:t>sess</w:t>
      </w:r>
      <w:proofErr w:type="spellEnd"/>
      <w:r w:rsidRPr="00C7601B">
        <w:rPr>
          <w:rFonts w:cs="Times New Roman"/>
          <w:szCs w:val="24"/>
          <w:lang w:val="fr-CA"/>
        </w:rPr>
        <w:t>., 30</w:t>
      </w:r>
      <w:r w:rsidRPr="00C7601B">
        <w:rPr>
          <w:rFonts w:cs="Times New Roman"/>
          <w:szCs w:val="24"/>
          <w:vertAlign w:val="superscript"/>
          <w:lang w:val="fr-CA"/>
        </w:rPr>
        <w:t>e</w:t>
      </w:r>
      <w:r w:rsidR="00FC4A5B" w:rsidRPr="00C7601B">
        <w:rPr>
          <w:rFonts w:cs="Times New Roman"/>
          <w:szCs w:val="24"/>
          <w:lang w:val="fr-CA"/>
        </w:rPr>
        <w:t xml:space="preserve"> </w:t>
      </w:r>
      <w:proofErr w:type="spellStart"/>
      <w:r w:rsidRPr="00C7601B">
        <w:rPr>
          <w:rFonts w:cs="Times New Roman"/>
          <w:szCs w:val="24"/>
          <w:lang w:val="fr-CA"/>
        </w:rPr>
        <w:t>lég</w:t>
      </w:r>
      <w:proofErr w:type="spellEnd"/>
      <w:r w:rsidRPr="00C7601B">
        <w:rPr>
          <w:rFonts w:cs="Times New Roman"/>
          <w:szCs w:val="24"/>
          <w:lang w:val="fr-CA"/>
        </w:rPr>
        <w:t>., qui a franchi l’étape de la première lecture.</w:t>
      </w:r>
      <w:r w:rsidR="00FC4A5B" w:rsidRPr="00C7601B">
        <w:rPr>
          <w:rFonts w:cs="Times New Roman"/>
          <w:szCs w:val="24"/>
          <w:lang w:val="fr-CA"/>
        </w:rPr>
        <w:t xml:space="preserve"> </w:t>
      </w:r>
      <w:r w:rsidRPr="00C7601B">
        <w:rPr>
          <w:rFonts w:cs="Times New Roman"/>
          <w:szCs w:val="24"/>
          <w:lang w:val="fr-CA"/>
        </w:rPr>
        <w:t xml:space="preserve">Le projet conférait expressément au Tribunal le pouvoir d’adjuger des dépens </w:t>
      </w:r>
      <w:r w:rsidRPr="00C7601B">
        <w:rPr>
          <w:rFonts w:cs="Times New Roman"/>
          <w:i/>
          <w:szCs w:val="24"/>
          <w:lang w:val="fr-CA"/>
        </w:rPr>
        <w:t>en plus de</w:t>
      </w:r>
      <w:r w:rsidRPr="00C7601B">
        <w:rPr>
          <w:rFonts w:cs="Times New Roman"/>
          <w:szCs w:val="24"/>
          <w:lang w:val="fr-CA"/>
        </w:rPr>
        <w:t xml:space="preserve"> celui d’accorder une indemnité pour les frais.</w:t>
      </w:r>
      <w:r w:rsidR="00FC4A5B" w:rsidRPr="00C7601B">
        <w:rPr>
          <w:rFonts w:cs="Times New Roman"/>
          <w:szCs w:val="24"/>
          <w:lang w:val="fr-CA"/>
        </w:rPr>
        <w:t xml:space="preserve"> </w:t>
      </w:r>
      <w:r w:rsidRPr="00C7601B">
        <w:rPr>
          <w:rFonts w:cs="Times New Roman"/>
          <w:szCs w:val="24"/>
          <w:lang w:val="fr-CA"/>
        </w:rPr>
        <w:t>Le libellé des dispositions en cause était pour ainsi dire identique à celui de l’actuel par.</w:t>
      </w:r>
      <w:r w:rsidR="00FC4A5B" w:rsidRPr="00C7601B">
        <w:rPr>
          <w:rFonts w:cs="Times New Roman"/>
          <w:szCs w:val="24"/>
          <w:lang w:val="fr-CA"/>
        </w:rPr>
        <w:t xml:space="preserve"> </w:t>
      </w:r>
      <w:r w:rsidRPr="00C7601B">
        <w:rPr>
          <w:rFonts w:cs="Times New Roman"/>
          <w:szCs w:val="24"/>
          <w:lang w:val="fr-CA"/>
        </w:rPr>
        <w:t>53(2).</w:t>
      </w:r>
      <w:r w:rsidR="00FC4A5B" w:rsidRPr="00C7601B">
        <w:rPr>
          <w:rFonts w:cs="Times New Roman"/>
          <w:szCs w:val="24"/>
          <w:lang w:val="fr-CA"/>
        </w:rPr>
        <w:t xml:space="preserve"> </w:t>
      </w:r>
      <w:r w:rsidRPr="00C7601B">
        <w:rPr>
          <w:rFonts w:cs="Times New Roman"/>
          <w:szCs w:val="24"/>
          <w:lang w:val="fr-CA"/>
        </w:rPr>
        <w:t>Le paragraphe</w:t>
      </w:r>
      <w:r w:rsidR="00FC4A5B" w:rsidRPr="00C7601B">
        <w:rPr>
          <w:rFonts w:cs="Times New Roman"/>
          <w:szCs w:val="24"/>
          <w:lang w:val="fr-CA"/>
        </w:rPr>
        <w:t xml:space="preserve"> </w:t>
      </w:r>
      <w:r w:rsidRPr="00C7601B">
        <w:rPr>
          <w:rFonts w:cs="Times New Roman"/>
          <w:szCs w:val="24"/>
          <w:lang w:val="fr-CA"/>
        </w:rPr>
        <w:t>37(4) du projet de loi C</w:t>
      </w:r>
      <w:r w:rsidR="004A4BD5">
        <w:rPr>
          <w:rFonts w:cs="Times New Roman"/>
          <w:szCs w:val="24"/>
          <w:lang w:val="fr-CA"/>
        </w:rPr>
        <w:t>-</w:t>
      </w:r>
      <w:r w:rsidRPr="00C7601B">
        <w:rPr>
          <w:rFonts w:cs="Times New Roman"/>
          <w:szCs w:val="24"/>
          <w:lang w:val="fr-CA"/>
        </w:rPr>
        <w:t>72 disposait</w:t>
      </w:r>
      <w:r w:rsidR="00FC4A5B" w:rsidRPr="00C7601B">
        <w:rPr>
          <w:rFonts w:cs="Times New Roman"/>
          <w:szCs w:val="24"/>
          <w:lang w:val="fr-CA"/>
        </w:rPr>
        <w:t xml:space="preserve"> </w:t>
      </w:r>
      <w:r w:rsidRPr="00C7601B">
        <w:rPr>
          <w:rFonts w:cs="Times New Roman"/>
          <w:szCs w:val="24"/>
          <w:lang w:val="fr-CA"/>
        </w:rPr>
        <w:t xml:space="preserve">: </w:t>
      </w:r>
    </w:p>
    <w:p w:rsidR="000053CF" w:rsidRDefault="00EF0949" w:rsidP="000053CF">
      <w:pPr>
        <w:pStyle w:val="Citation-AltC"/>
        <w:keepNext/>
        <w:tabs>
          <w:tab w:val="left" w:pos="1170"/>
          <w:tab w:val="left" w:pos="1620"/>
        </w:tabs>
        <w:spacing w:after="240"/>
        <w:ind w:left="1167" w:hanging="1613"/>
        <w:contextualSpacing w:val="0"/>
        <w:rPr>
          <w:szCs w:val="24"/>
          <w:lang w:val="fr-CA"/>
        </w:rPr>
      </w:pPr>
      <w:r w:rsidRPr="00C7601B">
        <w:rPr>
          <w:szCs w:val="24"/>
          <w:lang w:val="fr-CA"/>
        </w:rPr>
        <w:lastRenderedPageBreak/>
        <w:tab/>
      </w:r>
      <w:r w:rsidR="000053CF">
        <w:rPr>
          <w:szCs w:val="24"/>
          <w:lang w:val="fr-CA"/>
        </w:rPr>
        <w:tab/>
      </w:r>
      <w:r w:rsidR="000053CF">
        <w:rPr>
          <w:szCs w:val="24"/>
          <w:lang w:val="fr-CA"/>
        </w:rPr>
        <w:tab/>
      </w:r>
      <w:r w:rsidR="000053CF" w:rsidRPr="000053CF">
        <w:rPr>
          <w:b/>
          <w:szCs w:val="24"/>
          <w:lang w:val="fr-CA"/>
        </w:rPr>
        <w:t>37.</w:t>
      </w:r>
      <w:r w:rsidR="000053CF">
        <w:rPr>
          <w:szCs w:val="24"/>
          <w:lang w:val="fr-CA"/>
        </w:rPr>
        <w:t xml:space="preserve"> . . .</w:t>
      </w:r>
    </w:p>
    <w:p w:rsidR="00956B54" w:rsidRPr="00C7601B" w:rsidRDefault="000053CF" w:rsidP="00EF0949">
      <w:pPr>
        <w:pStyle w:val="Citation-AltC"/>
        <w:keepNext/>
        <w:tabs>
          <w:tab w:val="left" w:pos="1170"/>
          <w:tab w:val="left" w:pos="1620"/>
        </w:tabs>
        <w:ind w:left="1170" w:hanging="1612"/>
        <w:contextualSpacing w:val="0"/>
        <w:rPr>
          <w:i/>
          <w:szCs w:val="24"/>
          <w:lang w:val="fr-CA"/>
        </w:rPr>
      </w:pPr>
      <w:r>
        <w:rPr>
          <w:szCs w:val="24"/>
          <w:lang w:val="fr-CA"/>
        </w:rPr>
        <w:tab/>
      </w:r>
      <w:r w:rsidR="00EF0949" w:rsidRPr="00C7601B">
        <w:rPr>
          <w:szCs w:val="24"/>
          <w:lang w:val="fr-CA"/>
        </w:rPr>
        <w:tab/>
      </w:r>
      <w:r w:rsidR="00956B54" w:rsidRPr="00C7601B">
        <w:rPr>
          <w:szCs w:val="24"/>
          <w:lang w:val="fr-CA"/>
        </w:rPr>
        <w:t>(4)</w:t>
      </w:r>
      <w:r w:rsidR="00956B54" w:rsidRPr="00C7601B">
        <w:rPr>
          <w:szCs w:val="24"/>
          <w:lang w:val="fr-CA"/>
        </w:rPr>
        <w:tab/>
        <w:t>Les dépens de l’enquête et les frais qui en découlent sont laissés à la discrétion du tribunal.</w:t>
      </w:r>
    </w:p>
    <w:p w:rsidR="00956B54" w:rsidRPr="00C7601B" w:rsidRDefault="00956B54" w:rsidP="00956B54">
      <w:pPr>
        <w:pStyle w:val="ParaNoNdepar-AltN"/>
        <w:rPr>
          <w:rFonts w:cs="Times New Roman"/>
          <w:szCs w:val="24"/>
          <w:lang w:val="fr-CA"/>
        </w:rPr>
      </w:pPr>
      <w:r w:rsidRPr="00C7601B">
        <w:rPr>
          <w:rFonts w:cs="Times New Roman"/>
          <w:szCs w:val="24"/>
          <w:lang w:val="fr-CA"/>
        </w:rPr>
        <w:t>Le projet de loi C</w:t>
      </w:r>
      <w:r w:rsidR="004A4BD5">
        <w:rPr>
          <w:rFonts w:cs="Times New Roman"/>
          <w:szCs w:val="24"/>
          <w:lang w:val="fr-CA"/>
        </w:rPr>
        <w:t>-</w:t>
      </w:r>
      <w:r w:rsidRPr="00C7601B">
        <w:rPr>
          <w:rFonts w:cs="Times New Roman"/>
          <w:szCs w:val="24"/>
          <w:lang w:val="fr-CA"/>
        </w:rPr>
        <w:t>72 est mort au Feuilleton.</w:t>
      </w:r>
      <w:r w:rsidR="00FC4A5B" w:rsidRPr="00C7601B">
        <w:rPr>
          <w:rFonts w:cs="Times New Roman"/>
          <w:szCs w:val="24"/>
          <w:lang w:val="fr-CA"/>
        </w:rPr>
        <w:t xml:space="preserve"> </w:t>
      </w:r>
      <w:r w:rsidRPr="00C7601B">
        <w:rPr>
          <w:rFonts w:cs="Times New Roman"/>
          <w:szCs w:val="24"/>
          <w:lang w:val="fr-CA"/>
        </w:rPr>
        <w:t>Lors du dépôt du projet de loi C</w:t>
      </w:r>
      <w:r w:rsidR="00C7601B" w:rsidRPr="00C7601B">
        <w:rPr>
          <w:rFonts w:cs="Times New Roman"/>
          <w:szCs w:val="24"/>
          <w:lang w:val="fr-CA"/>
        </w:rPr>
        <w:t>-</w:t>
      </w:r>
      <w:r w:rsidRPr="00C7601B">
        <w:rPr>
          <w:rFonts w:cs="Times New Roman"/>
          <w:szCs w:val="24"/>
          <w:lang w:val="fr-CA"/>
        </w:rPr>
        <w:t xml:space="preserve">25, devenu la </w:t>
      </w:r>
      <w:r w:rsidRPr="00C7601B">
        <w:rPr>
          <w:rFonts w:cs="Times New Roman"/>
          <w:i/>
          <w:szCs w:val="24"/>
          <w:lang w:val="fr-CA"/>
        </w:rPr>
        <w:t>LCDP</w:t>
      </w:r>
      <w:r w:rsidRPr="00C7601B">
        <w:rPr>
          <w:rFonts w:cs="Times New Roman"/>
          <w:szCs w:val="24"/>
          <w:lang w:val="fr-CA"/>
        </w:rPr>
        <w:t xml:space="preserve"> en 1977, le pouvoir exprès d’adjuger des dépens que prévoyait le par.</w:t>
      </w:r>
      <w:r w:rsidR="00FC4A5B" w:rsidRPr="00C7601B">
        <w:rPr>
          <w:rFonts w:cs="Times New Roman"/>
          <w:szCs w:val="24"/>
          <w:lang w:val="fr-CA"/>
        </w:rPr>
        <w:t xml:space="preserve"> </w:t>
      </w:r>
      <w:r w:rsidRPr="00C7601B">
        <w:rPr>
          <w:rFonts w:cs="Times New Roman"/>
          <w:szCs w:val="24"/>
          <w:lang w:val="fr-CA"/>
        </w:rPr>
        <w:t>37(4) du projet de loi C</w:t>
      </w:r>
      <w:r w:rsidR="004A4BD5">
        <w:rPr>
          <w:rFonts w:cs="Times New Roman"/>
          <w:szCs w:val="24"/>
          <w:lang w:val="fr-CA"/>
        </w:rPr>
        <w:t>-</w:t>
      </w:r>
      <w:r w:rsidRPr="00C7601B">
        <w:rPr>
          <w:rFonts w:cs="Times New Roman"/>
          <w:szCs w:val="24"/>
          <w:lang w:val="fr-CA"/>
        </w:rPr>
        <w:t>72 a été omis, alors que celui d’indemniser des frais occasionnés a été retenu.</w:t>
      </w:r>
      <w:r w:rsidR="00FC4A5B" w:rsidRPr="00C7601B">
        <w:rPr>
          <w:rFonts w:cs="Times New Roman"/>
          <w:szCs w:val="24"/>
          <w:lang w:val="fr-CA"/>
        </w:rPr>
        <w:t xml:space="preserve"> </w:t>
      </w:r>
      <w:r w:rsidRPr="00C7601B">
        <w:rPr>
          <w:rFonts w:cs="Times New Roman"/>
          <w:szCs w:val="24"/>
          <w:lang w:val="fr-CA"/>
        </w:rPr>
        <w:t>De plus, une disposition portant sur le rôle de la Commission a été ajoutée.</w:t>
      </w:r>
      <w:r w:rsidR="00FC4A5B" w:rsidRPr="00C7601B">
        <w:rPr>
          <w:rFonts w:cs="Times New Roman"/>
          <w:szCs w:val="24"/>
          <w:lang w:val="fr-CA"/>
        </w:rPr>
        <w:t xml:space="preserve"> </w:t>
      </w:r>
      <w:r w:rsidRPr="00C7601B">
        <w:rPr>
          <w:rFonts w:cs="Times New Roman"/>
          <w:szCs w:val="24"/>
          <w:lang w:val="fr-CA"/>
        </w:rPr>
        <w:t>Nous y reviendrons.</w:t>
      </w:r>
    </w:p>
    <w:p w:rsidR="00956B54" w:rsidRPr="00C7601B" w:rsidRDefault="00956B54" w:rsidP="00956B54">
      <w:pPr>
        <w:pStyle w:val="ParaNoNdepar-AltN"/>
        <w:rPr>
          <w:rFonts w:cs="Times New Roman"/>
          <w:szCs w:val="24"/>
          <w:lang w:val="fr-CA"/>
        </w:rPr>
      </w:pPr>
      <w:r w:rsidRPr="00C7601B">
        <w:rPr>
          <w:rFonts w:cs="Times New Roman"/>
          <w:szCs w:val="24"/>
          <w:lang w:val="fr-CA"/>
        </w:rPr>
        <w:t>Ce volet de l’historique des dispositions qui nous intéressent permet de conclure que le terme technique «</w:t>
      </w:r>
      <w:r w:rsidR="00FC4A5B" w:rsidRPr="00C7601B">
        <w:rPr>
          <w:rFonts w:cs="Times New Roman"/>
          <w:szCs w:val="24"/>
          <w:lang w:val="fr-CA"/>
        </w:rPr>
        <w:t xml:space="preserve"> </w:t>
      </w:r>
      <w:r w:rsidRPr="00C7601B">
        <w:rPr>
          <w:rFonts w:cs="Times New Roman"/>
          <w:szCs w:val="24"/>
          <w:lang w:val="fr-CA"/>
        </w:rPr>
        <w:t>dépens</w:t>
      </w:r>
      <w:r w:rsidR="00FC4A5B" w:rsidRPr="00C7601B">
        <w:rPr>
          <w:rFonts w:cs="Times New Roman"/>
          <w:szCs w:val="24"/>
          <w:lang w:val="fr-CA"/>
        </w:rPr>
        <w:t xml:space="preserve"> </w:t>
      </w:r>
      <w:r w:rsidRPr="00C7601B">
        <w:rPr>
          <w:rFonts w:cs="Times New Roman"/>
          <w:szCs w:val="24"/>
          <w:lang w:val="fr-CA"/>
        </w:rPr>
        <w:t>» est employé lorsqu’il s’agit de conférer le pouvoir d’indemniser une partie de ses frais de justice.</w:t>
      </w:r>
      <w:r w:rsidR="00FC4A5B" w:rsidRPr="00C7601B">
        <w:rPr>
          <w:rFonts w:cs="Times New Roman"/>
          <w:szCs w:val="24"/>
          <w:lang w:val="fr-CA"/>
        </w:rPr>
        <w:t xml:space="preserve"> </w:t>
      </w:r>
      <w:r w:rsidRPr="00C7601B">
        <w:rPr>
          <w:rFonts w:cs="Times New Roman"/>
          <w:szCs w:val="24"/>
          <w:lang w:val="fr-CA"/>
        </w:rPr>
        <w:t>Cette interprétation se voit confirmée par les modifications proposées en 1992, mais non adoptées par la suite.</w:t>
      </w:r>
      <w:r w:rsidR="00FC4A5B" w:rsidRPr="00C7601B">
        <w:rPr>
          <w:rFonts w:cs="Times New Roman"/>
          <w:szCs w:val="24"/>
          <w:lang w:val="fr-CA"/>
        </w:rPr>
        <w:t xml:space="preserve"> </w:t>
      </w:r>
      <w:r w:rsidRPr="00C7601B">
        <w:rPr>
          <w:rFonts w:cs="Times New Roman"/>
          <w:szCs w:val="24"/>
          <w:lang w:val="fr-CA"/>
        </w:rPr>
        <w:t>En effet, l</w:t>
      </w:r>
      <w:r w:rsidRPr="00C7601B">
        <w:rPr>
          <w:rFonts w:cs="Times New Roman"/>
          <w:spacing w:val="-3"/>
          <w:szCs w:val="24"/>
          <w:lang w:val="fr-CA"/>
        </w:rPr>
        <w:t>e par.</w:t>
      </w:r>
      <w:r w:rsidR="00FC4A5B" w:rsidRPr="00C7601B">
        <w:rPr>
          <w:rFonts w:cs="Times New Roman"/>
          <w:spacing w:val="-3"/>
          <w:szCs w:val="24"/>
          <w:lang w:val="fr-CA"/>
        </w:rPr>
        <w:t xml:space="preserve"> </w:t>
      </w:r>
      <w:r w:rsidRPr="00C7601B">
        <w:rPr>
          <w:rFonts w:cs="Times New Roman"/>
          <w:spacing w:val="-3"/>
          <w:szCs w:val="24"/>
          <w:lang w:val="fr-CA"/>
        </w:rPr>
        <w:t>24(3) du projet de loi C</w:t>
      </w:r>
      <w:r w:rsidR="004A4BD5">
        <w:rPr>
          <w:rFonts w:cs="Times New Roman"/>
          <w:spacing w:val="-3"/>
          <w:szCs w:val="24"/>
          <w:lang w:val="fr-CA"/>
        </w:rPr>
        <w:t>-</w:t>
      </w:r>
      <w:r w:rsidRPr="00C7601B">
        <w:rPr>
          <w:rFonts w:cs="Times New Roman"/>
          <w:spacing w:val="-3"/>
          <w:szCs w:val="24"/>
          <w:lang w:val="fr-CA"/>
        </w:rPr>
        <w:t xml:space="preserve">108 — </w:t>
      </w:r>
      <w:r w:rsidRPr="00C7601B">
        <w:rPr>
          <w:rFonts w:cs="Times New Roman"/>
          <w:i/>
          <w:iCs/>
          <w:spacing w:val="-3"/>
          <w:szCs w:val="24"/>
          <w:lang w:val="fr-CA"/>
        </w:rPr>
        <w:t>Loi modifiant la Loi canadienne sur les droits de la personne et d’autres lois en conséquence</w:t>
      </w:r>
      <w:r w:rsidRPr="00C7601B">
        <w:rPr>
          <w:rFonts w:cs="Times New Roman"/>
          <w:spacing w:val="-3"/>
          <w:szCs w:val="24"/>
          <w:lang w:val="fr-CA"/>
        </w:rPr>
        <w:t>, 3</w:t>
      </w:r>
      <w:r w:rsidRPr="00C7601B">
        <w:rPr>
          <w:rFonts w:cs="Times New Roman"/>
          <w:spacing w:val="-3"/>
          <w:szCs w:val="24"/>
          <w:vertAlign w:val="superscript"/>
          <w:lang w:val="fr-CA"/>
        </w:rPr>
        <w:t>e</w:t>
      </w:r>
      <w:r w:rsidR="00FC4A5B" w:rsidRPr="00C7601B">
        <w:rPr>
          <w:rFonts w:cs="Times New Roman"/>
          <w:spacing w:val="-3"/>
          <w:szCs w:val="24"/>
          <w:lang w:val="fr-CA"/>
        </w:rPr>
        <w:t xml:space="preserve"> </w:t>
      </w:r>
      <w:proofErr w:type="spellStart"/>
      <w:proofErr w:type="gramStart"/>
      <w:r w:rsidRPr="00C7601B">
        <w:rPr>
          <w:rFonts w:cs="Times New Roman"/>
          <w:spacing w:val="-3"/>
          <w:szCs w:val="24"/>
          <w:lang w:val="fr-CA"/>
        </w:rPr>
        <w:t>sess</w:t>
      </w:r>
      <w:proofErr w:type="spellEnd"/>
      <w:r w:rsidRPr="00C7601B">
        <w:rPr>
          <w:rFonts w:cs="Times New Roman"/>
          <w:spacing w:val="-3"/>
          <w:szCs w:val="24"/>
          <w:lang w:val="fr-CA"/>
        </w:rPr>
        <w:t>.,</w:t>
      </w:r>
      <w:proofErr w:type="gramEnd"/>
      <w:r w:rsidRPr="00C7601B">
        <w:rPr>
          <w:rFonts w:cs="Times New Roman"/>
          <w:spacing w:val="-3"/>
          <w:szCs w:val="24"/>
          <w:lang w:val="fr-CA"/>
        </w:rPr>
        <w:t xml:space="preserve"> 34</w:t>
      </w:r>
      <w:r w:rsidRPr="00C7601B">
        <w:rPr>
          <w:rFonts w:cs="Times New Roman"/>
          <w:spacing w:val="-3"/>
          <w:szCs w:val="24"/>
          <w:vertAlign w:val="superscript"/>
          <w:lang w:val="fr-CA"/>
        </w:rPr>
        <w:t>e</w:t>
      </w:r>
      <w:r w:rsidR="00EF0949" w:rsidRPr="00C7601B">
        <w:rPr>
          <w:rFonts w:cs="Times New Roman"/>
          <w:spacing w:val="-3"/>
          <w:szCs w:val="24"/>
          <w:lang w:val="fr-CA"/>
        </w:rPr>
        <w:t xml:space="preserve"> </w:t>
      </w:r>
      <w:proofErr w:type="spellStart"/>
      <w:r w:rsidR="00EF0949" w:rsidRPr="00C7601B">
        <w:rPr>
          <w:rFonts w:cs="Times New Roman"/>
          <w:spacing w:val="-3"/>
          <w:szCs w:val="24"/>
          <w:lang w:val="fr-CA"/>
        </w:rPr>
        <w:t>lég</w:t>
      </w:r>
      <w:proofErr w:type="spellEnd"/>
      <w:r w:rsidR="00EF0949" w:rsidRPr="00C7601B">
        <w:rPr>
          <w:rFonts w:cs="Times New Roman"/>
          <w:spacing w:val="-3"/>
          <w:szCs w:val="24"/>
          <w:lang w:val="fr-CA"/>
        </w:rPr>
        <w:t>., 1991-</w:t>
      </w:r>
      <w:r w:rsidRPr="00C7601B">
        <w:rPr>
          <w:rFonts w:cs="Times New Roman"/>
          <w:spacing w:val="-3"/>
          <w:szCs w:val="24"/>
          <w:lang w:val="fr-CA"/>
        </w:rPr>
        <w:t xml:space="preserve">92 — prévoyait que le </w:t>
      </w:r>
      <w:r w:rsidRPr="00C7601B">
        <w:rPr>
          <w:rFonts w:cs="Times New Roman"/>
          <w:szCs w:val="24"/>
          <w:lang w:val="fr-CA"/>
        </w:rPr>
        <w:t>Tribunal pouvait condamner la Commission aux dépens.</w:t>
      </w:r>
      <w:r w:rsidR="00FC4A5B" w:rsidRPr="00C7601B">
        <w:rPr>
          <w:rFonts w:cs="Times New Roman"/>
          <w:szCs w:val="24"/>
          <w:lang w:val="fr-CA"/>
        </w:rPr>
        <w:t xml:space="preserve"> </w:t>
      </w:r>
      <w:r w:rsidRPr="00C7601B">
        <w:rPr>
          <w:rFonts w:cs="Times New Roman"/>
          <w:szCs w:val="24"/>
          <w:lang w:val="fr-CA"/>
        </w:rPr>
        <w:t>En voici le libellé</w:t>
      </w:r>
      <w:r w:rsidR="00FC4A5B" w:rsidRPr="00C7601B">
        <w:rPr>
          <w:rFonts w:cs="Times New Roman"/>
          <w:szCs w:val="24"/>
          <w:lang w:val="fr-CA"/>
        </w:rPr>
        <w:t xml:space="preserve"> </w:t>
      </w:r>
      <w:r w:rsidRPr="00C7601B">
        <w:rPr>
          <w:rFonts w:cs="Times New Roman"/>
          <w:szCs w:val="24"/>
          <w:lang w:val="fr-CA"/>
        </w:rPr>
        <w:t>:</w:t>
      </w:r>
    </w:p>
    <w:p w:rsidR="00A12A36" w:rsidRPr="00A12A36" w:rsidRDefault="00A12A36" w:rsidP="00956B54">
      <w:pPr>
        <w:pStyle w:val="Citation-AltC"/>
        <w:tabs>
          <w:tab w:val="left" w:pos="1530"/>
        </w:tabs>
        <w:spacing w:after="240"/>
        <w:ind w:hanging="1166"/>
        <w:contextualSpacing w:val="0"/>
        <w:rPr>
          <w:szCs w:val="24"/>
          <w:lang w:val="fr-CA"/>
        </w:rPr>
      </w:pPr>
      <w:r>
        <w:rPr>
          <w:szCs w:val="24"/>
          <w:lang w:val="fr-CA"/>
        </w:rPr>
        <w:tab/>
      </w:r>
      <w:r>
        <w:rPr>
          <w:szCs w:val="24"/>
          <w:lang w:val="fr-CA"/>
        </w:rPr>
        <w:tab/>
      </w:r>
      <w:r>
        <w:rPr>
          <w:b/>
          <w:szCs w:val="24"/>
          <w:lang w:val="fr-CA"/>
        </w:rPr>
        <w:t>24.</w:t>
      </w:r>
      <w:r>
        <w:rPr>
          <w:szCs w:val="24"/>
          <w:lang w:val="fr-CA"/>
        </w:rPr>
        <w:t xml:space="preserve">  . . .</w:t>
      </w:r>
    </w:p>
    <w:p w:rsidR="00956B54" w:rsidRPr="00C7601B" w:rsidRDefault="00956B54" w:rsidP="00956B54">
      <w:pPr>
        <w:pStyle w:val="Citation-AltC"/>
        <w:tabs>
          <w:tab w:val="left" w:pos="1530"/>
        </w:tabs>
        <w:spacing w:after="240"/>
        <w:ind w:hanging="1166"/>
        <w:contextualSpacing w:val="0"/>
        <w:rPr>
          <w:b/>
          <w:szCs w:val="24"/>
          <w:lang w:val="fr-CA"/>
        </w:rPr>
      </w:pPr>
      <w:r w:rsidRPr="00C7601B">
        <w:rPr>
          <w:szCs w:val="24"/>
          <w:lang w:val="fr-CA"/>
        </w:rPr>
        <w:tab/>
      </w:r>
      <w:r w:rsidRPr="00C7601B">
        <w:rPr>
          <w:szCs w:val="24"/>
          <w:lang w:val="fr-CA"/>
        </w:rPr>
        <w:tab/>
      </w:r>
      <w:r w:rsidR="00EF0949" w:rsidRPr="00C7601B">
        <w:rPr>
          <w:b/>
          <w:szCs w:val="24"/>
          <w:lang w:val="fr-CA"/>
        </w:rPr>
        <w:t>(3)</w:t>
      </w:r>
      <w:r w:rsidR="00EF0949" w:rsidRPr="00C7601B">
        <w:rPr>
          <w:b/>
          <w:szCs w:val="24"/>
          <w:lang w:val="fr-CA"/>
        </w:rPr>
        <w:tab/>
      </w:r>
      <w:r w:rsidRPr="00C7601B">
        <w:rPr>
          <w:b/>
          <w:szCs w:val="24"/>
          <w:lang w:val="fr-CA"/>
        </w:rPr>
        <w:t xml:space="preserve">Les </w:t>
      </w:r>
      <w:r w:rsidRPr="00C7601B">
        <w:rPr>
          <w:b/>
          <w:spacing w:val="-3"/>
          <w:szCs w:val="24"/>
          <w:lang w:val="fr-CA" w:eastAsia="fr-CA"/>
        </w:rPr>
        <w:t>paragraphes</w:t>
      </w:r>
      <w:r w:rsidR="00FC4A5B" w:rsidRPr="00C7601B">
        <w:rPr>
          <w:b/>
          <w:szCs w:val="24"/>
          <w:lang w:val="fr-CA"/>
        </w:rPr>
        <w:t xml:space="preserve"> </w:t>
      </w:r>
      <w:r w:rsidRPr="00C7601B">
        <w:rPr>
          <w:b/>
          <w:szCs w:val="24"/>
          <w:lang w:val="fr-CA"/>
        </w:rPr>
        <w:t>53(3) et (4) de la même loi sont abrogés et remplacés par ce qui suit</w:t>
      </w:r>
      <w:r w:rsidR="00FC4A5B" w:rsidRPr="00C7601B">
        <w:rPr>
          <w:b/>
          <w:szCs w:val="24"/>
          <w:lang w:val="fr-CA"/>
        </w:rPr>
        <w:t xml:space="preserve"> </w:t>
      </w:r>
      <w:r w:rsidRPr="00C7601B">
        <w:rPr>
          <w:b/>
          <w:szCs w:val="24"/>
          <w:lang w:val="fr-CA"/>
        </w:rPr>
        <w:t>:</w:t>
      </w:r>
    </w:p>
    <w:p w:rsidR="00956B54" w:rsidRPr="00C7601B" w:rsidRDefault="00956B54" w:rsidP="00956B54">
      <w:pPr>
        <w:pStyle w:val="Citation-AltC"/>
        <w:spacing w:after="240"/>
        <w:contextualSpacing w:val="0"/>
        <w:jc w:val="center"/>
        <w:rPr>
          <w:szCs w:val="24"/>
          <w:lang w:val="fr-CA"/>
        </w:rPr>
      </w:pPr>
      <w:r w:rsidRPr="00C7601B">
        <w:rPr>
          <w:szCs w:val="24"/>
          <w:lang w:val="fr-CA"/>
        </w:rPr>
        <w:t>.</w:t>
      </w:r>
      <w:r w:rsidR="00FC4A5B" w:rsidRPr="00C7601B">
        <w:rPr>
          <w:szCs w:val="24"/>
          <w:lang w:val="fr-CA"/>
        </w:rPr>
        <w:t xml:space="preserve"> </w:t>
      </w:r>
      <w:r w:rsidRPr="00C7601B">
        <w:rPr>
          <w:szCs w:val="24"/>
          <w:lang w:val="fr-CA"/>
        </w:rPr>
        <w:t>.</w:t>
      </w:r>
      <w:r w:rsidR="00FC4A5B" w:rsidRPr="00C7601B">
        <w:rPr>
          <w:szCs w:val="24"/>
          <w:lang w:val="fr-CA"/>
        </w:rPr>
        <w:t xml:space="preserve"> </w:t>
      </w:r>
      <w:r w:rsidRPr="00C7601B">
        <w:rPr>
          <w:szCs w:val="24"/>
          <w:lang w:val="fr-CA"/>
        </w:rPr>
        <w:t>.</w:t>
      </w:r>
    </w:p>
    <w:p w:rsidR="00956B54" w:rsidRPr="00C7601B" w:rsidRDefault="00956B54" w:rsidP="00956B54">
      <w:pPr>
        <w:pStyle w:val="Citation-AltC"/>
        <w:tabs>
          <w:tab w:val="left" w:pos="1530"/>
        </w:tabs>
        <w:spacing w:after="240"/>
        <w:ind w:hanging="1166"/>
        <w:contextualSpacing w:val="0"/>
        <w:rPr>
          <w:spacing w:val="-3"/>
          <w:szCs w:val="24"/>
          <w:lang w:val="fr-CA" w:eastAsia="fr-CA"/>
        </w:rPr>
      </w:pPr>
      <w:r w:rsidRPr="00C7601B">
        <w:rPr>
          <w:szCs w:val="24"/>
          <w:lang w:val="fr-CA"/>
        </w:rPr>
        <w:lastRenderedPageBreak/>
        <w:tab/>
      </w:r>
      <w:r w:rsidRPr="00C7601B">
        <w:rPr>
          <w:szCs w:val="24"/>
          <w:lang w:val="fr-CA"/>
        </w:rPr>
        <w:tab/>
        <w:t>(</w:t>
      </w:r>
      <w:r w:rsidR="00EF0949" w:rsidRPr="00C7601B">
        <w:rPr>
          <w:szCs w:val="24"/>
          <w:lang w:val="fr-CA"/>
        </w:rPr>
        <w:t>6)</w:t>
      </w:r>
      <w:r w:rsidR="00EF0949" w:rsidRPr="00C7601B">
        <w:rPr>
          <w:szCs w:val="24"/>
          <w:lang w:val="fr-CA"/>
        </w:rPr>
        <w:tab/>
      </w:r>
      <w:r w:rsidRPr="00C7601B">
        <w:rPr>
          <w:spacing w:val="-3"/>
          <w:szCs w:val="24"/>
          <w:lang w:val="fr-CA" w:eastAsia="fr-CA"/>
        </w:rPr>
        <w:t>Le tribunal peut accorder, aux dépens de la Commission, les frais et dépens qu’il détermine suivant les barèmes fixés dans les règles visées à l’article</w:t>
      </w:r>
      <w:r w:rsidR="00FC4A5B" w:rsidRPr="00C7601B">
        <w:rPr>
          <w:spacing w:val="-3"/>
          <w:szCs w:val="24"/>
          <w:lang w:val="fr-CA" w:eastAsia="fr-CA"/>
        </w:rPr>
        <w:t xml:space="preserve"> </w:t>
      </w:r>
      <w:r w:rsidRPr="00C7601B">
        <w:rPr>
          <w:spacing w:val="-3"/>
          <w:szCs w:val="24"/>
          <w:lang w:val="fr-CA" w:eastAsia="fr-CA"/>
        </w:rPr>
        <w:t>48.9</w:t>
      </w:r>
      <w:r w:rsidR="00FC4A5B" w:rsidRPr="00C7601B">
        <w:rPr>
          <w:spacing w:val="-3"/>
          <w:szCs w:val="24"/>
          <w:lang w:val="fr-CA" w:eastAsia="fr-CA"/>
        </w:rPr>
        <w:t xml:space="preserve"> </w:t>
      </w:r>
      <w:r w:rsidRPr="00C7601B">
        <w:rPr>
          <w:spacing w:val="-3"/>
          <w:szCs w:val="24"/>
          <w:lang w:val="fr-CA" w:eastAsia="fr-CA"/>
        </w:rPr>
        <w:t>:</w:t>
      </w:r>
    </w:p>
    <w:p w:rsidR="00956B54" w:rsidRPr="00C7601B" w:rsidRDefault="00956B54" w:rsidP="00956B54">
      <w:pPr>
        <w:pStyle w:val="Citation-AltC"/>
        <w:spacing w:after="240"/>
        <w:ind w:left="1530" w:hanging="1530"/>
        <w:contextualSpacing w:val="0"/>
        <w:rPr>
          <w:szCs w:val="24"/>
          <w:lang w:val="fr-CA" w:eastAsia="fr-CA"/>
        </w:rPr>
      </w:pPr>
      <w:r w:rsidRPr="00C7601B">
        <w:rPr>
          <w:i/>
          <w:szCs w:val="24"/>
          <w:lang w:val="fr-CA" w:eastAsia="fr-CA"/>
        </w:rPr>
        <w:tab/>
        <w:t>a</w:t>
      </w:r>
      <w:r w:rsidR="00EF0949" w:rsidRPr="00C7601B">
        <w:rPr>
          <w:szCs w:val="24"/>
          <w:lang w:val="fr-CA" w:eastAsia="fr-CA"/>
        </w:rPr>
        <w:t>)</w:t>
      </w:r>
      <w:r w:rsidR="00EF0949" w:rsidRPr="00C7601B">
        <w:rPr>
          <w:szCs w:val="24"/>
          <w:lang w:val="fr-CA" w:eastAsia="fr-CA"/>
        </w:rPr>
        <w:tab/>
      </w:r>
      <w:r w:rsidRPr="00C7601B">
        <w:rPr>
          <w:szCs w:val="24"/>
          <w:lang w:val="fr-CA" w:eastAsia="fr-CA"/>
        </w:rPr>
        <w:t>au plaignant qui a gain de cause, soit lorsque la Commission n’a pas comparu devant lui, soit lorsque le plaignant a un représentant distinct à cause de la divergence de ses intérêts et de ceux de la Commission, ou des circonstances de la plainte;</w:t>
      </w:r>
    </w:p>
    <w:p w:rsidR="00956B54" w:rsidRPr="00C7601B" w:rsidRDefault="00956B54" w:rsidP="00956B54">
      <w:pPr>
        <w:pStyle w:val="Citation-AltC"/>
        <w:ind w:left="1530" w:hanging="1530"/>
        <w:contextualSpacing w:val="0"/>
        <w:rPr>
          <w:spacing w:val="-3"/>
          <w:szCs w:val="24"/>
          <w:lang w:val="fr-CA" w:eastAsia="fr-CA"/>
        </w:rPr>
      </w:pPr>
      <w:r w:rsidRPr="00C7601B">
        <w:rPr>
          <w:i/>
          <w:spacing w:val="-3"/>
          <w:szCs w:val="24"/>
          <w:lang w:val="fr-CA" w:eastAsia="fr-CA"/>
        </w:rPr>
        <w:tab/>
        <w:t>b</w:t>
      </w:r>
      <w:r w:rsidR="00EF0949" w:rsidRPr="00C7601B">
        <w:rPr>
          <w:spacing w:val="-3"/>
          <w:szCs w:val="24"/>
          <w:lang w:val="fr-CA" w:eastAsia="fr-CA"/>
        </w:rPr>
        <w:t>)</w:t>
      </w:r>
      <w:r w:rsidR="00EF0949" w:rsidRPr="00C7601B">
        <w:rPr>
          <w:spacing w:val="-3"/>
          <w:szCs w:val="24"/>
          <w:lang w:val="fr-CA" w:eastAsia="fr-CA"/>
        </w:rPr>
        <w:tab/>
      </w:r>
      <w:r w:rsidRPr="00C7601B">
        <w:rPr>
          <w:spacing w:val="-3"/>
          <w:szCs w:val="24"/>
          <w:lang w:val="fr-CA" w:eastAsia="fr-CA"/>
        </w:rPr>
        <w:t xml:space="preserve">au </w:t>
      </w:r>
      <w:r w:rsidRPr="00C7601B">
        <w:rPr>
          <w:szCs w:val="24"/>
          <w:lang w:val="fr-CA" w:eastAsia="fr-CA"/>
        </w:rPr>
        <w:t>défendeur</w:t>
      </w:r>
      <w:r w:rsidRPr="00C7601B">
        <w:rPr>
          <w:spacing w:val="-3"/>
          <w:szCs w:val="24"/>
          <w:lang w:val="fr-CA" w:eastAsia="fr-CA"/>
        </w:rPr>
        <w:t xml:space="preserve"> qui a gain de cause, lorsqu’il estime que la plainte est sans objet, dénuée de tout intérêt, faite de mauvaise foi ou a causé une contrainte financière excessive à celui</w:t>
      </w:r>
      <w:r w:rsidR="00C7601B" w:rsidRPr="00C7601B">
        <w:rPr>
          <w:spacing w:val="-3"/>
          <w:szCs w:val="24"/>
          <w:lang w:val="fr-CA" w:eastAsia="fr-CA"/>
        </w:rPr>
        <w:t>-</w:t>
      </w:r>
      <w:r w:rsidRPr="00C7601B">
        <w:rPr>
          <w:spacing w:val="-3"/>
          <w:szCs w:val="24"/>
          <w:lang w:val="fr-CA" w:eastAsia="fr-CA"/>
        </w:rPr>
        <w:t>ci.</w:t>
      </w:r>
    </w:p>
    <w:p w:rsidR="00956B54" w:rsidRPr="00C7601B" w:rsidRDefault="00956B54" w:rsidP="00956B54">
      <w:pPr>
        <w:pStyle w:val="ContinueParaSuitedupar-AltP"/>
        <w:rPr>
          <w:rFonts w:cs="Times New Roman"/>
          <w:szCs w:val="24"/>
          <w:lang w:val="fr-CA"/>
        </w:rPr>
      </w:pPr>
      <w:r w:rsidRPr="00C7601B">
        <w:rPr>
          <w:rFonts w:cs="Times New Roman"/>
          <w:szCs w:val="24"/>
          <w:lang w:val="fr-FR"/>
        </w:rPr>
        <w:t>De plus, l’art.</w:t>
      </w:r>
      <w:r w:rsidR="00FC4A5B" w:rsidRPr="00C7601B">
        <w:rPr>
          <w:rFonts w:cs="Times New Roman"/>
          <w:szCs w:val="24"/>
          <w:lang w:val="fr-FR"/>
        </w:rPr>
        <w:t xml:space="preserve"> </w:t>
      </w:r>
      <w:r w:rsidRPr="00C7601B">
        <w:rPr>
          <w:rFonts w:cs="Times New Roman"/>
          <w:szCs w:val="24"/>
          <w:lang w:val="fr-FR"/>
        </w:rPr>
        <w:t>21 (qui ajoutait l’al.</w:t>
      </w:r>
      <w:r w:rsidR="00FC4A5B" w:rsidRPr="00C7601B">
        <w:rPr>
          <w:rFonts w:cs="Times New Roman"/>
          <w:szCs w:val="24"/>
          <w:lang w:val="fr-FR"/>
        </w:rPr>
        <w:t xml:space="preserve"> </w:t>
      </w:r>
      <w:r w:rsidRPr="00C7601B">
        <w:rPr>
          <w:rFonts w:cs="Times New Roman"/>
          <w:szCs w:val="24"/>
          <w:lang w:val="fr-FR"/>
        </w:rPr>
        <w:t>48.9(1</w:t>
      </w:r>
      <w:proofErr w:type="gramStart"/>
      <w:r w:rsidRPr="00C7601B">
        <w:rPr>
          <w:rFonts w:cs="Times New Roman"/>
          <w:szCs w:val="24"/>
          <w:lang w:val="fr-FR"/>
        </w:rPr>
        <w:t>)</w:t>
      </w:r>
      <w:r w:rsidRPr="00C7601B">
        <w:rPr>
          <w:rFonts w:cs="Times New Roman"/>
          <w:i/>
          <w:iCs/>
          <w:szCs w:val="24"/>
          <w:lang w:val="fr-FR"/>
        </w:rPr>
        <w:t>h</w:t>
      </w:r>
      <w:proofErr w:type="gramEnd"/>
      <w:r w:rsidRPr="00C7601B">
        <w:rPr>
          <w:rFonts w:cs="Times New Roman"/>
          <w:szCs w:val="24"/>
          <w:lang w:val="fr-FR"/>
        </w:rPr>
        <w:t>)) aurait permis au Comité du tribunal des droits de la personne d’établir, avec l’approbation du gouverneur en conseil, des règles de procédure régissant l’adjudication des frais, des dépens et des intérêts</w:t>
      </w:r>
      <w:r w:rsidRPr="00C7601B">
        <w:rPr>
          <w:rFonts w:cs="Times New Roman"/>
          <w:szCs w:val="24"/>
          <w:lang w:val="fr-CA"/>
        </w:rPr>
        <w:t>.</w:t>
      </w:r>
    </w:p>
    <w:p w:rsidR="00956B54" w:rsidRPr="00C7601B" w:rsidRDefault="00956B54" w:rsidP="00956B54">
      <w:pPr>
        <w:pStyle w:val="ParaNoNdepar-AltN"/>
        <w:rPr>
          <w:rFonts w:cs="Times New Roman"/>
          <w:szCs w:val="24"/>
          <w:lang w:val="fr-CA"/>
        </w:rPr>
      </w:pPr>
      <w:r w:rsidRPr="00C7601B">
        <w:rPr>
          <w:rFonts w:cs="Times New Roman"/>
          <w:spacing w:val="-3"/>
          <w:szCs w:val="24"/>
          <w:lang w:val="fr-FR"/>
        </w:rPr>
        <w:t>Ces dispositions ont franchi l’étape de la première lecture en décembre 1992, mais elles n’ont connu aucune suite, de sorte qu’elles n’ont pas été adoptées.</w:t>
      </w:r>
      <w:r w:rsidR="00FC4A5B" w:rsidRPr="00C7601B">
        <w:rPr>
          <w:rFonts w:cs="Times New Roman"/>
          <w:spacing w:val="-3"/>
          <w:szCs w:val="24"/>
          <w:lang w:val="fr-FR"/>
        </w:rPr>
        <w:t xml:space="preserve"> </w:t>
      </w:r>
      <w:r w:rsidRPr="00C7601B">
        <w:rPr>
          <w:rFonts w:cs="Times New Roman"/>
          <w:spacing w:val="-3"/>
          <w:szCs w:val="24"/>
          <w:lang w:val="fr-FR"/>
        </w:rPr>
        <w:t>Cependant, elles montrent encore une fois que le mot «</w:t>
      </w:r>
      <w:r w:rsidR="00FC4A5B" w:rsidRPr="00C7601B">
        <w:rPr>
          <w:rFonts w:cs="Times New Roman"/>
          <w:spacing w:val="-3"/>
          <w:szCs w:val="24"/>
          <w:lang w:val="fr-FR"/>
        </w:rPr>
        <w:t xml:space="preserve"> </w:t>
      </w:r>
      <w:r w:rsidRPr="00C7601B">
        <w:rPr>
          <w:rFonts w:cs="Times New Roman"/>
          <w:spacing w:val="-3"/>
          <w:szCs w:val="24"/>
          <w:lang w:val="fr-FR"/>
        </w:rPr>
        <w:t>dépens</w:t>
      </w:r>
      <w:r w:rsidR="00FC4A5B" w:rsidRPr="00C7601B">
        <w:rPr>
          <w:rFonts w:cs="Times New Roman"/>
          <w:spacing w:val="-3"/>
          <w:szCs w:val="24"/>
          <w:lang w:val="fr-FR"/>
        </w:rPr>
        <w:t xml:space="preserve"> </w:t>
      </w:r>
      <w:r w:rsidRPr="00C7601B">
        <w:rPr>
          <w:rFonts w:cs="Times New Roman"/>
          <w:spacing w:val="-3"/>
          <w:szCs w:val="24"/>
          <w:lang w:val="fr-FR"/>
        </w:rPr>
        <w:t xml:space="preserve">» était perçu comme un terme technique propre au droit et que son emploi visait à </w:t>
      </w:r>
      <w:r w:rsidRPr="00C7601B">
        <w:rPr>
          <w:rFonts w:cs="Times New Roman"/>
          <w:szCs w:val="24"/>
          <w:lang w:val="fr-CA"/>
        </w:rPr>
        <w:t>conférer le pouvoir de condamner au paiement des frais de justice.</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Un autre aspect de l’historique législatif permet de conclure que, dans l’esprit du législateur, pouvoir d’adjuger des dépens et rôle projeté de la Commission étaient liés. </w:t>
      </w:r>
    </w:p>
    <w:p w:rsidR="00956B54" w:rsidRPr="00C7601B" w:rsidRDefault="00956B54" w:rsidP="00956B54">
      <w:pPr>
        <w:pStyle w:val="ParaNoNdepar-AltN"/>
        <w:rPr>
          <w:rFonts w:cs="Times New Roman"/>
          <w:szCs w:val="24"/>
          <w:lang w:val="fr-CA"/>
        </w:rPr>
      </w:pPr>
      <w:r w:rsidRPr="00C7601B">
        <w:rPr>
          <w:rFonts w:cs="Times New Roman"/>
          <w:szCs w:val="24"/>
          <w:lang w:val="fr-CA"/>
        </w:rPr>
        <w:t>Rappelons que le projet de loi de 1975, qui n’a pas connu de suite, autorisait expressément le Tribunal à accorder les «</w:t>
      </w:r>
      <w:r w:rsidR="00FC4A5B" w:rsidRPr="00C7601B">
        <w:rPr>
          <w:rFonts w:cs="Times New Roman"/>
          <w:szCs w:val="24"/>
          <w:lang w:val="fr-CA"/>
        </w:rPr>
        <w:t xml:space="preserve"> </w:t>
      </w:r>
      <w:r w:rsidRPr="00C7601B">
        <w:rPr>
          <w:rFonts w:cs="Times New Roman"/>
          <w:szCs w:val="24"/>
          <w:lang w:val="fr-CA"/>
        </w:rPr>
        <w:t xml:space="preserve">dépens de l’enquête et les frais </w:t>
      </w:r>
      <w:r w:rsidRPr="00C7601B">
        <w:rPr>
          <w:rFonts w:cs="Times New Roman"/>
          <w:szCs w:val="24"/>
          <w:lang w:val="fr-CA"/>
        </w:rPr>
        <w:lastRenderedPageBreak/>
        <w:t>qui en découlent</w:t>
      </w:r>
      <w:r w:rsidR="00FC4A5B" w:rsidRPr="00C7601B">
        <w:rPr>
          <w:rFonts w:cs="Times New Roman"/>
          <w:szCs w:val="24"/>
          <w:lang w:val="fr-CA"/>
        </w:rPr>
        <w:t xml:space="preserve"> </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 xml:space="preserve">Or, ce pouvoir exprès n’a pas été repris dans le projet de loi de 1977 dont est issue la </w:t>
      </w:r>
      <w:r w:rsidRPr="00C7601B">
        <w:rPr>
          <w:rFonts w:cs="Times New Roman"/>
          <w:i/>
          <w:szCs w:val="24"/>
          <w:lang w:val="fr-CA"/>
        </w:rPr>
        <w:t>LCDP</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Toutefois, même si le législateur a écarté le pouvoir d’adjuger des dépens, il a ajouté une disposition relative au rôle de la Commission qui, dans sa version actuelle, prévoit ce qui suit</w:t>
      </w:r>
      <w:r w:rsidR="00FC4A5B" w:rsidRPr="00C7601B">
        <w:rPr>
          <w:rFonts w:cs="Times New Roman"/>
          <w:szCs w:val="24"/>
          <w:lang w:val="fr-CA"/>
        </w:rPr>
        <w:t xml:space="preserve"> </w:t>
      </w:r>
      <w:r w:rsidRPr="00C7601B">
        <w:rPr>
          <w:rFonts w:cs="Times New Roman"/>
          <w:szCs w:val="24"/>
          <w:lang w:val="fr-CA"/>
        </w:rPr>
        <w:t>:</w:t>
      </w:r>
    </w:p>
    <w:p w:rsidR="00956B54" w:rsidRPr="00C7601B" w:rsidRDefault="00956B54" w:rsidP="00956B54">
      <w:pPr>
        <w:pStyle w:val="Citation-AltC"/>
        <w:tabs>
          <w:tab w:val="left" w:pos="1620"/>
        </w:tabs>
        <w:ind w:hanging="1166"/>
        <w:rPr>
          <w:szCs w:val="24"/>
          <w:lang w:val="fr-CA" w:eastAsia="en-US"/>
        </w:rPr>
      </w:pPr>
      <w:r w:rsidRPr="00C7601B">
        <w:rPr>
          <w:b/>
          <w:szCs w:val="24"/>
          <w:lang w:val="fr-CA" w:eastAsia="en-US"/>
        </w:rPr>
        <w:tab/>
      </w:r>
      <w:r w:rsidR="00EF0949" w:rsidRPr="00C7601B">
        <w:rPr>
          <w:b/>
          <w:szCs w:val="24"/>
          <w:lang w:val="fr-CA" w:eastAsia="en-US"/>
        </w:rPr>
        <w:tab/>
      </w:r>
      <w:r w:rsidRPr="00C7601B">
        <w:rPr>
          <w:b/>
          <w:szCs w:val="24"/>
          <w:lang w:val="fr-CA" w:eastAsia="en-US"/>
        </w:rPr>
        <w:t>51.</w:t>
      </w:r>
      <w:r w:rsidRPr="00C7601B">
        <w:rPr>
          <w:szCs w:val="24"/>
          <w:lang w:val="fr-CA" w:eastAsia="en-US"/>
        </w:rPr>
        <w:tab/>
      </w:r>
      <w:r w:rsidRPr="00C7601B">
        <w:rPr>
          <w:szCs w:val="24"/>
          <w:lang w:val="fr-CA"/>
        </w:rPr>
        <w:t>En comparaissant devant le membre instructeur et en présentant ses éléments de preuve et ses observations, la Commission adopte l’attitude la plus proche, à son avis, de l’intérêt public, compte tenu de la nature de la plainte.</w:t>
      </w:r>
    </w:p>
    <w:p w:rsidR="00956B54" w:rsidRPr="00C7601B" w:rsidRDefault="00956B54" w:rsidP="00956B54">
      <w:pPr>
        <w:pStyle w:val="ContinueParaSuitedupar-AltP"/>
        <w:rPr>
          <w:rFonts w:cs="Times New Roman"/>
          <w:szCs w:val="24"/>
          <w:lang w:val="fr-CA"/>
        </w:rPr>
      </w:pPr>
      <w:r w:rsidRPr="00C7601B">
        <w:rPr>
          <w:rFonts w:cs="Times New Roman"/>
          <w:szCs w:val="24"/>
          <w:lang w:val="fr-CA"/>
        </w:rPr>
        <w:t xml:space="preserve">Nous convenons avec l’intimé qu’il appert nettement de cette succession de mesures que le législateur a choisi de confier un rôle actif à la Commission, dont celui d’agir au nom d’un plaignant, au lieu d’investir le Tribunal d’un vaste pouvoir d’adjudication des dépens. </w:t>
      </w:r>
    </w:p>
    <w:p w:rsidR="00956B54" w:rsidRPr="00C7601B" w:rsidRDefault="00956B54" w:rsidP="00956B54">
      <w:pPr>
        <w:pStyle w:val="ParaNoNdepar-AltN"/>
        <w:rPr>
          <w:rFonts w:cs="Times New Roman"/>
          <w:szCs w:val="24"/>
          <w:lang w:val="fr-CA"/>
        </w:rPr>
      </w:pPr>
      <w:r w:rsidRPr="00C7601B">
        <w:rPr>
          <w:rFonts w:cs="Times New Roman"/>
          <w:szCs w:val="24"/>
          <w:lang w:val="fr-CA"/>
        </w:rPr>
        <w:t>Les modifications proposées en 1992 et dont nous faisons précédemment état s’accordent avec cette interprétation.</w:t>
      </w:r>
      <w:r w:rsidR="00FC4A5B" w:rsidRPr="00C7601B">
        <w:rPr>
          <w:rFonts w:cs="Times New Roman"/>
          <w:szCs w:val="24"/>
          <w:lang w:val="fr-CA"/>
        </w:rPr>
        <w:t xml:space="preserve"> </w:t>
      </w:r>
      <w:r w:rsidRPr="00C7601B">
        <w:rPr>
          <w:rFonts w:cs="Times New Roman"/>
          <w:szCs w:val="24"/>
          <w:lang w:val="fr-CA"/>
        </w:rPr>
        <w:t>Il convient également de signaler que le pouvoir d’adjuger des dépens que prévoyaient ces dispositions ne pouvait être exercé que si la Commission n’assurait pas la conduite de l’instance, ce qui tend à appuyer la thèse, défendue par l’intimé, de l’abandon du pouvoir d’adjuger des dépens au profit de l’octroi à la Commission d’un rôle actif dans la présentation des plaintes au Tribunal.</w:t>
      </w:r>
    </w:p>
    <w:p w:rsidR="00956B54" w:rsidRPr="00C7601B" w:rsidRDefault="00956B54" w:rsidP="00956B54">
      <w:pPr>
        <w:pStyle w:val="TitleTitre-AltT"/>
        <w:tabs>
          <w:tab w:val="clear" w:pos="360"/>
          <w:tab w:val="left" w:pos="1620"/>
        </w:tabs>
        <w:ind w:left="1620" w:hanging="450"/>
        <w:rPr>
          <w:rFonts w:cs="Times New Roman"/>
          <w:i/>
          <w:szCs w:val="24"/>
          <w:lang w:val="fr-CA"/>
        </w:rPr>
      </w:pPr>
      <w:r w:rsidRPr="00C7601B">
        <w:rPr>
          <w:rFonts w:cs="Times New Roman"/>
          <w:szCs w:val="24"/>
          <w:lang w:val="fr-CA"/>
        </w:rPr>
        <w:lastRenderedPageBreak/>
        <w:t>b)</w:t>
      </w:r>
      <w:r w:rsidRPr="00C7601B">
        <w:rPr>
          <w:rFonts w:cs="Times New Roman"/>
          <w:szCs w:val="24"/>
          <w:lang w:val="fr-CA"/>
        </w:rPr>
        <w:tab/>
      </w:r>
      <w:r w:rsidRPr="00C7601B">
        <w:rPr>
          <w:rFonts w:cs="Times New Roman"/>
          <w:i/>
          <w:szCs w:val="24"/>
          <w:lang w:val="fr-CA"/>
        </w:rPr>
        <w:t>Opinion de la Commission concernant son pouvoir d’adjuger des dépens</w:t>
      </w:r>
    </w:p>
    <w:p w:rsidR="00956B54" w:rsidRPr="00C7601B" w:rsidRDefault="00956B54" w:rsidP="00956B54">
      <w:pPr>
        <w:pStyle w:val="ParaNoNdepar-AltN"/>
        <w:widowControl w:val="0"/>
        <w:rPr>
          <w:rFonts w:cs="Times New Roman"/>
          <w:szCs w:val="24"/>
          <w:lang w:val="fr-CA"/>
        </w:rPr>
      </w:pPr>
      <w:r w:rsidRPr="00C7601B">
        <w:rPr>
          <w:rFonts w:cs="Times New Roman"/>
          <w:szCs w:val="24"/>
          <w:lang w:val="fr-CA"/>
        </w:rPr>
        <w:t>S’inscrit également dans le contexte le fait que la Commission elle</w:t>
      </w:r>
      <w:r w:rsidR="00C7601B" w:rsidRPr="00C7601B">
        <w:rPr>
          <w:rFonts w:cs="Times New Roman"/>
          <w:szCs w:val="24"/>
          <w:lang w:val="fr-CA"/>
        </w:rPr>
        <w:t>-</w:t>
      </w:r>
      <w:r w:rsidRPr="00C7601B">
        <w:rPr>
          <w:rFonts w:cs="Times New Roman"/>
          <w:szCs w:val="24"/>
          <w:lang w:val="fr-CA"/>
        </w:rPr>
        <w:t xml:space="preserve">même a toujours considéré que la </w:t>
      </w:r>
      <w:r w:rsidRPr="00C7601B">
        <w:rPr>
          <w:rFonts w:cs="Times New Roman"/>
          <w:i/>
          <w:szCs w:val="24"/>
          <w:lang w:val="fr-CA"/>
        </w:rPr>
        <w:t>LCDP</w:t>
      </w:r>
      <w:r w:rsidRPr="00C7601B">
        <w:rPr>
          <w:rFonts w:cs="Times New Roman"/>
          <w:szCs w:val="24"/>
          <w:lang w:val="fr-CA"/>
        </w:rPr>
        <w:t xml:space="preserve"> ne conférait pas le pouvoir d’adjuger des dépens et qu’elle a maintes fois exhorté le législateur à corriger la situation en modifiant la Loi.</w:t>
      </w:r>
      <w:r w:rsidR="00FC4A5B" w:rsidRPr="00C7601B">
        <w:rPr>
          <w:rFonts w:cs="Times New Roman"/>
          <w:szCs w:val="24"/>
          <w:lang w:val="fr-CA"/>
        </w:rPr>
        <w:t xml:space="preserve"> </w:t>
      </w:r>
      <w:r w:rsidRPr="00C7601B">
        <w:rPr>
          <w:rFonts w:cs="Times New Roman"/>
          <w:szCs w:val="24"/>
          <w:lang w:val="fr-CA"/>
        </w:rPr>
        <w:t xml:space="preserve">Dans l’arrêt </w:t>
      </w:r>
      <w:r w:rsidRPr="00C7601B">
        <w:rPr>
          <w:rFonts w:cs="Times New Roman"/>
          <w:i/>
          <w:szCs w:val="24"/>
          <w:lang w:val="fr-CA"/>
        </w:rPr>
        <w:t>Will</w:t>
      </w:r>
      <w:r w:rsidR="00C7601B" w:rsidRPr="00C7601B">
        <w:rPr>
          <w:rFonts w:cs="Times New Roman"/>
          <w:i/>
          <w:szCs w:val="24"/>
          <w:lang w:val="fr-CA"/>
        </w:rPr>
        <w:t>-</w:t>
      </w:r>
      <w:proofErr w:type="spellStart"/>
      <w:r w:rsidRPr="00C7601B">
        <w:rPr>
          <w:rFonts w:cs="Times New Roman"/>
          <w:i/>
          <w:szCs w:val="24"/>
          <w:lang w:val="fr-CA"/>
        </w:rPr>
        <w:t>Kare</w:t>
      </w:r>
      <w:proofErr w:type="spellEnd"/>
      <w:r w:rsidRPr="00C7601B">
        <w:rPr>
          <w:rFonts w:cs="Times New Roman"/>
          <w:i/>
          <w:szCs w:val="24"/>
          <w:lang w:val="fr-CA"/>
        </w:rPr>
        <w:t xml:space="preserve"> </w:t>
      </w:r>
      <w:proofErr w:type="spellStart"/>
      <w:r w:rsidRPr="00C7601B">
        <w:rPr>
          <w:rFonts w:cs="Times New Roman"/>
          <w:i/>
          <w:szCs w:val="24"/>
          <w:lang w:val="fr-CA"/>
        </w:rPr>
        <w:t>Paving</w:t>
      </w:r>
      <w:proofErr w:type="spellEnd"/>
      <w:r w:rsidRPr="00C7601B">
        <w:rPr>
          <w:rFonts w:cs="Times New Roman"/>
          <w:i/>
          <w:szCs w:val="24"/>
          <w:lang w:val="fr-CA"/>
        </w:rPr>
        <w:t xml:space="preserve"> &amp; </w:t>
      </w:r>
      <w:proofErr w:type="spellStart"/>
      <w:r w:rsidRPr="00C7601B">
        <w:rPr>
          <w:rFonts w:cs="Times New Roman"/>
          <w:i/>
          <w:szCs w:val="24"/>
          <w:lang w:val="fr-CA"/>
        </w:rPr>
        <w:t>Contracting</w:t>
      </w:r>
      <w:proofErr w:type="spellEnd"/>
      <w:r w:rsidRPr="00C7601B">
        <w:rPr>
          <w:rFonts w:cs="Times New Roman"/>
          <w:i/>
          <w:szCs w:val="24"/>
          <w:lang w:val="fr-CA"/>
        </w:rPr>
        <w:t xml:space="preserve"> Ltd. c. Canada</w:t>
      </w:r>
      <w:r w:rsidRPr="00C7601B">
        <w:rPr>
          <w:rFonts w:cs="Times New Roman"/>
          <w:szCs w:val="24"/>
          <w:lang w:val="fr-CA"/>
        </w:rPr>
        <w:t>, 2000 CSC 36, [2000] 1 R.C.S. 915, par exemple, notre Cour a permis la prise en compte de l’interprétation de sa loi habilitante par un organisme administratif, malgré l’importance relative de cet élément.</w:t>
      </w:r>
      <w:r w:rsidR="00FC4A5B" w:rsidRPr="00C7601B">
        <w:rPr>
          <w:rFonts w:cs="Times New Roman"/>
          <w:szCs w:val="24"/>
          <w:lang w:val="fr-CA"/>
        </w:rPr>
        <w:t xml:space="preserve"> </w:t>
      </w:r>
      <w:r w:rsidRPr="00C7601B">
        <w:rPr>
          <w:rFonts w:cs="Times New Roman"/>
          <w:szCs w:val="24"/>
          <w:lang w:val="fr-CA"/>
        </w:rPr>
        <w:t>Dissident, le juge Binnie s’y fonde sur des extraits d’allocutions prononcées devant l’Association canadienne d’études fiscales par le ministre des Finances et un employé de Revenu Canada relativement à l’interprétation d’une disposition de la loi de l’impôt sur le revenu.</w:t>
      </w:r>
      <w:r w:rsidR="00FC4A5B" w:rsidRPr="00C7601B">
        <w:rPr>
          <w:rFonts w:cs="Times New Roman"/>
          <w:szCs w:val="24"/>
          <w:lang w:val="fr-CA"/>
        </w:rPr>
        <w:t xml:space="preserve"> </w:t>
      </w:r>
      <w:r w:rsidRPr="00C7601B">
        <w:rPr>
          <w:rFonts w:cs="Times New Roman"/>
          <w:szCs w:val="24"/>
          <w:lang w:val="fr-CA"/>
        </w:rPr>
        <w:t>Il écrit</w:t>
      </w:r>
      <w:r w:rsidR="00FC4A5B" w:rsidRPr="00C7601B">
        <w:rPr>
          <w:rFonts w:cs="Times New Roman"/>
          <w:szCs w:val="24"/>
          <w:lang w:val="fr-CA"/>
        </w:rPr>
        <w:t xml:space="preserve"> </w:t>
      </w:r>
      <w:r w:rsidRPr="00C7601B">
        <w:rPr>
          <w:rFonts w:cs="Times New Roman"/>
          <w:szCs w:val="24"/>
          <w:lang w:val="fr-CA"/>
        </w:rPr>
        <w:t>: «</w:t>
      </w:r>
      <w:r w:rsidR="00FC4A5B" w:rsidRPr="00C7601B">
        <w:rPr>
          <w:rFonts w:cs="Times New Roman"/>
          <w:szCs w:val="24"/>
          <w:lang w:val="fr-CA"/>
        </w:rPr>
        <w:t xml:space="preserve"> </w:t>
      </w:r>
      <w:r w:rsidR="00A12A36">
        <w:rPr>
          <w:rFonts w:cs="Times New Roman"/>
          <w:szCs w:val="24"/>
          <w:lang w:val="fr-CA"/>
        </w:rPr>
        <w:t>L</w:t>
      </w:r>
      <w:r w:rsidRPr="00C7601B">
        <w:rPr>
          <w:rFonts w:cs="Times New Roman"/>
          <w:szCs w:val="24"/>
          <w:lang w:val="fr-CA"/>
        </w:rPr>
        <w:t>a poli</w:t>
      </w:r>
      <w:r w:rsidR="00F94D67" w:rsidRPr="00C7601B">
        <w:rPr>
          <w:rFonts w:cs="Times New Roman"/>
          <w:szCs w:val="24"/>
          <w:lang w:val="fr-CA"/>
        </w:rPr>
        <w:t>tique et l’interprétation de l’a</w:t>
      </w:r>
      <w:r w:rsidRPr="00C7601B">
        <w:rPr>
          <w:rFonts w:cs="Times New Roman"/>
          <w:szCs w:val="24"/>
          <w:lang w:val="fr-CA"/>
        </w:rPr>
        <w:t>dministration ne sont pas des sources concluantes, mais elles ont un certain poids en cas de doute sur la signification d’un texte législatif</w:t>
      </w:r>
      <w:r w:rsidR="00FC4A5B" w:rsidRPr="00C7601B">
        <w:rPr>
          <w:rFonts w:cs="Times New Roman"/>
          <w:szCs w:val="24"/>
          <w:lang w:val="fr-CA"/>
        </w:rPr>
        <w:t xml:space="preserve"> </w:t>
      </w:r>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 xml:space="preserve">66), citant à l’appui les arrêts </w:t>
      </w:r>
      <w:proofErr w:type="spellStart"/>
      <w:r w:rsidRPr="00C7601B">
        <w:rPr>
          <w:rFonts w:cs="Times New Roman"/>
          <w:i/>
          <w:szCs w:val="24"/>
          <w:lang w:val="fr-CA"/>
        </w:rPr>
        <w:t>Harel</w:t>
      </w:r>
      <w:proofErr w:type="spellEnd"/>
      <w:r w:rsidRPr="00C7601B">
        <w:rPr>
          <w:rFonts w:cs="Times New Roman"/>
          <w:i/>
          <w:szCs w:val="24"/>
          <w:lang w:val="fr-CA"/>
        </w:rPr>
        <w:t xml:space="preserve"> c. Sous</w:t>
      </w:r>
      <w:r w:rsidR="00EF0949" w:rsidRPr="00C7601B">
        <w:rPr>
          <w:rFonts w:cs="Times New Roman"/>
          <w:i/>
          <w:szCs w:val="24"/>
          <w:lang w:val="fr-CA"/>
        </w:rPr>
        <w:t>-ministre du R</w:t>
      </w:r>
      <w:r w:rsidRPr="00C7601B">
        <w:rPr>
          <w:rFonts w:cs="Times New Roman"/>
          <w:i/>
          <w:szCs w:val="24"/>
          <w:lang w:val="fr-CA"/>
        </w:rPr>
        <w:t>evenu du Québec</w:t>
      </w:r>
      <w:r w:rsidRPr="00C7601B">
        <w:rPr>
          <w:rFonts w:cs="Times New Roman"/>
          <w:szCs w:val="24"/>
          <w:lang w:val="fr-CA"/>
        </w:rPr>
        <w:t>, [1978] 1 R.C.S. 851, p.</w:t>
      </w:r>
      <w:r w:rsidR="00FC4A5B" w:rsidRPr="00C7601B">
        <w:rPr>
          <w:rFonts w:cs="Times New Roman"/>
          <w:szCs w:val="24"/>
          <w:lang w:val="fr-CA"/>
        </w:rPr>
        <w:t xml:space="preserve"> </w:t>
      </w:r>
      <w:r w:rsidRPr="00C7601B">
        <w:rPr>
          <w:rFonts w:cs="Times New Roman"/>
          <w:szCs w:val="24"/>
          <w:lang w:val="fr-CA"/>
        </w:rPr>
        <w:t xml:space="preserve">859, le juge de </w:t>
      </w:r>
      <w:proofErr w:type="spellStart"/>
      <w:r w:rsidRPr="00C7601B">
        <w:rPr>
          <w:rFonts w:cs="Times New Roman"/>
          <w:szCs w:val="24"/>
          <w:lang w:val="fr-CA"/>
        </w:rPr>
        <w:t>Grandpré</w:t>
      </w:r>
      <w:proofErr w:type="spellEnd"/>
      <w:r w:rsidRPr="00C7601B">
        <w:rPr>
          <w:rFonts w:cs="Times New Roman"/>
          <w:szCs w:val="24"/>
          <w:lang w:val="fr-CA"/>
        </w:rPr>
        <w:t xml:space="preserve">, et </w:t>
      </w:r>
      <w:proofErr w:type="spellStart"/>
      <w:r w:rsidRPr="00C7601B">
        <w:rPr>
          <w:rFonts w:cs="Times New Roman"/>
          <w:i/>
          <w:szCs w:val="24"/>
          <w:lang w:val="fr-CA"/>
        </w:rPr>
        <w:t>Nowegijick</w:t>
      </w:r>
      <w:proofErr w:type="spellEnd"/>
      <w:r w:rsidRPr="00C7601B">
        <w:rPr>
          <w:rFonts w:cs="Times New Roman"/>
          <w:i/>
          <w:szCs w:val="24"/>
          <w:lang w:val="fr-CA"/>
        </w:rPr>
        <w:t xml:space="preserve"> c. La</w:t>
      </w:r>
      <w:r w:rsidR="00FC4A5B" w:rsidRPr="00C7601B">
        <w:rPr>
          <w:rFonts w:cs="Times New Roman"/>
          <w:i/>
          <w:szCs w:val="24"/>
          <w:lang w:val="fr-CA"/>
        </w:rPr>
        <w:t xml:space="preserve"> </w:t>
      </w:r>
      <w:r w:rsidRPr="00C7601B">
        <w:rPr>
          <w:rFonts w:cs="Times New Roman"/>
          <w:i/>
          <w:szCs w:val="24"/>
          <w:lang w:val="fr-CA"/>
        </w:rPr>
        <w:t>Reine</w:t>
      </w:r>
      <w:r w:rsidRPr="00C7601B">
        <w:rPr>
          <w:rFonts w:cs="Times New Roman"/>
          <w:szCs w:val="24"/>
          <w:lang w:val="fr-CA"/>
        </w:rPr>
        <w:t>, [1983] 1 R.C.S. 29, p.</w:t>
      </w:r>
      <w:r w:rsidR="00FC4A5B" w:rsidRPr="00C7601B">
        <w:rPr>
          <w:rFonts w:cs="Times New Roman"/>
          <w:szCs w:val="24"/>
          <w:lang w:val="fr-CA"/>
        </w:rPr>
        <w:t xml:space="preserve"> </w:t>
      </w:r>
      <w:r w:rsidRPr="00C7601B">
        <w:rPr>
          <w:rFonts w:cs="Times New Roman"/>
          <w:szCs w:val="24"/>
          <w:lang w:val="fr-CA"/>
        </w:rPr>
        <w:t>37, le juge Dickson, plus tard Juge en chef.</w:t>
      </w:r>
      <w:r w:rsidR="00FC4A5B" w:rsidRPr="00C7601B">
        <w:rPr>
          <w:rFonts w:cs="Times New Roman"/>
          <w:szCs w:val="24"/>
          <w:lang w:val="fr-CA"/>
        </w:rPr>
        <w:t xml:space="preserve"> </w:t>
      </w:r>
      <w:r w:rsidRPr="00C7601B">
        <w:rPr>
          <w:rFonts w:cs="Times New Roman"/>
          <w:szCs w:val="24"/>
          <w:lang w:val="fr-CA"/>
        </w:rPr>
        <w:t>L’opinion de ce type sur la juste interprétation de la disposition en cause n’est évidemment pas concluante, mais le tribunal peut en tenir compte si elle satisfait au critère minimal de la pertinence et de</w:t>
      </w:r>
      <w:r w:rsidR="00EF0949" w:rsidRPr="00C7601B">
        <w:rPr>
          <w:rFonts w:cs="Times New Roman"/>
          <w:szCs w:val="24"/>
          <w:lang w:val="fr-CA"/>
        </w:rPr>
        <w:t xml:space="preserve"> la fiabilité (Sullivan, p.</w:t>
      </w:r>
      <w:r w:rsidR="00FC4A5B" w:rsidRPr="00C7601B">
        <w:rPr>
          <w:rFonts w:cs="Times New Roman"/>
          <w:szCs w:val="24"/>
          <w:lang w:val="fr-CA"/>
        </w:rPr>
        <w:t xml:space="preserve"> </w:t>
      </w:r>
      <w:r w:rsidR="00EF0949" w:rsidRPr="00C7601B">
        <w:rPr>
          <w:rFonts w:cs="Times New Roman"/>
          <w:szCs w:val="24"/>
          <w:lang w:val="fr-CA"/>
        </w:rPr>
        <w:t>575;</w:t>
      </w:r>
      <w:r w:rsidRPr="00C7601B">
        <w:rPr>
          <w:rFonts w:cs="Times New Roman"/>
          <w:szCs w:val="24"/>
          <w:lang w:val="fr-CA"/>
        </w:rPr>
        <w:t xml:space="preserve"> Côté, p.</w:t>
      </w:r>
      <w:r w:rsidR="00FC4A5B" w:rsidRPr="00C7601B">
        <w:rPr>
          <w:rFonts w:cs="Times New Roman"/>
          <w:szCs w:val="24"/>
          <w:lang w:val="fr-CA"/>
        </w:rPr>
        <w:t xml:space="preserve"> </w:t>
      </w:r>
      <w:r w:rsidRPr="00C7601B">
        <w:rPr>
          <w:rFonts w:cs="Times New Roman"/>
          <w:szCs w:val="24"/>
          <w:lang w:val="fr-CA"/>
        </w:rPr>
        <w:t>633</w:t>
      </w:r>
      <w:r w:rsidR="00C7601B" w:rsidRPr="00C7601B">
        <w:rPr>
          <w:rFonts w:cs="Times New Roman"/>
          <w:szCs w:val="24"/>
          <w:lang w:val="fr-CA"/>
        </w:rPr>
        <w:t>-</w:t>
      </w:r>
      <w:r w:rsidRPr="00C7601B">
        <w:rPr>
          <w:rFonts w:cs="Times New Roman"/>
          <w:szCs w:val="24"/>
          <w:lang w:val="fr-CA"/>
        </w:rPr>
        <w:t>638).</w:t>
      </w:r>
      <w:r w:rsidR="00FC4A5B" w:rsidRPr="00C7601B">
        <w:rPr>
          <w:rFonts w:cs="Times New Roman"/>
          <w:szCs w:val="24"/>
          <w:lang w:val="fr-CA"/>
        </w:rPr>
        <w:t xml:space="preserve"> </w:t>
      </w:r>
      <w:r w:rsidRPr="00C7601B">
        <w:rPr>
          <w:rFonts w:cs="Times New Roman"/>
          <w:szCs w:val="24"/>
          <w:lang w:val="fr-CA"/>
        </w:rPr>
        <w:t>À notre avis, l’opinion réfléchie et constante de la Commission quant à la portée de sa loi constitutive satisfait à cette exigence.</w:t>
      </w:r>
    </w:p>
    <w:p w:rsidR="00956B54" w:rsidRPr="00C7601B" w:rsidRDefault="00956B54" w:rsidP="00956B54">
      <w:pPr>
        <w:pStyle w:val="ParaNoNdepar-AltN"/>
        <w:rPr>
          <w:rFonts w:cs="Times New Roman"/>
          <w:szCs w:val="24"/>
          <w:lang w:val="fr-CA"/>
        </w:rPr>
      </w:pPr>
      <w:r w:rsidRPr="00C7601B">
        <w:rPr>
          <w:rFonts w:cs="Times New Roman"/>
          <w:szCs w:val="24"/>
          <w:lang w:val="fr-CA"/>
        </w:rPr>
        <w:lastRenderedPageBreak/>
        <w:t>Dans son rapport annuel de 1985, la Commission demandait la modification de la Loi afin de doter le Tribunal du pouvoir d’adjuger des dépens</w:t>
      </w:r>
      <w:r w:rsidR="00FC4A5B" w:rsidRPr="00C7601B">
        <w:rPr>
          <w:rFonts w:cs="Times New Roman"/>
          <w:szCs w:val="24"/>
          <w:lang w:val="fr-CA"/>
        </w:rPr>
        <w:t xml:space="preserve"> </w:t>
      </w:r>
      <w:r w:rsidRPr="00C7601B">
        <w:rPr>
          <w:rFonts w:cs="Times New Roman"/>
          <w:szCs w:val="24"/>
          <w:lang w:val="fr-CA"/>
        </w:rPr>
        <w:t>:</w:t>
      </w:r>
    </w:p>
    <w:p w:rsidR="00956B54" w:rsidRPr="00C7601B" w:rsidRDefault="00956B54" w:rsidP="00956B54">
      <w:pPr>
        <w:pStyle w:val="Citation-AltC"/>
        <w:spacing w:after="240"/>
        <w:ind w:hanging="1166"/>
        <w:contextualSpacing w:val="0"/>
        <w:rPr>
          <w:i/>
          <w:szCs w:val="24"/>
          <w:lang w:val="fr-CA"/>
        </w:rPr>
      </w:pPr>
      <w:r w:rsidRPr="00C7601B">
        <w:rPr>
          <w:szCs w:val="24"/>
          <w:lang w:val="fr-CA"/>
        </w:rPr>
        <w:tab/>
      </w:r>
      <w:r w:rsidRPr="00C7601B">
        <w:rPr>
          <w:i/>
          <w:szCs w:val="24"/>
          <w:lang w:val="fr-CA"/>
        </w:rPr>
        <w:t>La Commission recommande au Parlement de modifier la Loi canadienne sur les droits de la personne de façon à y inclure une disposition conférant au tribunal des droits de la personne un pouvoir discrétionnaire l’habilitant à condamner aux dépens les parties aux plaintes qu’il instruit.</w:t>
      </w:r>
    </w:p>
    <w:p w:rsidR="00956B54" w:rsidRPr="00C7601B" w:rsidRDefault="00956B54" w:rsidP="00956B54">
      <w:pPr>
        <w:pStyle w:val="Citation-AltC"/>
        <w:spacing w:after="240"/>
        <w:ind w:hanging="1166"/>
        <w:contextualSpacing w:val="0"/>
        <w:rPr>
          <w:szCs w:val="24"/>
          <w:lang w:val="fr-CA"/>
        </w:rPr>
      </w:pPr>
      <w:r w:rsidRPr="00C7601B">
        <w:rPr>
          <w:szCs w:val="24"/>
          <w:lang w:val="fr-CA"/>
        </w:rPr>
        <w:tab/>
        <w:t>Cette recommandation vise à laisser aux tribunaux une plus grande discrétion dans la suite à donner aux plaintes dans les cas où des contraintes excessives peuvent entrer en compte.</w:t>
      </w:r>
    </w:p>
    <w:p w:rsidR="00956B54" w:rsidRPr="00C7601B" w:rsidRDefault="00956B54" w:rsidP="00956B54">
      <w:pPr>
        <w:pStyle w:val="Citation-AltC"/>
        <w:ind w:hanging="1166"/>
        <w:contextualSpacing w:val="0"/>
        <w:rPr>
          <w:szCs w:val="24"/>
          <w:lang w:val="fr-CA"/>
        </w:rPr>
      </w:pPr>
      <w:r w:rsidRPr="00C7601B">
        <w:rPr>
          <w:szCs w:val="24"/>
          <w:lang w:val="fr-CA"/>
        </w:rPr>
        <w:tab/>
        <w:t>(</w:t>
      </w:r>
      <w:r w:rsidRPr="00C7601B">
        <w:rPr>
          <w:i/>
          <w:szCs w:val="24"/>
          <w:lang w:val="fr-CA"/>
        </w:rPr>
        <w:t>Rapport annuel 1985</w:t>
      </w:r>
      <w:r w:rsidRPr="00C7601B">
        <w:rPr>
          <w:szCs w:val="24"/>
          <w:lang w:val="fr-CA"/>
        </w:rPr>
        <w:t xml:space="preserve"> (1986), p.</w:t>
      </w:r>
      <w:r w:rsidR="00FC4A5B" w:rsidRPr="00C7601B">
        <w:rPr>
          <w:szCs w:val="24"/>
          <w:lang w:val="fr-CA"/>
        </w:rPr>
        <w:t xml:space="preserve"> </w:t>
      </w:r>
      <w:r w:rsidRPr="00C7601B">
        <w:rPr>
          <w:szCs w:val="24"/>
          <w:lang w:val="fr-CA"/>
        </w:rPr>
        <w:t>12 (</w:t>
      </w:r>
      <w:r w:rsidR="00EF0949" w:rsidRPr="00C7601B">
        <w:rPr>
          <w:szCs w:val="24"/>
          <w:lang w:val="fr-CA"/>
        </w:rPr>
        <w:t xml:space="preserve">en </w:t>
      </w:r>
      <w:r w:rsidRPr="00C7601B">
        <w:rPr>
          <w:szCs w:val="24"/>
          <w:lang w:val="fr-CA"/>
        </w:rPr>
        <w:t>italique dans l’original))</w:t>
      </w:r>
    </w:p>
    <w:p w:rsidR="00956B54" w:rsidRPr="00C7601B" w:rsidRDefault="00956B54" w:rsidP="00956B54">
      <w:pPr>
        <w:pStyle w:val="ContinueParaSuitedupar-AltP"/>
        <w:rPr>
          <w:rFonts w:cs="Times New Roman"/>
          <w:szCs w:val="24"/>
          <w:lang w:val="fr-CA"/>
        </w:rPr>
      </w:pPr>
      <w:r w:rsidRPr="00C7601B">
        <w:rPr>
          <w:rFonts w:cs="Times New Roman"/>
          <w:szCs w:val="24"/>
          <w:lang w:val="fr-CA"/>
        </w:rPr>
        <w:t>La Commission a formulé des recommandations au même effet dans chacun de ses rapports annuels au Parlement en 1986, 1987, 1988, 1989 et 1990.</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Plus récemment, dans son </w:t>
      </w:r>
      <w:r w:rsidRPr="00C7601B">
        <w:rPr>
          <w:rFonts w:cs="Times New Roman"/>
          <w:i/>
          <w:szCs w:val="24"/>
          <w:lang w:val="fr-CA"/>
        </w:rPr>
        <w:t>Rapport spécial au Parlement</w:t>
      </w:r>
      <w:r w:rsidR="00FC4A5B" w:rsidRPr="00C7601B">
        <w:rPr>
          <w:rFonts w:cs="Times New Roman"/>
          <w:i/>
          <w:szCs w:val="24"/>
          <w:lang w:val="fr-CA"/>
        </w:rPr>
        <w:t xml:space="preserve"> </w:t>
      </w:r>
      <w:r w:rsidRPr="00C7601B">
        <w:rPr>
          <w:rFonts w:cs="Times New Roman"/>
          <w:i/>
          <w:szCs w:val="24"/>
          <w:lang w:val="fr-CA"/>
        </w:rPr>
        <w:t>: Liberté d’expression et droit à la protection contre la haine à l’ère d’Internet</w:t>
      </w:r>
      <w:r w:rsidRPr="00C7601B">
        <w:rPr>
          <w:rFonts w:cs="Times New Roman"/>
          <w:szCs w:val="24"/>
          <w:lang w:val="fr-CA"/>
        </w:rPr>
        <w:t xml:space="preserve"> (2009), la Commission relève que «</w:t>
      </w:r>
      <w:r w:rsidR="00FC4A5B" w:rsidRPr="00C7601B">
        <w:rPr>
          <w:rFonts w:cs="Times New Roman"/>
          <w:szCs w:val="24"/>
          <w:lang w:val="fr-CA"/>
        </w:rPr>
        <w:t xml:space="preserve"> </w:t>
      </w:r>
      <w:r w:rsidRPr="00C7601B">
        <w:rPr>
          <w:rFonts w:cs="Times New Roman"/>
          <w:szCs w:val="24"/>
          <w:lang w:val="fr-CA"/>
        </w:rPr>
        <w:t>[l]a LCDP ne permet pas d’allouer des dépens</w:t>
      </w:r>
      <w:r w:rsidR="00FC4A5B" w:rsidRPr="00C7601B">
        <w:rPr>
          <w:rFonts w:cs="Times New Roman"/>
          <w:szCs w:val="24"/>
          <w:lang w:val="fr-CA"/>
        </w:rPr>
        <w:t xml:space="preserve"> </w:t>
      </w:r>
      <w:r w:rsidRPr="00C7601B">
        <w:rPr>
          <w:rFonts w:cs="Times New Roman"/>
          <w:szCs w:val="24"/>
          <w:lang w:val="fr-CA"/>
        </w:rPr>
        <w:t>» (p.</w:t>
      </w:r>
      <w:r w:rsidR="00FC4A5B" w:rsidRPr="00C7601B">
        <w:rPr>
          <w:rFonts w:cs="Times New Roman"/>
          <w:szCs w:val="24"/>
          <w:lang w:val="fr-CA"/>
        </w:rPr>
        <w:t xml:space="preserve"> </w:t>
      </w:r>
      <w:r w:rsidRPr="00C7601B">
        <w:rPr>
          <w:rFonts w:cs="Times New Roman"/>
          <w:szCs w:val="24"/>
          <w:lang w:val="fr-CA"/>
        </w:rPr>
        <w:t>37).</w:t>
      </w:r>
      <w:r w:rsidR="00FC4A5B" w:rsidRPr="00C7601B">
        <w:rPr>
          <w:rFonts w:cs="Times New Roman"/>
          <w:szCs w:val="24"/>
          <w:lang w:val="fr-CA"/>
        </w:rPr>
        <w:t xml:space="preserve"> </w:t>
      </w:r>
      <w:r w:rsidRPr="00C7601B">
        <w:rPr>
          <w:rFonts w:cs="Times New Roman"/>
          <w:szCs w:val="24"/>
          <w:lang w:val="fr-CA"/>
        </w:rPr>
        <w:t>À ce propos, elle renvoie à la procédure simplifiée que suit le plaignant pour déposer une plainte, de même qu’à l’assistance sur laquelle il peut compter de sa part et de celle du Tribunal tant à l’étape de l’enquête qu’à celle de l’instruction, pour expliquer que le plaignant n’a pas besoin d’un avocat pour exercer son recours.</w:t>
      </w:r>
      <w:r w:rsidR="00FC4A5B" w:rsidRPr="00C7601B">
        <w:rPr>
          <w:rFonts w:cs="Times New Roman"/>
          <w:szCs w:val="24"/>
          <w:lang w:val="fr-CA"/>
        </w:rPr>
        <w:t xml:space="preserve"> </w:t>
      </w:r>
      <w:r w:rsidRPr="00C7601B">
        <w:rPr>
          <w:rFonts w:cs="Times New Roman"/>
          <w:szCs w:val="24"/>
          <w:lang w:val="fr-CA"/>
        </w:rPr>
        <w:t>La Commission recommande la modification de la Loi afin que le Tribunal ait le pouvoir discrétionnaire d’allouer des dépens, mais seulement lorsqu’il juge qu’une partie a abusé de sa procédure.</w:t>
      </w:r>
    </w:p>
    <w:p w:rsidR="00956B54" w:rsidRPr="00C7601B" w:rsidRDefault="00956B54" w:rsidP="00956B54">
      <w:pPr>
        <w:pStyle w:val="ParaNoNdepar-AltN"/>
        <w:rPr>
          <w:rFonts w:cs="Times New Roman"/>
          <w:szCs w:val="24"/>
          <w:lang w:val="fr-CA"/>
        </w:rPr>
      </w:pPr>
      <w:r w:rsidRPr="00C7601B">
        <w:rPr>
          <w:rFonts w:cs="Times New Roman"/>
          <w:szCs w:val="24"/>
          <w:lang w:val="fr-CA"/>
        </w:rPr>
        <w:lastRenderedPageBreak/>
        <w:t>Comme nous le signalons précédemment, même si elle n’est pas liée par la conception que la Commission se fait de l’étendue de son pouvoir légal, une cour de justice peut en tenir compte.</w:t>
      </w:r>
      <w:r w:rsidR="00FC4A5B" w:rsidRPr="00C7601B">
        <w:rPr>
          <w:rFonts w:cs="Times New Roman"/>
          <w:szCs w:val="24"/>
          <w:lang w:val="fr-CA"/>
        </w:rPr>
        <w:t xml:space="preserve"> </w:t>
      </w:r>
      <w:r w:rsidRPr="00C7601B">
        <w:rPr>
          <w:rFonts w:cs="Times New Roman"/>
          <w:szCs w:val="24"/>
          <w:lang w:val="fr-CA"/>
        </w:rPr>
        <w:t xml:space="preserve">La Commission administre et applique la </w:t>
      </w:r>
      <w:r w:rsidRPr="00C7601B">
        <w:rPr>
          <w:rFonts w:cs="Times New Roman"/>
          <w:i/>
          <w:szCs w:val="24"/>
          <w:lang w:val="fr-CA"/>
        </w:rPr>
        <w:t>LCDP</w:t>
      </w:r>
      <w:r w:rsidRPr="00C7601B">
        <w:rPr>
          <w:rFonts w:cs="Times New Roman"/>
          <w:szCs w:val="24"/>
          <w:lang w:val="fr-CA"/>
        </w:rPr>
        <w:t xml:space="preserve"> au quotidien, si bien qu’elle en a une connaissance approfondie.</w:t>
      </w:r>
      <w:r w:rsidR="00FC4A5B" w:rsidRPr="00C7601B">
        <w:rPr>
          <w:rFonts w:cs="Times New Roman"/>
          <w:szCs w:val="24"/>
          <w:lang w:val="fr-CA"/>
        </w:rPr>
        <w:t xml:space="preserve"> </w:t>
      </w:r>
      <w:r w:rsidRPr="00C7601B">
        <w:rPr>
          <w:rFonts w:cs="Times New Roman"/>
          <w:szCs w:val="24"/>
          <w:lang w:val="fr-CA"/>
        </w:rPr>
        <w:t>Le fait qu’elle estime depuis longtemps et avec constance que la Loi ne permet pas d’adjudication des dépens revêt une certaine importance dans les circonstances de l’espèce même s’il n’est pas décisif.</w:t>
      </w:r>
    </w:p>
    <w:p w:rsidR="00956B54" w:rsidRPr="00C7601B" w:rsidRDefault="00EF0949" w:rsidP="00956B54">
      <w:pPr>
        <w:pStyle w:val="TitleTitre-AltT"/>
        <w:tabs>
          <w:tab w:val="clear" w:pos="360"/>
          <w:tab w:val="left" w:pos="1620"/>
          <w:tab w:val="left" w:pos="2340"/>
        </w:tabs>
        <w:ind w:left="1170" w:hanging="1170"/>
        <w:rPr>
          <w:rFonts w:cs="Times New Roman"/>
          <w:szCs w:val="24"/>
          <w:lang w:val="fr-CA"/>
        </w:rPr>
      </w:pPr>
      <w:r w:rsidRPr="00C7601B">
        <w:rPr>
          <w:rFonts w:cs="Times New Roman"/>
          <w:szCs w:val="24"/>
          <w:lang w:val="fr-CA"/>
        </w:rPr>
        <w:tab/>
      </w:r>
      <w:r w:rsidR="00956B54" w:rsidRPr="00C7601B">
        <w:rPr>
          <w:rFonts w:cs="Times New Roman"/>
          <w:szCs w:val="24"/>
          <w:lang w:val="fr-CA"/>
        </w:rPr>
        <w:t>c)</w:t>
      </w:r>
      <w:r w:rsidR="00956B54" w:rsidRPr="00C7601B">
        <w:rPr>
          <w:rFonts w:cs="Times New Roman"/>
          <w:szCs w:val="24"/>
          <w:lang w:val="fr-CA"/>
        </w:rPr>
        <w:tab/>
      </w:r>
      <w:r w:rsidR="00956B54" w:rsidRPr="00C7601B">
        <w:rPr>
          <w:rFonts w:cs="Times New Roman"/>
          <w:i/>
          <w:szCs w:val="24"/>
          <w:lang w:val="fr-CA"/>
        </w:rPr>
        <w:t>Dispositions législatives comparables des provinces et des territoires</w:t>
      </w:r>
    </w:p>
    <w:p w:rsidR="00956B54" w:rsidRPr="00C7601B" w:rsidRDefault="00956B54" w:rsidP="00956B54">
      <w:pPr>
        <w:pStyle w:val="ParaNoNdepar-AltN"/>
        <w:rPr>
          <w:rFonts w:cs="Times New Roman"/>
          <w:szCs w:val="24"/>
          <w:lang w:val="fr-CA"/>
        </w:rPr>
      </w:pPr>
      <w:r w:rsidRPr="00C7601B">
        <w:rPr>
          <w:rFonts w:cs="Times New Roman"/>
          <w:szCs w:val="24"/>
          <w:lang w:val="fr-CA"/>
        </w:rPr>
        <w:t>L’intimé nous incite par ailleurs à tenir compte des dispositions législatives parallèles des provinces et des territoires et nous convenons qu’il s’agit d’une entreprise utile en l’espèce.</w:t>
      </w:r>
      <w:r w:rsidR="00FC4A5B" w:rsidRPr="00C7601B">
        <w:rPr>
          <w:rFonts w:cs="Times New Roman"/>
          <w:szCs w:val="24"/>
          <w:lang w:val="fr-CA"/>
        </w:rPr>
        <w:t xml:space="preserve"> </w:t>
      </w:r>
      <w:r w:rsidRPr="00C7601B">
        <w:rPr>
          <w:rFonts w:cs="Times New Roman"/>
          <w:szCs w:val="24"/>
          <w:lang w:val="fr-CA"/>
        </w:rPr>
        <w:t>Évidemment, nous ne laissons pas entendre que la consultation des lois provinciales et territoriales s’avère toujours pertinente pour discerner l’intention du législateur fédéral.</w:t>
      </w:r>
      <w:r w:rsidR="00FC4A5B" w:rsidRPr="00C7601B">
        <w:rPr>
          <w:rFonts w:cs="Times New Roman"/>
          <w:szCs w:val="24"/>
          <w:lang w:val="fr-CA"/>
        </w:rPr>
        <w:t xml:space="preserve"> </w:t>
      </w:r>
      <w:r w:rsidRPr="00C7601B">
        <w:rPr>
          <w:rFonts w:cs="Times New Roman"/>
          <w:szCs w:val="24"/>
          <w:lang w:val="fr-CA"/>
        </w:rPr>
        <w:t>La professeure Sullivan confirme toutefois que la comparaison des lois fédérales, provinciales et territoriales portant sur un même sujet peut</w:t>
      </w:r>
      <w:r w:rsidR="00EF0949" w:rsidRPr="00C7601B">
        <w:rPr>
          <w:rFonts w:cs="Times New Roman"/>
          <w:szCs w:val="24"/>
          <w:lang w:val="fr-CA"/>
        </w:rPr>
        <w:t xml:space="preserve"> se révéler instructive (p.</w:t>
      </w:r>
      <w:r w:rsidR="00FC4A5B" w:rsidRPr="00C7601B">
        <w:rPr>
          <w:rFonts w:cs="Times New Roman"/>
          <w:szCs w:val="24"/>
          <w:lang w:val="fr-CA"/>
        </w:rPr>
        <w:t xml:space="preserve"> </w:t>
      </w:r>
      <w:r w:rsidR="00EF0949" w:rsidRPr="00C7601B">
        <w:rPr>
          <w:rFonts w:cs="Times New Roman"/>
          <w:szCs w:val="24"/>
          <w:lang w:val="fr-CA"/>
        </w:rPr>
        <w:t>419-</w:t>
      </w:r>
      <w:r w:rsidRPr="00C7601B">
        <w:rPr>
          <w:rFonts w:cs="Times New Roman"/>
          <w:szCs w:val="24"/>
          <w:lang w:val="fr-CA"/>
        </w:rPr>
        <w:t>420).</w:t>
      </w:r>
      <w:r w:rsidR="00FC4A5B" w:rsidRPr="00C7601B">
        <w:rPr>
          <w:rFonts w:cs="Times New Roman"/>
          <w:szCs w:val="24"/>
          <w:lang w:val="fr-CA"/>
        </w:rPr>
        <w:t xml:space="preserve"> </w:t>
      </w:r>
    </w:p>
    <w:p w:rsidR="00956B54" w:rsidRPr="00C7601B" w:rsidRDefault="00956B54" w:rsidP="00956B54">
      <w:pPr>
        <w:pStyle w:val="ParaNoNdepar-AltN"/>
        <w:rPr>
          <w:rFonts w:cs="Times New Roman"/>
          <w:szCs w:val="24"/>
          <w:lang w:val="fr-CA"/>
        </w:rPr>
      </w:pPr>
      <w:r w:rsidRPr="00C7601B">
        <w:rPr>
          <w:rFonts w:cs="Times New Roman"/>
          <w:szCs w:val="24"/>
          <w:lang w:val="fr-CA"/>
        </w:rPr>
        <w:t>La Cour a déjà examiné en parallèle les dispositions législatives de différents ressorts.</w:t>
      </w:r>
      <w:r w:rsidR="00FC4A5B" w:rsidRPr="00C7601B">
        <w:rPr>
          <w:rFonts w:cs="Times New Roman"/>
          <w:szCs w:val="24"/>
          <w:lang w:val="fr-CA"/>
        </w:rPr>
        <w:t xml:space="preserve"> </w:t>
      </w:r>
      <w:r w:rsidRPr="00C7601B">
        <w:rPr>
          <w:rFonts w:cs="Times New Roman"/>
          <w:szCs w:val="24"/>
          <w:lang w:val="fr-CA"/>
        </w:rPr>
        <w:t xml:space="preserve">Ainsi, dans l’arrêt </w:t>
      </w:r>
      <w:r w:rsidRPr="00C7601B">
        <w:rPr>
          <w:rFonts w:cs="Times New Roman"/>
          <w:i/>
          <w:szCs w:val="24"/>
          <w:lang w:val="fr-CA"/>
        </w:rPr>
        <w:t>Canada (Procureur général) c. Alliance de la Fonction publique du Canada</w:t>
      </w:r>
      <w:r w:rsidRPr="00C7601B">
        <w:rPr>
          <w:rFonts w:cs="Times New Roman"/>
          <w:szCs w:val="24"/>
          <w:lang w:val="fr-CA"/>
        </w:rPr>
        <w:t xml:space="preserve">, [1991] 1 R.C.S. 614, le juge </w:t>
      </w:r>
      <w:proofErr w:type="spellStart"/>
      <w:r w:rsidRPr="00C7601B">
        <w:rPr>
          <w:rFonts w:cs="Times New Roman"/>
          <w:szCs w:val="24"/>
          <w:lang w:val="fr-CA"/>
        </w:rPr>
        <w:t>Sopinka</w:t>
      </w:r>
      <w:proofErr w:type="spellEnd"/>
      <w:r w:rsidRPr="00C7601B">
        <w:rPr>
          <w:rFonts w:cs="Times New Roman"/>
          <w:szCs w:val="24"/>
          <w:lang w:val="fr-CA"/>
        </w:rPr>
        <w:t xml:space="preserve"> étudie quelques lois provinciales comparables afin de déterminer si la loi fédérale considérée permet à la Commission des relations de travail dans la Fonction publique de décider qui est un </w:t>
      </w:r>
      <w:r w:rsidRPr="00C7601B">
        <w:rPr>
          <w:rFonts w:cs="Times New Roman"/>
          <w:szCs w:val="24"/>
          <w:lang w:val="fr-CA"/>
        </w:rPr>
        <w:lastRenderedPageBreak/>
        <w:t>employé en application de sa loi habilitante (p.</w:t>
      </w:r>
      <w:r w:rsidR="00FC4A5B" w:rsidRPr="00C7601B">
        <w:rPr>
          <w:rFonts w:cs="Times New Roman"/>
          <w:szCs w:val="24"/>
          <w:lang w:val="fr-CA"/>
        </w:rPr>
        <w:t xml:space="preserve"> </w:t>
      </w:r>
      <w:r w:rsidR="00A12A36">
        <w:rPr>
          <w:rFonts w:cs="Times New Roman"/>
          <w:szCs w:val="24"/>
          <w:lang w:val="fr-CA"/>
        </w:rPr>
        <w:t>631</w:t>
      </w:r>
      <w:r w:rsidR="00C7601B" w:rsidRPr="00C7601B">
        <w:rPr>
          <w:rFonts w:cs="Times New Roman"/>
          <w:szCs w:val="24"/>
          <w:lang w:val="fr-CA"/>
        </w:rPr>
        <w:t>-</w:t>
      </w:r>
      <w:r w:rsidRPr="00C7601B">
        <w:rPr>
          <w:rFonts w:cs="Times New Roman"/>
          <w:szCs w:val="24"/>
          <w:lang w:val="fr-CA"/>
        </w:rPr>
        <w:t>63</w:t>
      </w:r>
      <w:r w:rsidR="00A12A36">
        <w:rPr>
          <w:rFonts w:cs="Times New Roman"/>
          <w:szCs w:val="24"/>
          <w:lang w:val="fr-CA"/>
        </w:rPr>
        <w:t>2</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 xml:space="preserve">De même, dans l’arrêt </w:t>
      </w:r>
      <w:proofErr w:type="spellStart"/>
      <w:r w:rsidRPr="00C7601B">
        <w:rPr>
          <w:rFonts w:cs="Times New Roman"/>
          <w:i/>
          <w:szCs w:val="24"/>
          <w:lang w:val="fr-CA"/>
        </w:rPr>
        <w:t>Morguard</w:t>
      </w:r>
      <w:proofErr w:type="spellEnd"/>
      <w:r w:rsidRPr="00C7601B">
        <w:rPr>
          <w:rFonts w:cs="Times New Roman"/>
          <w:i/>
          <w:szCs w:val="24"/>
          <w:lang w:val="fr-CA"/>
        </w:rPr>
        <w:t xml:space="preserve"> </w:t>
      </w:r>
      <w:proofErr w:type="spellStart"/>
      <w:r w:rsidRPr="00C7601B">
        <w:rPr>
          <w:rFonts w:cs="Times New Roman"/>
          <w:i/>
          <w:szCs w:val="24"/>
          <w:lang w:val="fr-CA"/>
        </w:rPr>
        <w:t>Properties</w:t>
      </w:r>
      <w:proofErr w:type="spellEnd"/>
      <w:r w:rsidRPr="00C7601B">
        <w:rPr>
          <w:rFonts w:cs="Times New Roman"/>
          <w:i/>
          <w:szCs w:val="24"/>
          <w:lang w:val="fr-CA"/>
        </w:rPr>
        <w:t xml:space="preserve"> Ltd. c. Ville de Winnipeg</w:t>
      </w:r>
      <w:r w:rsidRPr="00C7601B">
        <w:rPr>
          <w:rFonts w:cs="Times New Roman"/>
          <w:szCs w:val="24"/>
          <w:lang w:val="fr-CA"/>
        </w:rPr>
        <w:t xml:space="preserve">, [1983] 2 R.C.S. 493, le juge </w:t>
      </w:r>
      <w:proofErr w:type="spellStart"/>
      <w:r w:rsidRPr="00C7601B">
        <w:rPr>
          <w:rFonts w:cs="Times New Roman"/>
          <w:szCs w:val="24"/>
          <w:lang w:val="fr-CA"/>
        </w:rPr>
        <w:t>Estey</w:t>
      </w:r>
      <w:proofErr w:type="spellEnd"/>
      <w:r w:rsidRPr="00C7601B">
        <w:rPr>
          <w:rFonts w:cs="Times New Roman"/>
          <w:szCs w:val="24"/>
          <w:lang w:val="fr-CA"/>
        </w:rPr>
        <w:t xml:space="preserve"> recourt à une analyse comparative de la loi manitobaine et de celles d’autres provinces pour décider si la ville de Winnipeg entendait geler des évaluations foncières (p.</w:t>
      </w:r>
      <w:r w:rsidR="00C7601B" w:rsidRPr="00C7601B">
        <w:rPr>
          <w:rFonts w:cs="Times New Roman"/>
          <w:szCs w:val="24"/>
          <w:lang w:val="fr-CA"/>
        </w:rPr>
        <w:t> </w:t>
      </w:r>
      <w:r w:rsidRPr="00C7601B">
        <w:rPr>
          <w:rFonts w:cs="Times New Roman"/>
          <w:szCs w:val="24"/>
          <w:lang w:val="fr-CA"/>
        </w:rPr>
        <w:t>504</w:t>
      </w:r>
      <w:r w:rsidR="00C7601B" w:rsidRPr="00C7601B">
        <w:rPr>
          <w:rFonts w:cs="Times New Roman"/>
          <w:szCs w:val="24"/>
          <w:lang w:val="fr-CA"/>
        </w:rPr>
        <w:t>-</w:t>
      </w:r>
      <w:r w:rsidRPr="00C7601B">
        <w:rPr>
          <w:rFonts w:cs="Times New Roman"/>
          <w:szCs w:val="24"/>
          <w:lang w:val="fr-CA"/>
        </w:rPr>
        <w:t>505).</w:t>
      </w:r>
    </w:p>
    <w:p w:rsidR="00956B54" w:rsidRPr="00C7601B" w:rsidRDefault="00956B54" w:rsidP="00956B54">
      <w:pPr>
        <w:pStyle w:val="ParaNoNdepar-AltN"/>
        <w:rPr>
          <w:rFonts w:cs="Times New Roman"/>
          <w:szCs w:val="24"/>
          <w:lang w:val="fr-CA"/>
        </w:rPr>
      </w:pPr>
      <w:r w:rsidRPr="00C7601B">
        <w:rPr>
          <w:rFonts w:cs="Times New Roman"/>
          <w:szCs w:val="24"/>
          <w:lang w:val="fr-CA"/>
        </w:rPr>
        <w:t>Dans le cas qui nous occupe, le recours aux dispositions législatives équivalentes des provinces et des territoires n’est indiqué qu’à une fin bien précise.</w:t>
      </w:r>
      <w:r w:rsidR="00FC4A5B" w:rsidRPr="00C7601B">
        <w:rPr>
          <w:rFonts w:cs="Times New Roman"/>
          <w:szCs w:val="24"/>
          <w:lang w:val="fr-CA"/>
        </w:rPr>
        <w:t xml:space="preserve"> </w:t>
      </w:r>
      <w:r w:rsidRPr="00C7601B">
        <w:rPr>
          <w:rFonts w:cs="Times New Roman"/>
          <w:szCs w:val="24"/>
          <w:lang w:val="fr-CA"/>
        </w:rPr>
        <w:t>La démarche tend à confirmer que le législateur emploie toujours le mot «</w:t>
      </w:r>
      <w:r w:rsidR="00FC4A5B" w:rsidRPr="00C7601B">
        <w:rPr>
          <w:rFonts w:cs="Times New Roman"/>
          <w:szCs w:val="24"/>
          <w:lang w:val="fr-CA"/>
        </w:rPr>
        <w:t xml:space="preserve"> </w:t>
      </w:r>
      <w:r w:rsidRPr="00C7601B">
        <w:rPr>
          <w:rFonts w:cs="Times New Roman"/>
          <w:szCs w:val="24"/>
          <w:lang w:val="fr-CA"/>
        </w:rPr>
        <w:t>dépens</w:t>
      </w:r>
      <w:r w:rsidR="00FC4A5B" w:rsidRPr="00C7601B">
        <w:rPr>
          <w:rFonts w:cs="Times New Roman"/>
          <w:szCs w:val="24"/>
          <w:lang w:val="fr-CA"/>
        </w:rPr>
        <w:t xml:space="preserve"> </w:t>
      </w:r>
      <w:r w:rsidRPr="00C7601B">
        <w:rPr>
          <w:rFonts w:cs="Times New Roman"/>
          <w:szCs w:val="24"/>
          <w:lang w:val="fr-CA"/>
        </w:rPr>
        <w:t>» lorsqu’il veut conférer le pouvoir d’adjuger des dépens.</w:t>
      </w:r>
    </w:p>
    <w:p w:rsidR="00956B54" w:rsidRPr="00C7601B" w:rsidRDefault="00956B54" w:rsidP="00956B54">
      <w:pPr>
        <w:pStyle w:val="ParaNoNdepar-AltN"/>
        <w:rPr>
          <w:rFonts w:cs="Times New Roman"/>
          <w:szCs w:val="24"/>
          <w:lang w:val="fr-CA"/>
        </w:rPr>
      </w:pPr>
      <w:r w:rsidRPr="00C7601B">
        <w:rPr>
          <w:rFonts w:cs="Times New Roman"/>
          <w:szCs w:val="24"/>
          <w:lang w:val="fr-CA"/>
        </w:rPr>
        <w:t>Par exemple, la Colombie</w:t>
      </w:r>
      <w:r w:rsidR="00C7601B" w:rsidRPr="00C7601B">
        <w:rPr>
          <w:rFonts w:cs="Times New Roman"/>
          <w:szCs w:val="24"/>
          <w:lang w:val="fr-CA"/>
        </w:rPr>
        <w:t>-</w:t>
      </w:r>
      <w:r w:rsidRPr="00C7601B">
        <w:rPr>
          <w:rFonts w:cs="Times New Roman"/>
          <w:szCs w:val="24"/>
          <w:lang w:val="fr-CA"/>
        </w:rPr>
        <w:t xml:space="preserve">Britannique permet d’adjuger des dépens en cas </w:t>
      </w:r>
      <w:r w:rsidR="00A12A36" w:rsidRPr="00C7601B">
        <w:rPr>
          <w:rFonts w:cs="Times New Roman"/>
          <w:szCs w:val="24"/>
          <w:lang w:val="fr-CA"/>
        </w:rPr>
        <w:t xml:space="preserve">de </w:t>
      </w:r>
      <w:r w:rsidRPr="00C7601B">
        <w:rPr>
          <w:rFonts w:cs="Times New Roman"/>
          <w:szCs w:val="24"/>
          <w:lang w:val="fr-CA"/>
        </w:rPr>
        <w:t>[</w:t>
      </w:r>
      <w:r w:rsidR="004A4BD5" w:rsidRPr="004A4BD5">
        <w:rPr>
          <w:rFonts w:cs="Times New Roman"/>
          <w:smallCaps/>
          <w:szCs w:val="24"/>
          <w:lang w:val="fr-CA"/>
        </w:rPr>
        <w:t>traduction</w:t>
      </w:r>
      <w:r w:rsidRPr="00C7601B">
        <w:rPr>
          <w:rFonts w:cs="Times New Roman"/>
          <w:szCs w:val="24"/>
          <w:lang w:val="fr-CA"/>
        </w:rPr>
        <w:t>] «</w:t>
      </w:r>
      <w:r w:rsidR="00FC4A5B" w:rsidRPr="00C7601B">
        <w:rPr>
          <w:rFonts w:cs="Times New Roman"/>
          <w:szCs w:val="24"/>
          <w:lang w:val="fr-CA"/>
        </w:rPr>
        <w:t xml:space="preserve"> </w:t>
      </w:r>
      <w:r w:rsidRPr="00C7601B">
        <w:rPr>
          <w:rFonts w:cs="Times New Roman"/>
          <w:szCs w:val="24"/>
          <w:lang w:val="fr-CA"/>
        </w:rPr>
        <w:t>comportement répréhensible</w:t>
      </w:r>
      <w:r w:rsidR="00FC4A5B" w:rsidRPr="00C7601B">
        <w:rPr>
          <w:rFonts w:cs="Times New Roman"/>
          <w:szCs w:val="24"/>
          <w:lang w:val="fr-CA"/>
        </w:rPr>
        <w:t xml:space="preserve"> </w:t>
      </w:r>
      <w:r w:rsidRPr="00C7601B">
        <w:rPr>
          <w:rFonts w:cs="Times New Roman"/>
          <w:szCs w:val="24"/>
          <w:lang w:val="fr-CA"/>
        </w:rPr>
        <w:t>» pendant l’examen de la plainte (</w:t>
      </w:r>
      <w:proofErr w:type="spellStart"/>
      <w:r w:rsidRPr="00C7601B">
        <w:rPr>
          <w:rFonts w:cs="Times New Roman"/>
          <w:i/>
          <w:szCs w:val="24"/>
          <w:lang w:val="fr-CA"/>
        </w:rPr>
        <w:t>Human</w:t>
      </w:r>
      <w:proofErr w:type="spellEnd"/>
      <w:r w:rsidRPr="00C7601B">
        <w:rPr>
          <w:rFonts w:cs="Times New Roman"/>
          <w:i/>
          <w:szCs w:val="24"/>
          <w:lang w:val="fr-CA"/>
        </w:rPr>
        <w:t xml:space="preserve"> </w:t>
      </w:r>
      <w:proofErr w:type="spellStart"/>
      <w:r w:rsidRPr="00C7601B">
        <w:rPr>
          <w:rFonts w:cs="Times New Roman"/>
          <w:i/>
          <w:szCs w:val="24"/>
          <w:lang w:val="fr-CA"/>
        </w:rPr>
        <w:t>Rights</w:t>
      </w:r>
      <w:proofErr w:type="spellEnd"/>
      <w:r w:rsidRPr="00C7601B">
        <w:rPr>
          <w:rFonts w:cs="Times New Roman"/>
          <w:i/>
          <w:szCs w:val="24"/>
          <w:lang w:val="fr-CA"/>
        </w:rPr>
        <w:t xml:space="preserve"> Code</w:t>
      </w:r>
      <w:r w:rsidRPr="00C7601B">
        <w:rPr>
          <w:rFonts w:cs="Times New Roman"/>
          <w:szCs w:val="24"/>
          <w:lang w:val="fr-CA"/>
        </w:rPr>
        <w:t>,</w:t>
      </w:r>
      <w:r w:rsidRPr="00C7601B">
        <w:rPr>
          <w:rFonts w:cs="Times New Roman"/>
          <w:i/>
          <w:szCs w:val="24"/>
          <w:lang w:val="fr-CA"/>
        </w:rPr>
        <w:t xml:space="preserve"> </w:t>
      </w:r>
      <w:r w:rsidRPr="00C7601B">
        <w:rPr>
          <w:rFonts w:cs="Times New Roman"/>
          <w:szCs w:val="24"/>
          <w:lang w:val="fr-CA"/>
        </w:rPr>
        <w:t>R.S.B.C. 1996, ch.</w:t>
      </w:r>
      <w:r w:rsidR="00FC4A5B" w:rsidRPr="00C7601B">
        <w:rPr>
          <w:rFonts w:cs="Times New Roman"/>
          <w:szCs w:val="24"/>
          <w:lang w:val="fr-CA"/>
        </w:rPr>
        <w:t xml:space="preserve"> </w:t>
      </w:r>
      <w:r w:rsidRPr="00C7601B">
        <w:rPr>
          <w:rFonts w:cs="Times New Roman"/>
          <w:szCs w:val="24"/>
          <w:lang w:val="fr-CA"/>
        </w:rPr>
        <w:t>210, par.</w:t>
      </w:r>
      <w:r w:rsidR="00FC4A5B" w:rsidRPr="00C7601B">
        <w:rPr>
          <w:rFonts w:cs="Times New Roman"/>
          <w:szCs w:val="24"/>
          <w:lang w:val="fr-CA"/>
        </w:rPr>
        <w:t xml:space="preserve"> </w:t>
      </w:r>
      <w:r w:rsidRPr="00C7601B">
        <w:rPr>
          <w:rFonts w:cs="Times New Roman"/>
          <w:szCs w:val="24"/>
          <w:lang w:val="fr-CA"/>
        </w:rPr>
        <w:t>37(4)).</w:t>
      </w:r>
      <w:r w:rsidR="00FC4A5B" w:rsidRPr="00C7601B">
        <w:rPr>
          <w:rFonts w:cs="Times New Roman"/>
          <w:szCs w:val="24"/>
          <w:lang w:val="fr-CA"/>
        </w:rPr>
        <w:t xml:space="preserve"> </w:t>
      </w:r>
      <w:r w:rsidRPr="00C7601B">
        <w:rPr>
          <w:rFonts w:cs="Times New Roman"/>
          <w:szCs w:val="24"/>
          <w:lang w:val="fr-CA"/>
        </w:rPr>
        <w:t>Au Manitoba et dans les Territoires du Nord</w:t>
      </w:r>
      <w:r w:rsidR="00C7601B" w:rsidRPr="00C7601B">
        <w:rPr>
          <w:rFonts w:cs="Times New Roman"/>
          <w:szCs w:val="24"/>
          <w:lang w:val="fr-CA"/>
        </w:rPr>
        <w:t>-</w:t>
      </w:r>
      <w:r w:rsidRPr="00C7601B">
        <w:rPr>
          <w:rFonts w:cs="Times New Roman"/>
          <w:szCs w:val="24"/>
          <w:lang w:val="fr-CA"/>
        </w:rPr>
        <w:t>Ouest, la conduite reprochée doit être «</w:t>
      </w:r>
      <w:r w:rsidR="00FC4A5B" w:rsidRPr="00C7601B">
        <w:rPr>
          <w:rFonts w:cs="Times New Roman"/>
          <w:szCs w:val="24"/>
          <w:lang w:val="fr-CA"/>
        </w:rPr>
        <w:t xml:space="preserve"> </w:t>
      </w:r>
      <w:r w:rsidRPr="00C7601B">
        <w:rPr>
          <w:rFonts w:cs="Times New Roman"/>
          <w:szCs w:val="24"/>
          <w:lang w:val="fr-CA"/>
        </w:rPr>
        <w:t>futile ou vexatoire</w:t>
      </w:r>
      <w:r w:rsidR="00FC4A5B" w:rsidRPr="00C7601B">
        <w:rPr>
          <w:rFonts w:cs="Times New Roman"/>
          <w:szCs w:val="24"/>
          <w:lang w:val="fr-CA"/>
        </w:rPr>
        <w:t xml:space="preserve"> </w:t>
      </w:r>
      <w:r w:rsidRPr="00C7601B">
        <w:rPr>
          <w:rFonts w:cs="Times New Roman"/>
          <w:szCs w:val="24"/>
          <w:lang w:val="fr-CA"/>
        </w:rPr>
        <w:t>» (</w:t>
      </w:r>
      <w:r w:rsidRPr="00C7601B">
        <w:rPr>
          <w:rFonts w:cs="Times New Roman"/>
          <w:i/>
          <w:szCs w:val="24"/>
          <w:lang w:val="fr-CA"/>
        </w:rPr>
        <w:t>Code des droits de la personne</w:t>
      </w:r>
      <w:r w:rsidR="00EF0949" w:rsidRPr="00C7601B">
        <w:rPr>
          <w:rFonts w:cs="Times New Roman"/>
          <w:szCs w:val="24"/>
          <w:lang w:val="fr-CA"/>
        </w:rPr>
        <w:t>, L.M. 1987-</w:t>
      </w:r>
      <w:r w:rsidRPr="00C7601B">
        <w:rPr>
          <w:rFonts w:cs="Times New Roman"/>
          <w:szCs w:val="24"/>
          <w:lang w:val="fr-CA"/>
        </w:rPr>
        <w:t>88, ch.</w:t>
      </w:r>
      <w:r w:rsidR="00FC4A5B" w:rsidRPr="00C7601B">
        <w:rPr>
          <w:rFonts w:cs="Times New Roman"/>
          <w:szCs w:val="24"/>
          <w:lang w:val="fr-CA"/>
        </w:rPr>
        <w:t xml:space="preserve"> </w:t>
      </w:r>
      <w:r w:rsidRPr="00C7601B">
        <w:rPr>
          <w:rFonts w:cs="Times New Roman"/>
          <w:szCs w:val="24"/>
          <w:lang w:val="fr-CA"/>
        </w:rPr>
        <w:t>45, par.</w:t>
      </w:r>
      <w:r w:rsidR="00FC4A5B" w:rsidRPr="00C7601B">
        <w:rPr>
          <w:rFonts w:cs="Times New Roman"/>
          <w:szCs w:val="24"/>
          <w:lang w:val="fr-CA"/>
        </w:rPr>
        <w:t xml:space="preserve"> </w:t>
      </w:r>
      <w:r w:rsidRPr="00C7601B">
        <w:rPr>
          <w:rFonts w:cs="Times New Roman"/>
          <w:szCs w:val="24"/>
          <w:lang w:val="fr-CA"/>
        </w:rPr>
        <w:t xml:space="preserve">45(2); </w:t>
      </w:r>
      <w:r w:rsidRPr="00C7601B">
        <w:rPr>
          <w:rFonts w:cs="Times New Roman"/>
          <w:i/>
          <w:szCs w:val="24"/>
          <w:lang w:val="fr-CA"/>
        </w:rPr>
        <w:t>Loi sur les droits de la personne</w:t>
      </w:r>
      <w:r w:rsidR="00EF0949" w:rsidRPr="00C7601B">
        <w:rPr>
          <w:rFonts w:cs="Times New Roman"/>
          <w:szCs w:val="24"/>
          <w:lang w:val="fr-CA"/>
        </w:rPr>
        <w:t>, L.T.N.</w:t>
      </w:r>
      <w:r w:rsidR="004A4BD5">
        <w:rPr>
          <w:rFonts w:cs="Times New Roman"/>
          <w:szCs w:val="24"/>
          <w:lang w:val="fr-CA"/>
        </w:rPr>
        <w:t>-</w:t>
      </w:r>
      <w:r w:rsidRPr="00C7601B">
        <w:rPr>
          <w:rFonts w:cs="Times New Roman"/>
          <w:szCs w:val="24"/>
          <w:lang w:val="fr-CA"/>
        </w:rPr>
        <w:t>O. 2002, ch.</w:t>
      </w:r>
      <w:r w:rsidR="00FC4A5B" w:rsidRPr="00C7601B">
        <w:rPr>
          <w:rFonts w:cs="Times New Roman"/>
          <w:szCs w:val="24"/>
          <w:lang w:val="fr-CA"/>
        </w:rPr>
        <w:t xml:space="preserve"> </w:t>
      </w:r>
      <w:r w:rsidRPr="00C7601B">
        <w:rPr>
          <w:rFonts w:cs="Times New Roman"/>
          <w:szCs w:val="24"/>
          <w:lang w:val="fr-CA"/>
        </w:rPr>
        <w:t>18, art.</w:t>
      </w:r>
      <w:r w:rsidR="00FC4A5B" w:rsidRPr="00C7601B">
        <w:rPr>
          <w:rFonts w:cs="Times New Roman"/>
          <w:szCs w:val="24"/>
          <w:lang w:val="fr-CA"/>
        </w:rPr>
        <w:t xml:space="preserve"> </w:t>
      </w:r>
      <w:r w:rsidRPr="00C7601B">
        <w:rPr>
          <w:rFonts w:cs="Times New Roman"/>
          <w:szCs w:val="24"/>
          <w:lang w:val="fr-CA"/>
        </w:rPr>
        <w:t>63).</w:t>
      </w:r>
      <w:r w:rsidR="00FC4A5B" w:rsidRPr="00C7601B">
        <w:rPr>
          <w:rFonts w:cs="Times New Roman"/>
          <w:szCs w:val="24"/>
          <w:lang w:val="fr-CA"/>
        </w:rPr>
        <w:t xml:space="preserve"> </w:t>
      </w:r>
      <w:r w:rsidRPr="00C7601B">
        <w:rPr>
          <w:rFonts w:cs="Times New Roman"/>
          <w:szCs w:val="24"/>
          <w:lang w:val="fr-CA"/>
        </w:rPr>
        <w:t>En Alberta, à l’Île</w:t>
      </w:r>
      <w:r w:rsidR="00C7601B" w:rsidRPr="00C7601B">
        <w:rPr>
          <w:rFonts w:cs="Times New Roman"/>
          <w:szCs w:val="24"/>
          <w:lang w:val="fr-CA"/>
        </w:rPr>
        <w:t>-</w:t>
      </w:r>
      <w:r w:rsidRPr="00C7601B">
        <w:rPr>
          <w:rFonts w:cs="Times New Roman"/>
          <w:szCs w:val="24"/>
          <w:lang w:val="fr-CA"/>
        </w:rPr>
        <w:t>du</w:t>
      </w:r>
      <w:r w:rsidR="00C7601B" w:rsidRPr="00C7601B">
        <w:rPr>
          <w:rFonts w:cs="Times New Roman"/>
          <w:szCs w:val="24"/>
          <w:lang w:val="fr-CA"/>
        </w:rPr>
        <w:t>-</w:t>
      </w:r>
      <w:r w:rsidRPr="00C7601B">
        <w:rPr>
          <w:rFonts w:cs="Times New Roman"/>
          <w:szCs w:val="24"/>
          <w:lang w:val="fr-CA"/>
        </w:rPr>
        <w:t>Prince</w:t>
      </w:r>
      <w:r w:rsidR="00C7601B" w:rsidRPr="00C7601B">
        <w:rPr>
          <w:rFonts w:cs="Times New Roman"/>
          <w:szCs w:val="24"/>
          <w:lang w:val="fr-CA"/>
        </w:rPr>
        <w:t>-</w:t>
      </w:r>
      <w:r w:rsidRPr="00C7601B">
        <w:rPr>
          <w:rFonts w:cs="Times New Roman"/>
          <w:szCs w:val="24"/>
          <w:lang w:val="fr-CA"/>
        </w:rPr>
        <w:t>Édouard et à Terre</w:t>
      </w:r>
      <w:r w:rsidR="00C7601B" w:rsidRPr="00C7601B">
        <w:rPr>
          <w:rFonts w:cs="Times New Roman"/>
          <w:szCs w:val="24"/>
          <w:lang w:val="fr-CA"/>
        </w:rPr>
        <w:t>-</w:t>
      </w:r>
      <w:r w:rsidRPr="00C7601B">
        <w:rPr>
          <w:rFonts w:cs="Times New Roman"/>
          <w:szCs w:val="24"/>
          <w:lang w:val="fr-CA"/>
        </w:rPr>
        <w:t>Neuve (</w:t>
      </w:r>
      <w:r w:rsidRPr="00C7601B">
        <w:rPr>
          <w:rFonts w:cs="Times New Roman"/>
          <w:i/>
          <w:szCs w:val="24"/>
          <w:lang w:val="fr-CA"/>
        </w:rPr>
        <w:t>Alberta</w:t>
      </w:r>
      <w:r w:rsidRPr="00C7601B">
        <w:rPr>
          <w:rFonts w:cs="Times New Roman"/>
          <w:szCs w:val="24"/>
          <w:lang w:val="fr-CA"/>
        </w:rPr>
        <w:t xml:space="preserve"> </w:t>
      </w:r>
      <w:proofErr w:type="spellStart"/>
      <w:r w:rsidRPr="00C7601B">
        <w:rPr>
          <w:rFonts w:cs="Times New Roman"/>
          <w:i/>
          <w:szCs w:val="24"/>
          <w:lang w:val="fr-CA"/>
        </w:rPr>
        <w:t>Human</w:t>
      </w:r>
      <w:proofErr w:type="spellEnd"/>
      <w:r w:rsidRPr="00C7601B">
        <w:rPr>
          <w:rFonts w:cs="Times New Roman"/>
          <w:i/>
          <w:szCs w:val="24"/>
          <w:lang w:val="fr-CA"/>
        </w:rPr>
        <w:t xml:space="preserve"> </w:t>
      </w:r>
      <w:proofErr w:type="spellStart"/>
      <w:r w:rsidRPr="00C7601B">
        <w:rPr>
          <w:rFonts w:cs="Times New Roman"/>
          <w:i/>
          <w:szCs w:val="24"/>
          <w:lang w:val="fr-CA"/>
        </w:rPr>
        <w:t>Rights</w:t>
      </w:r>
      <w:proofErr w:type="spellEnd"/>
      <w:r w:rsidRPr="00C7601B">
        <w:rPr>
          <w:rFonts w:cs="Times New Roman"/>
          <w:i/>
          <w:szCs w:val="24"/>
          <w:lang w:val="fr-CA"/>
        </w:rPr>
        <w:t xml:space="preserve"> </w:t>
      </w:r>
      <w:proofErr w:type="spellStart"/>
      <w:r w:rsidRPr="00C7601B">
        <w:rPr>
          <w:rFonts w:cs="Times New Roman"/>
          <w:i/>
          <w:szCs w:val="24"/>
          <w:lang w:val="fr-CA"/>
        </w:rPr>
        <w:t>Act</w:t>
      </w:r>
      <w:proofErr w:type="spellEnd"/>
      <w:r w:rsidRPr="00C7601B">
        <w:rPr>
          <w:rFonts w:cs="Times New Roman"/>
          <w:szCs w:val="24"/>
          <w:lang w:val="fr-CA"/>
        </w:rPr>
        <w:t>,</w:t>
      </w:r>
      <w:r w:rsidRPr="00C7601B">
        <w:rPr>
          <w:rFonts w:cs="Times New Roman"/>
          <w:i/>
          <w:szCs w:val="24"/>
          <w:lang w:val="fr-CA"/>
        </w:rPr>
        <w:t xml:space="preserve"> </w:t>
      </w:r>
      <w:r w:rsidRPr="00C7601B">
        <w:rPr>
          <w:rFonts w:cs="Times New Roman"/>
          <w:szCs w:val="24"/>
          <w:lang w:val="fr-CA"/>
        </w:rPr>
        <w:t xml:space="preserve">R.S.A. 2000, </w:t>
      </w:r>
      <w:r w:rsidR="00EF0949" w:rsidRPr="00C7601B">
        <w:rPr>
          <w:rFonts w:cs="Times New Roman"/>
          <w:szCs w:val="24"/>
          <w:lang w:val="fr-CA"/>
        </w:rPr>
        <w:t>ch.</w:t>
      </w:r>
      <w:r w:rsidR="00FC4A5B" w:rsidRPr="00C7601B">
        <w:rPr>
          <w:rFonts w:cs="Times New Roman"/>
          <w:szCs w:val="24"/>
          <w:lang w:val="fr-CA"/>
        </w:rPr>
        <w:t xml:space="preserve"> </w:t>
      </w:r>
      <w:r w:rsidR="00EF0949" w:rsidRPr="00A12A36">
        <w:rPr>
          <w:rFonts w:cs="Times New Roman"/>
          <w:szCs w:val="24"/>
          <w:lang w:val="en-US"/>
        </w:rPr>
        <w:t>A</w:t>
      </w:r>
      <w:r w:rsidR="004A4BD5" w:rsidRPr="00A12A36">
        <w:rPr>
          <w:rFonts w:cs="Times New Roman"/>
          <w:szCs w:val="24"/>
          <w:lang w:val="en-US"/>
        </w:rPr>
        <w:t>-</w:t>
      </w:r>
      <w:r w:rsidRPr="00A12A36">
        <w:rPr>
          <w:rFonts w:cs="Times New Roman"/>
          <w:szCs w:val="24"/>
          <w:lang w:val="en-US"/>
        </w:rPr>
        <w:t>25.5, par.</w:t>
      </w:r>
      <w:r w:rsidR="00FC4A5B" w:rsidRPr="00A12A36">
        <w:rPr>
          <w:rFonts w:cs="Times New Roman"/>
          <w:szCs w:val="24"/>
          <w:lang w:val="en-US"/>
        </w:rPr>
        <w:t xml:space="preserve"> </w:t>
      </w:r>
      <w:r w:rsidRPr="00A12A36">
        <w:rPr>
          <w:rFonts w:cs="Times New Roman"/>
          <w:szCs w:val="24"/>
          <w:lang w:val="en-US"/>
        </w:rPr>
        <w:t xml:space="preserve">32(2); </w:t>
      </w:r>
      <w:r w:rsidRPr="00A12A36">
        <w:rPr>
          <w:rFonts w:cs="Times New Roman"/>
          <w:i/>
          <w:szCs w:val="24"/>
          <w:lang w:val="en-US"/>
        </w:rPr>
        <w:t>Human Rights Act</w:t>
      </w:r>
      <w:r w:rsidRPr="00A12A36">
        <w:rPr>
          <w:rFonts w:cs="Times New Roman"/>
          <w:szCs w:val="24"/>
          <w:lang w:val="en-US"/>
        </w:rPr>
        <w:t xml:space="preserve">, R.S.P.E.I. 1988, </w:t>
      </w:r>
      <w:proofErr w:type="spellStart"/>
      <w:r w:rsidRPr="00A12A36">
        <w:rPr>
          <w:rFonts w:cs="Times New Roman"/>
          <w:szCs w:val="24"/>
          <w:lang w:val="en-US"/>
        </w:rPr>
        <w:t>c</w:t>
      </w:r>
      <w:r w:rsidR="00A12A36" w:rsidRPr="00A12A36">
        <w:rPr>
          <w:rFonts w:cs="Times New Roman"/>
          <w:szCs w:val="24"/>
          <w:lang w:val="en-US"/>
        </w:rPr>
        <w:t>h</w:t>
      </w:r>
      <w:proofErr w:type="spellEnd"/>
      <w:r w:rsidRPr="00A12A36">
        <w:rPr>
          <w:rFonts w:cs="Times New Roman"/>
          <w:szCs w:val="24"/>
          <w:lang w:val="en-US"/>
        </w:rPr>
        <w:t>.</w:t>
      </w:r>
      <w:r w:rsidR="00FC4A5B" w:rsidRPr="00A12A36">
        <w:rPr>
          <w:rFonts w:cs="Times New Roman"/>
          <w:szCs w:val="24"/>
          <w:lang w:val="en-US"/>
        </w:rPr>
        <w:t xml:space="preserve"> </w:t>
      </w:r>
      <w:r w:rsidRPr="00C7601B">
        <w:rPr>
          <w:rFonts w:cs="Times New Roman"/>
          <w:szCs w:val="24"/>
          <w:lang w:val="fr-CA"/>
        </w:rPr>
        <w:t>H</w:t>
      </w:r>
      <w:r w:rsidR="004A4BD5">
        <w:rPr>
          <w:rFonts w:cs="Times New Roman"/>
          <w:szCs w:val="24"/>
          <w:lang w:val="fr-CA"/>
        </w:rPr>
        <w:t>-</w:t>
      </w:r>
      <w:r w:rsidRPr="00C7601B">
        <w:rPr>
          <w:rFonts w:cs="Times New Roman"/>
          <w:szCs w:val="24"/>
          <w:lang w:val="fr-CA"/>
        </w:rPr>
        <w:t xml:space="preserve">12, </w:t>
      </w:r>
      <w:r w:rsidR="00A12A36">
        <w:rPr>
          <w:rFonts w:cs="Times New Roman"/>
          <w:szCs w:val="24"/>
          <w:lang w:val="fr-CA"/>
        </w:rPr>
        <w:t>par</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 xml:space="preserve">28.4(6); </w:t>
      </w:r>
      <w:proofErr w:type="spellStart"/>
      <w:r w:rsidRPr="00C7601B">
        <w:rPr>
          <w:rFonts w:cs="Times New Roman"/>
          <w:i/>
          <w:szCs w:val="24"/>
          <w:lang w:val="fr-CA"/>
        </w:rPr>
        <w:t>Human</w:t>
      </w:r>
      <w:proofErr w:type="spellEnd"/>
      <w:r w:rsidRPr="00C7601B">
        <w:rPr>
          <w:rFonts w:cs="Times New Roman"/>
          <w:i/>
          <w:szCs w:val="24"/>
          <w:lang w:val="fr-CA"/>
        </w:rPr>
        <w:t xml:space="preserve"> </w:t>
      </w:r>
      <w:proofErr w:type="spellStart"/>
      <w:r w:rsidRPr="00C7601B">
        <w:rPr>
          <w:rFonts w:cs="Times New Roman"/>
          <w:i/>
          <w:szCs w:val="24"/>
          <w:lang w:val="fr-CA"/>
        </w:rPr>
        <w:t>Rights</w:t>
      </w:r>
      <w:proofErr w:type="spellEnd"/>
      <w:r w:rsidRPr="00C7601B">
        <w:rPr>
          <w:rFonts w:cs="Times New Roman"/>
          <w:i/>
          <w:szCs w:val="24"/>
          <w:lang w:val="fr-CA"/>
        </w:rPr>
        <w:t xml:space="preserve"> </w:t>
      </w:r>
      <w:proofErr w:type="spellStart"/>
      <w:r w:rsidRPr="00C7601B">
        <w:rPr>
          <w:rFonts w:cs="Times New Roman"/>
          <w:i/>
          <w:szCs w:val="24"/>
          <w:lang w:val="fr-CA"/>
        </w:rPr>
        <w:t>Act</w:t>
      </w:r>
      <w:proofErr w:type="spellEnd"/>
      <w:r w:rsidR="006C1D18" w:rsidRPr="00C7601B">
        <w:rPr>
          <w:rFonts w:cs="Times New Roman"/>
          <w:i/>
          <w:szCs w:val="24"/>
          <w:lang w:val="fr-CA"/>
        </w:rPr>
        <w:t>,</w:t>
      </w:r>
      <w:r w:rsidRPr="00C7601B">
        <w:rPr>
          <w:rFonts w:cs="Times New Roman"/>
          <w:i/>
          <w:szCs w:val="24"/>
          <w:lang w:val="fr-CA"/>
        </w:rPr>
        <w:t xml:space="preserve"> 2010</w:t>
      </w:r>
      <w:r w:rsidRPr="00C7601B">
        <w:rPr>
          <w:rFonts w:cs="Times New Roman"/>
          <w:szCs w:val="24"/>
          <w:lang w:val="fr-CA"/>
        </w:rPr>
        <w:t>, S.N.L. 2010, c</w:t>
      </w:r>
      <w:r w:rsidR="00A12A36">
        <w:rPr>
          <w:rFonts w:cs="Times New Roman"/>
          <w:szCs w:val="24"/>
          <w:lang w:val="fr-CA"/>
        </w:rPr>
        <w:t>h</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H</w:t>
      </w:r>
      <w:r w:rsidR="004A4BD5">
        <w:rPr>
          <w:rFonts w:cs="Times New Roman"/>
          <w:szCs w:val="24"/>
          <w:lang w:val="fr-CA"/>
        </w:rPr>
        <w:t>-</w:t>
      </w:r>
      <w:r w:rsidRPr="00C7601B">
        <w:rPr>
          <w:rFonts w:cs="Times New Roman"/>
          <w:szCs w:val="24"/>
          <w:lang w:val="fr-CA"/>
        </w:rPr>
        <w:t>13.1, par.</w:t>
      </w:r>
      <w:r w:rsidR="00FC4A5B" w:rsidRPr="00C7601B">
        <w:rPr>
          <w:rFonts w:cs="Times New Roman"/>
          <w:szCs w:val="24"/>
          <w:lang w:val="fr-CA"/>
        </w:rPr>
        <w:t xml:space="preserve"> </w:t>
      </w:r>
      <w:r w:rsidRPr="00C7601B">
        <w:rPr>
          <w:rFonts w:cs="Times New Roman"/>
          <w:szCs w:val="24"/>
          <w:lang w:val="fr-CA"/>
        </w:rPr>
        <w:t>39(2)), le tribunal peut rendre l’ordonnance qui [</w:t>
      </w:r>
      <w:r w:rsidR="004A4BD5" w:rsidRPr="004A4BD5">
        <w:rPr>
          <w:rFonts w:cs="Times New Roman"/>
          <w:smallCaps/>
          <w:szCs w:val="24"/>
          <w:lang w:val="fr-CA"/>
        </w:rPr>
        <w:t>traduction</w:t>
      </w:r>
      <w:r w:rsidRPr="00C7601B">
        <w:rPr>
          <w:rFonts w:cs="Times New Roman"/>
          <w:szCs w:val="24"/>
          <w:lang w:val="fr-CA"/>
        </w:rPr>
        <w:t>] «</w:t>
      </w:r>
      <w:r w:rsidR="00FC4A5B" w:rsidRPr="00C7601B">
        <w:rPr>
          <w:rFonts w:cs="Times New Roman"/>
          <w:szCs w:val="24"/>
          <w:lang w:val="fr-CA"/>
        </w:rPr>
        <w:t xml:space="preserve"> </w:t>
      </w:r>
      <w:r w:rsidRPr="00C7601B">
        <w:rPr>
          <w:rFonts w:cs="Times New Roman"/>
          <w:szCs w:val="24"/>
          <w:lang w:val="fr-CA"/>
        </w:rPr>
        <w:t>convient</w:t>
      </w:r>
      <w:r w:rsidR="00FC4A5B" w:rsidRPr="00C7601B">
        <w:rPr>
          <w:rFonts w:cs="Times New Roman"/>
          <w:szCs w:val="24"/>
          <w:lang w:val="fr-CA"/>
        </w:rPr>
        <w:t xml:space="preserve"> </w:t>
      </w:r>
      <w:r w:rsidRPr="00C7601B">
        <w:rPr>
          <w:rFonts w:cs="Times New Roman"/>
          <w:szCs w:val="24"/>
          <w:lang w:val="fr-CA"/>
        </w:rPr>
        <w:t>» quant aux dépens.</w:t>
      </w:r>
      <w:r w:rsidR="00FC4A5B" w:rsidRPr="00C7601B">
        <w:rPr>
          <w:rFonts w:cs="Times New Roman"/>
          <w:szCs w:val="24"/>
          <w:lang w:val="fr-CA"/>
        </w:rPr>
        <w:t xml:space="preserve"> </w:t>
      </w:r>
      <w:r w:rsidRPr="00C7601B">
        <w:rPr>
          <w:rFonts w:cs="Times New Roman"/>
          <w:szCs w:val="24"/>
          <w:lang w:val="fr-CA"/>
        </w:rPr>
        <w:t>Au Québec, il peut rendre l’ordonnance «</w:t>
      </w:r>
      <w:r w:rsidR="00FC4A5B" w:rsidRPr="00C7601B">
        <w:rPr>
          <w:rFonts w:cs="Times New Roman"/>
          <w:szCs w:val="24"/>
          <w:lang w:val="fr-CA"/>
        </w:rPr>
        <w:t xml:space="preserve"> </w:t>
      </w:r>
      <w:r w:rsidRPr="00C7601B">
        <w:rPr>
          <w:rFonts w:cs="Times New Roman"/>
          <w:szCs w:val="24"/>
          <w:lang w:val="fr-CA"/>
        </w:rPr>
        <w:t>qu’il</w:t>
      </w:r>
      <w:r w:rsidR="00EF0949" w:rsidRPr="00C7601B">
        <w:rPr>
          <w:rFonts w:cs="Times New Roman"/>
          <w:szCs w:val="24"/>
          <w:lang w:val="fr-CA"/>
        </w:rPr>
        <w:t xml:space="preserve"> détermine</w:t>
      </w:r>
      <w:r w:rsidR="00FC4A5B" w:rsidRPr="00C7601B">
        <w:rPr>
          <w:rFonts w:cs="Times New Roman"/>
          <w:szCs w:val="24"/>
          <w:lang w:val="fr-CA"/>
        </w:rPr>
        <w:t xml:space="preserve"> </w:t>
      </w:r>
      <w:r w:rsidRPr="00C7601B">
        <w:rPr>
          <w:rFonts w:cs="Times New Roman"/>
          <w:szCs w:val="24"/>
          <w:lang w:val="fr-CA"/>
        </w:rPr>
        <w:t>» en la matière (</w:t>
      </w:r>
      <w:r w:rsidRPr="00C7601B">
        <w:rPr>
          <w:rFonts w:cs="Times New Roman"/>
          <w:i/>
          <w:szCs w:val="24"/>
          <w:lang w:val="fr-CA"/>
        </w:rPr>
        <w:t>Charte des droits et libertés de la personne</w:t>
      </w:r>
      <w:r w:rsidRPr="00C7601B">
        <w:rPr>
          <w:rFonts w:cs="Times New Roman"/>
          <w:szCs w:val="24"/>
          <w:lang w:val="fr-CA"/>
        </w:rPr>
        <w:t>, L.R.Q.</w:t>
      </w:r>
      <w:r w:rsidR="00A12A36">
        <w:rPr>
          <w:rFonts w:cs="Times New Roman"/>
          <w:szCs w:val="24"/>
          <w:lang w:val="fr-CA"/>
        </w:rPr>
        <w:t>,</w:t>
      </w:r>
      <w:r w:rsidRPr="00C7601B">
        <w:rPr>
          <w:rFonts w:cs="Times New Roman"/>
          <w:szCs w:val="24"/>
          <w:lang w:val="fr-CA"/>
        </w:rPr>
        <w:t xml:space="preserve"> ch.</w:t>
      </w:r>
      <w:r w:rsidR="00FC4A5B" w:rsidRPr="00C7601B">
        <w:rPr>
          <w:rFonts w:cs="Times New Roman"/>
          <w:szCs w:val="24"/>
          <w:lang w:val="fr-CA"/>
        </w:rPr>
        <w:t xml:space="preserve"> </w:t>
      </w:r>
      <w:r w:rsidRPr="00C7601B">
        <w:rPr>
          <w:rFonts w:cs="Times New Roman"/>
          <w:szCs w:val="24"/>
          <w:lang w:val="fr-CA"/>
        </w:rPr>
        <w:t>C</w:t>
      </w:r>
      <w:r w:rsidR="004A4BD5">
        <w:rPr>
          <w:rFonts w:cs="Times New Roman"/>
          <w:szCs w:val="24"/>
          <w:lang w:val="fr-CA"/>
        </w:rPr>
        <w:t>-</w:t>
      </w:r>
      <w:r w:rsidRPr="00C7601B">
        <w:rPr>
          <w:rFonts w:cs="Times New Roman"/>
          <w:szCs w:val="24"/>
          <w:lang w:val="fr-CA"/>
        </w:rPr>
        <w:t>12, art.</w:t>
      </w:r>
      <w:r w:rsidR="00FC4A5B" w:rsidRPr="00C7601B">
        <w:rPr>
          <w:rFonts w:cs="Times New Roman"/>
          <w:szCs w:val="24"/>
          <w:lang w:val="fr-CA"/>
        </w:rPr>
        <w:t xml:space="preserve"> </w:t>
      </w:r>
      <w:r w:rsidRPr="00C7601B">
        <w:rPr>
          <w:rFonts w:cs="Times New Roman"/>
          <w:szCs w:val="24"/>
          <w:lang w:val="fr-CA"/>
        </w:rPr>
        <w:t>126).</w:t>
      </w:r>
      <w:r w:rsidR="00FC4A5B" w:rsidRPr="00C7601B">
        <w:rPr>
          <w:rFonts w:cs="Times New Roman"/>
          <w:szCs w:val="24"/>
          <w:lang w:val="fr-CA"/>
        </w:rPr>
        <w:t xml:space="preserve"> </w:t>
      </w:r>
      <w:r w:rsidRPr="00C7601B">
        <w:rPr>
          <w:rFonts w:cs="Times New Roman"/>
          <w:szCs w:val="24"/>
          <w:lang w:val="fr-CA"/>
        </w:rPr>
        <w:t xml:space="preserve">En Saskatchewan, il peut aussi rendre </w:t>
      </w:r>
      <w:r w:rsidRPr="00C7601B">
        <w:rPr>
          <w:rFonts w:cs="Times New Roman"/>
          <w:szCs w:val="24"/>
          <w:lang w:val="fr-CA"/>
        </w:rPr>
        <w:lastRenderedPageBreak/>
        <w:t>l’ordonnance qui [</w:t>
      </w:r>
      <w:r w:rsidR="004A4BD5" w:rsidRPr="004A4BD5">
        <w:rPr>
          <w:rFonts w:cs="Times New Roman"/>
          <w:smallCaps/>
          <w:szCs w:val="24"/>
          <w:lang w:val="fr-CA"/>
        </w:rPr>
        <w:t>traduction</w:t>
      </w:r>
      <w:r w:rsidRPr="00C7601B">
        <w:rPr>
          <w:rFonts w:cs="Times New Roman"/>
          <w:szCs w:val="24"/>
          <w:lang w:val="fr-CA"/>
        </w:rPr>
        <w:t>] «</w:t>
      </w:r>
      <w:r w:rsidR="00FC4A5B" w:rsidRPr="00C7601B">
        <w:rPr>
          <w:rFonts w:cs="Times New Roman"/>
          <w:szCs w:val="24"/>
          <w:lang w:val="fr-CA"/>
        </w:rPr>
        <w:t xml:space="preserve"> </w:t>
      </w:r>
      <w:r w:rsidRPr="00C7601B">
        <w:rPr>
          <w:rFonts w:cs="Times New Roman"/>
          <w:szCs w:val="24"/>
          <w:lang w:val="fr-CA"/>
        </w:rPr>
        <w:t>convient</w:t>
      </w:r>
      <w:r w:rsidR="00FC4A5B" w:rsidRPr="00C7601B">
        <w:rPr>
          <w:rFonts w:cs="Times New Roman"/>
          <w:szCs w:val="24"/>
          <w:lang w:val="fr-CA"/>
        </w:rPr>
        <w:t xml:space="preserve"> </w:t>
      </w:r>
      <w:r w:rsidRPr="00C7601B">
        <w:rPr>
          <w:rFonts w:cs="Times New Roman"/>
          <w:szCs w:val="24"/>
          <w:lang w:val="fr-CA"/>
        </w:rPr>
        <w:t>» à ce chapitre, mais il ne peut condamner la Commission aux dépens (</w:t>
      </w:r>
      <w:r w:rsidRPr="00C7601B">
        <w:rPr>
          <w:rFonts w:cs="Times New Roman"/>
          <w:i/>
          <w:szCs w:val="24"/>
          <w:lang w:val="fr-CA"/>
        </w:rPr>
        <w:t xml:space="preserve">Saskatchewan </w:t>
      </w:r>
      <w:proofErr w:type="spellStart"/>
      <w:r w:rsidRPr="00C7601B">
        <w:rPr>
          <w:rFonts w:cs="Times New Roman"/>
          <w:i/>
          <w:szCs w:val="24"/>
          <w:lang w:val="fr-CA"/>
        </w:rPr>
        <w:t>Human</w:t>
      </w:r>
      <w:proofErr w:type="spellEnd"/>
      <w:r w:rsidRPr="00C7601B">
        <w:rPr>
          <w:rFonts w:cs="Times New Roman"/>
          <w:i/>
          <w:szCs w:val="24"/>
          <w:lang w:val="fr-CA"/>
        </w:rPr>
        <w:t xml:space="preserve"> </w:t>
      </w:r>
      <w:proofErr w:type="spellStart"/>
      <w:r w:rsidRPr="00C7601B">
        <w:rPr>
          <w:rFonts w:cs="Times New Roman"/>
          <w:i/>
          <w:szCs w:val="24"/>
          <w:lang w:val="fr-CA"/>
        </w:rPr>
        <w:t>Rights</w:t>
      </w:r>
      <w:proofErr w:type="spellEnd"/>
      <w:r w:rsidRPr="00C7601B">
        <w:rPr>
          <w:rFonts w:cs="Times New Roman"/>
          <w:i/>
          <w:szCs w:val="24"/>
          <w:lang w:val="fr-CA"/>
        </w:rPr>
        <w:t xml:space="preserve"> Code </w:t>
      </w:r>
      <w:proofErr w:type="spellStart"/>
      <w:r w:rsidRPr="00C7601B">
        <w:rPr>
          <w:rFonts w:cs="Times New Roman"/>
          <w:i/>
          <w:szCs w:val="24"/>
          <w:lang w:val="fr-CA"/>
        </w:rPr>
        <w:t>Regulations</w:t>
      </w:r>
      <w:proofErr w:type="spellEnd"/>
      <w:r w:rsidRPr="00C7601B">
        <w:rPr>
          <w:rFonts w:cs="Times New Roman"/>
          <w:szCs w:val="24"/>
          <w:lang w:val="fr-CA"/>
        </w:rPr>
        <w:t>, R.R.S., ch.</w:t>
      </w:r>
      <w:r w:rsidR="00FC4A5B" w:rsidRPr="00C7601B">
        <w:rPr>
          <w:rFonts w:cs="Times New Roman"/>
          <w:szCs w:val="24"/>
          <w:lang w:val="fr-CA"/>
        </w:rPr>
        <w:t xml:space="preserve"> </w:t>
      </w:r>
      <w:r w:rsidRPr="00C7601B">
        <w:rPr>
          <w:rFonts w:cs="Times New Roman"/>
          <w:szCs w:val="24"/>
          <w:lang w:val="fr-CA"/>
        </w:rPr>
        <w:t>S</w:t>
      </w:r>
      <w:r w:rsidR="004A4BD5">
        <w:rPr>
          <w:rFonts w:cs="Times New Roman"/>
          <w:szCs w:val="24"/>
          <w:lang w:val="fr-CA"/>
        </w:rPr>
        <w:t>-</w:t>
      </w:r>
      <w:r w:rsidR="00917BD0" w:rsidRPr="00C7601B">
        <w:rPr>
          <w:rFonts w:cs="Times New Roman"/>
          <w:szCs w:val="24"/>
          <w:lang w:val="fr-CA"/>
        </w:rPr>
        <w:t xml:space="preserve">24.1, </w:t>
      </w:r>
      <w:proofErr w:type="spellStart"/>
      <w:r w:rsidR="00917BD0" w:rsidRPr="00C7601B">
        <w:rPr>
          <w:rFonts w:cs="Times New Roman"/>
          <w:szCs w:val="24"/>
          <w:lang w:val="fr-CA"/>
        </w:rPr>
        <w:t>r</w:t>
      </w:r>
      <w:r w:rsidRPr="00C7601B">
        <w:rPr>
          <w:rFonts w:cs="Times New Roman"/>
          <w:szCs w:val="24"/>
          <w:lang w:val="fr-CA"/>
        </w:rPr>
        <w:t>ègl</w:t>
      </w:r>
      <w:proofErr w:type="spellEnd"/>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1, par.</w:t>
      </w:r>
      <w:r w:rsidR="00FC4A5B" w:rsidRPr="00C7601B">
        <w:rPr>
          <w:rFonts w:cs="Times New Roman"/>
          <w:szCs w:val="24"/>
          <w:lang w:val="fr-CA"/>
        </w:rPr>
        <w:t xml:space="preserve"> </w:t>
      </w:r>
      <w:r w:rsidRPr="00C7601B">
        <w:rPr>
          <w:rFonts w:cs="Times New Roman"/>
          <w:szCs w:val="24"/>
          <w:lang w:val="fr-CA"/>
        </w:rPr>
        <w:t>21(1)).</w:t>
      </w:r>
      <w:r w:rsidR="00FC4A5B" w:rsidRPr="00C7601B">
        <w:rPr>
          <w:rFonts w:cs="Times New Roman"/>
          <w:szCs w:val="24"/>
          <w:lang w:val="fr-CA"/>
        </w:rPr>
        <w:t xml:space="preserve"> </w:t>
      </w:r>
      <w:r w:rsidRPr="00C7601B">
        <w:rPr>
          <w:rFonts w:cs="Times New Roman"/>
          <w:szCs w:val="24"/>
          <w:lang w:val="fr-CA"/>
        </w:rPr>
        <w:t>En Ontario, la partie en cause doit avoir une conduite «</w:t>
      </w:r>
      <w:r w:rsidR="00FC4A5B" w:rsidRPr="00C7601B">
        <w:rPr>
          <w:rFonts w:cs="Times New Roman"/>
          <w:szCs w:val="24"/>
          <w:lang w:val="fr-CA"/>
        </w:rPr>
        <w:t xml:space="preserve"> </w:t>
      </w:r>
      <w:r w:rsidRPr="00C7601B">
        <w:rPr>
          <w:rFonts w:cs="Times New Roman"/>
          <w:szCs w:val="24"/>
          <w:lang w:val="fr-CA"/>
        </w:rPr>
        <w:t>déraisonnable, frivole ou vexatoire</w:t>
      </w:r>
      <w:r w:rsidR="00FC4A5B" w:rsidRPr="00C7601B">
        <w:rPr>
          <w:rFonts w:cs="Times New Roman"/>
          <w:szCs w:val="24"/>
          <w:lang w:val="fr-CA"/>
        </w:rPr>
        <w:t xml:space="preserve"> </w:t>
      </w:r>
      <w:r w:rsidRPr="00C7601B">
        <w:rPr>
          <w:rFonts w:cs="Times New Roman"/>
          <w:szCs w:val="24"/>
          <w:lang w:val="fr-CA"/>
        </w:rPr>
        <w:t>» ou «</w:t>
      </w:r>
      <w:r w:rsidR="00FC4A5B" w:rsidRPr="00C7601B">
        <w:rPr>
          <w:rFonts w:cs="Times New Roman"/>
          <w:szCs w:val="24"/>
          <w:lang w:val="fr-CA"/>
        </w:rPr>
        <w:t xml:space="preserve"> </w:t>
      </w:r>
      <w:r w:rsidRPr="00C7601B">
        <w:rPr>
          <w:rFonts w:cs="Times New Roman"/>
          <w:szCs w:val="24"/>
          <w:lang w:val="fr-CA"/>
        </w:rPr>
        <w:t>agi[r] de mauvaise foi</w:t>
      </w:r>
      <w:r w:rsidR="00FC4A5B" w:rsidRPr="00C7601B">
        <w:rPr>
          <w:rFonts w:cs="Times New Roman"/>
          <w:szCs w:val="24"/>
          <w:lang w:val="fr-CA"/>
        </w:rPr>
        <w:t xml:space="preserve"> </w:t>
      </w:r>
      <w:r w:rsidRPr="00C7601B">
        <w:rPr>
          <w:rFonts w:cs="Times New Roman"/>
          <w:szCs w:val="24"/>
          <w:lang w:val="fr-CA"/>
        </w:rPr>
        <w:t>», et le Tribunal peut établir ses propres règles pour l’adjudication des dépens (</w:t>
      </w:r>
      <w:r w:rsidRPr="00C7601B">
        <w:rPr>
          <w:rFonts w:cs="Times New Roman"/>
          <w:i/>
          <w:szCs w:val="24"/>
          <w:lang w:val="fr-CA"/>
        </w:rPr>
        <w:t>Loi sur l’exercice des compétences légales</w:t>
      </w:r>
      <w:r w:rsidRPr="00C7601B">
        <w:rPr>
          <w:rFonts w:cs="Times New Roman"/>
          <w:szCs w:val="24"/>
          <w:lang w:val="fr-CA"/>
        </w:rPr>
        <w:t>, L.R.O. 1990, ch.</w:t>
      </w:r>
      <w:r w:rsidR="00FC4A5B" w:rsidRPr="00C7601B">
        <w:rPr>
          <w:rFonts w:cs="Times New Roman"/>
          <w:szCs w:val="24"/>
          <w:lang w:val="fr-CA"/>
        </w:rPr>
        <w:t xml:space="preserve"> </w:t>
      </w:r>
      <w:r w:rsidRPr="00C7601B">
        <w:rPr>
          <w:rFonts w:cs="Times New Roman"/>
          <w:szCs w:val="24"/>
          <w:lang w:val="fr-CA"/>
        </w:rPr>
        <w:t>S</w:t>
      </w:r>
      <w:r w:rsidR="00917BD0" w:rsidRPr="00C7601B">
        <w:rPr>
          <w:rFonts w:cs="Times New Roman"/>
          <w:szCs w:val="24"/>
          <w:lang w:val="fr-CA"/>
        </w:rPr>
        <w:t>.</w:t>
      </w:r>
      <w:r w:rsidRPr="00C7601B">
        <w:rPr>
          <w:rFonts w:cs="Times New Roman"/>
          <w:szCs w:val="24"/>
          <w:lang w:val="fr-CA"/>
        </w:rPr>
        <w:t xml:space="preserve">22, </w:t>
      </w:r>
      <w:r w:rsidR="00EF0949" w:rsidRPr="00C7601B">
        <w:rPr>
          <w:rFonts w:cs="Times New Roman"/>
          <w:szCs w:val="24"/>
          <w:lang w:val="fr-CA"/>
        </w:rPr>
        <w:t>par</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17.1(2)).</w:t>
      </w:r>
      <w:r w:rsidR="00FC4A5B" w:rsidRPr="00C7601B">
        <w:rPr>
          <w:rFonts w:cs="Times New Roman"/>
          <w:szCs w:val="24"/>
          <w:lang w:val="fr-CA"/>
        </w:rPr>
        <w:t xml:space="preserve"> </w:t>
      </w:r>
      <w:r w:rsidRPr="00C7601B">
        <w:rPr>
          <w:rFonts w:cs="Times New Roman"/>
          <w:szCs w:val="24"/>
          <w:lang w:val="fr-CA"/>
        </w:rPr>
        <w:t xml:space="preserve">Dans tous ces ressorts, le pouvoir d’adjudication des dépens </w:t>
      </w:r>
      <w:r w:rsidRPr="00C7601B">
        <w:rPr>
          <w:rFonts w:cs="Times New Roman"/>
          <w:i/>
          <w:szCs w:val="24"/>
          <w:lang w:val="fr-CA"/>
        </w:rPr>
        <w:t>s’ajoute</w:t>
      </w:r>
      <w:r w:rsidRPr="00A12A36">
        <w:rPr>
          <w:rFonts w:cs="Times New Roman"/>
          <w:i/>
          <w:szCs w:val="24"/>
          <w:lang w:val="fr-CA"/>
        </w:rPr>
        <w:t xml:space="preserve"> au</w:t>
      </w:r>
      <w:r w:rsidRPr="00C7601B">
        <w:rPr>
          <w:rFonts w:cs="Times New Roman"/>
          <w:szCs w:val="24"/>
          <w:lang w:val="fr-CA"/>
        </w:rPr>
        <w:t xml:space="preserve"> pouvoir général d’indemniser une partie des dépenses engagées.</w:t>
      </w:r>
      <w:r w:rsidR="00FC4A5B" w:rsidRPr="00C7601B">
        <w:rPr>
          <w:rFonts w:cs="Times New Roman"/>
          <w:szCs w:val="24"/>
          <w:lang w:val="fr-CA"/>
        </w:rPr>
        <w:t xml:space="preserve"> </w:t>
      </w:r>
      <w:r w:rsidRPr="00C7601B">
        <w:rPr>
          <w:rFonts w:cs="Times New Roman"/>
          <w:szCs w:val="24"/>
          <w:lang w:val="fr-CA"/>
        </w:rPr>
        <w:t>Le libellé des dispositions prévoyant le remboursement des dépenses est très semblable à celui du par.</w:t>
      </w:r>
      <w:r w:rsidR="00FC4A5B" w:rsidRPr="00C7601B">
        <w:rPr>
          <w:rFonts w:cs="Times New Roman"/>
          <w:szCs w:val="24"/>
          <w:lang w:val="fr-CA"/>
        </w:rPr>
        <w:t xml:space="preserve"> </w:t>
      </w:r>
      <w:r w:rsidRPr="00C7601B">
        <w:rPr>
          <w:rFonts w:cs="Times New Roman"/>
          <w:szCs w:val="24"/>
          <w:lang w:val="fr-CA"/>
        </w:rPr>
        <w:t xml:space="preserve">53(2) de la </w:t>
      </w:r>
      <w:r w:rsidRPr="00C7601B">
        <w:rPr>
          <w:rFonts w:cs="Times New Roman"/>
          <w:i/>
          <w:szCs w:val="24"/>
          <w:lang w:val="fr-CA"/>
        </w:rPr>
        <w:t>LCDP</w:t>
      </w:r>
      <w:r w:rsidRPr="00C7601B">
        <w:rPr>
          <w:rFonts w:cs="Times New Roman"/>
          <w:szCs w:val="24"/>
          <w:lang w:val="fr-CA"/>
        </w:rPr>
        <w:t>.</w:t>
      </w:r>
    </w:p>
    <w:p w:rsidR="00956B54" w:rsidRPr="00C7601B" w:rsidRDefault="00956B54" w:rsidP="00956B54">
      <w:pPr>
        <w:pStyle w:val="TitleTitre-AltT"/>
        <w:tabs>
          <w:tab w:val="clear" w:pos="360"/>
          <w:tab w:val="left" w:pos="1620"/>
        </w:tabs>
        <w:ind w:left="1170" w:hanging="1170"/>
        <w:rPr>
          <w:rFonts w:cs="Times New Roman"/>
          <w:szCs w:val="24"/>
          <w:lang w:val="fr-CA"/>
        </w:rPr>
      </w:pPr>
      <w:r w:rsidRPr="00C7601B">
        <w:rPr>
          <w:rFonts w:cs="Times New Roman"/>
          <w:szCs w:val="24"/>
          <w:lang w:val="fr-CA"/>
        </w:rPr>
        <w:tab/>
        <w:t>(3)</w:t>
      </w:r>
      <w:r w:rsidRPr="00C7601B">
        <w:rPr>
          <w:rFonts w:cs="Times New Roman"/>
          <w:szCs w:val="24"/>
          <w:lang w:val="fr-CA"/>
        </w:rPr>
        <w:tab/>
      </w:r>
      <w:r w:rsidRPr="00C7601B">
        <w:rPr>
          <w:rFonts w:cs="Times New Roman"/>
          <w:szCs w:val="24"/>
          <w:u w:val="single"/>
          <w:lang w:val="fr-CA"/>
        </w:rPr>
        <w:t>L’objet</w:t>
      </w:r>
    </w:p>
    <w:p w:rsidR="00956B54" w:rsidRPr="00C7601B" w:rsidRDefault="00956B54" w:rsidP="00956B54">
      <w:pPr>
        <w:pStyle w:val="ParaNoNdepar-AltN"/>
        <w:rPr>
          <w:rFonts w:cs="Times New Roman"/>
          <w:szCs w:val="24"/>
          <w:lang w:val="fr-CA"/>
        </w:rPr>
      </w:pPr>
      <w:r w:rsidRPr="00C7601B">
        <w:rPr>
          <w:rFonts w:cs="Times New Roman"/>
          <w:szCs w:val="24"/>
          <w:lang w:val="fr-CA"/>
        </w:rPr>
        <w:t>L’appelante demande à la Cour d’interpréter de manière large et téléologique les dispositions qui autorisent le Tribunal à indemniser de ses dépenses la victime de l’acte discriminatoire, pour garantir le caractère intégral de l’indemnisation.</w:t>
      </w:r>
      <w:r w:rsidR="00FC4A5B" w:rsidRPr="00C7601B">
        <w:rPr>
          <w:rFonts w:cs="Times New Roman"/>
          <w:szCs w:val="24"/>
          <w:lang w:val="fr-CA"/>
        </w:rPr>
        <w:t xml:space="preserve"> </w:t>
      </w:r>
      <w:r w:rsidRPr="00C7601B">
        <w:rPr>
          <w:rFonts w:cs="Times New Roman"/>
          <w:szCs w:val="24"/>
          <w:lang w:val="fr-CA"/>
        </w:rPr>
        <w:t>Cet argument reprend le deuxième motif invoqué par le Tribunal pour étayer sa conclusion qu’il peut adjuger des dépens.</w:t>
      </w:r>
    </w:p>
    <w:p w:rsidR="00956B54" w:rsidRPr="00C7601B" w:rsidRDefault="00956B54" w:rsidP="00956B54">
      <w:pPr>
        <w:pStyle w:val="ParaNoNdepar-AltN"/>
        <w:rPr>
          <w:rFonts w:cs="Times New Roman"/>
          <w:szCs w:val="24"/>
          <w:lang w:val="fr-CA"/>
        </w:rPr>
      </w:pPr>
      <w:r w:rsidRPr="00C7601B">
        <w:rPr>
          <w:rFonts w:cs="Times New Roman"/>
          <w:szCs w:val="24"/>
          <w:lang w:val="fr-CA"/>
        </w:rPr>
        <w:t xml:space="preserve">Certes, la </w:t>
      </w:r>
      <w:r w:rsidRPr="00C7601B">
        <w:rPr>
          <w:rFonts w:cs="Times New Roman"/>
          <w:i/>
          <w:szCs w:val="24"/>
          <w:lang w:val="fr-CA"/>
        </w:rPr>
        <w:t>LCDP</w:t>
      </w:r>
      <w:r w:rsidRPr="00C7601B">
        <w:rPr>
          <w:rFonts w:cs="Times New Roman"/>
          <w:szCs w:val="24"/>
          <w:lang w:val="fr-CA"/>
        </w:rPr>
        <w:t xml:space="preserve"> demeure considérée comme une loi quasi constitutionnelle qui appelle une interprétation large, libérale et téléologique en rapport avec cette nature particulière.</w:t>
      </w:r>
      <w:r w:rsidR="00FC4A5B" w:rsidRPr="00C7601B">
        <w:rPr>
          <w:rFonts w:cs="Times New Roman"/>
          <w:szCs w:val="24"/>
          <w:lang w:val="fr-CA"/>
        </w:rPr>
        <w:t xml:space="preserve"> </w:t>
      </w:r>
      <w:r w:rsidRPr="00C7601B">
        <w:rPr>
          <w:rFonts w:cs="Times New Roman"/>
          <w:szCs w:val="24"/>
          <w:lang w:val="fr-CA"/>
        </w:rPr>
        <w:t>Toutefois, on ne saurait substituer à l’analyse textuelle et contextuelle une interprétation libérale et téléologique dans le seul but de donner effet à une autre décision de principe que celle prise par le législateur (</w:t>
      </w:r>
      <w:r w:rsidR="00EF0949" w:rsidRPr="00C7601B">
        <w:rPr>
          <w:rFonts w:cs="Times New Roman"/>
          <w:i/>
          <w:szCs w:val="24"/>
          <w:lang w:val="fr-CA"/>
        </w:rPr>
        <w:t xml:space="preserve">Bell </w:t>
      </w:r>
      <w:r w:rsidR="00EF0949" w:rsidRPr="00C7601B">
        <w:rPr>
          <w:rFonts w:cs="Times New Roman"/>
          <w:i/>
          <w:szCs w:val="24"/>
          <w:lang w:val="fr-CA"/>
        </w:rPr>
        <w:lastRenderedPageBreak/>
        <w:t xml:space="preserve">Canada c. Bell </w:t>
      </w:r>
      <w:proofErr w:type="spellStart"/>
      <w:r w:rsidR="00EF0949" w:rsidRPr="00C7601B">
        <w:rPr>
          <w:rFonts w:cs="Times New Roman"/>
          <w:i/>
          <w:szCs w:val="24"/>
          <w:lang w:val="fr-CA"/>
        </w:rPr>
        <w:t>Aliant</w:t>
      </w:r>
      <w:proofErr w:type="spellEnd"/>
      <w:r w:rsidR="00EF0949" w:rsidRPr="00C7601B">
        <w:rPr>
          <w:rFonts w:cs="Times New Roman"/>
          <w:i/>
          <w:szCs w:val="24"/>
          <w:lang w:val="fr-CA"/>
        </w:rPr>
        <w:t xml:space="preserve"> C</w:t>
      </w:r>
      <w:r w:rsidRPr="00C7601B">
        <w:rPr>
          <w:rFonts w:cs="Times New Roman"/>
          <w:i/>
          <w:szCs w:val="24"/>
          <w:lang w:val="fr-CA"/>
        </w:rPr>
        <w:t>ommunications régionales</w:t>
      </w:r>
      <w:r w:rsidRPr="00C7601B">
        <w:rPr>
          <w:rFonts w:cs="Times New Roman"/>
          <w:szCs w:val="24"/>
          <w:lang w:val="fr-CA"/>
        </w:rPr>
        <w:t>,</w:t>
      </w:r>
      <w:r w:rsidRPr="00C7601B">
        <w:rPr>
          <w:rFonts w:cs="Times New Roman"/>
          <w:i/>
          <w:szCs w:val="24"/>
          <w:lang w:val="fr-CA"/>
        </w:rPr>
        <w:t xml:space="preserve"> </w:t>
      </w:r>
      <w:r w:rsidRPr="00C7601B">
        <w:rPr>
          <w:rFonts w:cs="Times New Roman"/>
          <w:szCs w:val="24"/>
          <w:lang w:val="fr-CA"/>
        </w:rPr>
        <w:t>2009 CSC 40, [2009] 2 R.C.S. 764, par.</w:t>
      </w:r>
      <w:r w:rsidR="00FC4A5B" w:rsidRPr="00C7601B">
        <w:rPr>
          <w:rFonts w:cs="Times New Roman"/>
          <w:szCs w:val="24"/>
          <w:lang w:val="fr-CA"/>
        </w:rPr>
        <w:t xml:space="preserve"> </w:t>
      </w:r>
      <w:r w:rsidRPr="00C7601B">
        <w:rPr>
          <w:rFonts w:cs="Times New Roman"/>
          <w:szCs w:val="24"/>
          <w:lang w:val="fr-CA"/>
        </w:rPr>
        <w:t>49</w:t>
      </w:r>
      <w:r w:rsidR="00C7601B" w:rsidRPr="00C7601B">
        <w:rPr>
          <w:rFonts w:cs="Times New Roman"/>
          <w:szCs w:val="24"/>
          <w:lang w:val="fr-CA"/>
        </w:rPr>
        <w:t>-</w:t>
      </w:r>
      <w:r w:rsidRPr="00C7601B">
        <w:rPr>
          <w:rFonts w:cs="Times New Roman"/>
          <w:szCs w:val="24"/>
          <w:lang w:val="fr-CA"/>
        </w:rPr>
        <w:t xml:space="preserve">50, la juge Abella; </w:t>
      </w:r>
      <w:r w:rsidRPr="00C7601B">
        <w:rPr>
          <w:rFonts w:cs="Times New Roman"/>
          <w:i/>
          <w:szCs w:val="24"/>
          <w:lang w:val="fr-CA"/>
        </w:rPr>
        <w:t>Gould</w:t>
      </w:r>
      <w:r w:rsidRPr="00C7601B">
        <w:rPr>
          <w:rFonts w:cs="Times New Roman"/>
          <w:szCs w:val="24"/>
          <w:lang w:val="fr-CA"/>
        </w:rPr>
        <w:t>, par.</w:t>
      </w:r>
      <w:r w:rsidR="00FC4A5B" w:rsidRPr="00C7601B">
        <w:rPr>
          <w:rFonts w:cs="Times New Roman"/>
          <w:szCs w:val="24"/>
          <w:lang w:val="fr-CA"/>
        </w:rPr>
        <w:t xml:space="preserve"> </w:t>
      </w:r>
      <w:r w:rsidRPr="00C7601B">
        <w:rPr>
          <w:rFonts w:cs="Times New Roman"/>
          <w:szCs w:val="24"/>
          <w:lang w:val="fr-CA"/>
        </w:rPr>
        <w:t>50, le juge La</w:t>
      </w:r>
      <w:r w:rsidR="00FC4A5B" w:rsidRPr="00C7601B">
        <w:rPr>
          <w:rFonts w:cs="Times New Roman"/>
          <w:szCs w:val="24"/>
          <w:lang w:val="fr-CA"/>
        </w:rPr>
        <w:t xml:space="preserve"> </w:t>
      </w:r>
      <w:r w:rsidRPr="00C7601B">
        <w:rPr>
          <w:rFonts w:cs="Times New Roman"/>
          <w:szCs w:val="24"/>
          <w:lang w:val="fr-CA"/>
        </w:rPr>
        <w:t xml:space="preserve">Forest, motifs concordants). </w:t>
      </w:r>
    </w:p>
    <w:p w:rsidR="00956B54" w:rsidRPr="00C7601B" w:rsidRDefault="00956B54" w:rsidP="00956B54">
      <w:pPr>
        <w:pStyle w:val="ParaNoNdepar-AltN"/>
        <w:rPr>
          <w:rFonts w:cs="Times New Roman"/>
          <w:szCs w:val="24"/>
          <w:lang w:val="fr-CA"/>
        </w:rPr>
      </w:pPr>
      <w:r w:rsidRPr="00C7601B">
        <w:rPr>
          <w:rFonts w:cs="Times New Roman"/>
          <w:szCs w:val="24"/>
          <w:lang w:val="fr-CA"/>
        </w:rPr>
        <w:t>Le présent litige paraît découler de la décision de la Commission, datant de 2003, de restreindre le nombre de cas dans lesqu</w:t>
      </w:r>
      <w:r w:rsidR="001B577E" w:rsidRPr="00C7601B">
        <w:rPr>
          <w:rFonts w:cs="Times New Roman"/>
          <w:szCs w:val="24"/>
          <w:lang w:val="fr-CA"/>
        </w:rPr>
        <w:t>els elle épaule le plaignant (</w:t>
      </w:r>
      <w:proofErr w:type="gramStart"/>
      <w:r w:rsidR="001B577E" w:rsidRPr="00C7601B">
        <w:rPr>
          <w:rFonts w:cs="Times New Roman"/>
          <w:szCs w:val="24"/>
          <w:lang w:val="fr-CA"/>
        </w:rPr>
        <w:t>m.i.</w:t>
      </w:r>
      <w:r w:rsidRPr="00C7601B">
        <w:rPr>
          <w:rFonts w:cs="Times New Roman"/>
          <w:szCs w:val="24"/>
          <w:lang w:val="fr-CA"/>
        </w:rPr>
        <w:t>,</w:t>
      </w:r>
      <w:proofErr w:type="gramEnd"/>
      <w:r w:rsidRPr="00C7601B">
        <w:rPr>
          <w:rFonts w:cs="Times New Roman"/>
          <w:szCs w:val="24"/>
          <w:lang w:val="fr-CA"/>
        </w:rPr>
        <w:t xml:space="preserve"> par.</w:t>
      </w:r>
      <w:r w:rsidR="00FC4A5B" w:rsidRPr="00C7601B">
        <w:rPr>
          <w:rFonts w:cs="Times New Roman"/>
          <w:szCs w:val="24"/>
          <w:lang w:val="fr-CA"/>
        </w:rPr>
        <w:t xml:space="preserve"> </w:t>
      </w:r>
      <w:r w:rsidRPr="00C7601B">
        <w:rPr>
          <w:rFonts w:cs="Times New Roman"/>
          <w:szCs w:val="24"/>
          <w:lang w:val="fr-CA"/>
        </w:rPr>
        <w:t>47</w:t>
      </w:r>
      <w:r w:rsidR="00C7601B" w:rsidRPr="00C7601B">
        <w:rPr>
          <w:rFonts w:cs="Times New Roman"/>
          <w:szCs w:val="24"/>
          <w:lang w:val="fr-CA"/>
        </w:rPr>
        <w:t>-</w:t>
      </w:r>
      <w:r w:rsidRPr="00C7601B">
        <w:rPr>
          <w:rFonts w:cs="Times New Roman"/>
          <w:szCs w:val="24"/>
          <w:lang w:val="fr-CA"/>
        </w:rPr>
        <w:t>48).</w:t>
      </w:r>
      <w:r w:rsidR="00FC4A5B" w:rsidRPr="00C7601B">
        <w:rPr>
          <w:rFonts w:cs="Times New Roman"/>
          <w:szCs w:val="24"/>
          <w:lang w:val="fr-CA"/>
        </w:rPr>
        <w:t xml:space="preserve"> </w:t>
      </w:r>
      <w:r w:rsidRPr="00C7601B">
        <w:rPr>
          <w:rFonts w:cs="Times New Roman"/>
          <w:szCs w:val="24"/>
          <w:lang w:val="fr-CA"/>
        </w:rPr>
        <w:t>Ce changement d’orientation a pu donner suite au rapport du Comité de révision de la Loi canadienne sur les droits de la personne présidé par l’honorable Gérard La</w:t>
      </w:r>
      <w:r w:rsidR="00FC4A5B" w:rsidRPr="00C7601B">
        <w:rPr>
          <w:rFonts w:cs="Times New Roman"/>
          <w:szCs w:val="24"/>
          <w:lang w:val="fr-CA"/>
        </w:rPr>
        <w:t xml:space="preserve"> </w:t>
      </w:r>
      <w:r w:rsidRPr="00C7601B">
        <w:rPr>
          <w:rFonts w:cs="Times New Roman"/>
          <w:szCs w:val="24"/>
          <w:lang w:val="fr-CA"/>
        </w:rPr>
        <w:t>Forest.</w:t>
      </w:r>
      <w:r w:rsidR="00FC4A5B" w:rsidRPr="00C7601B">
        <w:rPr>
          <w:rFonts w:cs="Times New Roman"/>
          <w:szCs w:val="24"/>
          <w:lang w:val="fr-CA"/>
        </w:rPr>
        <w:t xml:space="preserve"> </w:t>
      </w:r>
      <w:r w:rsidRPr="00C7601B">
        <w:rPr>
          <w:rFonts w:cs="Times New Roman"/>
          <w:szCs w:val="24"/>
          <w:lang w:val="fr-CA"/>
        </w:rPr>
        <w:t>En effet, ce rapport recommandait que la Commission ne comparaisse que dans les dossiers soulevant des questions sérieuses de discrimination systémique ou des points de droit nouveaux (</w:t>
      </w:r>
      <w:r w:rsidRPr="00C7601B">
        <w:rPr>
          <w:rFonts w:cs="Times New Roman"/>
          <w:i/>
          <w:szCs w:val="24"/>
          <w:lang w:val="fr-CA"/>
        </w:rPr>
        <w:t>La promotion de l’égalité</w:t>
      </w:r>
      <w:r w:rsidR="00FC4A5B" w:rsidRPr="00C7601B">
        <w:rPr>
          <w:rFonts w:cs="Times New Roman"/>
          <w:i/>
          <w:szCs w:val="24"/>
          <w:lang w:val="fr-CA"/>
        </w:rPr>
        <w:t xml:space="preserve"> </w:t>
      </w:r>
      <w:r w:rsidRPr="00C7601B">
        <w:rPr>
          <w:rFonts w:cs="Times New Roman"/>
          <w:i/>
          <w:szCs w:val="24"/>
          <w:lang w:val="fr-CA"/>
        </w:rPr>
        <w:t xml:space="preserve">: </w:t>
      </w:r>
      <w:r w:rsidR="00A12A36">
        <w:rPr>
          <w:rFonts w:cs="Times New Roman"/>
          <w:i/>
          <w:szCs w:val="24"/>
          <w:lang w:val="fr-CA"/>
        </w:rPr>
        <w:t>U</w:t>
      </w:r>
      <w:r w:rsidRPr="00C7601B">
        <w:rPr>
          <w:rFonts w:cs="Times New Roman"/>
          <w:i/>
          <w:szCs w:val="24"/>
          <w:lang w:val="fr-CA"/>
        </w:rPr>
        <w:t xml:space="preserve">ne nouvelle vision </w:t>
      </w:r>
      <w:r w:rsidRPr="00C7601B">
        <w:rPr>
          <w:rFonts w:cs="Times New Roman"/>
          <w:szCs w:val="24"/>
          <w:lang w:val="fr-CA"/>
        </w:rPr>
        <w:t>(2000)).</w:t>
      </w:r>
      <w:r w:rsidR="00FC4A5B" w:rsidRPr="00C7601B">
        <w:rPr>
          <w:rFonts w:cs="Times New Roman"/>
          <w:szCs w:val="24"/>
          <w:lang w:val="fr-CA"/>
        </w:rPr>
        <w:t xml:space="preserve"> </w:t>
      </w:r>
      <w:r w:rsidRPr="00C7601B">
        <w:rPr>
          <w:rFonts w:cs="Times New Roman"/>
          <w:szCs w:val="24"/>
          <w:lang w:val="fr-CA"/>
        </w:rPr>
        <w:t xml:space="preserve">Il reconnaissait en outre que la </w:t>
      </w:r>
      <w:r w:rsidRPr="00C7601B">
        <w:rPr>
          <w:rFonts w:cs="Times New Roman"/>
          <w:i/>
          <w:szCs w:val="24"/>
          <w:lang w:val="fr-CA"/>
        </w:rPr>
        <w:t>LCDP</w:t>
      </w:r>
      <w:r w:rsidRPr="00C7601B">
        <w:rPr>
          <w:rFonts w:cs="Times New Roman"/>
          <w:szCs w:val="24"/>
          <w:lang w:val="fr-CA"/>
        </w:rPr>
        <w:t xml:space="preserve"> n’accordait pas le pouvoir d’adjuger des dépens et il recommandait la création d’une clinique juridique appelée à offrir son aide aux éventuels plaignants</w:t>
      </w:r>
      <w:r w:rsidR="00EF0949" w:rsidRPr="00C7601B">
        <w:rPr>
          <w:rFonts w:cs="Times New Roman"/>
          <w:szCs w:val="24"/>
          <w:lang w:val="fr-CA"/>
        </w:rPr>
        <w:t xml:space="preserve"> (p.</w:t>
      </w:r>
      <w:r w:rsidR="00FC4A5B" w:rsidRPr="00C7601B">
        <w:rPr>
          <w:rFonts w:cs="Times New Roman"/>
          <w:szCs w:val="24"/>
          <w:lang w:val="fr-CA"/>
        </w:rPr>
        <w:t xml:space="preserve"> </w:t>
      </w:r>
      <w:r w:rsidR="00EF0949" w:rsidRPr="00C7601B">
        <w:rPr>
          <w:rFonts w:cs="Times New Roman"/>
          <w:szCs w:val="24"/>
          <w:lang w:val="fr-CA"/>
        </w:rPr>
        <w:t>77</w:t>
      </w:r>
      <w:r w:rsidR="00C7601B" w:rsidRPr="00C7601B">
        <w:rPr>
          <w:rFonts w:cs="Times New Roman"/>
          <w:szCs w:val="24"/>
          <w:lang w:val="fr-CA"/>
        </w:rPr>
        <w:t>-</w:t>
      </w:r>
      <w:r w:rsidR="00A12A36">
        <w:rPr>
          <w:rFonts w:cs="Times New Roman"/>
          <w:szCs w:val="24"/>
          <w:lang w:val="fr-CA"/>
        </w:rPr>
        <w:t>79 et</w:t>
      </w:r>
      <w:r w:rsidR="00EF0949" w:rsidRPr="00C7601B">
        <w:rPr>
          <w:rFonts w:cs="Times New Roman"/>
          <w:szCs w:val="24"/>
          <w:lang w:val="fr-CA"/>
        </w:rPr>
        <w:t xml:space="preserve"> 81</w:t>
      </w:r>
      <w:r w:rsidR="00C7601B" w:rsidRPr="00C7601B">
        <w:rPr>
          <w:rFonts w:cs="Times New Roman"/>
          <w:szCs w:val="24"/>
          <w:lang w:val="fr-CA"/>
        </w:rPr>
        <w:t>-</w:t>
      </w:r>
      <w:r w:rsidR="00EF0949" w:rsidRPr="00C7601B">
        <w:rPr>
          <w:rFonts w:cs="Times New Roman"/>
          <w:szCs w:val="24"/>
          <w:lang w:val="fr-CA"/>
        </w:rPr>
        <w:t>85)</w:t>
      </w:r>
      <w:r w:rsidRPr="00C7601B">
        <w:rPr>
          <w:rFonts w:cs="Times New Roman"/>
          <w:szCs w:val="24"/>
          <w:lang w:val="fr-CA"/>
        </w:rPr>
        <w:t>.</w:t>
      </w:r>
      <w:r w:rsidR="00FC4A5B" w:rsidRPr="00C7601B">
        <w:rPr>
          <w:rFonts w:cs="Times New Roman"/>
          <w:szCs w:val="24"/>
          <w:lang w:val="fr-CA"/>
        </w:rPr>
        <w:t xml:space="preserve"> </w:t>
      </w:r>
      <w:r w:rsidRPr="00C7601B">
        <w:rPr>
          <w:rFonts w:cs="Times New Roman"/>
          <w:szCs w:val="24"/>
          <w:lang w:val="fr-CA"/>
        </w:rPr>
        <w:t>Contrairement à la première recommandation, cette dernière n’a pas été suivie, de sorte que le rôle de la Commission dans la présentation des plaintes au Tribunal s’est restreint bien qu’aucune autre mesure n’ait été prise pour aider les plaignants.</w:t>
      </w:r>
      <w:r w:rsidR="00FC4A5B" w:rsidRPr="00C7601B">
        <w:rPr>
          <w:rFonts w:cs="Times New Roman"/>
          <w:szCs w:val="24"/>
          <w:lang w:val="fr-CA"/>
        </w:rPr>
        <w:t xml:space="preserve"> </w:t>
      </w:r>
      <w:r w:rsidRPr="00C7601B">
        <w:rPr>
          <w:rFonts w:cs="Times New Roman"/>
          <w:szCs w:val="24"/>
          <w:lang w:val="fr-CA"/>
        </w:rPr>
        <w:t>Il est toutefois révélateur que ces changements soient intervenus sans modification de la loi au sujet du pouvoir d’adjuger des dépens.</w:t>
      </w:r>
    </w:p>
    <w:p w:rsidR="00956B54" w:rsidRPr="00C7601B" w:rsidRDefault="00956B54" w:rsidP="00956B54">
      <w:pPr>
        <w:pStyle w:val="ParaNoNdepar-AltN"/>
        <w:rPr>
          <w:rFonts w:cs="Times New Roman"/>
          <w:szCs w:val="24"/>
          <w:lang w:val="fr-CA"/>
        </w:rPr>
      </w:pPr>
      <w:r w:rsidRPr="00C7601B">
        <w:rPr>
          <w:rFonts w:cs="Times New Roman"/>
          <w:szCs w:val="24"/>
          <w:lang w:val="fr-CA"/>
        </w:rPr>
        <w:t>À notre avis, il appert nettement du texte de la loi, de son contexte et de son objet que le Tribunal ne possède pas le pouvoir d’adjuger des dépens, et les dispositions applicables ne se prêtent à aucune autre interprétation raisonnable.</w:t>
      </w:r>
      <w:r w:rsidR="00FC4A5B" w:rsidRPr="00C7601B">
        <w:rPr>
          <w:rFonts w:cs="Times New Roman"/>
          <w:szCs w:val="24"/>
          <w:lang w:val="fr-CA"/>
        </w:rPr>
        <w:t xml:space="preserve"> </w:t>
      </w:r>
      <w:r w:rsidRPr="00C7601B">
        <w:rPr>
          <w:rFonts w:cs="Times New Roman"/>
          <w:szCs w:val="24"/>
          <w:lang w:val="fr-CA"/>
        </w:rPr>
        <w:t xml:space="preserve">Aux prises avec une question difficile d’interprétation législative et une jurisprudence </w:t>
      </w:r>
      <w:r w:rsidRPr="00C7601B">
        <w:rPr>
          <w:rFonts w:cs="Times New Roman"/>
          <w:szCs w:val="24"/>
          <w:lang w:val="fr-CA"/>
        </w:rPr>
        <w:lastRenderedPageBreak/>
        <w:t>contradictoire, le Tribunal a retenu la définition de «</w:t>
      </w:r>
      <w:r w:rsidR="00FC4A5B" w:rsidRPr="00C7601B">
        <w:rPr>
          <w:rFonts w:cs="Times New Roman"/>
          <w:szCs w:val="24"/>
          <w:lang w:val="fr-CA"/>
        </w:rPr>
        <w:t xml:space="preserve"> </w:t>
      </w:r>
      <w:r w:rsidRPr="00C7601B">
        <w:rPr>
          <w:rFonts w:cs="Times New Roman"/>
          <w:szCs w:val="24"/>
          <w:lang w:val="fr-CA"/>
        </w:rPr>
        <w:t>dépense</w:t>
      </w:r>
      <w:r w:rsidR="00FC4A5B" w:rsidRPr="00C7601B">
        <w:rPr>
          <w:rFonts w:cs="Times New Roman"/>
          <w:szCs w:val="24"/>
          <w:lang w:val="fr-CA"/>
        </w:rPr>
        <w:t xml:space="preserve"> </w:t>
      </w:r>
      <w:r w:rsidRPr="00C7601B">
        <w:rPr>
          <w:rFonts w:cs="Times New Roman"/>
          <w:szCs w:val="24"/>
          <w:lang w:val="fr-CA"/>
        </w:rPr>
        <w:t>» figurant au dictionnaire et il a formulé ce qu’il tenait pour une solution bénéfique sur le plan des principes au lieu d’entreprendre une démarche d’interprétation fondée sur le texte, le contexte et l’objet des dispositions en cause.</w:t>
      </w:r>
      <w:r w:rsidR="00FC4A5B" w:rsidRPr="00C7601B">
        <w:rPr>
          <w:rFonts w:cs="Times New Roman"/>
          <w:szCs w:val="24"/>
          <w:lang w:val="fr-CA"/>
        </w:rPr>
        <w:t xml:space="preserve"> </w:t>
      </w:r>
      <w:r w:rsidRPr="00C7601B">
        <w:rPr>
          <w:rFonts w:cs="Times New Roman"/>
          <w:szCs w:val="24"/>
          <w:lang w:val="fr-CA"/>
        </w:rPr>
        <w:t>Avec respect pour l’opinion contraire, cette démarche a amené le Tribunal à opter pour une interprétation déraisonnable des dispositions.</w:t>
      </w:r>
      <w:r w:rsidR="00FC4A5B" w:rsidRPr="00C7601B">
        <w:rPr>
          <w:rFonts w:cs="Times New Roman"/>
          <w:szCs w:val="24"/>
          <w:lang w:val="fr-CA"/>
        </w:rPr>
        <w:t xml:space="preserve"> </w:t>
      </w:r>
      <w:r w:rsidRPr="00C7601B">
        <w:rPr>
          <w:rFonts w:cs="Times New Roman"/>
          <w:szCs w:val="24"/>
          <w:lang w:val="fr-CA"/>
        </w:rPr>
        <w:t>La Cour d’appel était justifiée de contrôler puis d’annuler l’ordonnance du Tribunal.</w:t>
      </w:r>
    </w:p>
    <w:p w:rsidR="00956B54" w:rsidRPr="00C7601B" w:rsidRDefault="00956B54" w:rsidP="00956B54">
      <w:pPr>
        <w:pStyle w:val="TitleTitre-AltT"/>
        <w:tabs>
          <w:tab w:val="clear" w:pos="360"/>
        </w:tabs>
        <w:ind w:left="540" w:hanging="540"/>
        <w:rPr>
          <w:rFonts w:cs="Times New Roman"/>
          <w:szCs w:val="24"/>
          <w:lang w:val="fr-CA"/>
        </w:rPr>
      </w:pPr>
      <w:r w:rsidRPr="00C7601B">
        <w:rPr>
          <w:rFonts w:cs="Times New Roman"/>
          <w:szCs w:val="24"/>
          <w:lang w:val="fr-CA"/>
        </w:rPr>
        <w:t>V.</w:t>
      </w:r>
      <w:r w:rsidRPr="00C7601B">
        <w:rPr>
          <w:rFonts w:cs="Times New Roman"/>
          <w:szCs w:val="24"/>
          <w:lang w:val="fr-CA"/>
        </w:rPr>
        <w:tab/>
      </w:r>
      <w:r w:rsidRPr="00C7601B">
        <w:rPr>
          <w:rFonts w:cs="Times New Roman"/>
          <w:szCs w:val="24"/>
          <w:u w:val="single"/>
          <w:lang w:val="fr-CA"/>
        </w:rPr>
        <w:t>Dispositif</w:t>
      </w:r>
    </w:p>
    <w:p w:rsidR="00956B54" w:rsidRPr="00C7601B" w:rsidRDefault="00956B54" w:rsidP="00956B54">
      <w:pPr>
        <w:pStyle w:val="ParaNoNdepar-AltN"/>
        <w:rPr>
          <w:rFonts w:cs="Times New Roman"/>
          <w:szCs w:val="24"/>
          <w:lang w:val="fr-CA"/>
        </w:rPr>
      </w:pPr>
      <w:r w:rsidRPr="00C7601B">
        <w:rPr>
          <w:rFonts w:cs="Times New Roman"/>
          <w:szCs w:val="24"/>
          <w:lang w:val="fr-CA"/>
        </w:rPr>
        <w:t>Nous sommes d’avis de rejeter le pourvoi sans dépens.</w:t>
      </w:r>
    </w:p>
    <w:p w:rsidR="0033393C" w:rsidRPr="00C7601B" w:rsidRDefault="00231105" w:rsidP="004030F1">
      <w:pPr>
        <w:pStyle w:val="SCCNormalDoubleSpacing"/>
        <w:spacing w:after="480"/>
        <w:rPr>
          <w:szCs w:val="24"/>
        </w:rPr>
      </w:pPr>
      <w:r w:rsidRPr="00C7601B">
        <w:rPr>
          <w:szCs w:val="24"/>
        </w:rPr>
        <w:tab/>
      </w:r>
      <w:r w:rsidRPr="00C7601B">
        <w:rPr>
          <w:i/>
          <w:szCs w:val="24"/>
        </w:rPr>
        <w:t xml:space="preserve">Pourvoi </w:t>
      </w:r>
      <w:r w:rsidR="003D1702" w:rsidRPr="00C7601B">
        <w:rPr>
          <w:i/>
          <w:szCs w:val="24"/>
        </w:rPr>
        <w:t>rejeté</w:t>
      </w:r>
      <w:r w:rsidRPr="00C7601B">
        <w:rPr>
          <w:i/>
          <w:szCs w:val="24"/>
        </w:rPr>
        <w:t>.</w:t>
      </w:r>
    </w:p>
    <w:p w:rsidR="00231105" w:rsidRPr="00C7601B" w:rsidRDefault="00231105" w:rsidP="004030F1">
      <w:pPr>
        <w:pStyle w:val="SCCLawFirm"/>
        <w:spacing w:after="480"/>
        <w:rPr>
          <w:szCs w:val="24"/>
        </w:rPr>
      </w:pPr>
      <w:r w:rsidRPr="00C7601B">
        <w:rPr>
          <w:szCs w:val="24"/>
        </w:rPr>
        <w:tab/>
        <w:t>Procureur de l’appelante la Commission canadienne des droits de la personne</w:t>
      </w:r>
      <w:r w:rsidR="00FC4A5B" w:rsidRPr="00C7601B">
        <w:rPr>
          <w:szCs w:val="24"/>
        </w:rPr>
        <w:t xml:space="preserve"> </w:t>
      </w:r>
      <w:r w:rsidR="00FB353F" w:rsidRPr="00C7601B">
        <w:rPr>
          <w:szCs w:val="24"/>
        </w:rPr>
        <w:t>:</w:t>
      </w:r>
      <w:r w:rsidRPr="00C7601B">
        <w:rPr>
          <w:szCs w:val="24"/>
        </w:rPr>
        <w:t xml:space="preserve"> Commission canadienne des droits de la personne, Ottawa.</w:t>
      </w:r>
    </w:p>
    <w:p w:rsidR="00231105" w:rsidRPr="00C7601B" w:rsidRDefault="00231105" w:rsidP="004030F1">
      <w:pPr>
        <w:pStyle w:val="SCCLawFirm"/>
        <w:spacing w:after="480"/>
        <w:rPr>
          <w:szCs w:val="24"/>
        </w:rPr>
      </w:pPr>
      <w:r w:rsidRPr="00C7601B">
        <w:rPr>
          <w:szCs w:val="24"/>
        </w:rPr>
        <w:tab/>
        <w:t xml:space="preserve">Procureurs de l’appelante Donna </w:t>
      </w:r>
      <w:proofErr w:type="spellStart"/>
      <w:r w:rsidRPr="00C7601B">
        <w:rPr>
          <w:szCs w:val="24"/>
        </w:rPr>
        <w:t>Mowat</w:t>
      </w:r>
      <w:proofErr w:type="spellEnd"/>
      <w:r w:rsidR="00FC4A5B" w:rsidRPr="00C7601B">
        <w:rPr>
          <w:szCs w:val="24"/>
        </w:rPr>
        <w:t xml:space="preserve"> </w:t>
      </w:r>
      <w:r w:rsidR="00FB353F" w:rsidRPr="00C7601B">
        <w:rPr>
          <w:szCs w:val="24"/>
        </w:rPr>
        <w:t>:</w:t>
      </w:r>
      <w:r w:rsidRPr="00C7601B">
        <w:rPr>
          <w:szCs w:val="24"/>
        </w:rPr>
        <w:t xml:space="preserve"> </w:t>
      </w:r>
      <w:proofErr w:type="spellStart"/>
      <w:r w:rsidRPr="00C7601B">
        <w:rPr>
          <w:szCs w:val="24"/>
        </w:rPr>
        <w:t>Raven</w:t>
      </w:r>
      <w:proofErr w:type="spellEnd"/>
      <w:r w:rsidRPr="00C7601B">
        <w:rPr>
          <w:szCs w:val="24"/>
        </w:rPr>
        <w:t xml:space="preserve">, Cameron, </w:t>
      </w:r>
      <w:proofErr w:type="spellStart"/>
      <w:r w:rsidRPr="00C7601B">
        <w:rPr>
          <w:szCs w:val="24"/>
        </w:rPr>
        <w:t>Ballantyne</w:t>
      </w:r>
      <w:proofErr w:type="spellEnd"/>
      <w:r w:rsidRPr="00C7601B">
        <w:rPr>
          <w:szCs w:val="24"/>
        </w:rPr>
        <w:t xml:space="preserve"> &amp; </w:t>
      </w:r>
      <w:proofErr w:type="spellStart"/>
      <w:r w:rsidRPr="00C7601B">
        <w:rPr>
          <w:szCs w:val="24"/>
        </w:rPr>
        <w:t>Yazbeck</w:t>
      </w:r>
      <w:proofErr w:type="spellEnd"/>
      <w:r w:rsidRPr="00C7601B">
        <w:rPr>
          <w:szCs w:val="24"/>
        </w:rPr>
        <w:t>, Ottawa.</w:t>
      </w:r>
    </w:p>
    <w:p w:rsidR="00231105" w:rsidRPr="00C7601B" w:rsidRDefault="00231105" w:rsidP="004030F1">
      <w:pPr>
        <w:pStyle w:val="SCCLawFirm"/>
        <w:spacing w:after="480"/>
        <w:rPr>
          <w:szCs w:val="24"/>
        </w:rPr>
      </w:pPr>
      <w:r w:rsidRPr="00C7601B">
        <w:rPr>
          <w:szCs w:val="24"/>
        </w:rPr>
        <w:tab/>
        <w:t>Procureur de l’intimé</w:t>
      </w:r>
      <w:r w:rsidR="00FC4A5B" w:rsidRPr="00C7601B">
        <w:rPr>
          <w:szCs w:val="24"/>
        </w:rPr>
        <w:t xml:space="preserve"> </w:t>
      </w:r>
      <w:r w:rsidR="00FB353F" w:rsidRPr="00C7601B">
        <w:rPr>
          <w:szCs w:val="24"/>
        </w:rPr>
        <w:t>:</w:t>
      </w:r>
      <w:r w:rsidRPr="00C7601B">
        <w:rPr>
          <w:szCs w:val="24"/>
        </w:rPr>
        <w:t xml:space="preserve"> Procureur général du Canada, Toronto.</w:t>
      </w:r>
    </w:p>
    <w:p w:rsidR="00231105" w:rsidRPr="00C7601B" w:rsidRDefault="00231105" w:rsidP="004030F1">
      <w:pPr>
        <w:pStyle w:val="SCCLawFirm"/>
        <w:spacing w:after="480"/>
        <w:rPr>
          <w:szCs w:val="24"/>
        </w:rPr>
      </w:pPr>
      <w:r w:rsidRPr="00C7601B">
        <w:rPr>
          <w:szCs w:val="24"/>
        </w:rPr>
        <w:tab/>
        <w:t>Procureurs de l’intervenante l’Association du Barreau canadien</w:t>
      </w:r>
      <w:r w:rsidR="00FC4A5B" w:rsidRPr="00C7601B">
        <w:rPr>
          <w:szCs w:val="24"/>
        </w:rPr>
        <w:t xml:space="preserve"> </w:t>
      </w:r>
      <w:r w:rsidR="00FB353F" w:rsidRPr="00C7601B">
        <w:rPr>
          <w:szCs w:val="24"/>
        </w:rPr>
        <w:t>:</w:t>
      </w:r>
      <w:r w:rsidRPr="00C7601B">
        <w:rPr>
          <w:szCs w:val="24"/>
        </w:rPr>
        <w:t xml:space="preserve"> Camp </w:t>
      </w:r>
      <w:proofErr w:type="spellStart"/>
      <w:r w:rsidRPr="00C7601B">
        <w:rPr>
          <w:szCs w:val="24"/>
        </w:rPr>
        <w:t>Fiorante</w:t>
      </w:r>
      <w:proofErr w:type="spellEnd"/>
      <w:r w:rsidRPr="00C7601B">
        <w:rPr>
          <w:szCs w:val="24"/>
        </w:rPr>
        <w:t xml:space="preserve"> Matthews, Vancouver.</w:t>
      </w:r>
    </w:p>
    <w:p w:rsidR="0043088E" w:rsidRPr="00C7601B" w:rsidRDefault="00231105" w:rsidP="00956B54">
      <w:pPr>
        <w:pStyle w:val="SCCLawFirm"/>
        <w:spacing w:after="480"/>
        <w:rPr>
          <w:szCs w:val="24"/>
        </w:rPr>
      </w:pPr>
      <w:r w:rsidRPr="00C7601B">
        <w:rPr>
          <w:szCs w:val="24"/>
        </w:rPr>
        <w:lastRenderedPageBreak/>
        <w:tab/>
        <w:t>Procureurs de l’intervenant le Conseil des Canadiens avec déficiences</w:t>
      </w:r>
      <w:r w:rsidR="00FC4A5B" w:rsidRPr="00C7601B">
        <w:rPr>
          <w:szCs w:val="24"/>
        </w:rPr>
        <w:t xml:space="preserve"> </w:t>
      </w:r>
      <w:r w:rsidR="00FB353F" w:rsidRPr="00C7601B">
        <w:rPr>
          <w:szCs w:val="24"/>
        </w:rPr>
        <w:t>:</w:t>
      </w:r>
      <w:r w:rsidRPr="00C7601B">
        <w:rPr>
          <w:szCs w:val="24"/>
        </w:rPr>
        <w:t xml:space="preserve"> Champ &amp; Avocats, Ottawa.</w:t>
      </w:r>
      <w:r w:rsidR="00956B54" w:rsidRPr="00C7601B">
        <w:rPr>
          <w:szCs w:val="24"/>
        </w:rPr>
        <w:t xml:space="preserve"> </w:t>
      </w:r>
    </w:p>
    <w:sectPr w:rsidR="0043088E" w:rsidRPr="00C7601B" w:rsidSect="00196417">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01B" w:rsidRDefault="00C7601B">
      <w:r>
        <w:separator/>
      </w:r>
    </w:p>
  </w:endnote>
  <w:endnote w:type="continuationSeparator" w:id="0">
    <w:p w:rsidR="00C7601B" w:rsidRDefault="00C76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1B" w:rsidRDefault="00C7601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1B" w:rsidRDefault="00C7601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01B" w:rsidRDefault="00C7601B">
      <w:r>
        <w:separator/>
      </w:r>
    </w:p>
  </w:footnote>
  <w:footnote w:type="continuationSeparator" w:id="0">
    <w:p w:rsidR="00C7601B" w:rsidRDefault="00C76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1B" w:rsidRDefault="00C7601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5565"/>
      <w:docPartObj>
        <w:docPartGallery w:val="Page Numbers (Top of Page)"/>
        <w:docPartUnique/>
      </w:docPartObj>
    </w:sdtPr>
    <w:sdtContent>
      <w:p w:rsidR="00C7601B" w:rsidRDefault="00C7601B">
        <w:pPr>
          <w:pStyle w:val="Header"/>
          <w:jc w:val="center"/>
        </w:pPr>
        <w:r>
          <w:t xml:space="preserve">- </w:t>
        </w:r>
        <w:fldSimple w:instr=" PAGE   \* MERGEFORMAT ">
          <w:r w:rsidR="005B6B82">
            <w:rPr>
              <w:noProof/>
            </w:rPr>
            <w:t>2</w:t>
          </w:r>
        </w:fldSimple>
        <w:r>
          <w:t xml:space="preserve"> -</w:t>
        </w:r>
      </w:p>
    </w:sdtContent>
  </w:sdt>
  <w:p w:rsidR="00C7601B" w:rsidRDefault="00C760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10C"/>
    <w:multiLevelType w:val="hybridMultilevel"/>
    <w:tmpl w:val="F558EDA6"/>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01CF9"/>
    <w:multiLevelType w:val="hybridMultilevel"/>
    <w:tmpl w:val="47785EB4"/>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954F8"/>
    <w:multiLevelType w:val="hybridMultilevel"/>
    <w:tmpl w:val="0D04BCEE"/>
    <w:lvl w:ilvl="0" w:tplc="331ABE90">
      <w:start w:val="1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CF4712"/>
    <w:multiLevelType w:val="hybridMultilevel"/>
    <w:tmpl w:val="AC20C050"/>
    <w:lvl w:ilvl="0" w:tplc="2B8CE130">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5FB01E0"/>
    <w:multiLevelType w:val="hybridMultilevel"/>
    <w:tmpl w:val="55D8B002"/>
    <w:lvl w:ilvl="0" w:tplc="BB265BA6">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8E3001C"/>
    <w:multiLevelType w:val="hybridMultilevel"/>
    <w:tmpl w:val="5878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F622E"/>
    <w:multiLevelType w:val="hybridMultilevel"/>
    <w:tmpl w:val="8E3AC6CA"/>
    <w:lvl w:ilvl="0" w:tplc="0C0C0017">
      <w:start w:val="1"/>
      <w:numFmt w:val="lowerLetter"/>
      <w:lvlText w:val="%1)"/>
      <w:lvlJc w:val="left"/>
      <w:pPr>
        <w:ind w:left="2880" w:hanging="360"/>
      </w:p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8">
    <w:nsid w:val="1CEF38B6"/>
    <w:multiLevelType w:val="hybridMultilevel"/>
    <w:tmpl w:val="3ACC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53EC8"/>
    <w:multiLevelType w:val="hybridMultilevel"/>
    <w:tmpl w:val="64CC7CB2"/>
    <w:lvl w:ilvl="0" w:tplc="0C0C001B">
      <w:start w:val="1"/>
      <w:numFmt w:val="lowerRoman"/>
      <w:lvlText w:val="%1."/>
      <w:lvlJc w:val="right"/>
      <w:pPr>
        <w:ind w:left="2700" w:hanging="360"/>
      </w:pPr>
    </w:lvl>
    <w:lvl w:ilvl="1" w:tplc="0C0C0019" w:tentative="1">
      <w:start w:val="1"/>
      <w:numFmt w:val="lowerLetter"/>
      <w:lvlText w:val="%2."/>
      <w:lvlJc w:val="left"/>
      <w:pPr>
        <w:ind w:left="3420" w:hanging="360"/>
      </w:pPr>
    </w:lvl>
    <w:lvl w:ilvl="2" w:tplc="0C0C001B" w:tentative="1">
      <w:start w:val="1"/>
      <w:numFmt w:val="lowerRoman"/>
      <w:lvlText w:val="%3."/>
      <w:lvlJc w:val="right"/>
      <w:pPr>
        <w:ind w:left="4140" w:hanging="180"/>
      </w:pPr>
    </w:lvl>
    <w:lvl w:ilvl="3" w:tplc="0C0C000F" w:tentative="1">
      <w:start w:val="1"/>
      <w:numFmt w:val="decimal"/>
      <w:lvlText w:val="%4."/>
      <w:lvlJc w:val="left"/>
      <w:pPr>
        <w:ind w:left="4860" w:hanging="360"/>
      </w:pPr>
    </w:lvl>
    <w:lvl w:ilvl="4" w:tplc="0C0C0019" w:tentative="1">
      <w:start w:val="1"/>
      <w:numFmt w:val="lowerLetter"/>
      <w:lvlText w:val="%5."/>
      <w:lvlJc w:val="left"/>
      <w:pPr>
        <w:ind w:left="5580" w:hanging="360"/>
      </w:pPr>
    </w:lvl>
    <w:lvl w:ilvl="5" w:tplc="0C0C001B" w:tentative="1">
      <w:start w:val="1"/>
      <w:numFmt w:val="lowerRoman"/>
      <w:lvlText w:val="%6."/>
      <w:lvlJc w:val="right"/>
      <w:pPr>
        <w:ind w:left="6300" w:hanging="180"/>
      </w:pPr>
    </w:lvl>
    <w:lvl w:ilvl="6" w:tplc="0C0C000F" w:tentative="1">
      <w:start w:val="1"/>
      <w:numFmt w:val="decimal"/>
      <w:lvlText w:val="%7."/>
      <w:lvlJc w:val="left"/>
      <w:pPr>
        <w:ind w:left="7020" w:hanging="360"/>
      </w:pPr>
    </w:lvl>
    <w:lvl w:ilvl="7" w:tplc="0C0C0019" w:tentative="1">
      <w:start w:val="1"/>
      <w:numFmt w:val="lowerLetter"/>
      <w:lvlText w:val="%8."/>
      <w:lvlJc w:val="left"/>
      <w:pPr>
        <w:ind w:left="7740" w:hanging="360"/>
      </w:pPr>
    </w:lvl>
    <w:lvl w:ilvl="8" w:tplc="0C0C001B" w:tentative="1">
      <w:start w:val="1"/>
      <w:numFmt w:val="lowerRoman"/>
      <w:lvlText w:val="%9."/>
      <w:lvlJc w:val="right"/>
      <w:pPr>
        <w:ind w:left="8460" w:hanging="180"/>
      </w:pPr>
    </w:lvl>
  </w:abstractNum>
  <w:abstractNum w:abstractNumId="1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2C4647D"/>
    <w:multiLevelType w:val="hybridMultilevel"/>
    <w:tmpl w:val="9CD637A0"/>
    <w:lvl w:ilvl="0" w:tplc="9648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774D5"/>
    <w:multiLevelType w:val="hybridMultilevel"/>
    <w:tmpl w:val="890C1D3A"/>
    <w:lvl w:ilvl="0" w:tplc="83F4A3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A182873"/>
    <w:multiLevelType w:val="hybridMultilevel"/>
    <w:tmpl w:val="214A6B3A"/>
    <w:lvl w:ilvl="0" w:tplc="9648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83A01"/>
    <w:multiLevelType w:val="hybridMultilevel"/>
    <w:tmpl w:val="4940929A"/>
    <w:lvl w:ilvl="0" w:tplc="C4B622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049CB"/>
    <w:multiLevelType w:val="hybridMultilevel"/>
    <w:tmpl w:val="5B765364"/>
    <w:lvl w:ilvl="0" w:tplc="9648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2734E"/>
    <w:multiLevelType w:val="hybridMultilevel"/>
    <w:tmpl w:val="B4269B6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nsid w:val="4CE36BA0"/>
    <w:multiLevelType w:val="hybridMultilevel"/>
    <w:tmpl w:val="5742DC2C"/>
    <w:lvl w:ilvl="0" w:tplc="323471C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4283EE8"/>
    <w:multiLevelType w:val="multilevel"/>
    <w:tmpl w:val="DCFAFE4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5EF7DF2"/>
    <w:multiLevelType w:val="hybridMultilevel"/>
    <w:tmpl w:val="72129B36"/>
    <w:lvl w:ilvl="0" w:tplc="0672B8D6">
      <w:start w:val="2"/>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560D034A"/>
    <w:multiLevelType w:val="hybridMultilevel"/>
    <w:tmpl w:val="9B0EF924"/>
    <w:lvl w:ilvl="0" w:tplc="E740481C">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720EF"/>
    <w:multiLevelType w:val="hybridMultilevel"/>
    <w:tmpl w:val="5878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D81782"/>
    <w:multiLevelType w:val="hybridMultilevel"/>
    <w:tmpl w:val="CCAEB438"/>
    <w:lvl w:ilvl="0" w:tplc="35F2001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61F967F4"/>
    <w:multiLevelType w:val="hybridMultilevel"/>
    <w:tmpl w:val="5162995E"/>
    <w:lvl w:ilvl="0" w:tplc="540CCA24">
      <w:start w:val="1"/>
      <w:numFmt w:val="lowerLetter"/>
      <w:lvlText w:val="%1)"/>
      <w:lvlJc w:val="left"/>
      <w:pPr>
        <w:ind w:left="1080" w:hanging="360"/>
      </w:pPr>
      <w:rPr>
        <w:rFonts w:hint="default"/>
        <w:i/>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59603BE"/>
    <w:multiLevelType w:val="hybridMultilevel"/>
    <w:tmpl w:val="6AAA9A02"/>
    <w:lvl w:ilvl="0" w:tplc="DBA04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E14E8"/>
    <w:multiLevelType w:val="hybridMultilevel"/>
    <w:tmpl w:val="97447A30"/>
    <w:lvl w:ilvl="0" w:tplc="9648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AB5D40"/>
    <w:multiLevelType w:val="hybridMultilevel"/>
    <w:tmpl w:val="D8F4C1F8"/>
    <w:lvl w:ilvl="0" w:tplc="8D2EB8E6">
      <w:start w:val="3"/>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7DC828AD"/>
    <w:multiLevelType w:val="hybridMultilevel"/>
    <w:tmpl w:val="00CE5A9E"/>
    <w:lvl w:ilvl="0" w:tplc="BED6B9AE">
      <w:start w:val="53"/>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E0B3AA5"/>
    <w:multiLevelType w:val="hybridMultilevel"/>
    <w:tmpl w:val="DC7279EE"/>
    <w:lvl w:ilvl="0" w:tplc="0420BFB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7E1D6E41"/>
    <w:multiLevelType w:val="hybridMultilevel"/>
    <w:tmpl w:val="96EC8480"/>
    <w:lvl w:ilvl="0" w:tplc="35F2001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E386E1F"/>
    <w:multiLevelType w:val="hybridMultilevel"/>
    <w:tmpl w:val="406CE48E"/>
    <w:lvl w:ilvl="0" w:tplc="B9E4E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F6089"/>
    <w:multiLevelType w:val="hybridMultilevel"/>
    <w:tmpl w:val="500441B8"/>
    <w:lvl w:ilvl="0" w:tplc="9648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0"/>
  </w:num>
  <w:num w:numId="4">
    <w:abstractNumId w:val="3"/>
  </w:num>
  <w:num w:numId="5">
    <w:abstractNumId w:val="17"/>
  </w:num>
  <w:num w:numId="6">
    <w:abstractNumId w:val="18"/>
  </w:num>
  <w:num w:numId="7">
    <w:abstractNumId w:val="32"/>
  </w:num>
  <w:num w:numId="8">
    <w:abstractNumId w:val="8"/>
  </w:num>
  <w:num w:numId="9">
    <w:abstractNumId w:val="0"/>
  </w:num>
  <w:num w:numId="10">
    <w:abstractNumId w:val="2"/>
  </w:num>
  <w:num w:numId="11">
    <w:abstractNumId w:val="1"/>
  </w:num>
  <w:num w:numId="12">
    <w:abstractNumId w:val="27"/>
  </w:num>
  <w:num w:numId="13">
    <w:abstractNumId w:val="33"/>
  </w:num>
  <w:num w:numId="14">
    <w:abstractNumId w:val="13"/>
  </w:num>
  <w:num w:numId="15">
    <w:abstractNumId w:val="21"/>
  </w:num>
  <w:num w:numId="16">
    <w:abstractNumId w:val="11"/>
  </w:num>
  <w:num w:numId="17">
    <w:abstractNumId w:val="15"/>
  </w:num>
  <w:num w:numId="18">
    <w:abstractNumId w:val="29"/>
  </w:num>
  <w:num w:numId="19">
    <w:abstractNumId w:val="26"/>
  </w:num>
  <w:num w:numId="20">
    <w:abstractNumId w:val="31"/>
  </w:num>
  <w:num w:numId="21">
    <w:abstractNumId w:val="5"/>
  </w:num>
  <w:num w:numId="22">
    <w:abstractNumId w:val="30"/>
  </w:num>
  <w:num w:numId="23">
    <w:abstractNumId w:val="12"/>
  </w:num>
  <w:num w:numId="24">
    <w:abstractNumId w:val="4"/>
  </w:num>
  <w:num w:numId="25">
    <w:abstractNumId w:val="28"/>
  </w:num>
  <w:num w:numId="26">
    <w:abstractNumId w:val="20"/>
  </w:num>
  <w:num w:numId="27">
    <w:abstractNumId w:val="14"/>
  </w:num>
  <w:num w:numId="28">
    <w:abstractNumId w:val="22"/>
  </w:num>
  <w:num w:numId="29">
    <w:abstractNumId w:val="6"/>
  </w:num>
  <w:num w:numId="30">
    <w:abstractNumId w:val="16"/>
  </w:num>
  <w:num w:numId="31">
    <w:abstractNumId w:val="23"/>
  </w:num>
  <w:num w:numId="32">
    <w:abstractNumId w:val="24"/>
  </w:num>
  <w:num w:numId="33">
    <w:abstractNumId w:val="7"/>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1617"/>
  </w:hdrShapeDefaults>
  <w:footnotePr>
    <w:footnote w:id="-1"/>
    <w:footnote w:id="0"/>
  </w:footnotePr>
  <w:endnotePr>
    <w:endnote w:id="-1"/>
    <w:endnote w:id="0"/>
  </w:endnotePr>
  <w:compat/>
  <w:rsids>
    <w:rsidRoot w:val="0031414C"/>
    <w:rsid w:val="000053CF"/>
    <w:rsid w:val="00025198"/>
    <w:rsid w:val="00025F3E"/>
    <w:rsid w:val="00033CE2"/>
    <w:rsid w:val="00055A36"/>
    <w:rsid w:val="000578A3"/>
    <w:rsid w:val="00064563"/>
    <w:rsid w:val="000648CC"/>
    <w:rsid w:val="00091AD8"/>
    <w:rsid w:val="00093264"/>
    <w:rsid w:val="00094DE0"/>
    <w:rsid w:val="000A5321"/>
    <w:rsid w:val="000C59B8"/>
    <w:rsid w:val="0010693D"/>
    <w:rsid w:val="001108FB"/>
    <w:rsid w:val="00111DE2"/>
    <w:rsid w:val="001150FD"/>
    <w:rsid w:val="00116B38"/>
    <w:rsid w:val="0013109F"/>
    <w:rsid w:val="00135406"/>
    <w:rsid w:val="00135972"/>
    <w:rsid w:val="00140667"/>
    <w:rsid w:val="001426A9"/>
    <w:rsid w:val="00154D7C"/>
    <w:rsid w:val="001570B0"/>
    <w:rsid w:val="00172A04"/>
    <w:rsid w:val="00175A97"/>
    <w:rsid w:val="00185394"/>
    <w:rsid w:val="00187073"/>
    <w:rsid w:val="00196417"/>
    <w:rsid w:val="001A451D"/>
    <w:rsid w:val="001B33E0"/>
    <w:rsid w:val="001B4573"/>
    <w:rsid w:val="001B577E"/>
    <w:rsid w:val="001B75C9"/>
    <w:rsid w:val="001C779F"/>
    <w:rsid w:val="001D2AC1"/>
    <w:rsid w:val="001D7128"/>
    <w:rsid w:val="001F6259"/>
    <w:rsid w:val="001F7673"/>
    <w:rsid w:val="002116C3"/>
    <w:rsid w:val="00220FC2"/>
    <w:rsid w:val="002236BA"/>
    <w:rsid w:val="00224D7C"/>
    <w:rsid w:val="00224FC0"/>
    <w:rsid w:val="00225EA4"/>
    <w:rsid w:val="00226EAF"/>
    <w:rsid w:val="00231105"/>
    <w:rsid w:val="00231F3A"/>
    <w:rsid w:val="00235AD1"/>
    <w:rsid w:val="002406EE"/>
    <w:rsid w:val="002745CC"/>
    <w:rsid w:val="002D39A4"/>
    <w:rsid w:val="002E6705"/>
    <w:rsid w:val="002F126A"/>
    <w:rsid w:val="002F696C"/>
    <w:rsid w:val="0030329A"/>
    <w:rsid w:val="00307AFD"/>
    <w:rsid w:val="0031086F"/>
    <w:rsid w:val="00310E05"/>
    <w:rsid w:val="0031414C"/>
    <w:rsid w:val="00314E01"/>
    <w:rsid w:val="0031663A"/>
    <w:rsid w:val="0032089D"/>
    <w:rsid w:val="003303E1"/>
    <w:rsid w:val="003324A2"/>
    <w:rsid w:val="0033393C"/>
    <w:rsid w:val="003424AF"/>
    <w:rsid w:val="0034770C"/>
    <w:rsid w:val="0035259D"/>
    <w:rsid w:val="00360A90"/>
    <w:rsid w:val="00361A05"/>
    <w:rsid w:val="003866EC"/>
    <w:rsid w:val="00394476"/>
    <w:rsid w:val="00394B8C"/>
    <w:rsid w:val="003A4C70"/>
    <w:rsid w:val="003A4E15"/>
    <w:rsid w:val="003B2970"/>
    <w:rsid w:val="003B3360"/>
    <w:rsid w:val="003B52B4"/>
    <w:rsid w:val="003C799C"/>
    <w:rsid w:val="003D1702"/>
    <w:rsid w:val="003E0B0B"/>
    <w:rsid w:val="003E1C71"/>
    <w:rsid w:val="003E2A99"/>
    <w:rsid w:val="003E7266"/>
    <w:rsid w:val="003F327B"/>
    <w:rsid w:val="004030F1"/>
    <w:rsid w:val="004059A7"/>
    <w:rsid w:val="00406166"/>
    <w:rsid w:val="00406220"/>
    <w:rsid w:val="00411300"/>
    <w:rsid w:val="00426659"/>
    <w:rsid w:val="0043088E"/>
    <w:rsid w:val="00440150"/>
    <w:rsid w:val="004439D8"/>
    <w:rsid w:val="004449C9"/>
    <w:rsid w:val="00451A2B"/>
    <w:rsid w:val="00465132"/>
    <w:rsid w:val="004661AE"/>
    <w:rsid w:val="00475969"/>
    <w:rsid w:val="00480769"/>
    <w:rsid w:val="00480C90"/>
    <w:rsid w:val="0048396F"/>
    <w:rsid w:val="004860FD"/>
    <w:rsid w:val="00493C18"/>
    <w:rsid w:val="00494CDC"/>
    <w:rsid w:val="004A0475"/>
    <w:rsid w:val="004A4BD5"/>
    <w:rsid w:val="004A600C"/>
    <w:rsid w:val="004C478D"/>
    <w:rsid w:val="004E6A2C"/>
    <w:rsid w:val="0051705B"/>
    <w:rsid w:val="00521AE8"/>
    <w:rsid w:val="00527180"/>
    <w:rsid w:val="00536719"/>
    <w:rsid w:val="0054291A"/>
    <w:rsid w:val="005472FE"/>
    <w:rsid w:val="005564A7"/>
    <w:rsid w:val="00560830"/>
    <w:rsid w:val="00570EBD"/>
    <w:rsid w:val="005865F6"/>
    <w:rsid w:val="005928C3"/>
    <w:rsid w:val="00592987"/>
    <w:rsid w:val="005B3E05"/>
    <w:rsid w:val="005B6B82"/>
    <w:rsid w:val="005C3B6B"/>
    <w:rsid w:val="005E4698"/>
    <w:rsid w:val="0060221D"/>
    <w:rsid w:val="00622BB9"/>
    <w:rsid w:val="00625C35"/>
    <w:rsid w:val="00634E1B"/>
    <w:rsid w:val="00645057"/>
    <w:rsid w:val="00646D47"/>
    <w:rsid w:val="00654858"/>
    <w:rsid w:val="006565F4"/>
    <w:rsid w:val="00681AD1"/>
    <w:rsid w:val="00683AAC"/>
    <w:rsid w:val="00696947"/>
    <w:rsid w:val="006A56F1"/>
    <w:rsid w:val="006B5FF5"/>
    <w:rsid w:val="006C1D18"/>
    <w:rsid w:val="006C5661"/>
    <w:rsid w:val="006D4790"/>
    <w:rsid w:val="006D6958"/>
    <w:rsid w:val="00701164"/>
    <w:rsid w:val="00701759"/>
    <w:rsid w:val="00702C6F"/>
    <w:rsid w:val="00737954"/>
    <w:rsid w:val="00745B26"/>
    <w:rsid w:val="00747288"/>
    <w:rsid w:val="00747DD3"/>
    <w:rsid w:val="00752F4E"/>
    <w:rsid w:val="007549C8"/>
    <w:rsid w:val="00762D30"/>
    <w:rsid w:val="00763377"/>
    <w:rsid w:val="00766D14"/>
    <w:rsid w:val="00767A0F"/>
    <w:rsid w:val="007834A8"/>
    <w:rsid w:val="00792F37"/>
    <w:rsid w:val="00793E58"/>
    <w:rsid w:val="007A05F6"/>
    <w:rsid w:val="007B6F4A"/>
    <w:rsid w:val="007C46DA"/>
    <w:rsid w:val="007E0092"/>
    <w:rsid w:val="007E1C47"/>
    <w:rsid w:val="007E337A"/>
    <w:rsid w:val="007E5C70"/>
    <w:rsid w:val="007E73DC"/>
    <w:rsid w:val="007F237F"/>
    <w:rsid w:val="007F2FF5"/>
    <w:rsid w:val="007F66AC"/>
    <w:rsid w:val="007F7DCA"/>
    <w:rsid w:val="008071B5"/>
    <w:rsid w:val="00817190"/>
    <w:rsid w:val="008322BD"/>
    <w:rsid w:val="0083451E"/>
    <w:rsid w:val="00855307"/>
    <w:rsid w:val="00862CF3"/>
    <w:rsid w:val="00864CF8"/>
    <w:rsid w:val="00874914"/>
    <w:rsid w:val="00892E1A"/>
    <w:rsid w:val="008958F5"/>
    <w:rsid w:val="008A2F8D"/>
    <w:rsid w:val="008A6558"/>
    <w:rsid w:val="008A727C"/>
    <w:rsid w:val="008C01DA"/>
    <w:rsid w:val="008D20A6"/>
    <w:rsid w:val="008D2DF7"/>
    <w:rsid w:val="008E0EBE"/>
    <w:rsid w:val="008F16D9"/>
    <w:rsid w:val="008F78E9"/>
    <w:rsid w:val="00902462"/>
    <w:rsid w:val="00917BD0"/>
    <w:rsid w:val="009403F3"/>
    <w:rsid w:val="00956B54"/>
    <w:rsid w:val="00957FA2"/>
    <w:rsid w:val="00962A74"/>
    <w:rsid w:val="00966913"/>
    <w:rsid w:val="00967374"/>
    <w:rsid w:val="00967C81"/>
    <w:rsid w:val="0097543E"/>
    <w:rsid w:val="00983F3F"/>
    <w:rsid w:val="00985C69"/>
    <w:rsid w:val="0099079B"/>
    <w:rsid w:val="0099777F"/>
    <w:rsid w:val="009B25EB"/>
    <w:rsid w:val="009B2F23"/>
    <w:rsid w:val="009B53E2"/>
    <w:rsid w:val="009B57B3"/>
    <w:rsid w:val="009D5AEB"/>
    <w:rsid w:val="009D748A"/>
    <w:rsid w:val="009E1490"/>
    <w:rsid w:val="009F383F"/>
    <w:rsid w:val="00A05F0E"/>
    <w:rsid w:val="00A12A36"/>
    <w:rsid w:val="00A21107"/>
    <w:rsid w:val="00A21B90"/>
    <w:rsid w:val="00A24E15"/>
    <w:rsid w:val="00A44F6A"/>
    <w:rsid w:val="00A548CB"/>
    <w:rsid w:val="00A6242E"/>
    <w:rsid w:val="00A643E7"/>
    <w:rsid w:val="00A64EB5"/>
    <w:rsid w:val="00A71D91"/>
    <w:rsid w:val="00A73C38"/>
    <w:rsid w:val="00A82673"/>
    <w:rsid w:val="00AA7327"/>
    <w:rsid w:val="00AC6322"/>
    <w:rsid w:val="00AC7437"/>
    <w:rsid w:val="00AC7A44"/>
    <w:rsid w:val="00AF03C5"/>
    <w:rsid w:val="00AF6C11"/>
    <w:rsid w:val="00B000D8"/>
    <w:rsid w:val="00B00F75"/>
    <w:rsid w:val="00B06039"/>
    <w:rsid w:val="00B145B6"/>
    <w:rsid w:val="00B415C7"/>
    <w:rsid w:val="00B50C81"/>
    <w:rsid w:val="00B51A8D"/>
    <w:rsid w:val="00B557F8"/>
    <w:rsid w:val="00B64972"/>
    <w:rsid w:val="00B66DD8"/>
    <w:rsid w:val="00B8145D"/>
    <w:rsid w:val="00B815FC"/>
    <w:rsid w:val="00B93FBC"/>
    <w:rsid w:val="00B94236"/>
    <w:rsid w:val="00B97FB3"/>
    <w:rsid w:val="00BB24D3"/>
    <w:rsid w:val="00BB5278"/>
    <w:rsid w:val="00C02092"/>
    <w:rsid w:val="00C057F7"/>
    <w:rsid w:val="00C0663B"/>
    <w:rsid w:val="00C24C8C"/>
    <w:rsid w:val="00C24D91"/>
    <w:rsid w:val="00C327A7"/>
    <w:rsid w:val="00C52532"/>
    <w:rsid w:val="00C53F14"/>
    <w:rsid w:val="00C55B20"/>
    <w:rsid w:val="00C55C2E"/>
    <w:rsid w:val="00C600CF"/>
    <w:rsid w:val="00C6084F"/>
    <w:rsid w:val="00C62559"/>
    <w:rsid w:val="00C62A66"/>
    <w:rsid w:val="00C62A6F"/>
    <w:rsid w:val="00C67CA5"/>
    <w:rsid w:val="00C71458"/>
    <w:rsid w:val="00C71F58"/>
    <w:rsid w:val="00C7601B"/>
    <w:rsid w:val="00C77613"/>
    <w:rsid w:val="00C828E7"/>
    <w:rsid w:val="00C91790"/>
    <w:rsid w:val="00C921DD"/>
    <w:rsid w:val="00CA4D82"/>
    <w:rsid w:val="00CA6391"/>
    <w:rsid w:val="00CB2869"/>
    <w:rsid w:val="00CC620E"/>
    <w:rsid w:val="00CE3171"/>
    <w:rsid w:val="00CF1601"/>
    <w:rsid w:val="00D10C2E"/>
    <w:rsid w:val="00D319CA"/>
    <w:rsid w:val="00D32086"/>
    <w:rsid w:val="00D3689A"/>
    <w:rsid w:val="00D37A3F"/>
    <w:rsid w:val="00D452B7"/>
    <w:rsid w:val="00D45FCF"/>
    <w:rsid w:val="00D4667A"/>
    <w:rsid w:val="00D510BB"/>
    <w:rsid w:val="00D5435D"/>
    <w:rsid w:val="00D74F2E"/>
    <w:rsid w:val="00D821AE"/>
    <w:rsid w:val="00D85533"/>
    <w:rsid w:val="00D8700B"/>
    <w:rsid w:val="00DA0590"/>
    <w:rsid w:val="00DA2EC4"/>
    <w:rsid w:val="00DC1788"/>
    <w:rsid w:val="00DF0CA8"/>
    <w:rsid w:val="00DF49A7"/>
    <w:rsid w:val="00E01106"/>
    <w:rsid w:val="00E07EE2"/>
    <w:rsid w:val="00E24573"/>
    <w:rsid w:val="00E277B7"/>
    <w:rsid w:val="00E342A1"/>
    <w:rsid w:val="00E377A1"/>
    <w:rsid w:val="00E41A1E"/>
    <w:rsid w:val="00E42AFA"/>
    <w:rsid w:val="00E45109"/>
    <w:rsid w:val="00E54B02"/>
    <w:rsid w:val="00E556D7"/>
    <w:rsid w:val="00E7593C"/>
    <w:rsid w:val="00E85B8D"/>
    <w:rsid w:val="00E872EA"/>
    <w:rsid w:val="00E935C9"/>
    <w:rsid w:val="00E97830"/>
    <w:rsid w:val="00EA03E5"/>
    <w:rsid w:val="00EC1F3C"/>
    <w:rsid w:val="00EC67CC"/>
    <w:rsid w:val="00EE0FAF"/>
    <w:rsid w:val="00EF0949"/>
    <w:rsid w:val="00EF6AB8"/>
    <w:rsid w:val="00F00EB7"/>
    <w:rsid w:val="00F0763E"/>
    <w:rsid w:val="00F2258E"/>
    <w:rsid w:val="00F305EA"/>
    <w:rsid w:val="00F33658"/>
    <w:rsid w:val="00F36AB6"/>
    <w:rsid w:val="00F409CE"/>
    <w:rsid w:val="00F84DF4"/>
    <w:rsid w:val="00F853FB"/>
    <w:rsid w:val="00F85C97"/>
    <w:rsid w:val="00F94D67"/>
    <w:rsid w:val="00FA2FE1"/>
    <w:rsid w:val="00FB1E2F"/>
    <w:rsid w:val="00FB2848"/>
    <w:rsid w:val="00FB353F"/>
    <w:rsid w:val="00FC4A5B"/>
    <w:rsid w:val="00FC606D"/>
    <w:rsid w:val="00FD068D"/>
    <w:rsid w:val="00FD4F28"/>
    <w:rsid w:val="00FE0A96"/>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AF"/>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8071B5"/>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8071B5"/>
    <w:pPr>
      <w:spacing w:after="720"/>
      <w:ind w:left="1166"/>
      <w:contextualSpacing/>
      <w:jc w:val="both"/>
    </w:pPr>
    <w:rPr>
      <w:sz w:val="24"/>
    </w:rPr>
  </w:style>
  <w:style w:type="paragraph" w:styleId="ListParagraph">
    <w:name w:val="List Paragraph"/>
    <w:basedOn w:val="Normal"/>
    <w:link w:val="ListParagraphChar"/>
    <w:uiPriority w:val="34"/>
    <w:qFormat/>
    <w:rsid w:val="00956B54"/>
    <w:pPr>
      <w:ind w:left="720"/>
    </w:pPr>
    <w:rPr>
      <w:lang w:val="en-CA"/>
    </w:rPr>
  </w:style>
  <w:style w:type="paragraph" w:styleId="NoSpacing">
    <w:name w:val="No Spacing"/>
    <w:uiPriority w:val="1"/>
    <w:rsid w:val="00956B54"/>
    <w:rPr>
      <w:sz w:val="24"/>
    </w:rPr>
  </w:style>
  <w:style w:type="paragraph" w:customStyle="1" w:styleId="SCCLsocOtherPartyRoleSeparator">
    <w:name w:val="SCC.Lsoc.OtherPartyRoleSeparator"/>
    <w:basedOn w:val="Normal"/>
    <w:next w:val="Normal"/>
    <w:link w:val="SCCLsocOtherPartyRoleSeparatorChar"/>
    <w:rsid w:val="00956B54"/>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956B54"/>
    <w:rPr>
      <w:rFonts w:eastAsiaTheme="minorHAnsi" w:cstheme="minorBidi"/>
      <w:sz w:val="24"/>
      <w:szCs w:val="22"/>
      <w:lang w:eastAsia="en-US"/>
    </w:rPr>
  </w:style>
  <w:style w:type="character" w:customStyle="1" w:styleId="SCCBanSummaryChar">
    <w:name w:val="SCC.BanSummary Char"/>
    <w:basedOn w:val="DefaultParagraphFont"/>
    <w:link w:val="SCCBanSummary"/>
    <w:rsid w:val="00956B54"/>
    <w:rPr>
      <w:b/>
      <w:sz w:val="24"/>
      <w:lang w:val="fr-CA"/>
    </w:rPr>
  </w:style>
  <w:style w:type="table" w:styleId="TableGrid">
    <w:name w:val="Table Grid"/>
    <w:basedOn w:val="TableNormal"/>
    <w:uiPriority w:val="59"/>
    <w:rsid w:val="00956B54"/>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56B54"/>
    <w:rPr>
      <w:sz w:val="24"/>
    </w:rPr>
  </w:style>
  <w:style w:type="paragraph" w:styleId="DocumentMap">
    <w:name w:val="Document Map"/>
    <w:basedOn w:val="Normal"/>
    <w:link w:val="DocumentMapChar"/>
    <w:uiPriority w:val="99"/>
    <w:semiHidden/>
    <w:unhideWhenUsed/>
    <w:rsid w:val="00956B54"/>
    <w:rPr>
      <w:rFonts w:ascii="Lucida Grande" w:hAnsi="Lucida Grande"/>
      <w:szCs w:val="24"/>
      <w:lang w:val="en-CA"/>
    </w:rPr>
  </w:style>
  <w:style w:type="character" w:customStyle="1" w:styleId="DocumentMapChar">
    <w:name w:val="Document Map Char"/>
    <w:basedOn w:val="DefaultParagraphFont"/>
    <w:link w:val="DocumentMap"/>
    <w:uiPriority w:val="99"/>
    <w:semiHidden/>
    <w:rsid w:val="00956B54"/>
    <w:rPr>
      <w:rFonts w:ascii="Lucida Grande" w:hAnsi="Lucida Grande"/>
      <w:sz w:val="24"/>
      <w:szCs w:val="24"/>
    </w:rPr>
  </w:style>
  <w:style w:type="character" w:styleId="CommentReference">
    <w:name w:val="annotation reference"/>
    <w:basedOn w:val="DefaultParagraphFont"/>
    <w:uiPriority w:val="99"/>
    <w:semiHidden/>
    <w:unhideWhenUsed/>
    <w:rsid w:val="00956B54"/>
    <w:rPr>
      <w:sz w:val="16"/>
      <w:szCs w:val="16"/>
    </w:rPr>
  </w:style>
  <w:style w:type="paragraph" w:styleId="CommentText">
    <w:name w:val="annotation text"/>
    <w:basedOn w:val="Normal"/>
    <w:link w:val="CommentTextChar"/>
    <w:uiPriority w:val="99"/>
    <w:semiHidden/>
    <w:unhideWhenUsed/>
    <w:rsid w:val="00956B54"/>
    <w:rPr>
      <w:sz w:val="20"/>
      <w:lang w:val="en-CA"/>
    </w:rPr>
  </w:style>
  <w:style w:type="character" w:customStyle="1" w:styleId="CommentTextChar">
    <w:name w:val="Comment Text Char"/>
    <w:basedOn w:val="DefaultParagraphFont"/>
    <w:link w:val="CommentText"/>
    <w:uiPriority w:val="99"/>
    <w:semiHidden/>
    <w:rsid w:val="00956B54"/>
  </w:style>
  <w:style w:type="paragraph" w:styleId="CommentSubject">
    <w:name w:val="annotation subject"/>
    <w:basedOn w:val="CommentText"/>
    <w:next w:val="CommentText"/>
    <w:link w:val="CommentSubjectChar"/>
    <w:uiPriority w:val="99"/>
    <w:semiHidden/>
    <w:unhideWhenUsed/>
    <w:rsid w:val="00956B54"/>
    <w:rPr>
      <w:b/>
      <w:bCs/>
    </w:rPr>
  </w:style>
  <w:style w:type="character" w:customStyle="1" w:styleId="CommentSubjectChar">
    <w:name w:val="Comment Subject Char"/>
    <w:basedOn w:val="CommentTextChar"/>
    <w:link w:val="CommentSubject"/>
    <w:uiPriority w:val="99"/>
    <w:semiHidden/>
    <w:rsid w:val="00956B54"/>
    <w:rPr>
      <w:b/>
      <w:bCs/>
    </w:rPr>
  </w:style>
  <w:style w:type="paragraph" w:styleId="Revision">
    <w:name w:val="Revision"/>
    <w:hidden/>
    <w:uiPriority w:val="99"/>
    <w:semiHidden/>
    <w:rsid w:val="00956B54"/>
    <w:rPr>
      <w:sz w:val="24"/>
    </w:rPr>
  </w:style>
  <w:style w:type="paragraph" w:customStyle="1" w:styleId="ContinueParaSuitedupar-AltP">
    <w:name w:val="Continue Para. / Suite du par. - Alt P"/>
    <w:next w:val="ParaNoNdepar-AltN"/>
    <w:uiPriority w:val="1"/>
    <w:qFormat/>
    <w:rsid w:val="00956B5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56B54"/>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56B54"/>
    <w:pPr>
      <w:keepNext/>
      <w:tabs>
        <w:tab w:val="left" w:pos="360"/>
      </w:tabs>
      <w:spacing w:after="720"/>
      <w:ind w:left="357" w:hanging="357"/>
      <w:jc w:val="both"/>
    </w:pPr>
    <w:rPr>
      <w:rFonts w:eastAsiaTheme="minorHAnsi" w:cstheme="minorBidi"/>
      <w:sz w:val="24"/>
      <w:szCs w:val="22"/>
      <w:lang w:eastAsia="en-US"/>
    </w:rPr>
  </w:style>
  <w:style w:type="character" w:styleId="Emphasis">
    <w:name w:val="Emphasis"/>
    <w:basedOn w:val="DefaultParagraphFont"/>
    <w:uiPriority w:val="20"/>
    <w:qFormat/>
    <w:rsid w:val="00956B54"/>
    <w:rPr>
      <w:i/>
      <w:iCs/>
    </w:rPr>
  </w:style>
  <w:style w:type="character" w:customStyle="1" w:styleId="c32">
    <w:name w:val="c32"/>
    <w:basedOn w:val="DefaultParagraphFont"/>
    <w:rsid w:val="00956B54"/>
    <w:rPr>
      <w:color w:val="008888"/>
    </w:rPr>
  </w:style>
  <w:style w:type="character" w:customStyle="1" w:styleId="c42">
    <w:name w:val="c42"/>
    <w:basedOn w:val="DefaultParagraphFont"/>
    <w:rsid w:val="00956B54"/>
    <w:rPr>
      <w:color w:val="000088"/>
    </w:rPr>
  </w:style>
  <w:style w:type="character" w:styleId="Hyperlink">
    <w:name w:val="Hyperlink"/>
    <w:basedOn w:val="DefaultParagraphFont"/>
    <w:uiPriority w:val="99"/>
    <w:semiHidden/>
    <w:unhideWhenUsed/>
    <w:rsid w:val="00956B54"/>
    <w:rPr>
      <w:strike w:val="0"/>
      <w:dstrike w:val="0"/>
      <w:color w:val="027ABB"/>
      <w:u w:val="none"/>
      <w:effect w:val="none"/>
    </w:rPr>
  </w:style>
  <w:style w:type="paragraph" w:customStyle="1" w:styleId="SCCAppellantForRunningHead">
    <w:name w:val="SCC.AppellantForRunningHead"/>
    <w:basedOn w:val="Normal"/>
    <w:next w:val="Normal"/>
    <w:link w:val="SCCAppellantForRunningHeadChar"/>
    <w:rsid w:val="005B6B82"/>
    <w:rPr>
      <w:smallCaps/>
    </w:rPr>
  </w:style>
  <w:style w:type="character" w:customStyle="1" w:styleId="SCCAppellantForRunningHeadChar">
    <w:name w:val="SCC.AppellantForRunningHead Char"/>
    <w:basedOn w:val="DefaultParagraphFont"/>
    <w:link w:val="SCCAppellantForRunningHead"/>
    <w:rsid w:val="005B6B82"/>
    <w:rPr>
      <w:smallCaps/>
      <w:sz w:val="24"/>
      <w:lang w:val="fr-CA"/>
    </w:rPr>
  </w:style>
  <w:style w:type="table" w:customStyle="1" w:styleId="TableGrid1">
    <w:name w:val="Table Grid1"/>
    <w:basedOn w:val="TableNormal"/>
    <w:next w:val="TableGrid"/>
    <w:uiPriority w:val="59"/>
    <w:rsid w:val="005B6B8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71DE-C803-48B5-8313-EA52AAC0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11500</Words>
  <Characters>60342</Characters>
  <Application>Microsoft Office Word</Application>
  <DocSecurity>0</DocSecurity>
  <Lines>502</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2011-12-12T18:38:00Z</dcterms:created>
  <dcterms:modified xsi:type="dcterms:W3CDTF">2012-02-20T16:20:00Z</dcterms:modified>
</cp:coreProperties>
</file>