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763C33" w:rsidRDefault="00763C33" w:rsidP="00382FEC"/>
    <w:p w:rsidR="00763C33" w:rsidRPr="001E26DB" w:rsidRDefault="00763C33" w:rsidP="00382FEC"/>
    <w:p w:rsidR="0076003F" w:rsidRDefault="0076003F" w:rsidP="00382FEC"/>
    <w:p w:rsidR="002C29B6" w:rsidRDefault="002C29B6" w:rsidP="00382FEC"/>
    <w:p w:rsidR="00A671D7" w:rsidRDefault="00A671D7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35731</w:t>
      </w:r>
      <w:r w:rsidR="00E81C0B" w:rsidRPr="001E26DB">
        <w:t>     </w:t>
      </w:r>
    </w:p>
    <w:p w:rsidR="003C744C" w:rsidRDefault="003C744C" w:rsidP="00382FEC"/>
    <w:tbl>
      <w:tblPr>
        <w:tblW w:w="5176" w:type="pct"/>
        <w:tblInd w:w="-122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420"/>
        <w:gridCol w:w="722"/>
        <w:gridCol w:w="4456"/>
        <w:gridCol w:w="31"/>
        <w:gridCol w:w="181"/>
      </w:tblGrid>
      <w:tr w:rsidR="00417FB7" w:rsidRPr="00F67F03" w:rsidTr="00013596">
        <w:trPr>
          <w:gridAfter w:val="2"/>
          <w:wAfter w:w="108" w:type="pct"/>
        </w:trPr>
        <w:tc>
          <w:tcPr>
            <w:tcW w:w="2253" w:type="pct"/>
          </w:tcPr>
          <w:p w:rsidR="00417FB7" w:rsidRPr="001E26DB" w:rsidRDefault="00013596" w:rsidP="008262A3">
            <w:r>
              <w:t>Le 17</w:t>
            </w:r>
            <w:r w:rsidR="00990F06">
              <w:t xml:space="preserve"> avril 2014</w:t>
            </w:r>
          </w:p>
        </w:tc>
        <w:tc>
          <w:tcPr>
            <w:tcW w:w="368" w:type="pct"/>
          </w:tcPr>
          <w:p w:rsidR="00417FB7" w:rsidRPr="001E26DB" w:rsidRDefault="00417FB7" w:rsidP="00382FEC"/>
        </w:tc>
        <w:tc>
          <w:tcPr>
            <w:tcW w:w="2271" w:type="pct"/>
          </w:tcPr>
          <w:p w:rsidR="00417FB7" w:rsidRPr="001E26DB" w:rsidRDefault="00013596" w:rsidP="0027081E">
            <w:pPr>
              <w:rPr>
                <w:lang w:val="en-CA"/>
              </w:rPr>
            </w:pPr>
            <w:r>
              <w:t>April 17</w:t>
            </w:r>
            <w:r w:rsidR="00990F06">
              <w:t>, 2014</w:t>
            </w:r>
          </w:p>
        </w:tc>
      </w:tr>
      <w:tr w:rsidR="00E12A51" w:rsidRPr="00F67F03" w:rsidTr="00013596">
        <w:trPr>
          <w:gridAfter w:val="2"/>
          <w:wAfter w:w="108" w:type="pct"/>
        </w:trPr>
        <w:tc>
          <w:tcPr>
            <w:tcW w:w="2253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68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271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763C33" w:rsidTr="00013596">
        <w:trPr>
          <w:gridAfter w:val="2"/>
          <w:wAfter w:w="108" w:type="pct"/>
        </w:trPr>
        <w:tc>
          <w:tcPr>
            <w:tcW w:w="2253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Cromwell et Wagner</w:t>
            </w:r>
          </w:p>
        </w:tc>
        <w:tc>
          <w:tcPr>
            <w:tcW w:w="368" w:type="pct"/>
          </w:tcPr>
          <w:p w:rsidR="00417FB7" w:rsidRPr="001E26DB" w:rsidRDefault="00417FB7" w:rsidP="00382FEC"/>
        </w:tc>
        <w:tc>
          <w:tcPr>
            <w:tcW w:w="2271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671D7">
              <w:rPr>
                <w:lang w:val="en-CA"/>
              </w:rPr>
              <w:t>McLachlin C.J. and Cromwell and Wagner JJ.</w:t>
            </w:r>
          </w:p>
        </w:tc>
      </w:tr>
      <w:tr w:rsidR="00C2612E" w:rsidRPr="00763C33" w:rsidTr="00013596">
        <w:trPr>
          <w:gridAfter w:val="2"/>
          <w:wAfter w:w="108" w:type="pct"/>
        </w:trPr>
        <w:tc>
          <w:tcPr>
            <w:tcW w:w="2253" w:type="pct"/>
            <w:tcMar>
              <w:top w:w="0" w:type="dxa"/>
              <w:bottom w:w="0" w:type="dxa"/>
            </w:tcMar>
          </w:tcPr>
          <w:p w:rsidR="00C2612E" w:rsidRPr="00A671D7" w:rsidRDefault="00C2612E" w:rsidP="008262A3">
            <w:pPr>
              <w:rPr>
                <w:lang w:val="en-CA"/>
              </w:rPr>
            </w:pPr>
          </w:p>
        </w:tc>
        <w:tc>
          <w:tcPr>
            <w:tcW w:w="368" w:type="pct"/>
            <w:tcMar>
              <w:top w:w="0" w:type="dxa"/>
              <w:bottom w:w="0" w:type="dxa"/>
            </w:tcMar>
          </w:tcPr>
          <w:p w:rsidR="00C2612E" w:rsidRPr="00A671D7" w:rsidRDefault="00C2612E" w:rsidP="00382FEC">
            <w:pPr>
              <w:rPr>
                <w:lang w:val="en-CA"/>
              </w:rPr>
            </w:pPr>
          </w:p>
        </w:tc>
        <w:tc>
          <w:tcPr>
            <w:tcW w:w="2271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4B345A" w:rsidTr="00013596">
        <w:trPr>
          <w:gridAfter w:val="1"/>
          <w:wAfter w:w="92" w:type="pct"/>
        </w:trPr>
        <w:tc>
          <w:tcPr>
            <w:tcW w:w="2253" w:type="pct"/>
          </w:tcPr>
          <w:p w:rsidR="006221FC" w:rsidRDefault="00013596" w:rsidP="00013596">
            <w:pPr>
              <w:pStyle w:val="SCCLsocPrefix"/>
              <w:spacing w:line="360" w:lineRule="auto"/>
            </w:pPr>
            <w:r>
              <w:t>ENTRE :</w:t>
            </w:r>
          </w:p>
          <w:p w:rsidR="00A671D7" w:rsidRDefault="00013596" w:rsidP="00A671D7">
            <w:pPr>
              <w:pStyle w:val="SCCLsocParty"/>
              <w:spacing w:line="360" w:lineRule="auto"/>
            </w:pPr>
            <w:r>
              <w:t>G.G</w:t>
            </w:r>
            <w:proofErr w:type="gramStart"/>
            <w:r>
              <w:t>.</w:t>
            </w:r>
            <w:proofErr w:type="gramEnd"/>
            <w:r>
              <w:br/>
              <w:t>Demandeur</w:t>
            </w:r>
          </w:p>
          <w:p w:rsidR="004B345A" w:rsidRDefault="00013596" w:rsidP="004B345A">
            <w:pPr>
              <w:pStyle w:val="SCCLsocParty"/>
              <w:spacing w:line="360" w:lineRule="auto"/>
            </w:pPr>
            <w:r>
              <w:t>- et -</w:t>
            </w:r>
            <w:r>
              <w:br/>
            </w:r>
            <w:r w:rsidR="00A671D7">
              <w:t>Ministre de l’E</w:t>
            </w:r>
            <w:r>
              <w:t xml:space="preserve">mploi et de la </w:t>
            </w:r>
            <w:r w:rsidR="00A671D7">
              <w:t>S</w:t>
            </w:r>
            <w:r>
              <w:t>olidarité sociale</w:t>
            </w:r>
            <w:r>
              <w:br/>
              <w:t>Intimé</w:t>
            </w:r>
          </w:p>
          <w:p w:rsidR="006221FC" w:rsidRDefault="00013596" w:rsidP="004B345A">
            <w:pPr>
              <w:pStyle w:val="SCCLsocParty"/>
              <w:spacing w:line="360" w:lineRule="auto"/>
            </w:pPr>
            <w:r>
              <w:br/>
              <w:t>Tribunal administratif du Québec</w:t>
            </w:r>
            <w:r>
              <w:br/>
              <w:t>Intervenant</w:t>
            </w:r>
          </w:p>
        </w:tc>
        <w:tc>
          <w:tcPr>
            <w:tcW w:w="368" w:type="pct"/>
          </w:tcPr>
          <w:p w:rsidR="00824412" w:rsidRPr="004B345A" w:rsidRDefault="00824412" w:rsidP="00375294"/>
        </w:tc>
        <w:tc>
          <w:tcPr>
            <w:tcW w:w="2287" w:type="pct"/>
            <w:gridSpan w:val="2"/>
          </w:tcPr>
          <w:p w:rsidR="006221FC" w:rsidRPr="00A671D7" w:rsidRDefault="00013596" w:rsidP="00013596">
            <w:pPr>
              <w:pStyle w:val="SCCLsocPrefix"/>
              <w:spacing w:line="360" w:lineRule="auto"/>
              <w:rPr>
                <w:lang w:val="en-CA"/>
              </w:rPr>
            </w:pPr>
            <w:r w:rsidRPr="00A671D7">
              <w:rPr>
                <w:lang w:val="en-CA"/>
              </w:rPr>
              <w:t>BETWEEN:</w:t>
            </w:r>
          </w:p>
          <w:p w:rsidR="00A671D7" w:rsidRDefault="00013596" w:rsidP="00A671D7">
            <w:pPr>
              <w:pStyle w:val="SCCLsocParty"/>
              <w:spacing w:line="360" w:lineRule="auto"/>
              <w:rPr>
                <w:lang w:val="en-CA"/>
              </w:rPr>
            </w:pPr>
            <w:r w:rsidRPr="00A671D7">
              <w:rPr>
                <w:lang w:val="en-CA"/>
              </w:rPr>
              <w:t>G.G.</w:t>
            </w:r>
            <w:r w:rsidRPr="00A671D7">
              <w:rPr>
                <w:lang w:val="en-CA"/>
              </w:rPr>
              <w:br/>
              <w:t>Applicant</w:t>
            </w:r>
          </w:p>
          <w:p w:rsidR="004B345A" w:rsidRDefault="00013596" w:rsidP="004B345A">
            <w:pPr>
              <w:pStyle w:val="SCCLsocParty"/>
              <w:spacing w:line="360" w:lineRule="auto"/>
              <w:rPr>
                <w:lang w:val="en-CA"/>
              </w:rPr>
            </w:pPr>
            <w:r w:rsidRPr="00A671D7">
              <w:rPr>
                <w:lang w:val="en-CA"/>
              </w:rPr>
              <w:t>- and -</w:t>
            </w:r>
            <w:r w:rsidRPr="00A671D7">
              <w:rPr>
                <w:lang w:val="en-CA"/>
              </w:rPr>
              <w:br/>
              <w:t>Minister of Employment and Social Solidarity</w:t>
            </w:r>
            <w:r w:rsidRPr="00A671D7">
              <w:rPr>
                <w:lang w:val="en-CA"/>
              </w:rPr>
              <w:br/>
            </w:r>
            <w:r w:rsidRPr="004B345A">
              <w:rPr>
                <w:lang w:val="en-CA"/>
              </w:rPr>
              <w:t>Respondent</w:t>
            </w:r>
          </w:p>
          <w:p w:rsidR="006221FC" w:rsidRPr="004B345A" w:rsidRDefault="00013596" w:rsidP="004B345A">
            <w:pPr>
              <w:pStyle w:val="SCCLsocParty"/>
              <w:spacing w:line="360" w:lineRule="auto"/>
              <w:rPr>
                <w:lang w:val="en-CA"/>
              </w:rPr>
            </w:pPr>
            <w:r w:rsidRPr="004B345A">
              <w:rPr>
                <w:lang w:val="en-CA"/>
              </w:rPr>
              <w:br/>
              <w:t>Administrative Tribunal of Québec</w:t>
            </w:r>
            <w:r w:rsidRPr="004B345A">
              <w:rPr>
                <w:lang w:val="en-CA"/>
              </w:rPr>
              <w:br/>
              <w:t>Intervener</w:t>
            </w:r>
          </w:p>
        </w:tc>
      </w:tr>
      <w:tr w:rsidR="00824412" w:rsidRPr="004B345A" w:rsidTr="00013596">
        <w:trPr>
          <w:trHeight w:val="135"/>
        </w:trPr>
        <w:tc>
          <w:tcPr>
            <w:tcW w:w="2253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68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79" w:type="pct"/>
            <w:gridSpan w:val="3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63C33" w:rsidTr="00013596">
        <w:tc>
          <w:tcPr>
            <w:tcW w:w="2253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763C33" w:rsidP="00763C33">
            <w:pPr>
              <w:jc w:val="both"/>
            </w:pPr>
            <w:r>
              <w:t xml:space="preserve">La </w:t>
            </w:r>
            <w:r w:rsidR="00A671D7">
              <w:t>requ</w:t>
            </w:r>
            <w:r w:rsidR="00A671D7">
              <w:rPr>
                <w:rFonts w:cs="Times New Roman"/>
              </w:rPr>
              <w:t>ê</w:t>
            </w:r>
            <w:r w:rsidR="00A671D7">
              <w:t xml:space="preserve">te pour </w:t>
            </w:r>
            <w:r w:rsidR="00A671D7">
              <w:rPr>
                <w:rFonts w:cs="Times New Roman"/>
              </w:rPr>
              <w:t>ê</w:t>
            </w:r>
            <w:r w:rsidR="00A671D7">
              <w:t>tre dispens</w:t>
            </w:r>
            <w:r w:rsidR="00A671D7">
              <w:rPr>
                <w:rFonts w:cs="Times New Roman"/>
              </w:rPr>
              <w:t>é</w:t>
            </w:r>
            <w:r w:rsidR="00A671D7">
              <w:t xml:space="preserve"> de l’observation de certaines R</w:t>
            </w:r>
            <w:r w:rsidR="00A671D7">
              <w:rPr>
                <w:rFonts w:cs="Times New Roman"/>
              </w:rPr>
              <w:t>è</w:t>
            </w:r>
            <w:r w:rsidR="00A671D7">
              <w:t xml:space="preserve">gles est accueillie.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500-09-023714-132</w:t>
            </w:r>
            <w:r w:rsidR="0027081E" w:rsidRPr="001E26DB">
              <w:t xml:space="preserve">, </w:t>
            </w:r>
            <w:r w:rsidR="00013596">
              <w:t xml:space="preserve">2013 QCCA 2207, </w:t>
            </w:r>
            <w:r w:rsidR="0027081E" w:rsidRPr="001E26DB">
              <w:t xml:space="preserve">daté du </w:t>
            </w:r>
            <w:r w:rsidR="0027081E">
              <w:t>16 décembre 2013</w:t>
            </w:r>
            <w:r w:rsidR="0027081E" w:rsidRPr="001E26DB">
              <w:t xml:space="preserve">, est </w:t>
            </w:r>
            <w:r w:rsidR="00013596">
              <w:t>rejet</w:t>
            </w:r>
            <w:r w:rsidR="00013596">
              <w:rPr>
                <w:rFonts w:cs="Times New Roman"/>
              </w:rPr>
              <w:t>é</w:t>
            </w:r>
            <w:r w:rsidR="00013596">
              <w:t>e sans d</w:t>
            </w:r>
            <w:r w:rsidR="00013596">
              <w:rPr>
                <w:rFonts w:cs="Times New Roman"/>
              </w:rPr>
              <w:t>é</w:t>
            </w:r>
            <w:r w:rsidR="00013596">
              <w:t>pens.</w:t>
            </w:r>
          </w:p>
        </w:tc>
        <w:tc>
          <w:tcPr>
            <w:tcW w:w="368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79" w:type="pct"/>
            <w:gridSpan w:val="3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A671D7" w:rsidP="00013596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to be excused from complying with certain Rules is granted. 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0" w:name="BM_1_"/>
            <w:bookmarkEnd w:id="0"/>
            <w:r w:rsidR="0027081E" w:rsidRPr="001E26DB">
              <w:rPr>
                <w:lang w:val="en-CA"/>
              </w:rPr>
              <w:t xml:space="preserve"> </w:t>
            </w:r>
            <w:r w:rsidR="0027081E" w:rsidRPr="00A671D7">
              <w:rPr>
                <w:lang w:val="en-CA"/>
              </w:rPr>
              <w:t>Court of Appeal of Quebec (Montréal)</w:t>
            </w:r>
            <w:r w:rsidR="0027081E" w:rsidRPr="001E26DB">
              <w:rPr>
                <w:lang w:val="en-CA"/>
              </w:rPr>
              <w:t>, Number</w:t>
            </w:r>
            <w:r w:rsidR="00013596">
              <w:rPr>
                <w:lang w:val="en-CA"/>
              </w:rPr>
              <w:t xml:space="preserve"> </w:t>
            </w:r>
            <w:r w:rsidR="0027081E" w:rsidRPr="00A671D7">
              <w:rPr>
                <w:lang w:val="en-CA"/>
              </w:rPr>
              <w:t>500-09-023714-132</w:t>
            </w:r>
            <w:r w:rsidR="0027081E" w:rsidRPr="001E26DB">
              <w:rPr>
                <w:lang w:val="en-CA"/>
              </w:rPr>
              <w:t xml:space="preserve">, </w:t>
            </w:r>
            <w:r w:rsidR="00013596" w:rsidRPr="00A671D7">
              <w:rPr>
                <w:lang w:val="en-CA"/>
              </w:rPr>
              <w:t xml:space="preserve">2013 QCCA 2207,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A671D7">
              <w:rPr>
                <w:lang w:val="en-CA"/>
              </w:rPr>
              <w:t>December 16, 2013</w:t>
            </w:r>
            <w:r w:rsidR="00013596" w:rsidRPr="00A671D7">
              <w:rPr>
                <w:lang w:val="en-CA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013596">
              <w:rPr>
                <w:lang w:val="en-CA"/>
              </w:rPr>
              <w:t>dismissed without costs.</w:t>
            </w:r>
          </w:p>
        </w:tc>
      </w:tr>
    </w:tbl>
    <w:p w:rsidR="009F436C" w:rsidRDefault="009F436C" w:rsidP="00382FEC">
      <w:pPr>
        <w:rPr>
          <w:lang w:val="en-US"/>
        </w:rPr>
      </w:pPr>
    </w:p>
    <w:p w:rsidR="00A671D7" w:rsidRDefault="00A671D7" w:rsidP="00382FEC">
      <w:pPr>
        <w:rPr>
          <w:lang w:val="en-US"/>
        </w:rPr>
      </w:pPr>
    </w:p>
    <w:p w:rsidR="00A671D7" w:rsidRDefault="00A671D7" w:rsidP="00382FEC">
      <w:pPr>
        <w:rPr>
          <w:lang w:val="en-US"/>
        </w:rPr>
      </w:pPr>
    </w:p>
    <w:p w:rsidR="00655333" w:rsidRPr="00F67F03" w:rsidRDefault="00763C33" w:rsidP="00655333">
      <w:pPr>
        <w:jc w:val="center"/>
        <w:rPr>
          <w:lang w:val="fr-FR"/>
        </w:rPr>
      </w:pPr>
      <w:r>
        <w:rPr>
          <w:lang w:val="fr-FR"/>
        </w:rPr>
        <w:t>J.C.S.C</w:t>
      </w:r>
      <w:r w:rsidR="00655333" w:rsidRPr="00F67F03">
        <w:rPr>
          <w:lang w:val="fr-FR"/>
        </w:rPr>
        <w:t>.</w:t>
      </w:r>
    </w:p>
    <w:p w:rsidR="00655333" w:rsidRPr="00F67F03" w:rsidRDefault="00763C33" w:rsidP="00655333">
      <w:pPr>
        <w:jc w:val="center"/>
        <w:rPr>
          <w:lang w:val="fr-FR"/>
        </w:rPr>
      </w:pPr>
      <w:r>
        <w:rPr>
          <w:lang w:val="fr-FR"/>
        </w:rPr>
        <w:t>J.S.C.C.</w:t>
      </w:r>
    </w:p>
    <w:sectPr w:rsidR="00655333" w:rsidRPr="00F67F03" w:rsidSect="00A671D7">
      <w:headerReference w:type="default" r:id="rId6"/>
      <w:pgSz w:w="12240" w:h="15840"/>
      <w:pgMar w:top="1152" w:right="1440" w:bottom="86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533C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533C9" w:rsidRPr="00417FB7">
      <w:rPr>
        <w:szCs w:val="24"/>
      </w:rPr>
      <w:fldChar w:fldCharType="separate"/>
    </w:r>
    <w:r w:rsidR="00A671D7">
      <w:rPr>
        <w:noProof/>
        <w:szCs w:val="24"/>
      </w:rPr>
      <w:t>2</w:t>
    </w:r>
    <w:r w:rsidR="00A533C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35731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3596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1425D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B345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1FC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63C33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533C9"/>
    <w:rsid w:val="00A671D7"/>
    <w:rsid w:val="00AB2189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875</Characters>
  <Application>Microsoft Office Word</Application>
  <DocSecurity>0</DocSecurity>
  <Lines>7</Lines>
  <Paragraphs>2</Paragraphs>
  <ScaleCrop>false</ScaleCrop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2014-03-31T18:27:00Z</dcterms:created>
  <dcterms:modified xsi:type="dcterms:W3CDTF">2014-04-16T15:32:00Z</dcterms:modified>
</cp:coreProperties>
</file>