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261A9" w:rsidP="001261A9">
            <w:r>
              <w:t>Le 1</w:t>
            </w:r>
            <w:r w:rsidR="00990F06">
              <w:t xml:space="preserve">0 </w:t>
            </w:r>
            <w:r>
              <w:t>avril</w:t>
            </w:r>
            <w:r w:rsidR="00990F06"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261A9" w:rsidP="0027081E">
            <w:pPr>
              <w:rPr>
                <w:lang w:val="en-CA"/>
              </w:rPr>
            </w:pPr>
            <w:r>
              <w:t>April 10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310F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03732">
              <w:rPr>
                <w:lang w:val="en-US"/>
              </w:rPr>
              <w:t>LeBel, Karakatsanis and Wagner JJ.</w:t>
            </w:r>
          </w:p>
        </w:tc>
      </w:tr>
      <w:tr w:rsidR="00C2612E" w:rsidRPr="00F310F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373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373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E1E07" w:rsidRDefault="00003732">
            <w:pPr>
              <w:pStyle w:val="SCCLsocPrefix"/>
            </w:pPr>
            <w:r>
              <w:t>ENTRE :</w:t>
            </w:r>
            <w:r>
              <w:br/>
            </w:r>
          </w:p>
          <w:p w:rsidR="00AE1E07" w:rsidRDefault="00003732">
            <w:pPr>
              <w:pStyle w:val="SCCLsocParty"/>
            </w:pPr>
            <w:r>
              <w:t xml:space="preserve">Antonio </w:t>
            </w:r>
            <w:proofErr w:type="spellStart"/>
            <w:r>
              <w:t>Accurso</w:t>
            </w:r>
            <w:proofErr w:type="spellEnd"/>
            <w:r>
              <w:br/>
            </w:r>
          </w:p>
          <w:p w:rsidR="00AE1E07" w:rsidRDefault="00003732">
            <w:pPr>
              <w:pStyle w:val="SCCLsocPartyRole"/>
            </w:pPr>
            <w:r>
              <w:t>Demandeur</w:t>
            </w:r>
            <w:r>
              <w:br/>
            </w:r>
          </w:p>
          <w:p w:rsidR="00AE1E07" w:rsidRDefault="00003732">
            <w:pPr>
              <w:pStyle w:val="SCCLsocVersus"/>
            </w:pPr>
            <w:r>
              <w:t>- et -</w:t>
            </w:r>
            <w:r>
              <w:br/>
            </w:r>
          </w:p>
          <w:p w:rsidR="00EC450C" w:rsidRDefault="00003732">
            <w:pPr>
              <w:pStyle w:val="SCCLsocParty"/>
            </w:pPr>
            <w:r>
              <w:t>France Charbonneau, ès qualités de commissaire e</w:t>
            </w:r>
            <w:r w:rsidR="001261A9">
              <w:t>t présidente de la Commission d’enquête sur l’</w:t>
            </w:r>
            <w:r>
              <w:t>octroi et la gestion des contrats publics dans l</w:t>
            </w:r>
            <w:r w:rsidR="003D6A1E">
              <w:t>’</w:t>
            </w:r>
            <w:r>
              <w:t>industrie de la construction, Roderick A. Macdonald, ès qualités de</w:t>
            </w:r>
            <w:r w:rsidR="001261A9">
              <w:t xml:space="preserve"> commissaire de la Commission d’</w:t>
            </w:r>
            <w:r>
              <w:t>enquête sur l</w:t>
            </w:r>
            <w:r w:rsidR="001261A9">
              <w:t>’</w:t>
            </w:r>
            <w:r>
              <w:t>octroi et la gestion des contrats publics dans l</w:t>
            </w:r>
            <w:r w:rsidR="001261A9">
              <w:t>’</w:t>
            </w:r>
            <w:r>
              <w:t>indus</w:t>
            </w:r>
            <w:r w:rsidR="00563AC2">
              <w:t xml:space="preserve">trie de la construction, </w:t>
            </w:r>
            <w:r w:rsidR="00563AC2" w:rsidRPr="00F310FE">
              <w:t>Renaud</w:t>
            </w:r>
            <w:r>
              <w:t xml:space="preserve"> Lachance, ès qualités de commissaire d</w:t>
            </w:r>
            <w:r w:rsidR="003D6A1E">
              <w:t>e la Commission d</w:t>
            </w:r>
            <w:r w:rsidR="00EC450C">
              <w:t>’</w:t>
            </w:r>
            <w:r w:rsidR="003D6A1E">
              <w:t>enquête sur l’</w:t>
            </w:r>
            <w:r>
              <w:t>octroi et la gestion des</w:t>
            </w:r>
            <w:r w:rsidR="001261A9">
              <w:t xml:space="preserve"> contrats publics dans l’</w:t>
            </w:r>
            <w:r>
              <w:t>industrie de la construction</w:t>
            </w:r>
            <w:r w:rsidR="00EC450C">
              <w:t xml:space="preserve"> et</w:t>
            </w:r>
          </w:p>
          <w:p w:rsidR="00AE1E07" w:rsidRDefault="00003732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6A58A8" w:rsidRPr="006A58A8" w:rsidRDefault="006A58A8" w:rsidP="006A58A8"/>
          <w:p w:rsidR="006A58A8" w:rsidRDefault="00003732" w:rsidP="006A58A8">
            <w:pPr>
              <w:pStyle w:val="SCCLsocPartyRole"/>
            </w:pPr>
            <w:r>
              <w:t>Intimés</w:t>
            </w:r>
            <w:r>
              <w:br/>
            </w:r>
          </w:p>
          <w:p w:rsidR="007B55E1" w:rsidRDefault="007B55E1" w:rsidP="007B55E1">
            <w:pPr>
              <w:pStyle w:val="SCCLsocVersus"/>
            </w:pPr>
            <w:r>
              <w:t>- et -</w:t>
            </w:r>
            <w:r>
              <w:br/>
            </w:r>
          </w:p>
          <w:p w:rsidR="00AE1E07" w:rsidRDefault="00003732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:rsidR="00AE1E07" w:rsidRDefault="00003732" w:rsidP="007B55E1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:rsidR="00824412" w:rsidRPr="006A58A8" w:rsidRDefault="00824412" w:rsidP="00375294"/>
        </w:tc>
        <w:tc>
          <w:tcPr>
            <w:tcW w:w="2350" w:type="pct"/>
          </w:tcPr>
          <w:p w:rsidR="00AE1E07" w:rsidRPr="00003732" w:rsidRDefault="00003732">
            <w:pPr>
              <w:pStyle w:val="SCCLsocPrefix"/>
              <w:rPr>
                <w:lang w:val="en-US"/>
              </w:rPr>
            </w:pPr>
            <w:r w:rsidRPr="00003732">
              <w:rPr>
                <w:lang w:val="en-US"/>
              </w:rPr>
              <w:t>BETWEEN:</w:t>
            </w:r>
            <w:r w:rsidRPr="00003732">
              <w:rPr>
                <w:lang w:val="en-US"/>
              </w:rPr>
              <w:br/>
            </w:r>
          </w:p>
          <w:p w:rsidR="00AE1E07" w:rsidRPr="00003732" w:rsidRDefault="00003732">
            <w:pPr>
              <w:pStyle w:val="SCCLsocParty"/>
              <w:rPr>
                <w:lang w:val="en-US"/>
              </w:rPr>
            </w:pPr>
            <w:r w:rsidRPr="00003732">
              <w:rPr>
                <w:lang w:val="en-US"/>
              </w:rPr>
              <w:t>Antonio Accurso</w:t>
            </w:r>
            <w:r w:rsidRPr="00003732">
              <w:rPr>
                <w:lang w:val="en-US"/>
              </w:rPr>
              <w:br/>
            </w:r>
          </w:p>
          <w:p w:rsidR="00AE1E07" w:rsidRPr="00003732" w:rsidRDefault="00003732">
            <w:pPr>
              <w:pStyle w:val="SCCLsocPartyRole"/>
              <w:rPr>
                <w:lang w:val="en-US"/>
              </w:rPr>
            </w:pPr>
            <w:r w:rsidRPr="00003732">
              <w:rPr>
                <w:lang w:val="en-US"/>
              </w:rPr>
              <w:t>Applicant</w:t>
            </w:r>
            <w:r w:rsidRPr="00003732">
              <w:rPr>
                <w:lang w:val="en-US"/>
              </w:rPr>
              <w:br/>
            </w:r>
          </w:p>
          <w:p w:rsidR="00AE1E07" w:rsidRPr="00003732" w:rsidRDefault="00003732">
            <w:pPr>
              <w:pStyle w:val="SCCLsocVersus"/>
              <w:rPr>
                <w:lang w:val="en-US"/>
              </w:rPr>
            </w:pPr>
            <w:r w:rsidRPr="00003732">
              <w:rPr>
                <w:lang w:val="en-US"/>
              </w:rPr>
              <w:t>- and -</w:t>
            </w:r>
            <w:r w:rsidRPr="00003732">
              <w:rPr>
                <w:lang w:val="en-US"/>
              </w:rPr>
              <w:br/>
            </w:r>
          </w:p>
          <w:p w:rsidR="00EC450C" w:rsidRPr="006A58A8" w:rsidRDefault="00003732">
            <w:pPr>
              <w:pStyle w:val="SCCLsocParty"/>
              <w:rPr>
                <w:lang w:val="en-CA"/>
              </w:rPr>
            </w:pPr>
            <w:r w:rsidRPr="006A58A8">
              <w:rPr>
                <w:lang w:val="en-CA"/>
              </w:rPr>
              <w:t xml:space="preserve">France Charbonneau, </w:t>
            </w:r>
            <w:r w:rsidR="00440E1A" w:rsidRPr="006A58A8">
              <w:rPr>
                <w:lang w:val="en-CA"/>
              </w:rPr>
              <w:t>in her capacity as commissioner and president of the</w:t>
            </w:r>
            <w:r w:rsidR="00EC450C" w:rsidRPr="006A58A8">
              <w:rPr>
                <w:lang w:val="en-CA"/>
              </w:rPr>
              <w:t xml:space="preserve"> Commission </w:t>
            </w:r>
            <w:r w:rsidR="00563AC2" w:rsidRPr="006A58A8">
              <w:rPr>
                <w:lang w:val="en-CA"/>
              </w:rPr>
              <w:t>of Inquiry on the Awarding and Management of Public Contracts in the Construction Industry</w:t>
            </w:r>
            <w:r w:rsidRPr="006A58A8">
              <w:rPr>
                <w:lang w:val="en-CA"/>
              </w:rPr>
              <w:t xml:space="preserve">, Roderick A. Macdonald, </w:t>
            </w:r>
            <w:r w:rsidR="00440E1A" w:rsidRPr="006A58A8">
              <w:rPr>
                <w:lang w:val="en-CA"/>
              </w:rPr>
              <w:t xml:space="preserve">in his capacity as commissioner of the </w:t>
            </w:r>
            <w:r w:rsidR="00EC450C" w:rsidRPr="006A58A8">
              <w:rPr>
                <w:lang w:val="en-CA"/>
              </w:rPr>
              <w:t xml:space="preserve">Commission </w:t>
            </w:r>
            <w:r w:rsidR="00563AC2" w:rsidRPr="006A58A8">
              <w:rPr>
                <w:lang w:val="en-CA"/>
              </w:rPr>
              <w:t>of Inquiry on the Awarding and Management of Public Contracts in the Construction Industry, Renaud</w:t>
            </w:r>
            <w:r w:rsidRPr="006A58A8">
              <w:rPr>
                <w:lang w:val="en-CA"/>
              </w:rPr>
              <w:t xml:space="preserve"> Lachance, </w:t>
            </w:r>
            <w:r w:rsidR="00440E1A" w:rsidRPr="006A58A8">
              <w:rPr>
                <w:lang w:val="en-CA"/>
              </w:rPr>
              <w:t>in his capacity as commissioner of the</w:t>
            </w:r>
            <w:r w:rsidRPr="006A58A8">
              <w:rPr>
                <w:lang w:val="en-CA"/>
              </w:rPr>
              <w:t xml:space="preserve"> Commission </w:t>
            </w:r>
            <w:r w:rsidR="00563AC2" w:rsidRPr="006A58A8">
              <w:rPr>
                <w:lang w:val="en-CA"/>
              </w:rPr>
              <w:t>of Inquiry on the Awarding and Management of Public Contracts in the Construction Industry</w:t>
            </w:r>
            <w:r w:rsidR="00EC450C" w:rsidRPr="006A58A8">
              <w:rPr>
                <w:lang w:val="en-CA"/>
              </w:rPr>
              <w:t xml:space="preserve"> and</w:t>
            </w:r>
          </w:p>
          <w:p w:rsidR="00AE1E07" w:rsidRPr="006A58A8" w:rsidRDefault="00003732">
            <w:pPr>
              <w:pStyle w:val="SCCLsocParty"/>
              <w:rPr>
                <w:lang w:val="en-US"/>
              </w:rPr>
            </w:pPr>
            <w:r w:rsidRPr="006A58A8">
              <w:rPr>
                <w:lang w:val="en-CA"/>
              </w:rPr>
              <w:t>Attorney General of Quebec</w:t>
            </w:r>
            <w:r w:rsidRPr="006A58A8">
              <w:rPr>
                <w:lang w:val="en-US"/>
              </w:rPr>
              <w:br/>
            </w:r>
          </w:p>
          <w:p w:rsidR="00EC450C" w:rsidRPr="006A58A8" w:rsidRDefault="00EC450C" w:rsidP="00EC450C">
            <w:pPr>
              <w:rPr>
                <w:lang w:val="en-US"/>
              </w:rPr>
            </w:pPr>
          </w:p>
          <w:p w:rsidR="007B55E1" w:rsidRPr="00003732" w:rsidRDefault="00003732" w:rsidP="007B55E1">
            <w:pPr>
              <w:pStyle w:val="SCCLsocPartyRole"/>
              <w:rPr>
                <w:lang w:val="en-US"/>
              </w:rPr>
            </w:pPr>
            <w:r w:rsidRPr="006A58A8">
              <w:rPr>
                <w:lang w:val="en-US"/>
              </w:rPr>
              <w:t>Respondents</w:t>
            </w:r>
            <w:r w:rsidRPr="006A58A8">
              <w:rPr>
                <w:lang w:val="en-US"/>
              </w:rPr>
              <w:br/>
            </w:r>
          </w:p>
          <w:p w:rsidR="007B55E1" w:rsidRPr="006A58A8" w:rsidRDefault="007B55E1" w:rsidP="007B55E1">
            <w:pPr>
              <w:pStyle w:val="SCCLsocVersus"/>
              <w:rPr>
                <w:lang w:val="en-US"/>
              </w:rPr>
            </w:pPr>
            <w:r w:rsidRPr="006A58A8">
              <w:rPr>
                <w:lang w:val="en-US"/>
              </w:rPr>
              <w:t>- and -</w:t>
            </w:r>
            <w:r w:rsidRPr="006A58A8">
              <w:rPr>
                <w:lang w:val="en-US"/>
              </w:rPr>
              <w:br/>
            </w:r>
          </w:p>
          <w:p w:rsidR="00AE1E07" w:rsidRDefault="00356927">
            <w:pPr>
              <w:pStyle w:val="SCCLsocParty"/>
              <w:rPr>
                <w:lang w:val="en-US"/>
              </w:rPr>
            </w:pPr>
            <w:r w:rsidRPr="006A58A8">
              <w:rPr>
                <w:lang w:val="en-US"/>
              </w:rPr>
              <w:t>Director of Criminal and Penal Prosecutions</w:t>
            </w:r>
            <w:r w:rsidR="00003732" w:rsidRPr="006A58A8">
              <w:rPr>
                <w:lang w:val="en-US"/>
              </w:rPr>
              <w:br/>
            </w:r>
          </w:p>
          <w:p w:rsidR="006A58A8" w:rsidRPr="006A58A8" w:rsidRDefault="006A58A8" w:rsidP="006A58A8">
            <w:pPr>
              <w:rPr>
                <w:lang w:val="en-US"/>
              </w:rPr>
            </w:pPr>
          </w:p>
          <w:p w:rsidR="00AE1E07" w:rsidRDefault="00003732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310F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7415E" w:rsidP="0077415E">
            <w:pPr>
              <w:jc w:val="both"/>
            </w:pPr>
            <w:r>
              <w:t xml:space="preserve">La requête sollicitant une ordonnance pourvoyant au traitement accéléré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500-09-024202-145</w:t>
            </w:r>
            <w:r w:rsidR="0027081E" w:rsidRPr="001E26DB">
              <w:t>,</w:t>
            </w:r>
            <w:r w:rsidR="006A58A8">
              <w:t xml:space="preserve"> 2014 QCCA 282,</w:t>
            </w:r>
            <w:r w:rsidR="0027081E" w:rsidRPr="001E26DB">
              <w:t xml:space="preserve"> daté du </w:t>
            </w:r>
            <w:r w:rsidR="0027081E">
              <w:t>17 février 2014</w:t>
            </w:r>
            <w:r w:rsidR="0027081E" w:rsidRPr="001E26DB">
              <w:t xml:space="preserve">, est </w:t>
            </w:r>
            <w:r>
              <w:t>rejetée avec dépens en faveur des intimés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2452F" w:rsidP="00B2452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seeking an order for expedited treatment of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003732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03732">
              <w:rPr>
                <w:lang w:val="en-US"/>
              </w:rPr>
              <w:t>500-09-024202-145</w:t>
            </w:r>
            <w:r w:rsidR="0027081E" w:rsidRPr="001E26DB">
              <w:rPr>
                <w:lang w:val="en-CA"/>
              </w:rPr>
              <w:t>,</w:t>
            </w:r>
            <w:r w:rsidR="006A58A8">
              <w:rPr>
                <w:lang w:val="en-CA"/>
              </w:rPr>
              <w:t xml:space="preserve"> 2014 QCCA 282,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003732">
              <w:rPr>
                <w:lang w:val="en-US"/>
              </w:rPr>
              <w:t>February 17, 2014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 to the respondents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A58A8" w:rsidRDefault="00655333" w:rsidP="00655333">
      <w:pPr>
        <w:jc w:val="center"/>
        <w:rPr>
          <w:lang w:val="en-US"/>
        </w:rPr>
      </w:pPr>
    </w:p>
    <w:p w:rsidR="00655333" w:rsidRPr="001261A9" w:rsidRDefault="00655333" w:rsidP="00655333">
      <w:pPr>
        <w:jc w:val="center"/>
      </w:pPr>
      <w:r w:rsidRPr="001261A9">
        <w:t>J.C.S.C.</w:t>
      </w:r>
    </w:p>
    <w:p w:rsidR="009F436C" w:rsidRPr="002C29B6" w:rsidRDefault="00655333" w:rsidP="00B2452F">
      <w:pPr>
        <w:jc w:val="center"/>
        <w:rPr>
          <w:lang w:val="en-US"/>
        </w:rPr>
      </w:pPr>
      <w:r w:rsidRPr="001261A9">
        <w:t>J.S.C.C.</w:t>
      </w:r>
      <w:r w:rsidR="00B2452F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1E" w:rsidRDefault="003D6A1E">
      <w:r>
        <w:separator/>
      </w:r>
    </w:p>
  </w:endnote>
  <w:endnote w:type="continuationSeparator" w:id="0">
    <w:p w:rsidR="003D6A1E" w:rsidRDefault="003D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1E" w:rsidRDefault="003D6A1E">
      <w:r>
        <w:separator/>
      </w:r>
    </w:p>
  </w:footnote>
  <w:footnote w:type="continuationSeparator" w:id="0">
    <w:p w:rsidR="003D6A1E" w:rsidRDefault="003D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1E" w:rsidRDefault="003D6A1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05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055D" w:rsidRPr="00417FB7">
      <w:rPr>
        <w:szCs w:val="24"/>
      </w:rPr>
      <w:fldChar w:fldCharType="separate"/>
    </w:r>
    <w:r w:rsidR="000B34F2">
      <w:rPr>
        <w:noProof/>
        <w:szCs w:val="24"/>
      </w:rPr>
      <w:t>2</w:t>
    </w:r>
    <w:r w:rsidR="007C05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D6A1E" w:rsidRDefault="003D6A1E" w:rsidP="00401B64">
    <w:pPr>
      <w:rPr>
        <w:szCs w:val="24"/>
      </w:rPr>
    </w:pPr>
  </w:p>
  <w:p w:rsidR="003D6A1E" w:rsidRDefault="003D6A1E" w:rsidP="00401B64">
    <w:pPr>
      <w:rPr>
        <w:szCs w:val="24"/>
      </w:rPr>
    </w:pPr>
  </w:p>
  <w:p w:rsidR="003D6A1E" w:rsidRDefault="003D6A1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35748</w:t>
    </w:r>
    <w:r>
      <w:rPr>
        <w:szCs w:val="24"/>
      </w:rPr>
      <w:t>     </w:t>
    </w:r>
  </w:p>
  <w:p w:rsidR="003D6A1E" w:rsidRDefault="003D6A1E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3732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34F2"/>
    <w:rsid w:val="000B76FF"/>
    <w:rsid w:val="000D7521"/>
    <w:rsid w:val="000E4CCE"/>
    <w:rsid w:val="000F44E1"/>
    <w:rsid w:val="001261A9"/>
    <w:rsid w:val="00130C0B"/>
    <w:rsid w:val="00195E00"/>
    <w:rsid w:val="001A1CE1"/>
    <w:rsid w:val="001D0116"/>
    <w:rsid w:val="001D4323"/>
    <w:rsid w:val="001E26DB"/>
    <w:rsid w:val="002030E6"/>
    <w:rsid w:val="00203642"/>
    <w:rsid w:val="00206C51"/>
    <w:rsid w:val="00215653"/>
    <w:rsid w:val="0027081E"/>
    <w:rsid w:val="002B5FA6"/>
    <w:rsid w:val="002C29B6"/>
    <w:rsid w:val="0031097F"/>
    <w:rsid w:val="0031165C"/>
    <w:rsid w:val="00311ACE"/>
    <w:rsid w:val="003174AD"/>
    <w:rsid w:val="00356927"/>
    <w:rsid w:val="00374E7D"/>
    <w:rsid w:val="00375294"/>
    <w:rsid w:val="00382FEC"/>
    <w:rsid w:val="00385A90"/>
    <w:rsid w:val="003A37CF"/>
    <w:rsid w:val="003B1F3D"/>
    <w:rsid w:val="003B7760"/>
    <w:rsid w:val="003C744C"/>
    <w:rsid w:val="003D6A1E"/>
    <w:rsid w:val="003D7CE6"/>
    <w:rsid w:val="003E4813"/>
    <w:rsid w:val="00401B64"/>
    <w:rsid w:val="00414694"/>
    <w:rsid w:val="0041775C"/>
    <w:rsid w:val="00417FB7"/>
    <w:rsid w:val="00430004"/>
    <w:rsid w:val="00440E1A"/>
    <w:rsid w:val="00474535"/>
    <w:rsid w:val="004943CF"/>
    <w:rsid w:val="004956DA"/>
    <w:rsid w:val="004F63BA"/>
    <w:rsid w:val="00504B7F"/>
    <w:rsid w:val="00524C94"/>
    <w:rsid w:val="00563AC2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A58A8"/>
    <w:rsid w:val="006C1359"/>
    <w:rsid w:val="006F1DF9"/>
    <w:rsid w:val="00701109"/>
    <w:rsid w:val="007372EA"/>
    <w:rsid w:val="0076003F"/>
    <w:rsid w:val="0077415E"/>
    <w:rsid w:val="0079129C"/>
    <w:rsid w:val="007919AE"/>
    <w:rsid w:val="007A54CC"/>
    <w:rsid w:val="007B340F"/>
    <w:rsid w:val="007B55E1"/>
    <w:rsid w:val="007C055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E07"/>
    <w:rsid w:val="00AE2077"/>
    <w:rsid w:val="00AF1D29"/>
    <w:rsid w:val="00B2452F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2C90"/>
    <w:rsid w:val="00E600ED"/>
    <w:rsid w:val="00E777AD"/>
    <w:rsid w:val="00E81C0B"/>
    <w:rsid w:val="00EA4B61"/>
    <w:rsid w:val="00EC450C"/>
    <w:rsid w:val="00EF4EF2"/>
    <w:rsid w:val="00F06BF6"/>
    <w:rsid w:val="00F1759D"/>
    <w:rsid w:val="00F310FE"/>
    <w:rsid w:val="00F4094A"/>
    <w:rsid w:val="00F40FBF"/>
    <w:rsid w:val="00F415CC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2014-04-07T15:16:00Z</dcterms:created>
  <dcterms:modified xsi:type="dcterms:W3CDTF">2014-04-07T15:16:00Z</dcterms:modified>
</cp:coreProperties>
</file>