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B380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B380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380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3B380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380E" w:rsidTr="002E5576">
        <w:tc>
          <w:tcPr>
            <w:tcW w:w="4518" w:type="dxa"/>
          </w:tcPr>
          <w:p w:rsidR="00BF25F3" w:rsidRPr="002E2327" w:rsidRDefault="003E770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E770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51C53"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19</w:t>
      </w:r>
      <w:r w:rsidR="00440E24" w:rsidRPr="00675479">
        <w:rPr>
          <w:lang w:val="fr-CA"/>
        </w:rPr>
        <w:t>, 2010</w:t>
      </w:r>
      <w:r w:rsidR="00F0068D" w:rsidRPr="00675479">
        <w:rPr>
          <w:lang w:val="fr-CA"/>
        </w:rPr>
        <w:tab/>
        <w:t>1</w:t>
      </w:r>
      <w:r w:rsidR="00AF3487">
        <w:rPr>
          <w:lang w:val="fr-CA"/>
        </w:rPr>
        <w:t>445</w:t>
      </w:r>
      <w:r w:rsidR="00F0068D" w:rsidRPr="00675479">
        <w:rPr>
          <w:lang w:val="fr-CA"/>
        </w:rPr>
        <w:t xml:space="preserve"> - </w:t>
      </w:r>
      <w:r w:rsidR="004F644C">
        <w:rPr>
          <w:lang w:val="fr-CA"/>
        </w:rPr>
        <w:t>149</w:t>
      </w:r>
      <w:r w:rsidR="00324BAE">
        <w:rPr>
          <w:lang w:val="fr-CA"/>
        </w:rPr>
        <w:t>6</w:t>
      </w:r>
      <w:r w:rsidR="00440E24" w:rsidRPr="00675479">
        <w:rPr>
          <w:lang w:val="fr-CA"/>
        </w:rPr>
        <w:tab/>
      </w:r>
      <w:r w:rsidR="00440E24" w:rsidRPr="002E2327">
        <w:rPr>
          <w:lang w:val="fr-CA"/>
        </w:rPr>
        <w:t xml:space="preserve">Le </w:t>
      </w:r>
      <w:r>
        <w:rPr>
          <w:lang w:val="fr-CA"/>
        </w:rPr>
        <w:t>19 novembre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xml:space="preserve">© </w:t>
      </w:r>
      <w:proofErr w:type="spellStart"/>
      <w:r w:rsidRPr="00675479">
        <w:rPr>
          <w:sz w:val="18"/>
          <w:szCs w:val="18"/>
          <w:lang w:val="fr-CA"/>
        </w:rPr>
        <w:t>Supreme</w:t>
      </w:r>
      <w:proofErr w:type="spellEnd"/>
      <w:r w:rsidRPr="00675479">
        <w:rPr>
          <w:sz w:val="18"/>
          <w:szCs w:val="18"/>
          <w:lang w:val="fr-CA"/>
        </w:rPr>
        <w:t xml:space="preserv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367C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A87207" w:rsidRPr="002E2327" w:rsidRDefault="00A87207" w:rsidP="006C61B1">
            <w:pPr>
              <w:tabs>
                <w:tab w:val="right" w:pos="9360"/>
              </w:tabs>
              <w:rPr>
                <w:rFonts w:cs="Times New Roman"/>
                <w:sz w:val="20"/>
                <w:szCs w:val="20"/>
              </w:rPr>
            </w:pPr>
          </w:p>
        </w:tc>
        <w:tc>
          <w:tcPr>
            <w:tcW w:w="1980" w:type="dxa"/>
          </w:tcPr>
          <w:p w:rsidR="0095096B" w:rsidRPr="002E2327" w:rsidRDefault="00451C53" w:rsidP="0095096B">
            <w:pPr>
              <w:jc w:val="center"/>
              <w:rPr>
                <w:rFonts w:cs="Times New Roman"/>
                <w:sz w:val="20"/>
                <w:szCs w:val="20"/>
              </w:rPr>
            </w:pPr>
            <w:r>
              <w:rPr>
                <w:rFonts w:cs="Times New Roman"/>
                <w:sz w:val="20"/>
                <w:szCs w:val="20"/>
              </w:rPr>
              <w:t>1445</w:t>
            </w:r>
            <w:r w:rsidR="003E770A" w:rsidRPr="002E2327">
              <w:rPr>
                <w:rFonts w:cs="Times New Roman"/>
                <w:sz w:val="20"/>
                <w:szCs w:val="20"/>
              </w:rPr>
              <w:fldChar w:fldCharType="begin"/>
            </w:r>
            <w:r w:rsidR="0095096B" w:rsidRPr="002E2327">
              <w:rPr>
                <w:rFonts w:cs="Times New Roman"/>
                <w:sz w:val="20"/>
                <w:szCs w:val="20"/>
              </w:rPr>
              <w:instrText xml:space="preserve"> SEQ CHAPTER \h \r 1</w:instrText>
            </w:r>
            <w:r w:rsidR="003E770A"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 xml:space="preserve">1447 </w:t>
            </w:r>
            <w:r w:rsidR="0095096B" w:rsidRPr="002E2327">
              <w:rPr>
                <w:rFonts w:cs="Times New Roman"/>
                <w:sz w:val="20"/>
                <w:szCs w:val="20"/>
              </w:rPr>
              <w:t>-</w:t>
            </w:r>
            <w:r>
              <w:rPr>
                <w:rFonts w:cs="Times New Roman"/>
                <w:sz w:val="20"/>
                <w:szCs w:val="20"/>
              </w:rPr>
              <w:t xml:space="preserve"> 1448</w:t>
            </w: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 xml:space="preserve">1449 </w:t>
            </w:r>
            <w:r w:rsidR="0095096B" w:rsidRPr="002E2327">
              <w:rPr>
                <w:rFonts w:cs="Times New Roman"/>
                <w:sz w:val="20"/>
                <w:szCs w:val="20"/>
              </w:rPr>
              <w:t>-</w:t>
            </w:r>
            <w:r>
              <w:rPr>
                <w:rFonts w:cs="Times New Roman"/>
                <w:sz w:val="20"/>
                <w:szCs w:val="20"/>
              </w:rPr>
              <w:t xml:space="preserve"> 14</w:t>
            </w:r>
            <w:r w:rsidR="00324BAE">
              <w:rPr>
                <w:rFonts w:cs="Times New Roman"/>
                <w:sz w:val="20"/>
                <w:szCs w:val="20"/>
              </w:rPr>
              <w:t>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147</w:t>
            </w:r>
            <w:r w:rsidR="00324BAE">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147</w:t>
            </w:r>
            <w:r w:rsidR="00324BAE">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147</w:t>
            </w:r>
            <w:r w:rsidR="00324BAE">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w:t>
            </w:r>
            <w:r w:rsidR="00324BAE">
              <w:rPr>
                <w:rFonts w:cs="Times New Roman"/>
                <w:sz w:val="20"/>
                <w:szCs w:val="20"/>
              </w:rPr>
              <w:t>80</w:t>
            </w:r>
          </w:p>
          <w:p w:rsidR="0095096B" w:rsidRPr="002E2327" w:rsidRDefault="0095096B"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148</w:t>
            </w:r>
            <w:r w:rsidR="00324BAE">
              <w:rPr>
                <w:rFonts w:cs="Times New Roman"/>
                <w:sz w:val="20"/>
                <w:szCs w:val="20"/>
              </w:rPr>
              <w:t>1</w:t>
            </w:r>
          </w:p>
          <w:p w:rsidR="0095096B" w:rsidRDefault="0095096B" w:rsidP="0095096B">
            <w:pPr>
              <w:jc w:val="center"/>
              <w:rPr>
                <w:rFonts w:cs="Times New Roman"/>
                <w:sz w:val="20"/>
                <w:szCs w:val="20"/>
              </w:rPr>
            </w:pPr>
          </w:p>
          <w:p w:rsidR="004F644C" w:rsidRPr="002E2327" w:rsidRDefault="004F644C"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148</w:t>
            </w:r>
            <w:r w:rsidR="00324BAE">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148</w:t>
            </w:r>
            <w:r w:rsidR="00324BAE">
              <w:rPr>
                <w:rFonts w:cs="Times New Roman"/>
                <w:sz w:val="20"/>
                <w:szCs w:val="20"/>
              </w:rPr>
              <w:t>3</w:t>
            </w:r>
          </w:p>
          <w:p w:rsidR="0095096B" w:rsidRDefault="0095096B" w:rsidP="0095096B">
            <w:pPr>
              <w:jc w:val="center"/>
              <w:rPr>
                <w:rFonts w:cs="Times New Roman"/>
                <w:sz w:val="20"/>
                <w:szCs w:val="20"/>
              </w:rPr>
            </w:pPr>
          </w:p>
          <w:p w:rsidR="004F644C" w:rsidRPr="002E2327" w:rsidRDefault="004F644C" w:rsidP="0095096B">
            <w:pPr>
              <w:jc w:val="center"/>
              <w:rPr>
                <w:rFonts w:cs="Times New Roman"/>
                <w:sz w:val="20"/>
                <w:szCs w:val="20"/>
              </w:rPr>
            </w:pPr>
          </w:p>
          <w:p w:rsidR="0095096B" w:rsidRPr="002E2327" w:rsidRDefault="004F644C" w:rsidP="0095096B">
            <w:pPr>
              <w:jc w:val="center"/>
              <w:rPr>
                <w:rFonts w:cs="Times New Roman"/>
                <w:sz w:val="20"/>
                <w:szCs w:val="20"/>
              </w:rPr>
            </w:pPr>
            <w:r>
              <w:rPr>
                <w:rFonts w:cs="Times New Roman"/>
                <w:sz w:val="20"/>
                <w:szCs w:val="20"/>
              </w:rPr>
              <w:t>148</w:t>
            </w:r>
            <w:r w:rsidR="00324BAE">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4F644C" w:rsidP="00F10F5E">
            <w:pPr>
              <w:jc w:val="center"/>
              <w:rPr>
                <w:rFonts w:cs="Times New Roman"/>
                <w:sz w:val="20"/>
                <w:szCs w:val="20"/>
              </w:rPr>
            </w:pPr>
            <w:r>
              <w:rPr>
                <w:rFonts w:cs="Times New Roman"/>
                <w:sz w:val="20"/>
                <w:szCs w:val="20"/>
              </w:rPr>
              <w:t>148</w:t>
            </w:r>
            <w:r w:rsidR="00F10F5E">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149</w:t>
            </w:r>
            <w:r w:rsidR="00324BAE">
              <w:rPr>
                <w:rFonts w:cs="Times New Roman"/>
                <w:sz w:val="20"/>
                <w:szCs w:val="20"/>
              </w:rPr>
              <w:t>6</w:t>
            </w:r>
          </w:p>
        </w:tc>
        <w:tc>
          <w:tcPr>
            <w:tcW w:w="3888" w:type="dxa"/>
          </w:tcPr>
          <w:p w:rsidR="0095096B" w:rsidRPr="002E2327" w:rsidRDefault="003E770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DA66A1" w:rsidRDefault="00DA66A1" w:rsidP="0095096B">
      <w:pPr>
        <w:tabs>
          <w:tab w:val="right" w:pos="9360"/>
        </w:tabs>
        <w:rPr>
          <w:lang w:val="fr-CA"/>
        </w:rPr>
      </w:pPr>
    </w:p>
    <w:p w:rsidR="00DA66A1" w:rsidRDefault="00DA66A1" w:rsidP="0095096B">
      <w:pPr>
        <w:tabs>
          <w:tab w:val="right" w:pos="9360"/>
        </w:tabs>
        <w:rPr>
          <w:lang w:val="fr-CA"/>
        </w:rPr>
      </w:pPr>
    </w:p>
    <w:p w:rsidR="00DA66A1" w:rsidRDefault="00DA66A1" w:rsidP="0095096B">
      <w:pPr>
        <w:tabs>
          <w:tab w:val="right" w:pos="9360"/>
        </w:tabs>
        <w:rPr>
          <w:lang w:val="fr-CA"/>
        </w:rPr>
      </w:pPr>
    </w:p>
    <w:p w:rsidR="00DA66A1" w:rsidRPr="00AF3487" w:rsidRDefault="00DA66A1" w:rsidP="0095096B">
      <w:pPr>
        <w:tabs>
          <w:tab w:val="right" w:pos="9360"/>
        </w:tabs>
        <w:rPr>
          <w:lang w:val="fr-CA"/>
        </w:rPr>
      </w:pPr>
    </w:p>
    <w:tbl>
      <w:tblPr>
        <w:tblStyle w:val="TableGrid"/>
        <w:tblW w:w="0" w:type="auto"/>
        <w:tblLook w:val="04A0"/>
      </w:tblPr>
      <w:tblGrid>
        <w:gridCol w:w="9576"/>
      </w:tblGrid>
      <w:tr w:rsidR="0079724F" w:rsidRPr="003B380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DC7DEE" w:rsidRPr="00C50A5C" w:rsidTr="00A87207">
        <w:trPr>
          <w:cantSplit/>
        </w:trPr>
        <w:tc>
          <w:tcPr>
            <w:tcW w:w="4320" w:type="dxa"/>
            <w:shd w:val="clear" w:color="auto" w:fill="auto"/>
          </w:tcPr>
          <w:p w:rsidR="00DC7DEE" w:rsidRPr="00AC7ED5" w:rsidRDefault="00DC7DEE" w:rsidP="00DC7DEE">
            <w:pPr>
              <w:keepNext/>
              <w:keepLines/>
              <w:tabs>
                <w:tab w:val="left" w:pos="-1440"/>
                <w:tab w:val="left" w:pos="-720"/>
              </w:tabs>
              <w:rPr>
                <w:b/>
                <w:sz w:val="20"/>
                <w:szCs w:val="20"/>
              </w:rPr>
            </w:pPr>
            <w:r w:rsidRPr="00AC7ED5">
              <w:rPr>
                <w:b/>
                <w:sz w:val="20"/>
                <w:szCs w:val="20"/>
              </w:rPr>
              <w:t>U.K. Pensions Regulator</w:t>
            </w:r>
          </w:p>
          <w:p w:rsidR="00DC7DEE" w:rsidRPr="00C50A5C" w:rsidRDefault="00DC7DEE" w:rsidP="00DC7DEE">
            <w:pPr>
              <w:keepNext/>
              <w:keepLines/>
              <w:tabs>
                <w:tab w:val="left" w:pos="-1440"/>
                <w:tab w:val="left" w:pos="-720"/>
              </w:tabs>
              <w:rPr>
                <w:sz w:val="20"/>
                <w:szCs w:val="20"/>
              </w:rPr>
            </w:pPr>
            <w:r w:rsidRPr="00C50A5C">
              <w:rPr>
                <w:sz w:val="20"/>
                <w:szCs w:val="20"/>
              </w:rPr>
              <w:tab/>
            </w:r>
            <w:r>
              <w:rPr>
                <w:sz w:val="20"/>
                <w:szCs w:val="20"/>
              </w:rPr>
              <w:t>John D. Marshall</w:t>
            </w:r>
          </w:p>
          <w:p w:rsidR="00DC7DEE" w:rsidRPr="00C50A5C" w:rsidRDefault="00DC7DEE" w:rsidP="00DC7DEE">
            <w:pPr>
              <w:keepNext/>
              <w:keepLines/>
              <w:tabs>
                <w:tab w:val="left" w:pos="-1440"/>
                <w:tab w:val="left" w:pos="-720"/>
              </w:tabs>
              <w:rPr>
                <w:sz w:val="20"/>
                <w:szCs w:val="20"/>
              </w:rPr>
            </w:pPr>
            <w:r w:rsidRPr="00C50A5C">
              <w:rPr>
                <w:sz w:val="20"/>
                <w:szCs w:val="20"/>
              </w:rPr>
              <w:tab/>
            </w:r>
            <w:r>
              <w:rPr>
                <w:sz w:val="20"/>
                <w:szCs w:val="20"/>
              </w:rPr>
              <w:t xml:space="preserve">Borden </w:t>
            </w:r>
            <w:proofErr w:type="spellStart"/>
            <w:r>
              <w:rPr>
                <w:sz w:val="20"/>
                <w:szCs w:val="20"/>
              </w:rPr>
              <w:t>Ladner</w:t>
            </w:r>
            <w:proofErr w:type="spellEnd"/>
            <w:r>
              <w:rPr>
                <w:sz w:val="20"/>
                <w:szCs w:val="20"/>
              </w:rPr>
              <w:t xml:space="preserve"> </w:t>
            </w:r>
            <w:proofErr w:type="spellStart"/>
            <w:r>
              <w:rPr>
                <w:sz w:val="20"/>
                <w:szCs w:val="20"/>
              </w:rPr>
              <w:t>Gervais</w:t>
            </w:r>
            <w:proofErr w:type="spellEnd"/>
            <w:r>
              <w:rPr>
                <w:sz w:val="20"/>
                <w:szCs w:val="20"/>
              </w:rPr>
              <w:t xml:space="preserve"> LLP</w:t>
            </w:r>
          </w:p>
          <w:p w:rsidR="00DC7DEE" w:rsidRPr="00C50A5C" w:rsidRDefault="00DC7DEE" w:rsidP="00DC7DEE">
            <w:pPr>
              <w:keepNext/>
              <w:keepLines/>
              <w:tabs>
                <w:tab w:val="left" w:pos="-1440"/>
                <w:tab w:val="left" w:pos="-720"/>
              </w:tabs>
              <w:rPr>
                <w:sz w:val="20"/>
                <w:szCs w:val="20"/>
              </w:rPr>
            </w:pPr>
          </w:p>
          <w:p w:rsidR="00DC7DEE" w:rsidRPr="00C50A5C" w:rsidRDefault="00DC7DEE" w:rsidP="00DC7DEE">
            <w:pPr>
              <w:keepNext/>
              <w:keepLines/>
              <w:tabs>
                <w:tab w:val="left" w:pos="-1440"/>
                <w:tab w:val="left" w:pos="-720"/>
              </w:tabs>
              <w:rPr>
                <w:sz w:val="20"/>
                <w:szCs w:val="20"/>
              </w:rPr>
            </w:pPr>
            <w:r w:rsidRPr="00C50A5C">
              <w:rPr>
                <w:sz w:val="20"/>
                <w:szCs w:val="20"/>
              </w:rPr>
              <w:tab/>
              <w:t>v. (33</w:t>
            </w:r>
            <w:r>
              <w:rPr>
                <w:sz w:val="20"/>
                <w:szCs w:val="20"/>
              </w:rPr>
              <w:t>846</w:t>
            </w:r>
            <w:r w:rsidRPr="00C50A5C">
              <w:rPr>
                <w:sz w:val="20"/>
                <w:szCs w:val="20"/>
              </w:rPr>
              <w:t>)</w:t>
            </w:r>
          </w:p>
          <w:p w:rsidR="00DC7DEE" w:rsidRPr="00C50A5C" w:rsidRDefault="00DC7DEE" w:rsidP="00DC7DEE">
            <w:pPr>
              <w:keepNext/>
              <w:keepLines/>
              <w:tabs>
                <w:tab w:val="left" w:pos="-1440"/>
                <w:tab w:val="left" w:pos="-720"/>
              </w:tabs>
              <w:rPr>
                <w:sz w:val="20"/>
                <w:szCs w:val="20"/>
              </w:rPr>
            </w:pPr>
          </w:p>
          <w:p w:rsidR="00DC7DEE" w:rsidRPr="00DC7DEE" w:rsidRDefault="00DC7DEE" w:rsidP="00DC7DEE">
            <w:pPr>
              <w:keepNext/>
              <w:keepLines/>
              <w:tabs>
                <w:tab w:val="left" w:pos="-1440"/>
                <w:tab w:val="left" w:pos="-720"/>
              </w:tabs>
              <w:rPr>
                <w:b/>
                <w:sz w:val="20"/>
                <w:szCs w:val="20"/>
                <w:lang w:val="fr-CA"/>
              </w:rPr>
            </w:pPr>
            <w:r w:rsidRPr="00DC7DEE">
              <w:rPr>
                <w:b/>
                <w:sz w:val="20"/>
                <w:szCs w:val="20"/>
                <w:lang w:val="fr-CA"/>
              </w:rPr>
              <w:t>Nortel Networks Corporation et al. (Ont.)</w:t>
            </w:r>
          </w:p>
          <w:p w:rsidR="00DC7DEE" w:rsidRPr="00C50A5C" w:rsidRDefault="00DC7DEE" w:rsidP="00DC7DEE">
            <w:pPr>
              <w:keepNext/>
              <w:keepLines/>
              <w:tabs>
                <w:tab w:val="left" w:pos="-1440"/>
                <w:tab w:val="left" w:pos="-720"/>
              </w:tabs>
              <w:rPr>
                <w:sz w:val="20"/>
                <w:szCs w:val="20"/>
              </w:rPr>
            </w:pPr>
            <w:r w:rsidRPr="00DC7DEE">
              <w:rPr>
                <w:sz w:val="20"/>
                <w:szCs w:val="20"/>
                <w:lang w:val="fr-CA"/>
              </w:rPr>
              <w:tab/>
            </w:r>
            <w:r>
              <w:rPr>
                <w:sz w:val="20"/>
                <w:szCs w:val="20"/>
              </w:rPr>
              <w:t xml:space="preserve">Alan B. </w:t>
            </w:r>
            <w:proofErr w:type="spellStart"/>
            <w:r>
              <w:rPr>
                <w:sz w:val="20"/>
                <w:szCs w:val="20"/>
              </w:rPr>
              <w:t>Merskey</w:t>
            </w:r>
            <w:proofErr w:type="spellEnd"/>
          </w:p>
          <w:p w:rsidR="00DC7DEE" w:rsidRPr="00C50A5C" w:rsidRDefault="00DC7DEE" w:rsidP="00DC7DEE">
            <w:pPr>
              <w:keepNext/>
              <w:keepLines/>
              <w:tabs>
                <w:tab w:val="left" w:pos="-1440"/>
                <w:tab w:val="left" w:pos="-720"/>
              </w:tabs>
              <w:rPr>
                <w:sz w:val="20"/>
                <w:szCs w:val="20"/>
              </w:rPr>
            </w:pPr>
            <w:r w:rsidRPr="00C50A5C">
              <w:rPr>
                <w:sz w:val="20"/>
                <w:szCs w:val="20"/>
              </w:rPr>
              <w:tab/>
            </w:r>
            <w:r>
              <w:rPr>
                <w:sz w:val="20"/>
                <w:szCs w:val="20"/>
              </w:rPr>
              <w:t>Ogilvy Renault LLP</w:t>
            </w:r>
          </w:p>
          <w:p w:rsidR="00DC7DEE" w:rsidRPr="00C50A5C" w:rsidRDefault="00DC7DEE" w:rsidP="00DC7DEE">
            <w:pPr>
              <w:keepNext/>
              <w:keepLines/>
              <w:tabs>
                <w:tab w:val="left" w:pos="-1440"/>
                <w:tab w:val="left" w:pos="-720"/>
              </w:tabs>
              <w:rPr>
                <w:sz w:val="20"/>
                <w:szCs w:val="20"/>
              </w:rPr>
            </w:pPr>
          </w:p>
          <w:p w:rsidR="00DC7DEE" w:rsidRDefault="00DC7DEE" w:rsidP="00DC7DEE">
            <w:pPr>
              <w:keepNext/>
              <w:keepLines/>
              <w:tabs>
                <w:tab w:val="left" w:pos="-1440"/>
                <w:tab w:val="left" w:pos="-720"/>
              </w:tabs>
              <w:rPr>
                <w:sz w:val="20"/>
                <w:szCs w:val="20"/>
              </w:rPr>
            </w:pPr>
            <w:r w:rsidRPr="00C50A5C">
              <w:rPr>
                <w:sz w:val="20"/>
                <w:szCs w:val="20"/>
              </w:rPr>
              <w:t xml:space="preserve">FILING DATE: </w:t>
            </w:r>
            <w:r>
              <w:rPr>
                <w:sz w:val="20"/>
                <w:szCs w:val="20"/>
              </w:rPr>
              <w:t>15.09.2010</w:t>
            </w:r>
          </w:p>
          <w:p w:rsidR="00DC7DEE" w:rsidRPr="00C50A5C" w:rsidRDefault="003E770A" w:rsidP="00DC7DEE">
            <w:pPr>
              <w:rPr>
                <w:sz w:val="20"/>
                <w:szCs w:val="20"/>
              </w:rPr>
            </w:pPr>
            <w:r w:rsidRPr="003E770A">
              <w:rPr>
                <w:sz w:val="20"/>
                <w:szCs w:val="20"/>
              </w:rPr>
              <w:pict>
                <v:rect id="_x0000_i1025" style="width:108pt;height:1pt" o:hrpct="0" o:hralign="center" o:hrstd="t" o:hrnoshade="t" o:hr="t" fillcolor="black [3213]" stroked="f"/>
              </w:pict>
            </w:r>
          </w:p>
        </w:tc>
        <w:tc>
          <w:tcPr>
            <w:tcW w:w="1181" w:type="dxa"/>
            <w:shd w:val="clear" w:color="auto" w:fill="auto"/>
          </w:tcPr>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Pr="00A17955" w:rsidRDefault="00DC7DEE" w:rsidP="002E2327">
            <w:pPr>
              <w:jc w:val="center"/>
              <w:rPr>
                <w:sz w:val="20"/>
                <w:szCs w:val="20"/>
                <w:lang w:val="fr-CA"/>
              </w:rPr>
            </w:pPr>
          </w:p>
          <w:p w:rsidR="00DC7DEE" w:rsidRDefault="00DC7DEE" w:rsidP="002E2327">
            <w:pPr>
              <w:jc w:val="center"/>
              <w:rPr>
                <w:sz w:val="20"/>
                <w:szCs w:val="20"/>
                <w:lang w:val="fr-CA"/>
              </w:rPr>
            </w:pPr>
          </w:p>
          <w:p w:rsidR="00DC7DEE" w:rsidRPr="00A17955" w:rsidRDefault="00DC7DEE" w:rsidP="002E2327">
            <w:pPr>
              <w:jc w:val="center"/>
              <w:rPr>
                <w:sz w:val="20"/>
                <w:szCs w:val="20"/>
                <w:lang w:val="fr-CA"/>
              </w:rPr>
            </w:pPr>
          </w:p>
        </w:tc>
        <w:tc>
          <w:tcPr>
            <w:tcW w:w="4320" w:type="dxa"/>
            <w:shd w:val="clear" w:color="auto" w:fill="auto"/>
          </w:tcPr>
          <w:p w:rsidR="00DC7DEE" w:rsidRPr="008517BC" w:rsidRDefault="00DC7DEE" w:rsidP="00A87207">
            <w:pPr>
              <w:keepNext/>
              <w:keepLines/>
              <w:tabs>
                <w:tab w:val="left" w:pos="-1440"/>
                <w:tab w:val="left" w:pos="-720"/>
              </w:tabs>
              <w:rPr>
                <w:b/>
                <w:sz w:val="20"/>
                <w:szCs w:val="20"/>
              </w:rPr>
            </w:pPr>
            <w:r w:rsidRPr="008517BC">
              <w:rPr>
                <w:b/>
                <w:sz w:val="20"/>
                <w:szCs w:val="20"/>
              </w:rPr>
              <w:t xml:space="preserve">Colin </w:t>
            </w:r>
            <w:proofErr w:type="spellStart"/>
            <w:r w:rsidRPr="008517BC">
              <w:rPr>
                <w:b/>
                <w:sz w:val="20"/>
                <w:szCs w:val="20"/>
              </w:rPr>
              <w:t>Allooloo</w:t>
            </w:r>
            <w:proofErr w:type="spellEnd"/>
          </w:p>
          <w:p w:rsidR="00DC7DEE" w:rsidRPr="00A17955" w:rsidRDefault="00DC7DEE" w:rsidP="00A87207">
            <w:pPr>
              <w:keepNext/>
              <w:keepLines/>
              <w:tabs>
                <w:tab w:val="left" w:pos="-1440"/>
                <w:tab w:val="left" w:pos="-720"/>
              </w:tabs>
              <w:rPr>
                <w:sz w:val="20"/>
                <w:szCs w:val="20"/>
              </w:rPr>
            </w:pPr>
            <w:r w:rsidRPr="00A17955">
              <w:rPr>
                <w:sz w:val="20"/>
                <w:szCs w:val="20"/>
              </w:rPr>
              <w:tab/>
              <w:t xml:space="preserve">Karen B. </w:t>
            </w:r>
            <w:proofErr w:type="spellStart"/>
            <w:r>
              <w:rPr>
                <w:sz w:val="20"/>
                <w:szCs w:val="20"/>
              </w:rPr>
              <w:t>Molle</w:t>
            </w:r>
            <w:proofErr w:type="spellEnd"/>
          </w:p>
          <w:p w:rsidR="00DC7DEE" w:rsidRPr="00A17955" w:rsidRDefault="00DC7DEE" w:rsidP="00A87207">
            <w:pPr>
              <w:keepNext/>
              <w:keepLines/>
              <w:tabs>
                <w:tab w:val="left" w:pos="-1440"/>
                <w:tab w:val="left" w:pos="-720"/>
              </w:tabs>
              <w:rPr>
                <w:sz w:val="20"/>
                <w:szCs w:val="20"/>
              </w:rPr>
            </w:pPr>
            <w:r w:rsidRPr="00A17955">
              <w:rPr>
                <w:sz w:val="20"/>
                <w:szCs w:val="20"/>
              </w:rPr>
              <w:tab/>
            </w:r>
            <w:proofErr w:type="spellStart"/>
            <w:r>
              <w:rPr>
                <w:sz w:val="20"/>
                <w:szCs w:val="20"/>
              </w:rPr>
              <w:t>Molle</w:t>
            </w:r>
            <w:proofErr w:type="spellEnd"/>
            <w:r>
              <w:rPr>
                <w:sz w:val="20"/>
                <w:szCs w:val="20"/>
              </w:rPr>
              <w:t xml:space="preserve"> </w:t>
            </w:r>
            <w:proofErr w:type="spellStart"/>
            <w:r>
              <w:rPr>
                <w:sz w:val="20"/>
                <w:szCs w:val="20"/>
              </w:rPr>
              <w:t>Roulston</w:t>
            </w:r>
            <w:proofErr w:type="spellEnd"/>
            <w:r>
              <w:rPr>
                <w:sz w:val="20"/>
                <w:szCs w:val="20"/>
              </w:rPr>
              <w:t xml:space="preserve"> &amp; Chow</w:t>
            </w:r>
          </w:p>
          <w:p w:rsidR="00DC7DEE" w:rsidRPr="00A17955" w:rsidRDefault="00DC7DEE" w:rsidP="00A87207">
            <w:pPr>
              <w:keepNext/>
              <w:keepLines/>
              <w:tabs>
                <w:tab w:val="left" w:pos="-1440"/>
                <w:tab w:val="left" w:pos="-720"/>
              </w:tabs>
              <w:rPr>
                <w:sz w:val="20"/>
                <w:szCs w:val="20"/>
              </w:rPr>
            </w:pPr>
          </w:p>
          <w:p w:rsidR="00DC7DEE" w:rsidRPr="00C50A5C" w:rsidRDefault="00DC7DEE" w:rsidP="00A87207">
            <w:pPr>
              <w:keepNext/>
              <w:keepLines/>
              <w:tabs>
                <w:tab w:val="left" w:pos="-1440"/>
                <w:tab w:val="left" w:pos="-720"/>
              </w:tabs>
              <w:rPr>
                <w:sz w:val="20"/>
                <w:szCs w:val="20"/>
              </w:rPr>
            </w:pPr>
            <w:r w:rsidRPr="00A17955">
              <w:rPr>
                <w:sz w:val="20"/>
                <w:szCs w:val="20"/>
              </w:rPr>
              <w:tab/>
            </w:r>
            <w:r w:rsidRPr="00C50A5C">
              <w:rPr>
                <w:sz w:val="20"/>
                <w:szCs w:val="20"/>
              </w:rPr>
              <w:t>v. (33</w:t>
            </w:r>
            <w:r>
              <w:rPr>
                <w:sz w:val="20"/>
                <w:szCs w:val="20"/>
              </w:rPr>
              <w:t>873</w:t>
            </w:r>
            <w:r w:rsidRPr="00C50A5C">
              <w:rPr>
                <w:sz w:val="20"/>
                <w:szCs w:val="20"/>
              </w:rPr>
              <w:t>)</w:t>
            </w:r>
          </w:p>
          <w:p w:rsidR="00DC7DEE" w:rsidRPr="00C50A5C" w:rsidRDefault="00DC7DEE" w:rsidP="00A87207">
            <w:pPr>
              <w:keepNext/>
              <w:keepLines/>
              <w:tabs>
                <w:tab w:val="left" w:pos="-1440"/>
                <w:tab w:val="left" w:pos="-720"/>
              </w:tabs>
              <w:rPr>
                <w:sz w:val="20"/>
                <w:szCs w:val="20"/>
              </w:rPr>
            </w:pPr>
          </w:p>
          <w:p w:rsidR="00DC7DEE" w:rsidRPr="00076B37" w:rsidRDefault="00DC7DEE" w:rsidP="00A87207">
            <w:pPr>
              <w:keepNext/>
              <w:keepLines/>
              <w:tabs>
                <w:tab w:val="left" w:pos="-1440"/>
                <w:tab w:val="left" w:pos="-720"/>
              </w:tabs>
              <w:rPr>
                <w:b/>
                <w:sz w:val="20"/>
                <w:szCs w:val="20"/>
              </w:rPr>
            </w:pPr>
            <w:r w:rsidRPr="00076B37">
              <w:rPr>
                <w:b/>
                <w:sz w:val="20"/>
                <w:szCs w:val="20"/>
              </w:rPr>
              <w:t>Her Majesty the Queen (</w:t>
            </w:r>
            <w:r w:rsidR="00CC5827">
              <w:rPr>
                <w:b/>
                <w:sz w:val="20"/>
                <w:szCs w:val="20"/>
              </w:rPr>
              <w:t>N.W.T.</w:t>
            </w:r>
            <w:r w:rsidRPr="00076B37">
              <w:rPr>
                <w:b/>
                <w:sz w:val="20"/>
                <w:szCs w:val="20"/>
              </w:rPr>
              <w:t>)</w:t>
            </w:r>
          </w:p>
          <w:p w:rsidR="00DC7DEE" w:rsidRPr="00C50A5C" w:rsidRDefault="00DC7DEE" w:rsidP="00A87207">
            <w:pPr>
              <w:keepNext/>
              <w:keepLines/>
              <w:tabs>
                <w:tab w:val="left" w:pos="-1440"/>
                <w:tab w:val="left" w:pos="-720"/>
              </w:tabs>
              <w:rPr>
                <w:sz w:val="20"/>
                <w:szCs w:val="20"/>
              </w:rPr>
            </w:pPr>
            <w:r w:rsidRPr="00C50A5C">
              <w:rPr>
                <w:sz w:val="20"/>
                <w:szCs w:val="20"/>
              </w:rPr>
              <w:tab/>
            </w:r>
            <w:r>
              <w:rPr>
                <w:sz w:val="20"/>
                <w:szCs w:val="20"/>
              </w:rPr>
              <w:t>Shannon Smallwood</w:t>
            </w:r>
          </w:p>
          <w:p w:rsidR="00DC7DEE" w:rsidRPr="00C50A5C" w:rsidRDefault="00DC7DEE" w:rsidP="00A87207">
            <w:pPr>
              <w:keepNext/>
              <w:keepLines/>
              <w:tabs>
                <w:tab w:val="left" w:pos="-1440"/>
                <w:tab w:val="left" w:pos="-720"/>
              </w:tabs>
              <w:rPr>
                <w:sz w:val="20"/>
                <w:szCs w:val="20"/>
              </w:rPr>
            </w:pPr>
            <w:r w:rsidRPr="00C50A5C">
              <w:rPr>
                <w:sz w:val="20"/>
                <w:szCs w:val="20"/>
              </w:rPr>
              <w:tab/>
            </w:r>
            <w:r>
              <w:rPr>
                <w:sz w:val="20"/>
                <w:szCs w:val="20"/>
              </w:rPr>
              <w:t>Public Prosecution Service of Canada</w:t>
            </w:r>
          </w:p>
          <w:p w:rsidR="00DC7DEE" w:rsidRPr="00C50A5C" w:rsidRDefault="00DC7DEE" w:rsidP="00A87207">
            <w:pPr>
              <w:keepNext/>
              <w:keepLines/>
              <w:tabs>
                <w:tab w:val="left" w:pos="-1440"/>
                <w:tab w:val="left" w:pos="-720"/>
              </w:tabs>
              <w:rPr>
                <w:sz w:val="20"/>
                <w:szCs w:val="20"/>
              </w:rPr>
            </w:pPr>
          </w:p>
          <w:p w:rsidR="00DC7DEE" w:rsidRDefault="00DC7DEE" w:rsidP="00A87207">
            <w:pPr>
              <w:keepNext/>
              <w:keepLines/>
              <w:tabs>
                <w:tab w:val="left" w:pos="-1440"/>
                <w:tab w:val="left" w:pos="-720"/>
              </w:tabs>
              <w:rPr>
                <w:sz w:val="20"/>
                <w:szCs w:val="20"/>
              </w:rPr>
            </w:pPr>
            <w:r w:rsidRPr="00C50A5C">
              <w:rPr>
                <w:sz w:val="20"/>
                <w:szCs w:val="20"/>
              </w:rPr>
              <w:t xml:space="preserve">FILING DATE: </w:t>
            </w:r>
            <w:r>
              <w:rPr>
                <w:sz w:val="20"/>
                <w:szCs w:val="20"/>
              </w:rPr>
              <w:t>29.09.2010</w:t>
            </w:r>
          </w:p>
          <w:p w:rsidR="00DC7DEE" w:rsidRPr="00C50A5C" w:rsidRDefault="003E770A" w:rsidP="00A87207">
            <w:pPr>
              <w:rPr>
                <w:sz w:val="20"/>
                <w:szCs w:val="20"/>
              </w:rPr>
            </w:pPr>
            <w:r w:rsidRPr="003E770A">
              <w:rPr>
                <w:sz w:val="20"/>
                <w:szCs w:val="20"/>
              </w:rPr>
              <w:pict>
                <v:rect id="_x0000_i1026" style="width:108pt;height:1pt" o:hrpct="0" o:hralign="center" o:hrstd="t" o:hrnoshade="t" o:hr="t" fillcolor="black [3213]" stroked="f"/>
              </w:pict>
            </w:r>
          </w:p>
        </w:tc>
      </w:tr>
      <w:tr w:rsidR="00DC7DEE" w:rsidRPr="00C50A5C" w:rsidTr="00A87207">
        <w:trPr>
          <w:cantSplit/>
        </w:trPr>
        <w:tc>
          <w:tcPr>
            <w:tcW w:w="4320" w:type="dxa"/>
            <w:shd w:val="clear" w:color="auto" w:fill="auto"/>
          </w:tcPr>
          <w:p w:rsidR="00DC7DEE" w:rsidRPr="00A17955" w:rsidRDefault="00DC7DEE" w:rsidP="00DC7DEE">
            <w:pPr>
              <w:tabs>
                <w:tab w:val="left" w:pos="-1440"/>
                <w:tab w:val="left" w:pos="-720"/>
              </w:tabs>
              <w:rPr>
                <w:b/>
                <w:sz w:val="20"/>
                <w:szCs w:val="20"/>
              </w:rPr>
            </w:pPr>
            <w:proofErr w:type="spellStart"/>
            <w:r w:rsidRPr="00A17955">
              <w:rPr>
                <w:b/>
                <w:sz w:val="20"/>
                <w:szCs w:val="20"/>
              </w:rPr>
              <w:t>Zdzislaw</w:t>
            </w:r>
            <w:proofErr w:type="spellEnd"/>
            <w:r w:rsidRPr="00A17955">
              <w:rPr>
                <w:b/>
                <w:sz w:val="20"/>
                <w:szCs w:val="20"/>
              </w:rPr>
              <w:t xml:space="preserve"> </w:t>
            </w:r>
            <w:proofErr w:type="spellStart"/>
            <w:r w:rsidRPr="00A17955">
              <w:rPr>
                <w:b/>
                <w:sz w:val="20"/>
                <w:szCs w:val="20"/>
              </w:rPr>
              <w:t>Gnyp</w:t>
            </w:r>
            <w:proofErr w:type="spellEnd"/>
          </w:p>
          <w:p w:rsidR="00DC7DEE" w:rsidRPr="00C50A5C" w:rsidRDefault="00DC7DEE" w:rsidP="00DC7DEE">
            <w:pPr>
              <w:tabs>
                <w:tab w:val="left" w:pos="-1440"/>
                <w:tab w:val="left" w:pos="-720"/>
              </w:tabs>
              <w:rPr>
                <w:sz w:val="20"/>
                <w:szCs w:val="20"/>
              </w:rPr>
            </w:pPr>
            <w:r w:rsidRPr="00C50A5C">
              <w:rPr>
                <w:sz w:val="20"/>
                <w:szCs w:val="20"/>
              </w:rPr>
              <w:tab/>
            </w:r>
            <w:proofErr w:type="spellStart"/>
            <w:r>
              <w:rPr>
                <w:sz w:val="20"/>
                <w:szCs w:val="20"/>
              </w:rPr>
              <w:t>Zdzislaw</w:t>
            </w:r>
            <w:proofErr w:type="spellEnd"/>
            <w:r>
              <w:rPr>
                <w:sz w:val="20"/>
                <w:szCs w:val="20"/>
              </w:rPr>
              <w:t xml:space="preserve"> </w:t>
            </w:r>
            <w:proofErr w:type="spellStart"/>
            <w:r>
              <w:rPr>
                <w:sz w:val="20"/>
                <w:szCs w:val="20"/>
              </w:rPr>
              <w:t>Gnyp</w:t>
            </w:r>
            <w:proofErr w:type="spellEnd"/>
          </w:p>
          <w:p w:rsidR="00DC7DEE" w:rsidRDefault="00DC7DEE" w:rsidP="00DC7DEE">
            <w:pPr>
              <w:tabs>
                <w:tab w:val="left" w:pos="-1440"/>
                <w:tab w:val="left" w:pos="-720"/>
              </w:tabs>
              <w:rPr>
                <w:sz w:val="20"/>
                <w:szCs w:val="20"/>
              </w:rPr>
            </w:pPr>
          </w:p>
          <w:p w:rsidR="00DC7DEE" w:rsidRPr="00C50A5C" w:rsidRDefault="00DC7DEE" w:rsidP="00DC7DEE">
            <w:pPr>
              <w:tabs>
                <w:tab w:val="left" w:pos="-1440"/>
                <w:tab w:val="left" w:pos="-720"/>
              </w:tabs>
              <w:rPr>
                <w:sz w:val="20"/>
                <w:szCs w:val="20"/>
              </w:rPr>
            </w:pPr>
            <w:r w:rsidRPr="00C50A5C">
              <w:rPr>
                <w:sz w:val="20"/>
                <w:szCs w:val="20"/>
              </w:rPr>
              <w:tab/>
              <w:t>c. (33</w:t>
            </w:r>
            <w:r>
              <w:rPr>
                <w:sz w:val="20"/>
                <w:szCs w:val="20"/>
              </w:rPr>
              <w:t>901</w:t>
            </w:r>
            <w:r w:rsidRPr="00C50A5C">
              <w:rPr>
                <w:sz w:val="20"/>
                <w:szCs w:val="20"/>
              </w:rPr>
              <w:t>)</w:t>
            </w:r>
          </w:p>
          <w:p w:rsidR="00DC7DEE" w:rsidRPr="00C50A5C" w:rsidRDefault="00DC7DEE" w:rsidP="00DC7DEE">
            <w:pPr>
              <w:tabs>
                <w:tab w:val="left" w:pos="-1440"/>
                <w:tab w:val="left" w:pos="-720"/>
              </w:tabs>
              <w:rPr>
                <w:sz w:val="20"/>
                <w:szCs w:val="20"/>
              </w:rPr>
            </w:pPr>
          </w:p>
          <w:p w:rsidR="00DC7DEE" w:rsidRPr="00DC7DEE" w:rsidRDefault="00DC7DEE" w:rsidP="00DC7DEE">
            <w:pPr>
              <w:tabs>
                <w:tab w:val="left" w:pos="-1440"/>
                <w:tab w:val="left" w:pos="-720"/>
              </w:tabs>
              <w:rPr>
                <w:b/>
                <w:sz w:val="20"/>
                <w:szCs w:val="20"/>
              </w:rPr>
            </w:pPr>
            <w:r w:rsidRPr="00DC7DEE">
              <w:rPr>
                <w:b/>
                <w:sz w:val="20"/>
                <w:szCs w:val="20"/>
              </w:rPr>
              <w:t xml:space="preserve">Atlas </w:t>
            </w:r>
            <w:proofErr w:type="spellStart"/>
            <w:r w:rsidRPr="00DC7DEE">
              <w:rPr>
                <w:b/>
                <w:sz w:val="20"/>
                <w:szCs w:val="20"/>
              </w:rPr>
              <w:t>Copco</w:t>
            </w:r>
            <w:proofErr w:type="spellEnd"/>
            <w:r w:rsidRPr="00DC7DEE">
              <w:rPr>
                <w:b/>
                <w:sz w:val="20"/>
                <w:szCs w:val="20"/>
              </w:rPr>
              <w:t xml:space="preserve"> Canada inc. (Qc)</w:t>
            </w:r>
          </w:p>
          <w:p w:rsidR="00DC7DEE" w:rsidRPr="00C50A5C" w:rsidRDefault="00DC7DEE" w:rsidP="00DC7DEE">
            <w:pPr>
              <w:tabs>
                <w:tab w:val="left" w:pos="-1440"/>
                <w:tab w:val="left" w:pos="-720"/>
              </w:tabs>
              <w:rPr>
                <w:sz w:val="20"/>
                <w:szCs w:val="20"/>
                <w:lang w:val="fr-CA"/>
              </w:rPr>
            </w:pPr>
            <w:r w:rsidRPr="00DC7DEE">
              <w:rPr>
                <w:sz w:val="20"/>
                <w:szCs w:val="20"/>
              </w:rPr>
              <w:tab/>
            </w:r>
            <w:r>
              <w:rPr>
                <w:sz w:val="20"/>
                <w:szCs w:val="20"/>
                <w:lang w:val="fr-CA"/>
              </w:rPr>
              <w:t>Mélanie Martel</w:t>
            </w:r>
          </w:p>
          <w:p w:rsidR="00DC7DEE" w:rsidRPr="00C50A5C" w:rsidRDefault="00DC7DEE" w:rsidP="00DC7DEE">
            <w:pPr>
              <w:tabs>
                <w:tab w:val="left" w:pos="-1440"/>
                <w:tab w:val="left" w:pos="-720"/>
              </w:tabs>
              <w:rPr>
                <w:sz w:val="20"/>
                <w:szCs w:val="20"/>
                <w:lang w:val="fr-CA"/>
              </w:rPr>
            </w:pPr>
            <w:r w:rsidRPr="00C50A5C">
              <w:rPr>
                <w:sz w:val="20"/>
                <w:szCs w:val="20"/>
                <w:lang w:val="fr-CA"/>
              </w:rPr>
              <w:tab/>
            </w:r>
            <w:r>
              <w:rPr>
                <w:sz w:val="20"/>
                <w:szCs w:val="20"/>
                <w:lang w:val="fr-CA"/>
              </w:rPr>
              <w:t>Davis LLP</w:t>
            </w:r>
          </w:p>
          <w:p w:rsidR="00DC7DEE" w:rsidRPr="00C50A5C" w:rsidRDefault="00DC7DEE" w:rsidP="00DC7DEE">
            <w:pPr>
              <w:tabs>
                <w:tab w:val="left" w:pos="-1440"/>
                <w:tab w:val="left" w:pos="-720"/>
              </w:tabs>
              <w:rPr>
                <w:sz w:val="20"/>
                <w:szCs w:val="20"/>
                <w:lang w:val="fr-CA"/>
              </w:rPr>
            </w:pPr>
          </w:p>
          <w:p w:rsidR="00DC7DEE" w:rsidRPr="00C50A5C" w:rsidRDefault="00DC7DEE" w:rsidP="00DC7DEE">
            <w:pPr>
              <w:rPr>
                <w:sz w:val="20"/>
                <w:szCs w:val="20"/>
                <w:lang w:val="fr-CA"/>
              </w:rPr>
            </w:pPr>
            <w:r w:rsidRPr="00C50A5C">
              <w:rPr>
                <w:sz w:val="20"/>
                <w:szCs w:val="20"/>
                <w:lang w:val="fr-CA"/>
              </w:rPr>
              <w:t xml:space="preserve">DATE DE PRODUCTION : </w:t>
            </w:r>
            <w:r>
              <w:rPr>
                <w:sz w:val="20"/>
                <w:szCs w:val="20"/>
                <w:lang w:val="fr-CA"/>
              </w:rPr>
              <w:t>29</w:t>
            </w:r>
            <w:r w:rsidRPr="00C50A5C">
              <w:rPr>
                <w:sz w:val="20"/>
                <w:szCs w:val="20"/>
                <w:lang w:val="fr-CA"/>
              </w:rPr>
              <w:t>.0</w:t>
            </w:r>
            <w:r>
              <w:rPr>
                <w:sz w:val="20"/>
                <w:szCs w:val="20"/>
                <w:lang w:val="fr-CA"/>
              </w:rPr>
              <w:t>9</w:t>
            </w:r>
            <w:r w:rsidRPr="00C50A5C">
              <w:rPr>
                <w:sz w:val="20"/>
                <w:szCs w:val="20"/>
                <w:lang w:val="fr-CA"/>
              </w:rPr>
              <w:t>.2010</w:t>
            </w:r>
          </w:p>
          <w:p w:rsidR="00DC7DEE" w:rsidRPr="00A17955" w:rsidRDefault="003E770A" w:rsidP="00DC7DEE">
            <w:pPr>
              <w:rPr>
                <w:sz w:val="20"/>
                <w:szCs w:val="20"/>
                <w:lang w:val="fr-CA"/>
              </w:rPr>
            </w:pPr>
            <w:r w:rsidRPr="003E770A">
              <w:rPr>
                <w:sz w:val="20"/>
                <w:szCs w:val="20"/>
              </w:rPr>
              <w:pict>
                <v:rect id="_x0000_i1027" style="width:108pt;height:1pt" o:hrpct="0" o:hralign="center" o:hrstd="t" o:hrnoshade="t" o:hr="t" fillcolor="black [3213]" stroked="f"/>
              </w:pict>
            </w:r>
          </w:p>
        </w:tc>
        <w:tc>
          <w:tcPr>
            <w:tcW w:w="1181" w:type="dxa"/>
            <w:shd w:val="clear" w:color="auto" w:fill="auto"/>
          </w:tcPr>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Default="00DC7DEE" w:rsidP="002E2327">
            <w:pPr>
              <w:jc w:val="center"/>
              <w:rPr>
                <w:sz w:val="20"/>
                <w:szCs w:val="20"/>
              </w:rPr>
            </w:pPr>
          </w:p>
          <w:p w:rsidR="00DC7DEE" w:rsidRPr="00C50A5C" w:rsidRDefault="00DC7DEE" w:rsidP="002E2327">
            <w:pPr>
              <w:jc w:val="center"/>
              <w:rPr>
                <w:sz w:val="20"/>
                <w:szCs w:val="20"/>
              </w:rPr>
            </w:pPr>
          </w:p>
        </w:tc>
        <w:tc>
          <w:tcPr>
            <w:tcW w:w="4320" w:type="dxa"/>
            <w:shd w:val="clear" w:color="auto" w:fill="auto"/>
          </w:tcPr>
          <w:p w:rsidR="00DC7DEE" w:rsidRPr="00DC7DEE" w:rsidRDefault="00DC7DEE" w:rsidP="00DC7DEE">
            <w:pPr>
              <w:tabs>
                <w:tab w:val="left" w:pos="-1440"/>
                <w:tab w:val="left" w:pos="-720"/>
              </w:tabs>
              <w:rPr>
                <w:b/>
                <w:sz w:val="20"/>
                <w:szCs w:val="20"/>
                <w:lang w:val="fr-CA"/>
              </w:rPr>
            </w:pPr>
            <w:r w:rsidRPr="00DC7DEE">
              <w:rPr>
                <w:b/>
                <w:sz w:val="20"/>
                <w:szCs w:val="20"/>
                <w:lang w:val="fr-CA"/>
              </w:rPr>
              <w:t xml:space="preserve">9153-8629 Québec </w:t>
            </w:r>
            <w:proofErr w:type="spellStart"/>
            <w:r w:rsidRPr="00DC7DEE">
              <w:rPr>
                <w:b/>
                <w:sz w:val="20"/>
                <w:szCs w:val="20"/>
                <w:lang w:val="fr-CA"/>
              </w:rPr>
              <w:t>inc</w:t>
            </w:r>
            <w:proofErr w:type="spellEnd"/>
            <w:r w:rsidRPr="00DC7DEE">
              <w:rPr>
                <w:b/>
                <w:sz w:val="20"/>
                <w:szCs w:val="20"/>
                <w:lang w:val="fr-CA"/>
              </w:rPr>
              <w:t>.</w:t>
            </w:r>
          </w:p>
          <w:p w:rsidR="00DC7DEE" w:rsidRPr="00DC7DEE" w:rsidRDefault="00DC7DEE" w:rsidP="00DC7DEE">
            <w:pPr>
              <w:tabs>
                <w:tab w:val="left" w:pos="-1440"/>
                <w:tab w:val="left" w:pos="-720"/>
              </w:tabs>
              <w:rPr>
                <w:sz w:val="20"/>
                <w:szCs w:val="20"/>
                <w:lang w:val="fr-CA"/>
              </w:rPr>
            </w:pPr>
            <w:r w:rsidRPr="00DC7DEE">
              <w:rPr>
                <w:sz w:val="20"/>
                <w:szCs w:val="20"/>
                <w:lang w:val="fr-CA"/>
              </w:rPr>
              <w:tab/>
              <w:t>Lan Au</w:t>
            </w:r>
          </w:p>
          <w:p w:rsidR="00DC7DEE" w:rsidRPr="00DC7DEE" w:rsidRDefault="00DC7DEE" w:rsidP="00DC7DEE">
            <w:pPr>
              <w:tabs>
                <w:tab w:val="left" w:pos="-1440"/>
                <w:tab w:val="left" w:pos="-720"/>
              </w:tabs>
              <w:rPr>
                <w:sz w:val="20"/>
                <w:szCs w:val="20"/>
                <w:lang w:val="fr-CA"/>
              </w:rPr>
            </w:pPr>
          </w:p>
          <w:p w:rsidR="00DC7DEE" w:rsidRPr="00076B37" w:rsidRDefault="00DC7DEE" w:rsidP="00DC7DEE">
            <w:pPr>
              <w:tabs>
                <w:tab w:val="left" w:pos="-1440"/>
                <w:tab w:val="left" w:pos="-720"/>
              </w:tabs>
              <w:rPr>
                <w:sz w:val="20"/>
                <w:szCs w:val="20"/>
                <w:lang w:val="fr-CA"/>
              </w:rPr>
            </w:pPr>
            <w:r w:rsidRPr="00DC7DEE">
              <w:rPr>
                <w:sz w:val="20"/>
                <w:szCs w:val="20"/>
                <w:lang w:val="fr-CA"/>
              </w:rPr>
              <w:tab/>
            </w:r>
            <w:r w:rsidRPr="00076B37">
              <w:rPr>
                <w:sz w:val="20"/>
                <w:szCs w:val="20"/>
                <w:lang w:val="fr-CA"/>
              </w:rPr>
              <w:t>c. (33899)</w:t>
            </w:r>
          </w:p>
          <w:p w:rsidR="00DC7DEE" w:rsidRPr="00076B37" w:rsidRDefault="00DC7DEE" w:rsidP="00DC7DEE">
            <w:pPr>
              <w:tabs>
                <w:tab w:val="left" w:pos="-1440"/>
                <w:tab w:val="left" w:pos="-720"/>
              </w:tabs>
              <w:rPr>
                <w:sz w:val="20"/>
                <w:szCs w:val="20"/>
                <w:lang w:val="fr-CA"/>
              </w:rPr>
            </w:pPr>
          </w:p>
          <w:p w:rsidR="00DC7DEE" w:rsidRPr="00076B37" w:rsidRDefault="00DC7DEE" w:rsidP="00DC7DEE">
            <w:pPr>
              <w:tabs>
                <w:tab w:val="left" w:pos="-1440"/>
                <w:tab w:val="left" w:pos="-720"/>
              </w:tabs>
              <w:rPr>
                <w:b/>
                <w:sz w:val="20"/>
                <w:szCs w:val="20"/>
                <w:lang w:val="fr-CA"/>
              </w:rPr>
            </w:pPr>
            <w:proofErr w:type="spellStart"/>
            <w:r w:rsidRPr="00076B37">
              <w:rPr>
                <w:b/>
                <w:sz w:val="20"/>
                <w:szCs w:val="20"/>
                <w:lang w:val="fr-CA"/>
              </w:rPr>
              <w:t>Sous-Ministre</w:t>
            </w:r>
            <w:proofErr w:type="spellEnd"/>
            <w:r w:rsidRPr="00076B37">
              <w:rPr>
                <w:b/>
                <w:sz w:val="20"/>
                <w:szCs w:val="20"/>
                <w:lang w:val="fr-CA"/>
              </w:rPr>
              <w:t xml:space="preserve"> du Revenu du Québec (</w:t>
            </w:r>
            <w:proofErr w:type="spellStart"/>
            <w:r w:rsidRPr="00076B37">
              <w:rPr>
                <w:b/>
                <w:sz w:val="20"/>
                <w:szCs w:val="20"/>
                <w:lang w:val="fr-CA"/>
              </w:rPr>
              <w:t>Qc</w:t>
            </w:r>
            <w:proofErr w:type="spellEnd"/>
            <w:r w:rsidRPr="00076B37">
              <w:rPr>
                <w:b/>
                <w:sz w:val="20"/>
                <w:szCs w:val="20"/>
                <w:lang w:val="fr-CA"/>
              </w:rPr>
              <w:t>)</w:t>
            </w:r>
          </w:p>
          <w:p w:rsidR="00DC7DEE" w:rsidRPr="00076B37" w:rsidRDefault="00DC7DEE" w:rsidP="00DC7DEE">
            <w:pPr>
              <w:tabs>
                <w:tab w:val="left" w:pos="-1440"/>
                <w:tab w:val="left" w:pos="-720"/>
              </w:tabs>
              <w:rPr>
                <w:sz w:val="20"/>
                <w:szCs w:val="20"/>
                <w:lang w:val="fr-CA"/>
              </w:rPr>
            </w:pPr>
            <w:r w:rsidRPr="00076B37">
              <w:rPr>
                <w:sz w:val="20"/>
                <w:szCs w:val="20"/>
                <w:lang w:val="fr-CA"/>
              </w:rPr>
              <w:tab/>
            </w:r>
            <w:r>
              <w:rPr>
                <w:sz w:val="20"/>
                <w:szCs w:val="20"/>
                <w:lang w:val="fr-CA"/>
              </w:rPr>
              <w:t xml:space="preserve">Roberto </w:t>
            </w:r>
            <w:proofErr w:type="spellStart"/>
            <w:r>
              <w:rPr>
                <w:sz w:val="20"/>
                <w:szCs w:val="20"/>
                <w:lang w:val="fr-CA"/>
              </w:rPr>
              <w:t>Clocchiatti</w:t>
            </w:r>
            <w:proofErr w:type="spellEnd"/>
          </w:p>
          <w:p w:rsidR="00DC7DEE" w:rsidRPr="00076B37" w:rsidRDefault="00DC7DEE" w:rsidP="00DC7DEE">
            <w:pPr>
              <w:tabs>
                <w:tab w:val="left" w:pos="-1440"/>
                <w:tab w:val="left" w:pos="-720"/>
              </w:tabs>
              <w:rPr>
                <w:sz w:val="20"/>
                <w:szCs w:val="20"/>
                <w:lang w:val="fr-CA"/>
              </w:rPr>
            </w:pPr>
            <w:r w:rsidRPr="00076B37">
              <w:rPr>
                <w:sz w:val="20"/>
                <w:szCs w:val="20"/>
                <w:lang w:val="fr-CA"/>
              </w:rPr>
              <w:tab/>
            </w:r>
            <w:proofErr w:type="spellStart"/>
            <w:r>
              <w:rPr>
                <w:sz w:val="20"/>
                <w:szCs w:val="20"/>
                <w:lang w:val="fr-CA"/>
              </w:rPr>
              <w:t>Veillette</w:t>
            </w:r>
            <w:proofErr w:type="spellEnd"/>
            <w:r>
              <w:rPr>
                <w:sz w:val="20"/>
                <w:szCs w:val="20"/>
                <w:lang w:val="fr-CA"/>
              </w:rPr>
              <w:t xml:space="preserve">, </w:t>
            </w:r>
            <w:proofErr w:type="spellStart"/>
            <w:r>
              <w:rPr>
                <w:sz w:val="20"/>
                <w:szCs w:val="20"/>
                <w:lang w:val="fr-CA"/>
              </w:rPr>
              <w:t>Larivière</w:t>
            </w:r>
            <w:proofErr w:type="spellEnd"/>
          </w:p>
          <w:p w:rsidR="00DC7DEE" w:rsidRPr="00076B37" w:rsidRDefault="00DC7DEE" w:rsidP="00DC7DEE">
            <w:pPr>
              <w:tabs>
                <w:tab w:val="left" w:pos="-1440"/>
                <w:tab w:val="left" w:pos="-720"/>
              </w:tabs>
              <w:rPr>
                <w:sz w:val="20"/>
                <w:szCs w:val="20"/>
                <w:lang w:val="fr-CA"/>
              </w:rPr>
            </w:pPr>
          </w:p>
          <w:p w:rsidR="00DC7DEE" w:rsidRPr="00AC7ED5" w:rsidRDefault="00DC7DEE" w:rsidP="00DC7DEE">
            <w:pPr>
              <w:rPr>
                <w:sz w:val="20"/>
                <w:szCs w:val="20"/>
                <w:lang w:val="fr-CA"/>
              </w:rPr>
            </w:pPr>
            <w:r w:rsidRPr="00AC7ED5">
              <w:rPr>
                <w:sz w:val="20"/>
                <w:szCs w:val="20"/>
                <w:lang w:val="fr-CA"/>
              </w:rPr>
              <w:t>DATE DE PRODUCTION : 12.10.2010</w:t>
            </w:r>
          </w:p>
          <w:p w:rsidR="00DC7DEE" w:rsidRPr="00C50A5C" w:rsidRDefault="003E770A" w:rsidP="00DC7DEE">
            <w:pPr>
              <w:rPr>
                <w:sz w:val="20"/>
                <w:szCs w:val="20"/>
              </w:rPr>
            </w:pPr>
            <w:r w:rsidRPr="003E770A">
              <w:rPr>
                <w:sz w:val="20"/>
                <w:szCs w:val="20"/>
              </w:rPr>
              <w:pict>
                <v:rect id="_x0000_i1028" style="width:108pt;height:1pt" o:hrpct="0" o:hralign="center" o:hrstd="t" o:hrnoshade="t" o:hr="t" fillcolor="black [3213]" stroked="f"/>
              </w:pict>
            </w:r>
          </w:p>
        </w:tc>
      </w:tr>
      <w:tr w:rsidR="00DC7DEE" w:rsidRPr="00C50A5C" w:rsidTr="00A87207">
        <w:trPr>
          <w:cantSplit/>
        </w:trPr>
        <w:tc>
          <w:tcPr>
            <w:tcW w:w="4320" w:type="dxa"/>
            <w:shd w:val="clear" w:color="auto" w:fill="auto"/>
          </w:tcPr>
          <w:p w:rsidR="00DC7DEE" w:rsidRPr="00AC7ED5" w:rsidRDefault="00DC7DEE" w:rsidP="00A17955">
            <w:pPr>
              <w:tabs>
                <w:tab w:val="left" w:pos="-1440"/>
                <w:tab w:val="left" w:pos="-720"/>
              </w:tabs>
              <w:rPr>
                <w:b/>
                <w:sz w:val="20"/>
                <w:szCs w:val="20"/>
              </w:rPr>
            </w:pPr>
            <w:r w:rsidRPr="00AC7ED5">
              <w:rPr>
                <w:b/>
                <w:sz w:val="20"/>
                <w:szCs w:val="20"/>
              </w:rPr>
              <w:t xml:space="preserve">Denis C. </w:t>
            </w:r>
            <w:proofErr w:type="spellStart"/>
            <w:r w:rsidRPr="00AC7ED5">
              <w:rPr>
                <w:b/>
                <w:sz w:val="20"/>
                <w:szCs w:val="20"/>
              </w:rPr>
              <w:t>Charron</w:t>
            </w:r>
            <w:proofErr w:type="spellEnd"/>
          </w:p>
          <w:p w:rsidR="00DC7DEE" w:rsidRDefault="00DC7DEE" w:rsidP="00A17955">
            <w:pPr>
              <w:tabs>
                <w:tab w:val="left" w:pos="-1440"/>
                <w:tab w:val="left" w:pos="-720"/>
              </w:tabs>
              <w:rPr>
                <w:sz w:val="20"/>
                <w:szCs w:val="20"/>
              </w:rPr>
            </w:pPr>
            <w:r w:rsidRPr="00C50A5C">
              <w:rPr>
                <w:sz w:val="20"/>
                <w:szCs w:val="20"/>
              </w:rPr>
              <w:tab/>
            </w:r>
            <w:r>
              <w:rPr>
                <w:sz w:val="20"/>
                <w:szCs w:val="20"/>
              </w:rPr>
              <w:t xml:space="preserve">Denis C. </w:t>
            </w:r>
            <w:proofErr w:type="spellStart"/>
            <w:r>
              <w:rPr>
                <w:sz w:val="20"/>
                <w:szCs w:val="20"/>
              </w:rPr>
              <w:t>Charron</w:t>
            </w:r>
            <w:proofErr w:type="spellEnd"/>
          </w:p>
          <w:p w:rsidR="00DC7DEE" w:rsidRPr="00C50A5C" w:rsidRDefault="00DC7DEE" w:rsidP="00A17955">
            <w:pPr>
              <w:tabs>
                <w:tab w:val="left" w:pos="-1440"/>
                <w:tab w:val="left" w:pos="-720"/>
              </w:tabs>
              <w:rPr>
                <w:sz w:val="20"/>
                <w:szCs w:val="20"/>
              </w:rPr>
            </w:pPr>
          </w:p>
          <w:p w:rsidR="00DC7DEE" w:rsidRPr="00AF3487" w:rsidRDefault="00DC7DEE" w:rsidP="00A17955">
            <w:pPr>
              <w:tabs>
                <w:tab w:val="left" w:pos="-1440"/>
                <w:tab w:val="left" w:pos="-720"/>
              </w:tabs>
              <w:rPr>
                <w:sz w:val="20"/>
                <w:szCs w:val="20"/>
                <w:lang w:val="fr-CA"/>
              </w:rPr>
            </w:pPr>
            <w:r w:rsidRPr="00C50A5C">
              <w:rPr>
                <w:sz w:val="20"/>
                <w:szCs w:val="20"/>
              </w:rPr>
              <w:tab/>
            </w:r>
            <w:r w:rsidRPr="00AF3487">
              <w:rPr>
                <w:sz w:val="20"/>
                <w:szCs w:val="20"/>
                <w:lang w:val="fr-CA"/>
              </w:rPr>
              <w:t>c. (33906)</w:t>
            </w:r>
          </w:p>
          <w:p w:rsidR="00DC7DEE" w:rsidRPr="00AF3487" w:rsidRDefault="00DC7DEE" w:rsidP="00A17955">
            <w:pPr>
              <w:tabs>
                <w:tab w:val="left" w:pos="-1440"/>
                <w:tab w:val="left" w:pos="-720"/>
              </w:tabs>
              <w:rPr>
                <w:sz w:val="20"/>
                <w:szCs w:val="20"/>
                <w:lang w:val="fr-CA"/>
              </w:rPr>
            </w:pPr>
          </w:p>
          <w:p w:rsidR="00DC7DEE" w:rsidRPr="00AC7ED5" w:rsidRDefault="00DC7DEE" w:rsidP="00A17955">
            <w:pPr>
              <w:tabs>
                <w:tab w:val="left" w:pos="-1440"/>
                <w:tab w:val="left" w:pos="-720"/>
              </w:tabs>
              <w:rPr>
                <w:b/>
                <w:sz w:val="20"/>
                <w:szCs w:val="20"/>
                <w:lang w:val="fr-CA"/>
              </w:rPr>
            </w:pPr>
            <w:r w:rsidRPr="00AC7ED5">
              <w:rPr>
                <w:b/>
                <w:sz w:val="20"/>
                <w:szCs w:val="20"/>
                <w:lang w:val="fr-CA"/>
              </w:rPr>
              <w:t>Claude L. Charron et autre (</w:t>
            </w:r>
            <w:proofErr w:type="spellStart"/>
            <w:r w:rsidRPr="00AC7ED5">
              <w:rPr>
                <w:b/>
                <w:sz w:val="20"/>
                <w:szCs w:val="20"/>
                <w:lang w:val="fr-CA"/>
              </w:rPr>
              <w:t>Qc</w:t>
            </w:r>
            <w:proofErr w:type="spellEnd"/>
            <w:r w:rsidRPr="00AC7ED5">
              <w:rPr>
                <w:b/>
                <w:sz w:val="20"/>
                <w:szCs w:val="20"/>
                <w:lang w:val="fr-CA"/>
              </w:rPr>
              <w:t>)</w:t>
            </w:r>
          </w:p>
          <w:p w:rsidR="00DC7DEE" w:rsidRPr="00AC7ED5" w:rsidRDefault="00DC7DEE" w:rsidP="00A17955">
            <w:pPr>
              <w:tabs>
                <w:tab w:val="left" w:pos="-1440"/>
                <w:tab w:val="left" w:pos="-720"/>
              </w:tabs>
              <w:rPr>
                <w:sz w:val="20"/>
                <w:szCs w:val="20"/>
                <w:lang w:val="fr-CA"/>
              </w:rPr>
            </w:pPr>
            <w:r w:rsidRPr="00AC7ED5">
              <w:rPr>
                <w:sz w:val="20"/>
                <w:szCs w:val="20"/>
                <w:lang w:val="fr-CA"/>
              </w:rPr>
              <w:tab/>
            </w:r>
            <w:r>
              <w:rPr>
                <w:sz w:val="20"/>
                <w:szCs w:val="20"/>
                <w:lang w:val="fr-CA"/>
              </w:rPr>
              <w:t>Luc Giroux</w:t>
            </w:r>
          </w:p>
          <w:p w:rsidR="00DC7DEE" w:rsidRPr="00AC7ED5" w:rsidRDefault="00DC7DEE" w:rsidP="00A17955">
            <w:pPr>
              <w:tabs>
                <w:tab w:val="left" w:pos="-1440"/>
                <w:tab w:val="left" w:pos="-720"/>
              </w:tabs>
              <w:rPr>
                <w:sz w:val="20"/>
                <w:szCs w:val="20"/>
                <w:lang w:val="fr-CA"/>
              </w:rPr>
            </w:pPr>
            <w:r w:rsidRPr="00AC7ED5">
              <w:rPr>
                <w:sz w:val="20"/>
                <w:szCs w:val="20"/>
                <w:lang w:val="fr-CA"/>
              </w:rPr>
              <w:tab/>
            </w:r>
            <w:r>
              <w:rPr>
                <w:sz w:val="20"/>
                <w:szCs w:val="20"/>
                <w:lang w:val="fr-CA"/>
              </w:rPr>
              <w:t xml:space="preserve">Fraser Milner </w:t>
            </w:r>
            <w:proofErr w:type="spellStart"/>
            <w:r>
              <w:rPr>
                <w:sz w:val="20"/>
                <w:szCs w:val="20"/>
                <w:lang w:val="fr-CA"/>
              </w:rPr>
              <w:t>Casgrain</w:t>
            </w:r>
            <w:proofErr w:type="spellEnd"/>
            <w:r>
              <w:rPr>
                <w:sz w:val="20"/>
                <w:szCs w:val="20"/>
                <w:lang w:val="fr-CA"/>
              </w:rPr>
              <w:t xml:space="preserve"> </w:t>
            </w:r>
            <w:proofErr w:type="spellStart"/>
            <w:r>
              <w:rPr>
                <w:sz w:val="20"/>
                <w:szCs w:val="20"/>
                <w:lang w:val="fr-CA"/>
              </w:rPr>
              <w:t>s.r.l</w:t>
            </w:r>
            <w:proofErr w:type="spellEnd"/>
            <w:r>
              <w:rPr>
                <w:sz w:val="20"/>
                <w:szCs w:val="20"/>
                <w:lang w:val="fr-CA"/>
              </w:rPr>
              <w:t>.</w:t>
            </w:r>
          </w:p>
          <w:p w:rsidR="00DC7DEE" w:rsidRPr="00AC7ED5" w:rsidRDefault="00DC7DEE" w:rsidP="00A17955">
            <w:pPr>
              <w:tabs>
                <w:tab w:val="left" w:pos="-1440"/>
                <w:tab w:val="left" w:pos="-720"/>
              </w:tabs>
              <w:rPr>
                <w:sz w:val="20"/>
                <w:szCs w:val="20"/>
                <w:lang w:val="fr-CA"/>
              </w:rPr>
            </w:pPr>
          </w:p>
          <w:p w:rsidR="00DC7DEE" w:rsidRPr="00AC7ED5" w:rsidRDefault="00DC7DEE" w:rsidP="00A17955">
            <w:pPr>
              <w:rPr>
                <w:sz w:val="20"/>
                <w:szCs w:val="20"/>
              </w:rPr>
            </w:pPr>
            <w:r w:rsidRPr="00AC7ED5">
              <w:rPr>
                <w:sz w:val="20"/>
                <w:szCs w:val="20"/>
              </w:rPr>
              <w:t xml:space="preserve">DATE DE PRODUCTION : </w:t>
            </w:r>
            <w:r>
              <w:rPr>
                <w:sz w:val="20"/>
                <w:szCs w:val="20"/>
              </w:rPr>
              <w:t>18</w:t>
            </w:r>
            <w:r w:rsidRPr="00AC7ED5">
              <w:rPr>
                <w:sz w:val="20"/>
                <w:szCs w:val="20"/>
              </w:rPr>
              <w:t>.</w:t>
            </w:r>
            <w:r>
              <w:rPr>
                <w:sz w:val="20"/>
                <w:szCs w:val="20"/>
              </w:rPr>
              <w:t>1</w:t>
            </w:r>
            <w:r w:rsidRPr="00AC7ED5">
              <w:rPr>
                <w:sz w:val="20"/>
                <w:szCs w:val="20"/>
              </w:rPr>
              <w:t>0.2010</w:t>
            </w:r>
          </w:p>
          <w:p w:rsidR="00DC7DEE" w:rsidRPr="00C50A5C" w:rsidRDefault="003E770A" w:rsidP="00A17955">
            <w:pPr>
              <w:rPr>
                <w:sz w:val="20"/>
                <w:szCs w:val="20"/>
              </w:rPr>
            </w:pPr>
            <w:r w:rsidRPr="003E770A">
              <w:rPr>
                <w:sz w:val="20"/>
                <w:szCs w:val="20"/>
              </w:rPr>
              <w:pict>
                <v:rect id="_x0000_i1029" style="width:108pt;height:1pt" o:hrpct="0" o:hralign="center" o:hrstd="t" o:hrnoshade="t" o:hr="t" fillcolor="black [3213]" stroked="f"/>
              </w:pict>
            </w:r>
          </w:p>
        </w:tc>
        <w:tc>
          <w:tcPr>
            <w:tcW w:w="1181" w:type="dxa"/>
            <w:shd w:val="clear" w:color="auto" w:fill="auto"/>
          </w:tcPr>
          <w:p w:rsidR="00DC7DEE" w:rsidRPr="00C50A5C" w:rsidRDefault="00DC7DEE" w:rsidP="002E2327">
            <w:pPr>
              <w:jc w:val="center"/>
              <w:rPr>
                <w:sz w:val="20"/>
                <w:szCs w:val="20"/>
              </w:rPr>
            </w:pPr>
          </w:p>
        </w:tc>
        <w:tc>
          <w:tcPr>
            <w:tcW w:w="4320" w:type="dxa"/>
            <w:shd w:val="clear" w:color="auto" w:fill="auto"/>
          </w:tcPr>
          <w:p w:rsidR="00DC7DEE" w:rsidRPr="00AC7ED5" w:rsidRDefault="00DC7DEE" w:rsidP="00DC7DEE">
            <w:pPr>
              <w:keepNext/>
              <w:keepLines/>
              <w:tabs>
                <w:tab w:val="left" w:pos="-1440"/>
                <w:tab w:val="left" w:pos="-720"/>
              </w:tabs>
              <w:rPr>
                <w:b/>
                <w:sz w:val="20"/>
                <w:szCs w:val="20"/>
                <w:lang w:val="fr-CA"/>
              </w:rPr>
            </w:pPr>
            <w:proofErr w:type="spellStart"/>
            <w:r w:rsidRPr="00AC7ED5">
              <w:rPr>
                <w:b/>
                <w:sz w:val="20"/>
                <w:szCs w:val="20"/>
                <w:lang w:val="fr-CA"/>
              </w:rPr>
              <w:t>Tax</w:t>
            </w:r>
            <w:proofErr w:type="spellEnd"/>
            <w:r w:rsidRPr="00AC7ED5">
              <w:rPr>
                <w:b/>
                <w:sz w:val="20"/>
                <w:szCs w:val="20"/>
                <w:lang w:val="fr-CA"/>
              </w:rPr>
              <w:t xml:space="preserve"> Stop Ltd. et al.</w:t>
            </w:r>
          </w:p>
          <w:p w:rsidR="00DC7DEE" w:rsidRPr="00AC7ED5" w:rsidRDefault="00DC7DEE" w:rsidP="00DC7DEE">
            <w:pPr>
              <w:keepNext/>
              <w:keepLines/>
              <w:tabs>
                <w:tab w:val="left" w:pos="-1440"/>
                <w:tab w:val="left" w:pos="-720"/>
              </w:tabs>
              <w:rPr>
                <w:sz w:val="20"/>
                <w:szCs w:val="20"/>
                <w:lang w:val="fr-CA"/>
              </w:rPr>
            </w:pPr>
            <w:r w:rsidRPr="00AC7ED5">
              <w:rPr>
                <w:sz w:val="20"/>
                <w:szCs w:val="20"/>
                <w:lang w:val="fr-CA"/>
              </w:rPr>
              <w:tab/>
            </w:r>
          </w:p>
          <w:p w:rsidR="00DC7DEE" w:rsidRPr="00DC7DEE" w:rsidRDefault="00DC7DEE" w:rsidP="00DC7DEE">
            <w:pPr>
              <w:keepNext/>
              <w:keepLines/>
              <w:tabs>
                <w:tab w:val="left" w:pos="-1440"/>
                <w:tab w:val="left" w:pos="-720"/>
              </w:tabs>
              <w:rPr>
                <w:sz w:val="20"/>
                <w:szCs w:val="20"/>
                <w:lang w:val="fr-CA"/>
              </w:rPr>
            </w:pPr>
            <w:r w:rsidRPr="00AC7ED5">
              <w:rPr>
                <w:sz w:val="20"/>
                <w:szCs w:val="20"/>
                <w:lang w:val="fr-CA"/>
              </w:rPr>
              <w:tab/>
            </w:r>
            <w:r w:rsidRPr="00DC7DEE">
              <w:rPr>
                <w:sz w:val="20"/>
                <w:szCs w:val="20"/>
                <w:lang w:val="fr-CA"/>
              </w:rPr>
              <w:t>v. (33909)</w:t>
            </w:r>
          </w:p>
          <w:p w:rsidR="00DC7DEE" w:rsidRPr="00DC7DEE" w:rsidRDefault="00DC7DEE" w:rsidP="00DC7DEE">
            <w:pPr>
              <w:keepNext/>
              <w:keepLines/>
              <w:tabs>
                <w:tab w:val="left" w:pos="-1440"/>
                <w:tab w:val="left" w:pos="-720"/>
              </w:tabs>
              <w:rPr>
                <w:sz w:val="20"/>
                <w:szCs w:val="20"/>
                <w:lang w:val="fr-CA"/>
              </w:rPr>
            </w:pPr>
          </w:p>
          <w:p w:rsidR="00DC7DEE" w:rsidRPr="00AC7ED5" w:rsidRDefault="00DC7DEE" w:rsidP="00DC7DEE">
            <w:pPr>
              <w:keepNext/>
              <w:keepLines/>
              <w:tabs>
                <w:tab w:val="left" w:pos="-1440"/>
                <w:tab w:val="left" w:pos="-720"/>
              </w:tabs>
              <w:rPr>
                <w:b/>
                <w:sz w:val="20"/>
                <w:szCs w:val="20"/>
                <w:lang w:val="fr-CA"/>
              </w:rPr>
            </w:pPr>
            <w:r w:rsidRPr="00AC7ED5">
              <w:rPr>
                <w:b/>
                <w:sz w:val="20"/>
                <w:szCs w:val="20"/>
                <w:lang w:val="fr-CA"/>
              </w:rPr>
              <w:t>Rocky Motors Inc. et al. (Ont.)</w:t>
            </w:r>
          </w:p>
          <w:p w:rsidR="00DC7DEE" w:rsidRPr="00AC7ED5" w:rsidRDefault="00DC7DEE" w:rsidP="00DC7DEE">
            <w:pPr>
              <w:keepNext/>
              <w:keepLines/>
              <w:tabs>
                <w:tab w:val="left" w:pos="-1440"/>
                <w:tab w:val="left" w:pos="-720"/>
              </w:tabs>
              <w:rPr>
                <w:sz w:val="20"/>
                <w:szCs w:val="20"/>
              </w:rPr>
            </w:pPr>
            <w:r w:rsidRPr="00AC7ED5">
              <w:rPr>
                <w:sz w:val="20"/>
                <w:szCs w:val="20"/>
                <w:lang w:val="fr-CA"/>
              </w:rPr>
              <w:tab/>
            </w:r>
            <w:r w:rsidRPr="00AC7ED5">
              <w:rPr>
                <w:sz w:val="20"/>
                <w:szCs w:val="20"/>
              </w:rPr>
              <w:t>Owen D. Thomas</w:t>
            </w:r>
          </w:p>
          <w:p w:rsidR="00DC7DEE" w:rsidRPr="00AC7ED5" w:rsidRDefault="00DC7DEE" w:rsidP="00DC7DEE">
            <w:pPr>
              <w:keepNext/>
              <w:keepLines/>
              <w:tabs>
                <w:tab w:val="left" w:pos="-1440"/>
                <w:tab w:val="left" w:pos="-720"/>
              </w:tabs>
              <w:rPr>
                <w:sz w:val="20"/>
                <w:szCs w:val="20"/>
              </w:rPr>
            </w:pPr>
            <w:r w:rsidRPr="00AC7ED5">
              <w:rPr>
                <w:sz w:val="20"/>
                <w:szCs w:val="20"/>
              </w:rPr>
              <w:tab/>
            </w:r>
            <w:proofErr w:type="spellStart"/>
            <w:r w:rsidRPr="00AC7ED5">
              <w:rPr>
                <w:sz w:val="20"/>
                <w:szCs w:val="20"/>
              </w:rPr>
              <w:t>Paroian</w:t>
            </w:r>
            <w:proofErr w:type="spellEnd"/>
            <w:r w:rsidRPr="00AC7ED5">
              <w:rPr>
                <w:sz w:val="20"/>
                <w:szCs w:val="20"/>
              </w:rPr>
              <w:t xml:space="preserve"> Skipper Lawyers</w:t>
            </w:r>
          </w:p>
          <w:p w:rsidR="00DC7DEE" w:rsidRPr="00AC7ED5" w:rsidRDefault="00DC7DEE" w:rsidP="00DC7DEE">
            <w:pPr>
              <w:keepNext/>
              <w:keepLines/>
              <w:tabs>
                <w:tab w:val="left" w:pos="-1440"/>
                <w:tab w:val="left" w:pos="-720"/>
              </w:tabs>
              <w:rPr>
                <w:sz w:val="20"/>
                <w:szCs w:val="20"/>
              </w:rPr>
            </w:pPr>
          </w:p>
          <w:p w:rsidR="00DC7DEE" w:rsidRDefault="00DC7DEE" w:rsidP="00DC7DEE">
            <w:pPr>
              <w:keepNext/>
              <w:keepLines/>
              <w:tabs>
                <w:tab w:val="left" w:pos="-1440"/>
                <w:tab w:val="left" w:pos="-720"/>
              </w:tabs>
              <w:rPr>
                <w:sz w:val="20"/>
                <w:szCs w:val="20"/>
              </w:rPr>
            </w:pPr>
            <w:r w:rsidRPr="00C50A5C">
              <w:rPr>
                <w:sz w:val="20"/>
                <w:szCs w:val="20"/>
              </w:rPr>
              <w:t xml:space="preserve">FILING DATE: </w:t>
            </w:r>
            <w:r>
              <w:rPr>
                <w:sz w:val="20"/>
                <w:szCs w:val="20"/>
              </w:rPr>
              <w:t>18.10.2010</w:t>
            </w:r>
          </w:p>
          <w:p w:rsidR="00DC7DEE" w:rsidRPr="00C50A5C" w:rsidRDefault="003E770A" w:rsidP="00DC7DEE">
            <w:pPr>
              <w:rPr>
                <w:sz w:val="20"/>
                <w:szCs w:val="20"/>
              </w:rPr>
            </w:pPr>
            <w:r w:rsidRPr="003E770A">
              <w:rPr>
                <w:sz w:val="20"/>
                <w:szCs w:val="20"/>
              </w:rPr>
              <w:pict>
                <v:rect id="_x0000_i1030" style="width:108pt;height:1pt" o:hrpct="0" o:hralign="center" o:hrstd="t" o:hrnoshade="t" o:hr="t" fillcolor="black [3213]" stroked="f"/>
              </w:pict>
            </w:r>
          </w:p>
        </w:tc>
      </w:tr>
      <w:tr w:rsidR="00DC7DEE" w:rsidRPr="00DC7DEE" w:rsidTr="00A87207">
        <w:trPr>
          <w:cantSplit/>
        </w:trPr>
        <w:tc>
          <w:tcPr>
            <w:tcW w:w="4320" w:type="dxa"/>
            <w:shd w:val="clear" w:color="auto" w:fill="auto"/>
          </w:tcPr>
          <w:p w:rsidR="00DC7DEE" w:rsidRDefault="00DC7DEE" w:rsidP="00DC7DEE">
            <w:pPr>
              <w:rPr>
                <w:b/>
                <w:sz w:val="20"/>
                <w:szCs w:val="20"/>
                <w:lang w:val="fr-CA"/>
              </w:rPr>
            </w:pPr>
          </w:p>
          <w:p w:rsidR="00DC7DEE" w:rsidRPr="00AF3487" w:rsidRDefault="00DC7DEE" w:rsidP="00DC7DEE">
            <w:pPr>
              <w:rPr>
                <w:b/>
                <w:sz w:val="20"/>
                <w:szCs w:val="20"/>
              </w:rPr>
            </w:pPr>
            <w:proofErr w:type="spellStart"/>
            <w:r w:rsidRPr="00AF3487">
              <w:rPr>
                <w:b/>
                <w:sz w:val="20"/>
                <w:szCs w:val="20"/>
              </w:rPr>
              <w:t>Smadar</w:t>
            </w:r>
            <w:proofErr w:type="spellEnd"/>
            <w:r w:rsidRPr="00AF3487">
              <w:rPr>
                <w:b/>
                <w:sz w:val="20"/>
                <w:szCs w:val="20"/>
              </w:rPr>
              <w:t xml:space="preserve"> </w:t>
            </w:r>
            <w:proofErr w:type="spellStart"/>
            <w:r w:rsidRPr="00AF3487">
              <w:rPr>
                <w:b/>
                <w:sz w:val="20"/>
                <w:szCs w:val="20"/>
              </w:rPr>
              <w:t>Dahan</w:t>
            </w:r>
            <w:proofErr w:type="spellEnd"/>
          </w:p>
          <w:p w:rsidR="00DC7DEE" w:rsidRPr="00AF3487" w:rsidRDefault="00DC7DEE" w:rsidP="00DC7DEE">
            <w:pPr>
              <w:rPr>
                <w:sz w:val="20"/>
                <w:szCs w:val="20"/>
              </w:rPr>
            </w:pPr>
            <w:r w:rsidRPr="00AF3487">
              <w:rPr>
                <w:sz w:val="20"/>
                <w:szCs w:val="20"/>
              </w:rPr>
              <w:tab/>
            </w:r>
            <w:proofErr w:type="spellStart"/>
            <w:r w:rsidRPr="00AF3487">
              <w:rPr>
                <w:sz w:val="20"/>
                <w:szCs w:val="20"/>
              </w:rPr>
              <w:t>Smadar</w:t>
            </w:r>
            <w:proofErr w:type="spellEnd"/>
            <w:r w:rsidRPr="00AF3487">
              <w:rPr>
                <w:sz w:val="20"/>
                <w:szCs w:val="20"/>
              </w:rPr>
              <w:t xml:space="preserve"> </w:t>
            </w:r>
            <w:proofErr w:type="spellStart"/>
            <w:r w:rsidRPr="00AF3487">
              <w:rPr>
                <w:sz w:val="20"/>
                <w:szCs w:val="20"/>
              </w:rPr>
              <w:t>Dahan</w:t>
            </w:r>
            <w:proofErr w:type="spellEnd"/>
          </w:p>
          <w:p w:rsidR="00DC7DEE" w:rsidRPr="00AF3487" w:rsidRDefault="00DC7DEE" w:rsidP="00DC7DEE">
            <w:pPr>
              <w:rPr>
                <w:sz w:val="20"/>
                <w:szCs w:val="20"/>
              </w:rPr>
            </w:pPr>
          </w:p>
          <w:p w:rsidR="00DC7DEE" w:rsidRPr="00AF3487" w:rsidRDefault="00DC7DEE" w:rsidP="00DC7DEE">
            <w:pPr>
              <w:rPr>
                <w:sz w:val="20"/>
                <w:szCs w:val="20"/>
              </w:rPr>
            </w:pPr>
            <w:r w:rsidRPr="00AF3487">
              <w:rPr>
                <w:sz w:val="20"/>
                <w:szCs w:val="20"/>
              </w:rPr>
              <w:tab/>
              <w:t>v. (33915)</w:t>
            </w:r>
          </w:p>
          <w:p w:rsidR="00DC7DEE" w:rsidRPr="00AF3487" w:rsidRDefault="00DC7DEE" w:rsidP="00DC7DEE">
            <w:pPr>
              <w:rPr>
                <w:sz w:val="20"/>
                <w:szCs w:val="20"/>
              </w:rPr>
            </w:pPr>
          </w:p>
          <w:p w:rsidR="00DC7DEE" w:rsidRDefault="00DC7DEE" w:rsidP="00DC7DEE">
            <w:pPr>
              <w:rPr>
                <w:sz w:val="20"/>
                <w:szCs w:val="20"/>
                <w:lang w:val="fr-CA"/>
              </w:rPr>
            </w:pPr>
            <w:r w:rsidRPr="00DC7DEE">
              <w:rPr>
                <w:b/>
                <w:sz w:val="20"/>
                <w:szCs w:val="20"/>
                <w:lang w:val="fr-CA"/>
              </w:rPr>
              <w:t>A.H. International et al. (Que.)</w:t>
            </w:r>
          </w:p>
          <w:p w:rsidR="00DC7DEE" w:rsidRDefault="00DC7DEE" w:rsidP="00DC7DEE">
            <w:pPr>
              <w:rPr>
                <w:sz w:val="20"/>
                <w:szCs w:val="20"/>
                <w:lang w:val="fr-CA"/>
              </w:rPr>
            </w:pPr>
            <w:r>
              <w:rPr>
                <w:sz w:val="20"/>
                <w:szCs w:val="20"/>
                <w:lang w:val="fr-CA"/>
              </w:rPr>
              <w:tab/>
              <w:t>Claude Pelletier</w:t>
            </w:r>
          </w:p>
          <w:p w:rsidR="00DC7DEE" w:rsidRDefault="00DC7DEE" w:rsidP="00DC7DEE">
            <w:pPr>
              <w:rPr>
                <w:sz w:val="20"/>
                <w:szCs w:val="20"/>
                <w:lang w:val="fr-CA"/>
              </w:rPr>
            </w:pPr>
            <w:r>
              <w:rPr>
                <w:sz w:val="20"/>
                <w:szCs w:val="20"/>
                <w:lang w:val="fr-CA"/>
              </w:rPr>
              <w:tab/>
            </w:r>
            <w:proofErr w:type="spellStart"/>
            <w:r>
              <w:rPr>
                <w:sz w:val="20"/>
                <w:szCs w:val="20"/>
                <w:lang w:val="fr-CA"/>
              </w:rPr>
              <w:t>Heenan</w:t>
            </w:r>
            <w:proofErr w:type="spellEnd"/>
            <w:r>
              <w:rPr>
                <w:sz w:val="20"/>
                <w:szCs w:val="20"/>
                <w:lang w:val="fr-CA"/>
              </w:rPr>
              <w:t xml:space="preserve"> </w:t>
            </w:r>
            <w:proofErr w:type="spellStart"/>
            <w:r>
              <w:rPr>
                <w:sz w:val="20"/>
                <w:szCs w:val="20"/>
                <w:lang w:val="fr-CA"/>
              </w:rPr>
              <w:t>Blaikie</w:t>
            </w:r>
            <w:proofErr w:type="spellEnd"/>
            <w:r>
              <w:rPr>
                <w:sz w:val="20"/>
                <w:szCs w:val="20"/>
                <w:lang w:val="fr-CA"/>
              </w:rPr>
              <w:t xml:space="preserve"> LLP</w:t>
            </w:r>
          </w:p>
          <w:p w:rsidR="00DC7DEE" w:rsidRDefault="00DC7DEE" w:rsidP="00DC7DEE">
            <w:pPr>
              <w:rPr>
                <w:sz w:val="20"/>
                <w:szCs w:val="20"/>
                <w:lang w:val="fr-CA"/>
              </w:rPr>
            </w:pPr>
          </w:p>
          <w:p w:rsidR="00DC7DEE" w:rsidRDefault="00DC7DEE" w:rsidP="00DC7DEE">
            <w:pPr>
              <w:rPr>
                <w:sz w:val="20"/>
                <w:szCs w:val="20"/>
                <w:lang w:val="fr-CA"/>
              </w:rPr>
            </w:pPr>
            <w:r>
              <w:rPr>
                <w:sz w:val="20"/>
                <w:szCs w:val="20"/>
                <w:lang w:val="fr-CA"/>
              </w:rPr>
              <w:t>FILING DATE: 18.10.2010</w:t>
            </w:r>
          </w:p>
          <w:p w:rsidR="00DC7DEE" w:rsidRPr="00DC7DEE" w:rsidRDefault="003E770A" w:rsidP="00DC7DEE">
            <w:pPr>
              <w:rPr>
                <w:sz w:val="20"/>
                <w:szCs w:val="20"/>
                <w:lang w:val="fr-CA"/>
              </w:rPr>
            </w:pPr>
            <w:r w:rsidRPr="003E770A">
              <w:rPr>
                <w:sz w:val="20"/>
                <w:szCs w:val="20"/>
              </w:rPr>
              <w:pict>
                <v:rect id="_x0000_i1031" style="width:108pt;height:1pt" o:hrpct="0" o:hralign="center" o:hrstd="t" o:hrnoshade="t" o:hr="t" fillcolor="black [3213]" stroked="f"/>
              </w:pict>
            </w:r>
          </w:p>
          <w:p w:rsidR="00DC7DEE" w:rsidRPr="00A17955" w:rsidRDefault="00DC7DEE" w:rsidP="00DC7DEE">
            <w:pPr>
              <w:rPr>
                <w:sz w:val="20"/>
                <w:szCs w:val="20"/>
                <w:lang w:val="fr-CA"/>
              </w:rPr>
            </w:pPr>
          </w:p>
        </w:tc>
        <w:tc>
          <w:tcPr>
            <w:tcW w:w="1181" w:type="dxa"/>
            <w:shd w:val="clear" w:color="auto" w:fill="auto"/>
          </w:tcPr>
          <w:p w:rsidR="00DC7DEE" w:rsidRPr="00DC7DEE" w:rsidRDefault="00DC7DEE" w:rsidP="002E2327">
            <w:pPr>
              <w:jc w:val="center"/>
              <w:rPr>
                <w:sz w:val="20"/>
                <w:szCs w:val="20"/>
                <w:lang w:val="fr-CA"/>
              </w:rPr>
            </w:pPr>
          </w:p>
        </w:tc>
        <w:tc>
          <w:tcPr>
            <w:tcW w:w="4320" w:type="dxa"/>
            <w:shd w:val="clear" w:color="auto" w:fill="auto"/>
          </w:tcPr>
          <w:p w:rsidR="00DC7DEE" w:rsidRPr="00DC7DEE" w:rsidRDefault="00DC7DEE" w:rsidP="00A87207">
            <w:pPr>
              <w:rPr>
                <w:b/>
                <w:sz w:val="20"/>
                <w:szCs w:val="20"/>
                <w:lang w:val="fr-CA"/>
              </w:rPr>
            </w:pPr>
          </w:p>
        </w:tc>
      </w:tr>
    </w:tbl>
    <w:p w:rsidR="006C3F47" w:rsidRPr="00DC7DEE" w:rsidRDefault="006C3F47" w:rsidP="0095096B">
      <w:pPr>
        <w:tabs>
          <w:tab w:val="right" w:pos="9360"/>
        </w:tabs>
        <w:rPr>
          <w:sz w:val="20"/>
          <w:szCs w:val="20"/>
          <w:lang w:val="fr-CA"/>
        </w:rPr>
        <w:sectPr w:rsidR="006C3F47" w:rsidRPr="00DC7DEE" w:rsidSect="006D2346">
          <w:headerReference w:type="default" r:id="rId14"/>
          <w:footerReference w:type="default" r:id="rId15"/>
          <w:headerReference w:type="first" r:id="rId16"/>
          <w:footerReference w:type="first" r:id="rId17"/>
          <w:pgSz w:w="12240" w:h="15840"/>
          <w:pgMar w:top="720" w:right="965" w:bottom="1080" w:left="1656" w:header="706" w:footer="706" w:gutter="0"/>
          <w:pgNumType w:start="144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B380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AF3487">
              <w:rPr>
                <w:b/>
                <w:szCs w:val="24"/>
                <w:lang w:val="fr-CA"/>
              </w:rPr>
              <w:t>DEMANDES SOUMISES À LA COUR DEPUIS LA DERNIÈRE PAR</w:t>
            </w:r>
            <w:r w:rsidRPr="001D0D5F">
              <w:rPr>
                <w:b/>
                <w:szCs w:val="24"/>
                <w:lang w:val="fr-CA"/>
              </w:rPr>
              <w:t>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51C53" w:rsidRDefault="00451C53" w:rsidP="002E2327">
      <w:pPr>
        <w:widowControl w:val="0"/>
        <w:rPr>
          <w:b/>
          <w:sz w:val="20"/>
          <w:szCs w:val="20"/>
        </w:rPr>
      </w:pPr>
      <w:r>
        <w:rPr>
          <w:b/>
          <w:sz w:val="20"/>
          <w:szCs w:val="20"/>
        </w:rPr>
        <w:t>NOVEMBER 15, 2010 / LE 15 NOVEMBRE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Pr="00C50A5C">
        <w:rPr>
          <w:b/>
          <w:sz w:val="20"/>
          <w:szCs w:val="20"/>
        </w:rPr>
        <w:t>Abella</w:t>
      </w:r>
      <w:proofErr w:type="spellEnd"/>
      <w:r w:rsidRPr="00C50A5C">
        <w:rPr>
          <w:b/>
          <w:sz w:val="20"/>
          <w:szCs w:val="20"/>
        </w:rPr>
        <w:t xml:space="preserve"> and Cromwell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Abella et Cromwell</w:t>
      </w:r>
    </w:p>
    <w:p w:rsidR="002E2327" w:rsidRPr="00C50A5C" w:rsidRDefault="002E2327" w:rsidP="002E2327">
      <w:pPr>
        <w:widowControl w:val="0"/>
        <w:rPr>
          <w:sz w:val="20"/>
          <w:szCs w:val="20"/>
          <w:lang w:val="fr-CA"/>
        </w:rPr>
      </w:pPr>
    </w:p>
    <w:p w:rsidR="002E2327" w:rsidRPr="00C50A5C" w:rsidRDefault="00451C53" w:rsidP="00C50A5C">
      <w:pPr>
        <w:pStyle w:val="ListParagraph"/>
        <w:widowControl w:val="0"/>
        <w:numPr>
          <w:ilvl w:val="0"/>
          <w:numId w:val="1"/>
        </w:numPr>
        <w:ind w:hanging="720"/>
        <w:jc w:val="both"/>
        <w:rPr>
          <w:sz w:val="20"/>
          <w:szCs w:val="20"/>
        </w:rPr>
      </w:pPr>
      <w:r w:rsidRPr="003458CE">
        <w:rPr>
          <w:i/>
          <w:sz w:val="20"/>
          <w:szCs w:val="20"/>
        </w:rPr>
        <w:t xml:space="preserve">Larry Wayne Jesse </w:t>
      </w:r>
      <w:proofErr w:type="spellStart"/>
      <w:r w:rsidRPr="003458CE">
        <w:rPr>
          <w:i/>
          <w:sz w:val="20"/>
          <w:szCs w:val="20"/>
        </w:rPr>
        <w:t>v.Her</w:t>
      </w:r>
      <w:proofErr w:type="spellEnd"/>
      <w:r w:rsidRPr="003458CE">
        <w:rPr>
          <w:i/>
          <w:sz w:val="20"/>
          <w:szCs w:val="20"/>
        </w:rPr>
        <w:t xml:space="preserve"> Majesty the Queen</w:t>
      </w:r>
      <w:r w:rsidRPr="00451C53">
        <w:rPr>
          <w:sz w:val="20"/>
          <w:szCs w:val="20"/>
        </w:rPr>
        <w:t xml:space="preserve"> (B.C.) (Crim</w:t>
      </w:r>
      <w:r>
        <w:rPr>
          <w:sz w:val="20"/>
          <w:szCs w:val="20"/>
        </w:rPr>
        <w:t>.</w:t>
      </w:r>
      <w:r w:rsidRPr="00451C53">
        <w:rPr>
          <w:sz w:val="20"/>
          <w:szCs w:val="20"/>
        </w:rPr>
        <w:t>) (By Leave)</w:t>
      </w:r>
      <w:r w:rsidRPr="00C50A5C">
        <w:rPr>
          <w:sz w:val="20"/>
          <w:szCs w:val="20"/>
        </w:rPr>
        <w:t xml:space="preserve"> </w:t>
      </w:r>
      <w:r w:rsidR="002E2327" w:rsidRPr="00C50A5C">
        <w:rPr>
          <w:sz w:val="20"/>
          <w:szCs w:val="20"/>
        </w:rPr>
        <w:t>(336</w:t>
      </w:r>
      <w:r>
        <w:rPr>
          <w:sz w:val="20"/>
          <w:szCs w:val="20"/>
        </w:rPr>
        <w:t>94</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458CE" w:rsidP="00C50A5C">
      <w:pPr>
        <w:pStyle w:val="ListParagraph"/>
        <w:widowControl w:val="0"/>
        <w:numPr>
          <w:ilvl w:val="0"/>
          <w:numId w:val="1"/>
        </w:numPr>
        <w:ind w:hanging="720"/>
        <w:jc w:val="both"/>
        <w:rPr>
          <w:sz w:val="20"/>
          <w:szCs w:val="20"/>
        </w:rPr>
      </w:pPr>
      <w:r w:rsidRPr="003458CE">
        <w:rPr>
          <w:i/>
          <w:sz w:val="20"/>
          <w:szCs w:val="20"/>
        </w:rPr>
        <w:t>Public Service Alliance of Canada v. Canada Post Corporation et al.</w:t>
      </w:r>
      <w:r w:rsidRPr="00451C53">
        <w:rPr>
          <w:sz w:val="20"/>
          <w:szCs w:val="20"/>
        </w:rPr>
        <w:t xml:space="preserve"> (F</w:t>
      </w:r>
      <w:r>
        <w:rPr>
          <w:sz w:val="20"/>
          <w:szCs w:val="20"/>
        </w:rPr>
        <w:t>.</w:t>
      </w:r>
      <w:r w:rsidRPr="00451C53">
        <w:rPr>
          <w:sz w:val="20"/>
          <w:szCs w:val="20"/>
        </w:rPr>
        <w:t>C</w:t>
      </w:r>
      <w:r>
        <w:rPr>
          <w:sz w:val="20"/>
          <w:szCs w:val="20"/>
        </w:rPr>
        <w:t>.</w:t>
      </w:r>
      <w:r w:rsidRPr="00451C53">
        <w:rPr>
          <w:sz w:val="20"/>
          <w:szCs w:val="20"/>
        </w:rPr>
        <w:t>) (Civil) (By Leave)</w:t>
      </w:r>
      <w:r w:rsidRPr="00C50A5C">
        <w:rPr>
          <w:sz w:val="20"/>
          <w:szCs w:val="20"/>
        </w:rPr>
        <w:t xml:space="preserve"> </w:t>
      </w:r>
      <w:r w:rsidR="002E2327" w:rsidRPr="00C50A5C">
        <w:rPr>
          <w:sz w:val="20"/>
          <w:szCs w:val="20"/>
        </w:rPr>
        <w:t>(33</w:t>
      </w:r>
      <w:r w:rsidR="00451C53">
        <w:rPr>
          <w:sz w:val="20"/>
          <w:szCs w:val="20"/>
        </w:rPr>
        <w:t>668</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B380E" w:rsidP="00C50A5C">
      <w:pPr>
        <w:pStyle w:val="ListParagraph"/>
        <w:widowControl w:val="0"/>
        <w:numPr>
          <w:ilvl w:val="0"/>
          <w:numId w:val="1"/>
        </w:numPr>
        <w:ind w:hanging="720"/>
        <w:jc w:val="both"/>
        <w:rPr>
          <w:sz w:val="20"/>
          <w:szCs w:val="20"/>
        </w:rPr>
      </w:pPr>
      <w:r w:rsidRPr="003458CE">
        <w:rPr>
          <w:i/>
          <w:sz w:val="20"/>
          <w:szCs w:val="20"/>
        </w:rPr>
        <w:t xml:space="preserve">Public Service Alliance of Canada </w:t>
      </w:r>
      <w:r w:rsidR="003458CE" w:rsidRPr="003458CE">
        <w:rPr>
          <w:i/>
          <w:sz w:val="20"/>
          <w:szCs w:val="20"/>
        </w:rPr>
        <w:t>v. Canada Post Corporation et al.</w:t>
      </w:r>
      <w:r w:rsidR="003458CE" w:rsidRPr="00451C53">
        <w:rPr>
          <w:sz w:val="20"/>
          <w:szCs w:val="20"/>
        </w:rPr>
        <w:t xml:space="preserve"> (F</w:t>
      </w:r>
      <w:r w:rsidR="003458CE">
        <w:rPr>
          <w:sz w:val="20"/>
          <w:szCs w:val="20"/>
        </w:rPr>
        <w:t>.</w:t>
      </w:r>
      <w:r w:rsidR="003458CE" w:rsidRPr="00451C53">
        <w:rPr>
          <w:sz w:val="20"/>
          <w:szCs w:val="20"/>
        </w:rPr>
        <w:t>C</w:t>
      </w:r>
      <w:r w:rsidR="003458CE">
        <w:rPr>
          <w:sz w:val="20"/>
          <w:szCs w:val="20"/>
        </w:rPr>
        <w:t>.</w:t>
      </w:r>
      <w:r w:rsidR="003458CE" w:rsidRPr="00451C53">
        <w:rPr>
          <w:sz w:val="20"/>
          <w:szCs w:val="20"/>
        </w:rPr>
        <w:t>) (Civil) (By Leave)</w:t>
      </w:r>
      <w:r w:rsidR="003458CE" w:rsidRPr="00C50A5C">
        <w:rPr>
          <w:sz w:val="20"/>
          <w:szCs w:val="20"/>
        </w:rPr>
        <w:t xml:space="preserve"> </w:t>
      </w:r>
      <w:r w:rsidR="002E2327" w:rsidRPr="00C50A5C">
        <w:rPr>
          <w:sz w:val="20"/>
          <w:szCs w:val="20"/>
        </w:rPr>
        <w:t>(33</w:t>
      </w:r>
      <w:r w:rsidR="00451C53">
        <w:rPr>
          <w:sz w:val="20"/>
          <w:szCs w:val="20"/>
        </w:rPr>
        <w:t>669</w:t>
      </w:r>
      <w:r w:rsidR="002E2327" w:rsidRPr="00C50A5C">
        <w:rPr>
          <w:sz w:val="20"/>
          <w:szCs w:val="20"/>
        </w:rPr>
        <w:t>)</w:t>
      </w:r>
    </w:p>
    <w:p w:rsidR="002E2327" w:rsidRPr="00C50A5C" w:rsidRDefault="002E2327" w:rsidP="002E2327">
      <w:pPr>
        <w:widowControl w:val="0"/>
        <w:rPr>
          <w:sz w:val="20"/>
          <w:szCs w:val="20"/>
        </w:rPr>
      </w:pPr>
    </w:p>
    <w:p w:rsidR="002E2327" w:rsidRPr="00C50A5C" w:rsidRDefault="003B380E" w:rsidP="00C50A5C">
      <w:pPr>
        <w:pStyle w:val="ListParagraph"/>
        <w:widowControl w:val="0"/>
        <w:numPr>
          <w:ilvl w:val="0"/>
          <w:numId w:val="1"/>
        </w:numPr>
        <w:ind w:hanging="720"/>
        <w:jc w:val="both"/>
        <w:rPr>
          <w:sz w:val="20"/>
          <w:szCs w:val="20"/>
        </w:rPr>
      </w:pPr>
      <w:r w:rsidRPr="003458CE">
        <w:rPr>
          <w:i/>
          <w:sz w:val="20"/>
          <w:szCs w:val="20"/>
        </w:rPr>
        <w:t>Canadian Human Rights Commission</w:t>
      </w:r>
      <w:r w:rsidRPr="003B380E">
        <w:rPr>
          <w:i/>
          <w:sz w:val="20"/>
          <w:szCs w:val="20"/>
          <w:lang w:val="fr-CA"/>
        </w:rPr>
        <w:t xml:space="preserve"> </w:t>
      </w:r>
      <w:r w:rsidR="003458CE" w:rsidRPr="003B380E">
        <w:rPr>
          <w:i/>
          <w:sz w:val="20"/>
          <w:szCs w:val="20"/>
          <w:lang w:val="fr-CA"/>
        </w:rPr>
        <w:t>v. Canada Post Corporation et al.</w:t>
      </w:r>
      <w:r w:rsidR="003458CE" w:rsidRPr="003B380E">
        <w:rPr>
          <w:sz w:val="20"/>
          <w:szCs w:val="20"/>
          <w:lang w:val="fr-CA"/>
        </w:rPr>
        <w:t xml:space="preserve"> </w:t>
      </w:r>
      <w:r w:rsidR="003458CE" w:rsidRPr="00451C53">
        <w:rPr>
          <w:sz w:val="20"/>
          <w:szCs w:val="20"/>
        </w:rPr>
        <w:t>(F</w:t>
      </w:r>
      <w:r w:rsidR="003458CE">
        <w:rPr>
          <w:sz w:val="20"/>
          <w:szCs w:val="20"/>
        </w:rPr>
        <w:t>.</w:t>
      </w:r>
      <w:r w:rsidR="003458CE" w:rsidRPr="00451C53">
        <w:rPr>
          <w:sz w:val="20"/>
          <w:szCs w:val="20"/>
        </w:rPr>
        <w:t>C</w:t>
      </w:r>
      <w:r w:rsidR="003458CE">
        <w:rPr>
          <w:sz w:val="20"/>
          <w:szCs w:val="20"/>
        </w:rPr>
        <w:t>.</w:t>
      </w:r>
      <w:r w:rsidR="003458CE" w:rsidRPr="00451C53">
        <w:rPr>
          <w:sz w:val="20"/>
          <w:szCs w:val="20"/>
        </w:rPr>
        <w:t>) (Civil) (By Leave)</w:t>
      </w:r>
      <w:r w:rsidR="003458CE" w:rsidRPr="00C50A5C">
        <w:rPr>
          <w:sz w:val="20"/>
          <w:szCs w:val="20"/>
        </w:rPr>
        <w:t xml:space="preserve"> </w:t>
      </w:r>
      <w:r w:rsidR="002E2327" w:rsidRPr="00C50A5C">
        <w:rPr>
          <w:sz w:val="20"/>
          <w:szCs w:val="20"/>
        </w:rPr>
        <w:t>(336</w:t>
      </w:r>
      <w:r w:rsidR="00451C53">
        <w:rPr>
          <w:sz w:val="20"/>
          <w:szCs w:val="20"/>
        </w:rPr>
        <w:t>70</w:t>
      </w:r>
      <w:r w:rsidR="002E2327" w:rsidRPr="00C50A5C">
        <w:rPr>
          <w:sz w:val="20"/>
          <w:szCs w:val="20"/>
        </w:rPr>
        <w:t>)</w:t>
      </w:r>
    </w:p>
    <w:p w:rsidR="002E2327" w:rsidRDefault="002E2327" w:rsidP="00C50A5C">
      <w:pPr>
        <w:widowControl w:val="0"/>
        <w:jc w:val="both"/>
        <w:rPr>
          <w:sz w:val="20"/>
          <w:szCs w:val="20"/>
        </w:rPr>
      </w:pPr>
    </w:p>
    <w:p w:rsidR="00451C53" w:rsidRDefault="00451C53" w:rsidP="00C50A5C">
      <w:pPr>
        <w:widowControl w:val="0"/>
        <w:jc w:val="both"/>
        <w:rPr>
          <w:sz w:val="20"/>
          <w:szCs w:val="20"/>
        </w:rPr>
      </w:pPr>
    </w:p>
    <w:p w:rsidR="00451C53" w:rsidRPr="00C50A5C" w:rsidRDefault="00451C53" w:rsidP="00451C53">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451C53" w:rsidRPr="00AF3487" w:rsidRDefault="00451C53" w:rsidP="00451C53">
      <w:pPr>
        <w:widowControl w:val="0"/>
        <w:jc w:val="center"/>
        <w:rPr>
          <w:b/>
          <w:sz w:val="20"/>
          <w:szCs w:val="20"/>
          <w:lang w:val="fr-CA"/>
        </w:rPr>
      </w:pPr>
      <w:r w:rsidRPr="00AF3487">
        <w:rPr>
          <w:b/>
          <w:sz w:val="20"/>
          <w:szCs w:val="20"/>
          <w:lang w:val="fr-CA"/>
        </w:rPr>
        <w:t xml:space="preserve">Les juges </w:t>
      </w:r>
      <w:proofErr w:type="spellStart"/>
      <w:r w:rsidRPr="00AF3487">
        <w:rPr>
          <w:b/>
          <w:sz w:val="20"/>
          <w:szCs w:val="20"/>
          <w:lang w:val="fr-CA"/>
        </w:rPr>
        <w:t>Binnie</w:t>
      </w:r>
      <w:proofErr w:type="spellEnd"/>
      <w:r w:rsidRPr="00AF3487">
        <w:rPr>
          <w:b/>
          <w:sz w:val="20"/>
          <w:szCs w:val="20"/>
          <w:lang w:val="fr-CA"/>
        </w:rPr>
        <w:t xml:space="preserve">, Fish et </w:t>
      </w:r>
      <w:proofErr w:type="spellStart"/>
      <w:r w:rsidRPr="00AF3487">
        <w:rPr>
          <w:b/>
          <w:sz w:val="20"/>
          <w:szCs w:val="20"/>
          <w:lang w:val="fr-CA"/>
        </w:rPr>
        <w:t>Rothstein</w:t>
      </w:r>
      <w:proofErr w:type="spellEnd"/>
    </w:p>
    <w:p w:rsidR="00451C53" w:rsidRPr="00AF3487" w:rsidRDefault="00451C53" w:rsidP="00C50A5C">
      <w:pPr>
        <w:widowControl w:val="0"/>
        <w:jc w:val="both"/>
        <w:rPr>
          <w:sz w:val="20"/>
          <w:szCs w:val="20"/>
          <w:lang w:val="fr-CA"/>
        </w:rPr>
      </w:pPr>
    </w:p>
    <w:p w:rsidR="002E2327" w:rsidRPr="00C50A5C" w:rsidRDefault="003458CE" w:rsidP="00C50A5C">
      <w:pPr>
        <w:pStyle w:val="ListParagraph"/>
        <w:widowControl w:val="0"/>
        <w:numPr>
          <w:ilvl w:val="0"/>
          <w:numId w:val="1"/>
        </w:numPr>
        <w:ind w:hanging="720"/>
        <w:jc w:val="both"/>
        <w:rPr>
          <w:sz w:val="20"/>
          <w:szCs w:val="20"/>
        </w:rPr>
      </w:pPr>
      <w:r w:rsidRPr="003458CE">
        <w:rPr>
          <w:i/>
          <w:sz w:val="20"/>
          <w:szCs w:val="20"/>
        </w:rPr>
        <w:t>T.L. v. Her Majesty the Queen</w:t>
      </w:r>
      <w:r w:rsidRPr="00451C53">
        <w:rPr>
          <w:sz w:val="20"/>
          <w:szCs w:val="20"/>
        </w:rPr>
        <w:t xml:space="preserve"> (Ont.) (Crim</w:t>
      </w:r>
      <w:r>
        <w:rPr>
          <w:sz w:val="20"/>
          <w:szCs w:val="20"/>
        </w:rPr>
        <w:t>.</w:t>
      </w:r>
      <w:r w:rsidRPr="00451C53">
        <w:rPr>
          <w:sz w:val="20"/>
          <w:szCs w:val="20"/>
        </w:rPr>
        <w:t>) (By Leave)</w:t>
      </w:r>
      <w:r w:rsidRPr="00C50A5C">
        <w:rPr>
          <w:sz w:val="20"/>
          <w:szCs w:val="20"/>
        </w:rPr>
        <w:t xml:space="preserve"> </w:t>
      </w:r>
      <w:r w:rsidR="002E2327" w:rsidRPr="00C50A5C">
        <w:rPr>
          <w:sz w:val="20"/>
          <w:szCs w:val="20"/>
        </w:rPr>
        <w:t>(33</w:t>
      </w:r>
      <w:r w:rsidR="00451C53">
        <w:rPr>
          <w:sz w:val="20"/>
          <w:szCs w:val="20"/>
        </w:rPr>
        <w:t>84</w:t>
      </w:r>
      <w:r w:rsidR="002E2327" w:rsidRPr="00C50A5C">
        <w:rPr>
          <w:sz w:val="20"/>
          <w:szCs w:val="20"/>
        </w:rPr>
        <w:t>4)</w:t>
      </w:r>
    </w:p>
    <w:p w:rsidR="002E2327" w:rsidRPr="00C50A5C" w:rsidRDefault="002E2327" w:rsidP="002E2327">
      <w:pPr>
        <w:widowControl w:val="0"/>
        <w:rPr>
          <w:sz w:val="20"/>
          <w:szCs w:val="20"/>
        </w:rPr>
      </w:pPr>
    </w:p>
    <w:p w:rsidR="002E2327" w:rsidRPr="003458CE" w:rsidRDefault="003458CE" w:rsidP="00C50A5C">
      <w:pPr>
        <w:pStyle w:val="ListParagraph"/>
        <w:widowControl w:val="0"/>
        <w:numPr>
          <w:ilvl w:val="0"/>
          <w:numId w:val="1"/>
        </w:numPr>
        <w:ind w:hanging="720"/>
        <w:jc w:val="both"/>
        <w:rPr>
          <w:sz w:val="20"/>
          <w:szCs w:val="20"/>
        </w:rPr>
      </w:pPr>
      <w:r w:rsidRPr="003458CE">
        <w:rPr>
          <w:i/>
          <w:sz w:val="20"/>
          <w:szCs w:val="20"/>
        </w:rPr>
        <w:t>Roman Catholic Bishop of the Diocese of Calgary v. Attorney General of Canada, in Right of Her Majesty the Queen</w:t>
      </w:r>
      <w:r w:rsidRPr="00451C53">
        <w:rPr>
          <w:sz w:val="20"/>
          <w:szCs w:val="20"/>
        </w:rPr>
        <w:t xml:space="preserve"> (Alta.) (Civil) (By Leave)</w:t>
      </w:r>
      <w:r w:rsidRPr="003458CE">
        <w:rPr>
          <w:sz w:val="20"/>
          <w:szCs w:val="20"/>
        </w:rPr>
        <w:t xml:space="preserve"> </w:t>
      </w:r>
      <w:r w:rsidR="002E2327" w:rsidRPr="003458CE">
        <w:rPr>
          <w:sz w:val="20"/>
          <w:szCs w:val="20"/>
        </w:rPr>
        <w:t>(33</w:t>
      </w:r>
      <w:r w:rsidR="00451C53" w:rsidRPr="003458CE">
        <w:rPr>
          <w:sz w:val="20"/>
          <w:szCs w:val="20"/>
        </w:rPr>
        <w:t>8</w:t>
      </w:r>
      <w:r w:rsidR="002E2327" w:rsidRPr="003458CE">
        <w:rPr>
          <w:sz w:val="20"/>
          <w:szCs w:val="20"/>
        </w:rPr>
        <w:t>16)</w:t>
      </w:r>
    </w:p>
    <w:p w:rsidR="002E2327" w:rsidRPr="003458CE" w:rsidRDefault="002E2327" w:rsidP="00C50A5C">
      <w:pPr>
        <w:widowControl w:val="0"/>
        <w:jc w:val="both"/>
        <w:rPr>
          <w:sz w:val="20"/>
          <w:szCs w:val="20"/>
        </w:rPr>
      </w:pPr>
    </w:p>
    <w:p w:rsidR="002E2327" w:rsidRPr="003458CE" w:rsidRDefault="003458CE" w:rsidP="00C50A5C">
      <w:pPr>
        <w:pStyle w:val="ListParagraph"/>
        <w:widowControl w:val="0"/>
        <w:numPr>
          <w:ilvl w:val="0"/>
          <w:numId w:val="1"/>
        </w:numPr>
        <w:ind w:hanging="720"/>
        <w:jc w:val="both"/>
        <w:rPr>
          <w:sz w:val="20"/>
          <w:szCs w:val="20"/>
        </w:rPr>
      </w:pPr>
      <w:r w:rsidRPr="003458CE">
        <w:rPr>
          <w:i/>
          <w:sz w:val="20"/>
          <w:szCs w:val="20"/>
        </w:rPr>
        <w:t>Randall James Thompson v. Barbara Webber et al.</w:t>
      </w:r>
      <w:r w:rsidRPr="00451C53">
        <w:rPr>
          <w:sz w:val="20"/>
          <w:szCs w:val="20"/>
        </w:rPr>
        <w:t xml:space="preserve"> (B.C.) (Civil) (By Leave)</w:t>
      </w:r>
      <w:r>
        <w:rPr>
          <w:sz w:val="20"/>
          <w:szCs w:val="20"/>
        </w:rPr>
        <w:t xml:space="preserve"> </w:t>
      </w:r>
      <w:r w:rsidR="002E2327" w:rsidRPr="003458CE">
        <w:rPr>
          <w:sz w:val="20"/>
          <w:szCs w:val="20"/>
        </w:rPr>
        <w:t>(33</w:t>
      </w:r>
      <w:r w:rsidR="00451C53" w:rsidRPr="003458CE">
        <w:rPr>
          <w:sz w:val="20"/>
          <w:szCs w:val="20"/>
        </w:rPr>
        <w:t>825</w:t>
      </w:r>
      <w:r w:rsidR="002E2327" w:rsidRPr="003458CE">
        <w:rPr>
          <w:sz w:val="20"/>
          <w:szCs w:val="20"/>
        </w:rPr>
        <w:t>)</w:t>
      </w:r>
    </w:p>
    <w:p w:rsidR="002E2327" w:rsidRPr="003458CE" w:rsidRDefault="002E2327" w:rsidP="00C50A5C">
      <w:pPr>
        <w:widowControl w:val="0"/>
        <w:jc w:val="both"/>
        <w:rPr>
          <w:sz w:val="20"/>
          <w:szCs w:val="20"/>
        </w:rPr>
      </w:pPr>
    </w:p>
    <w:p w:rsidR="00451C53" w:rsidRPr="003458CE" w:rsidRDefault="00451C53" w:rsidP="00C50A5C">
      <w:pPr>
        <w:widowControl w:val="0"/>
        <w:jc w:val="both"/>
        <w:rPr>
          <w:sz w:val="20"/>
          <w:szCs w:val="20"/>
        </w:rPr>
      </w:pPr>
    </w:p>
    <w:p w:rsidR="00451C53" w:rsidRPr="00C50A5C" w:rsidRDefault="00451C53" w:rsidP="00451C53">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451C53" w:rsidRPr="00C50A5C" w:rsidRDefault="00451C53" w:rsidP="00451C5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451C53" w:rsidRDefault="00451C53" w:rsidP="00C50A5C">
      <w:pPr>
        <w:widowControl w:val="0"/>
        <w:jc w:val="both"/>
        <w:rPr>
          <w:sz w:val="20"/>
          <w:szCs w:val="20"/>
          <w:lang w:val="fr-CA"/>
        </w:rPr>
      </w:pPr>
    </w:p>
    <w:p w:rsidR="00451C53" w:rsidRPr="00C50A5C" w:rsidRDefault="00451C53" w:rsidP="00C50A5C">
      <w:pPr>
        <w:widowControl w:val="0"/>
        <w:jc w:val="both"/>
        <w:rPr>
          <w:sz w:val="20"/>
          <w:szCs w:val="20"/>
          <w:lang w:val="fr-CA"/>
        </w:rPr>
      </w:pPr>
    </w:p>
    <w:p w:rsidR="002E2327" w:rsidRPr="00C50A5C" w:rsidRDefault="003458CE" w:rsidP="00C50A5C">
      <w:pPr>
        <w:pStyle w:val="ListParagraph"/>
        <w:widowControl w:val="0"/>
        <w:numPr>
          <w:ilvl w:val="0"/>
          <w:numId w:val="1"/>
        </w:numPr>
        <w:ind w:hanging="720"/>
        <w:jc w:val="both"/>
        <w:rPr>
          <w:sz w:val="20"/>
          <w:szCs w:val="20"/>
          <w:lang w:val="fr-CA"/>
        </w:rPr>
      </w:pPr>
      <w:r w:rsidRPr="003458CE">
        <w:rPr>
          <w:i/>
          <w:sz w:val="20"/>
          <w:szCs w:val="20"/>
        </w:rPr>
        <w:t xml:space="preserve">Angelina Marie </w:t>
      </w:r>
      <w:proofErr w:type="spellStart"/>
      <w:r w:rsidRPr="003458CE">
        <w:rPr>
          <w:i/>
          <w:sz w:val="20"/>
          <w:szCs w:val="20"/>
        </w:rPr>
        <w:t>Codina</w:t>
      </w:r>
      <w:proofErr w:type="spellEnd"/>
      <w:r w:rsidRPr="003458CE">
        <w:rPr>
          <w:i/>
          <w:sz w:val="20"/>
          <w:szCs w:val="20"/>
        </w:rPr>
        <w:t xml:space="preserve"> v. Her Majesty the Queen</w:t>
      </w:r>
      <w:r w:rsidRPr="003458CE">
        <w:rPr>
          <w:sz w:val="20"/>
          <w:szCs w:val="20"/>
        </w:rPr>
        <w:t xml:space="preserve"> (Ont.) </w:t>
      </w:r>
      <w:r w:rsidRPr="003458CE">
        <w:rPr>
          <w:sz w:val="20"/>
          <w:szCs w:val="20"/>
          <w:lang w:val="fr-CA"/>
        </w:rPr>
        <w:t>(</w:t>
      </w:r>
      <w:proofErr w:type="spellStart"/>
      <w:r w:rsidRPr="003458CE">
        <w:rPr>
          <w:sz w:val="20"/>
          <w:szCs w:val="20"/>
          <w:lang w:val="fr-CA"/>
        </w:rPr>
        <w:t>Crim</w:t>
      </w:r>
      <w:proofErr w:type="spellEnd"/>
      <w:r w:rsidRPr="003458CE">
        <w:rPr>
          <w:sz w:val="20"/>
          <w:szCs w:val="20"/>
          <w:lang w:val="fr-CA"/>
        </w:rPr>
        <w:t xml:space="preserve">.) </w:t>
      </w:r>
      <w:r w:rsidRPr="00451C53">
        <w:rPr>
          <w:sz w:val="20"/>
          <w:szCs w:val="20"/>
        </w:rPr>
        <w:t>(By Leave)</w:t>
      </w:r>
      <w:r>
        <w:rPr>
          <w:sz w:val="20"/>
          <w:szCs w:val="20"/>
          <w:lang w:val="fr-CA"/>
        </w:rPr>
        <w:t xml:space="preserve"> </w:t>
      </w:r>
      <w:r w:rsidR="00451C53">
        <w:rPr>
          <w:sz w:val="20"/>
          <w:szCs w:val="20"/>
          <w:lang w:val="fr-CA"/>
        </w:rPr>
        <w:t>(</w:t>
      </w:r>
      <w:r w:rsidR="002E2327" w:rsidRPr="00C50A5C">
        <w:rPr>
          <w:sz w:val="20"/>
          <w:szCs w:val="20"/>
          <w:lang w:val="fr-CA"/>
        </w:rPr>
        <w:t>337</w:t>
      </w:r>
      <w:r w:rsidR="00451C53">
        <w:rPr>
          <w:sz w:val="20"/>
          <w:szCs w:val="20"/>
          <w:lang w:val="fr-CA"/>
        </w:rPr>
        <w:t>39</w:t>
      </w:r>
      <w:r w:rsidR="002E2327" w:rsidRPr="00C50A5C">
        <w:rPr>
          <w:sz w:val="20"/>
          <w:szCs w:val="20"/>
          <w:lang w:val="fr-CA"/>
        </w:rPr>
        <w:t>)</w:t>
      </w:r>
    </w:p>
    <w:p w:rsidR="002E2327" w:rsidRPr="00C50A5C" w:rsidRDefault="002E2327" w:rsidP="002E2327">
      <w:pPr>
        <w:widowControl w:val="0"/>
        <w:rPr>
          <w:sz w:val="20"/>
          <w:szCs w:val="20"/>
          <w:lang w:val="fr-CA"/>
        </w:rPr>
      </w:pPr>
    </w:p>
    <w:p w:rsidR="002E2327" w:rsidRPr="003458CE" w:rsidRDefault="003458CE" w:rsidP="00C50A5C">
      <w:pPr>
        <w:pStyle w:val="ListParagraph"/>
        <w:widowControl w:val="0"/>
        <w:numPr>
          <w:ilvl w:val="0"/>
          <w:numId w:val="1"/>
        </w:numPr>
        <w:ind w:hanging="720"/>
        <w:jc w:val="both"/>
        <w:rPr>
          <w:sz w:val="20"/>
          <w:szCs w:val="20"/>
        </w:rPr>
      </w:pPr>
      <w:r w:rsidRPr="003458CE">
        <w:rPr>
          <w:i/>
          <w:sz w:val="20"/>
          <w:szCs w:val="20"/>
        </w:rPr>
        <w:t>Great Lakes Power Limited v. Ontario Energy Board</w:t>
      </w:r>
      <w:r w:rsidRPr="00451C53">
        <w:rPr>
          <w:sz w:val="20"/>
          <w:szCs w:val="20"/>
        </w:rPr>
        <w:t xml:space="preserve"> (Ont.) (Civil) (By Leave)</w:t>
      </w:r>
      <w:r>
        <w:rPr>
          <w:sz w:val="20"/>
          <w:szCs w:val="20"/>
        </w:rPr>
        <w:t xml:space="preserve"> </w:t>
      </w:r>
      <w:r w:rsidR="002E2327" w:rsidRPr="003458CE">
        <w:rPr>
          <w:sz w:val="20"/>
          <w:szCs w:val="20"/>
        </w:rPr>
        <w:t>(33</w:t>
      </w:r>
      <w:r w:rsidR="00451C53" w:rsidRPr="003458CE">
        <w:rPr>
          <w:sz w:val="20"/>
          <w:szCs w:val="20"/>
        </w:rPr>
        <w:t>8</w:t>
      </w:r>
      <w:r w:rsidR="002E2327" w:rsidRPr="003458CE">
        <w:rPr>
          <w:sz w:val="20"/>
          <w:szCs w:val="20"/>
        </w:rPr>
        <w:t>1</w:t>
      </w:r>
      <w:r w:rsidR="00451C53" w:rsidRPr="003458CE">
        <w:rPr>
          <w:sz w:val="20"/>
          <w:szCs w:val="20"/>
        </w:rPr>
        <w:t>2</w:t>
      </w:r>
      <w:r w:rsidR="002E2327" w:rsidRPr="003458CE">
        <w:rPr>
          <w:sz w:val="20"/>
          <w:szCs w:val="20"/>
        </w:rPr>
        <w:t>)</w:t>
      </w:r>
    </w:p>
    <w:p w:rsidR="002E2327" w:rsidRPr="003458CE" w:rsidRDefault="002E2327" w:rsidP="00C50A5C">
      <w:pPr>
        <w:widowControl w:val="0"/>
        <w:jc w:val="both"/>
        <w:rPr>
          <w:sz w:val="20"/>
          <w:szCs w:val="20"/>
        </w:rPr>
      </w:pPr>
    </w:p>
    <w:p w:rsidR="002E2327" w:rsidRPr="003458CE" w:rsidRDefault="003458CE" w:rsidP="00C50A5C">
      <w:pPr>
        <w:pStyle w:val="ListParagraph"/>
        <w:widowControl w:val="0"/>
        <w:numPr>
          <w:ilvl w:val="0"/>
          <w:numId w:val="1"/>
        </w:numPr>
        <w:ind w:hanging="720"/>
        <w:jc w:val="both"/>
        <w:rPr>
          <w:sz w:val="20"/>
          <w:szCs w:val="20"/>
        </w:rPr>
      </w:pPr>
      <w:r w:rsidRPr="003458CE">
        <w:rPr>
          <w:i/>
          <w:sz w:val="20"/>
          <w:szCs w:val="20"/>
        </w:rPr>
        <w:t>Society of Composers, Authors and Music Publishers of Canada v. Bell Canada et al.</w:t>
      </w:r>
      <w:r w:rsidRPr="00451C53">
        <w:rPr>
          <w:sz w:val="20"/>
          <w:szCs w:val="20"/>
        </w:rPr>
        <w:t xml:space="preserve"> (F</w:t>
      </w:r>
      <w:r>
        <w:rPr>
          <w:sz w:val="20"/>
          <w:szCs w:val="20"/>
        </w:rPr>
        <w:t>.</w:t>
      </w:r>
      <w:r w:rsidRPr="00451C53">
        <w:rPr>
          <w:sz w:val="20"/>
          <w:szCs w:val="20"/>
        </w:rPr>
        <w:t>C</w:t>
      </w:r>
      <w:r>
        <w:rPr>
          <w:sz w:val="20"/>
          <w:szCs w:val="20"/>
        </w:rPr>
        <w:t>.</w:t>
      </w:r>
      <w:r w:rsidRPr="00451C53">
        <w:rPr>
          <w:sz w:val="20"/>
          <w:szCs w:val="20"/>
        </w:rPr>
        <w:t>) (Civil) (By Leave)</w:t>
      </w:r>
      <w:r>
        <w:rPr>
          <w:sz w:val="20"/>
          <w:szCs w:val="20"/>
        </w:rPr>
        <w:t xml:space="preserve"> </w:t>
      </w:r>
      <w:r w:rsidR="002E2327" w:rsidRPr="003458CE">
        <w:rPr>
          <w:sz w:val="20"/>
          <w:szCs w:val="20"/>
        </w:rPr>
        <w:t>(33</w:t>
      </w:r>
      <w:r w:rsidR="00451C53" w:rsidRPr="003458CE">
        <w:rPr>
          <w:sz w:val="20"/>
          <w:szCs w:val="20"/>
        </w:rPr>
        <w:t>800</w:t>
      </w:r>
      <w:r w:rsidR="002E2327" w:rsidRPr="003458CE">
        <w:rPr>
          <w:sz w:val="20"/>
          <w:szCs w:val="20"/>
        </w:rPr>
        <w:t>)</w:t>
      </w:r>
    </w:p>
    <w:p w:rsidR="002E2327" w:rsidRPr="003458CE" w:rsidRDefault="002E2327" w:rsidP="002E2327">
      <w:pPr>
        <w:widowControl w:val="0"/>
        <w:rPr>
          <w:sz w:val="20"/>
          <w:szCs w:val="20"/>
        </w:rPr>
      </w:pPr>
    </w:p>
    <w:p w:rsidR="002E2327" w:rsidRPr="00C50A5C" w:rsidRDefault="003E770A" w:rsidP="002E2327">
      <w:pPr>
        <w:widowControl w:val="0"/>
        <w:rPr>
          <w:sz w:val="20"/>
          <w:szCs w:val="20"/>
        </w:rPr>
      </w:pPr>
      <w:r w:rsidRPr="003E770A">
        <w:rPr>
          <w:sz w:val="20"/>
          <w:szCs w:val="20"/>
        </w:rPr>
        <w:pict>
          <v:rect id="_x0000_i103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3E5C2C" w:rsidRDefault="003E5C2C" w:rsidP="0044776A">
      <w:pPr>
        <w:rPr>
          <w:b/>
          <w:sz w:val="20"/>
          <w:szCs w:val="20"/>
        </w:rPr>
      </w:pPr>
    </w:p>
    <w:p w:rsidR="0044776A" w:rsidRPr="00C50A5C" w:rsidRDefault="003E5C2C" w:rsidP="0044776A">
      <w:pPr>
        <w:rPr>
          <w:sz w:val="20"/>
          <w:szCs w:val="20"/>
        </w:rPr>
      </w:pPr>
      <w:r>
        <w:rPr>
          <w:b/>
          <w:sz w:val="20"/>
          <w:szCs w:val="20"/>
        </w:rPr>
        <w:t>NOVEMBER 18</w:t>
      </w:r>
      <w:r w:rsidR="0044776A" w:rsidRPr="00C50A5C">
        <w:rPr>
          <w:b/>
          <w:sz w:val="20"/>
          <w:szCs w:val="20"/>
        </w:rPr>
        <w:t>, 20</w:t>
      </w:r>
      <w:r>
        <w:rPr>
          <w:b/>
          <w:sz w:val="20"/>
          <w:szCs w:val="20"/>
        </w:rPr>
        <w:t>1</w:t>
      </w:r>
      <w:r w:rsidR="0044776A" w:rsidRPr="00C50A5C">
        <w:rPr>
          <w:b/>
          <w:sz w:val="20"/>
          <w:szCs w:val="20"/>
        </w:rPr>
        <w:t xml:space="preserve">0 / LE </w:t>
      </w:r>
      <w:r>
        <w:rPr>
          <w:b/>
          <w:sz w:val="20"/>
          <w:szCs w:val="20"/>
        </w:rPr>
        <w:t>18 NOVEMBRE</w:t>
      </w:r>
      <w:r w:rsidR="0044776A" w:rsidRPr="00C50A5C">
        <w:rPr>
          <w:b/>
          <w:sz w:val="20"/>
          <w:szCs w:val="20"/>
        </w:rPr>
        <w:t xml:space="preserve"> 20</w:t>
      </w:r>
      <w:r>
        <w:rPr>
          <w:b/>
          <w:sz w:val="20"/>
          <w:szCs w:val="20"/>
        </w:rPr>
        <w:t>1</w:t>
      </w:r>
      <w:r w:rsidR="0044776A" w:rsidRPr="00C50A5C">
        <w:rPr>
          <w:b/>
          <w:sz w:val="20"/>
          <w:szCs w:val="20"/>
        </w:rPr>
        <w:t>0</w:t>
      </w:r>
    </w:p>
    <w:p w:rsidR="0044776A" w:rsidRDefault="0044776A" w:rsidP="0044776A">
      <w:pPr>
        <w:rPr>
          <w:sz w:val="20"/>
          <w:szCs w:val="20"/>
        </w:rPr>
      </w:pPr>
    </w:p>
    <w:p w:rsidR="003E5C2C" w:rsidRDefault="003E5C2C" w:rsidP="003E5C2C">
      <w:pPr>
        <w:widowControl w:val="0"/>
        <w:ind w:left="720" w:hanging="720"/>
        <w:rPr>
          <w:sz w:val="20"/>
        </w:rPr>
      </w:pPr>
      <w:proofErr w:type="gramStart"/>
      <w:r>
        <w:rPr>
          <w:b/>
          <w:sz w:val="20"/>
        </w:rPr>
        <w:t>33737</w:t>
      </w:r>
      <w:r>
        <w:rPr>
          <w:b/>
          <w:sz w:val="20"/>
        </w:rPr>
        <w:tab/>
      </w:r>
      <w:r>
        <w:rPr>
          <w:sz w:val="20"/>
        </w:rPr>
        <w:tab/>
      </w:r>
      <w:r>
        <w:rPr>
          <w:b/>
          <w:sz w:val="20"/>
        </w:rPr>
        <w:t>Jonathan David Bacon v.</w:t>
      </w:r>
      <w:proofErr w:type="gramEnd"/>
      <w:r>
        <w:rPr>
          <w:b/>
          <w:sz w:val="20"/>
        </w:rPr>
        <w:t xml:space="preserve"> Her Majesty the Queen </w:t>
      </w:r>
      <w:r>
        <w:rPr>
          <w:sz w:val="20"/>
        </w:rPr>
        <w:t>(B.C.) (Criminal) (By Leave)</w:t>
      </w:r>
    </w:p>
    <w:p w:rsidR="003E5C2C" w:rsidRDefault="003E5C2C" w:rsidP="003E5C2C">
      <w:pPr>
        <w:widowControl w:val="0"/>
        <w:rPr>
          <w:sz w:val="20"/>
        </w:rPr>
      </w:pPr>
    </w:p>
    <w:p w:rsidR="003E5C2C" w:rsidRPr="003E5C2C" w:rsidRDefault="003E5C2C" w:rsidP="003E5C2C">
      <w:pPr>
        <w:widowControl w:val="0"/>
        <w:rPr>
          <w:sz w:val="20"/>
          <w:szCs w:val="20"/>
        </w:rPr>
      </w:pPr>
      <w:r w:rsidRPr="003E5C2C">
        <w:rPr>
          <w:sz w:val="20"/>
          <w:szCs w:val="20"/>
        </w:rPr>
        <w:t>Coram:</w:t>
      </w:r>
      <w:r>
        <w:rPr>
          <w:sz w:val="20"/>
          <w:szCs w:val="20"/>
        </w:rPr>
        <w:tab/>
      </w:r>
      <w:r>
        <w:rPr>
          <w:sz w:val="20"/>
          <w:szCs w:val="20"/>
        </w:rPr>
        <w:tab/>
      </w:r>
      <w:proofErr w:type="spellStart"/>
      <w:r w:rsidRPr="003E5C2C">
        <w:rPr>
          <w:sz w:val="20"/>
          <w:szCs w:val="20"/>
          <w:u w:val="single"/>
        </w:rPr>
        <w:t>McLachlin</w:t>
      </w:r>
      <w:proofErr w:type="spellEnd"/>
      <w:r w:rsidRPr="003E5C2C">
        <w:rPr>
          <w:sz w:val="20"/>
          <w:szCs w:val="20"/>
          <w:u w:val="single"/>
        </w:rPr>
        <w:t xml:space="preserve"> C.J. and </w:t>
      </w:r>
      <w:proofErr w:type="spellStart"/>
      <w:r w:rsidRPr="003E5C2C">
        <w:rPr>
          <w:sz w:val="20"/>
          <w:szCs w:val="20"/>
          <w:u w:val="single"/>
        </w:rPr>
        <w:t>Abella</w:t>
      </w:r>
      <w:proofErr w:type="spellEnd"/>
      <w:r w:rsidRPr="003E5C2C">
        <w:rPr>
          <w:sz w:val="20"/>
          <w:szCs w:val="20"/>
          <w:u w:val="single"/>
        </w:rPr>
        <w:t xml:space="preserve"> and Cromwell JJ.</w:t>
      </w:r>
    </w:p>
    <w:p w:rsidR="003E5C2C" w:rsidRDefault="003E5C2C" w:rsidP="003E5C2C">
      <w:pPr>
        <w:widowControl w:val="0"/>
        <w:rPr>
          <w:sz w:val="20"/>
        </w:rPr>
      </w:pPr>
    </w:p>
    <w:p w:rsidR="003E5C2C" w:rsidRPr="003E5C2C" w:rsidRDefault="003E5C2C" w:rsidP="003E5C2C">
      <w:pPr>
        <w:widowControl w:val="0"/>
        <w:jc w:val="both"/>
        <w:rPr>
          <w:sz w:val="20"/>
          <w:lang w:val="fr-CA"/>
        </w:rPr>
      </w:pPr>
      <w:r>
        <w:rPr>
          <w:sz w:val="20"/>
        </w:rPr>
        <w:tab/>
      </w:r>
      <w:r w:rsidRPr="003E5C2C">
        <w:rPr>
          <w:sz w:val="20"/>
        </w:rPr>
        <w:t xml:space="preserve">The motions for an extension of time to serve and file the application for leave to appeal and to file an affidavit in support of the motion for an extension of time are granted. The request for an oral hearing of the application for leave to appeal from the judgment of the Court of Appeal for British Columbia (Vancouver), Number CA036241, 2010 BCCA 135, dated March 18, 2010, is granted.  </w:t>
      </w:r>
      <w:r w:rsidRPr="003E5C2C">
        <w:rPr>
          <w:sz w:val="20"/>
          <w:lang w:val="fr-CA"/>
        </w:rPr>
        <w:t xml:space="preserve">The </w:t>
      </w:r>
      <w:proofErr w:type="spellStart"/>
      <w:r w:rsidRPr="003E5C2C">
        <w:rPr>
          <w:sz w:val="20"/>
          <w:lang w:val="fr-CA"/>
        </w:rPr>
        <w:t>hearing</w:t>
      </w:r>
      <w:proofErr w:type="spellEnd"/>
      <w:r w:rsidRPr="003E5C2C">
        <w:rPr>
          <w:sz w:val="20"/>
          <w:lang w:val="fr-CA"/>
        </w:rPr>
        <w:t xml:space="preserve"> date </w:t>
      </w:r>
      <w:proofErr w:type="spellStart"/>
      <w:r w:rsidRPr="003E5C2C">
        <w:rPr>
          <w:sz w:val="20"/>
          <w:lang w:val="fr-CA"/>
        </w:rPr>
        <w:t>will</w:t>
      </w:r>
      <w:proofErr w:type="spellEnd"/>
      <w:r w:rsidRPr="003E5C2C">
        <w:rPr>
          <w:sz w:val="20"/>
          <w:lang w:val="fr-CA"/>
        </w:rPr>
        <w:t xml:space="preserve"> </w:t>
      </w:r>
      <w:proofErr w:type="spellStart"/>
      <w:r w:rsidRPr="003E5C2C">
        <w:rPr>
          <w:sz w:val="20"/>
          <w:lang w:val="fr-CA"/>
        </w:rPr>
        <w:t>be</w:t>
      </w:r>
      <w:proofErr w:type="spellEnd"/>
      <w:r w:rsidRPr="003E5C2C">
        <w:rPr>
          <w:sz w:val="20"/>
          <w:lang w:val="fr-CA"/>
        </w:rPr>
        <w:t xml:space="preserve"> </w:t>
      </w:r>
      <w:proofErr w:type="spellStart"/>
      <w:r w:rsidRPr="003E5C2C">
        <w:rPr>
          <w:sz w:val="20"/>
          <w:lang w:val="fr-CA"/>
        </w:rPr>
        <w:t>fixed</w:t>
      </w:r>
      <w:proofErr w:type="spellEnd"/>
      <w:r w:rsidRPr="003E5C2C">
        <w:rPr>
          <w:sz w:val="20"/>
          <w:lang w:val="fr-CA"/>
        </w:rPr>
        <w:t xml:space="preserve"> by the </w:t>
      </w:r>
      <w:proofErr w:type="spellStart"/>
      <w:r w:rsidRPr="003E5C2C">
        <w:rPr>
          <w:sz w:val="20"/>
          <w:lang w:val="fr-CA"/>
        </w:rPr>
        <w:t>Registrar</w:t>
      </w:r>
      <w:proofErr w:type="spellEnd"/>
      <w:r w:rsidRPr="003E5C2C">
        <w:rPr>
          <w:sz w:val="20"/>
          <w:lang w:val="fr-CA"/>
        </w:rPr>
        <w:t>.</w:t>
      </w:r>
    </w:p>
    <w:p w:rsidR="003E5C2C" w:rsidRPr="003E5C2C" w:rsidRDefault="003E5C2C" w:rsidP="003E5C2C">
      <w:pPr>
        <w:widowControl w:val="0"/>
        <w:rPr>
          <w:sz w:val="20"/>
          <w:lang w:val="fr-CA"/>
        </w:rPr>
      </w:pPr>
    </w:p>
    <w:p w:rsidR="003E5C2C" w:rsidRPr="003E5C2C" w:rsidRDefault="003E5C2C" w:rsidP="003E5C2C">
      <w:pPr>
        <w:widowControl w:val="0"/>
        <w:jc w:val="both"/>
        <w:rPr>
          <w:sz w:val="20"/>
          <w:lang w:val="fr-CA"/>
        </w:rPr>
      </w:pPr>
      <w:r>
        <w:rPr>
          <w:sz w:val="20"/>
          <w:lang w:val="fr-CA"/>
        </w:rPr>
        <w:tab/>
      </w:r>
      <w:r w:rsidRPr="003E5C2C">
        <w:rPr>
          <w:sz w:val="20"/>
          <w:lang w:val="fr-CA"/>
        </w:rPr>
        <w:t>Les requêtes en prorogation du délai de signification et de dépôt de la demande d’autorisation d’appel et de dépôt d’un affidavit afin de soutenir la requête en prorogation du délai sont accordées. La demande pour la tenue d’une audience de la demande d’autorisation d’appel de l’arrêt de la Cour d’appel de la Colombie-Britannique (Vancouver), numéro CA036241, 2010 BCCA 135, daté du 18 mars 2010, est accordée.  La date de l’audience sera fixée par le registraire.</w:t>
      </w:r>
    </w:p>
    <w:p w:rsidR="003E5C2C" w:rsidRPr="003E5C2C" w:rsidRDefault="003E5C2C" w:rsidP="003E5C2C">
      <w:pPr>
        <w:widowControl w:val="0"/>
        <w:rPr>
          <w:sz w:val="20"/>
          <w:lang w:val="fr-CA"/>
        </w:rPr>
      </w:pPr>
    </w:p>
    <w:p w:rsidR="003E5C2C" w:rsidRPr="00C50A5C" w:rsidRDefault="003E5C2C" w:rsidP="003E5C2C">
      <w:pPr>
        <w:rPr>
          <w:sz w:val="20"/>
          <w:szCs w:val="20"/>
          <w:u w:val="single"/>
          <w:lang w:val="fr-CA"/>
        </w:rPr>
      </w:pPr>
      <w:r w:rsidRPr="00C50A5C">
        <w:rPr>
          <w:sz w:val="20"/>
          <w:szCs w:val="20"/>
          <w:u w:val="single"/>
          <w:lang w:val="fr-CA"/>
        </w:rPr>
        <w:t>CASE SUMMARY</w:t>
      </w:r>
    </w:p>
    <w:p w:rsidR="003E5C2C" w:rsidRPr="003E5C2C" w:rsidRDefault="003E5C2C" w:rsidP="003E5C2C">
      <w:pPr>
        <w:widowControl w:val="0"/>
        <w:jc w:val="both"/>
        <w:rPr>
          <w:sz w:val="20"/>
          <w:lang w:val="fr-CA"/>
        </w:rPr>
      </w:pPr>
    </w:p>
    <w:p w:rsidR="003E5C2C" w:rsidRDefault="003E5C2C" w:rsidP="003E5C2C">
      <w:pPr>
        <w:widowControl w:val="0"/>
        <w:jc w:val="both"/>
        <w:rPr>
          <w:sz w:val="20"/>
        </w:rPr>
      </w:pPr>
      <w:r>
        <w:rPr>
          <w:sz w:val="20"/>
        </w:rPr>
        <w:t>Criminal law – Appeal – Search warrants – Arrest – Reasonable grounds – Whether the police can bring a successive application for a search warrant on the same facts before another judicial officer – Does or should a judicial finding that there are insufficient grounds to issue a search warrant affect a police officer’s belief in the existence of a reasonable and probable grounds to arrest – Can a reviewing judge quash a search warrant in order to protect the integrity of the prior judicial authorization process?</w:t>
      </w:r>
    </w:p>
    <w:p w:rsidR="003E5C2C" w:rsidRDefault="003E5C2C" w:rsidP="003E5C2C">
      <w:pPr>
        <w:widowControl w:val="0"/>
        <w:jc w:val="both"/>
        <w:rPr>
          <w:sz w:val="20"/>
        </w:rPr>
      </w:pPr>
    </w:p>
    <w:p w:rsidR="003E5C2C" w:rsidRDefault="003E5C2C" w:rsidP="003E5C2C">
      <w:pPr>
        <w:widowControl w:val="0"/>
        <w:jc w:val="both"/>
        <w:rPr>
          <w:sz w:val="20"/>
        </w:rPr>
      </w:pPr>
      <w:r>
        <w:rPr>
          <w:sz w:val="20"/>
        </w:rPr>
        <w:t>The trial judge acquitted the applicant, Jonathan Bacon on a 15 count information charging drugs and weapons offences, after excluding evidence seized incidental to an arrest that he found unlawful and evidence gathered pursuant to a search warrant that he found to be invalid.  The Crown appealed the verdict.  The Court of Appeal allowed the appeal, set aside the acquittal and ordered a new trial.</w:t>
      </w:r>
    </w:p>
    <w:p w:rsidR="003E5C2C" w:rsidRDefault="003E5C2C" w:rsidP="003E5C2C">
      <w:pPr>
        <w:widowControl w:val="0"/>
        <w:rPr>
          <w:sz w:val="20"/>
        </w:rPr>
      </w:pPr>
    </w:p>
    <w:tbl>
      <w:tblPr>
        <w:tblW w:w="0" w:type="auto"/>
        <w:tblLayout w:type="fixed"/>
        <w:tblCellMar>
          <w:left w:w="0" w:type="dxa"/>
          <w:right w:w="0" w:type="dxa"/>
        </w:tblCellMar>
        <w:tblLook w:val="0000"/>
      </w:tblPr>
      <w:tblGrid>
        <w:gridCol w:w="4596"/>
        <w:gridCol w:w="288"/>
        <w:gridCol w:w="4596"/>
      </w:tblGrid>
      <w:tr w:rsidR="00426FE4" w:rsidRPr="00C50A5C" w:rsidTr="00426FE4">
        <w:trPr>
          <w:cantSplit/>
        </w:trPr>
        <w:tc>
          <w:tcPr>
            <w:tcW w:w="4596" w:type="dxa"/>
            <w:tcMar>
              <w:left w:w="0" w:type="dxa"/>
              <w:right w:w="0" w:type="dxa"/>
            </w:tcMar>
          </w:tcPr>
          <w:p w:rsidR="001F6C26" w:rsidRDefault="001F6C26" w:rsidP="001F6C26">
            <w:pPr>
              <w:keepNext/>
              <w:keepLines/>
              <w:widowControl w:val="0"/>
              <w:rPr>
                <w:sz w:val="20"/>
              </w:rPr>
            </w:pPr>
            <w:r>
              <w:rPr>
                <w:sz w:val="20"/>
              </w:rPr>
              <w:t>June 6, 2008</w:t>
            </w:r>
          </w:p>
          <w:p w:rsidR="001F6C26" w:rsidRDefault="001F6C26" w:rsidP="001F6C26">
            <w:pPr>
              <w:keepNext/>
              <w:keepLines/>
              <w:widowControl w:val="0"/>
              <w:rPr>
                <w:sz w:val="20"/>
              </w:rPr>
            </w:pPr>
            <w:r>
              <w:rPr>
                <w:sz w:val="20"/>
              </w:rPr>
              <w:t>Provincial Court of British Columbia</w:t>
            </w:r>
          </w:p>
          <w:p w:rsidR="00426FE4" w:rsidRPr="00C50A5C" w:rsidRDefault="001F6C26" w:rsidP="001F6C26">
            <w:pPr>
              <w:keepNext/>
              <w:keepLines/>
              <w:rPr>
                <w:sz w:val="20"/>
                <w:szCs w:val="20"/>
              </w:rPr>
            </w:pPr>
            <w:r>
              <w:rPr>
                <w:sz w:val="20"/>
              </w:rPr>
              <w:t>(Gardner J.)</w:t>
            </w:r>
          </w:p>
        </w:tc>
        <w:tc>
          <w:tcPr>
            <w:tcW w:w="288" w:type="dxa"/>
            <w:tcMar>
              <w:left w:w="0" w:type="dxa"/>
              <w:right w:w="0" w:type="dxa"/>
            </w:tcMar>
          </w:tcPr>
          <w:p w:rsidR="00426FE4" w:rsidRDefault="00426FE4" w:rsidP="003E6FF6">
            <w:pPr>
              <w:keepLines/>
              <w:rPr>
                <w:sz w:val="20"/>
                <w:szCs w:val="20"/>
              </w:rPr>
            </w:pPr>
          </w:p>
          <w:p w:rsidR="001F6C26" w:rsidRDefault="001F6C26" w:rsidP="003E6FF6">
            <w:pPr>
              <w:keepLines/>
              <w:rPr>
                <w:sz w:val="20"/>
                <w:szCs w:val="20"/>
              </w:rPr>
            </w:pPr>
          </w:p>
          <w:p w:rsidR="001F6C26" w:rsidRDefault="001F6C26" w:rsidP="003E6FF6">
            <w:pPr>
              <w:keepLines/>
              <w:rPr>
                <w:sz w:val="20"/>
                <w:szCs w:val="20"/>
              </w:rPr>
            </w:pPr>
          </w:p>
          <w:p w:rsidR="001F6C26" w:rsidRPr="00C50A5C" w:rsidRDefault="001F6C26" w:rsidP="003E6FF6">
            <w:pPr>
              <w:keepLines/>
              <w:rPr>
                <w:sz w:val="20"/>
                <w:szCs w:val="20"/>
              </w:rPr>
            </w:pPr>
          </w:p>
        </w:tc>
        <w:tc>
          <w:tcPr>
            <w:tcW w:w="4596" w:type="dxa"/>
            <w:tcMar>
              <w:left w:w="0" w:type="dxa"/>
              <w:right w:w="0" w:type="dxa"/>
            </w:tcMar>
          </w:tcPr>
          <w:p w:rsidR="00426FE4" w:rsidRPr="00C50A5C" w:rsidRDefault="001F6C26" w:rsidP="001F6C26">
            <w:pPr>
              <w:keepLines/>
              <w:jc w:val="both"/>
              <w:rPr>
                <w:sz w:val="20"/>
                <w:szCs w:val="20"/>
              </w:rPr>
            </w:pPr>
            <w:r>
              <w:rPr>
                <w:sz w:val="20"/>
              </w:rPr>
              <w:t xml:space="preserve">Oral reasons on </w:t>
            </w:r>
            <w:proofErr w:type="spellStart"/>
            <w:r>
              <w:rPr>
                <w:sz w:val="20"/>
              </w:rPr>
              <w:t>voir</w:t>
            </w:r>
            <w:proofErr w:type="spellEnd"/>
            <w:r>
              <w:rPr>
                <w:sz w:val="20"/>
              </w:rPr>
              <w:t xml:space="preserve"> dire allowing defence motion to exclude evidence and dismissing charges against the accused</w:t>
            </w:r>
          </w:p>
        </w:tc>
      </w:tr>
      <w:tr w:rsidR="00426FE4" w:rsidRPr="00C50A5C" w:rsidTr="00426FE4">
        <w:trPr>
          <w:cantSplit/>
        </w:trPr>
        <w:tc>
          <w:tcPr>
            <w:tcW w:w="4596" w:type="dxa"/>
            <w:tcMar>
              <w:left w:w="0" w:type="dxa"/>
              <w:right w:w="0" w:type="dxa"/>
            </w:tcMar>
          </w:tcPr>
          <w:p w:rsidR="001F6C26" w:rsidRDefault="001F6C26" w:rsidP="001F6C26">
            <w:pPr>
              <w:keepNext/>
              <w:keepLines/>
              <w:widowControl w:val="0"/>
              <w:rPr>
                <w:sz w:val="20"/>
              </w:rPr>
            </w:pPr>
            <w:r>
              <w:rPr>
                <w:sz w:val="20"/>
              </w:rPr>
              <w:t>July 16, 2008</w:t>
            </w:r>
          </w:p>
          <w:p w:rsidR="001F6C26" w:rsidRDefault="001F6C26" w:rsidP="001F6C26">
            <w:pPr>
              <w:keepNext/>
              <w:keepLines/>
              <w:widowControl w:val="0"/>
              <w:rPr>
                <w:sz w:val="20"/>
              </w:rPr>
            </w:pPr>
            <w:r>
              <w:rPr>
                <w:sz w:val="20"/>
              </w:rPr>
              <w:t>Provincial Court of British Columbia</w:t>
            </w:r>
          </w:p>
          <w:p w:rsidR="001F6C26" w:rsidRDefault="001F6C26" w:rsidP="001F6C26">
            <w:pPr>
              <w:keepNext/>
              <w:keepLines/>
              <w:widowControl w:val="0"/>
              <w:rPr>
                <w:sz w:val="20"/>
              </w:rPr>
            </w:pPr>
            <w:r>
              <w:rPr>
                <w:sz w:val="20"/>
              </w:rPr>
              <w:t>(Gardner J.)</w:t>
            </w:r>
          </w:p>
          <w:p w:rsidR="00426FE4" w:rsidRPr="00C50A5C" w:rsidRDefault="001F6C26" w:rsidP="001F6C26">
            <w:pPr>
              <w:keepNext/>
              <w:keepLines/>
              <w:rPr>
                <w:sz w:val="20"/>
                <w:szCs w:val="20"/>
              </w:rPr>
            </w:pPr>
            <w:r>
              <w:rPr>
                <w:sz w:val="20"/>
              </w:rPr>
              <w:t>Neutral citation: 2008 BCPC 204</w:t>
            </w:r>
          </w:p>
        </w:tc>
        <w:tc>
          <w:tcPr>
            <w:tcW w:w="288" w:type="dxa"/>
            <w:tcMar>
              <w:left w:w="0" w:type="dxa"/>
              <w:right w:w="0" w:type="dxa"/>
            </w:tcMar>
          </w:tcPr>
          <w:p w:rsidR="00426FE4" w:rsidRDefault="00426FE4" w:rsidP="003E6FF6">
            <w:pPr>
              <w:keepLines/>
              <w:rPr>
                <w:sz w:val="20"/>
                <w:szCs w:val="20"/>
              </w:rPr>
            </w:pPr>
          </w:p>
          <w:p w:rsidR="001F6C26" w:rsidRDefault="001F6C26" w:rsidP="003E6FF6">
            <w:pPr>
              <w:keepLines/>
              <w:rPr>
                <w:sz w:val="20"/>
                <w:szCs w:val="20"/>
              </w:rPr>
            </w:pPr>
          </w:p>
          <w:p w:rsidR="001F6C26" w:rsidRDefault="001F6C26" w:rsidP="003E6FF6">
            <w:pPr>
              <w:keepLines/>
              <w:rPr>
                <w:sz w:val="20"/>
                <w:szCs w:val="20"/>
              </w:rPr>
            </w:pPr>
          </w:p>
          <w:p w:rsidR="001F6C26" w:rsidRDefault="001F6C26" w:rsidP="003E6FF6">
            <w:pPr>
              <w:keepLines/>
              <w:rPr>
                <w:sz w:val="20"/>
                <w:szCs w:val="20"/>
              </w:rPr>
            </w:pPr>
          </w:p>
          <w:p w:rsidR="001F6C26" w:rsidRPr="00C50A5C" w:rsidRDefault="001F6C26" w:rsidP="003E6FF6">
            <w:pPr>
              <w:keepLines/>
              <w:rPr>
                <w:sz w:val="20"/>
                <w:szCs w:val="20"/>
              </w:rPr>
            </w:pPr>
          </w:p>
        </w:tc>
        <w:tc>
          <w:tcPr>
            <w:tcW w:w="4596" w:type="dxa"/>
            <w:tcMar>
              <w:left w:w="0" w:type="dxa"/>
              <w:right w:w="0" w:type="dxa"/>
            </w:tcMar>
          </w:tcPr>
          <w:p w:rsidR="00426FE4" w:rsidRPr="00C50A5C" w:rsidRDefault="001F6C26" w:rsidP="001F6C26">
            <w:pPr>
              <w:keepLines/>
              <w:jc w:val="both"/>
              <w:rPr>
                <w:sz w:val="20"/>
                <w:szCs w:val="20"/>
              </w:rPr>
            </w:pPr>
            <w:r>
              <w:rPr>
                <w:sz w:val="20"/>
              </w:rPr>
              <w:t>Written reasons allowing defence motion to exclude evidence and dismissing charges against the accused</w:t>
            </w:r>
          </w:p>
        </w:tc>
      </w:tr>
      <w:tr w:rsidR="00426FE4" w:rsidRPr="00C50A5C" w:rsidTr="00426FE4">
        <w:trPr>
          <w:cantSplit/>
        </w:trPr>
        <w:tc>
          <w:tcPr>
            <w:tcW w:w="4596" w:type="dxa"/>
            <w:tcMar>
              <w:left w:w="0" w:type="dxa"/>
              <w:right w:w="0" w:type="dxa"/>
            </w:tcMar>
          </w:tcPr>
          <w:p w:rsidR="003E6FF6" w:rsidRDefault="003E6FF6" w:rsidP="003E6FF6">
            <w:pPr>
              <w:keepNext/>
              <w:keepLines/>
              <w:widowControl w:val="0"/>
              <w:rPr>
                <w:sz w:val="20"/>
              </w:rPr>
            </w:pPr>
            <w:r>
              <w:rPr>
                <w:sz w:val="20"/>
              </w:rPr>
              <w:t>March 18, 2010</w:t>
            </w:r>
          </w:p>
          <w:p w:rsidR="003E6FF6" w:rsidRDefault="003E6FF6" w:rsidP="003E6FF6">
            <w:pPr>
              <w:keepNext/>
              <w:keepLines/>
              <w:widowControl w:val="0"/>
              <w:rPr>
                <w:sz w:val="20"/>
              </w:rPr>
            </w:pPr>
            <w:r>
              <w:rPr>
                <w:sz w:val="20"/>
              </w:rPr>
              <w:t>Court of Appeal for British Columbia (Vancouver)</w:t>
            </w:r>
          </w:p>
          <w:p w:rsidR="003E6FF6" w:rsidRDefault="003E6FF6" w:rsidP="003E6FF6">
            <w:pPr>
              <w:keepNext/>
              <w:keepLines/>
              <w:widowControl w:val="0"/>
              <w:rPr>
                <w:sz w:val="20"/>
              </w:rPr>
            </w:pPr>
            <w:r>
              <w:rPr>
                <w:sz w:val="20"/>
              </w:rPr>
              <w:t xml:space="preserve">(Donald, Kirkpatrick and </w:t>
            </w:r>
            <w:proofErr w:type="spellStart"/>
            <w:r>
              <w:rPr>
                <w:sz w:val="20"/>
              </w:rPr>
              <w:t>Tysoe</w:t>
            </w:r>
            <w:proofErr w:type="spellEnd"/>
            <w:r>
              <w:rPr>
                <w:sz w:val="20"/>
              </w:rPr>
              <w:t xml:space="preserve"> JJ.A.)</w:t>
            </w:r>
          </w:p>
          <w:p w:rsidR="00426FE4" w:rsidRPr="00C50A5C" w:rsidRDefault="003E6FF6" w:rsidP="003E6FF6">
            <w:pPr>
              <w:keepNext/>
              <w:keepLines/>
              <w:rPr>
                <w:sz w:val="20"/>
                <w:szCs w:val="20"/>
              </w:rPr>
            </w:pPr>
            <w:r>
              <w:rPr>
                <w:sz w:val="20"/>
              </w:rPr>
              <w:t>Neutral citation: 2010 BCCA 135</w:t>
            </w:r>
          </w:p>
        </w:tc>
        <w:tc>
          <w:tcPr>
            <w:tcW w:w="288" w:type="dxa"/>
            <w:tcMar>
              <w:left w:w="0" w:type="dxa"/>
              <w:right w:w="0" w:type="dxa"/>
            </w:tcMar>
          </w:tcPr>
          <w:p w:rsidR="00426FE4" w:rsidRDefault="00426FE4" w:rsidP="003E6FF6">
            <w:pPr>
              <w:keepLines/>
              <w:rPr>
                <w:sz w:val="20"/>
                <w:szCs w:val="20"/>
              </w:rPr>
            </w:pPr>
          </w:p>
          <w:p w:rsidR="003E6FF6" w:rsidRDefault="003E6FF6" w:rsidP="003E6FF6">
            <w:pPr>
              <w:keepLines/>
              <w:rPr>
                <w:sz w:val="20"/>
                <w:szCs w:val="20"/>
              </w:rPr>
            </w:pPr>
          </w:p>
          <w:p w:rsidR="003E6FF6" w:rsidRDefault="003E6FF6" w:rsidP="003E6FF6">
            <w:pPr>
              <w:keepLines/>
              <w:rPr>
                <w:sz w:val="20"/>
                <w:szCs w:val="20"/>
              </w:rPr>
            </w:pPr>
          </w:p>
          <w:p w:rsidR="003E6FF6" w:rsidRDefault="003E6FF6" w:rsidP="003E6FF6">
            <w:pPr>
              <w:keepLines/>
              <w:rPr>
                <w:sz w:val="20"/>
                <w:szCs w:val="20"/>
              </w:rPr>
            </w:pPr>
          </w:p>
          <w:p w:rsidR="003E6FF6" w:rsidRPr="00C50A5C" w:rsidRDefault="003E6FF6" w:rsidP="003E6FF6">
            <w:pPr>
              <w:keepLines/>
              <w:rPr>
                <w:sz w:val="20"/>
                <w:szCs w:val="20"/>
              </w:rPr>
            </w:pPr>
          </w:p>
        </w:tc>
        <w:tc>
          <w:tcPr>
            <w:tcW w:w="4596" w:type="dxa"/>
            <w:tcMar>
              <w:left w:w="0" w:type="dxa"/>
              <w:right w:w="0" w:type="dxa"/>
            </w:tcMar>
          </w:tcPr>
          <w:p w:rsidR="00426FE4" w:rsidRPr="00C50A5C" w:rsidRDefault="003E6FF6" w:rsidP="003E6FF6">
            <w:pPr>
              <w:keepLines/>
              <w:jc w:val="both"/>
              <w:rPr>
                <w:sz w:val="20"/>
                <w:szCs w:val="20"/>
              </w:rPr>
            </w:pPr>
            <w:r>
              <w:rPr>
                <w:sz w:val="20"/>
              </w:rPr>
              <w:t>Appeal from acquittal allowed, acquittal set aside and a new trial ordered</w:t>
            </w:r>
          </w:p>
        </w:tc>
      </w:tr>
      <w:tr w:rsidR="00426FE4" w:rsidRPr="00C50A5C" w:rsidTr="00426FE4">
        <w:trPr>
          <w:cantSplit/>
        </w:trPr>
        <w:tc>
          <w:tcPr>
            <w:tcW w:w="4596" w:type="dxa"/>
            <w:tcMar>
              <w:left w:w="0" w:type="dxa"/>
              <w:right w:w="0" w:type="dxa"/>
            </w:tcMar>
          </w:tcPr>
          <w:p w:rsidR="003E6FF6" w:rsidRDefault="003E6FF6" w:rsidP="003E6FF6">
            <w:pPr>
              <w:keepNext/>
              <w:keepLines/>
              <w:widowControl w:val="0"/>
              <w:rPr>
                <w:sz w:val="20"/>
              </w:rPr>
            </w:pPr>
            <w:r>
              <w:rPr>
                <w:sz w:val="20"/>
              </w:rPr>
              <w:t>June 15, 2010</w:t>
            </w:r>
          </w:p>
          <w:p w:rsidR="00426FE4" w:rsidRPr="00C50A5C" w:rsidRDefault="003E6FF6" w:rsidP="003E6FF6">
            <w:pPr>
              <w:keepNext/>
              <w:keepLines/>
              <w:rPr>
                <w:sz w:val="20"/>
                <w:szCs w:val="20"/>
              </w:rPr>
            </w:pPr>
            <w:r>
              <w:rPr>
                <w:sz w:val="20"/>
              </w:rPr>
              <w:t>Supreme Court of Canada</w:t>
            </w:r>
          </w:p>
        </w:tc>
        <w:tc>
          <w:tcPr>
            <w:tcW w:w="288" w:type="dxa"/>
            <w:tcMar>
              <w:left w:w="0" w:type="dxa"/>
              <w:right w:w="0" w:type="dxa"/>
            </w:tcMar>
          </w:tcPr>
          <w:p w:rsidR="00426FE4" w:rsidRDefault="00426FE4" w:rsidP="003E6FF6">
            <w:pPr>
              <w:keepLines/>
              <w:rPr>
                <w:sz w:val="20"/>
                <w:szCs w:val="20"/>
              </w:rPr>
            </w:pPr>
          </w:p>
          <w:p w:rsidR="003E6FF6" w:rsidRDefault="003E6FF6" w:rsidP="003E6FF6">
            <w:pPr>
              <w:keepLines/>
              <w:rPr>
                <w:sz w:val="20"/>
                <w:szCs w:val="20"/>
              </w:rPr>
            </w:pPr>
          </w:p>
          <w:p w:rsidR="003E6FF6" w:rsidRPr="00C50A5C" w:rsidRDefault="003E6FF6" w:rsidP="003E6FF6">
            <w:pPr>
              <w:keepLines/>
              <w:rPr>
                <w:sz w:val="20"/>
                <w:szCs w:val="20"/>
              </w:rPr>
            </w:pPr>
          </w:p>
        </w:tc>
        <w:tc>
          <w:tcPr>
            <w:tcW w:w="4596" w:type="dxa"/>
            <w:tcMar>
              <w:left w:w="0" w:type="dxa"/>
              <w:right w:w="0" w:type="dxa"/>
            </w:tcMar>
          </w:tcPr>
          <w:p w:rsidR="00426FE4" w:rsidRPr="00C50A5C" w:rsidRDefault="003E6FF6" w:rsidP="003E6FF6">
            <w:pPr>
              <w:keepLines/>
              <w:jc w:val="both"/>
              <w:rPr>
                <w:sz w:val="20"/>
                <w:szCs w:val="20"/>
              </w:rPr>
            </w:pPr>
            <w:r>
              <w:rPr>
                <w:sz w:val="20"/>
              </w:rPr>
              <w:t>Application for leave to appeal and motion to extend time to serve and/or file leave application, filed</w:t>
            </w:r>
          </w:p>
        </w:tc>
      </w:tr>
      <w:tr w:rsidR="00426FE4" w:rsidRPr="00C50A5C" w:rsidTr="00426FE4">
        <w:trPr>
          <w:cantSplit/>
        </w:trPr>
        <w:tc>
          <w:tcPr>
            <w:tcW w:w="4596" w:type="dxa"/>
            <w:tcMar>
              <w:left w:w="0" w:type="dxa"/>
              <w:right w:w="0" w:type="dxa"/>
            </w:tcMar>
          </w:tcPr>
          <w:p w:rsidR="003E6FF6" w:rsidRDefault="003E6FF6" w:rsidP="003E6FF6">
            <w:pPr>
              <w:keepNext/>
              <w:keepLines/>
              <w:widowControl w:val="0"/>
              <w:rPr>
                <w:sz w:val="20"/>
              </w:rPr>
            </w:pPr>
            <w:r>
              <w:rPr>
                <w:sz w:val="20"/>
              </w:rPr>
              <w:t>August 23, 2010</w:t>
            </w:r>
          </w:p>
          <w:p w:rsidR="00426FE4" w:rsidRPr="00C50A5C" w:rsidRDefault="003E6FF6" w:rsidP="003E6FF6">
            <w:pPr>
              <w:keepNext/>
              <w:keepLines/>
              <w:rPr>
                <w:sz w:val="20"/>
                <w:szCs w:val="20"/>
              </w:rPr>
            </w:pPr>
            <w:r>
              <w:rPr>
                <w:sz w:val="20"/>
              </w:rPr>
              <w:t>Supreme Court of Canada</w:t>
            </w:r>
          </w:p>
        </w:tc>
        <w:tc>
          <w:tcPr>
            <w:tcW w:w="288" w:type="dxa"/>
            <w:tcMar>
              <w:left w:w="0" w:type="dxa"/>
              <w:right w:w="0" w:type="dxa"/>
            </w:tcMar>
          </w:tcPr>
          <w:p w:rsidR="00426FE4" w:rsidRDefault="00426FE4" w:rsidP="003E6FF6">
            <w:pPr>
              <w:keepLines/>
              <w:rPr>
                <w:sz w:val="20"/>
                <w:szCs w:val="20"/>
              </w:rPr>
            </w:pPr>
          </w:p>
          <w:p w:rsidR="003E6FF6" w:rsidRPr="00C50A5C" w:rsidRDefault="003E6FF6" w:rsidP="003E6FF6">
            <w:pPr>
              <w:keepLines/>
              <w:rPr>
                <w:sz w:val="20"/>
                <w:szCs w:val="20"/>
              </w:rPr>
            </w:pPr>
          </w:p>
        </w:tc>
        <w:tc>
          <w:tcPr>
            <w:tcW w:w="4596" w:type="dxa"/>
            <w:tcMar>
              <w:left w:w="0" w:type="dxa"/>
              <w:right w:w="0" w:type="dxa"/>
            </w:tcMar>
          </w:tcPr>
          <w:p w:rsidR="00426FE4" w:rsidRPr="00C50A5C" w:rsidRDefault="003E6FF6" w:rsidP="003E6FF6">
            <w:pPr>
              <w:keepLines/>
              <w:jc w:val="both"/>
              <w:rPr>
                <w:sz w:val="20"/>
                <w:szCs w:val="20"/>
              </w:rPr>
            </w:pPr>
            <w:r>
              <w:rPr>
                <w:sz w:val="20"/>
              </w:rPr>
              <w:t>Motion to extend time to file affidavit in support of motion to extend time to file leave application</w:t>
            </w:r>
          </w:p>
        </w:tc>
      </w:tr>
    </w:tbl>
    <w:p w:rsidR="00426FE4" w:rsidRDefault="00426FE4" w:rsidP="003E5C2C">
      <w:pPr>
        <w:widowControl w:val="0"/>
        <w:rPr>
          <w:sz w:val="20"/>
        </w:rPr>
      </w:pPr>
    </w:p>
    <w:p w:rsidR="003E6FF6" w:rsidRDefault="003E770A" w:rsidP="001F6C26">
      <w:pPr>
        <w:widowControl w:val="0"/>
        <w:jc w:val="both"/>
        <w:rPr>
          <w:sz w:val="20"/>
          <w:lang w:val="fr-CA"/>
        </w:rPr>
      </w:pPr>
      <w:r w:rsidRPr="003E770A">
        <w:rPr>
          <w:sz w:val="20"/>
          <w:szCs w:val="20"/>
        </w:rPr>
        <w:pict>
          <v:rect id="_x0000_i1037" style="width:2in;height:1pt" o:hrpct="0" o:hralign="center" o:hrstd="t" o:hrnoshade="t" o:hr="t" fillcolor="black [3213]" stroked="f"/>
        </w:pict>
      </w:r>
    </w:p>
    <w:p w:rsidR="000C6523" w:rsidRDefault="000C6523">
      <w:pPr>
        <w:rPr>
          <w:sz w:val="20"/>
          <w:lang w:val="fr-CA"/>
        </w:rPr>
      </w:pPr>
      <w:r>
        <w:rPr>
          <w:sz w:val="20"/>
          <w:lang w:val="fr-CA"/>
        </w:rPr>
        <w:br w:type="page"/>
      </w:r>
    </w:p>
    <w:p w:rsidR="003E6FF6" w:rsidRPr="00C50A5C" w:rsidRDefault="003E6FF6" w:rsidP="003E6FF6">
      <w:pPr>
        <w:rPr>
          <w:sz w:val="20"/>
          <w:szCs w:val="20"/>
          <w:lang w:val="fr-CA"/>
        </w:rPr>
      </w:pPr>
      <w:r w:rsidRPr="00C50A5C">
        <w:rPr>
          <w:sz w:val="20"/>
          <w:szCs w:val="20"/>
          <w:u w:val="single"/>
          <w:lang w:val="fr-CA"/>
        </w:rPr>
        <w:lastRenderedPageBreak/>
        <w:t>RÉSUMÉ DE L’AFFAIRE</w:t>
      </w:r>
      <w:r w:rsidRPr="00C50A5C">
        <w:rPr>
          <w:sz w:val="20"/>
          <w:szCs w:val="20"/>
          <w:lang w:val="fr-CA"/>
        </w:rPr>
        <w:t xml:space="preserve"> </w:t>
      </w:r>
    </w:p>
    <w:p w:rsidR="003E6FF6" w:rsidRDefault="003E6FF6" w:rsidP="001F6C26">
      <w:pPr>
        <w:widowControl w:val="0"/>
        <w:jc w:val="both"/>
        <w:rPr>
          <w:sz w:val="20"/>
          <w:lang w:val="fr-CA"/>
        </w:rPr>
      </w:pPr>
    </w:p>
    <w:p w:rsidR="003E5C2C" w:rsidRDefault="003E5C2C" w:rsidP="001F6C26">
      <w:pPr>
        <w:widowControl w:val="0"/>
        <w:jc w:val="both"/>
        <w:rPr>
          <w:sz w:val="20"/>
          <w:lang w:val="fr-CA"/>
        </w:rPr>
      </w:pPr>
      <w:r>
        <w:rPr>
          <w:sz w:val="20"/>
          <w:lang w:val="fr-CA"/>
        </w:rPr>
        <w:t>Droit criminel – Appel – Mandats de perquisition – Arrestation – Motifs raisonnables – La police peut-elle présenter une demande successive de mandat de perquisition en se fondant sur les mêmes faits devant un autre officier de justice? – La conclusion judiciaire selon laquelle il n’y a pas de motifs suffisants pour délivrer un mandat de perquisition a-t-elle ou devrait-elle avoir une incidence sur la croyance d’un policier en l’existence d’un motif raisonnable et probable d’arrestation? – Le juge en révision peut-il annuler un mandat de perquisition pour protéger l’intégrité du processus d’autorisation judiciaire préalable?</w:t>
      </w:r>
    </w:p>
    <w:p w:rsidR="003E5C2C" w:rsidRDefault="003E5C2C" w:rsidP="001F6C26">
      <w:pPr>
        <w:widowControl w:val="0"/>
        <w:jc w:val="both"/>
        <w:rPr>
          <w:sz w:val="20"/>
          <w:lang w:val="fr-CA"/>
        </w:rPr>
      </w:pPr>
    </w:p>
    <w:p w:rsidR="003E5C2C" w:rsidRDefault="003E5C2C" w:rsidP="001F6C26">
      <w:pPr>
        <w:widowControl w:val="0"/>
        <w:jc w:val="both"/>
        <w:rPr>
          <w:sz w:val="20"/>
          <w:lang w:val="fr-CA"/>
        </w:rPr>
      </w:pPr>
      <w:r>
        <w:rPr>
          <w:sz w:val="20"/>
          <w:lang w:val="fr-CA"/>
        </w:rPr>
        <w:t>Le juge du procès a acquitté le demandeur, Jonathan Bacon, relativement à une dénonciation comportant quinze chefs d’accusation d’infractions en matière de drogue et d’arme à feu, après avoir exclu des éléments de preuve saisis accessoirement à une arrestation qu’il a jugée illégale et des éléments de preuve recueillis en vertu d’un mandat de perquisition qu’il a jugée invalide.  Le ministère public a interjeté appel du verdict.  La Cour d’appel a accueilli l’appel, annulé l’acquittement et ordonné un nouveau procès.</w:t>
      </w:r>
    </w:p>
    <w:p w:rsidR="003E5C2C" w:rsidRDefault="003E5C2C" w:rsidP="003E5C2C">
      <w:pPr>
        <w:widowControl w:val="0"/>
        <w:rPr>
          <w:sz w:val="20"/>
          <w:lang w:val="fr-CA"/>
        </w:rPr>
      </w:pPr>
    </w:p>
    <w:tbl>
      <w:tblPr>
        <w:tblW w:w="0" w:type="auto"/>
        <w:tblLayout w:type="fixed"/>
        <w:tblCellMar>
          <w:left w:w="0" w:type="dxa"/>
          <w:right w:w="0" w:type="dxa"/>
        </w:tblCellMar>
        <w:tblLook w:val="0000"/>
      </w:tblPr>
      <w:tblGrid>
        <w:gridCol w:w="4596"/>
        <w:gridCol w:w="288"/>
        <w:gridCol w:w="4596"/>
      </w:tblGrid>
      <w:tr w:rsidR="00426FE4" w:rsidRPr="003B380E" w:rsidTr="001F6C26">
        <w:trPr>
          <w:cantSplit/>
        </w:trPr>
        <w:tc>
          <w:tcPr>
            <w:tcW w:w="4596" w:type="dxa"/>
            <w:tcMar>
              <w:left w:w="0" w:type="dxa"/>
              <w:right w:w="0" w:type="dxa"/>
            </w:tcMar>
          </w:tcPr>
          <w:p w:rsidR="00426FE4" w:rsidRDefault="00426FE4" w:rsidP="00426FE4">
            <w:pPr>
              <w:keepNext/>
              <w:keepLines/>
              <w:widowControl w:val="0"/>
              <w:rPr>
                <w:sz w:val="20"/>
                <w:lang w:val="fr-CA"/>
              </w:rPr>
            </w:pPr>
            <w:r>
              <w:rPr>
                <w:sz w:val="20"/>
                <w:lang w:val="fr-CA"/>
              </w:rPr>
              <w:t>6 juin 2008</w:t>
            </w:r>
          </w:p>
          <w:p w:rsidR="00426FE4" w:rsidRDefault="00426FE4" w:rsidP="00426FE4">
            <w:pPr>
              <w:keepNext/>
              <w:keepLines/>
              <w:widowControl w:val="0"/>
              <w:rPr>
                <w:sz w:val="20"/>
                <w:lang w:val="fr-CA"/>
              </w:rPr>
            </w:pPr>
            <w:r>
              <w:rPr>
                <w:sz w:val="20"/>
                <w:lang w:val="fr-CA"/>
              </w:rPr>
              <w:t>Cour provinciale de la Colombie-Britannique</w:t>
            </w:r>
          </w:p>
          <w:p w:rsidR="00426FE4" w:rsidRPr="00C50A5C" w:rsidRDefault="00426FE4" w:rsidP="00426FE4">
            <w:pPr>
              <w:keepNext/>
              <w:keepLines/>
              <w:rPr>
                <w:sz w:val="20"/>
                <w:szCs w:val="20"/>
              </w:rPr>
            </w:pPr>
            <w:r>
              <w:rPr>
                <w:sz w:val="20"/>
                <w:lang w:val="fr-CA"/>
              </w:rPr>
              <w:t>(Juge Gardner)</w:t>
            </w:r>
          </w:p>
        </w:tc>
        <w:tc>
          <w:tcPr>
            <w:tcW w:w="288" w:type="dxa"/>
            <w:tcMar>
              <w:left w:w="0" w:type="dxa"/>
              <w:right w:w="0" w:type="dxa"/>
            </w:tcMar>
          </w:tcPr>
          <w:p w:rsidR="00426FE4" w:rsidRDefault="00426FE4" w:rsidP="003E6FF6">
            <w:pPr>
              <w:keepLines/>
              <w:rPr>
                <w:sz w:val="20"/>
                <w:szCs w:val="20"/>
              </w:rPr>
            </w:pPr>
          </w:p>
          <w:p w:rsidR="001F6C26" w:rsidRDefault="001F6C26" w:rsidP="003E6FF6">
            <w:pPr>
              <w:keepLines/>
              <w:rPr>
                <w:sz w:val="20"/>
                <w:szCs w:val="20"/>
              </w:rPr>
            </w:pPr>
          </w:p>
          <w:p w:rsidR="001F6C26" w:rsidRDefault="001F6C26" w:rsidP="003E6FF6">
            <w:pPr>
              <w:keepLines/>
              <w:rPr>
                <w:sz w:val="20"/>
                <w:szCs w:val="20"/>
              </w:rPr>
            </w:pPr>
          </w:p>
          <w:p w:rsidR="001F6C26" w:rsidRDefault="001F6C26" w:rsidP="003E6FF6">
            <w:pPr>
              <w:keepLines/>
              <w:rPr>
                <w:sz w:val="20"/>
                <w:szCs w:val="20"/>
              </w:rPr>
            </w:pPr>
          </w:p>
          <w:p w:rsidR="001F6C26" w:rsidRPr="00C50A5C" w:rsidRDefault="001F6C26" w:rsidP="003E6FF6">
            <w:pPr>
              <w:keepLines/>
              <w:rPr>
                <w:sz w:val="20"/>
                <w:szCs w:val="20"/>
              </w:rPr>
            </w:pPr>
          </w:p>
        </w:tc>
        <w:tc>
          <w:tcPr>
            <w:tcW w:w="4596" w:type="dxa"/>
            <w:tcMar>
              <w:left w:w="0" w:type="dxa"/>
              <w:right w:w="0" w:type="dxa"/>
            </w:tcMar>
          </w:tcPr>
          <w:p w:rsidR="00426FE4" w:rsidRPr="00426FE4" w:rsidRDefault="00426FE4" w:rsidP="001F6C26">
            <w:pPr>
              <w:keepLines/>
              <w:jc w:val="both"/>
              <w:rPr>
                <w:sz w:val="20"/>
                <w:szCs w:val="20"/>
                <w:lang w:val="fr-CA"/>
              </w:rPr>
            </w:pPr>
            <w:r>
              <w:rPr>
                <w:sz w:val="20"/>
                <w:lang w:val="fr-CA"/>
              </w:rPr>
              <w:t>Motifs exposés oralement à la suite d’un voir dire accueillant la requête de la défense en vue d’exclure des éléments de preuve et annulant les accusations contre l’accusé</w:t>
            </w:r>
          </w:p>
        </w:tc>
      </w:tr>
      <w:tr w:rsidR="00426FE4" w:rsidRPr="003B380E" w:rsidTr="001F6C26">
        <w:trPr>
          <w:cantSplit/>
        </w:trPr>
        <w:tc>
          <w:tcPr>
            <w:tcW w:w="4596" w:type="dxa"/>
            <w:tcMar>
              <w:left w:w="0" w:type="dxa"/>
              <w:right w:w="0" w:type="dxa"/>
            </w:tcMar>
          </w:tcPr>
          <w:p w:rsidR="00426FE4" w:rsidRDefault="00426FE4" w:rsidP="00426FE4">
            <w:pPr>
              <w:keepNext/>
              <w:keepLines/>
              <w:widowControl w:val="0"/>
              <w:rPr>
                <w:sz w:val="20"/>
                <w:lang w:val="fr-CA"/>
              </w:rPr>
            </w:pPr>
            <w:r>
              <w:rPr>
                <w:sz w:val="20"/>
                <w:lang w:val="fr-CA"/>
              </w:rPr>
              <w:t>16 juillet 2008</w:t>
            </w:r>
          </w:p>
          <w:p w:rsidR="00426FE4" w:rsidRDefault="00426FE4" w:rsidP="00426FE4">
            <w:pPr>
              <w:keepNext/>
              <w:keepLines/>
              <w:widowControl w:val="0"/>
              <w:rPr>
                <w:sz w:val="20"/>
                <w:lang w:val="fr-CA"/>
              </w:rPr>
            </w:pPr>
            <w:r>
              <w:rPr>
                <w:sz w:val="20"/>
                <w:lang w:val="fr-CA"/>
              </w:rPr>
              <w:t>Cour provinciale de la Colombie-Britannique</w:t>
            </w:r>
          </w:p>
          <w:p w:rsidR="00426FE4" w:rsidRPr="00426FE4" w:rsidRDefault="00426FE4" w:rsidP="00426FE4">
            <w:pPr>
              <w:keepNext/>
              <w:keepLines/>
              <w:rPr>
                <w:sz w:val="20"/>
                <w:szCs w:val="20"/>
                <w:lang w:val="fr-CA"/>
              </w:rPr>
            </w:pPr>
            <w:r>
              <w:rPr>
                <w:sz w:val="20"/>
                <w:lang w:val="fr-CA"/>
              </w:rPr>
              <w:t>(Juge Gardner)</w:t>
            </w:r>
          </w:p>
        </w:tc>
        <w:tc>
          <w:tcPr>
            <w:tcW w:w="288" w:type="dxa"/>
            <w:tcMar>
              <w:left w:w="0" w:type="dxa"/>
              <w:right w:w="0" w:type="dxa"/>
            </w:tcMar>
          </w:tcPr>
          <w:p w:rsidR="00426FE4" w:rsidRDefault="00426FE4" w:rsidP="003E6FF6">
            <w:pPr>
              <w:keepLines/>
              <w:rPr>
                <w:sz w:val="20"/>
                <w:szCs w:val="20"/>
                <w:lang w:val="fr-CA"/>
              </w:rPr>
            </w:pPr>
          </w:p>
          <w:p w:rsidR="001F6C26" w:rsidRDefault="001F6C26" w:rsidP="003E6FF6">
            <w:pPr>
              <w:keepLines/>
              <w:rPr>
                <w:sz w:val="20"/>
                <w:szCs w:val="20"/>
                <w:lang w:val="fr-CA"/>
              </w:rPr>
            </w:pPr>
          </w:p>
          <w:p w:rsidR="001F6C26" w:rsidRDefault="001F6C26" w:rsidP="003E6FF6">
            <w:pPr>
              <w:keepLines/>
              <w:rPr>
                <w:sz w:val="20"/>
                <w:szCs w:val="20"/>
                <w:lang w:val="fr-CA"/>
              </w:rPr>
            </w:pPr>
          </w:p>
          <w:p w:rsidR="001F6C26" w:rsidRPr="00426FE4" w:rsidRDefault="001F6C26" w:rsidP="003E6FF6">
            <w:pPr>
              <w:keepLines/>
              <w:rPr>
                <w:sz w:val="20"/>
                <w:szCs w:val="20"/>
                <w:lang w:val="fr-CA"/>
              </w:rPr>
            </w:pPr>
          </w:p>
        </w:tc>
        <w:tc>
          <w:tcPr>
            <w:tcW w:w="4596" w:type="dxa"/>
            <w:tcMar>
              <w:left w:w="0" w:type="dxa"/>
              <w:right w:w="0" w:type="dxa"/>
            </w:tcMar>
          </w:tcPr>
          <w:p w:rsidR="00426FE4" w:rsidRPr="00426FE4" w:rsidRDefault="00426FE4" w:rsidP="001F6C26">
            <w:pPr>
              <w:keepLines/>
              <w:jc w:val="both"/>
              <w:rPr>
                <w:sz w:val="20"/>
                <w:szCs w:val="20"/>
                <w:lang w:val="fr-CA"/>
              </w:rPr>
            </w:pPr>
            <w:r>
              <w:rPr>
                <w:sz w:val="20"/>
                <w:lang w:val="fr-CA"/>
              </w:rPr>
              <w:t>Motifs écrits accueillant la requête de la défense en vue d’exclure des éléments de preuve et annulant les accusations contre l’accusé</w:t>
            </w:r>
          </w:p>
        </w:tc>
      </w:tr>
      <w:tr w:rsidR="00426FE4" w:rsidRPr="003B380E" w:rsidTr="001F6C26">
        <w:trPr>
          <w:cantSplit/>
        </w:trPr>
        <w:tc>
          <w:tcPr>
            <w:tcW w:w="4596" w:type="dxa"/>
            <w:tcMar>
              <w:left w:w="0" w:type="dxa"/>
              <w:right w:w="0" w:type="dxa"/>
            </w:tcMar>
          </w:tcPr>
          <w:p w:rsidR="00426FE4" w:rsidRDefault="00426FE4" w:rsidP="00426FE4">
            <w:pPr>
              <w:keepNext/>
              <w:keepLines/>
              <w:widowControl w:val="0"/>
              <w:rPr>
                <w:sz w:val="20"/>
                <w:lang w:val="fr-CA"/>
              </w:rPr>
            </w:pPr>
            <w:r>
              <w:rPr>
                <w:sz w:val="20"/>
                <w:lang w:val="fr-CA"/>
              </w:rPr>
              <w:t>18 mars 2010</w:t>
            </w:r>
          </w:p>
          <w:p w:rsidR="00426FE4" w:rsidRDefault="00426FE4" w:rsidP="00426FE4">
            <w:pPr>
              <w:keepNext/>
              <w:keepLines/>
              <w:widowControl w:val="0"/>
              <w:rPr>
                <w:sz w:val="20"/>
                <w:lang w:val="fr-CA"/>
              </w:rPr>
            </w:pPr>
            <w:r>
              <w:rPr>
                <w:sz w:val="20"/>
                <w:lang w:val="fr-CA"/>
              </w:rPr>
              <w:t>Cour d’appel de la Colombie-Britannique</w:t>
            </w:r>
          </w:p>
          <w:p w:rsidR="00426FE4" w:rsidRDefault="00426FE4" w:rsidP="00426FE4">
            <w:pPr>
              <w:keepNext/>
              <w:keepLines/>
              <w:widowControl w:val="0"/>
              <w:rPr>
                <w:sz w:val="20"/>
                <w:lang w:val="fr-CA"/>
              </w:rPr>
            </w:pPr>
            <w:r>
              <w:rPr>
                <w:sz w:val="20"/>
                <w:lang w:val="fr-CA"/>
              </w:rPr>
              <w:t xml:space="preserve">(Juges Donald, </w:t>
            </w:r>
            <w:proofErr w:type="spellStart"/>
            <w:r>
              <w:rPr>
                <w:sz w:val="20"/>
                <w:lang w:val="fr-CA"/>
              </w:rPr>
              <w:t>Kirkpatrick</w:t>
            </w:r>
            <w:proofErr w:type="spellEnd"/>
            <w:r>
              <w:rPr>
                <w:sz w:val="20"/>
                <w:lang w:val="fr-CA"/>
              </w:rPr>
              <w:t xml:space="preserve"> et </w:t>
            </w:r>
            <w:proofErr w:type="spellStart"/>
            <w:r>
              <w:rPr>
                <w:sz w:val="20"/>
                <w:lang w:val="fr-CA"/>
              </w:rPr>
              <w:t>Tysoe</w:t>
            </w:r>
            <w:proofErr w:type="spellEnd"/>
            <w:r>
              <w:rPr>
                <w:sz w:val="20"/>
                <w:lang w:val="fr-CA"/>
              </w:rPr>
              <w:t>)</w:t>
            </w:r>
          </w:p>
          <w:p w:rsidR="00426FE4" w:rsidRPr="00426FE4" w:rsidRDefault="00426FE4" w:rsidP="00426FE4">
            <w:pPr>
              <w:keepNext/>
              <w:keepLines/>
              <w:rPr>
                <w:sz w:val="20"/>
                <w:szCs w:val="20"/>
                <w:lang w:val="fr-CA"/>
              </w:rPr>
            </w:pPr>
            <w:r>
              <w:rPr>
                <w:sz w:val="20"/>
                <w:lang w:val="fr-CA"/>
              </w:rPr>
              <w:t>Référence neutre : 2010 BCCA 135</w:t>
            </w:r>
          </w:p>
        </w:tc>
        <w:tc>
          <w:tcPr>
            <w:tcW w:w="288" w:type="dxa"/>
            <w:tcMar>
              <w:left w:w="0" w:type="dxa"/>
              <w:right w:w="0" w:type="dxa"/>
            </w:tcMar>
          </w:tcPr>
          <w:p w:rsidR="00426FE4" w:rsidRDefault="00426FE4" w:rsidP="003E6FF6">
            <w:pPr>
              <w:keepLines/>
              <w:rPr>
                <w:sz w:val="20"/>
                <w:szCs w:val="20"/>
                <w:lang w:val="fr-CA"/>
              </w:rPr>
            </w:pPr>
          </w:p>
          <w:p w:rsidR="001F6C26" w:rsidRDefault="001F6C26" w:rsidP="003E6FF6">
            <w:pPr>
              <w:keepLines/>
              <w:rPr>
                <w:sz w:val="20"/>
                <w:szCs w:val="20"/>
                <w:lang w:val="fr-CA"/>
              </w:rPr>
            </w:pPr>
          </w:p>
          <w:p w:rsidR="001F6C26" w:rsidRDefault="001F6C26" w:rsidP="003E6FF6">
            <w:pPr>
              <w:keepLines/>
              <w:rPr>
                <w:sz w:val="20"/>
                <w:szCs w:val="20"/>
                <w:lang w:val="fr-CA"/>
              </w:rPr>
            </w:pPr>
          </w:p>
          <w:p w:rsidR="001F6C26" w:rsidRDefault="001F6C26" w:rsidP="003E6FF6">
            <w:pPr>
              <w:keepLines/>
              <w:rPr>
                <w:sz w:val="20"/>
                <w:szCs w:val="20"/>
                <w:lang w:val="fr-CA"/>
              </w:rPr>
            </w:pPr>
          </w:p>
          <w:p w:rsidR="001F6C26" w:rsidRPr="00426FE4" w:rsidRDefault="001F6C26" w:rsidP="003E6FF6">
            <w:pPr>
              <w:keepLines/>
              <w:rPr>
                <w:sz w:val="20"/>
                <w:szCs w:val="20"/>
                <w:lang w:val="fr-CA"/>
              </w:rPr>
            </w:pPr>
          </w:p>
        </w:tc>
        <w:tc>
          <w:tcPr>
            <w:tcW w:w="4596" w:type="dxa"/>
            <w:tcMar>
              <w:left w:w="0" w:type="dxa"/>
              <w:right w:w="0" w:type="dxa"/>
            </w:tcMar>
          </w:tcPr>
          <w:p w:rsidR="00426FE4" w:rsidRPr="00426FE4" w:rsidRDefault="00426FE4" w:rsidP="001F6C26">
            <w:pPr>
              <w:keepLines/>
              <w:jc w:val="both"/>
              <w:rPr>
                <w:sz w:val="20"/>
                <w:szCs w:val="20"/>
                <w:lang w:val="fr-CA"/>
              </w:rPr>
            </w:pPr>
            <w:r>
              <w:rPr>
                <w:sz w:val="20"/>
                <w:lang w:val="fr-CA"/>
              </w:rPr>
              <w:t>Appel de l’acquittement, accueilli, acquittement annulé et nouveau procès ordonné</w:t>
            </w:r>
          </w:p>
        </w:tc>
      </w:tr>
      <w:tr w:rsidR="00426FE4" w:rsidRPr="003B380E" w:rsidTr="001F6C26">
        <w:trPr>
          <w:cantSplit/>
        </w:trPr>
        <w:tc>
          <w:tcPr>
            <w:tcW w:w="4596" w:type="dxa"/>
            <w:tcMar>
              <w:left w:w="0" w:type="dxa"/>
              <w:right w:w="0" w:type="dxa"/>
            </w:tcMar>
          </w:tcPr>
          <w:p w:rsidR="00426FE4" w:rsidRDefault="00426FE4" w:rsidP="00426FE4">
            <w:pPr>
              <w:keepNext/>
              <w:keepLines/>
              <w:widowControl w:val="0"/>
              <w:rPr>
                <w:sz w:val="20"/>
                <w:lang w:val="fr-CA"/>
              </w:rPr>
            </w:pPr>
            <w:r>
              <w:rPr>
                <w:sz w:val="20"/>
                <w:lang w:val="fr-CA"/>
              </w:rPr>
              <w:t>15 juin 20101</w:t>
            </w:r>
          </w:p>
          <w:p w:rsidR="00426FE4" w:rsidRDefault="00426FE4" w:rsidP="00426FE4">
            <w:pPr>
              <w:keepNext/>
              <w:keepLines/>
              <w:widowControl w:val="0"/>
              <w:rPr>
                <w:sz w:val="20"/>
                <w:lang w:val="fr-CA"/>
              </w:rPr>
            </w:pPr>
            <w:r>
              <w:rPr>
                <w:sz w:val="20"/>
                <w:lang w:val="fr-CA"/>
              </w:rPr>
              <w:t>Cour suprême du Canada</w:t>
            </w:r>
          </w:p>
          <w:p w:rsidR="00426FE4" w:rsidRPr="00426FE4" w:rsidRDefault="00426FE4" w:rsidP="003E6FF6">
            <w:pPr>
              <w:keepNext/>
              <w:keepLines/>
              <w:rPr>
                <w:sz w:val="20"/>
                <w:szCs w:val="20"/>
                <w:lang w:val="fr-CA"/>
              </w:rPr>
            </w:pPr>
          </w:p>
        </w:tc>
        <w:tc>
          <w:tcPr>
            <w:tcW w:w="288" w:type="dxa"/>
            <w:tcMar>
              <w:left w:w="0" w:type="dxa"/>
              <w:right w:w="0" w:type="dxa"/>
            </w:tcMar>
          </w:tcPr>
          <w:p w:rsidR="00426FE4" w:rsidRDefault="00426FE4" w:rsidP="003E6FF6">
            <w:pPr>
              <w:keepLines/>
              <w:rPr>
                <w:sz w:val="20"/>
                <w:szCs w:val="20"/>
                <w:lang w:val="fr-CA"/>
              </w:rPr>
            </w:pPr>
          </w:p>
          <w:p w:rsidR="001F6C26" w:rsidRDefault="001F6C26" w:rsidP="003E6FF6">
            <w:pPr>
              <w:keepLines/>
              <w:rPr>
                <w:sz w:val="20"/>
                <w:szCs w:val="20"/>
                <w:lang w:val="fr-CA"/>
              </w:rPr>
            </w:pPr>
          </w:p>
          <w:p w:rsidR="001F6C26" w:rsidRDefault="001F6C26" w:rsidP="003E6FF6">
            <w:pPr>
              <w:keepLines/>
              <w:rPr>
                <w:sz w:val="20"/>
                <w:szCs w:val="20"/>
                <w:lang w:val="fr-CA"/>
              </w:rPr>
            </w:pPr>
          </w:p>
          <w:p w:rsidR="001F6C26" w:rsidRPr="00426FE4" w:rsidRDefault="001F6C26" w:rsidP="003E6FF6">
            <w:pPr>
              <w:keepLines/>
              <w:rPr>
                <w:sz w:val="20"/>
                <w:szCs w:val="20"/>
                <w:lang w:val="fr-CA"/>
              </w:rPr>
            </w:pPr>
          </w:p>
        </w:tc>
        <w:tc>
          <w:tcPr>
            <w:tcW w:w="4596" w:type="dxa"/>
            <w:tcMar>
              <w:left w:w="0" w:type="dxa"/>
              <w:right w:w="0" w:type="dxa"/>
            </w:tcMar>
          </w:tcPr>
          <w:p w:rsidR="00426FE4" w:rsidRPr="00426FE4" w:rsidRDefault="001F6C26" w:rsidP="001F6C26">
            <w:pPr>
              <w:keepLines/>
              <w:jc w:val="both"/>
              <w:rPr>
                <w:sz w:val="20"/>
                <w:szCs w:val="20"/>
                <w:lang w:val="fr-CA"/>
              </w:rPr>
            </w:pPr>
            <w:r>
              <w:rPr>
                <w:sz w:val="20"/>
                <w:lang w:val="fr-CA"/>
              </w:rPr>
              <w:t>Demande d’autorisation d’appel et requête en prorogation du délai de dépôt et de signification de la demande d’autorisation, déposées</w:t>
            </w:r>
          </w:p>
        </w:tc>
      </w:tr>
      <w:tr w:rsidR="00426FE4" w:rsidRPr="003B380E" w:rsidTr="001F6C26">
        <w:trPr>
          <w:cantSplit/>
        </w:trPr>
        <w:tc>
          <w:tcPr>
            <w:tcW w:w="4596" w:type="dxa"/>
            <w:tcMar>
              <w:left w:w="0" w:type="dxa"/>
              <w:right w:w="0" w:type="dxa"/>
            </w:tcMar>
          </w:tcPr>
          <w:p w:rsidR="001F6C26" w:rsidRDefault="001F6C26" w:rsidP="001F6C26">
            <w:pPr>
              <w:keepNext/>
              <w:keepLines/>
              <w:widowControl w:val="0"/>
              <w:rPr>
                <w:sz w:val="20"/>
                <w:lang w:val="fr-CA"/>
              </w:rPr>
            </w:pPr>
            <w:r>
              <w:rPr>
                <w:sz w:val="20"/>
                <w:lang w:val="fr-CA"/>
              </w:rPr>
              <w:t>23 août 2010</w:t>
            </w:r>
          </w:p>
          <w:p w:rsidR="001F6C26" w:rsidRDefault="001F6C26" w:rsidP="001F6C26">
            <w:pPr>
              <w:keepNext/>
              <w:keepLines/>
              <w:widowControl w:val="0"/>
              <w:rPr>
                <w:sz w:val="20"/>
                <w:lang w:val="fr-CA"/>
              </w:rPr>
            </w:pPr>
            <w:r>
              <w:rPr>
                <w:sz w:val="20"/>
                <w:lang w:val="fr-CA"/>
              </w:rPr>
              <w:t>Cour suprême du Canada</w:t>
            </w:r>
          </w:p>
          <w:p w:rsidR="00426FE4" w:rsidRPr="00426FE4" w:rsidRDefault="00426FE4" w:rsidP="003E6FF6">
            <w:pPr>
              <w:keepNext/>
              <w:keepLines/>
              <w:rPr>
                <w:sz w:val="20"/>
                <w:szCs w:val="20"/>
                <w:lang w:val="fr-CA"/>
              </w:rPr>
            </w:pPr>
          </w:p>
        </w:tc>
        <w:tc>
          <w:tcPr>
            <w:tcW w:w="288" w:type="dxa"/>
            <w:tcMar>
              <w:left w:w="0" w:type="dxa"/>
              <w:right w:w="0" w:type="dxa"/>
            </w:tcMar>
          </w:tcPr>
          <w:p w:rsidR="00426FE4" w:rsidRPr="00426FE4" w:rsidRDefault="00426FE4" w:rsidP="003E6FF6">
            <w:pPr>
              <w:keepLines/>
              <w:rPr>
                <w:sz w:val="20"/>
                <w:szCs w:val="20"/>
                <w:lang w:val="fr-CA"/>
              </w:rPr>
            </w:pPr>
          </w:p>
        </w:tc>
        <w:tc>
          <w:tcPr>
            <w:tcW w:w="4596" w:type="dxa"/>
            <w:tcMar>
              <w:left w:w="0" w:type="dxa"/>
              <w:right w:w="0" w:type="dxa"/>
            </w:tcMar>
          </w:tcPr>
          <w:p w:rsidR="00426FE4" w:rsidRPr="00426FE4" w:rsidRDefault="001F6C26" w:rsidP="001F6C26">
            <w:pPr>
              <w:keepLines/>
              <w:jc w:val="both"/>
              <w:rPr>
                <w:sz w:val="20"/>
                <w:szCs w:val="20"/>
                <w:lang w:val="fr-CA"/>
              </w:rPr>
            </w:pPr>
            <w:r>
              <w:rPr>
                <w:sz w:val="20"/>
                <w:lang w:val="fr-CA"/>
              </w:rPr>
              <w:t>Requête en prorogation du délai de dépôt d’un affidavit au soutien de la requête en prorogation du délai de dépôt de la demande d’autorisation</w:t>
            </w:r>
          </w:p>
        </w:tc>
      </w:tr>
    </w:tbl>
    <w:p w:rsidR="00426FE4" w:rsidRDefault="00426FE4" w:rsidP="003E5C2C">
      <w:pPr>
        <w:widowControl w:val="0"/>
        <w:rPr>
          <w:sz w:val="20"/>
          <w:lang w:val="fr-CA"/>
        </w:rPr>
      </w:pPr>
    </w:p>
    <w:p w:rsidR="0044776A" w:rsidRPr="00C50A5C" w:rsidRDefault="003E770A" w:rsidP="0044776A">
      <w:pPr>
        <w:rPr>
          <w:sz w:val="20"/>
          <w:szCs w:val="20"/>
        </w:rPr>
      </w:pPr>
      <w:r w:rsidRPr="003E770A">
        <w:rPr>
          <w:sz w:val="20"/>
          <w:szCs w:val="20"/>
        </w:rPr>
        <w:pict>
          <v:rect id="_x0000_i1038" style="width:2in;height:1pt" o:hrpct="0" o:hralign="center" o:hrstd="t" o:hrnoshade="t" o:hr="t" fillcolor="black [3213]" stroked="f"/>
        </w:pict>
      </w: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B380E"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D2D4D" w:rsidP="008D292F">
      <w:pPr>
        <w:rPr>
          <w:b/>
          <w:sz w:val="20"/>
          <w:szCs w:val="20"/>
        </w:rPr>
      </w:pPr>
      <w:r>
        <w:rPr>
          <w:b/>
          <w:sz w:val="20"/>
          <w:szCs w:val="20"/>
        </w:rPr>
        <w:t>NOVEMBER 18</w:t>
      </w:r>
      <w:r w:rsidR="008D292F" w:rsidRPr="00C50A5C">
        <w:rPr>
          <w:b/>
          <w:sz w:val="20"/>
          <w:szCs w:val="20"/>
        </w:rPr>
        <w:t xml:space="preserve">, 2010 / LE </w:t>
      </w:r>
      <w:r>
        <w:rPr>
          <w:b/>
          <w:sz w:val="20"/>
          <w:szCs w:val="20"/>
        </w:rPr>
        <w:t>18 NOVEMBRE</w:t>
      </w:r>
      <w:r w:rsidR="008D292F" w:rsidRPr="00C50A5C">
        <w:rPr>
          <w:b/>
          <w:sz w:val="20"/>
          <w:szCs w:val="20"/>
        </w:rPr>
        <w:t xml:space="preserve"> 2010</w:t>
      </w:r>
    </w:p>
    <w:p w:rsidR="008D292F" w:rsidRDefault="008D292F" w:rsidP="008D292F">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1157" w:rsidRPr="00331157" w:rsidTr="00331157">
        <w:trPr>
          <w:cantSplit/>
        </w:trPr>
        <w:tc>
          <w:tcPr>
            <w:tcW w:w="1458" w:type="dxa"/>
          </w:tcPr>
          <w:p w:rsidR="00331157" w:rsidRPr="00331157" w:rsidRDefault="00331157" w:rsidP="00331157">
            <w:pPr>
              <w:rPr>
                <w:sz w:val="20"/>
                <w:szCs w:val="20"/>
              </w:rPr>
            </w:pPr>
            <w:r w:rsidRPr="00331157">
              <w:rPr>
                <w:rStyle w:val="SCCFileNumberChar"/>
                <w:sz w:val="20"/>
                <w:szCs w:val="20"/>
              </w:rPr>
              <w:t>33397</w:t>
            </w:r>
          </w:p>
          <w:p w:rsidR="00331157" w:rsidRPr="00331157" w:rsidRDefault="00331157" w:rsidP="00331157">
            <w:pPr>
              <w:rPr>
                <w:b/>
                <w:sz w:val="20"/>
                <w:szCs w:val="20"/>
                <w:lang w:val="fr-CA"/>
              </w:rPr>
            </w:pPr>
          </w:p>
        </w:tc>
        <w:tc>
          <w:tcPr>
            <w:tcW w:w="8118" w:type="dxa"/>
          </w:tcPr>
          <w:p w:rsidR="00331157" w:rsidRPr="00331157" w:rsidRDefault="00331157" w:rsidP="00331157">
            <w:pPr>
              <w:rPr>
                <w:sz w:val="20"/>
                <w:szCs w:val="20"/>
              </w:rPr>
            </w:pPr>
            <w:r w:rsidRPr="00331157">
              <w:rPr>
                <w:rStyle w:val="SCCLsocChar"/>
                <w:sz w:val="20"/>
                <w:szCs w:val="20"/>
                <w:lang w:val="en-CA"/>
              </w:rPr>
              <w:t>Walter Raymond Anderson v. Her Majesty the Queen</w:t>
            </w:r>
            <w:r w:rsidRPr="00331157">
              <w:rPr>
                <w:sz w:val="20"/>
                <w:szCs w:val="20"/>
              </w:rPr>
              <w:t xml:space="preserve"> (Alta.) (Criminal) (By Leave)</w:t>
            </w:r>
          </w:p>
          <w:p w:rsidR="00331157" w:rsidRPr="00331157" w:rsidRDefault="00331157" w:rsidP="00331157">
            <w:pPr>
              <w:rPr>
                <w:sz w:val="20"/>
                <w:szCs w:val="20"/>
              </w:rPr>
            </w:pPr>
          </w:p>
        </w:tc>
      </w:tr>
      <w:tr w:rsidR="00331157" w:rsidRPr="00331157" w:rsidTr="00331157">
        <w:trPr>
          <w:cantSplit/>
        </w:trPr>
        <w:tc>
          <w:tcPr>
            <w:tcW w:w="1458" w:type="dxa"/>
          </w:tcPr>
          <w:p w:rsidR="00331157" w:rsidRPr="00331157" w:rsidRDefault="00331157" w:rsidP="00331157">
            <w:pPr>
              <w:rPr>
                <w:sz w:val="20"/>
                <w:szCs w:val="20"/>
              </w:rPr>
            </w:pPr>
            <w:r w:rsidRPr="00331157">
              <w:rPr>
                <w:sz w:val="20"/>
                <w:szCs w:val="20"/>
              </w:rPr>
              <w:t>Coram :</w:t>
            </w:r>
          </w:p>
        </w:tc>
        <w:tc>
          <w:tcPr>
            <w:tcW w:w="8118" w:type="dxa"/>
          </w:tcPr>
          <w:p w:rsidR="00331157" w:rsidRDefault="00331157" w:rsidP="00331157">
            <w:pPr>
              <w:rPr>
                <w:rStyle w:val="SCCCoramChar"/>
                <w:sz w:val="20"/>
                <w:szCs w:val="20"/>
                <w:lang w:val="en-CA"/>
              </w:rPr>
            </w:pPr>
            <w:proofErr w:type="spellStart"/>
            <w:r w:rsidRPr="00331157">
              <w:rPr>
                <w:rStyle w:val="SCCCoramChar"/>
                <w:sz w:val="20"/>
                <w:szCs w:val="20"/>
                <w:lang w:val="en-CA"/>
              </w:rPr>
              <w:t>McLachlin</w:t>
            </w:r>
            <w:proofErr w:type="spellEnd"/>
            <w:r w:rsidRPr="00331157">
              <w:rPr>
                <w:rStyle w:val="SCCCoramChar"/>
                <w:sz w:val="20"/>
                <w:szCs w:val="20"/>
                <w:lang w:val="en-CA"/>
              </w:rPr>
              <w:t xml:space="preserve"> C.J. and </w:t>
            </w:r>
            <w:proofErr w:type="spellStart"/>
            <w:r w:rsidRPr="00331157">
              <w:rPr>
                <w:rStyle w:val="SCCCoramChar"/>
                <w:sz w:val="20"/>
                <w:szCs w:val="20"/>
                <w:lang w:val="en-CA"/>
              </w:rPr>
              <w:t>Abella</w:t>
            </w:r>
            <w:proofErr w:type="spellEnd"/>
            <w:r w:rsidRPr="00331157">
              <w:rPr>
                <w:rStyle w:val="SCCCoramChar"/>
                <w:sz w:val="20"/>
                <w:szCs w:val="20"/>
                <w:lang w:val="en-CA"/>
              </w:rPr>
              <w:t xml:space="preserve"> and Rothstein JJ.</w:t>
            </w:r>
          </w:p>
          <w:p w:rsidR="00331157" w:rsidRPr="00331157" w:rsidRDefault="00331157" w:rsidP="00331157">
            <w:pPr>
              <w:rPr>
                <w:sz w:val="20"/>
                <w:szCs w:val="20"/>
              </w:rPr>
            </w:pPr>
          </w:p>
        </w:tc>
      </w:tr>
      <w:tr w:rsidR="00331157" w:rsidRPr="003B380E" w:rsidTr="00331157">
        <w:trPr>
          <w:cantSplit/>
        </w:trPr>
        <w:tc>
          <w:tcPr>
            <w:tcW w:w="9576" w:type="dxa"/>
            <w:gridSpan w:val="2"/>
          </w:tcPr>
          <w:p w:rsidR="00331157" w:rsidRPr="00331157" w:rsidRDefault="00331157" w:rsidP="00331157">
            <w:pPr>
              <w:jc w:val="both"/>
              <w:rPr>
                <w:sz w:val="20"/>
                <w:szCs w:val="20"/>
              </w:rPr>
            </w:pPr>
            <w:r>
              <w:rPr>
                <w:sz w:val="20"/>
                <w:szCs w:val="20"/>
              </w:rPr>
              <w:tab/>
            </w:r>
            <w:r w:rsidRPr="00331157">
              <w:rPr>
                <w:sz w:val="20"/>
                <w:szCs w:val="20"/>
              </w:rPr>
              <w:t>The motion for an extension of time to serve and file the application for leave to appeal is granted.  The application for leave to appeal from the judgment of the Court of Appeal of Alberta (Calgary), Number 0701-0130-A, 2009 ABCA 67, dated February 27, 2009, is dismissed without costs.</w:t>
            </w:r>
          </w:p>
          <w:p w:rsidR="00331157" w:rsidRPr="00331157" w:rsidRDefault="00331157" w:rsidP="00331157">
            <w:pPr>
              <w:jc w:val="both"/>
              <w:rPr>
                <w:sz w:val="20"/>
                <w:szCs w:val="20"/>
              </w:rPr>
            </w:pPr>
          </w:p>
          <w:p w:rsidR="00331157" w:rsidRPr="00331157" w:rsidRDefault="00331157" w:rsidP="009460E4">
            <w:pPr>
              <w:jc w:val="both"/>
              <w:rPr>
                <w:sz w:val="20"/>
                <w:szCs w:val="20"/>
                <w:lang w:val="fr-CA"/>
              </w:rPr>
            </w:pPr>
            <w:r w:rsidRPr="00052196">
              <w:rPr>
                <w:sz w:val="20"/>
                <w:szCs w:val="20"/>
              </w:rPr>
              <w:tab/>
            </w:r>
            <w:r w:rsidRPr="00331157">
              <w:rPr>
                <w:sz w:val="20"/>
                <w:szCs w:val="20"/>
                <w:lang w:val="fr-CA"/>
              </w:rPr>
              <w:t>La requête en prorogation du délai de signification et de dépôt de la demande d’autorisation d’appel est accordée. La demande d’autorisation d’appel de l’arrêt de la Cour d'appel de l’Alberta (Calgary), numéro 0701-0130-A, 2009 ABCA 67, daté du 27 février 2009, est rejetée sans dépens.</w:t>
            </w:r>
          </w:p>
        </w:tc>
      </w:tr>
    </w:tbl>
    <w:p w:rsidR="00331157" w:rsidRPr="00C50A5C" w:rsidRDefault="00331157" w:rsidP="00AD2D4D">
      <w:pPr>
        <w:rPr>
          <w:b/>
          <w:sz w:val="20"/>
          <w:szCs w:val="20"/>
          <w:lang w:val="fr-CA"/>
        </w:rPr>
      </w:pPr>
    </w:p>
    <w:p w:rsidR="00AD2D4D" w:rsidRPr="00C50A5C" w:rsidRDefault="00AD2D4D" w:rsidP="00AD2D4D">
      <w:pPr>
        <w:keepNext/>
        <w:rPr>
          <w:sz w:val="20"/>
          <w:szCs w:val="20"/>
        </w:rPr>
      </w:pPr>
      <w:r w:rsidRPr="00C50A5C">
        <w:rPr>
          <w:sz w:val="20"/>
          <w:szCs w:val="20"/>
          <w:u w:val="single"/>
        </w:rPr>
        <w:t>CASE SUMMARY</w:t>
      </w:r>
    </w:p>
    <w:p w:rsidR="00AD2D4D" w:rsidRDefault="00AD2D4D" w:rsidP="00AD2D4D">
      <w:pPr>
        <w:keepNext/>
        <w:rPr>
          <w:sz w:val="20"/>
          <w:szCs w:val="20"/>
        </w:rPr>
      </w:pPr>
    </w:p>
    <w:p w:rsidR="00052196" w:rsidRDefault="00052196" w:rsidP="00052196">
      <w:pPr>
        <w:widowControl w:val="0"/>
        <w:jc w:val="both"/>
        <w:rPr>
          <w:sz w:val="20"/>
        </w:rPr>
      </w:pPr>
      <w:r>
        <w:rPr>
          <w:sz w:val="20"/>
        </w:rPr>
        <w:t xml:space="preserve">Charter of Rights - Right to counsel - Criminal law - Evidence - Procedure - Rebuttal evidence - Whether right to counsel under s. 10(b) of the </w:t>
      </w:r>
      <w:r>
        <w:rPr>
          <w:i/>
          <w:sz w:val="20"/>
        </w:rPr>
        <w:t xml:space="preserve">Charter </w:t>
      </w:r>
      <w:r>
        <w:rPr>
          <w:sz w:val="20"/>
        </w:rPr>
        <w:t xml:space="preserve">requires police to hold off on eliciting evidence from a detainee who exercises his right to counsel prior to the interrogation and who makes a further request to contact counsel during the interrogation - Whether rebuttal evidence led by the Crown at trial was prejudicial and whether the curative proviso in s. 686(1)(b)(iii) of the </w:t>
      </w:r>
      <w:r>
        <w:rPr>
          <w:i/>
          <w:sz w:val="20"/>
        </w:rPr>
        <w:t xml:space="preserve">Criminal Code </w:t>
      </w:r>
      <w:r>
        <w:rPr>
          <w:sz w:val="20"/>
        </w:rPr>
        <w:t xml:space="preserve">should have been applied on appeal to uphold a conviction - </w:t>
      </w:r>
      <w:r>
        <w:rPr>
          <w:i/>
          <w:sz w:val="20"/>
        </w:rPr>
        <w:t xml:space="preserve">Canadian Charter of Rights </w:t>
      </w:r>
      <w:proofErr w:type="spellStart"/>
      <w:r>
        <w:rPr>
          <w:i/>
          <w:sz w:val="20"/>
        </w:rPr>
        <w:t>anf</w:t>
      </w:r>
      <w:proofErr w:type="spellEnd"/>
      <w:r>
        <w:rPr>
          <w:i/>
          <w:sz w:val="20"/>
        </w:rPr>
        <w:t xml:space="preserve"> Freedoms</w:t>
      </w:r>
      <w:r>
        <w:rPr>
          <w:sz w:val="20"/>
        </w:rPr>
        <w:t>, s. 10(b).</w:t>
      </w:r>
    </w:p>
    <w:p w:rsidR="00052196" w:rsidRDefault="00052196" w:rsidP="00052196">
      <w:pPr>
        <w:widowControl w:val="0"/>
        <w:jc w:val="both"/>
        <w:rPr>
          <w:sz w:val="20"/>
        </w:rPr>
      </w:pPr>
    </w:p>
    <w:p w:rsidR="00052196" w:rsidRDefault="00052196" w:rsidP="00052196">
      <w:pPr>
        <w:widowControl w:val="0"/>
        <w:jc w:val="both"/>
        <w:rPr>
          <w:sz w:val="20"/>
        </w:rPr>
      </w:pPr>
      <w:r>
        <w:rPr>
          <w:sz w:val="20"/>
        </w:rPr>
        <w:t xml:space="preserve">Following the murder of a hotel janitor during a robbery, the police conducted a lengthy, undercover sting operation targeting the Applicant.  The Applicant made incriminating statements to undercover officers, including details of the murder and </w:t>
      </w:r>
      <w:proofErr w:type="gramStart"/>
      <w:r>
        <w:rPr>
          <w:sz w:val="20"/>
        </w:rPr>
        <w:t>robbery that the police testified at trial had been held back and were</w:t>
      </w:r>
      <w:proofErr w:type="gramEnd"/>
      <w:r>
        <w:rPr>
          <w:sz w:val="20"/>
        </w:rPr>
        <w:t xml:space="preserve"> unknown to the undercover officers.  The Applicant was arrested and charged with first degree murder.  The Applicant was read his </w:t>
      </w:r>
      <w:r>
        <w:rPr>
          <w:i/>
          <w:sz w:val="20"/>
        </w:rPr>
        <w:t>Charter</w:t>
      </w:r>
      <w:r>
        <w:rPr>
          <w:sz w:val="20"/>
        </w:rPr>
        <w:t xml:space="preserve"> rights upon arrest and instructed on his rights to counsel and silence.  He spoke to duty counsel by phone.  He was interviewed over 1.5 hours later.  His </w:t>
      </w:r>
      <w:r>
        <w:rPr>
          <w:i/>
          <w:sz w:val="20"/>
        </w:rPr>
        <w:t xml:space="preserve">Charter </w:t>
      </w:r>
      <w:r>
        <w:rPr>
          <w:sz w:val="20"/>
        </w:rPr>
        <w:t xml:space="preserve">rights were not read to him again before the interview.  At the interrogation, the Applicant asked to speak to a lawyer and stated he did not want to say anything.  The interview proceeded after some discussion concerning his contact with duty counsel.  The Applicant made incriminating statements. The trial judge admitted the statements to the undercover officers and to the interrogating officer into evidence.  The Applicant argued at trial that he had been set up.  He argued that the undercover officers told him the details of the robbery and murder, including the details that the police claimed had been held back.  He testified that his statements were false and that he was not involved in the murder.  The Crown was allowed to lead rebuttal evidence in the form of two police officers asserting the effectiveness of the hold-back protocol. </w:t>
      </w:r>
    </w:p>
    <w:p w:rsidR="00052196" w:rsidRDefault="00052196" w:rsidP="00052196">
      <w:pPr>
        <w:widowControl w:val="0"/>
        <w:jc w:val="both"/>
        <w:rPr>
          <w:sz w:val="20"/>
        </w:rPr>
      </w:pPr>
    </w:p>
    <w:tbl>
      <w:tblPr>
        <w:tblW w:w="0" w:type="auto"/>
        <w:tblLayout w:type="fixed"/>
        <w:tblCellMar>
          <w:left w:w="0" w:type="dxa"/>
          <w:right w:w="0" w:type="dxa"/>
        </w:tblCellMar>
        <w:tblLook w:val="0000"/>
      </w:tblPr>
      <w:tblGrid>
        <w:gridCol w:w="4596"/>
        <w:gridCol w:w="288"/>
        <w:gridCol w:w="4596"/>
      </w:tblGrid>
      <w:tr w:rsidR="00AD2D4D" w:rsidRPr="00C50A5C" w:rsidTr="00AD2D4D">
        <w:trPr>
          <w:cantSplit/>
        </w:trPr>
        <w:tc>
          <w:tcPr>
            <w:tcW w:w="4596" w:type="dxa"/>
            <w:tcMar>
              <w:left w:w="0" w:type="dxa"/>
              <w:right w:w="0" w:type="dxa"/>
            </w:tcMar>
          </w:tcPr>
          <w:p w:rsidR="00052196" w:rsidRDefault="00052196" w:rsidP="00052196">
            <w:pPr>
              <w:keepNext/>
              <w:keepLines/>
              <w:widowControl w:val="0"/>
              <w:jc w:val="both"/>
              <w:rPr>
                <w:sz w:val="20"/>
              </w:rPr>
            </w:pPr>
            <w:r>
              <w:rPr>
                <w:sz w:val="20"/>
              </w:rPr>
              <w:t>February 7, 2007</w:t>
            </w:r>
          </w:p>
          <w:p w:rsidR="00052196" w:rsidRDefault="00052196" w:rsidP="00052196">
            <w:pPr>
              <w:keepNext/>
              <w:keepLines/>
              <w:widowControl w:val="0"/>
              <w:jc w:val="both"/>
              <w:rPr>
                <w:sz w:val="20"/>
              </w:rPr>
            </w:pPr>
            <w:r>
              <w:rPr>
                <w:sz w:val="20"/>
              </w:rPr>
              <w:t>Court of Queen’s Bench of Alberta</w:t>
            </w:r>
          </w:p>
          <w:p w:rsidR="00AD2D4D" w:rsidRPr="00C50A5C" w:rsidRDefault="00052196" w:rsidP="00052196">
            <w:pPr>
              <w:keepNext/>
              <w:keepLines/>
              <w:rPr>
                <w:sz w:val="20"/>
                <w:szCs w:val="20"/>
              </w:rPr>
            </w:pPr>
            <w:r>
              <w:rPr>
                <w:sz w:val="20"/>
              </w:rPr>
              <w:t>(</w:t>
            </w:r>
            <w:proofErr w:type="spellStart"/>
            <w:r>
              <w:rPr>
                <w:sz w:val="20"/>
              </w:rPr>
              <w:t>Belzil</w:t>
            </w:r>
            <w:proofErr w:type="spellEnd"/>
            <w:r>
              <w:rPr>
                <w:sz w:val="20"/>
              </w:rPr>
              <w:t xml:space="preserve"> J.)</w:t>
            </w:r>
          </w:p>
        </w:tc>
        <w:tc>
          <w:tcPr>
            <w:tcW w:w="288" w:type="dxa"/>
            <w:tcMar>
              <w:left w:w="0" w:type="dxa"/>
              <w:right w:w="0" w:type="dxa"/>
            </w:tcMar>
          </w:tcPr>
          <w:p w:rsidR="00AD2D4D" w:rsidRDefault="00AD2D4D" w:rsidP="00AD2D4D">
            <w:pPr>
              <w:keepLines/>
              <w:rPr>
                <w:sz w:val="20"/>
                <w:szCs w:val="20"/>
              </w:rPr>
            </w:pPr>
          </w:p>
          <w:p w:rsidR="00052196" w:rsidRDefault="00052196" w:rsidP="00AD2D4D">
            <w:pPr>
              <w:keepLines/>
              <w:rPr>
                <w:sz w:val="20"/>
                <w:szCs w:val="20"/>
              </w:rPr>
            </w:pPr>
          </w:p>
          <w:p w:rsidR="00052196" w:rsidRDefault="00052196" w:rsidP="00AD2D4D">
            <w:pPr>
              <w:keepLines/>
              <w:rPr>
                <w:sz w:val="20"/>
                <w:szCs w:val="20"/>
              </w:rPr>
            </w:pPr>
          </w:p>
          <w:p w:rsidR="00052196" w:rsidRPr="00C50A5C" w:rsidRDefault="00052196" w:rsidP="00AD2D4D">
            <w:pPr>
              <w:keepLines/>
              <w:rPr>
                <w:sz w:val="20"/>
                <w:szCs w:val="20"/>
              </w:rPr>
            </w:pPr>
          </w:p>
        </w:tc>
        <w:tc>
          <w:tcPr>
            <w:tcW w:w="4596" w:type="dxa"/>
            <w:tcMar>
              <w:left w:w="0" w:type="dxa"/>
              <w:right w:w="0" w:type="dxa"/>
            </w:tcMar>
          </w:tcPr>
          <w:p w:rsidR="00AD2D4D" w:rsidRPr="00C50A5C" w:rsidRDefault="00052196" w:rsidP="00AD2D4D">
            <w:pPr>
              <w:keepLines/>
              <w:rPr>
                <w:sz w:val="20"/>
                <w:szCs w:val="20"/>
              </w:rPr>
            </w:pPr>
            <w:r>
              <w:rPr>
                <w:sz w:val="20"/>
              </w:rPr>
              <w:t>Conviction by jury of second degree murder</w:t>
            </w:r>
          </w:p>
        </w:tc>
      </w:tr>
      <w:tr w:rsidR="00AD2D4D" w:rsidRPr="00C50A5C" w:rsidTr="00AD2D4D">
        <w:trPr>
          <w:cantSplit/>
        </w:trPr>
        <w:tc>
          <w:tcPr>
            <w:tcW w:w="4596" w:type="dxa"/>
            <w:tcMar>
              <w:left w:w="0" w:type="dxa"/>
              <w:right w:w="0" w:type="dxa"/>
            </w:tcMar>
          </w:tcPr>
          <w:p w:rsidR="00052196" w:rsidRDefault="00052196" w:rsidP="00052196">
            <w:pPr>
              <w:keepNext/>
              <w:keepLines/>
              <w:widowControl w:val="0"/>
              <w:rPr>
                <w:sz w:val="20"/>
              </w:rPr>
            </w:pPr>
            <w:r>
              <w:rPr>
                <w:sz w:val="20"/>
              </w:rPr>
              <w:t>February 27, 2009</w:t>
            </w:r>
          </w:p>
          <w:p w:rsidR="00052196" w:rsidRDefault="00052196" w:rsidP="00052196">
            <w:pPr>
              <w:keepNext/>
              <w:keepLines/>
              <w:widowControl w:val="0"/>
              <w:rPr>
                <w:sz w:val="20"/>
              </w:rPr>
            </w:pPr>
            <w:r>
              <w:rPr>
                <w:sz w:val="20"/>
              </w:rPr>
              <w:t>Court of Appeal of Alberta (Calgary)</w:t>
            </w:r>
          </w:p>
          <w:p w:rsidR="00052196" w:rsidRDefault="00052196" w:rsidP="00052196">
            <w:pPr>
              <w:keepNext/>
              <w:keepLines/>
              <w:widowControl w:val="0"/>
              <w:rPr>
                <w:sz w:val="20"/>
              </w:rPr>
            </w:pPr>
            <w:r>
              <w:rPr>
                <w:sz w:val="20"/>
              </w:rPr>
              <w:t>(</w:t>
            </w:r>
            <w:proofErr w:type="spellStart"/>
            <w:r>
              <w:rPr>
                <w:sz w:val="20"/>
              </w:rPr>
              <w:t>Paperny</w:t>
            </w:r>
            <w:proofErr w:type="spellEnd"/>
            <w:r>
              <w:rPr>
                <w:sz w:val="20"/>
              </w:rPr>
              <w:t>, Watson and Phillips JJ.A.)</w:t>
            </w:r>
          </w:p>
          <w:p w:rsidR="00AD2D4D" w:rsidRPr="00C50A5C" w:rsidRDefault="00052196" w:rsidP="00052196">
            <w:pPr>
              <w:keepNext/>
              <w:keepLines/>
              <w:rPr>
                <w:sz w:val="20"/>
                <w:szCs w:val="20"/>
              </w:rPr>
            </w:pPr>
            <w:r>
              <w:rPr>
                <w:sz w:val="20"/>
              </w:rPr>
              <w:t>Neutral citation: 2009 ABCA 67</w:t>
            </w:r>
          </w:p>
        </w:tc>
        <w:tc>
          <w:tcPr>
            <w:tcW w:w="288" w:type="dxa"/>
            <w:tcMar>
              <w:left w:w="0" w:type="dxa"/>
              <w:right w:w="0" w:type="dxa"/>
            </w:tcMar>
          </w:tcPr>
          <w:p w:rsidR="00AD2D4D" w:rsidRDefault="00AD2D4D" w:rsidP="00AD2D4D">
            <w:pPr>
              <w:keepLines/>
              <w:rPr>
                <w:sz w:val="20"/>
                <w:szCs w:val="20"/>
              </w:rPr>
            </w:pPr>
          </w:p>
          <w:p w:rsidR="00052196" w:rsidRDefault="00052196" w:rsidP="00AD2D4D">
            <w:pPr>
              <w:keepLines/>
              <w:rPr>
                <w:sz w:val="20"/>
                <w:szCs w:val="20"/>
              </w:rPr>
            </w:pPr>
          </w:p>
          <w:p w:rsidR="00052196" w:rsidRDefault="00052196" w:rsidP="00AD2D4D">
            <w:pPr>
              <w:keepLines/>
              <w:rPr>
                <w:sz w:val="20"/>
                <w:szCs w:val="20"/>
              </w:rPr>
            </w:pPr>
          </w:p>
          <w:p w:rsidR="00052196" w:rsidRDefault="00052196" w:rsidP="00AD2D4D">
            <w:pPr>
              <w:keepLines/>
              <w:rPr>
                <w:sz w:val="20"/>
                <w:szCs w:val="20"/>
              </w:rPr>
            </w:pPr>
          </w:p>
          <w:p w:rsidR="00052196" w:rsidRPr="00C50A5C" w:rsidRDefault="00052196" w:rsidP="00AD2D4D">
            <w:pPr>
              <w:keepLines/>
              <w:rPr>
                <w:sz w:val="20"/>
                <w:szCs w:val="20"/>
              </w:rPr>
            </w:pPr>
          </w:p>
        </w:tc>
        <w:tc>
          <w:tcPr>
            <w:tcW w:w="4596" w:type="dxa"/>
            <w:tcMar>
              <w:left w:w="0" w:type="dxa"/>
              <w:right w:w="0" w:type="dxa"/>
            </w:tcMar>
          </w:tcPr>
          <w:p w:rsidR="00AD2D4D" w:rsidRPr="00C50A5C" w:rsidRDefault="00052196" w:rsidP="00AD2D4D">
            <w:pPr>
              <w:keepLines/>
              <w:rPr>
                <w:sz w:val="20"/>
                <w:szCs w:val="20"/>
              </w:rPr>
            </w:pPr>
            <w:r>
              <w:rPr>
                <w:sz w:val="20"/>
              </w:rPr>
              <w:t>Appeal dismissed</w:t>
            </w:r>
          </w:p>
        </w:tc>
      </w:tr>
      <w:tr w:rsidR="00AD2D4D" w:rsidRPr="00C50A5C" w:rsidTr="00AD2D4D">
        <w:trPr>
          <w:cantSplit/>
        </w:trPr>
        <w:tc>
          <w:tcPr>
            <w:tcW w:w="4596" w:type="dxa"/>
            <w:tcMar>
              <w:left w:w="0" w:type="dxa"/>
              <w:right w:w="0" w:type="dxa"/>
            </w:tcMar>
          </w:tcPr>
          <w:p w:rsidR="00052196" w:rsidRDefault="00052196" w:rsidP="00052196">
            <w:pPr>
              <w:keepNext/>
              <w:keepLines/>
              <w:widowControl w:val="0"/>
              <w:rPr>
                <w:sz w:val="20"/>
              </w:rPr>
            </w:pPr>
            <w:r>
              <w:rPr>
                <w:sz w:val="20"/>
              </w:rPr>
              <w:t>October 9, 2009</w:t>
            </w:r>
          </w:p>
          <w:p w:rsidR="00AD2D4D" w:rsidRPr="00C50A5C" w:rsidRDefault="00052196" w:rsidP="00052196">
            <w:pPr>
              <w:keepNext/>
              <w:keepLines/>
              <w:rPr>
                <w:sz w:val="20"/>
                <w:szCs w:val="20"/>
              </w:rPr>
            </w:pPr>
            <w:r>
              <w:rPr>
                <w:sz w:val="20"/>
              </w:rPr>
              <w:t>Supreme Court of Canada</w:t>
            </w:r>
          </w:p>
        </w:tc>
        <w:tc>
          <w:tcPr>
            <w:tcW w:w="288" w:type="dxa"/>
            <w:tcMar>
              <w:left w:w="0" w:type="dxa"/>
              <w:right w:w="0" w:type="dxa"/>
            </w:tcMar>
          </w:tcPr>
          <w:p w:rsidR="00AD2D4D" w:rsidRDefault="00AD2D4D" w:rsidP="00AD2D4D">
            <w:pPr>
              <w:keepLines/>
              <w:rPr>
                <w:sz w:val="20"/>
                <w:szCs w:val="20"/>
              </w:rPr>
            </w:pPr>
          </w:p>
          <w:p w:rsidR="00052196" w:rsidRPr="00C50A5C" w:rsidRDefault="00052196" w:rsidP="00AD2D4D">
            <w:pPr>
              <w:keepLines/>
              <w:rPr>
                <w:sz w:val="20"/>
                <w:szCs w:val="20"/>
              </w:rPr>
            </w:pPr>
          </w:p>
        </w:tc>
        <w:tc>
          <w:tcPr>
            <w:tcW w:w="4596" w:type="dxa"/>
            <w:tcMar>
              <w:left w:w="0" w:type="dxa"/>
              <w:right w:w="0" w:type="dxa"/>
            </w:tcMar>
          </w:tcPr>
          <w:p w:rsidR="00AD2D4D" w:rsidRPr="00C50A5C" w:rsidRDefault="00052196" w:rsidP="00AD2D4D">
            <w:pPr>
              <w:keepLines/>
              <w:rPr>
                <w:sz w:val="20"/>
                <w:szCs w:val="20"/>
              </w:rPr>
            </w:pPr>
            <w:r>
              <w:rPr>
                <w:sz w:val="20"/>
              </w:rPr>
              <w:t>Applications for extension of time and for leave to appeal filed</w:t>
            </w:r>
          </w:p>
        </w:tc>
      </w:tr>
    </w:tbl>
    <w:p w:rsidR="00AD2D4D" w:rsidRPr="00C50A5C" w:rsidRDefault="00AD2D4D" w:rsidP="00AD2D4D">
      <w:pPr>
        <w:rPr>
          <w:sz w:val="20"/>
          <w:szCs w:val="20"/>
        </w:rPr>
      </w:pPr>
    </w:p>
    <w:p w:rsidR="00AD2D4D" w:rsidRPr="00C50A5C" w:rsidRDefault="003E770A" w:rsidP="00AD2D4D">
      <w:pPr>
        <w:rPr>
          <w:sz w:val="20"/>
          <w:szCs w:val="20"/>
        </w:rPr>
      </w:pPr>
      <w:r w:rsidRPr="003E770A">
        <w:rPr>
          <w:sz w:val="20"/>
          <w:szCs w:val="20"/>
          <w:lang w:val="fr-CA"/>
        </w:rPr>
        <w:pict>
          <v:rect id="_x0000_i1041" style="width:2in;height:1pt" o:hrpct="0" o:hralign="center" o:hrstd="t" o:hrnoshade="t" o:hr="t" fillcolor="black [3213]" stroked="f"/>
        </w:pict>
      </w:r>
    </w:p>
    <w:p w:rsidR="00AD2D4D" w:rsidRPr="00C50A5C" w:rsidRDefault="00AD2D4D" w:rsidP="00AD2D4D">
      <w:pPr>
        <w:rPr>
          <w:sz w:val="20"/>
          <w:szCs w:val="20"/>
        </w:rPr>
      </w:pPr>
    </w:p>
    <w:p w:rsidR="00AD2D4D" w:rsidRPr="00C50A5C" w:rsidRDefault="00AD2D4D" w:rsidP="00AD2D4D">
      <w:pPr>
        <w:keepNext/>
        <w:rPr>
          <w:sz w:val="20"/>
          <w:szCs w:val="20"/>
          <w:u w:val="single"/>
          <w:lang w:val="fr-CA"/>
        </w:rPr>
      </w:pPr>
      <w:r w:rsidRPr="00C50A5C">
        <w:rPr>
          <w:sz w:val="20"/>
          <w:szCs w:val="20"/>
          <w:u w:val="single"/>
          <w:lang w:val="fr-CA"/>
        </w:rPr>
        <w:lastRenderedPageBreak/>
        <w:t>RÉSUMÉ DE L’AFFAIRE</w:t>
      </w:r>
    </w:p>
    <w:p w:rsidR="00AD2D4D" w:rsidRDefault="00AD2D4D" w:rsidP="00AD2D4D">
      <w:pPr>
        <w:keepNext/>
        <w:rPr>
          <w:sz w:val="20"/>
          <w:szCs w:val="20"/>
          <w:lang w:val="fr-CA"/>
        </w:rPr>
      </w:pPr>
    </w:p>
    <w:p w:rsidR="00052196" w:rsidRPr="00052196" w:rsidRDefault="00052196" w:rsidP="00052196">
      <w:pPr>
        <w:keepNext/>
        <w:jc w:val="both"/>
        <w:rPr>
          <w:sz w:val="20"/>
          <w:szCs w:val="20"/>
          <w:lang w:val="fr-CA"/>
        </w:rPr>
      </w:pPr>
      <w:r w:rsidRPr="00052196">
        <w:rPr>
          <w:sz w:val="20"/>
          <w:szCs w:val="20"/>
          <w:lang w:val="fr-CA"/>
        </w:rPr>
        <w:t xml:space="preserve">Charte des droits - Droit à l’assistance d’un avocat - Droit criminel - Preuve - Procédure - </w:t>
      </w:r>
      <w:proofErr w:type="spellStart"/>
      <w:r w:rsidRPr="00052196">
        <w:rPr>
          <w:sz w:val="20"/>
          <w:szCs w:val="20"/>
          <w:lang w:val="fr-CA"/>
        </w:rPr>
        <w:t>Contre-preuve</w:t>
      </w:r>
      <w:proofErr w:type="spellEnd"/>
      <w:r w:rsidRPr="00052196">
        <w:rPr>
          <w:sz w:val="20"/>
          <w:szCs w:val="20"/>
          <w:lang w:val="fr-CA"/>
        </w:rPr>
        <w:t xml:space="preserve"> - Le droit à l’assistance d’un avocat garanti par l’al. 10 b) de la </w:t>
      </w:r>
      <w:r w:rsidRPr="00052196">
        <w:rPr>
          <w:i/>
          <w:sz w:val="20"/>
          <w:szCs w:val="20"/>
          <w:lang w:val="fr-CA"/>
        </w:rPr>
        <w:t xml:space="preserve">Charte </w:t>
      </w:r>
      <w:r w:rsidRPr="00052196">
        <w:rPr>
          <w:sz w:val="20"/>
          <w:szCs w:val="20"/>
          <w:lang w:val="fr-CA"/>
        </w:rPr>
        <w:t xml:space="preserve">oblige-t-il les policiers à attendre avant d’obtenir de la preuve d’un détenu qui exerce son droit à l’assistance d’un avocat avant l’interrogatoire et qui demande de nouveau de communiquer avec un avocat pendant l’interrogatoire? - La </w:t>
      </w:r>
      <w:proofErr w:type="spellStart"/>
      <w:r w:rsidRPr="00052196">
        <w:rPr>
          <w:sz w:val="20"/>
          <w:szCs w:val="20"/>
          <w:lang w:val="fr-CA"/>
        </w:rPr>
        <w:t>contre-preuve</w:t>
      </w:r>
      <w:proofErr w:type="spellEnd"/>
      <w:r w:rsidRPr="00052196">
        <w:rPr>
          <w:sz w:val="20"/>
          <w:szCs w:val="20"/>
          <w:lang w:val="fr-CA"/>
        </w:rPr>
        <w:t xml:space="preserve"> présentée par le ministère public au procès était-elle préjudiciable et y avait-il lieu d’appliquer en appel la disposition réparatrice au sous-al. 686(1) b</w:t>
      </w:r>
      <w:proofErr w:type="gramStart"/>
      <w:r w:rsidRPr="00052196">
        <w:rPr>
          <w:sz w:val="20"/>
          <w:szCs w:val="20"/>
          <w:lang w:val="fr-CA"/>
        </w:rPr>
        <w:t>)(</w:t>
      </w:r>
      <w:proofErr w:type="gramEnd"/>
      <w:r w:rsidRPr="00052196">
        <w:rPr>
          <w:sz w:val="20"/>
          <w:szCs w:val="20"/>
          <w:lang w:val="fr-CA"/>
        </w:rPr>
        <w:t xml:space="preserve">iii) du </w:t>
      </w:r>
      <w:r w:rsidRPr="00052196">
        <w:rPr>
          <w:i/>
          <w:sz w:val="20"/>
          <w:szCs w:val="20"/>
          <w:lang w:val="fr-CA"/>
        </w:rPr>
        <w:t>Code criminel</w:t>
      </w:r>
      <w:r w:rsidRPr="00052196">
        <w:rPr>
          <w:sz w:val="20"/>
          <w:szCs w:val="20"/>
          <w:lang w:val="fr-CA"/>
        </w:rPr>
        <w:t xml:space="preserve"> pour confirmer une déclaration de culpabilité? - </w:t>
      </w:r>
      <w:r w:rsidRPr="00052196">
        <w:rPr>
          <w:i/>
          <w:sz w:val="20"/>
          <w:szCs w:val="20"/>
          <w:lang w:val="fr-CA"/>
        </w:rPr>
        <w:t>Charte canadienne des droits et libertés</w:t>
      </w:r>
      <w:r w:rsidRPr="00052196">
        <w:rPr>
          <w:sz w:val="20"/>
          <w:szCs w:val="20"/>
          <w:lang w:val="fr-CA"/>
        </w:rPr>
        <w:t>, al. 10 b).</w:t>
      </w:r>
    </w:p>
    <w:p w:rsidR="00052196" w:rsidRPr="00052196" w:rsidRDefault="00052196" w:rsidP="00052196">
      <w:pPr>
        <w:keepNext/>
        <w:jc w:val="both"/>
        <w:rPr>
          <w:sz w:val="20"/>
          <w:szCs w:val="20"/>
          <w:lang w:val="fr-CA"/>
        </w:rPr>
      </w:pPr>
      <w:r w:rsidRPr="00052196">
        <w:rPr>
          <w:sz w:val="20"/>
          <w:szCs w:val="20"/>
          <w:lang w:val="fr-CA"/>
        </w:rPr>
        <w:t xml:space="preserve"> </w:t>
      </w:r>
    </w:p>
    <w:p w:rsidR="00052196" w:rsidRDefault="00052196" w:rsidP="00052196">
      <w:pPr>
        <w:keepNext/>
        <w:jc w:val="both"/>
        <w:rPr>
          <w:sz w:val="20"/>
          <w:szCs w:val="20"/>
          <w:lang w:val="fr-CA"/>
        </w:rPr>
      </w:pPr>
      <w:r w:rsidRPr="00052196">
        <w:rPr>
          <w:sz w:val="20"/>
          <w:szCs w:val="20"/>
          <w:lang w:val="fr-CA"/>
        </w:rPr>
        <w:t xml:space="preserve">À la suite du meurtre d’un concierge d’hôtel pendant un vol qualifié, la police a mené une longue opération secrète d’infiltration visant le demandeur. Le demandeur a fait des déclarations incriminantes à des policiers banalisés, fournissant notamment des détails du meurtre et du vol qualifié qui, selon ce qu’a affirmé la police au procès, n’avaient pas été divulgués et qui étaient inconnus des policiers banalisés. Le demandeur a été arrêté et accusé de meurtre au premier degré. Au moment de son arrestation, le demandeur a été informé de ses droits en vertu de la </w:t>
      </w:r>
      <w:r w:rsidRPr="00052196">
        <w:rPr>
          <w:i/>
          <w:sz w:val="20"/>
          <w:szCs w:val="20"/>
          <w:lang w:val="fr-CA"/>
        </w:rPr>
        <w:t>Charte</w:t>
      </w:r>
      <w:r w:rsidRPr="00052196">
        <w:rPr>
          <w:sz w:val="20"/>
          <w:szCs w:val="20"/>
          <w:lang w:val="fr-CA"/>
        </w:rPr>
        <w:t xml:space="preserve">, notamment son droit à l’assistance d’un avocat et son droit de garder le silence.  Il a parlé à un avocat de service au téléphone.  Il a été interrogé 1,5 heure plus tard.  Il n’a pas été informé de nouveau de ses droits en vertu de la </w:t>
      </w:r>
      <w:r w:rsidRPr="00052196">
        <w:rPr>
          <w:i/>
          <w:sz w:val="20"/>
          <w:szCs w:val="20"/>
          <w:lang w:val="fr-CA"/>
        </w:rPr>
        <w:t>Charte</w:t>
      </w:r>
      <w:r w:rsidRPr="00052196">
        <w:rPr>
          <w:sz w:val="20"/>
          <w:szCs w:val="20"/>
          <w:lang w:val="fr-CA"/>
        </w:rPr>
        <w:t xml:space="preserve"> avant l’interrogatoire. À l’interrogatoire, le demandeur a demandé de parler à un avocat et a affirmé qu’il ne voulait rien dire. L’interrogatoire a eu lieu après une discussion sur sa communication avec l’avocat de service. Le demandeur a fait des déclarations incriminantes. Le juge de première instance a admis en preuve les déclarations aux policiers banalisés et au policier qui a mené l’interrogatoire.  À son procès, le demandeur a plaidé qu’il avait été piégé.  Il a soutenu que les policiers banalisés lui avaient fait part de détails du vol qualifié et du meurtre, y compris des détails qui, selon la police, n’auraient pas été divulgués. Dans son témoignage, il a affirmé que ses déclarations étaient fausses et qu’il n’était pas impliqué dans le meurtre.  Le ministère public a été autorisé à présenter une </w:t>
      </w:r>
      <w:proofErr w:type="spellStart"/>
      <w:r w:rsidRPr="00052196">
        <w:rPr>
          <w:sz w:val="20"/>
          <w:szCs w:val="20"/>
          <w:lang w:val="fr-CA"/>
        </w:rPr>
        <w:t>contre-preuve</w:t>
      </w:r>
      <w:proofErr w:type="spellEnd"/>
      <w:r w:rsidRPr="00052196">
        <w:rPr>
          <w:sz w:val="20"/>
          <w:szCs w:val="20"/>
          <w:lang w:val="fr-CA"/>
        </w:rPr>
        <w:t xml:space="preserve"> sous la forme du témoignage de deux policiers qui ont affirmé l’efficacité du protocole de non-divulgation.</w:t>
      </w:r>
    </w:p>
    <w:p w:rsidR="00052196" w:rsidRDefault="00052196" w:rsidP="00AD2D4D">
      <w:pPr>
        <w:keepNext/>
        <w:rPr>
          <w:sz w:val="20"/>
          <w:szCs w:val="20"/>
          <w:lang w:val="fr-CA"/>
        </w:rPr>
      </w:pPr>
    </w:p>
    <w:tbl>
      <w:tblPr>
        <w:tblW w:w="0" w:type="auto"/>
        <w:tblLayout w:type="fixed"/>
        <w:tblCellMar>
          <w:left w:w="0" w:type="dxa"/>
          <w:right w:w="0" w:type="dxa"/>
        </w:tblCellMar>
        <w:tblLook w:val="0000"/>
      </w:tblPr>
      <w:tblGrid>
        <w:gridCol w:w="4596"/>
        <w:gridCol w:w="288"/>
        <w:gridCol w:w="4596"/>
      </w:tblGrid>
      <w:tr w:rsidR="00AD2D4D" w:rsidRPr="003B380E" w:rsidTr="00AD2D4D">
        <w:trPr>
          <w:cantSplit/>
        </w:trPr>
        <w:tc>
          <w:tcPr>
            <w:tcW w:w="4596" w:type="dxa"/>
            <w:tcMar>
              <w:left w:w="0" w:type="dxa"/>
              <w:right w:w="0" w:type="dxa"/>
            </w:tcMar>
          </w:tcPr>
          <w:p w:rsidR="00052196" w:rsidRPr="00052196" w:rsidRDefault="00052196" w:rsidP="00052196">
            <w:pPr>
              <w:keepNext/>
              <w:rPr>
                <w:sz w:val="20"/>
                <w:szCs w:val="20"/>
                <w:lang w:val="fr-CA"/>
              </w:rPr>
            </w:pPr>
            <w:r w:rsidRPr="00052196">
              <w:rPr>
                <w:sz w:val="20"/>
                <w:szCs w:val="20"/>
                <w:lang w:val="fr-CA"/>
              </w:rPr>
              <w:t>7 février 2007</w:t>
            </w:r>
          </w:p>
          <w:p w:rsidR="00052196" w:rsidRPr="00052196" w:rsidRDefault="00052196" w:rsidP="00052196">
            <w:pPr>
              <w:keepNext/>
              <w:rPr>
                <w:sz w:val="20"/>
                <w:szCs w:val="20"/>
                <w:lang w:val="fr-CA"/>
              </w:rPr>
            </w:pPr>
            <w:r w:rsidRPr="00052196">
              <w:rPr>
                <w:sz w:val="20"/>
                <w:szCs w:val="20"/>
                <w:lang w:val="fr-CA"/>
              </w:rPr>
              <w:t>Cour du Banc de la Reine de l’Alberta</w:t>
            </w:r>
          </w:p>
          <w:p w:rsidR="00AD2D4D" w:rsidRPr="00052196" w:rsidRDefault="00052196" w:rsidP="00052196">
            <w:pPr>
              <w:keepNext/>
              <w:keepLines/>
              <w:rPr>
                <w:sz w:val="20"/>
                <w:szCs w:val="20"/>
                <w:lang w:val="fr-CA"/>
              </w:rPr>
            </w:pPr>
            <w:r w:rsidRPr="00052196">
              <w:rPr>
                <w:sz w:val="20"/>
                <w:szCs w:val="20"/>
                <w:lang w:val="fr-CA"/>
              </w:rPr>
              <w:t xml:space="preserve">(juge </w:t>
            </w:r>
            <w:proofErr w:type="spellStart"/>
            <w:r w:rsidRPr="00052196">
              <w:rPr>
                <w:sz w:val="20"/>
                <w:szCs w:val="20"/>
                <w:lang w:val="fr-CA"/>
              </w:rPr>
              <w:t>Belzil</w:t>
            </w:r>
            <w:proofErr w:type="spellEnd"/>
            <w:r w:rsidRPr="00052196">
              <w:rPr>
                <w:sz w:val="20"/>
                <w:szCs w:val="20"/>
                <w:lang w:val="fr-CA"/>
              </w:rPr>
              <w:t>)</w:t>
            </w:r>
          </w:p>
        </w:tc>
        <w:tc>
          <w:tcPr>
            <w:tcW w:w="288" w:type="dxa"/>
            <w:tcMar>
              <w:left w:w="0" w:type="dxa"/>
              <w:right w:w="0" w:type="dxa"/>
            </w:tcMar>
          </w:tcPr>
          <w:p w:rsidR="00AD2D4D" w:rsidRDefault="00AD2D4D" w:rsidP="00AD2D4D">
            <w:pPr>
              <w:keepLines/>
              <w:rPr>
                <w:sz w:val="20"/>
                <w:szCs w:val="20"/>
                <w:lang w:val="fr-CA"/>
              </w:rPr>
            </w:pPr>
          </w:p>
          <w:p w:rsidR="00052196" w:rsidRDefault="00052196" w:rsidP="00AD2D4D">
            <w:pPr>
              <w:keepLines/>
              <w:rPr>
                <w:sz w:val="20"/>
                <w:szCs w:val="20"/>
                <w:lang w:val="fr-CA"/>
              </w:rPr>
            </w:pPr>
          </w:p>
          <w:p w:rsidR="00052196" w:rsidRDefault="00052196" w:rsidP="00AD2D4D">
            <w:pPr>
              <w:keepLines/>
              <w:rPr>
                <w:sz w:val="20"/>
                <w:szCs w:val="20"/>
                <w:lang w:val="fr-CA"/>
              </w:rPr>
            </w:pPr>
          </w:p>
          <w:p w:rsidR="00052196" w:rsidRPr="00052196" w:rsidRDefault="00052196" w:rsidP="00AD2D4D">
            <w:pPr>
              <w:keepLines/>
              <w:rPr>
                <w:sz w:val="20"/>
                <w:szCs w:val="20"/>
                <w:lang w:val="fr-CA"/>
              </w:rPr>
            </w:pPr>
          </w:p>
        </w:tc>
        <w:tc>
          <w:tcPr>
            <w:tcW w:w="4596" w:type="dxa"/>
            <w:tcMar>
              <w:left w:w="0" w:type="dxa"/>
              <w:right w:w="0" w:type="dxa"/>
            </w:tcMar>
          </w:tcPr>
          <w:p w:rsidR="00AD2D4D" w:rsidRPr="00052196" w:rsidRDefault="00052196" w:rsidP="00DF7DFB">
            <w:pPr>
              <w:keepLines/>
              <w:jc w:val="both"/>
              <w:rPr>
                <w:sz w:val="20"/>
                <w:szCs w:val="20"/>
                <w:lang w:val="fr-CA"/>
              </w:rPr>
            </w:pPr>
            <w:r w:rsidRPr="00052196">
              <w:rPr>
                <w:sz w:val="20"/>
                <w:szCs w:val="20"/>
                <w:lang w:val="fr-CA"/>
              </w:rPr>
              <w:t>Déclaration par un jury de culpabilité pour meurtre au deuxième degré</w:t>
            </w:r>
          </w:p>
        </w:tc>
      </w:tr>
      <w:tr w:rsidR="00AD2D4D" w:rsidRPr="00052196" w:rsidTr="00AD2D4D">
        <w:trPr>
          <w:cantSplit/>
        </w:trPr>
        <w:tc>
          <w:tcPr>
            <w:tcW w:w="4596" w:type="dxa"/>
            <w:tcMar>
              <w:left w:w="0" w:type="dxa"/>
              <w:right w:w="0" w:type="dxa"/>
            </w:tcMar>
          </w:tcPr>
          <w:p w:rsidR="00052196" w:rsidRPr="00052196" w:rsidRDefault="00052196" w:rsidP="00052196">
            <w:pPr>
              <w:keepNext/>
              <w:rPr>
                <w:sz w:val="20"/>
                <w:szCs w:val="20"/>
                <w:lang w:val="fr-CA"/>
              </w:rPr>
            </w:pPr>
            <w:r w:rsidRPr="00052196">
              <w:rPr>
                <w:sz w:val="20"/>
                <w:szCs w:val="20"/>
                <w:lang w:val="fr-CA"/>
              </w:rPr>
              <w:t>27 février 2009</w:t>
            </w:r>
          </w:p>
          <w:p w:rsidR="00052196" w:rsidRPr="00052196" w:rsidRDefault="00052196" w:rsidP="00052196">
            <w:pPr>
              <w:keepNext/>
              <w:rPr>
                <w:sz w:val="20"/>
                <w:szCs w:val="20"/>
                <w:lang w:val="fr-CA"/>
              </w:rPr>
            </w:pPr>
            <w:r w:rsidRPr="00052196">
              <w:rPr>
                <w:sz w:val="20"/>
                <w:szCs w:val="20"/>
                <w:lang w:val="fr-CA"/>
              </w:rPr>
              <w:t>Cour d’appel de l’Alberta (Calgary)</w:t>
            </w:r>
          </w:p>
          <w:p w:rsidR="00052196" w:rsidRPr="00052196" w:rsidRDefault="00052196" w:rsidP="00052196">
            <w:pPr>
              <w:keepNext/>
              <w:rPr>
                <w:sz w:val="20"/>
                <w:szCs w:val="20"/>
                <w:lang w:val="fr-CA"/>
              </w:rPr>
            </w:pPr>
            <w:r w:rsidRPr="00052196">
              <w:rPr>
                <w:sz w:val="20"/>
                <w:szCs w:val="20"/>
                <w:lang w:val="fr-CA"/>
              </w:rPr>
              <w:t xml:space="preserve">(juges </w:t>
            </w:r>
            <w:proofErr w:type="spellStart"/>
            <w:r w:rsidRPr="00052196">
              <w:rPr>
                <w:sz w:val="20"/>
                <w:szCs w:val="20"/>
                <w:lang w:val="fr-CA"/>
              </w:rPr>
              <w:t>Paperny</w:t>
            </w:r>
            <w:proofErr w:type="spellEnd"/>
            <w:r w:rsidRPr="00052196">
              <w:rPr>
                <w:sz w:val="20"/>
                <w:szCs w:val="20"/>
                <w:lang w:val="fr-CA"/>
              </w:rPr>
              <w:t>, Watson et Phillips)</w:t>
            </w:r>
          </w:p>
          <w:p w:rsidR="00AD2D4D" w:rsidRPr="00052196" w:rsidRDefault="00052196" w:rsidP="00052196">
            <w:pPr>
              <w:keepNext/>
              <w:keepLines/>
              <w:rPr>
                <w:sz w:val="20"/>
                <w:szCs w:val="20"/>
                <w:lang w:val="fr-CA"/>
              </w:rPr>
            </w:pPr>
            <w:r w:rsidRPr="00052196">
              <w:rPr>
                <w:sz w:val="20"/>
                <w:szCs w:val="20"/>
                <w:lang w:val="fr-CA"/>
              </w:rPr>
              <w:t>Référence neutre : 2009 ABCA 67</w:t>
            </w:r>
          </w:p>
        </w:tc>
        <w:tc>
          <w:tcPr>
            <w:tcW w:w="288" w:type="dxa"/>
            <w:tcMar>
              <w:left w:w="0" w:type="dxa"/>
              <w:right w:w="0" w:type="dxa"/>
            </w:tcMar>
          </w:tcPr>
          <w:p w:rsidR="00AD2D4D" w:rsidRDefault="00AD2D4D" w:rsidP="00AD2D4D">
            <w:pPr>
              <w:keepLines/>
              <w:rPr>
                <w:sz w:val="20"/>
                <w:szCs w:val="20"/>
                <w:lang w:val="fr-CA"/>
              </w:rPr>
            </w:pPr>
          </w:p>
          <w:p w:rsidR="00052196" w:rsidRDefault="00052196" w:rsidP="00AD2D4D">
            <w:pPr>
              <w:keepLines/>
              <w:rPr>
                <w:sz w:val="20"/>
                <w:szCs w:val="20"/>
                <w:lang w:val="fr-CA"/>
              </w:rPr>
            </w:pPr>
          </w:p>
          <w:p w:rsidR="00052196" w:rsidRDefault="00052196" w:rsidP="00AD2D4D">
            <w:pPr>
              <w:keepLines/>
              <w:rPr>
                <w:sz w:val="20"/>
                <w:szCs w:val="20"/>
                <w:lang w:val="fr-CA"/>
              </w:rPr>
            </w:pPr>
          </w:p>
          <w:p w:rsidR="00052196" w:rsidRDefault="00052196" w:rsidP="00AD2D4D">
            <w:pPr>
              <w:keepLines/>
              <w:rPr>
                <w:sz w:val="20"/>
                <w:szCs w:val="20"/>
                <w:lang w:val="fr-CA"/>
              </w:rPr>
            </w:pPr>
          </w:p>
          <w:p w:rsidR="00052196" w:rsidRPr="00052196" w:rsidRDefault="00052196" w:rsidP="00AD2D4D">
            <w:pPr>
              <w:keepLines/>
              <w:rPr>
                <w:sz w:val="20"/>
                <w:szCs w:val="20"/>
                <w:lang w:val="fr-CA"/>
              </w:rPr>
            </w:pPr>
          </w:p>
        </w:tc>
        <w:tc>
          <w:tcPr>
            <w:tcW w:w="4596" w:type="dxa"/>
            <w:tcMar>
              <w:left w:w="0" w:type="dxa"/>
              <w:right w:w="0" w:type="dxa"/>
            </w:tcMar>
          </w:tcPr>
          <w:p w:rsidR="00AD2D4D" w:rsidRPr="00052196" w:rsidRDefault="00052196" w:rsidP="00AD2D4D">
            <w:pPr>
              <w:keepLines/>
              <w:rPr>
                <w:sz w:val="20"/>
                <w:szCs w:val="20"/>
                <w:lang w:val="fr-CA"/>
              </w:rPr>
            </w:pPr>
            <w:r w:rsidRPr="00052196">
              <w:rPr>
                <w:sz w:val="20"/>
                <w:szCs w:val="20"/>
                <w:lang w:val="fr-CA"/>
              </w:rPr>
              <w:t>Appel rejeté</w:t>
            </w:r>
          </w:p>
        </w:tc>
      </w:tr>
      <w:tr w:rsidR="00AD2D4D" w:rsidRPr="003B380E" w:rsidTr="00AD2D4D">
        <w:trPr>
          <w:cantSplit/>
        </w:trPr>
        <w:tc>
          <w:tcPr>
            <w:tcW w:w="4596" w:type="dxa"/>
            <w:tcMar>
              <w:left w:w="0" w:type="dxa"/>
              <w:right w:w="0" w:type="dxa"/>
            </w:tcMar>
          </w:tcPr>
          <w:p w:rsidR="00052196" w:rsidRPr="00052196" w:rsidRDefault="00052196" w:rsidP="00052196">
            <w:pPr>
              <w:keepNext/>
              <w:rPr>
                <w:sz w:val="20"/>
                <w:szCs w:val="20"/>
                <w:lang w:val="fr-CA"/>
              </w:rPr>
            </w:pPr>
            <w:r w:rsidRPr="00052196">
              <w:rPr>
                <w:sz w:val="20"/>
                <w:szCs w:val="20"/>
                <w:lang w:val="fr-CA"/>
              </w:rPr>
              <w:t>9 octobre 2009</w:t>
            </w:r>
          </w:p>
          <w:p w:rsidR="00AD2D4D" w:rsidRPr="00052196" w:rsidRDefault="00052196" w:rsidP="00052196">
            <w:pPr>
              <w:keepNext/>
              <w:keepLines/>
              <w:rPr>
                <w:sz w:val="20"/>
                <w:szCs w:val="20"/>
                <w:lang w:val="fr-CA"/>
              </w:rPr>
            </w:pPr>
            <w:r w:rsidRPr="00052196">
              <w:rPr>
                <w:sz w:val="20"/>
                <w:szCs w:val="20"/>
                <w:lang w:val="fr-CA"/>
              </w:rPr>
              <w:t>Cour suprême du Canada</w:t>
            </w:r>
          </w:p>
        </w:tc>
        <w:tc>
          <w:tcPr>
            <w:tcW w:w="288" w:type="dxa"/>
            <w:tcMar>
              <w:left w:w="0" w:type="dxa"/>
              <w:right w:w="0" w:type="dxa"/>
            </w:tcMar>
          </w:tcPr>
          <w:p w:rsidR="00AD2D4D" w:rsidRPr="00052196" w:rsidRDefault="00AD2D4D" w:rsidP="00AD2D4D">
            <w:pPr>
              <w:keepLines/>
              <w:rPr>
                <w:sz w:val="20"/>
                <w:szCs w:val="20"/>
                <w:lang w:val="fr-CA"/>
              </w:rPr>
            </w:pPr>
          </w:p>
        </w:tc>
        <w:tc>
          <w:tcPr>
            <w:tcW w:w="4596" w:type="dxa"/>
            <w:tcMar>
              <w:left w:w="0" w:type="dxa"/>
              <w:right w:w="0" w:type="dxa"/>
            </w:tcMar>
          </w:tcPr>
          <w:p w:rsidR="00AD2D4D" w:rsidRPr="00052196" w:rsidRDefault="00052196" w:rsidP="00DF7DFB">
            <w:pPr>
              <w:keepNext/>
              <w:jc w:val="both"/>
              <w:rPr>
                <w:sz w:val="20"/>
                <w:szCs w:val="20"/>
                <w:lang w:val="fr-CA"/>
              </w:rPr>
            </w:pPr>
            <w:r w:rsidRPr="00052196">
              <w:rPr>
                <w:sz w:val="20"/>
                <w:szCs w:val="20"/>
                <w:lang w:val="fr-CA"/>
              </w:rPr>
              <w:t>Demandes de prorogation de délai et d’autorisation d’appel déposées</w:t>
            </w:r>
          </w:p>
        </w:tc>
      </w:tr>
    </w:tbl>
    <w:p w:rsidR="00AD2D4D" w:rsidRDefault="00AD2D4D" w:rsidP="00AD2D4D">
      <w:pPr>
        <w:keepNext/>
        <w:rPr>
          <w:sz w:val="20"/>
          <w:szCs w:val="20"/>
          <w:lang w:val="fr-CA"/>
        </w:rPr>
      </w:pPr>
    </w:p>
    <w:p w:rsidR="00AD2D4D" w:rsidRDefault="003E770A" w:rsidP="00AD2D4D">
      <w:pPr>
        <w:keepNext/>
        <w:rPr>
          <w:sz w:val="20"/>
          <w:szCs w:val="20"/>
          <w:lang w:val="fr-CA"/>
        </w:rPr>
      </w:pPr>
      <w:r w:rsidRPr="003E770A">
        <w:rPr>
          <w:sz w:val="20"/>
          <w:szCs w:val="20"/>
          <w:lang w:val="fr-CA"/>
        </w:rPr>
        <w:pict>
          <v:rect id="_x0000_i1042" style="width:2in;height:1pt" o:hrpct="0" o:hralign="center" o:hrstd="t" o:hrnoshade="t" o:hr="t" fillcolor="black [3213]" stroked="f"/>
        </w:pict>
      </w:r>
    </w:p>
    <w:p w:rsidR="00AD2D4D" w:rsidRPr="00153777" w:rsidRDefault="00AD2D4D"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1157" w:rsidRPr="003B380E" w:rsidTr="00331157">
        <w:trPr>
          <w:cantSplit/>
        </w:trPr>
        <w:tc>
          <w:tcPr>
            <w:tcW w:w="1458" w:type="dxa"/>
          </w:tcPr>
          <w:p w:rsidR="00331157" w:rsidRPr="00331157" w:rsidRDefault="00331157" w:rsidP="00331157">
            <w:pPr>
              <w:rPr>
                <w:sz w:val="20"/>
                <w:szCs w:val="20"/>
              </w:rPr>
            </w:pPr>
            <w:r w:rsidRPr="00331157">
              <w:rPr>
                <w:rStyle w:val="SCCFileNumberChar"/>
                <w:sz w:val="20"/>
                <w:szCs w:val="20"/>
              </w:rPr>
              <w:t>33671</w:t>
            </w:r>
          </w:p>
          <w:p w:rsidR="00331157" w:rsidRPr="00331157" w:rsidRDefault="00331157" w:rsidP="00331157">
            <w:pPr>
              <w:rPr>
                <w:b/>
                <w:sz w:val="20"/>
                <w:szCs w:val="20"/>
                <w:lang w:val="fr-CA"/>
              </w:rPr>
            </w:pPr>
          </w:p>
        </w:tc>
        <w:tc>
          <w:tcPr>
            <w:tcW w:w="8118" w:type="dxa"/>
          </w:tcPr>
          <w:p w:rsidR="00331157" w:rsidRPr="00331157" w:rsidRDefault="00331157" w:rsidP="00331157">
            <w:pPr>
              <w:rPr>
                <w:sz w:val="20"/>
                <w:szCs w:val="20"/>
                <w:lang w:val="fr-CA"/>
              </w:rPr>
            </w:pPr>
            <w:r w:rsidRPr="00331157">
              <w:rPr>
                <w:rStyle w:val="SCCLsocChar"/>
                <w:sz w:val="20"/>
                <w:szCs w:val="20"/>
              </w:rPr>
              <w:t>Stéphane Duguay c. Sa Majesté la Reine</w:t>
            </w:r>
            <w:r w:rsidRPr="00331157">
              <w:rPr>
                <w:sz w:val="20"/>
                <w:szCs w:val="20"/>
                <w:lang w:val="fr-CA"/>
              </w:rPr>
              <w:t xml:space="preserve"> (</w:t>
            </w:r>
            <w:proofErr w:type="spellStart"/>
            <w:r w:rsidRPr="00331157">
              <w:rPr>
                <w:sz w:val="20"/>
                <w:szCs w:val="20"/>
                <w:lang w:val="fr-CA"/>
              </w:rPr>
              <w:t>Qc</w:t>
            </w:r>
            <w:proofErr w:type="spellEnd"/>
            <w:r w:rsidRPr="00331157">
              <w:rPr>
                <w:sz w:val="20"/>
                <w:szCs w:val="20"/>
                <w:lang w:val="fr-CA"/>
              </w:rPr>
              <w:t>) (Criminelle) (Autorisation)</w:t>
            </w:r>
          </w:p>
          <w:p w:rsidR="00331157" w:rsidRPr="00331157" w:rsidRDefault="00331157" w:rsidP="00331157">
            <w:pPr>
              <w:rPr>
                <w:sz w:val="20"/>
                <w:szCs w:val="20"/>
                <w:lang w:val="fr-CA"/>
              </w:rPr>
            </w:pPr>
          </w:p>
        </w:tc>
      </w:tr>
      <w:tr w:rsidR="00331157" w:rsidRPr="003B380E" w:rsidTr="00331157">
        <w:trPr>
          <w:cantSplit/>
        </w:trPr>
        <w:tc>
          <w:tcPr>
            <w:tcW w:w="1458" w:type="dxa"/>
          </w:tcPr>
          <w:p w:rsidR="00331157" w:rsidRPr="00331157" w:rsidRDefault="00331157" w:rsidP="00331157">
            <w:pPr>
              <w:rPr>
                <w:sz w:val="20"/>
                <w:szCs w:val="20"/>
              </w:rPr>
            </w:pPr>
            <w:r w:rsidRPr="00331157">
              <w:rPr>
                <w:sz w:val="20"/>
                <w:szCs w:val="20"/>
              </w:rPr>
              <w:t>Coram :</w:t>
            </w:r>
          </w:p>
        </w:tc>
        <w:tc>
          <w:tcPr>
            <w:tcW w:w="8118" w:type="dxa"/>
          </w:tcPr>
          <w:p w:rsidR="00331157" w:rsidRDefault="00331157" w:rsidP="00331157">
            <w:pPr>
              <w:rPr>
                <w:rStyle w:val="SCCCoramChar"/>
                <w:sz w:val="20"/>
                <w:szCs w:val="20"/>
              </w:rPr>
            </w:pPr>
            <w:r w:rsidRPr="00331157">
              <w:rPr>
                <w:rStyle w:val="SCCCoramChar"/>
                <w:sz w:val="20"/>
                <w:szCs w:val="20"/>
              </w:rPr>
              <w:t xml:space="preserve">Les juges </w:t>
            </w:r>
            <w:proofErr w:type="spellStart"/>
            <w:r w:rsidRPr="00331157">
              <w:rPr>
                <w:rStyle w:val="SCCCoramChar"/>
                <w:sz w:val="20"/>
                <w:szCs w:val="20"/>
              </w:rPr>
              <w:t>LeBel</w:t>
            </w:r>
            <w:proofErr w:type="spellEnd"/>
            <w:r w:rsidRPr="00331157">
              <w:rPr>
                <w:rStyle w:val="SCCCoramChar"/>
                <w:sz w:val="20"/>
                <w:szCs w:val="20"/>
              </w:rPr>
              <w:t>, Deschamps et Charron</w:t>
            </w:r>
          </w:p>
          <w:p w:rsidR="00331157" w:rsidRPr="00331157" w:rsidRDefault="00331157" w:rsidP="00331157">
            <w:pPr>
              <w:rPr>
                <w:sz w:val="20"/>
                <w:szCs w:val="20"/>
                <w:lang w:val="fr-CA"/>
              </w:rPr>
            </w:pPr>
          </w:p>
        </w:tc>
      </w:tr>
      <w:tr w:rsidR="00331157" w:rsidRPr="00331157" w:rsidTr="00331157">
        <w:trPr>
          <w:cantSplit/>
        </w:trPr>
        <w:tc>
          <w:tcPr>
            <w:tcW w:w="9576" w:type="dxa"/>
            <w:gridSpan w:val="2"/>
          </w:tcPr>
          <w:p w:rsidR="00331157" w:rsidRPr="00331157" w:rsidRDefault="00331157" w:rsidP="00331157">
            <w:pPr>
              <w:jc w:val="both"/>
              <w:rPr>
                <w:sz w:val="20"/>
                <w:szCs w:val="20"/>
                <w:lang w:val="fr-CA"/>
              </w:rPr>
            </w:pPr>
            <w:r>
              <w:rPr>
                <w:sz w:val="20"/>
                <w:szCs w:val="20"/>
                <w:lang w:val="fr-CA"/>
              </w:rPr>
              <w:tab/>
            </w:r>
            <w:r w:rsidRPr="00331157">
              <w:rPr>
                <w:sz w:val="20"/>
                <w:szCs w:val="20"/>
                <w:lang w:val="fr-CA"/>
              </w:rPr>
              <w:t>La requête pour déposer de nouveaux éléments de preuve est rejetée. La demande d’autorisation d’appel de l’arrêt de la Cour d’appel du Québec (Québec), numéro 200-10-002158-074, 2010 QCCA 370, daté du 25 février 2010, est rejetée sans dépens.</w:t>
            </w:r>
          </w:p>
          <w:p w:rsidR="00331157" w:rsidRPr="00331157" w:rsidRDefault="00331157" w:rsidP="00331157">
            <w:pPr>
              <w:jc w:val="both"/>
              <w:rPr>
                <w:sz w:val="20"/>
                <w:szCs w:val="20"/>
                <w:lang w:val="fr-CA"/>
              </w:rPr>
            </w:pPr>
          </w:p>
          <w:p w:rsidR="00331157" w:rsidRPr="00331157" w:rsidRDefault="00331157" w:rsidP="00F56800">
            <w:pPr>
              <w:jc w:val="both"/>
              <w:rPr>
                <w:sz w:val="20"/>
                <w:szCs w:val="20"/>
              </w:rPr>
            </w:pPr>
            <w:r w:rsidRPr="00052196">
              <w:rPr>
                <w:sz w:val="20"/>
                <w:szCs w:val="20"/>
                <w:lang w:val="fr-CA"/>
              </w:rPr>
              <w:tab/>
            </w:r>
            <w:r w:rsidR="00F56800" w:rsidRPr="00331157">
              <w:rPr>
                <w:sz w:val="20"/>
                <w:szCs w:val="20"/>
              </w:rPr>
              <w:t>The motion to adduce new evidence is dismissed.</w:t>
            </w:r>
            <w:r w:rsidR="00F56800">
              <w:rPr>
                <w:sz w:val="20"/>
                <w:szCs w:val="20"/>
              </w:rPr>
              <w:t xml:space="preserve"> </w:t>
            </w:r>
            <w:r w:rsidRPr="00331157">
              <w:rPr>
                <w:sz w:val="20"/>
                <w:szCs w:val="20"/>
              </w:rPr>
              <w:t xml:space="preserve">The application for leave to appeal from the judgment of the Court of Appeal of Quebec (Québec), Number 200-10-002158-074, 2010 QCCA 370, dated February 25, 2010, is dismissed without costs. </w:t>
            </w:r>
          </w:p>
        </w:tc>
      </w:tr>
    </w:tbl>
    <w:p w:rsidR="00AD2D4D" w:rsidRPr="00755B04" w:rsidRDefault="00AD2D4D" w:rsidP="008D292F">
      <w:pPr>
        <w:rPr>
          <w:sz w:val="20"/>
          <w:szCs w:val="20"/>
        </w:rPr>
      </w:pPr>
    </w:p>
    <w:p w:rsidR="00153777" w:rsidRPr="00C50A5C" w:rsidRDefault="00153777" w:rsidP="00153777">
      <w:pPr>
        <w:keepNext/>
        <w:rPr>
          <w:sz w:val="20"/>
          <w:szCs w:val="20"/>
        </w:rPr>
      </w:pPr>
      <w:r w:rsidRPr="00C50A5C">
        <w:rPr>
          <w:sz w:val="20"/>
          <w:szCs w:val="20"/>
          <w:u w:val="single"/>
        </w:rPr>
        <w:lastRenderedPageBreak/>
        <w:t>CASE SUMMARY</w:t>
      </w:r>
    </w:p>
    <w:p w:rsidR="00153777" w:rsidRDefault="00153777" w:rsidP="00153777">
      <w:pPr>
        <w:keepNext/>
        <w:rPr>
          <w:sz w:val="20"/>
          <w:szCs w:val="20"/>
        </w:rPr>
      </w:pPr>
    </w:p>
    <w:tbl>
      <w:tblPr>
        <w:tblW w:w="4952" w:type="pct"/>
        <w:tblLayout w:type="fixed"/>
        <w:tblCellMar>
          <w:left w:w="0" w:type="dxa"/>
          <w:bottom w:w="99" w:type="dxa"/>
          <w:right w:w="0" w:type="dxa"/>
        </w:tblCellMar>
        <w:tblLook w:val="04A0"/>
      </w:tblPr>
      <w:tblGrid>
        <w:gridCol w:w="9527"/>
      </w:tblGrid>
      <w:tr w:rsidR="004D595B" w:rsidRPr="003D125F" w:rsidTr="004D595B">
        <w:tc>
          <w:tcPr>
            <w:tcW w:w="5000" w:type="pct"/>
          </w:tcPr>
          <w:p w:rsidR="004D595B" w:rsidRDefault="004D595B" w:rsidP="004D595B">
            <w:pPr>
              <w:jc w:val="both"/>
              <w:rPr>
                <w:rFonts w:eastAsia="Calibri"/>
                <w:sz w:val="20"/>
              </w:rPr>
            </w:pPr>
            <w:r w:rsidRPr="003D125F">
              <w:rPr>
                <w:rFonts w:eastAsia="Calibri"/>
                <w:sz w:val="20"/>
              </w:rPr>
              <w:t xml:space="preserve">Criminal law – Evidence – Accident involving </w:t>
            </w:r>
            <w:proofErr w:type="spellStart"/>
            <w:r w:rsidRPr="003D125F">
              <w:rPr>
                <w:rFonts w:eastAsia="Calibri"/>
                <w:sz w:val="20"/>
              </w:rPr>
              <w:t>tractor</w:t>
            </w:r>
            <w:r w:rsidRPr="003D125F">
              <w:rPr>
                <w:rFonts w:eastAsia="Calibri"/>
                <w:sz w:val="20"/>
              </w:rPr>
              <w:noBreakHyphen/>
              <w:t>trailer</w:t>
            </w:r>
            <w:proofErr w:type="spellEnd"/>
            <w:r w:rsidRPr="003D125F">
              <w:rPr>
                <w:rFonts w:eastAsia="Calibri"/>
                <w:sz w:val="20"/>
              </w:rPr>
              <w:t xml:space="preserve"> and pickup truck – Driver of pickup truck dying – Investigation into identity of driver of </w:t>
            </w:r>
            <w:proofErr w:type="spellStart"/>
            <w:r w:rsidRPr="003D125F">
              <w:rPr>
                <w:rFonts w:eastAsia="Calibri"/>
                <w:sz w:val="20"/>
              </w:rPr>
              <w:t>tractor</w:t>
            </w:r>
            <w:r w:rsidRPr="003D125F">
              <w:rPr>
                <w:rFonts w:eastAsia="Calibri"/>
                <w:sz w:val="20"/>
              </w:rPr>
              <w:noBreakHyphen/>
              <w:t>trailer</w:t>
            </w:r>
            <w:proofErr w:type="spellEnd"/>
            <w:r w:rsidRPr="003D125F">
              <w:rPr>
                <w:rFonts w:eastAsia="Calibri"/>
                <w:sz w:val="20"/>
              </w:rPr>
              <w:t xml:space="preserve"> – Suspect becoming Crown witness – Trial judge refusing to allow </w:t>
            </w:r>
            <w:proofErr w:type="spellStart"/>
            <w:r w:rsidRPr="003D125F">
              <w:rPr>
                <w:rFonts w:eastAsia="Calibri"/>
                <w:sz w:val="20"/>
              </w:rPr>
              <w:t>accused’s</w:t>
            </w:r>
            <w:proofErr w:type="spellEnd"/>
            <w:r w:rsidRPr="003D125F">
              <w:rPr>
                <w:rFonts w:eastAsia="Calibri"/>
                <w:sz w:val="20"/>
              </w:rPr>
              <w:t xml:space="preserve"> first counsel to testify in his defence concerning Crown witness – Whether Court of Appeal prevented accused from making full answer and defence by not ordering new trial after finding palpable error by trial judge – Whether Court of Appeal erred in dismissing appeal without reasons despite existence of reasonable doubt – Whether Supreme Court</w:t>
            </w:r>
            <w:r w:rsidR="003E770A" w:rsidRPr="003D125F">
              <w:rPr>
                <w:rFonts w:eastAsia="Calibri"/>
                <w:sz w:val="20"/>
              </w:rPr>
              <w:fldChar w:fldCharType="begin"/>
            </w:r>
            <w:r w:rsidRPr="003D125F">
              <w:rPr>
                <w:rFonts w:eastAsia="Calibri"/>
                <w:sz w:val="20"/>
              </w:rPr>
              <w:instrText xml:space="preserve"> SEQ CHAPTER \h \r 1</w:instrText>
            </w:r>
            <w:r w:rsidR="003E770A" w:rsidRPr="003D125F">
              <w:rPr>
                <w:rFonts w:eastAsia="Calibri"/>
                <w:sz w:val="20"/>
              </w:rPr>
              <w:fldChar w:fldCharType="end"/>
            </w:r>
            <w:r w:rsidRPr="003D125F">
              <w:rPr>
                <w:rFonts w:eastAsia="Calibri"/>
                <w:sz w:val="20"/>
              </w:rPr>
              <w:t xml:space="preserve"> justified in ordering new trial based on new evidence discovered by Applicant since Court of Appeal judgment.</w:t>
            </w:r>
          </w:p>
          <w:p w:rsidR="004D595B" w:rsidRPr="003D125F" w:rsidRDefault="004D595B" w:rsidP="004D595B">
            <w:pPr>
              <w:jc w:val="both"/>
              <w:rPr>
                <w:rFonts w:eastAsia="Calibri"/>
                <w:sz w:val="20"/>
              </w:rPr>
            </w:pPr>
          </w:p>
        </w:tc>
      </w:tr>
      <w:tr w:rsidR="004D595B" w:rsidRPr="003D125F" w:rsidTr="004D595B">
        <w:tc>
          <w:tcPr>
            <w:tcW w:w="5000" w:type="pct"/>
          </w:tcPr>
          <w:p w:rsidR="004D595B" w:rsidRPr="003D125F" w:rsidRDefault="004D595B" w:rsidP="00DF7DFB">
            <w:pPr>
              <w:jc w:val="both"/>
              <w:rPr>
                <w:rFonts w:eastAsia="Calibri"/>
                <w:sz w:val="20"/>
              </w:rPr>
            </w:pPr>
            <w:r w:rsidRPr="003D125F">
              <w:rPr>
                <w:rFonts w:eastAsia="Calibri"/>
                <w:sz w:val="20"/>
              </w:rPr>
              <w:t xml:space="preserve">Late in the evening on February 15, 2002, a </w:t>
            </w:r>
            <w:proofErr w:type="spellStart"/>
            <w:r w:rsidRPr="003D125F">
              <w:rPr>
                <w:rFonts w:eastAsia="Calibri"/>
                <w:sz w:val="20"/>
              </w:rPr>
              <w:t>tractor</w:t>
            </w:r>
            <w:r w:rsidRPr="003D125F">
              <w:rPr>
                <w:rFonts w:eastAsia="Calibri"/>
                <w:sz w:val="20"/>
              </w:rPr>
              <w:noBreakHyphen/>
              <w:t>trailer</w:t>
            </w:r>
            <w:proofErr w:type="spellEnd"/>
            <w:r w:rsidRPr="003D125F">
              <w:rPr>
                <w:rFonts w:eastAsia="Calibri"/>
                <w:sz w:val="20"/>
              </w:rPr>
              <w:t xml:space="preserve"> skidded on Highway 172 in </w:t>
            </w:r>
            <w:proofErr w:type="spellStart"/>
            <w:r w:rsidRPr="003D125F">
              <w:rPr>
                <w:rFonts w:eastAsia="Calibri"/>
                <w:sz w:val="20"/>
              </w:rPr>
              <w:t>St</w:t>
            </w:r>
            <w:r w:rsidRPr="003D125F">
              <w:rPr>
                <w:rFonts w:eastAsia="Calibri"/>
                <w:sz w:val="20"/>
              </w:rPr>
              <w:noBreakHyphen/>
              <w:t>Ambroise</w:t>
            </w:r>
            <w:proofErr w:type="spellEnd"/>
            <w:r w:rsidRPr="003D125F">
              <w:rPr>
                <w:rFonts w:eastAsia="Calibri"/>
                <w:sz w:val="20"/>
              </w:rPr>
              <w:t xml:space="preserve"> and the trailer hit a pickup truck driving in the opposite direction.  The driver of the pickup truck was killed almost instantly.  The driver of the </w:t>
            </w:r>
            <w:proofErr w:type="spellStart"/>
            <w:r w:rsidRPr="003D125F">
              <w:rPr>
                <w:rFonts w:eastAsia="Calibri"/>
                <w:sz w:val="20"/>
              </w:rPr>
              <w:t>tractor</w:t>
            </w:r>
            <w:r w:rsidRPr="003D125F">
              <w:rPr>
                <w:rFonts w:eastAsia="Calibri"/>
                <w:sz w:val="20"/>
              </w:rPr>
              <w:noBreakHyphen/>
              <w:t>trailer</w:t>
            </w:r>
            <w:proofErr w:type="spellEnd"/>
            <w:r w:rsidRPr="003D125F">
              <w:rPr>
                <w:rFonts w:eastAsia="Calibri"/>
                <w:sz w:val="20"/>
              </w:rPr>
              <w:t xml:space="preserve"> did not stop, but the police located the damaged vehicle.  On March 10, 2002, following an investigation, the police arrested Pierre </w:t>
            </w:r>
            <w:proofErr w:type="spellStart"/>
            <w:r w:rsidRPr="003D125F">
              <w:rPr>
                <w:rFonts w:eastAsia="Calibri"/>
                <w:sz w:val="20"/>
              </w:rPr>
              <w:t>Asselin</w:t>
            </w:r>
            <w:proofErr w:type="spellEnd"/>
            <w:r w:rsidRPr="003D125F">
              <w:rPr>
                <w:rFonts w:eastAsia="Calibri"/>
                <w:sz w:val="20"/>
              </w:rPr>
              <w:t xml:space="preserve">, who incriminated </w:t>
            </w:r>
            <w:proofErr w:type="spellStart"/>
            <w:r w:rsidRPr="003D125F">
              <w:rPr>
                <w:rFonts w:eastAsia="Calibri"/>
                <w:sz w:val="20"/>
              </w:rPr>
              <w:t>Stéphane</w:t>
            </w:r>
            <w:proofErr w:type="spellEnd"/>
            <w:r w:rsidRPr="003D125F">
              <w:rPr>
                <w:rFonts w:eastAsia="Calibri"/>
                <w:sz w:val="20"/>
              </w:rPr>
              <w:t> </w:t>
            </w:r>
            <w:proofErr w:type="spellStart"/>
            <w:r w:rsidRPr="003D125F">
              <w:rPr>
                <w:rFonts w:eastAsia="Calibri"/>
                <w:sz w:val="20"/>
              </w:rPr>
              <w:t>Duguay</w:t>
            </w:r>
            <w:proofErr w:type="spellEnd"/>
            <w:r w:rsidRPr="003D125F">
              <w:rPr>
                <w:rFonts w:eastAsia="Calibri"/>
                <w:sz w:val="20"/>
              </w:rPr>
              <w:t xml:space="preserve"> and was released.  The Applicant </w:t>
            </w:r>
            <w:proofErr w:type="spellStart"/>
            <w:r w:rsidRPr="003D125F">
              <w:rPr>
                <w:rFonts w:eastAsia="Calibri"/>
                <w:sz w:val="20"/>
              </w:rPr>
              <w:t>Duguay</w:t>
            </w:r>
            <w:proofErr w:type="spellEnd"/>
            <w:r w:rsidRPr="003D125F">
              <w:rPr>
                <w:rFonts w:eastAsia="Calibri"/>
                <w:sz w:val="20"/>
              </w:rPr>
              <w:t xml:space="preserve"> was charged with seven counts, including dangerous operation of a motor vehicle and failure to stop at the scene of an accident.</w:t>
            </w:r>
          </w:p>
        </w:tc>
      </w:tr>
    </w:tbl>
    <w:p w:rsidR="004D595B" w:rsidRDefault="004D595B" w:rsidP="004D595B"/>
    <w:tbl>
      <w:tblPr>
        <w:tblW w:w="4952" w:type="pct"/>
        <w:tblLayout w:type="fixed"/>
        <w:tblCellMar>
          <w:left w:w="0" w:type="dxa"/>
          <w:bottom w:w="99" w:type="dxa"/>
          <w:right w:w="0" w:type="dxa"/>
        </w:tblCellMar>
        <w:tblLook w:val="04A0"/>
      </w:tblPr>
      <w:tblGrid>
        <w:gridCol w:w="4624"/>
        <w:gridCol w:w="463"/>
        <w:gridCol w:w="4440"/>
      </w:tblGrid>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t>November 5, 2009</w:t>
            </w:r>
          </w:p>
          <w:p w:rsidR="004D595B" w:rsidRPr="003D125F" w:rsidRDefault="004D595B" w:rsidP="004D595B">
            <w:pPr>
              <w:jc w:val="both"/>
              <w:rPr>
                <w:rFonts w:eastAsia="Calibri"/>
                <w:sz w:val="20"/>
              </w:rPr>
            </w:pPr>
            <w:r w:rsidRPr="003D125F">
              <w:rPr>
                <w:rFonts w:eastAsia="Calibri"/>
                <w:sz w:val="20"/>
              </w:rPr>
              <w:t>Court of Québec</w:t>
            </w:r>
          </w:p>
          <w:p w:rsidR="004D595B" w:rsidRPr="003D125F" w:rsidRDefault="004D595B" w:rsidP="004D595B">
            <w:pPr>
              <w:jc w:val="both"/>
              <w:rPr>
                <w:rFonts w:eastAsia="Calibri"/>
                <w:sz w:val="20"/>
              </w:rPr>
            </w:pPr>
            <w:r w:rsidRPr="003D125F">
              <w:rPr>
                <w:rFonts w:eastAsia="Calibri"/>
                <w:sz w:val="20"/>
              </w:rPr>
              <w:t>(Tremblay, Jean-Yves)</w:t>
            </w:r>
          </w:p>
          <w:p w:rsidR="004D595B" w:rsidRPr="003D125F" w:rsidRDefault="004D595B" w:rsidP="00DF7DFB">
            <w:pPr>
              <w:jc w:val="both"/>
              <w:rPr>
                <w:rFonts w:eastAsia="Calibri"/>
                <w:sz w:val="20"/>
              </w:rPr>
            </w:pPr>
            <w:r w:rsidRPr="003D125F">
              <w:rPr>
                <w:rFonts w:eastAsia="Calibri"/>
                <w:sz w:val="20"/>
              </w:rPr>
              <w:t>Neutral citation: 2007 QCCQ 17744</w:t>
            </w:r>
          </w:p>
        </w:tc>
        <w:tc>
          <w:tcPr>
            <w:tcW w:w="243" w:type="pct"/>
          </w:tcPr>
          <w:p w:rsidR="004D595B" w:rsidRDefault="004D595B" w:rsidP="004D595B">
            <w:pPr>
              <w:jc w:val="both"/>
              <w:rPr>
                <w:rFonts w:eastAsia="Calibri"/>
                <w:sz w:val="20"/>
              </w:rPr>
            </w:pPr>
          </w:p>
          <w:p w:rsidR="00DF7DFB" w:rsidRDefault="00DF7DFB" w:rsidP="004D595B">
            <w:pPr>
              <w:jc w:val="both"/>
              <w:rPr>
                <w:rFonts w:eastAsia="Calibri"/>
                <w:sz w:val="20"/>
              </w:rPr>
            </w:pPr>
          </w:p>
          <w:p w:rsidR="00DF7DFB" w:rsidRDefault="00DF7DFB" w:rsidP="004D595B">
            <w:pPr>
              <w:jc w:val="both"/>
              <w:rPr>
                <w:rFonts w:eastAsia="Calibri"/>
                <w:sz w:val="20"/>
              </w:rPr>
            </w:pPr>
          </w:p>
          <w:p w:rsidR="00DF7DFB" w:rsidRDefault="00DF7DFB" w:rsidP="004D595B">
            <w:pPr>
              <w:jc w:val="both"/>
              <w:rPr>
                <w:rFonts w:eastAsia="Calibri"/>
                <w:sz w:val="20"/>
              </w:rPr>
            </w:pPr>
          </w:p>
          <w:p w:rsidR="00DF7DFB" w:rsidRPr="003D125F" w:rsidRDefault="00DF7DFB"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 xml:space="preserve">Applicant convicted of three counts, including dangerous operation causing death; Court refusing to allow </w:t>
            </w:r>
            <w:proofErr w:type="spellStart"/>
            <w:r w:rsidRPr="003D125F">
              <w:rPr>
                <w:rFonts w:eastAsia="Calibri"/>
                <w:sz w:val="20"/>
              </w:rPr>
              <w:t>accused’s</w:t>
            </w:r>
            <w:proofErr w:type="spellEnd"/>
            <w:r w:rsidRPr="003D125F">
              <w:rPr>
                <w:rFonts w:eastAsia="Calibri"/>
                <w:sz w:val="20"/>
              </w:rPr>
              <w:t xml:space="preserve"> first counsel to testify in his defence</w:t>
            </w:r>
          </w:p>
        </w:tc>
      </w:tr>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t>February 25, 2010</w:t>
            </w:r>
          </w:p>
          <w:p w:rsidR="004D595B" w:rsidRPr="003D125F" w:rsidRDefault="004D595B" w:rsidP="004D595B">
            <w:pPr>
              <w:jc w:val="both"/>
              <w:rPr>
                <w:rFonts w:eastAsia="Calibri"/>
                <w:sz w:val="20"/>
              </w:rPr>
            </w:pPr>
            <w:r w:rsidRPr="003D125F">
              <w:rPr>
                <w:rFonts w:eastAsia="Calibri"/>
                <w:sz w:val="20"/>
              </w:rPr>
              <w:t>Quebec Court of Appeal (Québec)</w:t>
            </w:r>
          </w:p>
          <w:p w:rsidR="004D595B" w:rsidRPr="003D125F" w:rsidRDefault="004D595B" w:rsidP="004D595B">
            <w:pPr>
              <w:jc w:val="both"/>
              <w:rPr>
                <w:rFonts w:eastAsia="Calibri"/>
                <w:sz w:val="20"/>
              </w:rPr>
            </w:pPr>
            <w:r w:rsidRPr="003D125F">
              <w:rPr>
                <w:rFonts w:eastAsia="Calibri"/>
                <w:sz w:val="20"/>
              </w:rPr>
              <w:t xml:space="preserve">(Robert C.J. and Pelletier and </w:t>
            </w:r>
            <w:proofErr w:type="spellStart"/>
            <w:r w:rsidRPr="003D125F">
              <w:rPr>
                <w:rFonts w:eastAsia="Calibri"/>
                <w:sz w:val="20"/>
              </w:rPr>
              <w:t>Vézina</w:t>
            </w:r>
            <w:proofErr w:type="spellEnd"/>
            <w:r w:rsidRPr="003D125F">
              <w:rPr>
                <w:rFonts w:eastAsia="Calibri"/>
                <w:sz w:val="20"/>
              </w:rPr>
              <w:t> JJ.A.)</w:t>
            </w:r>
          </w:p>
          <w:p w:rsidR="004D595B" w:rsidRPr="003D125F" w:rsidRDefault="004D595B" w:rsidP="00DF7DFB">
            <w:pPr>
              <w:jc w:val="both"/>
              <w:rPr>
                <w:rFonts w:eastAsia="Calibri"/>
                <w:sz w:val="20"/>
              </w:rPr>
            </w:pPr>
            <w:r w:rsidRPr="003D125F">
              <w:rPr>
                <w:rFonts w:eastAsia="Calibri"/>
                <w:sz w:val="20"/>
              </w:rPr>
              <w:t>Neutral citation: 2010 QCCA 370</w:t>
            </w:r>
          </w:p>
        </w:tc>
        <w:tc>
          <w:tcPr>
            <w:tcW w:w="243" w:type="pct"/>
          </w:tcPr>
          <w:p w:rsidR="004D595B" w:rsidRDefault="004D595B" w:rsidP="004D595B">
            <w:pPr>
              <w:jc w:val="both"/>
              <w:rPr>
                <w:rFonts w:eastAsia="Calibri"/>
                <w:sz w:val="20"/>
              </w:rPr>
            </w:pPr>
          </w:p>
          <w:p w:rsidR="00DF7DFB" w:rsidRDefault="00DF7DFB" w:rsidP="004D595B">
            <w:pPr>
              <w:jc w:val="both"/>
              <w:rPr>
                <w:rFonts w:eastAsia="Calibri"/>
                <w:sz w:val="20"/>
              </w:rPr>
            </w:pPr>
          </w:p>
          <w:p w:rsidR="00DF7DFB" w:rsidRDefault="00DF7DFB" w:rsidP="004D595B">
            <w:pPr>
              <w:jc w:val="both"/>
              <w:rPr>
                <w:rFonts w:eastAsia="Calibri"/>
                <w:sz w:val="20"/>
              </w:rPr>
            </w:pPr>
          </w:p>
          <w:p w:rsidR="00DF7DFB" w:rsidRDefault="00DF7DFB" w:rsidP="004D595B">
            <w:pPr>
              <w:jc w:val="both"/>
              <w:rPr>
                <w:rFonts w:eastAsia="Calibri"/>
                <w:sz w:val="20"/>
              </w:rPr>
            </w:pPr>
          </w:p>
          <w:p w:rsidR="00DF7DFB" w:rsidRPr="003D125F" w:rsidRDefault="00DF7DFB"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Appeal dismissed; Court finding that trial judge had erred in refusing to hear first counsel’s testimony but concluding that error not determinative</w:t>
            </w:r>
          </w:p>
        </w:tc>
      </w:tr>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t>April 23, 2010</w:t>
            </w:r>
          </w:p>
          <w:p w:rsidR="004D595B" w:rsidRPr="003D125F" w:rsidRDefault="004D595B" w:rsidP="004D595B">
            <w:pPr>
              <w:jc w:val="both"/>
              <w:rPr>
                <w:rFonts w:eastAsia="Calibri"/>
                <w:sz w:val="20"/>
              </w:rPr>
            </w:pPr>
            <w:r w:rsidRPr="003D125F">
              <w:rPr>
                <w:rFonts w:eastAsia="Calibri"/>
                <w:sz w:val="20"/>
              </w:rPr>
              <w:t>Supreme Court of Canada</w:t>
            </w:r>
          </w:p>
        </w:tc>
        <w:tc>
          <w:tcPr>
            <w:tcW w:w="243" w:type="pct"/>
          </w:tcPr>
          <w:p w:rsidR="004D595B" w:rsidRPr="003D125F" w:rsidRDefault="004D595B"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Application for leave to appeal filed</w:t>
            </w:r>
          </w:p>
          <w:p w:rsidR="004D595B" w:rsidRPr="003D125F" w:rsidRDefault="004D595B" w:rsidP="004D595B">
            <w:pPr>
              <w:jc w:val="both"/>
              <w:rPr>
                <w:rFonts w:eastAsia="Calibri"/>
                <w:sz w:val="20"/>
              </w:rPr>
            </w:pPr>
          </w:p>
        </w:tc>
      </w:tr>
    </w:tbl>
    <w:p w:rsidR="004D595B" w:rsidRDefault="004D595B" w:rsidP="00153777">
      <w:pPr>
        <w:keepNext/>
        <w:rPr>
          <w:sz w:val="20"/>
          <w:szCs w:val="20"/>
        </w:rPr>
      </w:pPr>
    </w:p>
    <w:p w:rsidR="00153777" w:rsidRPr="00C50A5C" w:rsidRDefault="003E770A" w:rsidP="00153777">
      <w:pPr>
        <w:rPr>
          <w:sz w:val="20"/>
          <w:szCs w:val="20"/>
        </w:rPr>
      </w:pPr>
      <w:r w:rsidRPr="003E770A">
        <w:rPr>
          <w:sz w:val="20"/>
          <w:szCs w:val="20"/>
          <w:lang w:val="fr-CA"/>
        </w:rPr>
        <w:pict>
          <v:rect id="_x0000_i1043" style="width:2in;height:1pt" o:hrpct="0" o:hralign="center" o:hrstd="t" o:hrnoshade="t" o:hr="t" fillcolor="black [3213]" stroked="f"/>
        </w:pict>
      </w:r>
    </w:p>
    <w:p w:rsidR="00153777" w:rsidRPr="00C50A5C" w:rsidRDefault="00153777" w:rsidP="00153777">
      <w:pPr>
        <w:rPr>
          <w:sz w:val="20"/>
          <w:szCs w:val="20"/>
        </w:rPr>
      </w:pPr>
    </w:p>
    <w:p w:rsidR="00153777" w:rsidRPr="00C50A5C" w:rsidRDefault="00153777" w:rsidP="00153777">
      <w:pPr>
        <w:keepNext/>
        <w:rPr>
          <w:sz w:val="20"/>
          <w:szCs w:val="20"/>
          <w:u w:val="single"/>
          <w:lang w:val="fr-CA"/>
        </w:rPr>
      </w:pPr>
      <w:r w:rsidRPr="00C50A5C">
        <w:rPr>
          <w:sz w:val="20"/>
          <w:szCs w:val="20"/>
          <w:u w:val="single"/>
          <w:lang w:val="fr-CA"/>
        </w:rPr>
        <w:t>RÉSUMÉ DE L’AFFAIRE</w:t>
      </w:r>
    </w:p>
    <w:p w:rsidR="00153777" w:rsidRDefault="00153777" w:rsidP="00153777">
      <w:pPr>
        <w:keepNext/>
        <w:rPr>
          <w:sz w:val="20"/>
          <w:szCs w:val="20"/>
          <w:lang w:val="fr-CA"/>
        </w:rPr>
      </w:pPr>
    </w:p>
    <w:tbl>
      <w:tblPr>
        <w:tblW w:w="4952" w:type="pct"/>
        <w:tblLayout w:type="fixed"/>
        <w:tblCellMar>
          <w:left w:w="0" w:type="dxa"/>
          <w:bottom w:w="99" w:type="dxa"/>
          <w:right w:w="0" w:type="dxa"/>
        </w:tblCellMar>
        <w:tblLook w:val="04A0"/>
      </w:tblPr>
      <w:tblGrid>
        <w:gridCol w:w="9527"/>
      </w:tblGrid>
      <w:tr w:rsidR="004D595B" w:rsidRPr="003B380E" w:rsidTr="004D595B">
        <w:tc>
          <w:tcPr>
            <w:tcW w:w="5000" w:type="pct"/>
          </w:tcPr>
          <w:p w:rsidR="004D595B" w:rsidRDefault="004D595B" w:rsidP="004D595B">
            <w:pPr>
              <w:jc w:val="both"/>
              <w:rPr>
                <w:rFonts w:eastAsia="Calibri"/>
                <w:sz w:val="20"/>
                <w:lang w:val="fr-CA"/>
              </w:rPr>
            </w:pPr>
            <w:r w:rsidRPr="003D125F">
              <w:rPr>
                <w:rFonts w:eastAsia="Calibri"/>
                <w:sz w:val="20"/>
                <w:lang w:val="fr-CA"/>
              </w:rPr>
              <w:t xml:space="preserve">Droit criminel – Preuve – Accident impliquant un camion-remorque et une camionnette – Décès de la conductrice de la camionnette – Enquête portant sur l’identité du chauffeur du camion-remorque - Suspect devenu témoin à charge – Refus du juge du procès d’entendre en défense le témoignage du premier avocat de l’accusé au sujet du témoin à charge – La Cour d’appel a-t-elle privé l’accusé d’une défense pleine et entière en n’ordonnant pas un nouveau procès après avoir constaté une erreur manifeste de la part du juge du procès? -  </w:t>
            </w:r>
            <w:r w:rsidR="003E770A" w:rsidRPr="003D125F">
              <w:rPr>
                <w:rFonts w:eastAsia="Calibri"/>
                <w:sz w:val="20"/>
              </w:rPr>
              <w:fldChar w:fldCharType="begin"/>
            </w:r>
            <w:r w:rsidRPr="003D125F">
              <w:rPr>
                <w:rFonts w:eastAsia="Calibri"/>
                <w:sz w:val="20"/>
                <w:lang w:val="fr-FR"/>
              </w:rPr>
              <w:instrText xml:space="preserve"> SEQ CHAPTER \h \r 1</w:instrText>
            </w:r>
            <w:r w:rsidR="003E770A" w:rsidRPr="003D125F">
              <w:rPr>
                <w:rFonts w:eastAsia="Calibri"/>
                <w:sz w:val="20"/>
              </w:rPr>
              <w:fldChar w:fldCharType="end"/>
            </w:r>
            <w:r w:rsidRPr="003D125F">
              <w:rPr>
                <w:rFonts w:eastAsia="Calibri"/>
                <w:sz w:val="20"/>
                <w:lang w:val="fr-CA"/>
              </w:rPr>
              <w:t xml:space="preserve">La Cour d’appel a-t-elle erré en rejetant sans motif l’appel malgré la présence d’un doute raisonnable? - </w:t>
            </w:r>
            <w:r w:rsidR="003E770A" w:rsidRPr="003D125F">
              <w:rPr>
                <w:rFonts w:eastAsia="Calibri"/>
                <w:sz w:val="20"/>
              </w:rPr>
              <w:fldChar w:fldCharType="begin"/>
            </w:r>
            <w:r w:rsidRPr="003D125F">
              <w:rPr>
                <w:rFonts w:eastAsia="Calibri"/>
                <w:sz w:val="20"/>
                <w:lang w:val="fr-FR"/>
              </w:rPr>
              <w:instrText xml:space="preserve"> SEQ CHAPTER \h \r 1</w:instrText>
            </w:r>
            <w:r w:rsidR="003E770A" w:rsidRPr="003D125F">
              <w:rPr>
                <w:rFonts w:eastAsia="Calibri"/>
                <w:sz w:val="20"/>
              </w:rPr>
              <w:fldChar w:fldCharType="end"/>
            </w:r>
            <w:r w:rsidRPr="003D125F">
              <w:rPr>
                <w:rFonts w:eastAsia="Calibri"/>
                <w:sz w:val="20"/>
                <w:lang w:val="fr-CA"/>
              </w:rPr>
              <w:t>La Cour suprême est-elle fondée d’ordonner la tenue d’un nouveau procès sur la foi de la preuve nouvelle découverte par le demandeur depuis le jugement de la Cour d’appel?</w:t>
            </w:r>
          </w:p>
          <w:p w:rsidR="004D595B" w:rsidRPr="003D125F" w:rsidRDefault="004D595B" w:rsidP="004D595B">
            <w:pPr>
              <w:jc w:val="both"/>
              <w:rPr>
                <w:rFonts w:eastAsia="Calibri"/>
                <w:sz w:val="20"/>
                <w:lang w:val="fr-CA"/>
              </w:rPr>
            </w:pPr>
          </w:p>
        </w:tc>
      </w:tr>
      <w:tr w:rsidR="004D595B" w:rsidRPr="003B380E" w:rsidTr="004D595B">
        <w:tc>
          <w:tcPr>
            <w:tcW w:w="5000" w:type="pct"/>
          </w:tcPr>
          <w:p w:rsidR="004D595B" w:rsidRPr="003D125F" w:rsidRDefault="004D595B" w:rsidP="00DF7DFB">
            <w:pPr>
              <w:jc w:val="both"/>
              <w:rPr>
                <w:rFonts w:eastAsia="Calibri"/>
                <w:sz w:val="20"/>
                <w:lang w:val="fr-CA"/>
              </w:rPr>
            </w:pPr>
            <w:r w:rsidRPr="003D125F">
              <w:rPr>
                <w:rFonts w:eastAsia="Calibri"/>
                <w:sz w:val="20"/>
                <w:lang w:val="fr-CA"/>
              </w:rPr>
              <w:t>Le 15 février 2002, en fin de soirée, un camion-remorque dérape à St-Ambroise, sur la route 172. La remorque va frapper une camionnette qui roule en sens inverse. La conductrice de la camionnette est tuée pratiquement sur le coup. Le conducteur du camion-remorque ne s’arrête pas mais la police retrace le véhicule accidenté. Le 10 mars 2002, après enquête, les policiers arrêtent Pierre Asselin. Celui-ci incrimine Stéphane Duguay et est relâché. Le demandeur Duguay est accusé sous sept chefs, dont celui de conduite dangereuse et celui de délit de fuite.</w:t>
            </w:r>
          </w:p>
        </w:tc>
      </w:tr>
    </w:tbl>
    <w:p w:rsidR="004D595B" w:rsidRPr="004D595B" w:rsidRDefault="004D595B" w:rsidP="004D595B">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4D595B" w:rsidRPr="003B380E"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lastRenderedPageBreak/>
              <w:t>Le 5 novembre 2009</w:t>
            </w:r>
          </w:p>
          <w:p w:rsidR="004D595B" w:rsidRPr="003D125F" w:rsidRDefault="004D595B" w:rsidP="004D595B">
            <w:pPr>
              <w:jc w:val="both"/>
              <w:rPr>
                <w:rFonts w:eastAsia="Calibri"/>
                <w:sz w:val="20"/>
                <w:lang w:val="fr-CA"/>
              </w:rPr>
            </w:pPr>
            <w:r w:rsidRPr="003D125F">
              <w:rPr>
                <w:rFonts w:eastAsia="Calibri"/>
                <w:sz w:val="20"/>
                <w:lang w:val="fr-CA"/>
              </w:rPr>
              <w:t>Cour du Québec</w:t>
            </w:r>
          </w:p>
          <w:p w:rsidR="004D595B" w:rsidRPr="003D125F" w:rsidRDefault="004D595B" w:rsidP="004D595B">
            <w:pPr>
              <w:jc w:val="both"/>
              <w:rPr>
                <w:rFonts w:eastAsia="Calibri"/>
                <w:sz w:val="20"/>
                <w:lang w:val="fr-CA"/>
              </w:rPr>
            </w:pPr>
            <w:r w:rsidRPr="003D125F">
              <w:rPr>
                <w:rFonts w:eastAsia="Calibri"/>
                <w:sz w:val="20"/>
                <w:lang w:val="fr-CA"/>
              </w:rPr>
              <w:t>(Tremblay Jean-Yves)</w:t>
            </w:r>
          </w:p>
          <w:p w:rsidR="004D595B" w:rsidRPr="003D125F" w:rsidRDefault="004D595B" w:rsidP="00DF7DFB">
            <w:pPr>
              <w:jc w:val="both"/>
              <w:rPr>
                <w:rFonts w:eastAsia="Calibri"/>
                <w:sz w:val="20"/>
                <w:lang w:val="fr-CA"/>
              </w:rPr>
            </w:pPr>
            <w:r w:rsidRPr="003D125F">
              <w:rPr>
                <w:rFonts w:eastAsia="Calibri"/>
                <w:sz w:val="20"/>
                <w:lang w:val="fr-CA"/>
              </w:rPr>
              <w:t>Référence neutre : 2007 QCCQ 17744</w:t>
            </w:r>
          </w:p>
        </w:tc>
        <w:tc>
          <w:tcPr>
            <w:tcW w:w="243" w:type="pct"/>
          </w:tcPr>
          <w:p w:rsidR="004D595B" w:rsidRDefault="004D595B" w:rsidP="004D595B">
            <w:pPr>
              <w:jc w:val="both"/>
              <w:rPr>
                <w:rFonts w:eastAsia="Calibri"/>
                <w:sz w:val="20"/>
                <w:lang w:val="fr-CA"/>
              </w:rPr>
            </w:pPr>
          </w:p>
          <w:p w:rsidR="00DF7DFB" w:rsidRDefault="00DF7DFB" w:rsidP="004D595B">
            <w:pPr>
              <w:jc w:val="both"/>
              <w:rPr>
                <w:rFonts w:eastAsia="Calibri"/>
                <w:sz w:val="20"/>
                <w:lang w:val="fr-CA"/>
              </w:rPr>
            </w:pPr>
          </w:p>
          <w:p w:rsidR="00DF7DFB" w:rsidRDefault="00DF7DFB" w:rsidP="004D595B">
            <w:pPr>
              <w:jc w:val="both"/>
              <w:rPr>
                <w:rFonts w:eastAsia="Calibri"/>
                <w:sz w:val="20"/>
                <w:lang w:val="fr-CA"/>
              </w:rPr>
            </w:pPr>
          </w:p>
          <w:p w:rsidR="00DF7DFB" w:rsidRDefault="00DF7DFB" w:rsidP="004D595B">
            <w:pPr>
              <w:jc w:val="both"/>
              <w:rPr>
                <w:rFonts w:eastAsia="Calibri"/>
                <w:sz w:val="20"/>
                <w:lang w:val="fr-CA"/>
              </w:rPr>
            </w:pPr>
          </w:p>
          <w:p w:rsidR="00DF7DFB" w:rsidRPr="003D125F" w:rsidRDefault="00DF7DFB" w:rsidP="004D595B">
            <w:pPr>
              <w:jc w:val="both"/>
              <w:rPr>
                <w:rFonts w:eastAsia="Calibri"/>
                <w:sz w:val="20"/>
                <w:lang w:val="fr-CA"/>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Déclaration de culpabilité du demandeur sous trois chefs d’accusation, dont la conduite dangereuse ayant entraîné la mort; refus du tribunal d’entendre en défense le témoignage du premier avocat de l’accusé.</w:t>
            </w:r>
          </w:p>
        </w:tc>
      </w:tr>
      <w:tr w:rsidR="004D595B" w:rsidRPr="003B380E"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t>Le 25 février 2010</w:t>
            </w:r>
          </w:p>
          <w:p w:rsidR="004D595B" w:rsidRPr="003D125F" w:rsidRDefault="004D595B" w:rsidP="004D595B">
            <w:pPr>
              <w:jc w:val="both"/>
              <w:rPr>
                <w:rFonts w:eastAsia="Calibri"/>
                <w:sz w:val="20"/>
                <w:lang w:val="fr-CA"/>
              </w:rPr>
            </w:pPr>
            <w:r w:rsidRPr="003D125F">
              <w:rPr>
                <w:rFonts w:eastAsia="Calibri"/>
                <w:sz w:val="20"/>
                <w:lang w:val="fr-CA"/>
              </w:rPr>
              <w:t>Cour d’appel du Québec (Québec)</w:t>
            </w:r>
          </w:p>
          <w:p w:rsidR="004D595B" w:rsidRPr="003D125F" w:rsidRDefault="004D595B" w:rsidP="004D595B">
            <w:pPr>
              <w:jc w:val="both"/>
              <w:rPr>
                <w:rFonts w:eastAsia="Calibri"/>
                <w:sz w:val="20"/>
                <w:lang w:val="fr-CA"/>
              </w:rPr>
            </w:pPr>
            <w:r w:rsidRPr="003D125F">
              <w:rPr>
                <w:rFonts w:eastAsia="Calibri"/>
                <w:sz w:val="20"/>
                <w:lang w:val="fr-CA"/>
              </w:rPr>
              <w:t xml:space="preserve">(Le juge en chef Robert et les juges Pelletier et </w:t>
            </w:r>
            <w:proofErr w:type="spellStart"/>
            <w:r w:rsidRPr="003D125F">
              <w:rPr>
                <w:rFonts w:eastAsia="Calibri"/>
                <w:sz w:val="20"/>
                <w:lang w:val="fr-CA"/>
              </w:rPr>
              <w:t>Vézina</w:t>
            </w:r>
            <w:proofErr w:type="spellEnd"/>
            <w:r w:rsidRPr="003D125F">
              <w:rPr>
                <w:rFonts w:eastAsia="Calibri"/>
                <w:sz w:val="20"/>
                <w:lang w:val="fr-CA"/>
              </w:rPr>
              <w:t>)</w:t>
            </w:r>
          </w:p>
          <w:p w:rsidR="004D595B" w:rsidRPr="003D125F" w:rsidRDefault="004D595B" w:rsidP="00DF7DFB">
            <w:pPr>
              <w:jc w:val="both"/>
              <w:rPr>
                <w:rFonts w:eastAsia="Calibri"/>
                <w:sz w:val="20"/>
                <w:lang w:val="fr-FR"/>
              </w:rPr>
            </w:pPr>
            <w:r w:rsidRPr="003D125F">
              <w:rPr>
                <w:rFonts w:eastAsia="Calibri"/>
                <w:sz w:val="20"/>
                <w:lang w:val="fr-CA"/>
              </w:rPr>
              <w:t>Référence neutre : 2010 QCCA 370</w:t>
            </w:r>
          </w:p>
        </w:tc>
        <w:tc>
          <w:tcPr>
            <w:tcW w:w="243" w:type="pct"/>
          </w:tcPr>
          <w:p w:rsidR="004D595B" w:rsidRDefault="004D595B" w:rsidP="004D595B">
            <w:pPr>
              <w:jc w:val="both"/>
              <w:rPr>
                <w:rFonts w:eastAsia="Calibri"/>
                <w:sz w:val="20"/>
                <w:lang w:val="fr-FR"/>
              </w:rPr>
            </w:pPr>
          </w:p>
          <w:p w:rsidR="00DF7DFB" w:rsidRDefault="00DF7DFB" w:rsidP="004D595B">
            <w:pPr>
              <w:jc w:val="both"/>
              <w:rPr>
                <w:rFonts w:eastAsia="Calibri"/>
                <w:sz w:val="20"/>
                <w:lang w:val="fr-FR"/>
              </w:rPr>
            </w:pPr>
          </w:p>
          <w:p w:rsidR="00DF7DFB" w:rsidRDefault="00DF7DFB" w:rsidP="004D595B">
            <w:pPr>
              <w:jc w:val="both"/>
              <w:rPr>
                <w:rFonts w:eastAsia="Calibri"/>
                <w:sz w:val="20"/>
                <w:lang w:val="fr-FR"/>
              </w:rPr>
            </w:pPr>
          </w:p>
          <w:p w:rsidR="00DF7DFB" w:rsidRDefault="00DF7DFB" w:rsidP="004D595B">
            <w:pPr>
              <w:jc w:val="both"/>
              <w:rPr>
                <w:rFonts w:eastAsia="Calibri"/>
                <w:sz w:val="20"/>
                <w:lang w:val="fr-FR"/>
              </w:rPr>
            </w:pPr>
          </w:p>
          <w:p w:rsidR="00DF7DFB" w:rsidRPr="003D125F" w:rsidRDefault="00DF7DFB" w:rsidP="004D595B">
            <w:pPr>
              <w:jc w:val="both"/>
              <w:rPr>
                <w:rFonts w:eastAsia="Calibri"/>
                <w:sz w:val="20"/>
                <w:lang w:val="fr-FR"/>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Rejet de l’appel; constat d’une erreur du premier juge dans le refus d’entendre le témoignage du premier avocat mais conclusion à l’effet que cette erreur n’était pas décisive.</w:t>
            </w:r>
          </w:p>
        </w:tc>
      </w:tr>
      <w:tr w:rsidR="004D595B" w:rsidRPr="003B380E"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t>Le 23 avril 2010</w:t>
            </w:r>
          </w:p>
          <w:p w:rsidR="004D595B" w:rsidRPr="003D125F" w:rsidRDefault="004D595B" w:rsidP="004D595B">
            <w:pPr>
              <w:jc w:val="both"/>
              <w:rPr>
                <w:rFonts w:eastAsia="Calibri"/>
                <w:sz w:val="20"/>
                <w:lang w:val="fr-FR"/>
              </w:rPr>
            </w:pPr>
            <w:r w:rsidRPr="003D125F">
              <w:rPr>
                <w:rFonts w:eastAsia="Calibri"/>
                <w:sz w:val="20"/>
                <w:lang w:val="fr-CA"/>
              </w:rPr>
              <w:t>Cour suprême du Canada</w:t>
            </w:r>
          </w:p>
        </w:tc>
        <w:tc>
          <w:tcPr>
            <w:tcW w:w="243" w:type="pct"/>
          </w:tcPr>
          <w:p w:rsidR="004D595B" w:rsidRPr="003D125F" w:rsidRDefault="004D595B" w:rsidP="004D595B">
            <w:pPr>
              <w:jc w:val="both"/>
              <w:rPr>
                <w:rFonts w:eastAsia="Calibri"/>
                <w:sz w:val="20"/>
                <w:lang w:val="fr-FR"/>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Dépôt de la demande d'autorisation d'appel.</w:t>
            </w:r>
          </w:p>
          <w:p w:rsidR="004D595B" w:rsidRPr="003D125F" w:rsidRDefault="004D595B" w:rsidP="004D595B">
            <w:pPr>
              <w:jc w:val="both"/>
              <w:rPr>
                <w:rFonts w:eastAsia="Calibri"/>
                <w:sz w:val="20"/>
                <w:lang w:val="fr-CA"/>
              </w:rPr>
            </w:pPr>
          </w:p>
        </w:tc>
      </w:tr>
    </w:tbl>
    <w:p w:rsidR="004D595B" w:rsidRPr="003D125F" w:rsidRDefault="004D595B" w:rsidP="004D595B">
      <w:pPr>
        <w:jc w:val="both"/>
        <w:rPr>
          <w:rFonts w:eastAsia="Calibri"/>
          <w:sz w:val="20"/>
          <w:lang w:val="fr-CA"/>
        </w:rPr>
      </w:pPr>
    </w:p>
    <w:p w:rsidR="00153777" w:rsidRDefault="003E770A" w:rsidP="00153777">
      <w:pPr>
        <w:keepNext/>
        <w:rPr>
          <w:sz w:val="20"/>
          <w:szCs w:val="20"/>
          <w:lang w:val="fr-CA"/>
        </w:rPr>
      </w:pPr>
      <w:r w:rsidRPr="003E770A">
        <w:rPr>
          <w:sz w:val="20"/>
          <w:szCs w:val="20"/>
          <w:lang w:val="fr-CA"/>
        </w:rPr>
        <w:pict>
          <v:rect id="_x0000_i1044" style="width:2in;height:1pt" o:hrpct="0" o:hralign="center" o:hrstd="t" o:hrnoshade="t" o:hr="t" fillcolor="black [3213]" stroked="f"/>
        </w:pict>
      </w:r>
    </w:p>
    <w:p w:rsidR="00AD2D4D" w:rsidRPr="00153777" w:rsidRDefault="00AD2D4D"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1157" w:rsidRPr="00331157" w:rsidTr="00331157">
        <w:trPr>
          <w:cantSplit/>
        </w:trPr>
        <w:tc>
          <w:tcPr>
            <w:tcW w:w="1458" w:type="dxa"/>
          </w:tcPr>
          <w:p w:rsidR="00331157" w:rsidRPr="00331157" w:rsidRDefault="00331157" w:rsidP="00331157">
            <w:pPr>
              <w:rPr>
                <w:sz w:val="20"/>
                <w:szCs w:val="20"/>
              </w:rPr>
            </w:pPr>
            <w:r w:rsidRPr="00331157">
              <w:rPr>
                <w:rStyle w:val="SCCFileNumberChar"/>
                <w:sz w:val="20"/>
                <w:szCs w:val="20"/>
              </w:rPr>
              <w:t>33699</w:t>
            </w:r>
          </w:p>
          <w:p w:rsidR="00331157" w:rsidRPr="00331157" w:rsidRDefault="00331157" w:rsidP="00331157">
            <w:pPr>
              <w:rPr>
                <w:b/>
                <w:sz w:val="20"/>
                <w:szCs w:val="20"/>
                <w:lang w:val="fr-CA"/>
              </w:rPr>
            </w:pPr>
          </w:p>
        </w:tc>
        <w:tc>
          <w:tcPr>
            <w:tcW w:w="8118" w:type="dxa"/>
          </w:tcPr>
          <w:p w:rsidR="00331157" w:rsidRPr="00331157" w:rsidRDefault="00331157" w:rsidP="00331157">
            <w:pPr>
              <w:rPr>
                <w:sz w:val="20"/>
                <w:szCs w:val="20"/>
              </w:rPr>
            </w:pPr>
            <w:r w:rsidRPr="00331157">
              <w:rPr>
                <w:rStyle w:val="SCCLsocChar"/>
                <w:sz w:val="20"/>
                <w:szCs w:val="20"/>
                <w:lang w:val="en-CA"/>
              </w:rPr>
              <w:t>Randy Leigh Roy v. Her Majesty the Queen</w:t>
            </w:r>
            <w:r w:rsidRPr="00331157">
              <w:rPr>
                <w:sz w:val="20"/>
                <w:szCs w:val="20"/>
              </w:rPr>
              <w:t xml:space="preserve"> (B.C.) (Criminal) (By Leave)</w:t>
            </w:r>
          </w:p>
          <w:p w:rsidR="00331157" w:rsidRPr="00331157" w:rsidRDefault="00331157" w:rsidP="00331157">
            <w:pPr>
              <w:rPr>
                <w:sz w:val="20"/>
                <w:szCs w:val="20"/>
              </w:rPr>
            </w:pPr>
          </w:p>
        </w:tc>
      </w:tr>
      <w:tr w:rsidR="00331157" w:rsidRPr="00331157" w:rsidTr="00331157">
        <w:trPr>
          <w:cantSplit/>
        </w:trPr>
        <w:tc>
          <w:tcPr>
            <w:tcW w:w="1458" w:type="dxa"/>
          </w:tcPr>
          <w:p w:rsidR="00331157" w:rsidRPr="00331157" w:rsidRDefault="00331157" w:rsidP="00331157">
            <w:pPr>
              <w:rPr>
                <w:sz w:val="20"/>
                <w:szCs w:val="20"/>
              </w:rPr>
            </w:pPr>
            <w:r w:rsidRPr="00331157">
              <w:rPr>
                <w:sz w:val="20"/>
                <w:szCs w:val="20"/>
              </w:rPr>
              <w:t>Coram :</w:t>
            </w:r>
          </w:p>
        </w:tc>
        <w:tc>
          <w:tcPr>
            <w:tcW w:w="8118" w:type="dxa"/>
          </w:tcPr>
          <w:p w:rsidR="00331157" w:rsidRDefault="00331157" w:rsidP="00331157">
            <w:pPr>
              <w:rPr>
                <w:rStyle w:val="SCCCoramChar"/>
                <w:sz w:val="20"/>
                <w:szCs w:val="20"/>
                <w:lang w:val="en-CA"/>
              </w:rPr>
            </w:pPr>
            <w:proofErr w:type="spellStart"/>
            <w:r w:rsidRPr="00331157">
              <w:rPr>
                <w:rStyle w:val="SCCCoramChar"/>
                <w:sz w:val="20"/>
                <w:szCs w:val="20"/>
                <w:lang w:val="en-CA"/>
              </w:rPr>
              <w:t>LeBel</w:t>
            </w:r>
            <w:proofErr w:type="spellEnd"/>
            <w:r w:rsidRPr="00331157">
              <w:rPr>
                <w:rStyle w:val="SCCCoramChar"/>
                <w:sz w:val="20"/>
                <w:szCs w:val="20"/>
                <w:lang w:val="en-CA"/>
              </w:rPr>
              <w:t xml:space="preserve">, </w:t>
            </w:r>
            <w:proofErr w:type="spellStart"/>
            <w:r w:rsidRPr="00331157">
              <w:rPr>
                <w:rStyle w:val="SCCCoramChar"/>
                <w:sz w:val="20"/>
                <w:szCs w:val="20"/>
                <w:lang w:val="en-CA"/>
              </w:rPr>
              <w:t>Deschamps</w:t>
            </w:r>
            <w:proofErr w:type="spellEnd"/>
            <w:r w:rsidRPr="00331157">
              <w:rPr>
                <w:rStyle w:val="SCCCoramChar"/>
                <w:sz w:val="20"/>
                <w:szCs w:val="20"/>
                <w:lang w:val="en-CA"/>
              </w:rPr>
              <w:t xml:space="preserve"> and </w:t>
            </w:r>
            <w:proofErr w:type="spellStart"/>
            <w:r w:rsidRPr="00331157">
              <w:rPr>
                <w:rStyle w:val="SCCCoramChar"/>
                <w:sz w:val="20"/>
                <w:szCs w:val="20"/>
                <w:lang w:val="en-CA"/>
              </w:rPr>
              <w:t>Charron</w:t>
            </w:r>
            <w:proofErr w:type="spellEnd"/>
            <w:r w:rsidRPr="00331157">
              <w:rPr>
                <w:rStyle w:val="SCCCoramChar"/>
                <w:sz w:val="20"/>
                <w:szCs w:val="20"/>
                <w:lang w:val="en-CA"/>
              </w:rPr>
              <w:t> JJ.</w:t>
            </w:r>
          </w:p>
          <w:p w:rsidR="00331157" w:rsidRPr="00331157" w:rsidRDefault="00331157" w:rsidP="00331157">
            <w:pPr>
              <w:rPr>
                <w:sz w:val="20"/>
                <w:szCs w:val="20"/>
              </w:rPr>
            </w:pPr>
          </w:p>
        </w:tc>
      </w:tr>
      <w:tr w:rsidR="00331157" w:rsidRPr="003B380E" w:rsidTr="00331157">
        <w:trPr>
          <w:cantSplit/>
        </w:trPr>
        <w:tc>
          <w:tcPr>
            <w:tcW w:w="9576" w:type="dxa"/>
            <w:gridSpan w:val="2"/>
          </w:tcPr>
          <w:p w:rsidR="00331157" w:rsidRDefault="00331157" w:rsidP="00331157">
            <w:pPr>
              <w:jc w:val="both"/>
              <w:rPr>
                <w:sz w:val="20"/>
                <w:szCs w:val="20"/>
              </w:rPr>
            </w:pPr>
            <w:r>
              <w:rPr>
                <w:sz w:val="20"/>
                <w:szCs w:val="20"/>
              </w:rPr>
              <w:tab/>
            </w:r>
            <w:r w:rsidRPr="00331157">
              <w:rPr>
                <w:sz w:val="20"/>
                <w:szCs w:val="20"/>
              </w:rPr>
              <w:t>The application for leave to appeal from the judgment of the Court of Appeal for British Columbia (Vancouver), Number CA034476, 2010 BCCA 130, dated March 16, 2010, is granted without costs.</w:t>
            </w:r>
          </w:p>
          <w:p w:rsidR="00331157" w:rsidRPr="00331157" w:rsidRDefault="00331157" w:rsidP="00331157">
            <w:pPr>
              <w:jc w:val="both"/>
              <w:rPr>
                <w:sz w:val="20"/>
                <w:szCs w:val="20"/>
              </w:rPr>
            </w:pPr>
          </w:p>
          <w:p w:rsidR="00331157" w:rsidRPr="00331157" w:rsidRDefault="00331157" w:rsidP="00331157">
            <w:pPr>
              <w:jc w:val="both"/>
              <w:rPr>
                <w:sz w:val="20"/>
                <w:szCs w:val="20"/>
                <w:lang w:val="fr-CA"/>
              </w:rPr>
            </w:pPr>
            <w:r w:rsidRPr="00052196">
              <w:rPr>
                <w:sz w:val="20"/>
                <w:szCs w:val="20"/>
              </w:rPr>
              <w:tab/>
            </w:r>
            <w:r w:rsidRPr="00331157">
              <w:rPr>
                <w:sz w:val="20"/>
                <w:szCs w:val="20"/>
                <w:lang w:val="fr-CA"/>
              </w:rPr>
              <w:t>La demande d’autorisation d’appel de l’arrêt de la Cour d’appel de la Colombie-Britannique (Vancouver), numéro CA034476, 2010 BCCA 130, daté du 16 mars 2010, est accordée sans dépens.</w:t>
            </w:r>
          </w:p>
        </w:tc>
      </w:tr>
    </w:tbl>
    <w:p w:rsidR="00AD2D4D" w:rsidRPr="00331157" w:rsidRDefault="00AD2D4D" w:rsidP="008D292F">
      <w:pPr>
        <w:rPr>
          <w:sz w:val="20"/>
          <w:szCs w:val="20"/>
          <w:lang w:val="fr-CA"/>
        </w:rPr>
      </w:pPr>
    </w:p>
    <w:p w:rsidR="00331157" w:rsidRPr="00C50A5C" w:rsidRDefault="00331157" w:rsidP="00331157">
      <w:pPr>
        <w:keepNext/>
        <w:rPr>
          <w:sz w:val="20"/>
          <w:szCs w:val="20"/>
        </w:rPr>
      </w:pPr>
      <w:r w:rsidRPr="00C50A5C">
        <w:rPr>
          <w:sz w:val="20"/>
          <w:szCs w:val="20"/>
          <w:u w:val="single"/>
        </w:rPr>
        <w:t>CASE SUMMARY</w:t>
      </w:r>
    </w:p>
    <w:p w:rsidR="00331157" w:rsidRDefault="00331157" w:rsidP="00331157">
      <w:pPr>
        <w:keepNext/>
        <w:rPr>
          <w:sz w:val="20"/>
          <w:szCs w:val="20"/>
        </w:rPr>
      </w:pPr>
    </w:p>
    <w:p w:rsidR="00366CED" w:rsidRPr="003D125F" w:rsidRDefault="00366CED" w:rsidP="00366CED">
      <w:pPr>
        <w:widowControl w:val="0"/>
        <w:jc w:val="both"/>
        <w:rPr>
          <w:sz w:val="20"/>
        </w:rPr>
      </w:pPr>
      <w:r w:rsidRPr="003D125F">
        <w:rPr>
          <w:sz w:val="20"/>
        </w:rPr>
        <w:t xml:space="preserve">Criminal law - Appeal - Application of curative proviso in </w:t>
      </w:r>
      <w:r w:rsidRPr="003D125F">
        <w:rPr>
          <w:i/>
          <w:sz w:val="20"/>
        </w:rPr>
        <w:t>Criminal Code</w:t>
      </w:r>
      <w:r w:rsidRPr="003D125F">
        <w:rPr>
          <w:sz w:val="20"/>
        </w:rPr>
        <w:t>, R.S.C. 1985, c. C-46, s. 686(</w:t>
      </w:r>
      <w:r w:rsidRPr="003D125F">
        <w:rPr>
          <w:i/>
          <w:sz w:val="20"/>
        </w:rPr>
        <w:t>b</w:t>
      </w:r>
      <w:r w:rsidRPr="003D125F">
        <w:rPr>
          <w:sz w:val="20"/>
        </w:rPr>
        <w:t>)(iii) - Whether Court of Appeal applied the curative powers provided by s.686(1)(</w:t>
      </w:r>
      <w:r w:rsidRPr="003D125F">
        <w:rPr>
          <w:i/>
          <w:sz w:val="20"/>
        </w:rPr>
        <w:t>b</w:t>
      </w:r>
      <w:r w:rsidRPr="003D125F">
        <w:rPr>
          <w:sz w:val="20"/>
        </w:rPr>
        <w:t xml:space="preserve">)(iii) according to a lower and different standard than that recognized by this Honourable Court – Whether Court of Appeal decision conflicts with </w:t>
      </w:r>
      <w:r w:rsidRPr="003D125F">
        <w:rPr>
          <w:i/>
          <w:sz w:val="20"/>
        </w:rPr>
        <w:t xml:space="preserve">R. v. </w:t>
      </w:r>
      <w:proofErr w:type="spellStart"/>
      <w:r w:rsidRPr="003D125F">
        <w:rPr>
          <w:i/>
          <w:sz w:val="20"/>
        </w:rPr>
        <w:t>Lozinski</w:t>
      </w:r>
      <w:proofErr w:type="spellEnd"/>
      <w:r w:rsidRPr="003D125F">
        <w:rPr>
          <w:sz w:val="20"/>
        </w:rPr>
        <w:t xml:space="preserve">, 2009 BCCA 544, which makes clear that, when a trial judge has erred in law in relation to the </w:t>
      </w:r>
      <w:proofErr w:type="spellStart"/>
      <w:r w:rsidRPr="003D125F">
        <w:rPr>
          <w:i/>
          <w:sz w:val="20"/>
        </w:rPr>
        <w:t>mens</w:t>
      </w:r>
      <w:proofErr w:type="spellEnd"/>
      <w:r w:rsidRPr="003D125F">
        <w:rPr>
          <w:i/>
          <w:sz w:val="20"/>
        </w:rPr>
        <w:t xml:space="preserve"> </w:t>
      </w:r>
      <w:proofErr w:type="spellStart"/>
      <w:r w:rsidRPr="003D125F">
        <w:rPr>
          <w:i/>
          <w:sz w:val="20"/>
        </w:rPr>
        <w:t>rea</w:t>
      </w:r>
      <w:proofErr w:type="spellEnd"/>
      <w:r w:rsidRPr="003D125F">
        <w:rPr>
          <w:i/>
          <w:sz w:val="20"/>
        </w:rPr>
        <w:t xml:space="preserve"> </w:t>
      </w:r>
      <w:r w:rsidRPr="003D125F">
        <w:rPr>
          <w:sz w:val="20"/>
        </w:rPr>
        <w:t xml:space="preserve">for dangerous driving causing death, the reviewing court must not draw its own inferences in order to cure the lower court error - Whether the Court of Appeal decision adhered to the general guidelines set out in </w:t>
      </w:r>
      <w:r w:rsidRPr="003D125F">
        <w:rPr>
          <w:i/>
          <w:sz w:val="20"/>
        </w:rPr>
        <w:t>R. v. Beatty</w:t>
      </w:r>
      <w:r w:rsidRPr="003D125F">
        <w:rPr>
          <w:sz w:val="20"/>
        </w:rPr>
        <w:t>, [2008] 1 S.C.R. 49, for dangerous driving causing death.</w:t>
      </w:r>
    </w:p>
    <w:p w:rsidR="00366CED" w:rsidRPr="003D125F" w:rsidRDefault="00366CED" w:rsidP="00366CED">
      <w:pPr>
        <w:widowControl w:val="0"/>
        <w:jc w:val="both"/>
        <w:rPr>
          <w:sz w:val="20"/>
        </w:rPr>
      </w:pPr>
    </w:p>
    <w:p w:rsidR="00366CED" w:rsidRPr="003D125F" w:rsidRDefault="00366CED" w:rsidP="00366CED">
      <w:pPr>
        <w:widowControl w:val="0"/>
        <w:jc w:val="both"/>
        <w:rPr>
          <w:sz w:val="20"/>
        </w:rPr>
      </w:pPr>
      <w:r w:rsidRPr="003D125F">
        <w:rPr>
          <w:sz w:val="20"/>
        </w:rPr>
        <w:t xml:space="preserve">In foggy conditions, and coming off a snow-covered side road with an uphill grade, Mr. Roy stopped at a stop sign, and then drove onto a highway and into the path of an oncoming tractor-trailer. His passenger was killed, and Mr. Roy was left with no recollection of the accident. He was therefore unable to provide evidence as to why he was driving or why he had left the stop sign without first ascertaining that it was safe to do so. He was familiar with the road and was well aware that the highway was a heavily-travelled truck route. The driver of the tractor-trailer testified that he had slowed due to the fog, and slowed further when he saw lights which he thought belonged to a vehicle stopped on the shoulder of the highway. When he realized that the vehicle was crossing the highway in front of him, he braked and his tractor-trailer swerved. He was unable to avoid the collision: the front of the tractor-trailer struck the left front side of the vehicle. </w:t>
      </w:r>
    </w:p>
    <w:p w:rsidR="00366CED" w:rsidRPr="003D125F" w:rsidRDefault="00366CED" w:rsidP="00366CED">
      <w:pPr>
        <w:widowControl w:val="0"/>
        <w:jc w:val="both"/>
        <w:rPr>
          <w:sz w:val="20"/>
        </w:rPr>
      </w:pPr>
    </w:p>
    <w:p w:rsidR="00366CED" w:rsidRPr="003D125F" w:rsidRDefault="00366CED" w:rsidP="00366CED">
      <w:pPr>
        <w:widowControl w:val="0"/>
        <w:jc w:val="both"/>
        <w:rPr>
          <w:sz w:val="20"/>
        </w:rPr>
      </w:pPr>
      <w:r w:rsidRPr="003D125F">
        <w:rPr>
          <w:sz w:val="20"/>
        </w:rPr>
        <w:t xml:space="preserve">The trial judge convicted Mr. Roy of dangerous driving causing death based, in part, on </w:t>
      </w:r>
      <w:r w:rsidRPr="003D125F">
        <w:rPr>
          <w:i/>
          <w:sz w:val="20"/>
        </w:rPr>
        <w:t>R. v. Beatty</w:t>
      </w:r>
      <w:r w:rsidRPr="003D125F">
        <w:rPr>
          <w:sz w:val="20"/>
        </w:rPr>
        <w:t xml:space="preserve">, 2006 BCCA 229, 225 B.C.A.C. 154. Following the release of the reasons for judgment by the trial judge, </w:t>
      </w:r>
      <w:r w:rsidRPr="003D125F">
        <w:rPr>
          <w:i/>
          <w:sz w:val="20"/>
        </w:rPr>
        <w:t>Beatty</w:t>
      </w:r>
      <w:r w:rsidRPr="003D125F">
        <w:rPr>
          <w:sz w:val="20"/>
        </w:rPr>
        <w:t xml:space="preserve"> was reversed by the Supreme Court of Canada and the </w:t>
      </w:r>
      <w:proofErr w:type="spellStart"/>
      <w:r w:rsidRPr="003D125F">
        <w:rPr>
          <w:i/>
          <w:sz w:val="20"/>
        </w:rPr>
        <w:t>mens</w:t>
      </w:r>
      <w:proofErr w:type="spellEnd"/>
      <w:r w:rsidRPr="003D125F">
        <w:rPr>
          <w:i/>
          <w:sz w:val="20"/>
        </w:rPr>
        <w:t xml:space="preserve"> </w:t>
      </w:r>
      <w:proofErr w:type="spellStart"/>
      <w:r w:rsidRPr="003D125F">
        <w:rPr>
          <w:i/>
          <w:sz w:val="20"/>
        </w:rPr>
        <w:t>rea</w:t>
      </w:r>
      <w:proofErr w:type="spellEnd"/>
      <w:r w:rsidRPr="003D125F">
        <w:rPr>
          <w:sz w:val="20"/>
        </w:rPr>
        <w:t xml:space="preserve"> element of dangerous driving was clarified. The Court of Appeal applied the curative proviso found in s. 686(1)(</w:t>
      </w:r>
      <w:r w:rsidRPr="003D125F">
        <w:rPr>
          <w:i/>
          <w:sz w:val="20"/>
        </w:rPr>
        <w:t>b</w:t>
      </w:r>
      <w:r w:rsidRPr="003D125F">
        <w:rPr>
          <w:sz w:val="20"/>
        </w:rPr>
        <w:t xml:space="preserve">)(iii) of the </w:t>
      </w:r>
      <w:r w:rsidRPr="003D125F">
        <w:rPr>
          <w:i/>
          <w:sz w:val="20"/>
        </w:rPr>
        <w:t>Criminal Code</w:t>
      </w:r>
      <w:r w:rsidRPr="003D125F">
        <w:rPr>
          <w:sz w:val="20"/>
        </w:rPr>
        <w:t xml:space="preserve"> and dismissed the appeal. While the trial judge had analyzed the relevant facts in considering the </w:t>
      </w:r>
      <w:proofErr w:type="spellStart"/>
      <w:r w:rsidRPr="003D125F">
        <w:rPr>
          <w:i/>
          <w:sz w:val="20"/>
        </w:rPr>
        <w:t>actus</w:t>
      </w:r>
      <w:proofErr w:type="spellEnd"/>
      <w:r w:rsidRPr="003D125F">
        <w:rPr>
          <w:i/>
          <w:sz w:val="20"/>
        </w:rPr>
        <w:t xml:space="preserve"> </w:t>
      </w:r>
      <w:proofErr w:type="spellStart"/>
      <w:proofErr w:type="gramStart"/>
      <w:r w:rsidRPr="003D125F">
        <w:rPr>
          <w:i/>
          <w:sz w:val="20"/>
        </w:rPr>
        <w:t>reus</w:t>
      </w:r>
      <w:proofErr w:type="spellEnd"/>
      <w:proofErr w:type="gramEnd"/>
      <w:r w:rsidRPr="003D125F">
        <w:rPr>
          <w:sz w:val="20"/>
        </w:rPr>
        <w:t xml:space="preserve">, his factual findings were properly made and could be applied to the </w:t>
      </w:r>
      <w:proofErr w:type="spellStart"/>
      <w:r w:rsidRPr="003D125F">
        <w:rPr>
          <w:i/>
          <w:sz w:val="20"/>
        </w:rPr>
        <w:t>mens</w:t>
      </w:r>
      <w:proofErr w:type="spellEnd"/>
      <w:r w:rsidRPr="003D125F">
        <w:rPr>
          <w:i/>
          <w:sz w:val="20"/>
        </w:rPr>
        <w:t xml:space="preserve"> </w:t>
      </w:r>
      <w:proofErr w:type="spellStart"/>
      <w:r w:rsidRPr="003D125F">
        <w:rPr>
          <w:i/>
          <w:sz w:val="20"/>
        </w:rPr>
        <w:t>rea</w:t>
      </w:r>
      <w:proofErr w:type="spellEnd"/>
      <w:r w:rsidRPr="003D125F">
        <w:rPr>
          <w:sz w:val="20"/>
        </w:rPr>
        <w:t xml:space="preserve"> analysis. They allowed the Court of Appeal to conclude that Mr. Roy had possessed the requisite mental element for conviction of dangerous driving.</w:t>
      </w:r>
    </w:p>
    <w:tbl>
      <w:tblPr>
        <w:tblW w:w="0" w:type="auto"/>
        <w:tblLayout w:type="fixed"/>
        <w:tblCellMar>
          <w:left w:w="0" w:type="dxa"/>
          <w:right w:w="0" w:type="dxa"/>
        </w:tblCellMar>
        <w:tblLook w:val="0000"/>
      </w:tblPr>
      <w:tblGrid>
        <w:gridCol w:w="4536"/>
        <w:gridCol w:w="288"/>
        <w:gridCol w:w="4536"/>
      </w:tblGrid>
      <w:tr w:rsidR="00366CED" w:rsidRPr="003D125F" w:rsidTr="004D595B">
        <w:trPr>
          <w:cantSplit/>
        </w:trPr>
        <w:tc>
          <w:tcPr>
            <w:tcW w:w="4536" w:type="dxa"/>
            <w:tcMar>
              <w:left w:w="0" w:type="dxa"/>
              <w:right w:w="0" w:type="dxa"/>
            </w:tcMar>
          </w:tcPr>
          <w:p w:rsidR="00366CED" w:rsidRPr="003D125F" w:rsidRDefault="00366CED" w:rsidP="004D595B">
            <w:pPr>
              <w:keepNext/>
              <w:keepLines/>
              <w:widowControl w:val="0"/>
              <w:rPr>
                <w:sz w:val="20"/>
              </w:rPr>
            </w:pPr>
            <w:r w:rsidRPr="003D125F">
              <w:rPr>
                <w:sz w:val="20"/>
              </w:rPr>
              <w:lastRenderedPageBreak/>
              <w:t>June 1, 2006</w:t>
            </w:r>
          </w:p>
          <w:p w:rsidR="00366CED" w:rsidRPr="003D125F" w:rsidRDefault="00366CED" w:rsidP="004D595B">
            <w:pPr>
              <w:keepNext/>
              <w:keepLines/>
              <w:widowControl w:val="0"/>
              <w:rPr>
                <w:sz w:val="20"/>
              </w:rPr>
            </w:pPr>
            <w:r w:rsidRPr="003D125F">
              <w:rPr>
                <w:sz w:val="20"/>
              </w:rPr>
              <w:t>Supreme Court of British Columbia</w:t>
            </w:r>
          </w:p>
          <w:p w:rsidR="00366CED" w:rsidRPr="003D125F" w:rsidRDefault="00366CED" w:rsidP="004D595B">
            <w:pPr>
              <w:keepNext/>
              <w:keepLines/>
              <w:widowControl w:val="0"/>
              <w:rPr>
                <w:sz w:val="20"/>
              </w:rPr>
            </w:pPr>
            <w:r w:rsidRPr="003D125F">
              <w:rPr>
                <w:sz w:val="20"/>
              </w:rPr>
              <w:t>(Blair J.)</w:t>
            </w:r>
          </w:p>
          <w:p w:rsidR="00366CED" w:rsidRPr="003D125F" w:rsidRDefault="00366CED" w:rsidP="004D595B">
            <w:pPr>
              <w:keepNext/>
              <w:keepLines/>
              <w:widowControl w:val="0"/>
              <w:rPr>
                <w:sz w:val="20"/>
              </w:rPr>
            </w:pPr>
            <w:r w:rsidRPr="003D125F">
              <w:rPr>
                <w:sz w:val="20"/>
              </w:rPr>
              <w:t>2006 BCSC 2107</w:t>
            </w:r>
          </w:p>
        </w:tc>
        <w:tc>
          <w:tcPr>
            <w:tcW w:w="288" w:type="dxa"/>
            <w:tcMar>
              <w:left w:w="0" w:type="dxa"/>
              <w:right w:w="0" w:type="dxa"/>
            </w:tcMar>
          </w:tcPr>
          <w:p w:rsidR="00366CED" w:rsidRDefault="00366CED" w:rsidP="004D595B">
            <w:pPr>
              <w:keepLines/>
              <w:widowControl w:val="0"/>
              <w:rPr>
                <w:sz w:val="20"/>
              </w:rPr>
            </w:pPr>
          </w:p>
          <w:p w:rsidR="00574C4E" w:rsidRDefault="00574C4E" w:rsidP="004D595B">
            <w:pPr>
              <w:keepLines/>
              <w:widowControl w:val="0"/>
              <w:rPr>
                <w:sz w:val="20"/>
              </w:rPr>
            </w:pPr>
          </w:p>
          <w:p w:rsidR="00574C4E" w:rsidRDefault="00574C4E" w:rsidP="004D595B">
            <w:pPr>
              <w:keepLines/>
              <w:widowControl w:val="0"/>
              <w:rPr>
                <w:sz w:val="20"/>
              </w:rPr>
            </w:pPr>
          </w:p>
          <w:p w:rsidR="00574C4E" w:rsidRDefault="00574C4E" w:rsidP="004D595B">
            <w:pPr>
              <w:keepLines/>
              <w:widowControl w:val="0"/>
              <w:rPr>
                <w:sz w:val="20"/>
              </w:rPr>
            </w:pPr>
          </w:p>
          <w:p w:rsidR="00574C4E" w:rsidRPr="003D125F" w:rsidRDefault="00574C4E" w:rsidP="004D595B">
            <w:pPr>
              <w:keepLines/>
              <w:widowControl w:val="0"/>
              <w:rPr>
                <w:sz w:val="20"/>
              </w:rPr>
            </w:pPr>
          </w:p>
        </w:tc>
        <w:tc>
          <w:tcPr>
            <w:tcW w:w="4536" w:type="dxa"/>
            <w:tcMar>
              <w:left w:w="0" w:type="dxa"/>
              <w:right w:w="0" w:type="dxa"/>
            </w:tcMar>
          </w:tcPr>
          <w:p w:rsidR="00366CED" w:rsidRPr="003D125F" w:rsidRDefault="00366CED" w:rsidP="004D595B">
            <w:pPr>
              <w:keepLines/>
              <w:widowControl w:val="0"/>
              <w:jc w:val="both"/>
              <w:rPr>
                <w:sz w:val="20"/>
              </w:rPr>
            </w:pPr>
            <w:r w:rsidRPr="003D125F">
              <w:rPr>
                <w:sz w:val="20"/>
              </w:rPr>
              <w:t xml:space="preserve">Conviction of dangerous driving causing death contrary to s. 249(4) of the </w:t>
            </w:r>
            <w:r w:rsidRPr="003D125F">
              <w:rPr>
                <w:i/>
                <w:sz w:val="20"/>
              </w:rPr>
              <w:t>Criminal Code</w:t>
            </w:r>
            <w:r w:rsidRPr="003D125F">
              <w:rPr>
                <w:sz w:val="20"/>
              </w:rPr>
              <w:t xml:space="preserve"> and driving while disqualified contrary to s. 259(4) of the </w:t>
            </w:r>
            <w:r w:rsidRPr="003D125F">
              <w:rPr>
                <w:i/>
                <w:sz w:val="20"/>
              </w:rPr>
              <w:t>Criminal Code</w:t>
            </w:r>
          </w:p>
        </w:tc>
      </w:tr>
      <w:tr w:rsidR="00366CED" w:rsidRPr="003D125F" w:rsidTr="004D595B">
        <w:trPr>
          <w:cantSplit/>
        </w:trPr>
        <w:tc>
          <w:tcPr>
            <w:tcW w:w="4536" w:type="dxa"/>
            <w:tcMar>
              <w:left w:w="0" w:type="dxa"/>
              <w:right w:w="0" w:type="dxa"/>
            </w:tcMar>
          </w:tcPr>
          <w:p w:rsidR="00366CED" w:rsidRPr="003D125F" w:rsidRDefault="00366CED" w:rsidP="004D595B">
            <w:pPr>
              <w:keepNext/>
              <w:keepLines/>
              <w:widowControl w:val="0"/>
              <w:rPr>
                <w:sz w:val="20"/>
              </w:rPr>
            </w:pPr>
            <w:r w:rsidRPr="003D125F">
              <w:rPr>
                <w:sz w:val="20"/>
              </w:rPr>
              <w:t>March 16, 2010</w:t>
            </w:r>
          </w:p>
          <w:p w:rsidR="00366CED" w:rsidRPr="003D125F" w:rsidRDefault="00366CED" w:rsidP="004D595B">
            <w:pPr>
              <w:keepNext/>
              <w:keepLines/>
              <w:widowControl w:val="0"/>
              <w:rPr>
                <w:sz w:val="20"/>
              </w:rPr>
            </w:pPr>
            <w:r w:rsidRPr="003D125F">
              <w:rPr>
                <w:sz w:val="20"/>
              </w:rPr>
              <w:t>Court of Appeal for British Columbia</w:t>
            </w:r>
          </w:p>
          <w:p w:rsidR="00366CED" w:rsidRPr="003D125F" w:rsidRDefault="00366CED" w:rsidP="004D595B">
            <w:pPr>
              <w:keepNext/>
              <w:keepLines/>
              <w:widowControl w:val="0"/>
              <w:rPr>
                <w:sz w:val="20"/>
                <w:lang w:val="fr-CA"/>
              </w:rPr>
            </w:pPr>
            <w:r w:rsidRPr="003D125F">
              <w:rPr>
                <w:sz w:val="20"/>
                <w:lang w:val="fr-CA"/>
              </w:rPr>
              <w:t>(Vancouver)</w:t>
            </w:r>
          </w:p>
          <w:p w:rsidR="00366CED" w:rsidRPr="003D125F" w:rsidRDefault="00366CED" w:rsidP="004D595B">
            <w:pPr>
              <w:keepNext/>
              <w:keepLines/>
              <w:widowControl w:val="0"/>
              <w:rPr>
                <w:sz w:val="20"/>
                <w:lang w:val="fr-CA"/>
              </w:rPr>
            </w:pPr>
            <w:r w:rsidRPr="003D125F">
              <w:rPr>
                <w:sz w:val="20"/>
                <w:lang w:val="fr-CA"/>
              </w:rPr>
              <w:t>(</w:t>
            </w:r>
            <w:proofErr w:type="spellStart"/>
            <w:r w:rsidRPr="003D125F">
              <w:rPr>
                <w:sz w:val="20"/>
                <w:lang w:val="fr-CA"/>
              </w:rPr>
              <w:t>Levine</w:t>
            </w:r>
            <w:proofErr w:type="spellEnd"/>
            <w:r w:rsidRPr="003D125F">
              <w:rPr>
                <w:sz w:val="20"/>
                <w:lang w:val="fr-CA"/>
              </w:rPr>
              <w:t xml:space="preserve">, </w:t>
            </w:r>
            <w:proofErr w:type="spellStart"/>
            <w:r w:rsidRPr="003D125F">
              <w:rPr>
                <w:sz w:val="20"/>
                <w:lang w:val="fr-CA"/>
              </w:rPr>
              <w:t>Neilson</w:t>
            </w:r>
            <w:proofErr w:type="spellEnd"/>
            <w:r w:rsidRPr="003D125F">
              <w:rPr>
                <w:sz w:val="20"/>
                <w:lang w:val="fr-CA"/>
              </w:rPr>
              <w:t xml:space="preserve">, </w:t>
            </w:r>
            <w:proofErr w:type="spellStart"/>
            <w:r w:rsidRPr="003D125F">
              <w:rPr>
                <w:sz w:val="20"/>
                <w:lang w:val="fr-CA"/>
              </w:rPr>
              <w:t>Garson</w:t>
            </w:r>
            <w:proofErr w:type="spellEnd"/>
            <w:r w:rsidRPr="003D125F">
              <w:rPr>
                <w:sz w:val="20"/>
                <w:lang w:val="fr-CA"/>
              </w:rPr>
              <w:t xml:space="preserve"> JJ.A.)</w:t>
            </w:r>
          </w:p>
          <w:p w:rsidR="00366CED" w:rsidRPr="003D125F" w:rsidRDefault="00366CED" w:rsidP="004D595B">
            <w:pPr>
              <w:keepNext/>
              <w:keepLines/>
              <w:widowControl w:val="0"/>
              <w:rPr>
                <w:sz w:val="20"/>
              </w:rPr>
            </w:pPr>
            <w:r w:rsidRPr="003D125F">
              <w:rPr>
                <w:sz w:val="20"/>
              </w:rPr>
              <w:t>2010 BCCA 130</w:t>
            </w:r>
          </w:p>
        </w:tc>
        <w:tc>
          <w:tcPr>
            <w:tcW w:w="288" w:type="dxa"/>
            <w:tcMar>
              <w:left w:w="0" w:type="dxa"/>
              <w:right w:w="0" w:type="dxa"/>
            </w:tcMar>
          </w:tcPr>
          <w:p w:rsidR="00366CED" w:rsidRDefault="00366CED" w:rsidP="004D595B">
            <w:pPr>
              <w:keepLines/>
              <w:widowControl w:val="0"/>
              <w:rPr>
                <w:sz w:val="20"/>
              </w:rPr>
            </w:pPr>
          </w:p>
          <w:p w:rsidR="00574C4E" w:rsidRDefault="00574C4E" w:rsidP="004D595B">
            <w:pPr>
              <w:keepLines/>
              <w:widowControl w:val="0"/>
              <w:rPr>
                <w:sz w:val="20"/>
              </w:rPr>
            </w:pPr>
          </w:p>
          <w:p w:rsidR="00574C4E" w:rsidRDefault="00574C4E" w:rsidP="004D595B">
            <w:pPr>
              <w:keepLines/>
              <w:widowControl w:val="0"/>
              <w:rPr>
                <w:sz w:val="20"/>
              </w:rPr>
            </w:pPr>
          </w:p>
          <w:p w:rsidR="00574C4E" w:rsidRDefault="00574C4E" w:rsidP="004D595B">
            <w:pPr>
              <w:keepLines/>
              <w:widowControl w:val="0"/>
              <w:rPr>
                <w:sz w:val="20"/>
              </w:rPr>
            </w:pPr>
          </w:p>
          <w:p w:rsidR="00574C4E" w:rsidRDefault="00574C4E" w:rsidP="004D595B">
            <w:pPr>
              <w:keepLines/>
              <w:widowControl w:val="0"/>
              <w:rPr>
                <w:sz w:val="20"/>
              </w:rPr>
            </w:pPr>
          </w:p>
          <w:p w:rsidR="00574C4E" w:rsidRPr="003D125F" w:rsidRDefault="00574C4E" w:rsidP="004D595B">
            <w:pPr>
              <w:keepLines/>
              <w:widowControl w:val="0"/>
              <w:rPr>
                <w:sz w:val="20"/>
              </w:rPr>
            </w:pPr>
          </w:p>
        </w:tc>
        <w:tc>
          <w:tcPr>
            <w:tcW w:w="4536" w:type="dxa"/>
            <w:tcMar>
              <w:left w:w="0" w:type="dxa"/>
              <w:right w:w="0" w:type="dxa"/>
            </w:tcMar>
          </w:tcPr>
          <w:p w:rsidR="00366CED" w:rsidRPr="003D125F" w:rsidRDefault="00366CED" w:rsidP="004D595B">
            <w:pPr>
              <w:keepLines/>
              <w:widowControl w:val="0"/>
              <w:rPr>
                <w:sz w:val="20"/>
              </w:rPr>
            </w:pPr>
            <w:r w:rsidRPr="003D125F">
              <w:rPr>
                <w:sz w:val="20"/>
              </w:rPr>
              <w:t>Appeal dismissed</w:t>
            </w:r>
          </w:p>
        </w:tc>
      </w:tr>
      <w:tr w:rsidR="00366CED" w:rsidRPr="003D125F" w:rsidTr="004D595B">
        <w:trPr>
          <w:cantSplit/>
        </w:trPr>
        <w:tc>
          <w:tcPr>
            <w:tcW w:w="4536" w:type="dxa"/>
            <w:tcMar>
              <w:left w:w="0" w:type="dxa"/>
              <w:right w:w="0" w:type="dxa"/>
            </w:tcMar>
          </w:tcPr>
          <w:p w:rsidR="00366CED" w:rsidRPr="003D125F" w:rsidRDefault="00366CED" w:rsidP="004D595B">
            <w:pPr>
              <w:keepNext/>
              <w:keepLines/>
              <w:widowControl w:val="0"/>
              <w:rPr>
                <w:sz w:val="20"/>
              </w:rPr>
            </w:pPr>
            <w:r w:rsidRPr="003D125F">
              <w:rPr>
                <w:sz w:val="20"/>
              </w:rPr>
              <w:t>May 7, 2010</w:t>
            </w:r>
          </w:p>
          <w:p w:rsidR="00366CED" w:rsidRPr="003D125F" w:rsidRDefault="00366CED" w:rsidP="004D595B">
            <w:pPr>
              <w:keepNext/>
              <w:keepLines/>
              <w:widowControl w:val="0"/>
              <w:rPr>
                <w:sz w:val="20"/>
              </w:rPr>
            </w:pPr>
            <w:r w:rsidRPr="003D125F">
              <w:rPr>
                <w:sz w:val="20"/>
              </w:rPr>
              <w:t>Supreme Court of Canada</w:t>
            </w:r>
          </w:p>
        </w:tc>
        <w:tc>
          <w:tcPr>
            <w:tcW w:w="288" w:type="dxa"/>
            <w:tcMar>
              <w:left w:w="0" w:type="dxa"/>
              <w:right w:w="0" w:type="dxa"/>
            </w:tcMar>
          </w:tcPr>
          <w:p w:rsidR="00366CED" w:rsidRPr="003D125F" w:rsidRDefault="00366CED" w:rsidP="004D595B">
            <w:pPr>
              <w:keepLines/>
              <w:widowControl w:val="0"/>
              <w:rPr>
                <w:sz w:val="20"/>
              </w:rPr>
            </w:pPr>
          </w:p>
        </w:tc>
        <w:tc>
          <w:tcPr>
            <w:tcW w:w="4536" w:type="dxa"/>
            <w:tcMar>
              <w:left w:w="0" w:type="dxa"/>
              <w:right w:w="0" w:type="dxa"/>
            </w:tcMar>
          </w:tcPr>
          <w:p w:rsidR="00366CED" w:rsidRPr="003D125F" w:rsidRDefault="00366CED" w:rsidP="004D595B">
            <w:pPr>
              <w:keepLines/>
              <w:widowControl w:val="0"/>
            </w:pPr>
            <w:r w:rsidRPr="003D125F">
              <w:rPr>
                <w:sz w:val="20"/>
              </w:rPr>
              <w:t>Application for leave to appeal filed</w:t>
            </w:r>
          </w:p>
        </w:tc>
      </w:tr>
    </w:tbl>
    <w:p w:rsidR="00366CED" w:rsidRDefault="00366CED" w:rsidP="00331157">
      <w:pPr>
        <w:keepNext/>
        <w:rPr>
          <w:sz w:val="20"/>
          <w:szCs w:val="20"/>
        </w:rPr>
      </w:pPr>
    </w:p>
    <w:p w:rsidR="00331157" w:rsidRPr="00C50A5C" w:rsidRDefault="003E770A" w:rsidP="00331157">
      <w:pPr>
        <w:rPr>
          <w:sz w:val="20"/>
          <w:szCs w:val="20"/>
        </w:rPr>
      </w:pPr>
      <w:r w:rsidRPr="003E770A">
        <w:rPr>
          <w:sz w:val="20"/>
          <w:szCs w:val="20"/>
          <w:lang w:val="fr-CA"/>
        </w:rPr>
        <w:pict>
          <v:rect id="_x0000_i1045" style="width:2in;height:1pt" o:hrpct="0" o:hralign="center" o:hrstd="t" o:hrnoshade="t" o:hr="t" fillcolor="black [3213]" stroked="f"/>
        </w:pict>
      </w:r>
    </w:p>
    <w:p w:rsidR="00331157" w:rsidRPr="00C50A5C" w:rsidRDefault="00331157" w:rsidP="00331157">
      <w:pPr>
        <w:rPr>
          <w:sz w:val="20"/>
          <w:szCs w:val="20"/>
        </w:rPr>
      </w:pPr>
    </w:p>
    <w:p w:rsidR="00331157" w:rsidRPr="00C50A5C" w:rsidRDefault="00331157" w:rsidP="00331157">
      <w:pPr>
        <w:keepNext/>
        <w:rPr>
          <w:sz w:val="20"/>
          <w:szCs w:val="20"/>
          <w:u w:val="single"/>
          <w:lang w:val="fr-CA"/>
        </w:rPr>
      </w:pPr>
      <w:r w:rsidRPr="00C50A5C">
        <w:rPr>
          <w:sz w:val="20"/>
          <w:szCs w:val="20"/>
          <w:u w:val="single"/>
          <w:lang w:val="fr-CA"/>
        </w:rPr>
        <w:t>RÉSUMÉ DE L’AFFAIRE</w:t>
      </w:r>
    </w:p>
    <w:p w:rsidR="00331157" w:rsidRDefault="00331157" w:rsidP="00331157">
      <w:pPr>
        <w:keepNext/>
        <w:rPr>
          <w:sz w:val="20"/>
          <w:szCs w:val="20"/>
          <w:lang w:val="fr-CA"/>
        </w:rPr>
      </w:pPr>
    </w:p>
    <w:p w:rsidR="00366CED" w:rsidRPr="003D125F" w:rsidRDefault="00366CED" w:rsidP="00366CED">
      <w:pPr>
        <w:widowControl w:val="0"/>
        <w:jc w:val="both"/>
        <w:rPr>
          <w:sz w:val="20"/>
          <w:lang w:val="fr-CA"/>
        </w:rPr>
      </w:pPr>
      <w:r w:rsidRPr="003D125F">
        <w:rPr>
          <w:sz w:val="20"/>
          <w:lang w:val="fr-CA"/>
        </w:rPr>
        <w:t xml:space="preserve">Droit criminel- Appel - Application de la disposition réparatrice du </w:t>
      </w:r>
      <w:r w:rsidRPr="003D125F">
        <w:rPr>
          <w:i/>
          <w:sz w:val="20"/>
          <w:lang w:val="fr-CA"/>
        </w:rPr>
        <w:t>Code criminel</w:t>
      </w:r>
      <w:r w:rsidRPr="003D125F">
        <w:rPr>
          <w:sz w:val="20"/>
          <w:lang w:val="fr-CA"/>
        </w:rPr>
        <w:t>, L.R.C. 1985, ch. C-46, sous-al. 686</w:t>
      </w:r>
      <w:r w:rsidRPr="003D125F">
        <w:rPr>
          <w:i/>
          <w:sz w:val="20"/>
          <w:lang w:val="fr-CA"/>
        </w:rPr>
        <w:t xml:space="preserve"> b</w:t>
      </w:r>
      <w:proofErr w:type="gramStart"/>
      <w:r w:rsidRPr="003D125F">
        <w:rPr>
          <w:sz w:val="20"/>
          <w:lang w:val="fr-CA"/>
        </w:rPr>
        <w:t>)(</w:t>
      </w:r>
      <w:proofErr w:type="gramEnd"/>
      <w:r w:rsidRPr="003D125F">
        <w:rPr>
          <w:sz w:val="20"/>
          <w:lang w:val="fr-CA"/>
        </w:rPr>
        <w:t xml:space="preserve">iii) - La Cour d’appel a-t-elle exercé les pouvoirs réparateurs prévus par le sous-al. 686(1) </w:t>
      </w:r>
      <w:r w:rsidRPr="003D125F">
        <w:rPr>
          <w:i/>
          <w:sz w:val="20"/>
          <w:lang w:val="fr-CA"/>
        </w:rPr>
        <w:t>b</w:t>
      </w:r>
      <w:r w:rsidRPr="003D125F">
        <w:rPr>
          <w:sz w:val="20"/>
          <w:lang w:val="fr-CA"/>
        </w:rPr>
        <w:t xml:space="preserve">) (iii) suivant une norme inférieure et différente par rapport à celle qu’a reconnue cette honorable Cour? – La décision de la Cour d’appel est-elle incompatible avec l’arrêt </w:t>
      </w:r>
      <w:r w:rsidRPr="003D125F">
        <w:rPr>
          <w:i/>
          <w:sz w:val="20"/>
          <w:lang w:val="fr-CA"/>
        </w:rPr>
        <w:t xml:space="preserve">R. c. </w:t>
      </w:r>
      <w:proofErr w:type="spellStart"/>
      <w:r w:rsidRPr="003D125F">
        <w:rPr>
          <w:i/>
          <w:sz w:val="20"/>
          <w:lang w:val="fr-CA"/>
        </w:rPr>
        <w:t>Lozinski</w:t>
      </w:r>
      <w:proofErr w:type="spellEnd"/>
      <w:r w:rsidRPr="003D125F">
        <w:rPr>
          <w:sz w:val="20"/>
          <w:lang w:val="fr-CA"/>
        </w:rPr>
        <w:t xml:space="preserve">, 2009 BCCA 544, qui prévoit clairement que lorsqu’un juge de première instance commet une erreur de droit en ce qui concerne la </w:t>
      </w:r>
      <w:r w:rsidRPr="003D125F">
        <w:rPr>
          <w:i/>
          <w:sz w:val="20"/>
          <w:lang w:val="fr-CA"/>
        </w:rPr>
        <w:t xml:space="preserve">mens </w:t>
      </w:r>
      <w:proofErr w:type="spellStart"/>
      <w:r w:rsidRPr="003D125F">
        <w:rPr>
          <w:i/>
          <w:sz w:val="20"/>
          <w:lang w:val="fr-CA"/>
        </w:rPr>
        <w:t>rea</w:t>
      </w:r>
      <w:proofErr w:type="spellEnd"/>
      <w:r w:rsidRPr="003D125F">
        <w:rPr>
          <w:sz w:val="20"/>
          <w:lang w:val="fr-CA"/>
        </w:rPr>
        <w:t xml:space="preserve"> de la conduite dangereuse causant la mort, la cour siégeant en révision ne doit pas tirer ses propres conclusions pour corriger l’erreur de la juridiction inférieure? - La décision de la Cour d’appel respecte-t-elle les lignes directrices générales énoncées dans l’arrêt </w:t>
      </w:r>
      <w:r w:rsidRPr="003D125F">
        <w:rPr>
          <w:i/>
          <w:sz w:val="20"/>
          <w:lang w:val="fr-CA"/>
        </w:rPr>
        <w:t>R. c. Beatty</w:t>
      </w:r>
      <w:r w:rsidRPr="003D125F">
        <w:rPr>
          <w:sz w:val="20"/>
          <w:lang w:val="fr-CA"/>
        </w:rPr>
        <w:t>, [2008] 1 R.C.S. 49, relativement à la conduite dangereuse causant la mort?</w:t>
      </w:r>
    </w:p>
    <w:p w:rsidR="00366CED" w:rsidRPr="003D125F" w:rsidRDefault="00366CED" w:rsidP="00366CED">
      <w:pPr>
        <w:widowControl w:val="0"/>
        <w:jc w:val="both"/>
        <w:rPr>
          <w:sz w:val="20"/>
          <w:lang w:val="fr-CA"/>
        </w:rPr>
      </w:pPr>
    </w:p>
    <w:p w:rsidR="00366CED" w:rsidRPr="003D125F" w:rsidRDefault="00366CED" w:rsidP="00366CED">
      <w:pPr>
        <w:widowControl w:val="0"/>
        <w:jc w:val="both"/>
        <w:rPr>
          <w:sz w:val="20"/>
          <w:lang w:val="fr-CA"/>
        </w:rPr>
      </w:pPr>
      <w:r w:rsidRPr="003D125F">
        <w:rPr>
          <w:sz w:val="20"/>
          <w:lang w:val="fr-CA"/>
        </w:rPr>
        <w:t xml:space="preserve">Par un temps brumeux, alors qu’il quittait une route secondaire enneigée en pente ascendante, M. Roy a immobilisé son véhicule à un panneau d’arrêt, puis s’est engagé sur une route principale dans la trajectoire d’un camion-remorque qui s’en venait.  Son passager a été tué et M. Roy n’a aucun souvenir de l’accident.  Il n’était donc pas en mesure de donner une preuve expliquant pourquoi il conduisait ou pourquoi il avait poursuivi sa route après le panneau d’arrêt sans d’abord vérifier s’il pouvait le faire en toute sécurité.  Il connaissait la route et savait très bien que plusieurs camions y circulaient.  Dans son témoignage, le chauffeur du camion-remorque a affirmé qu’il avait ralenti en raison de la brume et qu’il avait ralenti davantage lorsqu’il a aperçu les phares d’un véhicule qu’il croyait </w:t>
      </w:r>
      <w:proofErr w:type="gramStart"/>
      <w:r w:rsidRPr="003D125F">
        <w:rPr>
          <w:sz w:val="20"/>
          <w:lang w:val="fr-CA"/>
        </w:rPr>
        <w:t>immobilisé</w:t>
      </w:r>
      <w:proofErr w:type="gramEnd"/>
      <w:r w:rsidRPr="003D125F">
        <w:rPr>
          <w:sz w:val="20"/>
          <w:lang w:val="fr-CA"/>
        </w:rPr>
        <w:t xml:space="preserve"> sur l’accotement de la route principale.  Lorsqu’il s’est rendu compte que le véhicule traversait la route devant lui, il a freiné et son camion-remorque a fait une embardée.  Il a été incapable d’éviter la collision: le devant du camion-remorque a heurté l’avant du véhicule, du côté gauche.</w:t>
      </w:r>
    </w:p>
    <w:p w:rsidR="00366CED" w:rsidRPr="003D125F" w:rsidRDefault="00366CED" w:rsidP="00366CED">
      <w:pPr>
        <w:widowControl w:val="0"/>
        <w:jc w:val="both"/>
        <w:rPr>
          <w:sz w:val="20"/>
          <w:lang w:val="fr-CA"/>
        </w:rPr>
      </w:pPr>
    </w:p>
    <w:p w:rsidR="00366CED" w:rsidRPr="003D125F" w:rsidRDefault="00366CED" w:rsidP="00366CED">
      <w:pPr>
        <w:widowControl w:val="0"/>
        <w:jc w:val="both"/>
        <w:rPr>
          <w:sz w:val="20"/>
          <w:lang w:val="fr-CA"/>
        </w:rPr>
      </w:pPr>
      <w:r w:rsidRPr="003D125F">
        <w:rPr>
          <w:sz w:val="20"/>
          <w:lang w:val="fr-CA"/>
        </w:rPr>
        <w:t xml:space="preserve">Le juge du procès a déclaré M. Roy coupable de conduite dangereuse causant la mort, en s’appuyant en partie sur l’arrêt </w:t>
      </w:r>
      <w:r w:rsidRPr="003D125F">
        <w:rPr>
          <w:i/>
          <w:sz w:val="20"/>
          <w:lang w:val="fr-CA"/>
        </w:rPr>
        <w:t>R. c. Beatty</w:t>
      </w:r>
      <w:r w:rsidRPr="003D125F">
        <w:rPr>
          <w:sz w:val="20"/>
          <w:lang w:val="fr-CA"/>
        </w:rPr>
        <w:t xml:space="preserve">, 2006 BCCA 229, 225 B.C.A.C. 154.  Après la publication des motifs du jugement par le juge du procès, la Cour suprême du Canada a infirmé l’arrêt </w:t>
      </w:r>
      <w:r w:rsidRPr="003D125F">
        <w:rPr>
          <w:i/>
          <w:sz w:val="20"/>
          <w:lang w:val="fr-CA"/>
        </w:rPr>
        <w:t>Beatty</w:t>
      </w:r>
      <w:r w:rsidRPr="003D125F">
        <w:rPr>
          <w:sz w:val="20"/>
          <w:lang w:val="fr-CA"/>
        </w:rPr>
        <w:t xml:space="preserve"> et l’élément </w:t>
      </w:r>
      <w:r w:rsidRPr="003D125F">
        <w:rPr>
          <w:i/>
          <w:sz w:val="20"/>
          <w:lang w:val="fr-CA"/>
        </w:rPr>
        <w:t xml:space="preserve">mens </w:t>
      </w:r>
      <w:proofErr w:type="spellStart"/>
      <w:r w:rsidRPr="003D125F">
        <w:rPr>
          <w:i/>
          <w:sz w:val="20"/>
          <w:lang w:val="fr-CA"/>
        </w:rPr>
        <w:t>rea</w:t>
      </w:r>
      <w:proofErr w:type="spellEnd"/>
      <w:r w:rsidRPr="003D125F">
        <w:rPr>
          <w:sz w:val="20"/>
          <w:lang w:val="fr-CA"/>
        </w:rPr>
        <w:t xml:space="preserve"> de la conduite dangereuse a été clarifié.  La Cour d’appel a appliqué la disposition réparatrice du sous-al. 686(1) </w:t>
      </w:r>
      <w:r w:rsidRPr="003D125F">
        <w:rPr>
          <w:i/>
          <w:sz w:val="20"/>
          <w:lang w:val="fr-CA"/>
        </w:rPr>
        <w:t>b</w:t>
      </w:r>
      <w:proofErr w:type="gramStart"/>
      <w:r w:rsidRPr="003D125F">
        <w:rPr>
          <w:sz w:val="20"/>
          <w:lang w:val="fr-CA"/>
        </w:rPr>
        <w:t>)(</w:t>
      </w:r>
      <w:proofErr w:type="gramEnd"/>
      <w:r w:rsidRPr="003D125F">
        <w:rPr>
          <w:sz w:val="20"/>
          <w:lang w:val="fr-CA"/>
        </w:rPr>
        <w:t xml:space="preserve">iii) du </w:t>
      </w:r>
      <w:r w:rsidRPr="003D125F">
        <w:rPr>
          <w:i/>
          <w:sz w:val="20"/>
          <w:lang w:val="fr-CA"/>
        </w:rPr>
        <w:t>Code criminel</w:t>
      </w:r>
      <w:r w:rsidRPr="003D125F">
        <w:rPr>
          <w:sz w:val="20"/>
          <w:lang w:val="fr-CA"/>
        </w:rPr>
        <w:t xml:space="preserve"> et a rejeté l’appel.  Même si le juge du procès avait analysé les faits pertinents dans sa considération de </w:t>
      </w:r>
      <w:proofErr w:type="gramStart"/>
      <w:r w:rsidRPr="003D125F">
        <w:rPr>
          <w:sz w:val="20"/>
          <w:lang w:val="fr-CA"/>
        </w:rPr>
        <w:t>l’</w:t>
      </w:r>
      <w:r w:rsidRPr="003D125F">
        <w:rPr>
          <w:i/>
          <w:sz w:val="20"/>
          <w:lang w:val="fr-CA"/>
        </w:rPr>
        <w:t>actus</w:t>
      </w:r>
      <w:proofErr w:type="gramEnd"/>
      <w:r w:rsidRPr="003D125F">
        <w:rPr>
          <w:i/>
          <w:sz w:val="20"/>
          <w:lang w:val="fr-CA"/>
        </w:rPr>
        <w:t xml:space="preserve"> </w:t>
      </w:r>
      <w:proofErr w:type="spellStart"/>
      <w:r w:rsidRPr="003D125F">
        <w:rPr>
          <w:i/>
          <w:sz w:val="20"/>
          <w:lang w:val="fr-CA"/>
        </w:rPr>
        <w:t>reus</w:t>
      </w:r>
      <w:proofErr w:type="spellEnd"/>
      <w:r w:rsidRPr="003D125F">
        <w:rPr>
          <w:sz w:val="20"/>
          <w:lang w:val="fr-CA"/>
        </w:rPr>
        <w:t xml:space="preserve">, ses conclusions de fait avaient été bien tirées et pouvaient être appliquées à l’analyse de la </w:t>
      </w:r>
      <w:r w:rsidRPr="003D125F">
        <w:rPr>
          <w:i/>
          <w:sz w:val="20"/>
          <w:lang w:val="fr-CA"/>
        </w:rPr>
        <w:t xml:space="preserve">mens </w:t>
      </w:r>
      <w:proofErr w:type="spellStart"/>
      <w:r w:rsidRPr="003D125F">
        <w:rPr>
          <w:i/>
          <w:sz w:val="20"/>
          <w:lang w:val="fr-CA"/>
        </w:rPr>
        <w:t>rea</w:t>
      </w:r>
      <w:proofErr w:type="spellEnd"/>
      <w:r w:rsidRPr="003D125F">
        <w:rPr>
          <w:sz w:val="20"/>
          <w:lang w:val="fr-CA"/>
        </w:rPr>
        <w:t>.  Elles ont permis à la Cour d’appel de conclure que M. Roy avait eu l’élément moral voulu de l’infraction pour être déclaré coupable de conduite dangereuse.</w:t>
      </w:r>
    </w:p>
    <w:p w:rsidR="00366CED" w:rsidRPr="003D125F" w:rsidRDefault="00366CED" w:rsidP="00366CED">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366CED" w:rsidRPr="003B380E" w:rsidTr="004D595B">
        <w:trPr>
          <w:cantSplit/>
        </w:trPr>
        <w:tc>
          <w:tcPr>
            <w:tcW w:w="4536" w:type="dxa"/>
            <w:tcMar>
              <w:left w:w="0" w:type="dxa"/>
              <w:right w:w="0" w:type="dxa"/>
            </w:tcMar>
          </w:tcPr>
          <w:p w:rsidR="00366CED" w:rsidRPr="003D125F" w:rsidRDefault="00366CED" w:rsidP="004D595B">
            <w:pPr>
              <w:keepNext/>
              <w:keepLines/>
              <w:widowControl w:val="0"/>
              <w:rPr>
                <w:sz w:val="20"/>
                <w:lang w:val="fr-CA"/>
              </w:rPr>
            </w:pPr>
            <w:r w:rsidRPr="003D125F">
              <w:rPr>
                <w:sz w:val="20"/>
                <w:lang w:val="fr-CA"/>
              </w:rPr>
              <w:t>1</w:t>
            </w:r>
            <w:r w:rsidRPr="003D125F">
              <w:rPr>
                <w:sz w:val="20"/>
                <w:vertAlign w:val="superscript"/>
                <w:lang w:val="fr-CA"/>
              </w:rPr>
              <w:t>er</w:t>
            </w:r>
            <w:r w:rsidRPr="003D125F">
              <w:rPr>
                <w:sz w:val="20"/>
                <w:lang w:val="fr-CA"/>
              </w:rPr>
              <w:t xml:space="preserve"> juin 2006</w:t>
            </w:r>
          </w:p>
          <w:p w:rsidR="00366CED" w:rsidRPr="003D125F" w:rsidRDefault="00366CED" w:rsidP="004D595B">
            <w:pPr>
              <w:keepNext/>
              <w:keepLines/>
              <w:widowControl w:val="0"/>
              <w:rPr>
                <w:sz w:val="20"/>
                <w:lang w:val="fr-CA"/>
              </w:rPr>
            </w:pPr>
            <w:r w:rsidRPr="003D125F">
              <w:rPr>
                <w:sz w:val="20"/>
                <w:lang w:val="fr-CA"/>
              </w:rPr>
              <w:t>Cour suprême de la Colombie-Britannique</w:t>
            </w:r>
          </w:p>
          <w:p w:rsidR="00366CED" w:rsidRPr="003D125F" w:rsidRDefault="00366CED" w:rsidP="004D595B">
            <w:pPr>
              <w:keepNext/>
              <w:keepLines/>
              <w:widowControl w:val="0"/>
              <w:rPr>
                <w:sz w:val="20"/>
                <w:lang w:val="fr-CA"/>
              </w:rPr>
            </w:pPr>
            <w:r w:rsidRPr="003D125F">
              <w:rPr>
                <w:sz w:val="20"/>
                <w:lang w:val="fr-CA"/>
              </w:rPr>
              <w:t>(Juge Blair)</w:t>
            </w:r>
          </w:p>
          <w:p w:rsidR="00366CED" w:rsidRPr="003D125F" w:rsidRDefault="00366CED" w:rsidP="004D595B">
            <w:pPr>
              <w:keepNext/>
              <w:keepLines/>
              <w:widowControl w:val="0"/>
              <w:rPr>
                <w:sz w:val="20"/>
                <w:lang w:val="fr-CA"/>
              </w:rPr>
            </w:pPr>
            <w:r w:rsidRPr="003D125F">
              <w:rPr>
                <w:sz w:val="20"/>
                <w:lang w:val="fr-CA"/>
              </w:rPr>
              <w:t>2006 BCSC 2107</w:t>
            </w:r>
          </w:p>
        </w:tc>
        <w:tc>
          <w:tcPr>
            <w:tcW w:w="288" w:type="dxa"/>
            <w:tcMar>
              <w:left w:w="0" w:type="dxa"/>
              <w:right w:w="0" w:type="dxa"/>
            </w:tcMar>
          </w:tcPr>
          <w:p w:rsidR="00366CED" w:rsidRDefault="00366CED" w:rsidP="004D595B">
            <w:pPr>
              <w:keepLines/>
              <w:widowControl w:val="0"/>
              <w:rPr>
                <w:sz w:val="20"/>
                <w:lang w:val="fr-CA"/>
              </w:rPr>
            </w:pPr>
          </w:p>
          <w:p w:rsidR="00CE303C" w:rsidRDefault="00CE303C" w:rsidP="004D595B">
            <w:pPr>
              <w:keepLines/>
              <w:widowControl w:val="0"/>
              <w:rPr>
                <w:sz w:val="20"/>
                <w:lang w:val="fr-CA"/>
              </w:rPr>
            </w:pPr>
          </w:p>
          <w:p w:rsidR="00CE303C" w:rsidRDefault="00CE303C" w:rsidP="004D595B">
            <w:pPr>
              <w:keepLines/>
              <w:widowControl w:val="0"/>
              <w:rPr>
                <w:sz w:val="20"/>
                <w:lang w:val="fr-CA"/>
              </w:rPr>
            </w:pPr>
          </w:p>
          <w:p w:rsidR="00CE303C" w:rsidRDefault="00CE303C" w:rsidP="004D595B">
            <w:pPr>
              <w:keepLines/>
              <w:widowControl w:val="0"/>
              <w:rPr>
                <w:sz w:val="20"/>
                <w:lang w:val="fr-CA"/>
              </w:rPr>
            </w:pPr>
          </w:p>
          <w:p w:rsidR="00CE303C" w:rsidRPr="003D125F" w:rsidRDefault="00CE303C" w:rsidP="004D595B">
            <w:pPr>
              <w:keepLines/>
              <w:widowControl w:val="0"/>
              <w:rPr>
                <w:sz w:val="20"/>
                <w:lang w:val="fr-CA"/>
              </w:rPr>
            </w:pPr>
          </w:p>
        </w:tc>
        <w:tc>
          <w:tcPr>
            <w:tcW w:w="4536" w:type="dxa"/>
            <w:tcMar>
              <w:left w:w="0" w:type="dxa"/>
              <w:right w:w="0" w:type="dxa"/>
            </w:tcMar>
          </w:tcPr>
          <w:p w:rsidR="00366CED" w:rsidRPr="003D125F" w:rsidRDefault="00366CED" w:rsidP="004D595B">
            <w:pPr>
              <w:keepLines/>
              <w:widowControl w:val="0"/>
              <w:jc w:val="both"/>
              <w:rPr>
                <w:sz w:val="20"/>
                <w:lang w:val="fr-CA"/>
              </w:rPr>
            </w:pPr>
            <w:r w:rsidRPr="003D125F">
              <w:rPr>
                <w:sz w:val="20"/>
                <w:lang w:val="fr-CA"/>
              </w:rPr>
              <w:t xml:space="preserve">Déclaration de culpabilité de conduite dangereuse causant la mort contrairement au par. 249(4) du </w:t>
            </w:r>
            <w:r w:rsidRPr="003D125F">
              <w:rPr>
                <w:i/>
                <w:sz w:val="20"/>
                <w:lang w:val="fr-CA"/>
              </w:rPr>
              <w:t>Code criminel</w:t>
            </w:r>
            <w:r w:rsidRPr="003D125F">
              <w:rPr>
                <w:sz w:val="20"/>
                <w:lang w:val="fr-CA"/>
              </w:rPr>
              <w:t xml:space="preserve"> et de conduite pendant une interdiction contrairement au par. 259(4) du </w:t>
            </w:r>
            <w:r w:rsidRPr="003D125F">
              <w:rPr>
                <w:i/>
                <w:sz w:val="20"/>
                <w:lang w:val="fr-CA"/>
              </w:rPr>
              <w:t>Code criminel</w:t>
            </w:r>
          </w:p>
        </w:tc>
      </w:tr>
    </w:tbl>
    <w:p w:rsidR="00FA3B73" w:rsidRPr="00EF7D12" w:rsidRDefault="00FA3B73">
      <w:pPr>
        <w:rPr>
          <w:lang w:val="fr-CA"/>
        </w:rPr>
      </w:pPr>
    </w:p>
    <w:tbl>
      <w:tblPr>
        <w:tblW w:w="0" w:type="auto"/>
        <w:tblLayout w:type="fixed"/>
        <w:tblCellMar>
          <w:left w:w="0" w:type="dxa"/>
          <w:right w:w="0" w:type="dxa"/>
        </w:tblCellMar>
        <w:tblLook w:val="0000"/>
      </w:tblPr>
      <w:tblGrid>
        <w:gridCol w:w="4536"/>
        <w:gridCol w:w="288"/>
        <w:gridCol w:w="4536"/>
      </w:tblGrid>
      <w:tr w:rsidR="00366CED" w:rsidRPr="003D125F" w:rsidTr="004D595B">
        <w:trPr>
          <w:cantSplit/>
        </w:trPr>
        <w:tc>
          <w:tcPr>
            <w:tcW w:w="4536" w:type="dxa"/>
            <w:tcMar>
              <w:left w:w="0" w:type="dxa"/>
              <w:right w:w="0" w:type="dxa"/>
            </w:tcMar>
          </w:tcPr>
          <w:p w:rsidR="00366CED" w:rsidRPr="003D125F" w:rsidRDefault="00366CED" w:rsidP="004D595B">
            <w:pPr>
              <w:keepNext/>
              <w:keepLines/>
              <w:widowControl w:val="0"/>
              <w:rPr>
                <w:sz w:val="20"/>
                <w:lang w:val="fr-CA"/>
              </w:rPr>
            </w:pPr>
            <w:r w:rsidRPr="003D125F">
              <w:rPr>
                <w:sz w:val="20"/>
                <w:lang w:val="fr-CA"/>
              </w:rPr>
              <w:lastRenderedPageBreak/>
              <w:t>16 mars 2010</w:t>
            </w:r>
          </w:p>
          <w:p w:rsidR="00366CED" w:rsidRPr="003D125F" w:rsidRDefault="00366CED" w:rsidP="004D595B">
            <w:pPr>
              <w:keepNext/>
              <w:keepLines/>
              <w:widowControl w:val="0"/>
              <w:rPr>
                <w:sz w:val="20"/>
                <w:lang w:val="fr-CA"/>
              </w:rPr>
            </w:pPr>
            <w:r w:rsidRPr="003D125F">
              <w:rPr>
                <w:sz w:val="20"/>
                <w:lang w:val="fr-CA"/>
              </w:rPr>
              <w:t>Cour d’appel de la Colombie-Britannique</w:t>
            </w:r>
          </w:p>
          <w:p w:rsidR="00366CED" w:rsidRPr="003D125F" w:rsidRDefault="00366CED" w:rsidP="004D595B">
            <w:pPr>
              <w:keepNext/>
              <w:keepLines/>
              <w:widowControl w:val="0"/>
              <w:rPr>
                <w:sz w:val="20"/>
                <w:lang w:val="fr-CA"/>
              </w:rPr>
            </w:pPr>
            <w:r w:rsidRPr="003D125F">
              <w:rPr>
                <w:sz w:val="20"/>
                <w:lang w:val="fr-CA"/>
              </w:rPr>
              <w:t>(Vancouver)</w:t>
            </w:r>
          </w:p>
          <w:p w:rsidR="00366CED" w:rsidRPr="003D125F" w:rsidRDefault="00366CED" w:rsidP="004D595B">
            <w:pPr>
              <w:keepNext/>
              <w:keepLines/>
              <w:widowControl w:val="0"/>
              <w:rPr>
                <w:sz w:val="20"/>
                <w:lang w:val="fr-CA"/>
              </w:rPr>
            </w:pPr>
            <w:r w:rsidRPr="003D125F">
              <w:rPr>
                <w:sz w:val="20"/>
                <w:lang w:val="fr-CA"/>
              </w:rPr>
              <w:t xml:space="preserve">(Juges </w:t>
            </w:r>
            <w:proofErr w:type="spellStart"/>
            <w:r w:rsidRPr="003D125F">
              <w:rPr>
                <w:sz w:val="20"/>
                <w:lang w:val="fr-CA"/>
              </w:rPr>
              <w:t>Levine</w:t>
            </w:r>
            <w:proofErr w:type="spellEnd"/>
            <w:r w:rsidRPr="003D125F">
              <w:rPr>
                <w:sz w:val="20"/>
                <w:lang w:val="fr-CA"/>
              </w:rPr>
              <w:t xml:space="preserve">, </w:t>
            </w:r>
            <w:proofErr w:type="spellStart"/>
            <w:r w:rsidRPr="003D125F">
              <w:rPr>
                <w:sz w:val="20"/>
                <w:lang w:val="fr-CA"/>
              </w:rPr>
              <w:t>Neilson</w:t>
            </w:r>
            <w:proofErr w:type="spellEnd"/>
            <w:r w:rsidRPr="003D125F">
              <w:rPr>
                <w:sz w:val="20"/>
                <w:lang w:val="fr-CA"/>
              </w:rPr>
              <w:t xml:space="preserve"> et </w:t>
            </w:r>
            <w:proofErr w:type="spellStart"/>
            <w:r w:rsidRPr="003D125F">
              <w:rPr>
                <w:sz w:val="20"/>
                <w:lang w:val="fr-CA"/>
              </w:rPr>
              <w:t>Garson</w:t>
            </w:r>
            <w:proofErr w:type="spellEnd"/>
            <w:r w:rsidRPr="003D125F">
              <w:rPr>
                <w:sz w:val="20"/>
                <w:lang w:val="fr-CA"/>
              </w:rPr>
              <w:t>)</w:t>
            </w:r>
          </w:p>
          <w:p w:rsidR="00366CED" w:rsidRPr="003D125F" w:rsidRDefault="00366CED" w:rsidP="004D595B">
            <w:pPr>
              <w:keepNext/>
              <w:keepLines/>
              <w:widowControl w:val="0"/>
              <w:rPr>
                <w:sz w:val="20"/>
                <w:lang w:val="fr-CA"/>
              </w:rPr>
            </w:pPr>
            <w:r w:rsidRPr="003D125F">
              <w:rPr>
                <w:sz w:val="20"/>
                <w:lang w:val="fr-CA"/>
              </w:rPr>
              <w:t>2010 BCCA 130</w:t>
            </w:r>
          </w:p>
        </w:tc>
        <w:tc>
          <w:tcPr>
            <w:tcW w:w="288" w:type="dxa"/>
            <w:tcMar>
              <w:left w:w="0" w:type="dxa"/>
              <w:right w:w="0" w:type="dxa"/>
            </w:tcMar>
          </w:tcPr>
          <w:p w:rsidR="00366CED" w:rsidRDefault="00366CED" w:rsidP="004D595B">
            <w:pPr>
              <w:keepLines/>
              <w:widowControl w:val="0"/>
              <w:rPr>
                <w:sz w:val="20"/>
                <w:lang w:val="fr-CA"/>
              </w:rPr>
            </w:pPr>
          </w:p>
          <w:p w:rsidR="00CE303C" w:rsidRDefault="00CE303C" w:rsidP="004D595B">
            <w:pPr>
              <w:keepLines/>
              <w:widowControl w:val="0"/>
              <w:rPr>
                <w:sz w:val="20"/>
                <w:lang w:val="fr-CA"/>
              </w:rPr>
            </w:pPr>
          </w:p>
          <w:p w:rsidR="00CE303C" w:rsidRDefault="00CE303C" w:rsidP="004D595B">
            <w:pPr>
              <w:keepLines/>
              <w:widowControl w:val="0"/>
              <w:rPr>
                <w:sz w:val="20"/>
                <w:lang w:val="fr-CA"/>
              </w:rPr>
            </w:pPr>
          </w:p>
          <w:p w:rsidR="00CE303C" w:rsidRDefault="00CE303C" w:rsidP="004D595B">
            <w:pPr>
              <w:keepLines/>
              <w:widowControl w:val="0"/>
              <w:rPr>
                <w:sz w:val="20"/>
                <w:lang w:val="fr-CA"/>
              </w:rPr>
            </w:pPr>
          </w:p>
          <w:p w:rsidR="00CE303C" w:rsidRDefault="00CE303C" w:rsidP="004D595B">
            <w:pPr>
              <w:keepLines/>
              <w:widowControl w:val="0"/>
              <w:rPr>
                <w:sz w:val="20"/>
                <w:lang w:val="fr-CA"/>
              </w:rPr>
            </w:pPr>
          </w:p>
          <w:p w:rsidR="00CE303C" w:rsidRPr="003D125F" w:rsidRDefault="00CE303C" w:rsidP="004D595B">
            <w:pPr>
              <w:keepLines/>
              <w:widowControl w:val="0"/>
              <w:rPr>
                <w:sz w:val="20"/>
                <w:lang w:val="fr-CA"/>
              </w:rPr>
            </w:pPr>
          </w:p>
        </w:tc>
        <w:tc>
          <w:tcPr>
            <w:tcW w:w="4536" w:type="dxa"/>
            <w:tcMar>
              <w:left w:w="0" w:type="dxa"/>
              <w:right w:w="0" w:type="dxa"/>
            </w:tcMar>
          </w:tcPr>
          <w:p w:rsidR="00366CED" w:rsidRPr="003D125F" w:rsidRDefault="00366CED" w:rsidP="004D595B">
            <w:pPr>
              <w:keepLines/>
              <w:widowControl w:val="0"/>
              <w:rPr>
                <w:sz w:val="20"/>
                <w:lang w:val="fr-CA"/>
              </w:rPr>
            </w:pPr>
            <w:r w:rsidRPr="003D125F">
              <w:rPr>
                <w:sz w:val="20"/>
                <w:lang w:val="fr-CA"/>
              </w:rPr>
              <w:t>Appel rejeté</w:t>
            </w:r>
          </w:p>
        </w:tc>
      </w:tr>
      <w:tr w:rsidR="00366CED" w:rsidRPr="003D125F" w:rsidTr="004D595B">
        <w:trPr>
          <w:cantSplit/>
        </w:trPr>
        <w:tc>
          <w:tcPr>
            <w:tcW w:w="4536" w:type="dxa"/>
            <w:tcMar>
              <w:left w:w="0" w:type="dxa"/>
              <w:right w:w="0" w:type="dxa"/>
            </w:tcMar>
          </w:tcPr>
          <w:p w:rsidR="00366CED" w:rsidRPr="003D125F" w:rsidRDefault="00366CED" w:rsidP="004D595B">
            <w:pPr>
              <w:keepNext/>
              <w:keepLines/>
              <w:widowControl w:val="0"/>
              <w:rPr>
                <w:sz w:val="20"/>
                <w:lang w:val="fr-CA"/>
              </w:rPr>
            </w:pPr>
            <w:r w:rsidRPr="003D125F">
              <w:rPr>
                <w:sz w:val="20"/>
                <w:lang w:val="fr-CA"/>
              </w:rPr>
              <w:t>7 mai 2010</w:t>
            </w:r>
          </w:p>
          <w:p w:rsidR="00366CED" w:rsidRPr="003D125F" w:rsidRDefault="00366CED" w:rsidP="004D595B">
            <w:pPr>
              <w:keepNext/>
              <w:keepLines/>
              <w:widowControl w:val="0"/>
              <w:rPr>
                <w:sz w:val="20"/>
                <w:lang w:val="fr-CA"/>
              </w:rPr>
            </w:pPr>
            <w:r w:rsidRPr="003D125F">
              <w:rPr>
                <w:sz w:val="20"/>
                <w:lang w:val="fr-CA"/>
              </w:rPr>
              <w:t>Cour suprême du Canada</w:t>
            </w:r>
          </w:p>
        </w:tc>
        <w:tc>
          <w:tcPr>
            <w:tcW w:w="288" w:type="dxa"/>
            <w:tcMar>
              <w:left w:w="0" w:type="dxa"/>
              <w:right w:w="0" w:type="dxa"/>
            </w:tcMar>
          </w:tcPr>
          <w:p w:rsidR="00366CED" w:rsidRPr="003D125F" w:rsidRDefault="00366CED" w:rsidP="004D595B">
            <w:pPr>
              <w:keepLines/>
              <w:widowControl w:val="0"/>
              <w:rPr>
                <w:sz w:val="20"/>
                <w:lang w:val="fr-CA"/>
              </w:rPr>
            </w:pPr>
          </w:p>
        </w:tc>
        <w:tc>
          <w:tcPr>
            <w:tcW w:w="4536" w:type="dxa"/>
            <w:tcMar>
              <w:left w:w="0" w:type="dxa"/>
              <w:right w:w="0" w:type="dxa"/>
            </w:tcMar>
          </w:tcPr>
          <w:p w:rsidR="00366CED" w:rsidRPr="003D125F" w:rsidRDefault="00366CED" w:rsidP="004D595B">
            <w:pPr>
              <w:keepLines/>
              <w:widowControl w:val="0"/>
              <w:rPr>
                <w:sz w:val="20"/>
              </w:rPr>
            </w:pPr>
            <w:r w:rsidRPr="003D125F">
              <w:rPr>
                <w:sz w:val="20"/>
                <w:lang w:val="fr-CA"/>
              </w:rPr>
              <w:t>Demande d’autorisation d’appel déposée</w:t>
            </w:r>
          </w:p>
        </w:tc>
      </w:tr>
    </w:tbl>
    <w:p w:rsidR="00366CED" w:rsidRDefault="00366CED" w:rsidP="00331157">
      <w:pPr>
        <w:keepNext/>
        <w:rPr>
          <w:sz w:val="20"/>
          <w:szCs w:val="20"/>
          <w:lang w:val="fr-CA"/>
        </w:rPr>
      </w:pPr>
    </w:p>
    <w:p w:rsidR="00331157" w:rsidRDefault="003E770A" w:rsidP="00331157">
      <w:pPr>
        <w:keepNext/>
        <w:rPr>
          <w:sz w:val="20"/>
          <w:szCs w:val="20"/>
          <w:lang w:val="fr-CA"/>
        </w:rPr>
      </w:pPr>
      <w:r w:rsidRPr="003E770A">
        <w:rPr>
          <w:sz w:val="20"/>
          <w:szCs w:val="20"/>
          <w:lang w:val="fr-CA"/>
        </w:rPr>
        <w:pict>
          <v:rect id="_x0000_i1046" style="width:2in;height:1pt" o:hrpct="0" o:hralign="center" o:hrstd="t" o:hrnoshade="t" o:hr="t" fillcolor="black [3213]" stroked="f"/>
        </w:pict>
      </w:r>
    </w:p>
    <w:p w:rsidR="00AD2D4D" w:rsidRPr="00331157" w:rsidRDefault="00AD2D4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1157" w:rsidRPr="00331157" w:rsidTr="00331157">
        <w:trPr>
          <w:cantSplit/>
        </w:trPr>
        <w:tc>
          <w:tcPr>
            <w:tcW w:w="1458" w:type="dxa"/>
          </w:tcPr>
          <w:p w:rsidR="00331157" w:rsidRPr="00331157" w:rsidRDefault="00331157" w:rsidP="00331157">
            <w:pPr>
              <w:rPr>
                <w:sz w:val="20"/>
                <w:szCs w:val="20"/>
              </w:rPr>
            </w:pPr>
            <w:r w:rsidRPr="00331157">
              <w:rPr>
                <w:rStyle w:val="SCCFileNumberChar"/>
                <w:sz w:val="20"/>
                <w:szCs w:val="20"/>
              </w:rPr>
              <w:t>33754</w:t>
            </w:r>
          </w:p>
          <w:p w:rsidR="00331157" w:rsidRPr="00331157" w:rsidRDefault="00331157" w:rsidP="00331157">
            <w:pPr>
              <w:rPr>
                <w:b/>
                <w:sz w:val="20"/>
                <w:szCs w:val="20"/>
                <w:lang w:val="fr-CA"/>
              </w:rPr>
            </w:pPr>
          </w:p>
        </w:tc>
        <w:tc>
          <w:tcPr>
            <w:tcW w:w="8118" w:type="dxa"/>
          </w:tcPr>
          <w:p w:rsidR="00331157" w:rsidRPr="00331157" w:rsidRDefault="00331157" w:rsidP="00331157">
            <w:pPr>
              <w:rPr>
                <w:sz w:val="20"/>
                <w:szCs w:val="20"/>
              </w:rPr>
            </w:pPr>
            <w:proofErr w:type="spellStart"/>
            <w:r w:rsidRPr="00331157">
              <w:rPr>
                <w:rStyle w:val="SCCLsocChar"/>
                <w:sz w:val="20"/>
                <w:szCs w:val="20"/>
                <w:lang w:val="en-CA"/>
              </w:rPr>
              <w:t>Ewaryst</w:t>
            </w:r>
            <w:proofErr w:type="spellEnd"/>
            <w:r w:rsidRPr="00331157">
              <w:rPr>
                <w:rStyle w:val="SCCLsocChar"/>
                <w:sz w:val="20"/>
                <w:szCs w:val="20"/>
                <w:lang w:val="en-CA"/>
              </w:rPr>
              <w:t xml:space="preserve"> </w:t>
            </w:r>
            <w:proofErr w:type="spellStart"/>
            <w:r w:rsidRPr="00331157">
              <w:rPr>
                <w:rStyle w:val="SCCLsocChar"/>
                <w:sz w:val="20"/>
                <w:szCs w:val="20"/>
                <w:lang w:val="en-CA"/>
              </w:rPr>
              <w:t>Prokofiew</w:t>
            </w:r>
            <w:proofErr w:type="spellEnd"/>
            <w:r w:rsidRPr="00331157">
              <w:rPr>
                <w:rStyle w:val="SCCLsocChar"/>
                <w:sz w:val="20"/>
                <w:szCs w:val="20"/>
                <w:lang w:val="en-CA"/>
              </w:rPr>
              <w:t xml:space="preserve"> v. Her Majesty the Queen</w:t>
            </w:r>
            <w:r w:rsidRPr="00331157">
              <w:rPr>
                <w:sz w:val="20"/>
                <w:szCs w:val="20"/>
              </w:rPr>
              <w:t xml:space="preserve"> (Ont.) (Criminal) (By Leave)</w:t>
            </w:r>
          </w:p>
          <w:p w:rsidR="00331157" w:rsidRPr="00331157" w:rsidRDefault="00331157" w:rsidP="00331157">
            <w:pPr>
              <w:rPr>
                <w:sz w:val="20"/>
                <w:szCs w:val="20"/>
              </w:rPr>
            </w:pPr>
          </w:p>
        </w:tc>
      </w:tr>
      <w:tr w:rsidR="00331157" w:rsidRPr="00331157" w:rsidTr="00331157">
        <w:trPr>
          <w:cantSplit/>
        </w:trPr>
        <w:tc>
          <w:tcPr>
            <w:tcW w:w="1458" w:type="dxa"/>
          </w:tcPr>
          <w:p w:rsidR="00331157" w:rsidRPr="00331157" w:rsidRDefault="00331157" w:rsidP="00331157">
            <w:pPr>
              <w:rPr>
                <w:sz w:val="20"/>
                <w:szCs w:val="20"/>
              </w:rPr>
            </w:pPr>
            <w:r w:rsidRPr="00331157">
              <w:rPr>
                <w:sz w:val="20"/>
                <w:szCs w:val="20"/>
              </w:rPr>
              <w:t>Coram :</w:t>
            </w:r>
          </w:p>
        </w:tc>
        <w:tc>
          <w:tcPr>
            <w:tcW w:w="8118" w:type="dxa"/>
          </w:tcPr>
          <w:p w:rsidR="00331157" w:rsidRDefault="00331157" w:rsidP="00331157">
            <w:pPr>
              <w:rPr>
                <w:rStyle w:val="SCCCoramChar"/>
                <w:sz w:val="20"/>
                <w:szCs w:val="20"/>
                <w:lang w:val="en-CA"/>
              </w:rPr>
            </w:pPr>
            <w:proofErr w:type="spellStart"/>
            <w:r w:rsidRPr="00331157">
              <w:rPr>
                <w:rStyle w:val="SCCCoramChar"/>
                <w:sz w:val="20"/>
                <w:szCs w:val="20"/>
                <w:lang w:val="en-CA"/>
              </w:rPr>
              <w:t>LeBel</w:t>
            </w:r>
            <w:proofErr w:type="spellEnd"/>
            <w:r w:rsidRPr="00331157">
              <w:rPr>
                <w:rStyle w:val="SCCCoramChar"/>
                <w:sz w:val="20"/>
                <w:szCs w:val="20"/>
                <w:lang w:val="en-CA"/>
              </w:rPr>
              <w:t xml:space="preserve">, </w:t>
            </w:r>
            <w:proofErr w:type="spellStart"/>
            <w:r w:rsidRPr="00331157">
              <w:rPr>
                <w:rStyle w:val="SCCCoramChar"/>
                <w:sz w:val="20"/>
                <w:szCs w:val="20"/>
                <w:lang w:val="en-CA"/>
              </w:rPr>
              <w:t>Deschamps</w:t>
            </w:r>
            <w:proofErr w:type="spellEnd"/>
            <w:r w:rsidRPr="00331157">
              <w:rPr>
                <w:rStyle w:val="SCCCoramChar"/>
                <w:sz w:val="20"/>
                <w:szCs w:val="20"/>
                <w:lang w:val="en-CA"/>
              </w:rPr>
              <w:t xml:space="preserve"> and </w:t>
            </w:r>
            <w:proofErr w:type="spellStart"/>
            <w:r w:rsidRPr="00331157">
              <w:rPr>
                <w:rStyle w:val="SCCCoramChar"/>
                <w:sz w:val="20"/>
                <w:szCs w:val="20"/>
                <w:lang w:val="en-CA"/>
              </w:rPr>
              <w:t>Charron</w:t>
            </w:r>
            <w:proofErr w:type="spellEnd"/>
            <w:r w:rsidRPr="00331157">
              <w:rPr>
                <w:rStyle w:val="SCCCoramChar"/>
                <w:sz w:val="20"/>
                <w:szCs w:val="20"/>
                <w:lang w:val="en-CA"/>
              </w:rPr>
              <w:t> JJ.</w:t>
            </w:r>
          </w:p>
          <w:p w:rsidR="00331157" w:rsidRPr="00331157" w:rsidRDefault="00331157" w:rsidP="00331157">
            <w:pPr>
              <w:rPr>
                <w:sz w:val="20"/>
                <w:szCs w:val="20"/>
              </w:rPr>
            </w:pPr>
          </w:p>
        </w:tc>
      </w:tr>
      <w:tr w:rsidR="00331157" w:rsidRPr="003B380E" w:rsidTr="00331157">
        <w:trPr>
          <w:cantSplit/>
        </w:trPr>
        <w:tc>
          <w:tcPr>
            <w:tcW w:w="9576" w:type="dxa"/>
            <w:gridSpan w:val="2"/>
          </w:tcPr>
          <w:p w:rsidR="00331157" w:rsidRPr="00331157" w:rsidRDefault="00331157" w:rsidP="00331157">
            <w:pPr>
              <w:jc w:val="both"/>
              <w:rPr>
                <w:sz w:val="20"/>
                <w:szCs w:val="20"/>
              </w:rPr>
            </w:pPr>
            <w:r>
              <w:rPr>
                <w:sz w:val="20"/>
                <w:szCs w:val="20"/>
              </w:rPr>
              <w:tab/>
            </w:r>
            <w:r w:rsidRPr="00331157">
              <w:rPr>
                <w:sz w:val="20"/>
                <w:szCs w:val="20"/>
              </w:rPr>
              <w:t>The application for leave to appeal from the judgment of the Court of Appeal for Ontario, Number C42992, 2010 ONCA 423, dated June 10, 2010, is granted without costs.</w:t>
            </w:r>
          </w:p>
          <w:p w:rsidR="00331157" w:rsidRPr="00331157" w:rsidRDefault="00331157" w:rsidP="00331157">
            <w:pPr>
              <w:jc w:val="both"/>
              <w:rPr>
                <w:sz w:val="20"/>
                <w:szCs w:val="20"/>
              </w:rPr>
            </w:pPr>
          </w:p>
          <w:p w:rsidR="00331157" w:rsidRPr="00331157" w:rsidRDefault="00331157" w:rsidP="00F94A8D">
            <w:pPr>
              <w:jc w:val="both"/>
              <w:rPr>
                <w:sz w:val="20"/>
                <w:szCs w:val="20"/>
                <w:lang w:val="fr-CA"/>
              </w:rPr>
            </w:pPr>
            <w:r w:rsidRPr="00052196">
              <w:rPr>
                <w:sz w:val="20"/>
                <w:szCs w:val="20"/>
              </w:rPr>
              <w:tab/>
            </w:r>
            <w:r w:rsidRPr="00331157">
              <w:rPr>
                <w:sz w:val="20"/>
                <w:szCs w:val="20"/>
                <w:lang w:val="fr-CA"/>
              </w:rPr>
              <w:t>La demande d’autorisation d’appel de l’arrêt de la Cour d’appel de l’Ontario, numéro C42992, 2010 ONCA 423, daté du 10 juin 2010, est accordée sans dépens.</w:t>
            </w:r>
          </w:p>
        </w:tc>
      </w:tr>
    </w:tbl>
    <w:p w:rsidR="00AD2D4D" w:rsidRPr="00331157" w:rsidRDefault="00AD2D4D" w:rsidP="008D292F">
      <w:pPr>
        <w:rPr>
          <w:sz w:val="20"/>
          <w:szCs w:val="20"/>
          <w:lang w:val="fr-CA"/>
        </w:rPr>
      </w:pPr>
    </w:p>
    <w:p w:rsidR="00331157" w:rsidRPr="00C50A5C" w:rsidRDefault="00331157" w:rsidP="00331157">
      <w:pPr>
        <w:keepNext/>
        <w:rPr>
          <w:sz w:val="20"/>
          <w:szCs w:val="20"/>
        </w:rPr>
      </w:pPr>
      <w:r w:rsidRPr="00C50A5C">
        <w:rPr>
          <w:sz w:val="20"/>
          <w:szCs w:val="20"/>
          <w:u w:val="single"/>
        </w:rPr>
        <w:t>CASE SUMMARY</w:t>
      </w:r>
    </w:p>
    <w:p w:rsidR="00331157" w:rsidRDefault="00331157" w:rsidP="00331157">
      <w:pPr>
        <w:keepNext/>
        <w:rPr>
          <w:sz w:val="20"/>
          <w:szCs w:val="20"/>
        </w:rPr>
      </w:pPr>
    </w:p>
    <w:tbl>
      <w:tblPr>
        <w:tblW w:w="4952" w:type="pct"/>
        <w:tblLayout w:type="fixed"/>
        <w:tblLook w:val="04A0"/>
      </w:tblPr>
      <w:tblGrid>
        <w:gridCol w:w="9741"/>
      </w:tblGrid>
      <w:tr w:rsidR="004D595B" w:rsidRPr="009C0EA2" w:rsidTr="004D595B">
        <w:tc>
          <w:tcPr>
            <w:tcW w:w="5000" w:type="pct"/>
          </w:tcPr>
          <w:p w:rsidR="004D595B" w:rsidRPr="009C0EA2" w:rsidRDefault="004D595B" w:rsidP="004D595B">
            <w:pPr>
              <w:jc w:val="both"/>
              <w:rPr>
                <w:rFonts w:eastAsia="Calibri"/>
                <w:sz w:val="20"/>
              </w:rPr>
            </w:pPr>
            <w:r w:rsidRPr="009C0EA2">
              <w:rPr>
                <w:rFonts w:eastAsia="Calibri"/>
                <w:i/>
                <w:sz w:val="20"/>
              </w:rPr>
              <w:t>Charter of Rights and Freedoms</w:t>
            </w:r>
            <w:r w:rsidRPr="009C0EA2">
              <w:rPr>
                <w:rFonts w:eastAsia="Calibri"/>
                <w:sz w:val="20"/>
              </w:rPr>
              <w:t xml:space="preserve"> - Criminal law – Charge to jury – Right to silence – Consideration of s. 4(6) of the </w:t>
            </w:r>
            <w:r w:rsidRPr="009C0EA2">
              <w:rPr>
                <w:rFonts w:eastAsia="Calibri"/>
                <w:i/>
                <w:sz w:val="20"/>
              </w:rPr>
              <w:t>Canada Evidence Act</w:t>
            </w:r>
            <w:r w:rsidRPr="009C0EA2">
              <w:rPr>
                <w:rFonts w:eastAsia="Calibri"/>
                <w:sz w:val="20"/>
              </w:rPr>
              <w:t xml:space="preserve"> - Whether Court of Appeal erred in concluding that the trial judge was not required to specifically caution the jury on the improper use of the Applicant’s decision not to testify at trial – </w:t>
            </w:r>
            <w:r w:rsidRPr="009C0EA2">
              <w:rPr>
                <w:rFonts w:eastAsia="Calibri"/>
                <w:i/>
                <w:sz w:val="20"/>
              </w:rPr>
              <w:t>Charter of Rights and Freedoms</w:t>
            </w:r>
            <w:r w:rsidRPr="009C0EA2">
              <w:rPr>
                <w:rFonts w:eastAsia="Calibri"/>
                <w:sz w:val="20"/>
              </w:rPr>
              <w:t xml:space="preserve"> ss. 7, 11(c) and 11(d).</w:t>
            </w:r>
          </w:p>
        </w:tc>
      </w:tr>
      <w:tr w:rsidR="004D595B" w:rsidRPr="009C0EA2" w:rsidTr="004D595B">
        <w:tc>
          <w:tcPr>
            <w:tcW w:w="5000" w:type="pct"/>
          </w:tcPr>
          <w:p w:rsidR="004D595B" w:rsidRPr="009C0EA2" w:rsidRDefault="004D595B" w:rsidP="004D595B">
            <w:pPr>
              <w:jc w:val="both"/>
              <w:rPr>
                <w:rFonts w:eastAsia="Calibri"/>
                <w:sz w:val="20"/>
              </w:rPr>
            </w:pPr>
          </w:p>
        </w:tc>
      </w:tr>
      <w:tr w:rsidR="004D595B" w:rsidRPr="009C0EA2" w:rsidTr="004D595B">
        <w:tc>
          <w:tcPr>
            <w:tcW w:w="5000" w:type="pct"/>
          </w:tcPr>
          <w:p w:rsidR="004D595B" w:rsidRPr="009C0EA2" w:rsidRDefault="004D595B" w:rsidP="00CE303C">
            <w:pPr>
              <w:jc w:val="both"/>
              <w:rPr>
                <w:rFonts w:eastAsia="Calibri"/>
                <w:sz w:val="20"/>
              </w:rPr>
            </w:pPr>
            <w:r w:rsidRPr="009C0EA2">
              <w:rPr>
                <w:rFonts w:eastAsia="Calibri"/>
                <w:sz w:val="20"/>
              </w:rPr>
              <w:t xml:space="preserve">The Applicant and his co-accused, Peter </w:t>
            </w:r>
            <w:proofErr w:type="spellStart"/>
            <w:r w:rsidRPr="009C0EA2">
              <w:rPr>
                <w:rFonts w:eastAsia="Calibri"/>
                <w:sz w:val="20"/>
              </w:rPr>
              <w:t>Solty</w:t>
            </w:r>
            <w:proofErr w:type="spellEnd"/>
            <w:r w:rsidRPr="009C0EA2">
              <w:rPr>
                <w:rFonts w:eastAsia="Calibri"/>
                <w:sz w:val="20"/>
              </w:rPr>
              <w:t xml:space="preserve">, were charged with one count of conspiracy to defraud the Government of Canada and one count of defrauding the Government of Canada of about $3.25 million. The Crown alleged that both accused participated in a fraudulent scheme involving the fictitious sale of heavy equipment to generate harmonized Sales Tax (“HST”) that was then not remitted to the federal government as required. The fraudulent nature of the scheme was never challenged. The involvement of the applicant and Mr. </w:t>
            </w:r>
            <w:proofErr w:type="spellStart"/>
            <w:r w:rsidRPr="009C0EA2">
              <w:rPr>
                <w:rFonts w:eastAsia="Calibri"/>
                <w:sz w:val="20"/>
              </w:rPr>
              <w:t>Solty</w:t>
            </w:r>
            <w:proofErr w:type="spellEnd"/>
            <w:r w:rsidRPr="009C0EA2">
              <w:rPr>
                <w:rFonts w:eastAsia="Calibri"/>
                <w:sz w:val="20"/>
              </w:rPr>
              <w:t xml:space="preserve"> in the scheme was also conceded. The question for the jury was whether either or both accused were aware of the fraudulent nature of the scheme. The applicant did not testify.</w:t>
            </w:r>
            <w:r>
              <w:rPr>
                <w:rFonts w:eastAsia="Calibri"/>
                <w:sz w:val="20"/>
              </w:rPr>
              <w:t xml:space="preserve"> </w:t>
            </w:r>
            <w:r w:rsidRPr="009C0EA2">
              <w:rPr>
                <w:rFonts w:eastAsia="Calibri"/>
                <w:sz w:val="20"/>
              </w:rPr>
              <w:t>The applicant was convicted and sentenced and his appeals were dismissed.</w:t>
            </w:r>
          </w:p>
        </w:tc>
      </w:tr>
    </w:tbl>
    <w:p w:rsidR="004D595B" w:rsidRDefault="004D595B" w:rsidP="004D595B"/>
    <w:tbl>
      <w:tblPr>
        <w:tblW w:w="4952" w:type="pct"/>
        <w:tblLayout w:type="fixed"/>
        <w:tblLook w:val="04A0"/>
      </w:tblPr>
      <w:tblGrid>
        <w:gridCol w:w="4729"/>
        <w:gridCol w:w="473"/>
        <w:gridCol w:w="4539"/>
      </w:tblGrid>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January 8, 2005</w:t>
            </w:r>
          </w:p>
          <w:p w:rsidR="004D595B" w:rsidRPr="009C0EA2" w:rsidRDefault="004D595B" w:rsidP="004D595B">
            <w:pPr>
              <w:jc w:val="both"/>
              <w:rPr>
                <w:rFonts w:eastAsia="Calibri"/>
                <w:sz w:val="20"/>
              </w:rPr>
            </w:pPr>
            <w:r w:rsidRPr="009C0EA2">
              <w:rPr>
                <w:rFonts w:eastAsia="Calibri"/>
                <w:sz w:val="20"/>
              </w:rPr>
              <w:t>Ontario Superior Court of Justice</w:t>
            </w:r>
          </w:p>
          <w:p w:rsidR="004D595B" w:rsidRPr="009C0EA2" w:rsidRDefault="004D595B" w:rsidP="00CE303C">
            <w:pPr>
              <w:jc w:val="both"/>
              <w:rPr>
                <w:rFonts w:eastAsia="Calibri"/>
                <w:sz w:val="20"/>
              </w:rPr>
            </w:pPr>
            <w:r w:rsidRPr="009C0EA2">
              <w:rPr>
                <w:rFonts w:eastAsia="Calibri"/>
                <w:sz w:val="20"/>
              </w:rPr>
              <w:t>(Corbett J.)</w:t>
            </w:r>
          </w:p>
        </w:tc>
        <w:tc>
          <w:tcPr>
            <w:tcW w:w="243" w:type="pct"/>
          </w:tcPr>
          <w:p w:rsidR="004D595B" w:rsidRDefault="004D595B"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9C0EA2" w:rsidRDefault="00CE303C"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Conviction: fraud over $5,000 and conspiracy to commit fraud</w:t>
            </w:r>
          </w:p>
          <w:p w:rsidR="004D595B" w:rsidRPr="009C0EA2" w:rsidRDefault="004D595B" w:rsidP="004D595B">
            <w:pPr>
              <w:jc w:val="both"/>
              <w:rPr>
                <w:rFonts w:eastAsia="Calibri"/>
                <w:sz w:val="20"/>
              </w:rPr>
            </w:pP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April 11, 2005</w:t>
            </w:r>
          </w:p>
          <w:p w:rsidR="004D595B" w:rsidRPr="009C0EA2" w:rsidRDefault="004D595B" w:rsidP="004D595B">
            <w:pPr>
              <w:jc w:val="both"/>
              <w:rPr>
                <w:rFonts w:eastAsia="Calibri"/>
                <w:sz w:val="20"/>
              </w:rPr>
            </w:pPr>
            <w:r w:rsidRPr="009C0EA2">
              <w:rPr>
                <w:rFonts w:eastAsia="Calibri"/>
                <w:sz w:val="20"/>
              </w:rPr>
              <w:t>Ontario Superior Court of Justice</w:t>
            </w:r>
          </w:p>
          <w:p w:rsidR="004D595B" w:rsidRPr="009C0EA2" w:rsidRDefault="004D595B" w:rsidP="00CE303C">
            <w:pPr>
              <w:jc w:val="both"/>
              <w:rPr>
                <w:rFonts w:eastAsia="Calibri"/>
                <w:sz w:val="20"/>
              </w:rPr>
            </w:pPr>
            <w:r w:rsidRPr="009C0EA2">
              <w:rPr>
                <w:rFonts w:eastAsia="Calibri"/>
                <w:sz w:val="20"/>
              </w:rPr>
              <w:t>(Corbett J.)</w:t>
            </w:r>
          </w:p>
        </w:tc>
        <w:tc>
          <w:tcPr>
            <w:tcW w:w="243" w:type="pct"/>
          </w:tcPr>
          <w:p w:rsidR="004D595B" w:rsidRDefault="004D595B"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9C0EA2" w:rsidRDefault="00CE303C"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Sentence: 3 years</w:t>
            </w: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June 10, 2010</w:t>
            </w:r>
          </w:p>
          <w:p w:rsidR="004D595B" w:rsidRPr="009C0EA2" w:rsidRDefault="004D595B" w:rsidP="004D595B">
            <w:pPr>
              <w:jc w:val="both"/>
              <w:rPr>
                <w:rFonts w:eastAsia="Calibri"/>
                <w:sz w:val="20"/>
              </w:rPr>
            </w:pPr>
            <w:r w:rsidRPr="009C0EA2">
              <w:rPr>
                <w:rFonts w:eastAsia="Calibri"/>
                <w:sz w:val="20"/>
              </w:rPr>
              <w:t>Court of Appeal for Ontario</w:t>
            </w:r>
          </w:p>
          <w:p w:rsidR="004D595B" w:rsidRPr="009C0EA2" w:rsidRDefault="004D595B" w:rsidP="004D595B">
            <w:pPr>
              <w:jc w:val="both"/>
              <w:rPr>
                <w:rFonts w:eastAsia="Calibri"/>
                <w:sz w:val="20"/>
              </w:rPr>
            </w:pPr>
            <w:r w:rsidRPr="009C0EA2">
              <w:rPr>
                <w:rFonts w:eastAsia="Calibri"/>
                <w:sz w:val="20"/>
              </w:rPr>
              <w:t xml:space="preserve">(Doherty, Feldman, </w:t>
            </w:r>
            <w:proofErr w:type="spellStart"/>
            <w:r w:rsidRPr="009C0EA2">
              <w:rPr>
                <w:rFonts w:eastAsia="Calibri"/>
                <w:sz w:val="20"/>
              </w:rPr>
              <w:t>MacPherson</w:t>
            </w:r>
            <w:proofErr w:type="spellEnd"/>
            <w:r w:rsidRPr="009C0EA2">
              <w:rPr>
                <w:rFonts w:eastAsia="Calibri"/>
                <w:sz w:val="20"/>
              </w:rPr>
              <w:t xml:space="preserve">, Blair, </w:t>
            </w:r>
            <w:proofErr w:type="spellStart"/>
            <w:r w:rsidRPr="009C0EA2">
              <w:rPr>
                <w:rFonts w:eastAsia="Calibri"/>
                <w:sz w:val="20"/>
              </w:rPr>
              <w:t>Juriansz</w:t>
            </w:r>
            <w:proofErr w:type="spellEnd"/>
            <w:r w:rsidRPr="009C0EA2">
              <w:rPr>
                <w:rFonts w:eastAsia="Calibri"/>
                <w:sz w:val="20"/>
              </w:rPr>
              <w:t xml:space="preserve"> JJ.A)</w:t>
            </w:r>
          </w:p>
          <w:p w:rsidR="004D595B" w:rsidRPr="009C0EA2" w:rsidRDefault="004D595B" w:rsidP="00CE303C">
            <w:pPr>
              <w:jc w:val="both"/>
              <w:rPr>
                <w:rFonts w:eastAsia="Calibri"/>
                <w:sz w:val="20"/>
              </w:rPr>
            </w:pPr>
            <w:r w:rsidRPr="009C0EA2">
              <w:rPr>
                <w:rFonts w:eastAsia="Calibri"/>
                <w:sz w:val="20"/>
              </w:rPr>
              <w:t>2010 ONCA 423</w:t>
            </w:r>
          </w:p>
        </w:tc>
        <w:tc>
          <w:tcPr>
            <w:tcW w:w="243" w:type="pct"/>
          </w:tcPr>
          <w:p w:rsidR="004D595B" w:rsidRDefault="004D595B"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9C0EA2" w:rsidRDefault="00CE303C"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Appeals dismissed</w:t>
            </w:r>
          </w:p>
          <w:p w:rsidR="004D595B" w:rsidRPr="009C0EA2" w:rsidRDefault="004D595B" w:rsidP="004D595B">
            <w:pPr>
              <w:jc w:val="both"/>
              <w:rPr>
                <w:rFonts w:eastAsia="Calibri"/>
                <w:sz w:val="20"/>
              </w:rPr>
            </w:pP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September 8, 2010</w:t>
            </w:r>
          </w:p>
          <w:p w:rsidR="004D595B" w:rsidRPr="009C0EA2" w:rsidRDefault="004D595B" w:rsidP="004D595B">
            <w:pPr>
              <w:jc w:val="both"/>
              <w:rPr>
                <w:rFonts w:eastAsia="Calibri"/>
                <w:sz w:val="20"/>
              </w:rPr>
            </w:pPr>
            <w:r w:rsidRPr="009C0EA2">
              <w:rPr>
                <w:rFonts w:eastAsia="Calibri"/>
                <w:sz w:val="20"/>
              </w:rPr>
              <w:t>Supreme Court of Canada</w:t>
            </w:r>
          </w:p>
        </w:tc>
        <w:tc>
          <w:tcPr>
            <w:tcW w:w="243" w:type="pct"/>
          </w:tcPr>
          <w:p w:rsidR="004D595B" w:rsidRPr="009C0EA2" w:rsidRDefault="004D595B"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Application for leave to appeal filed</w:t>
            </w:r>
          </w:p>
        </w:tc>
      </w:tr>
    </w:tbl>
    <w:p w:rsidR="004D595B" w:rsidRDefault="004D595B" w:rsidP="00331157">
      <w:pPr>
        <w:keepNext/>
        <w:rPr>
          <w:sz w:val="20"/>
          <w:szCs w:val="20"/>
        </w:rPr>
      </w:pPr>
    </w:p>
    <w:p w:rsidR="00331157" w:rsidRPr="00C50A5C" w:rsidRDefault="003E770A" w:rsidP="00331157">
      <w:pPr>
        <w:rPr>
          <w:sz w:val="20"/>
          <w:szCs w:val="20"/>
        </w:rPr>
      </w:pPr>
      <w:r w:rsidRPr="003E770A">
        <w:rPr>
          <w:sz w:val="20"/>
          <w:szCs w:val="20"/>
          <w:lang w:val="fr-CA"/>
        </w:rPr>
        <w:pict>
          <v:rect id="_x0000_i1047" style="width:2in;height:1pt" o:hrpct="0" o:hralign="center" o:hrstd="t" o:hrnoshade="t" o:hr="t" fillcolor="black [3213]" stroked="f"/>
        </w:pict>
      </w:r>
    </w:p>
    <w:p w:rsidR="00331157" w:rsidRPr="00C50A5C" w:rsidRDefault="00331157" w:rsidP="00331157">
      <w:pPr>
        <w:keepNext/>
        <w:rPr>
          <w:sz w:val="20"/>
          <w:szCs w:val="20"/>
          <w:u w:val="single"/>
          <w:lang w:val="fr-CA"/>
        </w:rPr>
      </w:pPr>
      <w:r w:rsidRPr="00C50A5C">
        <w:rPr>
          <w:sz w:val="20"/>
          <w:szCs w:val="20"/>
          <w:u w:val="single"/>
          <w:lang w:val="fr-CA"/>
        </w:rPr>
        <w:lastRenderedPageBreak/>
        <w:t>RÉSUMÉ DE L’AFFAIRE</w:t>
      </w:r>
    </w:p>
    <w:p w:rsidR="00331157" w:rsidRDefault="00331157" w:rsidP="00331157">
      <w:pPr>
        <w:keepNext/>
        <w:rPr>
          <w:sz w:val="20"/>
          <w:szCs w:val="20"/>
          <w:lang w:val="fr-CA"/>
        </w:rPr>
      </w:pPr>
    </w:p>
    <w:tbl>
      <w:tblPr>
        <w:tblW w:w="4999" w:type="pct"/>
        <w:tblInd w:w="-106" w:type="dxa"/>
        <w:tblLayout w:type="fixed"/>
        <w:tblLook w:val="00A0"/>
      </w:tblPr>
      <w:tblGrid>
        <w:gridCol w:w="9833"/>
      </w:tblGrid>
      <w:tr w:rsidR="004D595B" w:rsidRPr="003B380E" w:rsidTr="004D595B">
        <w:tc>
          <w:tcPr>
            <w:tcW w:w="5000" w:type="pct"/>
          </w:tcPr>
          <w:p w:rsidR="004D595B" w:rsidRPr="009C0EA2" w:rsidRDefault="004D595B" w:rsidP="004D595B">
            <w:pPr>
              <w:ind w:left="106"/>
              <w:jc w:val="both"/>
              <w:rPr>
                <w:rFonts w:eastAsia="Calibri"/>
                <w:sz w:val="20"/>
                <w:lang w:val="fr-CA"/>
              </w:rPr>
            </w:pPr>
            <w:r w:rsidRPr="009C0EA2">
              <w:rPr>
                <w:rFonts w:eastAsia="Calibri"/>
                <w:i/>
                <w:iCs/>
                <w:sz w:val="20"/>
                <w:lang w:val="fr-CA"/>
              </w:rPr>
              <w:t>Charte des droits et libertés</w:t>
            </w:r>
            <w:r w:rsidRPr="009C0EA2">
              <w:rPr>
                <w:rFonts w:eastAsia="Calibri"/>
                <w:sz w:val="20"/>
                <w:lang w:val="fr-CA"/>
              </w:rPr>
              <w:t xml:space="preserve"> – Droit criminel – Exposé au jury – Droit de garder le silence – Considération du par. 4(6) de la </w:t>
            </w:r>
            <w:r w:rsidRPr="009C0EA2">
              <w:rPr>
                <w:rFonts w:eastAsia="Calibri"/>
                <w:i/>
                <w:iCs/>
                <w:sz w:val="20"/>
                <w:lang w:val="fr-CA"/>
              </w:rPr>
              <w:t>Loi sur la preuve au Canada</w:t>
            </w:r>
            <w:r w:rsidRPr="009C0EA2">
              <w:rPr>
                <w:rFonts w:eastAsia="Calibri"/>
                <w:sz w:val="20"/>
                <w:lang w:val="fr-CA"/>
              </w:rPr>
              <w:t xml:space="preserve"> – La Cour d’appel a-t-elle eu tort de conclure que le juge du procès n’était pas tenu de faire une mise en garde explicite au jury contre l’utilisation inopportune de la décision du demandeur de ne pas témoigner au procès? – </w:t>
            </w:r>
            <w:r w:rsidRPr="009C0EA2">
              <w:rPr>
                <w:rFonts w:eastAsia="Calibri"/>
                <w:i/>
                <w:iCs/>
                <w:sz w:val="20"/>
                <w:lang w:val="fr-CA"/>
              </w:rPr>
              <w:t>Charte des droits et libertés</w:t>
            </w:r>
            <w:r w:rsidRPr="009C0EA2">
              <w:rPr>
                <w:rFonts w:eastAsia="Calibri"/>
                <w:sz w:val="20"/>
                <w:lang w:val="fr-CA"/>
              </w:rPr>
              <w:t xml:space="preserve"> art. 7, 11 c) et 11 d).</w:t>
            </w:r>
          </w:p>
        </w:tc>
      </w:tr>
      <w:tr w:rsidR="004D595B" w:rsidRPr="003B380E" w:rsidTr="004D595B">
        <w:tc>
          <w:tcPr>
            <w:tcW w:w="5000" w:type="pct"/>
          </w:tcPr>
          <w:p w:rsidR="004D595B" w:rsidRPr="009C0EA2" w:rsidRDefault="004D595B" w:rsidP="004D595B">
            <w:pPr>
              <w:ind w:left="106"/>
              <w:jc w:val="both"/>
              <w:rPr>
                <w:rFonts w:eastAsia="Calibri"/>
                <w:sz w:val="20"/>
                <w:lang w:val="fr-CA"/>
              </w:rPr>
            </w:pPr>
          </w:p>
        </w:tc>
      </w:tr>
      <w:tr w:rsidR="004D595B" w:rsidRPr="003B380E" w:rsidTr="004D595B">
        <w:tc>
          <w:tcPr>
            <w:tcW w:w="5000" w:type="pct"/>
          </w:tcPr>
          <w:p w:rsidR="004D595B" w:rsidRPr="009C0EA2" w:rsidRDefault="004D595B" w:rsidP="00CE303C">
            <w:pPr>
              <w:ind w:left="106"/>
              <w:jc w:val="both"/>
              <w:rPr>
                <w:rFonts w:eastAsia="Calibri"/>
                <w:sz w:val="20"/>
                <w:lang w:val="fr-CA"/>
              </w:rPr>
            </w:pPr>
            <w:r w:rsidRPr="009C0EA2">
              <w:rPr>
                <w:rFonts w:eastAsia="Calibri"/>
                <w:sz w:val="20"/>
                <w:lang w:val="fr-CA"/>
              </w:rPr>
              <w:t xml:space="preserve">Le demandeur et le coaccusé, Peter </w:t>
            </w:r>
            <w:proofErr w:type="spellStart"/>
            <w:r w:rsidRPr="009C0EA2">
              <w:rPr>
                <w:rFonts w:eastAsia="Calibri"/>
                <w:sz w:val="20"/>
                <w:lang w:val="fr-CA"/>
              </w:rPr>
              <w:t>Solty</w:t>
            </w:r>
            <w:proofErr w:type="spellEnd"/>
            <w:r w:rsidRPr="009C0EA2">
              <w:rPr>
                <w:rFonts w:eastAsia="Calibri"/>
                <w:sz w:val="20"/>
                <w:lang w:val="fr-CA"/>
              </w:rPr>
              <w:t xml:space="preserve">, ont été inculpés sous un chef de complot de fraude contre le gouvernement du Canada et un chef de fraude contre le gouvernement du Canada pour un montant d’environ 3,25 millions de dollars. Le ministère public a allégué que les deux accusés avaient participé à une </w:t>
            </w:r>
            <w:proofErr w:type="spellStart"/>
            <w:r w:rsidRPr="009C0EA2">
              <w:rPr>
                <w:rFonts w:eastAsia="Calibri"/>
                <w:sz w:val="20"/>
                <w:lang w:val="fr-CA"/>
              </w:rPr>
              <w:t>manoeuvre</w:t>
            </w:r>
            <w:proofErr w:type="spellEnd"/>
            <w:r w:rsidRPr="009C0EA2">
              <w:rPr>
                <w:rFonts w:eastAsia="Calibri"/>
                <w:sz w:val="20"/>
                <w:lang w:val="fr-CA"/>
              </w:rPr>
              <w:t xml:space="preserve"> frauduleuse par laquelle la vente fictive de matériel lourd produisait une taxe de vente harmonisée (« TVH ») qui n’était pas ensuite versée au gouvernement fédéral comme le prescrit la loi. Le caractère frauduleux de la manœuvre n’a jamais été contesté. Il a également été admis que le demandeur et M. </w:t>
            </w:r>
            <w:proofErr w:type="spellStart"/>
            <w:r w:rsidRPr="009C0EA2">
              <w:rPr>
                <w:rFonts w:eastAsia="Calibri"/>
                <w:sz w:val="20"/>
                <w:lang w:val="fr-CA"/>
              </w:rPr>
              <w:t>Solty</w:t>
            </w:r>
            <w:proofErr w:type="spellEnd"/>
            <w:r w:rsidRPr="009C0EA2">
              <w:rPr>
                <w:rFonts w:eastAsia="Calibri"/>
                <w:sz w:val="20"/>
                <w:lang w:val="fr-CA"/>
              </w:rPr>
              <w:t xml:space="preserve"> étaient impliqués dans la </w:t>
            </w:r>
            <w:proofErr w:type="spellStart"/>
            <w:r w:rsidRPr="009C0EA2">
              <w:rPr>
                <w:rFonts w:eastAsia="Calibri"/>
                <w:sz w:val="20"/>
                <w:lang w:val="fr-CA"/>
              </w:rPr>
              <w:t>manoeuvre</w:t>
            </w:r>
            <w:proofErr w:type="spellEnd"/>
            <w:r w:rsidRPr="009C0EA2">
              <w:rPr>
                <w:rFonts w:eastAsia="Calibri"/>
                <w:sz w:val="20"/>
                <w:lang w:val="fr-CA"/>
              </w:rPr>
              <w:t xml:space="preserve">. La question que devait trancher le jury était de savoir si les accusés ou l’un deux connaissaient le caractère frauduleux de la </w:t>
            </w:r>
            <w:proofErr w:type="spellStart"/>
            <w:r w:rsidRPr="009C0EA2">
              <w:rPr>
                <w:rFonts w:eastAsia="Calibri"/>
                <w:sz w:val="20"/>
                <w:lang w:val="fr-CA"/>
              </w:rPr>
              <w:t>manoeuvre</w:t>
            </w:r>
            <w:proofErr w:type="spellEnd"/>
            <w:r w:rsidRPr="009C0EA2">
              <w:rPr>
                <w:rFonts w:eastAsia="Calibri"/>
                <w:sz w:val="20"/>
                <w:lang w:val="fr-CA"/>
              </w:rPr>
              <w:t>. Le demandeur n’a pas témoigné. Le demandeur a été déclaré coupable et condamné et ses appels ont été rejetés.</w:t>
            </w:r>
          </w:p>
        </w:tc>
      </w:tr>
    </w:tbl>
    <w:p w:rsidR="004D595B" w:rsidRPr="004D595B" w:rsidRDefault="004D595B" w:rsidP="004D595B">
      <w:pPr>
        <w:rPr>
          <w:lang w:val="fr-CA"/>
        </w:rPr>
      </w:pPr>
    </w:p>
    <w:tbl>
      <w:tblPr>
        <w:tblW w:w="4999" w:type="pct"/>
        <w:tblInd w:w="-106" w:type="dxa"/>
        <w:tblLayout w:type="fixed"/>
        <w:tblLook w:val="00A0"/>
      </w:tblPr>
      <w:tblGrid>
        <w:gridCol w:w="4728"/>
        <w:gridCol w:w="474"/>
        <w:gridCol w:w="4631"/>
      </w:tblGrid>
      <w:tr w:rsidR="004D595B" w:rsidRPr="003B380E" w:rsidTr="004D595B">
        <w:trPr>
          <w:cantSplit/>
        </w:trPr>
        <w:tc>
          <w:tcPr>
            <w:tcW w:w="2404" w:type="pct"/>
          </w:tcPr>
          <w:p w:rsidR="004D595B" w:rsidRPr="009C0EA2" w:rsidRDefault="004D595B" w:rsidP="004D595B">
            <w:pPr>
              <w:ind w:left="106"/>
              <w:jc w:val="both"/>
              <w:rPr>
                <w:rFonts w:eastAsia="Calibri"/>
                <w:sz w:val="20"/>
                <w:lang w:val="fr-CA"/>
              </w:rPr>
            </w:pPr>
            <w:r w:rsidRPr="009C0EA2">
              <w:rPr>
                <w:rFonts w:eastAsia="Calibri"/>
                <w:sz w:val="20"/>
                <w:lang w:val="fr-CA"/>
              </w:rPr>
              <w:t>8 janvier 2005</w:t>
            </w:r>
          </w:p>
          <w:p w:rsidR="004D595B" w:rsidRPr="009C0EA2" w:rsidRDefault="004D595B" w:rsidP="004D595B">
            <w:pPr>
              <w:ind w:left="106"/>
              <w:jc w:val="both"/>
              <w:rPr>
                <w:rFonts w:eastAsia="Calibri"/>
                <w:sz w:val="20"/>
                <w:lang w:val="fr-CA"/>
              </w:rPr>
            </w:pPr>
            <w:r w:rsidRPr="009C0EA2">
              <w:rPr>
                <w:rFonts w:eastAsia="Calibri"/>
                <w:sz w:val="20"/>
                <w:lang w:val="fr-CA"/>
              </w:rPr>
              <w:t>Cour supérieure de justice de l’Ontario</w:t>
            </w:r>
          </w:p>
          <w:p w:rsidR="004D595B" w:rsidRPr="009C0EA2" w:rsidRDefault="004D595B" w:rsidP="00CE303C">
            <w:pPr>
              <w:ind w:left="106"/>
              <w:jc w:val="both"/>
              <w:rPr>
                <w:rFonts w:eastAsia="Calibri"/>
                <w:sz w:val="20"/>
                <w:lang w:val="fr-CA"/>
              </w:rPr>
            </w:pPr>
            <w:r w:rsidRPr="009C0EA2">
              <w:rPr>
                <w:rFonts w:eastAsia="Calibri"/>
                <w:sz w:val="20"/>
                <w:lang w:val="fr-CA"/>
              </w:rPr>
              <w:t xml:space="preserve">(Juge </w:t>
            </w:r>
            <w:proofErr w:type="spellStart"/>
            <w:r w:rsidRPr="009C0EA2">
              <w:rPr>
                <w:rFonts w:eastAsia="Calibri"/>
                <w:sz w:val="20"/>
                <w:lang w:val="fr-CA"/>
              </w:rPr>
              <w:t>Corbett</w:t>
            </w:r>
            <w:proofErr w:type="spellEnd"/>
            <w:r w:rsidRPr="009C0EA2">
              <w:rPr>
                <w:rFonts w:eastAsia="Calibri"/>
                <w:sz w:val="20"/>
                <w:lang w:val="fr-CA"/>
              </w:rPr>
              <w:t>)</w:t>
            </w:r>
          </w:p>
        </w:tc>
        <w:tc>
          <w:tcPr>
            <w:tcW w:w="241" w:type="pct"/>
          </w:tcPr>
          <w:p w:rsidR="004D595B" w:rsidRDefault="004D595B"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Pr="009C0EA2" w:rsidRDefault="00CE303C" w:rsidP="004D595B">
            <w:pPr>
              <w:jc w:val="both"/>
              <w:rPr>
                <w:rFonts w:eastAsia="Calibri"/>
                <w:sz w:val="20"/>
                <w:lang w:val="fr-CA"/>
              </w:rPr>
            </w:pPr>
          </w:p>
        </w:tc>
        <w:tc>
          <w:tcPr>
            <w:tcW w:w="2355" w:type="pct"/>
          </w:tcPr>
          <w:p w:rsidR="004D595B" w:rsidRPr="009C0EA2" w:rsidRDefault="004D595B" w:rsidP="004D595B">
            <w:pPr>
              <w:jc w:val="both"/>
              <w:rPr>
                <w:rFonts w:eastAsia="Calibri"/>
                <w:sz w:val="20"/>
                <w:lang w:val="fr-CA"/>
              </w:rPr>
            </w:pPr>
            <w:r w:rsidRPr="009C0EA2">
              <w:rPr>
                <w:rFonts w:eastAsia="Calibri"/>
                <w:sz w:val="20"/>
                <w:lang w:val="fr-CA"/>
              </w:rPr>
              <w:t>Déclaration de culpabilité : fraude de plus de 5 000 $ et complot de fraude</w:t>
            </w:r>
          </w:p>
          <w:p w:rsidR="004D595B" w:rsidRPr="009C0EA2" w:rsidRDefault="004D595B" w:rsidP="004D595B">
            <w:pPr>
              <w:jc w:val="both"/>
              <w:rPr>
                <w:rFonts w:eastAsia="Calibri"/>
                <w:sz w:val="20"/>
                <w:lang w:val="fr-CA"/>
              </w:rPr>
            </w:pPr>
          </w:p>
        </w:tc>
      </w:tr>
      <w:tr w:rsidR="004D595B" w:rsidRPr="009C0EA2" w:rsidTr="004D595B">
        <w:trPr>
          <w:cantSplit/>
        </w:trPr>
        <w:tc>
          <w:tcPr>
            <w:tcW w:w="2404" w:type="pct"/>
          </w:tcPr>
          <w:p w:rsidR="004D595B" w:rsidRPr="009C0EA2" w:rsidRDefault="004D595B" w:rsidP="004D595B">
            <w:pPr>
              <w:ind w:left="106"/>
              <w:jc w:val="both"/>
              <w:rPr>
                <w:rFonts w:eastAsia="Calibri"/>
                <w:sz w:val="20"/>
                <w:lang w:val="fr-CA"/>
              </w:rPr>
            </w:pPr>
            <w:r w:rsidRPr="009C0EA2">
              <w:rPr>
                <w:rFonts w:eastAsia="Calibri"/>
                <w:sz w:val="20"/>
                <w:lang w:val="fr-CA"/>
              </w:rPr>
              <w:t>11 avril 2005</w:t>
            </w:r>
          </w:p>
          <w:p w:rsidR="004D595B" w:rsidRPr="009C0EA2" w:rsidRDefault="004D595B" w:rsidP="004D595B">
            <w:pPr>
              <w:ind w:left="106"/>
              <w:jc w:val="both"/>
              <w:rPr>
                <w:rFonts w:eastAsia="Calibri"/>
                <w:sz w:val="20"/>
                <w:lang w:val="fr-CA"/>
              </w:rPr>
            </w:pPr>
            <w:r w:rsidRPr="009C0EA2">
              <w:rPr>
                <w:rFonts w:eastAsia="Calibri"/>
                <w:sz w:val="20"/>
                <w:lang w:val="fr-CA"/>
              </w:rPr>
              <w:t>Cour supérieure de justice de l’Ontario</w:t>
            </w:r>
          </w:p>
          <w:p w:rsidR="004D595B" w:rsidRPr="009C0EA2" w:rsidRDefault="004D595B" w:rsidP="00CE303C">
            <w:pPr>
              <w:ind w:left="106"/>
              <w:jc w:val="both"/>
              <w:rPr>
                <w:rFonts w:eastAsia="Calibri"/>
                <w:sz w:val="20"/>
                <w:lang w:val="fr-CA"/>
              </w:rPr>
            </w:pPr>
            <w:r w:rsidRPr="009C0EA2">
              <w:rPr>
                <w:rFonts w:eastAsia="Calibri"/>
                <w:sz w:val="20"/>
                <w:lang w:val="fr-CA"/>
              </w:rPr>
              <w:t xml:space="preserve">(Juge </w:t>
            </w:r>
            <w:proofErr w:type="spellStart"/>
            <w:r w:rsidRPr="009C0EA2">
              <w:rPr>
                <w:rFonts w:eastAsia="Calibri"/>
                <w:sz w:val="20"/>
                <w:lang w:val="fr-CA"/>
              </w:rPr>
              <w:t>Corbett</w:t>
            </w:r>
            <w:proofErr w:type="spellEnd"/>
            <w:r w:rsidRPr="009C0EA2">
              <w:rPr>
                <w:rFonts w:eastAsia="Calibri"/>
                <w:sz w:val="20"/>
                <w:lang w:val="fr-CA"/>
              </w:rPr>
              <w:t>)</w:t>
            </w:r>
          </w:p>
        </w:tc>
        <w:tc>
          <w:tcPr>
            <w:tcW w:w="241" w:type="pct"/>
          </w:tcPr>
          <w:p w:rsidR="004D595B" w:rsidRDefault="004D595B"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Pr="009C0EA2" w:rsidRDefault="00CE303C" w:rsidP="004D595B">
            <w:pPr>
              <w:jc w:val="both"/>
              <w:rPr>
                <w:rFonts w:eastAsia="Calibri"/>
                <w:sz w:val="20"/>
                <w:lang w:val="fr-CA"/>
              </w:rPr>
            </w:pPr>
          </w:p>
        </w:tc>
        <w:tc>
          <w:tcPr>
            <w:tcW w:w="2355" w:type="pct"/>
          </w:tcPr>
          <w:p w:rsidR="004D595B" w:rsidRPr="009C0EA2" w:rsidRDefault="004D595B" w:rsidP="004D595B">
            <w:pPr>
              <w:jc w:val="both"/>
              <w:rPr>
                <w:rFonts w:eastAsia="Calibri"/>
                <w:sz w:val="20"/>
                <w:lang w:val="fr-CA"/>
              </w:rPr>
            </w:pPr>
            <w:r w:rsidRPr="009C0EA2">
              <w:rPr>
                <w:rFonts w:eastAsia="Calibri"/>
                <w:sz w:val="20"/>
                <w:lang w:val="fr-CA"/>
              </w:rPr>
              <w:t>Peine : 3 ans</w:t>
            </w:r>
          </w:p>
        </w:tc>
      </w:tr>
      <w:tr w:rsidR="004D595B" w:rsidRPr="009C0EA2" w:rsidTr="004D595B">
        <w:trPr>
          <w:cantSplit/>
        </w:trPr>
        <w:tc>
          <w:tcPr>
            <w:tcW w:w="2404" w:type="pct"/>
          </w:tcPr>
          <w:p w:rsidR="004D595B" w:rsidRPr="009C0EA2" w:rsidRDefault="004D595B" w:rsidP="004D595B">
            <w:pPr>
              <w:ind w:left="106"/>
              <w:jc w:val="both"/>
              <w:rPr>
                <w:rFonts w:eastAsia="Calibri"/>
                <w:sz w:val="20"/>
                <w:lang w:val="fr-CA"/>
              </w:rPr>
            </w:pPr>
            <w:r w:rsidRPr="009C0EA2">
              <w:rPr>
                <w:rFonts w:eastAsia="Calibri"/>
                <w:sz w:val="20"/>
                <w:lang w:val="fr-CA"/>
              </w:rPr>
              <w:t>10 juin 2010</w:t>
            </w:r>
          </w:p>
          <w:p w:rsidR="004D595B" w:rsidRPr="009C0EA2" w:rsidRDefault="004D595B" w:rsidP="004D595B">
            <w:pPr>
              <w:ind w:left="106"/>
              <w:jc w:val="both"/>
              <w:rPr>
                <w:rFonts w:eastAsia="Calibri"/>
                <w:sz w:val="20"/>
                <w:lang w:val="fr-CA"/>
              </w:rPr>
            </w:pPr>
            <w:r w:rsidRPr="009C0EA2">
              <w:rPr>
                <w:rFonts w:eastAsia="Calibri"/>
                <w:sz w:val="20"/>
                <w:lang w:val="fr-CA"/>
              </w:rPr>
              <w:t>Cour d’appel de l’Ontario</w:t>
            </w:r>
          </w:p>
          <w:p w:rsidR="004D595B" w:rsidRPr="009C0EA2" w:rsidRDefault="004D595B" w:rsidP="004D595B">
            <w:pPr>
              <w:ind w:left="106"/>
              <w:jc w:val="both"/>
              <w:rPr>
                <w:rFonts w:eastAsia="Calibri"/>
                <w:sz w:val="20"/>
                <w:lang w:val="fr-CA"/>
              </w:rPr>
            </w:pPr>
            <w:r w:rsidRPr="009C0EA2">
              <w:rPr>
                <w:rFonts w:eastAsia="Calibri"/>
                <w:sz w:val="20"/>
                <w:lang w:val="fr-CA"/>
              </w:rPr>
              <w:t xml:space="preserve">(Juges Doherty, </w:t>
            </w:r>
            <w:proofErr w:type="spellStart"/>
            <w:r w:rsidRPr="009C0EA2">
              <w:rPr>
                <w:rFonts w:eastAsia="Calibri"/>
                <w:sz w:val="20"/>
                <w:lang w:val="fr-CA"/>
              </w:rPr>
              <w:t>Feldman</w:t>
            </w:r>
            <w:proofErr w:type="spellEnd"/>
            <w:r w:rsidRPr="009C0EA2">
              <w:rPr>
                <w:rFonts w:eastAsia="Calibri"/>
                <w:sz w:val="20"/>
                <w:lang w:val="fr-CA"/>
              </w:rPr>
              <w:t xml:space="preserve">, </w:t>
            </w:r>
            <w:proofErr w:type="spellStart"/>
            <w:r w:rsidRPr="009C0EA2">
              <w:rPr>
                <w:rFonts w:eastAsia="Calibri"/>
                <w:sz w:val="20"/>
                <w:lang w:val="fr-CA"/>
              </w:rPr>
              <w:t>MacPherson</w:t>
            </w:r>
            <w:proofErr w:type="spellEnd"/>
            <w:r w:rsidRPr="009C0EA2">
              <w:rPr>
                <w:rFonts w:eastAsia="Calibri"/>
                <w:sz w:val="20"/>
                <w:lang w:val="fr-CA"/>
              </w:rPr>
              <w:t xml:space="preserve">, Blair et </w:t>
            </w:r>
            <w:proofErr w:type="spellStart"/>
            <w:r w:rsidRPr="009C0EA2">
              <w:rPr>
                <w:rFonts w:eastAsia="Calibri"/>
                <w:sz w:val="20"/>
                <w:lang w:val="fr-CA"/>
              </w:rPr>
              <w:t>Juriansz</w:t>
            </w:r>
            <w:proofErr w:type="spellEnd"/>
            <w:r w:rsidRPr="009C0EA2">
              <w:rPr>
                <w:rFonts w:eastAsia="Calibri"/>
                <w:sz w:val="20"/>
                <w:lang w:val="fr-CA"/>
              </w:rPr>
              <w:t>)</w:t>
            </w:r>
          </w:p>
          <w:p w:rsidR="004D595B" w:rsidRPr="009C0EA2" w:rsidRDefault="004D595B" w:rsidP="00CE303C">
            <w:pPr>
              <w:ind w:left="106"/>
              <w:jc w:val="both"/>
              <w:rPr>
                <w:rFonts w:eastAsia="Calibri"/>
                <w:sz w:val="20"/>
                <w:lang w:val="fr-CA"/>
              </w:rPr>
            </w:pPr>
            <w:r w:rsidRPr="009C0EA2">
              <w:rPr>
                <w:rFonts w:eastAsia="Calibri"/>
                <w:sz w:val="20"/>
                <w:lang w:val="fr-CA"/>
              </w:rPr>
              <w:t>2010 ONCA 423</w:t>
            </w:r>
          </w:p>
        </w:tc>
        <w:tc>
          <w:tcPr>
            <w:tcW w:w="241" w:type="pct"/>
          </w:tcPr>
          <w:p w:rsidR="004D595B" w:rsidRDefault="004D595B"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Pr="009C0EA2" w:rsidRDefault="00CE303C" w:rsidP="004D595B">
            <w:pPr>
              <w:jc w:val="both"/>
              <w:rPr>
                <w:rFonts w:eastAsia="Calibri"/>
                <w:sz w:val="20"/>
                <w:lang w:val="fr-CA"/>
              </w:rPr>
            </w:pPr>
          </w:p>
        </w:tc>
        <w:tc>
          <w:tcPr>
            <w:tcW w:w="2355" w:type="pct"/>
          </w:tcPr>
          <w:p w:rsidR="004D595B" w:rsidRPr="009C0EA2" w:rsidRDefault="004D595B" w:rsidP="004D595B">
            <w:pPr>
              <w:jc w:val="both"/>
              <w:rPr>
                <w:rFonts w:eastAsia="Calibri"/>
                <w:sz w:val="20"/>
                <w:lang w:val="fr-CA"/>
              </w:rPr>
            </w:pPr>
            <w:r w:rsidRPr="009C0EA2">
              <w:rPr>
                <w:rFonts w:eastAsia="Calibri"/>
                <w:sz w:val="20"/>
                <w:lang w:val="fr-CA"/>
              </w:rPr>
              <w:t>Appels rejetés</w:t>
            </w:r>
          </w:p>
          <w:p w:rsidR="004D595B" w:rsidRPr="009C0EA2" w:rsidRDefault="004D595B" w:rsidP="004D595B">
            <w:pPr>
              <w:jc w:val="both"/>
              <w:rPr>
                <w:rFonts w:eastAsia="Calibri"/>
                <w:sz w:val="20"/>
                <w:lang w:val="fr-CA"/>
              </w:rPr>
            </w:pPr>
          </w:p>
        </w:tc>
      </w:tr>
      <w:tr w:rsidR="004D595B" w:rsidRPr="009C0EA2" w:rsidTr="004D595B">
        <w:trPr>
          <w:cantSplit/>
        </w:trPr>
        <w:tc>
          <w:tcPr>
            <w:tcW w:w="2404" w:type="pct"/>
          </w:tcPr>
          <w:p w:rsidR="004D595B" w:rsidRPr="009C0EA2" w:rsidRDefault="004D595B" w:rsidP="004D595B">
            <w:pPr>
              <w:ind w:left="106"/>
              <w:jc w:val="both"/>
              <w:rPr>
                <w:rFonts w:eastAsia="Calibri"/>
                <w:sz w:val="20"/>
                <w:lang w:val="fr-CA"/>
              </w:rPr>
            </w:pPr>
            <w:r w:rsidRPr="009C0EA2">
              <w:rPr>
                <w:rFonts w:eastAsia="Calibri"/>
                <w:sz w:val="20"/>
                <w:lang w:val="fr-CA"/>
              </w:rPr>
              <w:t>8 septembre 2010</w:t>
            </w:r>
          </w:p>
          <w:p w:rsidR="004D595B" w:rsidRPr="009C0EA2" w:rsidRDefault="004D595B" w:rsidP="004D595B">
            <w:pPr>
              <w:ind w:left="106"/>
              <w:jc w:val="both"/>
              <w:rPr>
                <w:rFonts w:eastAsia="Calibri"/>
                <w:sz w:val="20"/>
                <w:lang w:val="fr-CA"/>
              </w:rPr>
            </w:pPr>
            <w:r w:rsidRPr="009C0EA2">
              <w:rPr>
                <w:rFonts w:eastAsia="Calibri"/>
                <w:sz w:val="20"/>
                <w:lang w:val="fr-CA"/>
              </w:rPr>
              <w:t>Cour suprême du Canada</w:t>
            </w:r>
          </w:p>
        </w:tc>
        <w:tc>
          <w:tcPr>
            <w:tcW w:w="241" w:type="pct"/>
          </w:tcPr>
          <w:p w:rsidR="004D595B" w:rsidRPr="009C0EA2" w:rsidRDefault="004D595B" w:rsidP="004D595B">
            <w:pPr>
              <w:jc w:val="both"/>
              <w:rPr>
                <w:rFonts w:eastAsia="Calibri"/>
                <w:sz w:val="20"/>
                <w:lang w:val="fr-CA"/>
              </w:rPr>
            </w:pPr>
          </w:p>
        </w:tc>
        <w:tc>
          <w:tcPr>
            <w:tcW w:w="2355" w:type="pct"/>
          </w:tcPr>
          <w:p w:rsidR="004D595B" w:rsidRPr="009C0EA2" w:rsidRDefault="004D595B" w:rsidP="004D595B">
            <w:pPr>
              <w:jc w:val="both"/>
              <w:rPr>
                <w:rFonts w:eastAsia="Calibri"/>
                <w:sz w:val="20"/>
                <w:lang w:val="fr-CA"/>
              </w:rPr>
            </w:pPr>
            <w:r w:rsidRPr="009C0EA2">
              <w:rPr>
                <w:rFonts w:eastAsia="Calibri"/>
                <w:sz w:val="20"/>
                <w:lang w:val="fr-CA"/>
              </w:rPr>
              <w:t>Demande d’autorisation d’appel déposée</w:t>
            </w:r>
          </w:p>
        </w:tc>
      </w:tr>
    </w:tbl>
    <w:p w:rsidR="00331157" w:rsidRDefault="00331157" w:rsidP="00331157">
      <w:pPr>
        <w:keepNext/>
        <w:rPr>
          <w:sz w:val="20"/>
          <w:szCs w:val="20"/>
          <w:lang w:val="fr-CA"/>
        </w:rPr>
      </w:pPr>
    </w:p>
    <w:p w:rsidR="00331157" w:rsidRDefault="003E770A" w:rsidP="00331157">
      <w:pPr>
        <w:keepNext/>
        <w:rPr>
          <w:sz w:val="20"/>
          <w:szCs w:val="20"/>
          <w:lang w:val="fr-CA"/>
        </w:rPr>
      </w:pPr>
      <w:r w:rsidRPr="003E770A">
        <w:rPr>
          <w:sz w:val="20"/>
          <w:szCs w:val="20"/>
          <w:lang w:val="fr-CA"/>
        </w:rPr>
        <w:pict>
          <v:rect id="_x0000_i1048" style="width:2in;height:1pt" o:hrpct="0" o:hralign="center" o:hrstd="t" o:hrnoshade="t" o:hr="t" fillcolor="black [3213]" stroked="f"/>
        </w:pict>
      </w:r>
    </w:p>
    <w:p w:rsidR="00AD2D4D" w:rsidRDefault="00AD2D4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49A2" w:rsidRPr="00B449A2" w:rsidTr="00F94A8D">
        <w:trPr>
          <w:cantSplit/>
        </w:trPr>
        <w:tc>
          <w:tcPr>
            <w:tcW w:w="1458" w:type="dxa"/>
          </w:tcPr>
          <w:p w:rsidR="00B449A2" w:rsidRPr="00B449A2" w:rsidRDefault="00B449A2" w:rsidP="00F94A8D">
            <w:pPr>
              <w:rPr>
                <w:sz w:val="20"/>
                <w:szCs w:val="20"/>
              </w:rPr>
            </w:pPr>
            <w:r w:rsidRPr="00B449A2">
              <w:rPr>
                <w:rStyle w:val="SCCFileNumberChar"/>
                <w:sz w:val="20"/>
                <w:szCs w:val="20"/>
              </w:rPr>
              <w:t>33778</w:t>
            </w:r>
          </w:p>
          <w:p w:rsidR="00B449A2" w:rsidRPr="00B449A2" w:rsidRDefault="00B449A2" w:rsidP="00F94A8D">
            <w:pPr>
              <w:rPr>
                <w:b/>
                <w:sz w:val="20"/>
                <w:szCs w:val="20"/>
                <w:lang w:val="fr-CA"/>
              </w:rPr>
            </w:pPr>
          </w:p>
        </w:tc>
        <w:tc>
          <w:tcPr>
            <w:tcW w:w="8118" w:type="dxa"/>
          </w:tcPr>
          <w:p w:rsidR="00B449A2" w:rsidRPr="00B449A2" w:rsidRDefault="00B449A2" w:rsidP="00F94A8D">
            <w:pPr>
              <w:rPr>
                <w:sz w:val="20"/>
                <w:szCs w:val="20"/>
              </w:rPr>
            </w:pPr>
            <w:r w:rsidRPr="00B449A2">
              <w:rPr>
                <w:rStyle w:val="SCCLsocChar"/>
                <w:sz w:val="20"/>
                <w:szCs w:val="20"/>
                <w:lang w:val="en-CA"/>
              </w:rPr>
              <w:t>Southcott Estates Inc. v. Toronto Catholic District School Board</w:t>
            </w:r>
            <w:r w:rsidRPr="00B449A2">
              <w:rPr>
                <w:sz w:val="20"/>
                <w:szCs w:val="20"/>
              </w:rPr>
              <w:t xml:space="preserve"> (Ont.) (Civil) (By Leave)</w:t>
            </w:r>
          </w:p>
          <w:p w:rsidR="00B449A2" w:rsidRPr="00B449A2" w:rsidRDefault="00B449A2" w:rsidP="00F94A8D">
            <w:pPr>
              <w:rPr>
                <w:sz w:val="20"/>
                <w:szCs w:val="20"/>
              </w:rPr>
            </w:pPr>
          </w:p>
        </w:tc>
      </w:tr>
      <w:tr w:rsidR="00B449A2" w:rsidRPr="00B449A2" w:rsidTr="00F94A8D">
        <w:trPr>
          <w:cantSplit/>
        </w:trPr>
        <w:tc>
          <w:tcPr>
            <w:tcW w:w="1458" w:type="dxa"/>
          </w:tcPr>
          <w:p w:rsidR="00B449A2" w:rsidRPr="00B449A2" w:rsidRDefault="00B449A2" w:rsidP="00F94A8D">
            <w:pPr>
              <w:rPr>
                <w:sz w:val="20"/>
                <w:szCs w:val="20"/>
              </w:rPr>
            </w:pPr>
            <w:r w:rsidRPr="00B449A2">
              <w:rPr>
                <w:sz w:val="20"/>
                <w:szCs w:val="20"/>
              </w:rPr>
              <w:t>Coram :</w:t>
            </w:r>
          </w:p>
        </w:tc>
        <w:tc>
          <w:tcPr>
            <w:tcW w:w="8118" w:type="dxa"/>
          </w:tcPr>
          <w:p w:rsidR="00B449A2" w:rsidRDefault="00B449A2" w:rsidP="00F94A8D">
            <w:pPr>
              <w:rPr>
                <w:rStyle w:val="SCCCoramChar"/>
                <w:sz w:val="20"/>
                <w:szCs w:val="20"/>
                <w:lang w:val="en-CA"/>
              </w:rPr>
            </w:pPr>
            <w:proofErr w:type="spellStart"/>
            <w:r w:rsidRPr="00B449A2">
              <w:rPr>
                <w:rStyle w:val="SCCCoramChar"/>
                <w:sz w:val="20"/>
                <w:szCs w:val="20"/>
                <w:lang w:val="en-CA"/>
              </w:rPr>
              <w:t>LeBel</w:t>
            </w:r>
            <w:proofErr w:type="spellEnd"/>
            <w:r w:rsidRPr="00B449A2">
              <w:rPr>
                <w:rStyle w:val="SCCCoramChar"/>
                <w:sz w:val="20"/>
                <w:szCs w:val="20"/>
                <w:lang w:val="en-CA"/>
              </w:rPr>
              <w:t xml:space="preserve">, </w:t>
            </w:r>
            <w:proofErr w:type="spellStart"/>
            <w:r w:rsidRPr="00B449A2">
              <w:rPr>
                <w:rStyle w:val="SCCCoramChar"/>
                <w:sz w:val="20"/>
                <w:szCs w:val="20"/>
                <w:lang w:val="en-CA"/>
              </w:rPr>
              <w:t>Deschamps</w:t>
            </w:r>
            <w:proofErr w:type="spellEnd"/>
            <w:r w:rsidRPr="00B449A2">
              <w:rPr>
                <w:rStyle w:val="SCCCoramChar"/>
                <w:sz w:val="20"/>
                <w:szCs w:val="20"/>
                <w:lang w:val="en-CA"/>
              </w:rPr>
              <w:t xml:space="preserve"> and </w:t>
            </w:r>
            <w:proofErr w:type="spellStart"/>
            <w:r w:rsidRPr="00B449A2">
              <w:rPr>
                <w:rStyle w:val="SCCCoramChar"/>
                <w:sz w:val="20"/>
                <w:szCs w:val="20"/>
                <w:lang w:val="en-CA"/>
              </w:rPr>
              <w:t>Charron</w:t>
            </w:r>
            <w:proofErr w:type="spellEnd"/>
            <w:r w:rsidRPr="00B449A2">
              <w:rPr>
                <w:rStyle w:val="SCCCoramChar"/>
                <w:sz w:val="20"/>
                <w:szCs w:val="20"/>
                <w:lang w:val="en-CA"/>
              </w:rPr>
              <w:t> JJ.</w:t>
            </w:r>
          </w:p>
          <w:p w:rsidR="00B449A2" w:rsidRPr="00B449A2" w:rsidRDefault="00B449A2" w:rsidP="00F94A8D">
            <w:pPr>
              <w:rPr>
                <w:sz w:val="20"/>
                <w:szCs w:val="20"/>
              </w:rPr>
            </w:pPr>
          </w:p>
        </w:tc>
      </w:tr>
      <w:tr w:rsidR="00B449A2" w:rsidRPr="003B380E" w:rsidTr="00F94A8D">
        <w:trPr>
          <w:cantSplit/>
        </w:trPr>
        <w:tc>
          <w:tcPr>
            <w:tcW w:w="9576" w:type="dxa"/>
            <w:gridSpan w:val="2"/>
          </w:tcPr>
          <w:p w:rsidR="00B449A2" w:rsidRPr="00B449A2" w:rsidRDefault="00B449A2" w:rsidP="00B449A2">
            <w:pPr>
              <w:jc w:val="both"/>
              <w:rPr>
                <w:sz w:val="20"/>
                <w:szCs w:val="20"/>
              </w:rPr>
            </w:pPr>
            <w:r>
              <w:rPr>
                <w:sz w:val="20"/>
                <w:szCs w:val="20"/>
              </w:rPr>
              <w:tab/>
            </w:r>
            <w:r w:rsidRPr="00B449A2">
              <w:rPr>
                <w:sz w:val="20"/>
                <w:szCs w:val="20"/>
              </w:rPr>
              <w:t>The application for leave to appeal and the conditional application for leave to cross-appeal from the judgment of the Court of Appeal for Ontario, Number C50100, 2010 ONCA 310, dated May 3, 2010, are granted with costs in the cause.</w:t>
            </w:r>
          </w:p>
          <w:p w:rsidR="00B449A2" w:rsidRPr="00B449A2" w:rsidRDefault="00B449A2" w:rsidP="00B449A2">
            <w:pPr>
              <w:jc w:val="both"/>
              <w:rPr>
                <w:sz w:val="20"/>
                <w:szCs w:val="20"/>
              </w:rPr>
            </w:pPr>
          </w:p>
          <w:p w:rsidR="00B449A2" w:rsidRPr="00B449A2" w:rsidRDefault="00B449A2" w:rsidP="00B449A2">
            <w:pPr>
              <w:jc w:val="both"/>
              <w:rPr>
                <w:sz w:val="20"/>
                <w:szCs w:val="20"/>
                <w:lang w:val="fr-CA"/>
              </w:rPr>
            </w:pPr>
            <w:r w:rsidRPr="00B449A2">
              <w:rPr>
                <w:sz w:val="20"/>
                <w:szCs w:val="20"/>
              </w:rPr>
              <w:tab/>
            </w:r>
            <w:r w:rsidRPr="00B449A2">
              <w:rPr>
                <w:sz w:val="20"/>
                <w:szCs w:val="20"/>
                <w:lang w:val="fr-CA"/>
              </w:rPr>
              <w:t>La demande d’autorisation d’appel et la demande conditionnelle d’appel incident de l’arrêt de la Cour d’appel de l’Ontario, numéro C50100, 2010 ONCA 310, daté du 3 mai 2010, sont accordées avec dépens suivant l’issue de la cause.</w:t>
            </w:r>
          </w:p>
        </w:tc>
      </w:tr>
    </w:tbl>
    <w:p w:rsidR="00B449A2" w:rsidRDefault="00B449A2" w:rsidP="008D292F">
      <w:pPr>
        <w:rPr>
          <w:sz w:val="20"/>
          <w:szCs w:val="20"/>
          <w:lang w:val="fr-CA"/>
        </w:rPr>
      </w:pPr>
    </w:p>
    <w:p w:rsidR="00331157" w:rsidRPr="00C50A5C" w:rsidRDefault="00331157" w:rsidP="00331157">
      <w:pPr>
        <w:keepNext/>
        <w:rPr>
          <w:sz w:val="20"/>
          <w:szCs w:val="20"/>
        </w:rPr>
      </w:pPr>
      <w:r w:rsidRPr="00C50A5C">
        <w:rPr>
          <w:sz w:val="20"/>
          <w:szCs w:val="20"/>
          <w:u w:val="single"/>
        </w:rPr>
        <w:t>CASE SUMMARY</w:t>
      </w:r>
    </w:p>
    <w:p w:rsidR="00331157" w:rsidRDefault="00331157" w:rsidP="00331157">
      <w:pPr>
        <w:keepNext/>
        <w:rPr>
          <w:sz w:val="20"/>
          <w:szCs w:val="20"/>
        </w:rPr>
      </w:pPr>
    </w:p>
    <w:tbl>
      <w:tblPr>
        <w:tblW w:w="4952" w:type="pct"/>
        <w:tblLayout w:type="fixed"/>
        <w:tblCellMar>
          <w:left w:w="0" w:type="dxa"/>
          <w:bottom w:w="99" w:type="dxa"/>
          <w:right w:w="0" w:type="dxa"/>
        </w:tblCellMar>
        <w:tblLook w:val="04A0"/>
      </w:tblPr>
      <w:tblGrid>
        <w:gridCol w:w="9527"/>
      </w:tblGrid>
      <w:tr w:rsidR="003E3797" w:rsidRPr="003D125F" w:rsidTr="004D595B">
        <w:tc>
          <w:tcPr>
            <w:tcW w:w="5000" w:type="pct"/>
          </w:tcPr>
          <w:p w:rsidR="003E3797" w:rsidRDefault="003E770A" w:rsidP="004D595B">
            <w:pPr>
              <w:jc w:val="both"/>
              <w:rPr>
                <w:rFonts w:eastAsia="Calibri"/>
                <w:sz w:val="20"/>
              </w:rPr>
            </w:pPr>
            <w:r w:rsidRPr="003D125F">
              <w:rPr>
                <w:rFonts w:eastAsia="Calibri"/>
                <w:sz w:val="20"/>
              </w:rPr>
              <w:fldChar w:fldCharType="begin"/>
            </w:r>
            <w:r w:rsidR="003E3797" w:rsidRPr="003D125F">
              <w:rPr>
                <w:rFonts w:eastAsia="Calibri"/>
                <w:sz w:val="20"/>
              </w:rPr>
              <w:instrText xml:space="preserve"> SEQ CHAPTER \h \r 1</w:instrText>
            </w:r>
            <w:r w:rsidRPr="003D125F">
              <w:rPr>
                <w:rFonts w:eastAsia="Calibri"/>
                <w:sz w:val="20"/>
              </w:rPr>
              <w:fldChar w:fldCharType="end"/>
            </w:r>
            <w:r w:rsidR="003E3797" w:rsidRPr="003D125F">
              <w:rPr>
                <w:rFonts w:eastAsia="Calibri"/>
                <w:sz w:val="20"/>
              </w:rPr>
              <w:t xml:space="preserve">Contracts - Commercial contracts - Breach - Damages - Duty to mitigate - Agreement of purchase and sale - Respondent failing to take reasonable steps to fulfill contractual obligation to obtain severance causing Applicant to suffer loss of chance of closing transaction - Whether court of appeal erred in its approach to the duty to mitigate by a </w:t>
            </w:r>
            <w:r w:rsidR="003E3797" w:rsidRPr="003D125F">
              <w:rPr>
                <w:rFonts w:eastAsia="Calibri"/>
                <w:sz w:val="20"/>
              </w:rPr>
              <w:lastRenderedPageBreak/>
              <w:t xml:space="preserve">single purpose corporation, and the nature of a parent corporation's duty to mitigate on behalf of a subsidiary - Whether court of appeal erred in concluding that a wronged party was not entitled to any damages on the basis of a failure to mitigate. </w:t>
            </w:r>
          </w:p>
          <w:p w:rsidR="003E3797" w:rsidRPr="003D125F" w:rsidRDefault="003E3797" w:rsidP="004D595B">
            <w:pPr>
              <w:jc w:val="both"/>
              <w:rPr>
                <w:rFonts w:eastAsia="Calibri"/>
                <w:sz w:val="20"/>
              </w:rPr>
            </w:pPr>
          </w:p>
        </w:tc>
      </w:tr>
      <w:tr w:rsidR="003E3797" w:rsidRPr="003D125F" w:rsidTr="004D595B">
        <w:tc>
          <w:tcPr>
            <w:tcW w:w="5000" w:type="pct"/>
          </w:tcPr>
          <w:p w:rsidR="003E3797" w:rsidRPr="003D125F" w:rsidRDefault="003E770A" w:rsidP="003E3797">
            <w:pPr>
              <w:jc w:val="both"/>
              <w:rPr>
                <w:rFonts w:eastAsia="Calibri"/>
                <w:sz w:val="20"/>
              </w:rPr>
            </w:pPr>
            <w:r w:rsidRPr="003D125F">
              <w:rPr>
                <w:rFonts w:eastAsia="Calibri"/>
                <w:sz w:val="20"/>
              </w:rPr>
              <w:lastRenderedPageBreak/>
              <w:fldChar w:fldCharType="begin"/>
            </w:r>
            <w:r w:rsidR="003E3797" w:rsidRPr="003D125F">
              <w:rPr>
                <w:rFonts w:eastAsia="Calibri"/>
                <w:sz w:val="20"/>
              </w:rPr>
              <w:instrText xml:space="preserve"> SEQ CHAPTER \h \r 1</w:instrText>
            </w:r>
            <w:r w:rsidRPr="003D125F">
              <w:rPr>
                <w:rFonts w:eastAsia="Calibri"/>
                <w:sz w:val="20"/>
              </w:rPr>
              <w:fldChar w:fldCharType="end"/>
            </w:r>
            <w:r w:rsidR="003E3797" w:rsidRPr="003D125F">
              <w:rPr>
                <w:rFonts w:eastAsia="Calibri"/>
                <w:sz w:val="20"/>
              </w:rPr>
              <w:t xml:space="preserve">The Toronto Catholic District School Board (“Board”) entered into an agreement of purchase and sale with Southcott Estates Inc. (“Southcott”), for the sale of 4.78 acres of surplus land to Southcott for approximately $3.5 million.  Southcott, a wholly owned subsidiary of </w:t>
            </w:r>
            <w:proofErr w:type="spellStart"/>
            <w:r w:rsidR="003E3797" w:rsidRPr="003D125F">
              <w:rPr>
                <w:rFonts w:eastAsia="Calibri"/>
                <w:sz w:val="20"/>
              </w:rPr>
              <w:t>Ballantry</w:t>
            </w:r>
            <w:proofErr w:type="spellEnd"/>
            <w:r w:rsidR="003E3797" w:rsidRPr="003D125F">
              <w:rPr>
                <w:rFonts w:eastAsia="Calibri"/>
                <w:sz w:val="20"/>
              </w:rPr>
              <w:t xml:space="preserve"> Homes Inc., was a single purpose company with no assets except for the deposit it paid. Southcott intended to use the land for residential development. The land was part of a larger parcel on which school buildings were located so the agreement was conditional upon the Board obtaining a severance from the Committee of Adjustments on or before the closing date. The agreement was signed on June 14, 2004, with an original closing date of August 31, 2004. The agreement finally became firm on August 23, 2004, but there was not enough time to obtain the severance before the closing date. The Board offered to extend the closing date to a fixed number of days after the severance was obtained, but Southcott insisted on a closing date of January 31, 2005. The Board’s severance application on December 16, 2004 was deferred as premature at the municipality's request because it was not accompanied by a development plan. This made it impossible to close the transaction by the closing date. The Board refused Southcott's request to extend the closing date, declared the transaction to be at an end and returned Southcott's deposit.  Southcott took the position that the Board had breached its obligation to use its best efforts to obtain the severance and brought an action for specific performance or in the alternative, for damages.</w:t>
            </w:r>
          </w:p>
        </w:tc>
      </w:tr>
    </w:tbl>
    <w:p w:rsidR="003E3797" w:rsidRDefault="003E3797" w:rsidP="003E3797"/>
    <w:tbl>
      <w:tblPr>
        <w:tblW w:w="4952" w:type="pct"/>
        <w:tblLayout w:type="fixed"/>
        <w:tblCellMar>
          <w:left w:w="0" w:type="dxa"/>
          <w:bottom w:w="99" w:type="dxa"/>
          <w:right w:w="0" w:type="dxa"/>
        </w:tblCellMar>
        <w:tblLook w:val="04A0"/>
      </w:tblPr>
      <w:tblGrid>
        <w:gridCol w:w="4624"/>
        <w:gridCol w:w="463"/>
        <w:gridCol w:w="4440"/>
      </w:tblGrid>
      <w:tr w:rsidR="003E3797" w:rsidRPr="003D125F" w:rsidTr="004D595B">
        <w:trPr>
          <w:cantSplit/>
        </w:trPr>
        <w:tc>
          <w:tcPr>
            <w:tcW w:w="2427" w:type="pct"/>
          </w:tcPr>
          <w:p w:rsidR="003E3797" w:rsidRPr="003D125F" w:rsidRDefault="003E3797" w:rsidP="004D595B">
            <w:pPr>
              <w:jc w:val="both"/>
              <w:rPr>
                <w:rFonts w:eastAsia="Calibri"/>
                <w:sz w:val="20"/>
              </w:rPr>
            </w:pPr>
            <w:r w:rsidRPr="003D125F">
              <w:rPr>
                <w:rFonts w:eastAsia="Calibri"/>
                <w:sz w:val="20"/>
              </w:rPr>
              <w:t>January 30, 2009</w:t>
            </w:r>
          </w:p>
          <w:p w:rsidR="003E3797" w:rsidRPr="003D125F" w:rsidRDefault="003E3797" w:rsidP="004D595B">
            <w:pPr>
              <w:jc w:val="both"/>
              <w:rPr>
                <w:rFonts w:eastAsia="Calibri"/>
                <w:sz w:val="20"/>
              </w:rPr>
            </w:pPr>
            <w:r w:rsidRPr="003D125F">
              <w:rPr>
                <w:rFonts w:eastAsia="Calibri"/>
                <w:sz w:val="20"/>
              </w:rPr>
              <w:t>Ontario Superior Court of Justice</w:t>
            </w:r>
          </w:p>
          <w:p w:rsidR="003E3797" w:rsidRPr="003D125F" w:rsidRDefault="003E3797" w:rsidP="004D595B">
            <w:pPr>
              <w:jc w:val="both"/>
              <w:rPr>
                <w:rFonts w:eastAsia="Calibri"/>
                <w:sz w:val="20"/>
              </w:rPr>
            </w:pPr>
            <w:r w:rsidRPr="003D125F">
              <w:rPr>
                <w:rFonts w:eastAsia="Calibri"/>
                <w:sz w:val="20"/>
              </w:rPr>
              <w:t>(Spiegel J.)</w:t>
            </w:r>
          </w:p>
          <w:p w:rsidR="003E3797" w:rsidRPr="003D125F" w:rsidRDefault="003E3797" w:rsidP="00CE303C">
            <w:pPr>
              <w:jc w:val="both"/>
              <w:rPr>
                <w:rFonts w:eastAsia="Calibri"/>
                <w:sz w:val="20"/>
              </w:rPr>
            </w:pPr>
            <w:r w:rsidRPr="003D125F">
              <w:rPr>
                <w:rFonts w:eastAsia="Calibri"/>
                <w:sz w:val="20"/>
              </w:rPr>
              <w:t xml:space="preserve">[2009] O.J. No. 428 </w:t>
            </w:r>
          </w:p>
        </w:tc>
        <w:tc>
          <w:tcPr>
            <w:tcW w:w="243" w:type="pct"/>
          </w:tcPr>
          <w:p w:rsidR="003E3797" w:rsidRDefault="003E3797"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3D125F" w:rsidRDefault="00CE303C" w:rsidP="004D595B">
            <w:pPr>
              <w:jc w:val="both"/>
              <w:rPr>
                <w:rFonts w:eastAsia="Calibri"/>
                <w:sz w:val="20"/>
              </w:rPr>
            </w:pPr>
          </w:p>
        </w:tc>
        <w:tc>
          <w:tcPr>
            <w:tcW w:w="2330" w:type="pct"/>
          </w:tcPr>
          <w:p w:rsidR="003E3797" w:rsidRPr="003D125F" w:rsidRDefault="003E770A" w:rsidP="004D595B">
            <w:pPr>
              <w:jc w:val="both"/>
              <w:rPr>
                <w:rFonts w:eastAsia="Calibri"/>
                <w:sz w:val="20"/>
              </w:rPr>
            </w:pPr>
            <w:r w:rsidRPr="003D125F">
              <w:rPr>
                <w:rFonts w:eastAsia="Calibri"/>
                <w:sz w:val="20"/>
              </w:rPr>
              <w:fldChar w:fldCharType="begin"/>
            </w:r>
            <w:r w:rsidR="003E3797" w:rsidRPr="003D125F">
              <w:rPr>
                <w:rFonts w:eastAsia="Calibri"/>
                <w:sz w:val="20"/>
              </w:rPr>
              <w:instrText xml:space="preserve"> SEQ CHAPTER \h \r 1</w:instrText>
            </w:r>
            <w:r w:rsidRPr="003D125F">
              <w:rPr>
                <w:rFonts w:eastAsia="Calibri"/>
                <w:sz w:val="20"/>
              </w:rPr>
              <w:fldChar w:fldCharType="end"/>
            </w:r>
            <w:r w:rsidR="003E3797" w:rsidRPr="003D125F">
              <w:rPr>
                <w:rFonts w:eastAsia="Calibri"/>
                <w:sz w:val="20"/>
              </w:rPr>
              <w:t xml:space="preserve">Applicant awarded damages of $1,935,500 for Respondent’s breach of best efforts obligation in agreement of purchase and sale </w:t>
            </w:r>
          </w:p>
        </w:tc>
      </w:tr>
      <w:tr w:rsidR="003E3797" w:rsidRPr="003D125F" w:rsidTr="004D595B">
        <w:trPr>
          <w:cantSplit/>
        </w:trPr>
        <w:tc>
          <w:tcPr>
            <w:tcW w:w="2427" w:type="pct"/>
          </w:tcPr>
          <w:p w:rsidR="003E3797" w:rsidRPr="003D125F" w:rsidRDefault="003E3797" w:rsidP="004D595B">
            <w:pPr>
              <w:jc w:val="both"/>
              <w:rPr>
                <w:rFonts w:eastAsia="Calibri"/>
                <w:sz w:val="20"/>
              </w:rPr>
            </w:pPr>
            <w:r w:rsidRPr="003D125F">
              <w:rPr>
                <w:rFonts w:eastAsia="Calibri"/>
                <w:sz w:val="20"/>
              </w:rPr>
              <w:t>May 3, 2010</w:t>
            </w:r>
          </w:p>
          <w:p w:rsidR="003E3797" w:rsidRPr="003D125F" w:rsidRDefault="003E3797" w:rsidP="004D595B">
            <w:pPr>
              <w:jc w:val="both"/>
              <w:rPr>
                <w:rFonts w:eastAsia="Calibri"/>
                <w:sz w:val="20"/>
              </w:rPr>
            </w:pPr>
            <w:r w:rsidRPr="003D125F">
              <w:rPr>
                <w:rFonts w:eastAsia="Calibri"/>
                <w:sz w:val="20"/>
              </w:rPr>
              <w:t>Court of Appeal for Ontario</w:t>
            </w:r>
          </w:p>
          <w:p w:rsidR="003E3797" w:rsidRPr="003D125F" w:rsidRDefault="003E3797" w:rsidP="004D595B">
            <w:pPr>
              <w:jc w:val="both"/>
              <w:rPr>
                <w:rFonts w:eastAsia="Calibri"/>
                <w:sz w:val="20"/>
              </w:rPr>
            </w:pPr>
            <w:r w:rsidRPr="003D125F">
              <w:rPr>
                <w:rFonts w:eastAsia="Calibri"/>
                <w:sz w:val="20"/>
              </w:rPr>
              <w:t xml:space="preserve">(Sharpe, Blair and </w:t>
            </w:r>
            <w:proofErr w:type="spellStart"/>
            <w:r w:rsidRPr="003D125F">
              <w:rPr>
                <w:rFonts w:eastAsia="Calibri"/>
                <w:sz w:val="20"/>
              </w:rPr>
              <w:t>MacFarland</w:t>
            </w:r>
            <w:proofErr w:type="spellEnd"/>
            <w:r w:rsidRPr="003D125F">
              <w:rPr>
                <w:rFonts w:eastAsia="Calibri"/>
                <w:sz w:val="20"/>
              </w:rPr>
              <w:t xml:space="preserve"> JJ.A.)</w:t>
            </w:r>
          </w:p>
          <w:p w:rsidR="003E3797" w:rsidRPr="003D125F" w:rsidRDefault="003E3797" w:rsidP="00CE303C">
            <w:pPr>
              <w:jc w:val="both"/>
              <w:rPr>
                <w:rFonts w:eastAsia="Calibri"/>
                <w:sz w:val="20"/>
              </w:rPr>
            </w:pPr>
            <w:r w:rsidRPr="003D125F">
              <w:rPr>
                <w:rFonts w:eastAsia="Calibri"/>
                <w:sz w:val="20"/>
              </w:rPr>
              <w:t>2010 ONCA 310</w:t>
            </w:r>
          </w:p>
        </w:tc>
        <w:tc>
          <w:tcPr>
            <w:tcW w:w="243" w:type="pct"/>
          </w:tcPr>
          <w:p w:rsidR="003E3797" w:rsidRDefault="003E3797"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3D125F" w:rsidRDefault="00CE303C" w:rsidP="004D595B">
            <w:pPr>
              <w:jc w:val="both"/>
              <w:rPr>
                <w:rFonts w:eastAsia="Calibri"/>
                <w:sz w:val="20"/>
              </w:rPr>
            </w:pPr>
          </w:p>
        </w:tc>
        <w:tc>
          <w:tcPr>
            <w:tcW w:w="2330" w:type="pct"/>
          </w:tcPr>
          <w:p w:rsidR="003E3797" w:rsidRPr="003D125F" w:rsidRDefault="003E3797" w:rsidP="004D595B">
            <w:pPr>
              <w:jc w:val="both"/>
              <w:rPr>
                <w:rFonts w:eastAsia="Calibri"/>
                <w:sz w:val="20"/>
              </w:rPr>
            </w:pPr>
            <w:r w:rsidRPr="003D125F">
              <w:rPr>
                <w:rFonts w:eastAsia="Calibri"/>
                <w:sz w:val="20"/>
              </w:rPr>
              <w:t>Appeal allowed; damages reduced to $1</w:t>
            </w:r>
          </w:p>
          <w:p w:rsidR="003E3797" w:rsidRPr="003D125F" w:rsidRDefault="003E3797" w:rsidP="004D595B">
            <w:pPr>
              <w:jc w:val="both"/>
              <w:rPr>
                <w:rFonts w:eastAsia="Calibri"/>
                <w:sz w:val="20"/>
              </w:rPr>
            </w:pPr>
          </w:p>
        </w:tc>
      </w:tr>
      <w:tr w:rsidR="003E3797" w:rsidRPr="003D125F" w:rsidTr="004D595B">
        <w:trPr>
          <w:cantSplit/>
        </w:trPr>
        <w:tc>
          <w:tcPr>
            <w:tcW w:w="2427" w:type="pct"/>
          </w:tcPr>
          <w:p w:rsidR="003E3797" w:rsidRPr="003D125F" w:rsidRDefault="003E3797" w:rsidP="004D595B">
            <w:pPr>
              <w:jc w:val="both"/>
              <w:rPr>
                <w:rFonts w:eastAsia="Calibri"/>
                <w:sz w:val="20"/>
              </w:rPr>
            </w:pPr>
            <w:r w:rsidRPr="003D125F">
              <w:rPr>
                <w:rFonts w:eastAsia="Calibri"/>
                <w:sz w:val="20"/>
              </w:rPr>
              <w:t>July 30, 2010</w:t>
            </w:r>
          </w:p>
          <w:p w:rsidR="003E3797" w:rsidRPr="003D125F" w:rsidRDefault="003E3797" w:rsidP="00CE303C">
            <w:pPr>
              <w:jc w:val="both"/>
              <w:rPr>
                <w:rFonts w:eastAsia="Calibri"/>
                <w:sz w:val="20"/>
              </w:rPr>
            </w:pPr>
            <w:r w:rsidRPr="003D125F">
              <w:rPr>
                <w:rFonts w:eastAsia="Calibri"/>
                <w:sz w:val="20"/>
              </w:rPr>
              <w:t>Supreme Court of Canada</w:t>
            </w:r>
          </w:p>
        </w:tc>
        <w:tc>
          <w:tcPr>
            <w:tcW w:w="243" w:type="pct"/>
          </w:tcPr>
          <w:p w:rsidR="003E3797" w:rsidRDefault="003E3797" w:rsidP="004D595B">
            <w:pPr>
              <w:jc w:val="both"/>
              <w:rPr>
                <w:rFonts w:eastAsia="Calibri"/>
                <w:sz w:val="20"/>
              </w:rPr>
            </w:pPr>
          </w:p>
          <w:p w:rsidR="00CE303C" w:rsidRDefault="00CE303C" w:rsidP="004D595B">
            <w:pPr>
              <w:jc w:val="both"/>
              <w:rPr>
                <w:rFonts w:eastAsia="Calibri"/>
                <w:sz w:val="20"/>
              </w:rPr>
            </w:pPr>
          </w:p>
          <w:p w:rsidR="00CE303C" w:rsidRPr="003D125F" w:rsidRDefault="00CE303C" w:rsidP="004D595B">
            <w:pPr>
              <w:jc w:val="both"/>
              <w:rPr>
                <w:rFonts w:eastAsia="Calibri"/>
                <w:sz w:val="20"/>
              </w:rPr>
            </w:pPr>
          </w:p>
        </w:tc>
        <w:tc>
          <w:tcPr>
            <w:tcW w:w="2330" w:type="pct"/>
          </w:tcPr>
          <w:p w:rsidR="003E3797" w:rsidRPr="003D125F" w:rsidRDefault="003E3797" w:rsidP="004D595B">
            <w:pPr>
              <w:jc w:val="both"/>
              <w:rPr>
                <w:rFonts w:eastAsia="Calibri"/>
                <w:sz w:val="20"/>
              </w:rPr>
            </w:pPr>
            <w:r w:rsidRPr="003D125F">
              <w:rPr>
                <w:rFonts w:eastAsia="Calibri"/>
                <w:sz w:val="20"/>
              </w:rPr>
              <w:t>Application for leave to appeal filed</w:t>
            </w:r>
          </w:p>
          <w:p w:rsidR="003E3797" w:rsidRPr="003D125F" w:rsidRDefault="003E3797" w:rsidP="004D595B">
            <w:pPr>
              <w:jc w:val="both"/>
              <w:rPr>
                <w:rFonts w:eastAsia="Calibri"/>
                <w:sz w:val="20"/>
              </w:rPr>
            </w:pPr>
          </w:p>
        </w:tc>
      </w:tr>
      <w:tr w:rsidR="003E3797" w:rsidRPr="003D125F" w:rsidTr="004D595B">
        <w:trPr>
          <w:cantSplit/>
        </w:trPr>
        <w:tc>
          <w:tcPr>
            <w:tcW w:w="2427" w:type="pct"/>
          </w:tcPr>
          <w:p w:rsidR="003E3797" w:rsidRPr="003D125F" w:rsidRDefault="003E3797" w:rsidP="004D595B">
            <w:pPr>
              <w:jc w:val="both"/>
              <w:rPr>
                <w:rFonts w:eastAsia="Calibri"/>
                <w:sz w:val="20"/>
              </w:rPr>
            </w:pPr>
            <w:r w:rsidRPr="003D125F">
              <w:rPr>
                <w:rFonts w:eastAsia="Calibri"/>
                <w:sz w:val="20"/>
              </w:rPr>
              <w:t>August 26, 2010</w:t>
            </w:r>
          </w:p>
          <w:p w:rsidR="003E3797" w:rsidRPr="003D125F" w:rsidRDefault="003E3797" w:rsidP="004D595B">
            <w:pPr>
              <w:jc w:val="both"/>
              <w:rPr>
                <w:rFonts w:eastAsia="Calibri"/>
                <w:sz w:val="20"/>
              </w:rPr>
            </w:pPr>
            <w:r w:rsidRPr="003D125F">
              <w:rPr>
                <w:rFonts w:eastAsia="Calibri"/>
                <w:sz w:val="20"/>
              </w:rPr>
              <w:t>Supreme Court of Canada</w:t>
            </w:r>
          </w:p>
        </w:tc>
        <w:tc>
          <w:tcPr>
            <w:tcW w:w="243" w:type="pct"/>
          </w:tcPr>
          <w:p w:rsidR="003E3797" w:rsidRPr="003D125F" w:rsidRDefault="003E3797" w:rsidP="004D595B">
            <w:pPr>
              <w:jc w:val="both"/>
              <w:rPr>
                <w:rFonts w:eastAsia="Calibri"/>
                <w:sz w:val="20"/>
              </w:rPr>
            </w:pPr>
          </w:p>
        </w:tc>
        <w:tc>
          <w:tcPr>
            <w:tcW w:w="2330" w:type="pct"/>
          </w:tcPr>
          <w:p w:rsidR="003E3797" w:rsidRPr="003D125F" w:rsidRDefault="003E3797" w:rsidP="004D595B">
            <w:pPr>
              <w:jc w:val="both"/>
              <w:rPr>
                <w:rFonts w:eastAsia="Calibri"/>
                <w:sz w:val="20"/>
              </w:rPr>
            </w:pPr>
            <w:r w:rsidRPr="003D125F">
              <w:rPr>
                <w:rFonts w:eastAsia="Calibri"/>
                <w:sz w:val="20"/>
              </w:rPr>
              <w:t>Respondent’s conditional application for leave to cross-appeal filed</w:t>
            </w:r>
          </w:p>
        </w:tc>
      </w:tr>
    </w:tbl>
    <w:p w:rsidR="003E3797" w:rsidRDefault="003E3797" w:rsidP="00331157">
      <w:pPr>
        <w:keepNext/>
        <w:rPr>
          <w:sz w:val="20"/>
          <w:szCs w:val="20"/>
        </w:rPr>
      </w:pPr>
    </w:p>
    <w:p w:rsidR="00331157" w:rsidRPr="00C50A5C" w:rsidRDefault="003E770A" w:rsidP="00331157">
      <w:pPr>
        <w:rPr>
          <w:sz w:val="20"/>
          <w:szCs w:val="20"/>
        </w:rPr>
      </w:pPr>
      <w:r w:rsidRPr="003E770A">
        <w:rPr>
          <w:sz w:val="20"/>
          <w:szCs w:val="20"/>
          <w:lang w:val="fr-CA"/>
        </w:rPr>
        <w:pict>
          <v:rect id="_x0000_i1049" style="width:2in;height:1pt" o:hrpct="0" o:hralign="center" o:hrstd="t" o:hrnoshade="t" o:hr="t" fillcolor="black [3213]" stroked="f"/>
        </w:pict>
      </w:r>
    </w:p>
    <w:p w:rsidR="00331157" w:rsidRPr="00C50A5C" w:rsidRDefault="00331157" w:rsidP="00331157">
      <w:pPr>
        <w:rPr>
          <w:sz w:val="20"/>
          <w:szCs w:val="20"/>
        </w:rPr>
      </w:pPr>
    </w:p>
    <w:p w:rsidR="00331157" w:rsidRPr="00C50A5C" w:rsidRDefault="00331157" w:rsidP="00331157">
      <w:pPr>
        <w:keepNext/>
        <w:rPr>
          <w:sz w:val="20"/>
          <w:szCs w:val="20"/>
          <w:u w:val="single"/>
          <w:lang w:val="fr-CA"/>
        </w:rPr>
      </w:pPr>
      <w:r w:rsidRPr="00C50A5C">
        <w:rPr>
          <w:sz w:val="20"/>
          <w:szCs w:val="20"/>
          <w:u w:val="single"/>
          <w:lang w:val="fr-CA"/>
        </w:rPr>
        <w:t>RÉSUMÉ DE L’AFFAIRE</w:t>
      </w:r>
    </w:p>
    <w:p w:rsidR="00331157" w:rsidRDefault="00331157" w:rsidP="00331157">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3E3797" w:rsidRPr="003B380E" w:rsidTr="004D595B">
        <w:tc>
          <w:tcPr>
            <w:tcW w:w="5000" w:type="pct"/>
          </w:tcPr>
          <w:p w:rsidR="003E3797" w:rsidRDefault="003E770A" w:rsidP="004D595B">
            <w:pPr>
              <w:jc w:val="both"/>
              <w:rPr>
                <w:rFonts w:eastAsia="Calibri"/>
                <w:sz w:val="20"/>
                <w:lang w:val="fr-CA"/>
              </w:rPr>
            </w:pPr>
            <w:r w:rsidRPr="003D125F">
              <w:rPr>
                <w:rFonts w:eastAsia="Calibri"/>
                <w:sz w:val="20"/>
                <w:lang w:val="fr-CA"/>
              </w:rPr>
              <w:fldChar w:fldCharType="begin"/>
            </w:r>
            <w:r w:rsidR="003E3797" w:rsidRPr="003D125F">
              <w:rPr>
                <w:rFonts w:eastAsia="Calibri"/>
                <w:sz w:val="20"/>
                <w:lang w:val="fr-CA"/>
              </w:rPr>
              <w:instrText xml:space="preserve"> SEQ CHAPTER \h \r 1</w:instrText>
            </w:r>
            <w:r w:rsidRPr="003D125F">
              <w:rPr>
                <w:rFonts w:eastAsia="Calibri"/>
                <w:sz w:val="20"/>
                <w:lang w:val="fr-CA"/>
              </w:rPr>
              <w:fldChar w:fldCharType="end"/>
            </w:r>
            <w:r w:rsidR="003E3797" w:rsidRPr="003D125F">
              <w:rPr>
                <w:rFonts w:eastAsia="Calibri"/>
                <w:sz w:val="20"/>
                <w:lang w:val="fr-CA"/>
              </w:rPr>
              <w:t>Contrats – Contrats commerciaux - Violation - Préjudice – Obligation de limiter le préjudice – Contrat d’achat et de vente – L’intimé n’a pas pris de mesures raisonnables pour exécuter l’obligation contractuelle d’obtenir la disjonction, si bien que la demanderesse à perdu la chance de conclure l’opération – La Cour d’appel a-t-elle commis une erreur dans sa façon d’aborder l’obligation de limiter le préjudice qui incombe à une société à but unique et la nature de l’obligation d’une société-mère de limiter le préjudice pour le compte d’une filiale? – La Cour d’appel a-t-elle eu tort de conclure que la partie lésée n’avait pas droit à dommages-intérêts parce qu’elle n’avait pas limité le préjudice?</w:t>
            </w:r>
          </w:p>
          <w:p w:rsidR="003E3797" w:rsidRPr="003D125F" w:rsidRDefault="003E3797" w:rsidP="004D595B">
            <w:pPr>
              <w:jc w:val="both"/>
              <w:rPr>
                <w:rFonts w:eastAsia="Calibri"/>
                <w:sz w:val="20"/>
                <w:lang w:val="fr-CA"/>
              </w:rPr>
            </w:pPr>
          </w:p>
        </w:tc>
      </w:tr>
      <w:tr w:rsidR="003E3797" w:rsidRPr="003B380E" w:rsidTr="004D595B">
        <w:tc>
          <w:tcPr>
            <w:tcW w:w="5000" w:type="pct"/>
          </w:tcPr>
          <w:p w:rsidR="003E3797" w:rsidRPr="003D125F" w:rsidRDefault="003E3797" w:rsidP="003E3797">
            <w:pPr>
              <w:jc w:val="both"/>
              <w:rPr>
                <w:rFonts w:eastAsia="Calibri"/>
                <w:sz w:val="20"/>
                <w:lang w:val="fr-CA"/>
              </w:rPr>
            </w:pPr>
            <w:r w:rsidRPr="003D125F">
              <w:rPr>
                <w:rFonts w:eastAsia="Calibri"/>
                <w:sz w:val="20"/>
                <w:lang w:val="fr-CA"/>
              </w:rPr>
              <w:t xml:space="preserve">Le Toronto </w:t>
            </w:r>
            <w:proofErr w:type="spellStart"/>
            <w:r w:rsidRPr="003D125F">
              <w:rPr>
                <w:rFonts w:eastAsia="Calibri"/>
                <w:sz w:val="20"/>
                <w:lang w:val="fr-CA"/>
              </w:rPr>
              <w:t>Catholic</w:t>
            </w:r>
            <w:proofErr w:type="spellEnd"/>
            <w:r w:rsidRPr="003D125F">
              <w:rPr>
                <w:rFonts w:eastAsia="Calibri"/>
                <w:sz w:val="20"/>
                <w:lang w:val="fr-CA"/>
              </w:rPr>
              <w:t xml:space="preserve"> District </w:t>
            </w:r>
            <w:proofErr w:type="spellStart"/>
            <w:r w:rsidRPr="003D125F">
              <w:rPr>
                <w:rFonts w:eastAsia="Calibri"/>
                <w:sz w:val="20"/>
                <w:lang w:val="fr-CA"/>
              </w:rPr>
              <w:t>School</w:t>
            </w:r>
            <w:proofErr w:type="spellEnd"/>
            <w:r w:rsidRPr="003D125F">
              <w:rPr>
                <w:rFonts w:eastAsia="Calibri"/>
                <w:sz w:val="20"/>
                <w:lang w:val="fr-CA"/>
              </w:rPr>
              <w:t xml:space="preserve"> </w:t>
            </w:r>
            <w:proofErr w:type="spellStart"/>
            <w:r w:rsidRPr="003D125F">
              <w:rPr>
                <w:rFonts w:eastAsia="Calibri"/>
                <w:sz w:val="20"/>
                <w:lang w:val="fr-CA"/>
              </w:rPr>
              <w:t>Board</w:t>
            </w:r>
            <w:proofErr w:type="spellEnd"/>
            <w:r w:rsidRPr="003D125F">
              <w:rPr>
                <w:rFonts w:eastAsia="Calibri"/>
                <w:sz w:val="20"/>
                <w:lang w:val="fr-CA"/>
              </w:rPr>
              <w:t xml:space="preserve"> (le « conseil ») a conclu un contrat d’achat et de vente avec </w:t>
            </w:r>
            <w:proofErr w:type="spellStart"/>
            <w:r w:rsidRPr="003D125F">
              <w:rPr>
                <w:rFonts w:eastAsia="Calibri"/>
                <w:sz w:val="20"/>
                <w:lang w:val="fr-CA"/>
              </w:rPr>
              <w:t>Southcott</w:t>
            </w:r>
            <w:proofErr w:type="spellEnd"/>
            <w:r w:rsidRPr="003D125F">
              <w:rPr>
                <w:rFonts w:eastAsia="Calibri"/>
                <w:sz w:val="20"/>
                <w:lang w:val="fr-CA"/>
              </w:rPr>
              <w:t xml:space="preserve"> </w:t>
            </w:r>
            <w:proofErr w:type="spellStart"/>
            <w:r w:rsidRPr="003D125F">
              <w:rPr>
                <w:rFonts w:eastAsia="Calibri"/>
                <w:sz w:val="20"/>
                <w:lang w:val="fr-CA"/>
              </w:rPr>
              <w:t>Estates</w:t>
            </w:r>
            <w:proofErr w:type="spellEnd"/>
            <w:r w:rsidRPr="003D125F">
              <w:rPr>
                <w:rFonts w:eastAsia="Calibri"/>
                <w:sz w:val="20"/>
                <w:lang w:val="fr-CA"/>
              </w:rPr>
              <w:t xml:space="preserve"> Inc. (« </w:t>
            </w:r>
            <w:proofErr w:type="spellStart"/>
            <w:r w:rsidRPr="003D125F">
              <w:rPr>
                <w:rFonts w:eastAsia="Calibri"/>
                <w:sz w:val="20"/>
                <w:lang w:val="fr-CA"/>
              </w:rPr>
              <w:t>Southcott</w:t>
            </w:r>
            <w:proofErr w:type="spellEnd"/>
            <w:r w:rsidRPr="003D125F">
              <w:rPr>
                <w:rFonts w:eastAsia="Calibri"/>
                <w:sz w:val="20"/>
                <w:lang w:val="fr-CA"/>
              </w:rPr>
              <w:t xml:space="preserve"> »), pour la vente de 4,78 acres de terrain excédentaire à </w:t>
            </w:r>
            <w:proofErr w:type="spellStart"/>
            <w:r w:rsidRPr="003D125F">
              <w:rPr>
                <w:rFonts w:eastAsia="Calibri"/>
                <w:sz w:val="20"/>
                <w:lang w:val="fr-CA"/>
              </w:rPr>
              <w:t>Southcott</w:t>
            </w:r>
            <w:proofErr w:type="spellEnd"/>
            <w:r w:rsidRPr="003D125F">
              <w:rPr>
                <w:rFonts w:eastAsia="Calibri"/>
                <w:sz w:val="20"/>
                <w:lang w:val="fr-CA"/>
              </w:rPr>
              <w:t xml:space="preserve"> pour environ 3,5 millions de dollars.  </w:t>
            </w:r>
            <w:proofErr w:type="spellStart"/>
            <w:r w:rsidRPr="003D125F">
              <w:rPr>
                <w:rFonts w:eastAsia="Calibri"/>
                <w:sz w:val="20"/>
                <w:lang w:val="fr-CA"/>
              </w:rPr>
              <w:t>Southcott</w:t>
            </w:r>
            <w:proofErr w:type="spellEnd"/>
            <w:r w:rsidRPr="003D125F">
              <w:rPr>
                <w:rFonts w:eastAsia="Calibri"/>
                <w:sz w:val="20"/>
                <w:lang w:val="fr-CA"/>
              </w:rPr>
              <w:t xml:space="preserve">, une filiale à cent pour cent de </w:t>
            </w:r>
            <w:proofErr w:type="spellStart"/>
            <w:r w:rsidRPr="003D125F">
              <w:rPr>
                <w:rFonts w:eastAsia="Calibri"/>
                <w:sz w:val="20"/>
                <w:lang w:val="fr-CA"/>
              </w:rPr>
              <w:t>Ballantry</w:t>
            </w:r>
            <w:proofErr w:type="spellEnd"/>
            <w:r w:rsidRPr="003D125F">
              <w:rPr>
                <w:rFonts w:eastAsia="Calibri"/>
                <w:sz w:val="20"/>
                <w:lang w:val="fr-CA"/>
              </w:rPr>
              <w:t xml:space="preserve"> Homes Inc., était une société à but unique sans actif, à l’exception de l’acompte qu’elle avait versé. </w:t>
            </w:r>
            <w:proofErr w:type="spellStart"/>
            <w:r w:rsidRPr="003D125F">
              <w:rPr>
                <w:rFonts w:eastAsia="Calibri"/>
                <w:sz w:val="20"/>
                <w:lang w:val="fr-CA"/>
              </w:rPr>
              <w:t>Southcott</w:t>
            </w:r>
            <w:proofErr w:type="spellEnd"/>
            <w:r w:rsidRPr="003D125F">
              <w:rPr>
                <w:rFonts w:eastAsia="Calibri"/>
                <w:sz w:val="20"/>
                <w:lang w:val="fr-CA"/>
              </w:rPr>
              <w:t xml:space="preserve"> entendait utiliser le  terrain comme ensemble résidentiel. Le terrain faisait partie d’une parcelle plus grande sur laquelle étaient situés des bâtiments scolaires, de sorte que le </w:t>
            </w:r>
            <w:r w:rsidRPr="003D125F">
              <w:rPr>
                <w:rFonts w:eastAsia="Calibri"/>
                <w:sz w:val="20"/>
                <w:lang w:val="fr-CA"/>
              </w:rPr>
              <w:lastRenderedPageBreak/>
              <w:t xml:space="preserve">contrat était conditionnel à ce que le conseil obtienne une disjonction du comité des dérogations au plus tard à la date de clôture. Le contrat a été signé le 14 juin 2004 et la date de clôture initialement prévue était le 31 août 2004. Le contrat est finalement devenu ferme le 23 août 2004, mais il n’y a pas eu assez de temps pour obtenir la disjonction avant la date de clôture. Le conseil a offert de proroger la date de clôture à un nombre fixe de jours après l’obtention de la disjonction, mais </w:t>
            </w:r>
            <w:proofErr w:type="spellStart"/>
            <w:r w:rsidRPr="003D125F">
              <w:rPr>
                <w:rFonts w:eastAsia="Calibri"/>
                <w:sz w:val="20"/>
                <w:lang w:val="fr-CA"/>
              </w:rPr>
              <w:t>Southcott</w:t>
            </w:r>
            <w:proofErr w:type="spellEnd"/>
            <w:r w:rsidRPr="003D125F">
              <w:rPr>
                <w:rFonts w:eastAsia="Calibri"/>
                <w:sz w:val="20"/>
                <w:lang w:val="fr-CA"/>
              </w:rPr>
              <w:t xml:space="preserve"> a insisté que la date de clôture soit le 31 janvier 2005. À la demande de la municipalité, la demande de disjonction du conseil le 16 décembre 2004 a été reportée parce que jugée prématurée du fait qu’elle n’était pas accompagnée d’un plan d’aménagement. Il a donc été impossible de clore l’opération pour la date de clôture. Le conseil a refusé la demande de </w:t>
            </w:r>
            <w:proofErr w:type="spellStart"/>
            <w:r w:rsidRPr="003D125F">
              <w:rPr>
                <w:rFonts w:eastAsia="Calibri"/>
                <w:sz w:val="20"/>
                <w:lang w:val="fr-CA"/>
              </w:rPr>
              <w:t>Southcott</w:t>
            </w:r>
            <w:proofErr w:type="spellEnd"/>
            <w:r w:rsidRPr="003D125F">
              <w:rPr>
                <w:rFonts w:eastAsia="Calibri"/>
                <w:sz w:val="20"/>
                <w:lang w:val="fr-CA"/>
              </w:rPr>
              <w:t xml:space="preserve"> de proroger la date de clôture, a déclaré l’opération caduque et a remboursé l’acompte versé par </w:t>
            </w:r>
            <w:proofErr w:type="spellStart"/>
            <w:r w:rsidRPr="003D125F">
              <w:rPr>
                <w:rFonts w:eastAsia="Calibri"/>
                <w:sz w:val="20"/>
                <w:lang w:val="fr-CA"/>
              </w:rPr>
              <w:t>Southcott</w:t>
            </w:r>
            <w:proofErr w:type="spellEnd"/>
            <w:r w:rsidRPr="003D125F">
              <w:rPr>
                <w:rFonts w:eastAsia="Calibri"/>
                <w:sz w:val="20"/>
                <w:lang w:val="fr-CA"/>
              </w:rPr>
              <w:t xml:space="preserve">. </w:t>
            </w:r>
            <w:proofErr w:type="spellStart"/>
            <w:r w:rsidRPr="003D125F">
              <w:rPr>
                <w:rFonts w:eastAsia="Calibri"/>
                <w:sz w:val="20"/>
                <w:lang w:val="fr-CA"/>
              </w:rPr>
              <w:t>Southcott</w:t>
            </w:r>
            <w:proofErr w:type="spellEnd"/>
            <w:r w:rsidRPr="003D125F">
              <w:rPr>
                <w:rFonts w:eastAsia="Calibri"/>
                <w:sz w:val="20"/>
                <w:lang w:val="fr-CA"/>
              </w:rPr>
              <w:t xml:space="preserve"> a soutenu que le conseil avait violé son obligation de faire de son mieux pour obtenir la disjonction et a intenté une action en exécution ou, à titre subsidiaire, en dommages-intérêts.</w:t>
            </w:r>
          </w:p>
        </w:tc>
      </w:tr>
    </w:tbl>
    <w:p w:rsidR="003E3797" w:rsidRPr="003E3797" w:rsidRDefault="003E3797" w:rsidP="003E3797">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3E3797" w:rsidRPr="003B380E" w:rsidTr="004D595B">
        <w:trPr>
          <w:cantSplit/>
        </w:trPr>
        <w:tc>
          <w:tcPr>
            <w:tcW w:w="2427" w:type="pct"/>
          </w:tcPr>
          <w:p w:rsidR="003E3797" w:rsidRPr="003D125F" w:rsidRDefault="003E3797" w:rsidP="004D595B">
            <w:pPr>
              <w:jc w:val="both"/>
              <w:rPr>
                <w:rFonts w:eastAsia="Calibri"/>
                <w:sz w:val="20"/>
                <w:lang w:val="fr-CA"/>
              </w:rPr>
            </w:pPr>
            <w:r w:rsidRPr="003D125F">
              <w:rPr>
                <w:rFonts w:eastAsia="Calibri"/>
                <w:sz w:val="20"/>
                <w:lang w:val="fr-CA"/>
              </w:rPr>
              <w:t>30 janvier 2009</w:t>
            </w:r>
          </w:p>
          <w:p w:rsidR="003E3797" w:rsidRPr="003D125F" w:rsidRDefault="003E3797" w:rsidP="004D595B">
            <w:pPr>
              <w:jc w:val="both"/>
              <w:rPr>
                <w:rFonts w:eastAsia="Calibri"/>
                <w:sz w:val="20"/>
                <w:lang w:val="fr-CA"/>
              </w:rPr>
            </w:pPr>
            <w:r w:rsidRPr="003D125F">
              <w:rPr>
                <w:rFonts w:eastAsia="Calibri"/>
                <w:sz w:val="20"/>
                <w:lang w:val="fr-CA"/>
              </w:rPr>
              <w:t>Cour supérieure de justice de l’Ontario</w:t>
            </w:r>
          </w:p>
          <w:p w:rsidR="003E3797" w:rsidRPr="003D125F" w:rsidRDefault="003E3797" w:rsidP="004D595B">
            <w:pPr>
              <w:jc w:val="both"/>
              <w:rPr>
                <w:rFonts w:eastAsia="Calibri"/>
                <w:sz w:val="20"/>
              </w:rPr>
            </w:pPr>
            <w:r w:rsidRPr="003D125F">
              <w:rPr>
                <w:rFonts w:eastAsia="Calibri"/>
                <w:sz w:val="20"/>
              </w:rPr>
              <w:t>(</w:t>
            </w:r>
            <w:proofErr w:type="spellStart"/>
            <w:r w:rsidRPr="003D125F">
              <w:rPr>
                <w:rFonts w:eastAsia="Calibri"/>
                <w:sz w:val="20"/>
              </w:rPr>
              <w:t>Juge</w:t>
            </w:r>
            <w:proofErr w:type="spellEnd"/>
            <w:r w:rsidRPr="003D125F">
              <w:rPr>
                <w:rFonts w:eastAsia="Calibri"/>
                <w:sz w:val="20"/>
              </w:rPr>
              <w:t xml:space="preserve"> Spiegel)</w:t>
            </w:r>
          </w:p>
          <w:p w:rsidR="003E3797" w:rsidRPr="003D125F" w:rsidRDefault="003E3797" w:rsidP="00CE303C">
            <w:pPr>
              <w:jc w:val="both"/>
              <w:rPr>
                <w:rFonts w:eastAsia="Calibri"/>
                <w:sz w:val="20"/>
              </w:rPr>
            </w:pPr>
            <w:r w:rsidRPr="003D125F">
              <w:rPr>
                <w:rFonts w:eastAsia="Calibri"/>
                <w:sz w:val="20"/>
              </w:rPr>
              <w:t xml:space="preserve">[2009] O.J. No. 428 </w:t>
            </w:r>
          </w:p>
        </w:tc>
        <w:tc>
          <w:tcPr>
            <w:tcW w:w="243" w:type="pct"/>
          </w:tcPr>
          <w:p w:rsidR="003E3797" w:rsidRDefault="003E3797"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Default="00CE303C" w:rsidP="004D595B">
            <w:pPr>
              <w:jc w:val="both"/>
              <w:rPr>
                <w:rFonts w:eastAsia="Calibri"/>
                <w:sz w:val="20"/>
              </w:rPr>
            </w:pPr>
          </w:p>
          <w:p w:rsidR="00CE303C" w:rsidRPr="003D125F" w:rsidRDefault="00CE303C" w:rsidP="004D595B">
            <w:pPr>
              <w:jc w:val="both"/>
              <w:rPr>
                <w:rFonts w:eastAsia="Calibri"/>
                <w:sz w:val="20"/>
              </w:rPr>
            </w:pPr>
          </w:p>
        </w:tc>
        <w:tc>
          <w:tcPr>
            <w:tcW w:w="2330" w:type="pct"/>
          </w:tcPr>
          <w:p w:rsidR="003E3797" w:rsidRPr="003D125F" w:rsidRDefault="003E770A" w:rsidP="004D595B">
            <w:pPr>
              <w:jc w:val="both"/>
              <w:rPr>
                <w:rFonts w:eastAsia="Calibri"/>
                <w:sz w:val="20"/>
                <w:lang w:val="fr-CA"/>
              </w:rPr>
            </w:pPr>
            <w:r w:rsidRPr="003D125F">
              <w:rPr>
                <w:rFonts w:eastAsia="Calibri"/>
                <w:sz w:val="20"/>
                <w:lang w:val="fr-CA"/>
              </w:rPr>
              <w:fldChar w:fldCharType="begin"/>
            </w:r>
            <w:r w:rsidR="003E3797" w:rsidRPr="003D125F">
              <w:rPr>
                <w:rFonts w:eastAsia="Calibri"/>
                <w:sz w:val="20"/>
                <w:lang w:val="fr-CA"/>
              </w:rPr>
              <w:instrText xml:space="preserve"> SEQ CHAPTER \h \r 1</w:instrText>
            </w:r>
            <w:r w:rsidRPr="003D125F">
              <w:rPr>
                <w:rFonts w:eastAsia="Calibri"/>
                <w:sz w:val="20"/>
                <w:lang w:val="fr-CA"/>
              </w:rPr>
              <w:fldChar w:fldCharType="end"/>
            </w:r>
            <w:r w:rsidR="003E3797" w:rsidRPr="003D125F">
              <w:rPr>
                <w:rFonts w:eastAsia="Calibri"/>
                <w:sz w:val="20"/>
                <w:lang w:val="fr-CA"/>
              </w:rPr>
              <w:t xml:space="preserve">La demanderesse se voit accorder des dommages-intérêts de 1 935 500 $ pour la violation de l’obligation de moyens dans le contrat d’achat et de vente </w:t>
            </w:r>
          </w:p>
        </w:tc>
      </w:tr>
      <w:tr w:rsidR="003E3797" w:rsidRPr="003B380E" w:rsidTr="004D595B">
        <w:trPr>
          <w:cantSplit/>
        </w:trPr>
        <w:tc>
          <w:tcPr>
            <w:tcW w:w="2427" w:type="pct"/>
          </w:tcPr>
          <w:p w:rsidR="003E3797" w:rsidRPr="003D125F" w:rsidRDefault="003E3797" w:rsidP="004D595B">
            <w:pPr>
              <w:jc w:val="both"/>
              <w:rPr>
                <w:rFonts w:eastAsia="Calibri"/>
                <w:sz w:val="20"/>
                <w:lang w:val="fr-CA"/>
              </w:rPr>
            </w:pPr>
            <w:r w:rsidRPr="003D125F">
              <w:rPr>
                <w:rFonts w:eastAsia="Calibri"/>
                <w:sz w:val="20"/>
                <w:lang w:val="fr-CA"/>
              </w:rPr>
              <w:t>3 mai 2010</w:t>
            </w:r>
          </w:p>
          <w:p w:rsidR="003E3797" w:rsidRPr="003D125F" w:rsidRDefault="003E3797" w:rsidP="004D595B">
            <w:pPr>
              <w:jc w:val="both"/>
              <w:rPr>
                <w:rFonts w:eastAsia="Calibri"/>
                <w:sz w:val="20"/>
                <w:lang w:val="fr-CA"/>
              </w:rPr>
            </w:pPr>
            <w:r w:rsidRPr="003D125F">
              <w:rPr>
                <w:rFonts w:eastAsia="Calibri"/>
                <w:sz w:val="20"/>
                <w:lang w:val="fr-CA"/>
              </w:rPr>
              <w:t>Cour d’appel de l’Ontario</w:t>
            </w:r>
          </w:p>
          <w:p w:rsidR="003E3797" w:rsidRPr="003D125F" w:rsidRDefault="003E3797" w:rsidP="004D595B">
            <w:pPr>
              <w:jc w:val="both"/>
              <w:rPr>
                <w:rFonts w:eastAsia="Calibri"/>
                <w:sz w:val="20"/>
                <w:lang w:val="fr-CA"/>
              </w:rPr>
            </w:pPr>
            <w:r w:rsidRPr="003D125F">
              <w:rPr>
                <w:rFonts w:eastAsia="Calibri"/>
                <w:sz w:val="20"/>
                <w:lang w:val="fr-CA"/>
              </w:rPr>
              <w:t xml:space="preserve">(Juges Sharpe, Blair et </w:t>
            </w:r>
            <w:proofErr w:type="spellStart"/>
            <w:r w:rsidRPr="003D125F">
              <w:rPr>
                <w:rFonts w:eastAsia="Calibri"/>
                <w:sz w:val="20"/>
                <w:lang w:val="fr-CA"/>
              </w:rPr>
              <w:t>MacFarland</w:t>
            </w:r>
            <w:proofErr w:type="spellEnd"/>
            <w:r w:rsidRPr="003D125F">
              <w:rPr>
                <w:rFonts w:eastAsia="Calibri"/>
                <w:sz w:val="20"/>
                <w:lang w:val="fr-CA"/>
              </w:rPr>
              <w:t>)</w:t>
            </w:r>
          </w:p>
          <w:p w:rsidR="003E3797" w:rsidRPr="003D125F" w:rsidRDefault="003E3797" w:rsidP="00CE303C">
            <w:pPr>
              <w:jc w:val="both"/>
              <w:rPr>
                <w:rFonts w:eastAsia="Calibri"/>
                <w:sz w:val="20"/>
                <w:lang w:val="fr-CA"/>
              </w:rPr>
            </w:pPr>
            <w:r w:rsidRPr="003D125F">
              <w:rPr>
                <w:rFonts w:eastAsia="Calibri"/>
                <w:sz w:val="20"/>
                <w:lang w:val="fr-CA"/>
              </w:rPr>
              <w:t>2010 ONCA 310</w:t>
            </w:r>
          </w:p>
        </w:tc>
        <w:tc>
          <w:tcPr>
            <w:tcW w:w="243" w:type="pct"/>
          </w:tcPr>
          <w:p w:rsidR="003E3797" w:rsidRDefault="003E3797"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Default="00CE303C" w:rsidP="004D595B">
            <w:pPr>
              <w:jc w:val="both"/>
              <w:rPr>
                <w:rFonts w:eastAsia="Calibri"/>
                <w:sz w:val="20"/>
                <w:lang w:val="fr-CA"/>
              </w:rPr>
            </w:pPr>
          </w:p>
          <w:p w:rsidR="00CE303C" w:rsidRPr="003D125F" w:rsidRDefault="00CE303C" w:rsidP="004D595B">
            <w:pPr>
              <w:jc w:val="both"/>
              <w:rPr>
                <w:rFonts w:eastAsia="Calibri"/>
                <w:sz w:val="20"/>
                <w:lang w:val="fr-CA"/>
              </w:rPr>
            </w:pPr>
          </w:p>
        </w:tc>
        <w:tc>
          <w:tcPr>
            <w:tcW w:w="2330" w:type="pct"/>
          </w:tcPr>
          <w:p w:rsidR="003E3797" w:rsidRPr="003D125F" w:rsidRDefault="003E3797" w:rsidP="004D595B">
            <w:pPr>
              <w:jc w:val="both"/>
              <w:rPr>
                <w:rFonts w:eastAsia="Calibri"/>
                <w:sz w:val="20"/>
                <w:lang w:val="fr-CA"/>
              </w:rPr>
            </w:pPr>
            <w:r w:rsidRPr="003D125F">
              <w:rPr>
                <w:rFonts w:eastAsia="Calibri"/>
                <w:sz w:val="20"/>
                <w:lang w:val="fr-CA"/>
              </w:rPr>
              <w:t>Appel accueilli; dommages-intérêts réduits à 1 $</w:t>
            </w:r>
          </w:p>
          <w:p w:rsidR="003E3797" w:rsidRPr="003D125F" w:rsidRDefault="003E3797" w:rsidP="004D595B">
            <w:pPr>
              <w:jc w:val="both"/>
              <w:rPr>
                <w:rFonts w:eastAsia="Calibri"/>
                <w:sz w:val="20"/>
                <w:lang w:val="fr-CA"/>
              </w:rPr>
            </w:pPr>
          </w:p>
        </w:tc>
      </w:tr>
      <w:tr w:rsidR="003E3797" w:rsidRPr="003D125F" w:rsidTr="004D595B">
        <w:trPr>
          <w:cantSplit/>
        </w:trPr>
        <w:tc>
          <w:tcPr>
            <w:tcW w:w="2427" w:type="pct"/>
          </w:tcPr>
          <w:p w:rsidR="003E3797" w:rsidRPr="003D125F" w:rsidRDefault="003E3797" w:rsidP="004D595B">
            <w:pPr>
              <w:jc w:val="both"/>
              <w:rPr>
                <w:rFonts w:eastAsia="Calibri"/>
                <w:sz w:val="20"/>
                <w:lang w:val="fr-CA"/>
              </w:rPr>
            </w:pPr>
            <w:r w:rsidRPr="003D125F">
              <w:rPr>
                <w:rFonts w:eastAsia="Calibri"/>
                <w:sz w:val="20"/>
                <w:lang w:val="fr-CA"/>
              </w:rPr>
              <w:t>30 juillet 2010</w:t>
            </w:r>
          </w:p>
          <w:p w:rsidR="003E3797" w:rsidRPr="003D125F" w:rsidRDefault="003E3797" w:rsidP="00CE303C">
            <w:pPr>
              <w:jc w:val="both"/>
              <w:rPr>
                <w:rFonts w:eastAsia="Calibri"/>
                <w:sz w:val="20"/>
                <w:lang w:val="fr-CA"/>
              </w:rPr>
            </w:pPr>
            <w:r w:rsidRPr="003D125F">
              <w:rPr>
                <w:rFonts w:eastAsia="Calibri"/>
                <w:sz w:val="20"/>
                <w:lang w:val="fr-CA"/>
              </w:rPr>
              <w:t>Cour suprême du Canada</w:t>
            </w:r>
          </w:p>
        </w:tc>
        <w:tc>
          <w:tcPr>
            <w:tcW w:w="243" w:type="pct"/>
          </w:tcPr>
          <w:p w:rsidR="003E3797" w:rsidRDefault="003E3797" w:rsidP="004D595B">
            <w:pPr>
              <w:jc w:val="both"/>
              <w:rPr>
                <w:rFonts w:eastAsia="Calibri"/>
                <w:sz w:val="20"/>
                <w:lang w:val="fr-CA"/>
              </w:rPr>
            </w:pPr>
          </w:p>
          <w:p w:rsidR="00CE303C" w:rsidRDefault="00CE303C" w:rsidP="004D595B">
            <w:pPr>
              <w:jc w:val="both"/>
              <w:rPr>
                <w:rFonts w:eastAsia="Calibri"/>
                <w:sz w:val="20"/>
                <w:lang w:val="fr-CA"/>
              </w:rPr>
            </w:pPr>
          </w:p>
          <w:p w:rsidR="00CE303C" w:rsidRPr="003D125F" w:rsidRDefault="00CE303C" w:rsidP="004D595B">
            <w:pPr>
              <w:jc w:val="both"/>
              <w:rPr>
                <w:rFonts w:eastAsia="Calibri"/>
                <w:sz w:val="20"/>
                <w:lang w:val="fr-CA"/>
              </w:rPr>
            </w:pPr>
          </w:p>
        </w:tc>
        <w:tc>
          <w:tcPr>
            <w:tcW w:w="2330" w:type="pct"/>
          </w:tcPr>
          <w:p w:rsidR="003E3797" w:rsidRPr="003D125F" w:rsidRDefault="003E3797" w:rsidP="004D595B">
            <w:pPr>
              <w:jc w:val="both"/>
              <w:rPr>
                <w:rFonts w:eastAsia="Calibri"/>
                <w:sz w:val="20"/>
                <w:lang w:val="fr-CA"/>
              </w:rPr>
            </w:pPr>
            <w:r w:rsidRPr="003D125F">
              <w:rPr>
                <w:rFonts w:eastAsia="Calibri"/>
                <w:sz w:val="20"/>
                <w:lang w:val="fr-CA"/>
              </w:rPr>
              <w:t>Demande d’autorisation d’appel, déposée</w:t>
            </w:r>
          </w:p>
          <w:p w:rsidR="003E3797" w:rsidRPr="003D125F" w:rsidRDefault="003E3797" w:rsidP="004D595B">
            <w:pPr>
              <w:jc w:val="both"/>
              <w:rPr>
                <w:rFonts w:eastAsia="Calibri"/>
                <w:sz w:val="20"/>
                <w:lang w:val="fr-CA"/>
              </w:rPr>
            </w:pPr>
          </w:p>
        </w:tc>
      </w:tr>
      <w:tr w:rsidR="003E3797" w:rsidRPr="003B380E" w:rsidTr="004D595B">
        <w:trPr>
          <w:cantSplit/>
        </w:trPr>
        <w:tc>
          <w:tcPr>
            <w:tcW w:w="2427" w:type="pct"/>
          </w:tcPr>
          <w:p w:rsidR="003E3797" w:rsidRPr="003D125F" w:rsidRDefault="003E3797" w:rsidP="004D595B">
            <w:pPr>
              <w:jc w:val="both"/>
              <w:rPr>
                <w:rFonts w:eastAsia="Calibri"/>
                <w:sz w:val="20"/>
                <w:lang w:val="fr-CA"/>
              </w:rPr>
            </w:pPr>
            <w:r w:rsidRPr="003D125F">
              <w:rPr>
                <w:rFonts w:eastAsia="Calibri"/>
                <w:sz w:val="20"/>
                <w:lang w:val="fr-CA"/>
              </w:rPr>
              <w:t>26 août 2010</w:t>
            </w:r>
          </w:p>
          <w:p w:rsidR="003E3797" w:rsidRPr="003D125F" w:rsidRDefault="003E3797" w:rsidP="004D595B">
            <w:pPr>
              <w:jc w:val="both"/>
              <w:rPr>
                <w:rFonts w:eastAsia="Calibri"/>
                <w:sz w:val="20"/>
                <w:lang w:val="fr-CA"/>
              </w:rPr>
            </w:pPr>
            <w:r w:rsidRPr="003D125F">
              <w:rPr>
                <w:rFonts w:eastAsia="Calibri"/>
                <w:sz w:val="20"/>
                <w:lang w:val="fr-CA"/>
              </w:rPr>
              <w:t>Cour suprême du Canada</w:t>
            </w:r>
          </w:p>
        </w:tc>
        <w:tc>
          <w:tcPr>
            <w:tcW w:w="243" w:type="pct"/>
          </w:tcPr>
          <w:p w:rsidR="003E3797" w:rsidRPr="003D125F" w:rsidRDefault="003E3797" w:rsidP="004D595B">
            <w:pPr>
              <w:jc w:val="both"/>
              <w:rPr>
                <w:rFonts w:eastAsia="Calibri"/>
                <w:sz w:val="20"/>
                <w:lang w:val="fr-CA"/>
              </w:rPr>
            </w:pPr>
          </w:p>
        </w:tc>
        <w:tc>
          <w:tcPr>
            <w:tcW w:w="2330" w:type="pct"/>
          </w:tcPr>
          <w:p w:rsidR="003E3797" w:rsidRPr="003D125F" w:rsidRDefault="003E3797" w:rsidP="004D595B">
            <w:pPr>
              <w:jc w:val="both"/>
              <w:rPr>
                <w:rFonts w:eastAsia="Calibri"/>
                <w:sz w:val="20"/>
                <w:lang w:val="fr-CA"/>
              </w:rPr>
            </w:pPr>
            <w:r w:rsidRPr="003D125F">
              <w:rPr>
                <w:rFonts w:eastAsia="Calibri"/>
                <w:sz w:val="20"/>
                <w:lang w:val="fr-CA"/>
              </w:rPr>
              <w:t>Demande conditionnelle d’appel incident de l’intimé, déposée</w:t>
            </w:r>
          </w:p>
        </w:tc>
      </w:tr>
    </w:tbl>
    <w:p w:rsidR="003E3797" w:rsidRDefault="003E3797" w:rsidP="00331157">
      <w:pPr>
        <w:keepNext/>
        <w:rPr>
          <w:sz w:val="20"/>
          <w:szCs w:val="20"/>
          <w:lang w:val="fr-CA"/>
        </w:rPr>
      </w:pPr>
    </w:p>
    <w:p w:rsidR="00331157" w:rsidRDefault="003E770A" w:rsidP="00331157">
      <w:pPr>
        <w:keepNext/>
        <w:rPr>
          <w:sz w:val="20"/>
          <w:szCs w:val="20"/>
          <w:lang w:val="fr-CA"/>
        </w:rPr>
      </w:pPr>
      <w:r w:rsidRPr="003E770A">
        <w:rPr>
          <w:sz w:val="20"/>
          <w:szCs w:val="20"/>
          <w:lang w:val="fr-CA"/>
        </w:rPr>
        <w:pict>
          <v:rect id="_x0000_i1050" style="width:2in;height:1pt" o:hrpct="0" o:hralign="center" o:hrstd="t" o:hrnoshade="t" o:hr="t" fillcolor="black [3213]" stroked="f"/>
        </w:pict>
      </w:r>
    </w:p>
    <w:p w:rsidR="00331157" w:rsidRDefault="0033115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49A2" w:rsidRPr="00B449A2" w:rsidTr="00F94A8D">
        <w:trPr>
          <w:cantSplit/>
        </w:trPr>
        <w:tc>
          <w:tcPr>
            <w:tcW w:w="1458" w:type="dxa"/>
          </w:tcPr>
          <w:p w:rsidR="00B449A2" w:rsidRPr="00B449A2" w:rsidRDefault="00B449A2" w:rsidP="00F94A8D">
            <w:pPr>
              <w:rPr>
                <w:sz w:val="20"/>
                <w:szCs w:val="20"/>
              </w:rPr>
            </w:pPr>
            <w:r w:rsidRPr="00B449A2">
              <w:rPr>
                <w:rStyle w:val="SCCFileNumberChar"/>
                <w:sz w:val="20"/>
                <w:szCs w:val="20"/>
              </w:rPr>
              <w:t>33792</w:t>
            </w:r>
          </w:p>
          <w:p w:rsidR="00B449A2" w:rsidRPr="00B449A2" w:rsidRDefault="00B449A2" w:rsidP="00F94A8D">
            <w:pPr>
              <w:rPr>
                <w:b/>
                <w:sz w:val="20"/>
                <w:szCs w:val="20"/>
                <w:lang w:val="fr-CA"/>
              </w:rPr>
            </w:pPr>
          </w:p>
        </w:tc>
        <w:tc>
          <w:tcPr>
            <w:tcW w:w="8118" w:type="dxa"/>
          </w:tcPr>
          <w:p w:rsidR="00B449A2" w:rsidRPr="00B449A2" w:rsidRDefault="00B449A2" w:rsidP="00F94A8D">
            <w:pPr>
              <w:rPr>
                <w:sz w:val="20"/>
                <w:szCs w:val="20"/>
              </w:rPr>
            </w:pPr>
            <w:r w:rsidRPr="00B449A2">
              <w:rPr>
                <w:rStyle w:val="SCCLsocChar"/>
                <w:sz w:val="20"/>
                <w:szCs w:val="20"/>
                <w:lang w:val="en-CA"/>
              </w:rPr>
              <w:t xml:space="preserve">Stephen M. </w:t>
            </w:r>
            <w:proofErr w:type="spellStart"/>
            <w:r w:rsidRPr="00B449A2">
              <w:rPr>
                <w:rStyle w:val="SCCLsocChar"/>
                <w:sz w:val="20"/>
                <w:szCs w:val="20"/>
                <w:lang w:val="en-CA"/>
              </w:rPr>
              <w:t>Byer</w:t>
            </w:r>
            <w:proofErr w:type="spellEnd"/>
            <w:r w:rsidRPr="00B449A2">
              <w:rPr>
                <w:rStyle w:val="SCCLsocChar"/>
                <w:sz w:val="20"/>
                <w:szCs w:val="20"/>
                <w:lang w:val="en-CA"/>
              </w:rPr>
              <w:t xml:space="preserve"> v. Location </w:t>
            </w:r>
            <w:proofErr w:type="spellStart"/>
            <w:r w:rsidRPr="00B449A2">
              <w:rPr>
                <w:rStyle w:val="SCCLsocChar"/>
                <w:sz w:val="20"/>
                <w:szCs w:val="20"/>
                <w:lang w:val="en-CA"/>
              </w:rPr>
              <w:t>Lutex</w:t>
            </w:r>
            <w:proofErr w:type="spellEnd"/>
            <w:r w:rsidRPr="00B449A2">
              <w:rPr>
                <w:rStyle w:val="SCCLsocChar"/>
                <w:sz w:val="20"/>
                <w:szCs w:val="20"/>
                <w:lang w:val="en-CA"/>
              </w:rPr>
              <w:t xml:space="preserve"> Inc.</w:t>
            </w:r>
            <w:r w:rsidRPr="00B449A2">
              <w:rPr>
                <w:sz w:val="20"/>
                <w:szCs w:val="20"/>
              </w:rPr>
              <w:t xml:space="preserve"> (Que.) (Civil) (By Leave)</w:t>
            </w:r>
          </w:p>
          <w:p w:rsidR="00B449A2" w:rsidRPr="00B449A2" w:rsidRDefault="00B449A2" w:rsidP="00F94A8D">
            <w:pPr>
              <w:rPr>
                <w:sz w:val="20"/>
                <w:szCs w:val="20"/>
              </w:rPr>
            </w:pPr>
          </w:p>
        </w:tc>
      </w:tr>
      <w:tr w:rsidR="00B449A2" w:rsidRPr="00B449A2" w:rsidTr="00F94A8D">
        <w:trPr>
          <w:cantSplit/>
        </w:trPr>
        <w:tc>
          <w:tcPr>
            <w:tcW w:w="1458" w:type="dxa"/>
          </w:tcPr>
          <w:p w:rsidR="00B449A2" w:rsidRPr="00B449A2" w:rsidRDefault="00B449A2" w:rsidP="00F94A8D">
            <w:pPr>
              <w:rPr>
                <w:sz w:val="20"/>
                <w:szCs w:val="20"/>
              </w:rPr>
            </w:pPr>
            <w:r w:rsidRPr="00B449A2">
              <w:rPr>
                <w:sz w:val="20"/>
                <w:szCs w:val="20"/>
              </w:rPr>
              <w:t>Coram :</w:t>
            </w:r>
          </w:p>
        </w:tc>
        <w:tc>
          <w:tcPr>
            <w:tcW w:w="8118" w:type="dxa"/>
          </w:tcPr>
          <w:p w:rsidR="00B449A2" w:rsidRDefault="00B449A2" w:rsidP="00F94A8D">
            <w:pPr>
              <w:rPr>
                <w:rStyle w:val="SCCCoramChar"/>
                <w:sz w:val="20"/>
                <w:szCs w:val="20"/>
                <w:lang w:val="en-CA"/>
              </w:rPr>
            </w:pPr>
            <w:proofErr w:type="spellStart"/>
            <w:r w:rsidRPr="00B449A2">
              <w:rPr>
                <w:rStyle w:val="SCCCoramChar"/>
                <w:sz w:val="20"/>
                <w:szCs w:val="20"/>
                <w:lang w:val="en-CA"/>
              </w:rPr>
              <w:t>Binnie</w:t>
            </w:r>
            <w:proofErr w:type="spellEnd"/>
            <w:r w:rsidRPr="00B449A2">
              <w:rPr>
                <w:rStyle w:val="SCCCoramChar"/>
                <w:sz w:val="20"/>
                <w:szCs w:val="20"/>
                <w:lang w:val="en-CA"/>
              </w:rPr>
              <w:t>, Fish and Rothstein JJ.</w:t>
            </w:r>
          </w:p>
          <w:p w:rsidR="00B449A2" w:rsidRPr="00B449A2" w:rsidRDefault="00B449A2" w:rsidP="00F94A8D">
            <w:pPr>
              <w:rPr>
                <w:sz w:val="20"/>
                <w:szCs w:val="20"/>
              </w:rPr>
            </w:pPr>
          </w:p>
        </w:tc>
      </w:tr>
      <w:tr w:rsidR="00B449A2" w:rsidRPr="003B380E" w:rsidTr="00F94A8D">
        <w:trPr>
          <w:cantSplit/>
        </w:trPr>
        <w:tc>
          <w:tcPr>
            <w:tcW w:w="9576" w:type="dxa"/>
            <w:gridSpan w:val="2"/>
          </w:tcPr>
          <w:p w:rsidR="00B449A2" w:rsidRPr="00B449A2" w:rsidRDefault="00B449A2" w:rsidP="00B449A2">
            <w:pPr>
              <w:jc w:val="both"/>
              <w:rPr>
                <w:sz w:val="20"/>
                <w:szCs w:val="20"/>
              </w:rPr>
            </w:pPr>
            <w:r>
              <w:rPr>
                <w:sz w:val="20"/>
                <w:szCs w:val="20"/>
              </w:rPr>
              <w:tab/>
            </w:r>
            <w:r w:rsidRPr="00B449A2">
              <w:rPr>
                <w:sz w:val="20"/>
                <w:szCs w:val="20"/>
              </w:rPr>
              <w:t>The motion for an extension of time to serve and file the application for leave to appeal is granted.  The motion to add supplementary arguments and the application for leave to appeal from the judgment of the Court of Appeal of Quebec (Montréal), Number 500-09-020523-106, 2010 QCCA 901, dated May 3, 2010, are dismissed without costs.</w:t>
            </w:r>
          </w:p>
          <w:p w:rsidR="00B449A2" w:rsidRPr="00B449A2" w:rsidRDefault="00B449A2" w:rsidP="00B449A2">
            <w:pPr>
              <w:jc w:val="both"/>
              <w:rPr>
                <w:sz w:val="20"/>
                <w:szCs w:val="20"/>
              </w:rPr>
            </w:pPr>
          </w:p>
          <w:p w:rsidR="009460E4" w:rsidRPr="00B449A2" w:rsidRDefault="00B449A2" w:rsidP="009460E4">
            <w:pPr>
              <w:jc w:val="both"/>
              <w:rPr>
                <w:sz w:val="20"/>
                <w:szCs w:val="20"/>
                <w:lang w:val="fr-CA"/>
              </w:rPr>
            </w:pPr>
            <w:r w:rsidRPr="00052196">
              <w:rPr>
                <w:sz w:val="20"/>
                <w:szCs w:val="20"/>
              </w:rPr>
              <w:tab/>
            </w:r>
            <w:r w:rsidRPr="00B449A2">
              <w:rPr>
                <w:sz w:val="20"/>
                <w:szCs w:val="20"/>
                <w:lang w:val="fr-CA"/>
              </w:rPr>
              <w:t>La requête en prorogation du délai de signification et de dépôt de la demande d’autorisation d’appel est accordée.  La requête en vue d’ajouter des arguments supplémentaires et la demande d’autorisation d’appel de l’arrêt de la Cour d’appel du Québec (Montréal), numéro 500-09-020523-106, 2010 QCCA 901, daté du 3 mai 2010, sont rejetées sans dépens.</w:t>
            </w:r>
          </w:p>
        </w:tc>
      </w:tr>
    </w:tbl>
    <w:p w:rsidR="00B449A2" w:rsidRDefault="00B449A2" w:rsidP="008D292F">
      <w:pPr>
        <w:rPr>
          <w:sz w:val="20"/>
          <w:szCs w:val="20"/>
          <w:lang w:val="fr-CA"/>
        </w:rPr>
      </w:pPr>
    </w:p>
    <w:p w:rsidR="00331157" w:rsidRPr="00C50A5C" w:rsidRDefault="00331157" w:rsidP="00331157">
      <w:pPr>
        <w:keepNext/>
        <w:rPr>
          <w:sz w:val="20"/>
          <w:szCs w:val="20"/>
        </w:rPr>
      </w:pPr>
      <w:r w:rsidRPr="00C50A5C">
        <w:rPr>
          <w:sz w:val="20"/>
          <w:szCs w:val="20"/>
          <w:u w:val="single"/>
        </w:rPr>
        <w:t>CASE SUMMARY</w:t>
      </w:r>
    </w:p>
    <w:p w:rsidR="000419CE" w:rsidRDefault="000419CE" w:rsidP="000419CE"/>
    <w:tbl>
      <w:tblPr>
        <w:tblW w:w="4952" w:type="pct"/>
        <w:tblLayout w:type="fixed"/>
        <w:tblCellMar>
          <w:left w:w="0" w:type="dxa"/>
          <w:bottom w:w="99" w:type="dxa"/>
          <w:right w:w="0" w:type="dxa"/>
        </w:tblCellMar>
        <w:tblLook w:val="04A0"/>
      </w:tblPr>
      <w:tblGrid>
        <w:gridCol w:w="9527"/>
      </w:tblGrid>
      <w:tr w:rsidR="000419CE" w:rsidRPr="006A1AC2" w:rsidTr="000419CE">
        <w:tc>
          <w:tcPr>
            <w:tcW w:w="5000" w:type="pct"/>
          </w:tcPr>
          <w:p w:rsidR="000C6523" w:rsidRPr="006A1AC2" w:rsidRDefault="000419CE" w:rsidP="005A14DB">
            <w:pPr>
              <w:jc w:val="both"/>
              <w:rPr>
                <w:rFonts w:eastAsia="Calibri"/>
                <w:sz w:val="20"/>
              </w:rPr>
            </w:pPr>
            <w:r w:rsidRPr="006A1AC2">
              <w:rPr>
                <w:rFonts w:eastAsia="Calibri"/>
                <w:sz w:val="20"/>
              </w:rPr>
              <w:t xml:space="preserve">Civil law – Leasing contract – Long term car rental with option to buy - Global initial amount paid by the lessee to the </w:t>
            </w:r>
            <w:proofErr w:type="spellStart"/>
            <w:r w:rsidRPr="006A1AC2">
              <w:rPr>
                <w:rFonts w:eastAsia="Calibri"/>
                <w:sz w:val="20"/>
              </w:rPr>
              <w:t>lessor</w:t>
            </w:r>
            <w:proofErr w:type="spellEnd"/>
            <w:r w:rsidRPr="006A1AC2">
              <w:rPr>
                <w:rFonts w:eastAsia="Calibri"/>
                <w:sz w:val="20"/>
              </w:rPr>
              <w:t xml:space="preserve"> – Disagreement concerning the taxable nature of that payment – Lessee stopping to make his monthly payments – </w:t>
            </w:r>
            <w:proofErr w:type="spellStart"/>
            <w:r w:rsidRPr="006A1AC2">
              <w:rPr>
                <w:rFonts w:eastAsia="Calibri"/>
                <w:sz w:val="20"/>
              </w:rPr>
              <w:t>Lessor</w:t>
            </w:r>
            <w:proofErr w:type="spellEnd"/>
            <w:r w:rsidRPr="006A1AC2">
              <w:rPr>
                <w:rFonts w:eastAsia="Calibri"/>
                <w:sz w:val="20"/>
              </w:rPr>
              <w:t xml:space="preserve"> claiming ownership of the rented moveable - Is an initial global payment applicable to a leasing contract subject to taxes?</w:t>
            </w:r>
          </w:p>
        </w:tc>
      </w:tr>
      <w:tr w:rsidR="000419CE" w:rsidRPr="006A1AC2" w:rsidTr="000419CE">
        <w:tc>
          <w:tcPr>
            <w:tcW w:w="5000" w:type="pct"/>
          </w:tcPr>
          <w:p w:rsidR="000419CE" w:rsidRPr="006A1AC2" w:rsidRDefault="000419CE" w:rsidP="000419CE">
            <w:pPr>
              <w:jc w:val="both"/>
              <w:rPr>
                <w:rFonts w:eastAsia="Calibri"/>
                <w:sz w:val="20"/>
              </w:rPr>
            </w:pPr>
            <w:r w:rsidRPr="006A1AC2">
              <w:rPr>
                <w:rFonts w:eastAsia="Calibri"/>
                <w:sz w:val="20"/>
              </w:rPr>
              <w:lastRenderedPageBreak/>
              <w:t xml:space="preserve">On May 22, 2003, Mr. </w:t>
            </w:r>
            <w:proofErr w:type="spellStart"/>
            <w:r w:rsidRPr="006A1AC2">
              <w:rPr>
                <w:rFonts w:eastAsia="Calibri"/>
                <w:sz w:val="20"/>
              </w:rPr>
              <w:t>Byer</w:t>
            </w:r>
            <w:proofErr w:type="spellEnd"/>
            <w:r w:rsidRPr="006A1AC2">
              <w:rPr>
                <w:rFonts w:eastAsia="Calibri"/>
                <w:sz w:val="20"/>
              </w:rPr>
              <w:t xml:space="preserve"> and </w:t>
            </w:r>
            <w:proofErr w:type="spellStart"/>
            <w:r w:rsidRPr="006A1AC2">
              <w:rPr>
                <w:rFonts w:eastAsia="Calibri"/>
                <w:sz w:val="20"/>
              </w:rPr>
              <w:t>Lutex</w:t>
            </w:r>
            <w:proofErr w:type="spellEnd"/>
            <w:r w:rsidRPr="006A1AC2">
              <w:rPr>
                <w:rFonts w:eastAsia="Calibri"/>
                <w:sz w:val="20"/>
              </w:rPr>
              <w:t xml:space="preserve"> signed a four-year leasing contract for a car. The monthly payments were </w:t>
            </w:r>
            <w:proofErr w:type="spellStart"/>
            <w:r w:rsidRPr="006A1AC2">
              <w:rPr>
                <w:rFonts w:eastAsia="Calibri"/>
                <w:sz w:val="20"/>
              </w:rPr>
              <w:t>of</w:t>
            </w:r>
            <w:proofErr w:type="spellEnd"/>
            <w:r w:rsidRPr="006A1AC2">
              <w:rPr>
                <w:rFonts w:eastAsia="Calibri"/>
                <w:sz w:val="20"/>
              </w:rPr>
              <w:t xml:space="preserve"> 686 $. The contract was renewed in 2007 for another two years. Together with his initial payment, in May 2003, Mr. </w:t>
            </w:r>
            <w:proofErr w:type="spellStart"/>
            <w:r w:rsidRPr="006A1AC2">
              <w:rPr>
                <w:rFonts w:eastAsia="Calibri"/>
                <w:sz w:val="20"/>
              </w:rPr>
              <w:t>Byer</w:t>
            </w:r>
            <w:proofErr w:type="spellEnd"/>
            <w:r w:rsidRPr="006A1AC2">
              <w:rPr>
                <w:rFonts w:eastAsia="Calibri"/>
                <w:sz w:val="20"/>
              </w:rPr>
              <w:t xml:space="preserve"> had given </w:t>
            </w:r>
            <w:proofErr w:type="spellStart"/>
            <w:r w:rsidRPr="006A1AC2">
              <w:rPr>
                <w:rFonts w:eastAsia="Calibri"/>
                <w:sz w:val="20"/>
              </w:rPr>
              <w:t>Lutex</w:t>
            </w:r>
            <w:proofErr w:type="spellEnd"/>
            <w:r w:rsidRPr="006A1AC2">
              <w:rPr>
                <w:rFonts w:eastAsia="Calibri"/>
                <w:sz w:val="20"/>
              </w:rPr>
              <w:t xml:space="preserve"> an “</w:t>
            </w:r>
            <w:proofErr w:type="spellStart"/>
            <w:r w:rsidRPr="006A1AC2">
              <w:rPr>
                <w:rFonts w:eastAsia="Calibri"/>
                <w:sz w:val="20"/>
              </w:rPr>
              <w:t>unrefundable</w:t>
            </w:r>
            <w:proofErr w:type="spellEnd"/>
            <w:r w:rsidRPr="006A1AC2">
              <w:rPr>
                <w:rFonts w:eastAsia="Calibri"/>
                <w:sz w:val="20"/>
              </w:rPr>
              <w:t xml:space="preserve"> cash deposit” of 25 000 $. According to the Applicant, this deposit was meant to be exempt of applicable taxes. </w:t>
            </w:r>
            <w:proofErr w:type="spellStart"/>
            <w:r w:rsidRPr="006A1AC2">
              <w:rPr>
                <w:rFonts w:eastAsia="Calibri"/>
                <w:sz w:val="20"/>
              </w:rPr>
              <w:t>Lutex</w:t>
            </w:r>
            <w:proofErr w:type="spellEnd"/>
            <w:r w:rsidRPr="006A1AC2">
              <w:rPr>
                <w:rFonts w:eastAsia="Calibri"/>
                <w:sz w:val="20"/>
              </w:rPr>
              <w:t xml:space="preserve"> did calculate taxes however, and the difference became apparent in 2008 as to the amount of the account. Thinking that </w:t>
            </w:r>
            <w:proofErr w:type="spellStart"/>
            <w:r w:rsidRPr="006A1AC2">
              <w:rPr>
                <w:rFonts w:eastAsia="Calibri"/>
                <w:sz w:val="20"/>
              </w:rPr>
              <w:t>Lutex</w:t>
            </w:r>
            <w:proofErr w:type="spellEnd"/>
            <w:r w:rsidRPr="006A1AC2">
              <w:rPr>
                <w:rFonts w:eastAsia="Calibri"/>
                <w:sz w:val="20"/>
              </w:rPr>
              <w:t xml:space="preserve"> owed him the 3 265 $ that they had wrongly applied on </w:t>
            </w:r>
            <w:proofErr w:type="gramStart"/>
            <w:r w:rsidRPr="006A1AC2">
              <w:rPr>
                <w:rFonts w:eastAsia="Calibri"/>
                <w:sz w:val="20"/>
              </w:rPr>
              <w:t>taxes,</w:t>
            </w:r>
            <w:proofErr w:type="gramEnd"/>
            <w:r w:rsidRPr="006A1AC2">
              <w:rPr>
                <w:rFonts w:eastAsia="Calibri"/>
                <w:sz w:val="20"/>
              </w:rPr>
              <w:t xml:space="preserve"> Mr. </w:t>
            </w:r>
            <w:proofErr w:type="spellStart"/>
            <w:r w:rsidRPr="006A1AC2">
              <w:rPr>
                <w:rFonts w:eastAsia="Calibri"/>
                <w:sz w:val="20"/>
              </w:rPr>
              <w:t>Byer</w:t>
            </w:r>
            <w:proofErr w:type="spellEnd"/>
            <w:r w:rsidRPr="006A1AC2">
              <w:rPr>
                <w:rFonts w:eastAsia="Calibri"/>
                <w:sz w:val="20"/>
              </w:rPr>
              <w:t xml:space="preserve"> stopped making his monthly payments. </w:t>
            </w:r>
            <w:proofErr w:type="spellStart"/>
            <w:r w:rsidRPr="006A1AC2">
              <w:rPr>
                <w:rFonts w:eastAsia="Calibri"/>
                <w:sz w:val="20"/>
              </w:rPr>
              <w:t>Lutex</w:t>
            </w:r>
            <w:proofErr w:type="spellEnd"/>
            <w:r w:rsidRPr="006A1AC2">
              <w:rPr>
                <w:rFonts w:eastAsia="Calibri"/>
                <w:sz w:val="20"/>
              </w:rPr>
              <w:t xml:space="preserve"> claimed the ownership of the vehicle as a consequence of </w:t>
            </w:r>
            <w:proofErr w:type="spellStart"/>
            <w:r w:rsidRPr="006A1AC2">
              <w:rPr>
                <w:rFonts w:eastAsia="Calibri"/>
                <w:sz w:val="20"/>
              </w:rPr>
              <w:t>Byer’s</w:t>
            </w:r>
            <w:proofErr w:type="spellEnd"/>
            <w:r w:rsidRPr="006A1AC2">
              <w:rPr>
                <w:rFonts w:eastAsia="Calibri"/>
                <w:sz w:val="20"/>
              </w:rPr>
              <w:t xml:space="preserve"> default; they asked that the amount still outstanding be reduced from the amount of the sale of the car.</w:t>
            </w:r>
          </w:p>
        </w:tc>
      </w:tr>
    </w:tbl>
    <w:p w:rsidR="000419CE" w:rsidRDefault="000419CE" w:rsidP="000419CE"/>
    <w:tbl>
      <w:tblPr>
        <w:tblW w:w="4952" w:type="pct"/>
        <w:tblLayout w:type="fixed"/>
        <w:tblCellMar>
          <w:left w:w="0" w:type="dxa"/>
          <w:bottom w:w="99" w:type="dxa"/>
          <w:right w:w="0" w:type="dxa"/>
        </w:tblCellMar>
        <w:tblLook w:val="04A0"/>
      </w:tblPr>
      <w:tblGrid>
        <w:gridCol w:w="4624"/>
        <w:gridCol w:w="463"/>
        <w:gridCol w:w="4440"/>
      </w:tblGrid>
      <w:tr w:rsidR="000419CE" w:rsidRPr="006A1AC2" w:rsidTr="000419CE">
        <w:trPr>
          <w:cantSplit/>
        </w:trPr>
        <w:tc>
          <w:tcPr>
            <w:tcW w:w="2427" w:type="pct"/>
          </w:tcPr>
          <w:p w:rsidR="000419CE" w:rsidRPr="006A1AC2" w:rsidRDefault="000419CE" w:rsidP="000419CE">
            <w:pPr>
              <w:jc w:val="both"/>
              <w:rPr>
                <w:rFonts w:eastAsia="Calibri"/>
                <w:sz w:val="20"/>
              </w:rPr>
            </w:pPr>
            <w:r w:rsidRPr="006A1AC2">
              <w:rPr>
                <w:rFonts w:eastAsia="Calibri"/>
                <w:sz w:val="20"/>
              </w:rPr>
              <w:t>February 24, 2010</w:t>
            </w:r>
          </w:p>
          <w:p w:rsidR="000419CE" w:rsidRPr="006A1AC2" w:rsidRDefault="000419CE" w:rsidP="000419CE">
            <w:pPr>
              <w:jc w:val="both"/>
              <w:rPr>
                <w:rFonts w:eastAsia="Calibri"/>
                <w:sz w:val="20"/>
              </w:rPr>
            </w:pPr>
            <w:r w:rsidRPr="006A1AC2">
              <w:rPr>
                <w:rFonts w:eastAsia="Calibri"/>
                <w:sz w:val="20"/>
              </w:rPr>
              <w:t>Court of Quebec (</w:t>
            </w:r>
            <w:proofErr w:type="spellStart"/>
            <w:r w:rsidRPr="006A1AC2">
              <w:rPr>
                <w:rFonts w:eastAsia="Calibri"/>
                <w:sz w:val="20"/>
              </w:rPr>
              <w:t>Lareau</w:t>
            </w:r>
            <w:proofErr w:type="spellEnd"/>
            <w:r w:rsidRPr="006A1AC2">
              <w:rPr>
                <w:rFonts w:eastAsia="Calibri"/>
                <w:sz w:val="20"/>
              </w:rPr>
              <w:t xml:space="preserve"> J.)</w:t>
            </w:r>
          </w:p>
          <w:p w:rsidR="000419CE" w:rsidRPr="006A1AC2" w:rsidRDefault="000419CE" w:rsidP="00CE303C">
            <w:pPr>
              <w:jc w:val="both"/>
              <w:rPr>
                <w:rFonts w:eastAsia="Calibri"/>
                <w:sz w:val="20"/>
              </w:rPr>
            </w:pPr>
            <w:r w:rsidRPr="006A1AC2">
              <w:rPr>
                <w:rFonts w:eastAsia="Calibri"/>
                <w:sz w:val="20"/>
              </w:rPr>
              <w:t>Neutral citation: 2010 QCCQ 1958</w:t>
            </w:r>
          </w:p>
        </w:tc>
        <w:tc>
          <w:tcPr>
            <w:tcW w:w="243" w:type="pct"/>
          </w:tcPr>
          <w:p w:rsidR="000419CE" w:rsidRDefault="000419CE" w:rsidP="000419CE">
            <w:pPr>
              <w:jc w:val="both"/>
              <w:rPr>
                <w:rFonts w:eastAsia="Calibri"/>
                <w:sz w:val="20"/>
              </w:rPr>
            </w:pPr>
          </w:p>
          <w:p w:rsidR="00CE303C" w:rsidRDefault="00CE303C" w:rsidP="000419CE">
            <w:pPr>
              <w:jc w:val="both"/>
              <w:rPr>
                <w:rFonts w:eastAsia="Calibri"/>
                <w:sz w:val="20"/>
              </w:rPr>
            </w:pPr>
          </w:p>
          <w:p w:rsidR="00CE303C" w:rsidRDefault="00CE303C" w:rsidP="000419CE">
            <w:pPr>
              <w:jc w:val="both"/>
              <w:rPr>
                <w:rFonts w:eastAsia="Calibri"/>
                <w:sz w:val="20"/>
              </w:rPr>
            </w:pPr>
          </w:p>
          <w:p w:rsidR="00CE303C" w:rsidRPr="006A1AC2" w:rsidRDefault="00CE303C" w:rsidP="000419CE">
            <w:pPr>
              <w:jc w:val="both"/>
              <w:rPr>
                <w:rFonts w:eastAsia="Calibri"/>
                <w:sz w:val="20"/>
              </w:rPr>
            </w:pPr>
          </w:p>
        </w:tc>
        <w:tc>
          <w:tcPr>
            <w:tcW w:w="2330" w:type="pct"/>
          </w:tcPr>
          <w:p w:rsidR="000419CE" w:rsidRPr="006A1AC2" w:rsidRDefault="000419CE" w:rsidP="000419CE">
            <w:pPr>
              <w:jc w:val="both"/>
              <w:rPr>
                <w:rFonts w:eastAsia="Calibri"/>
                <w:sz w:val="20"/>
              </w:rPr>
            </w:pPr>
            <w:r w:rsidRPr="006A1AC2">
              <w:rPr>
                <w:rFonts w:eastAsia="Calibri"/>
                <w:sz w:val="20"/>
              </w:rPr>
              <w:t xml:space="preserve">Respondent’s claim granted </w:t>
            </w:r>
          </w:p>
        </w:tc>
      </w:tr>
      <w:tr w:rsidR="000419CE" w:rsidRPr="006A1AC2" w:rsidTr="000419CE">
        <w:trPr>
          <w:cantSplit/>
        </w:trPr>
        <w:tc>
          <w:tcPr>
            <w:tcW w:w="2427" w:type="pct"/>
          </w:tcPr>
          <w:p w:rsidR="000419CE" w:rsidRPr="006A1AC2" w:rsidRDefault="000419CE" w:rsidP="000419CE">
            <w:pPr>
              <w:jc w:val="both"/>
              <w:rPr>
                <w:rFonts w:eastAsia="Calibri"/>
                <w:sz w:val="20"/>
              </w:rPr>
            </w:pPr>
            <w:r w:rsidRPr="006A1AC2">
              <w:rPr>
                <w:rFonts w:eastAsia="Calibri"/>
                <w:sz w:val="20"/>
              </w:rPr>
              <w:t>May 3, 2010</w:t>
            </w:r>
          </w:p>
          <w:p w:rsidR="000419CE" w:rsidRPr="006A1AC2" w:rsidRDefault="000419CE" w:rsidP="000419CE">
            <w:pPr>
              <w:jc w:val="both"/>
              <w:rPr>
                <w:rFonts w:eastAsia="Calibri"/>
                <w:sz w:val="20"/>
              </w:rPr>
            </w:pPr>
            <w:r w:rsidRPr="006A1AC2">
              <w:rPr>
                <w:rFonts w:eastAsia="Calibri"/>
                <w:sz w:val="20"/>
              </w:rPr>
              <w:t>Court of Appeal of Quebec (Montréal)</w:t>
            </w:r>
          </w:p>
          <w:p w:rsidR="000419CE" w:rsidRPr="006A1AC2" w:rsidRDefault="000419CE" w:rsidP="000419CE">
            <w:pPr>
              <w:jc w:val="both"/>
              <w:rPr>
                <w:rFonts w:eastAsia="Calibri"/>
                <w:sz w:val="20"/>
                <w:lang w:val="fr-CA"/>
              </w:rPr>
            </w:pPr>
            <w:r w:rsidRPr="006A1AC2">
              <w:rPr>
                <w:rFonts w:eastAsia="Calibri"/>
                <w:sz w:val="20"/>
                <w:lang w:val="fr-CA"/>
              </w:rPr>
              <w:t>(Chamberland, Doyon and Léger JJ.)</w:t>
            </w:r>
          </w:p>
          <w:p w:rsidR="000419CE" w:rsidRPr="006A1AC2" w:rsidRDefault="000419CE" w:rsidP="00CE303C">
            <w:pPr>
              <w:jc w:val="both"/>
              <w:rPr>
                <w:rFonts w:eastAsia="Calibri"/>
                <w:sz w:val="20"/>
                <w:lang w:val="fr-CA"/>
              </w:rPr>
            </w:pPr>
            <w:r w:rsidRPr="006A1AC2">
              <w:rPr>
                <w:rFonts w:eastAsia="Calibri"/>
                <w:sz w:val="20"/>
              </w:rPr>
              <w:t>Neutral citation: 2010 QCCA 901</w:t>
            </w:r>
          </w:p>
        </w:tc>
        <w:tc>
          <w:tcPr>
            <w:tcW w:w="243" w:type="pct"/>
          </w:tcPr>
          <w:p w:rsidR="000419CE" w:rsidRDefault="000419CE" w:rsidP="000419CE">
            <w:pPr>
              <w:jc w:val="both"/>
              <w:rPr>
                <w:rFonts w:eastAsia="Calibri"/>
                <w:sz w:val="20"/>
                <w:lang w:val="fr-CA"/>
              </w:rPr>
            </w:pPr>
          </w:p>
          <w:p w:rsidR="00CE303C" w:rsidRDefault="00CE303C" w:rsidP="000419CE">
            <w:pPr>
              <w:jc w:val="both"/>
              <w:rPr>
                <w:rFonts w:eastAsia="Calibri"/>
                <w:sz w:val="20"/>
                <w:lang w:val="fr-CA"/>
              </w:rPr>
            </w:pPr>
          </w:p>
          <w:p w:rsidR="00CE303C" w:rsidRDefault="00CE303C" w:rsidP="000419CE">
            <w:pPr>
              <w:jc w:val="both"/>
              <w:rPr>
                <w:rFonts w:eastAsia="Calibri"/>
                <w:sz w:val="20"/>
                <w:lang w:val="fr-CA"/>
              </w:rPr>
            </w:pPr>
          </w:p>
          <w:p w:rsidR="00CE303C" w:rsidRDefault="00CE303C" w:rsidP="000419CE">
            <w:pPr>
              <w:jc w:val="both"/>
              <w:rPr>
                <w:rFonts w:eastAsia="Calibri"/>
                <w:sz w:val="20"/>
                <w:lang w:val="fr-CA"/>
              </w:rPr>
            </w:pPr>
          </w:p>
          <w:p w:rsidR="00CE303C" w:rsidRPr="006A1AC2" w:rsidRDefault="00CE303C" w:rsidP="000419CE">
            <w:pPr>
              <w:jc w:val="both"/>
              <w:rPr>
                <w:rFonts w:eastAsia="Calibri"/>
                <w:sz w:val="20"/>
                <w:lang w:val="fr-CA"/>
              </w:rPr>
            </w:pPr>
          </w:p>
        </w:tc>
        <w:tc>
          <w:tcPr>
            <w:tcW w:w="2330" w:type="pct"/>
          </w:tcPr>
          <w:p w:rsidR="000419CE" w:rsidRPr="006A1AC2" w:rsidRDefault="000419CE" w:rsidP="000419CE">
            <w:pPr>
              <w:jc w:val="both"/>
              <w:rPr>
                <w:rFonts w:eastAsia="Calibri"/>
                <w:sz w:val="20"/>
              </w:rPr>
            </w:pPr>
            <w:r w:rsidRPr="006A1AC2">
              <w:rPr>
                <w:rFonts w:eastAsia="Calibri"/>
                <w:sz w:val="20"/>
              </w:rPr>
              <w:t>Appeal dismissed.</w:t>
            </w:r>
          </w:p>
        </w:tc>
      </w:tr>
      <w:tr w:rsidR="000419CE" w:rsidRPr="006A1AC2" w:rsidTr="000419CE">
        <w:trPr>
          <w:cantSplit/>
        </w:trPr>
        <w:tc>
          <w:tcPr>
            <w:tcW w:w="2427" w:type="pct"/>
          </w:tcPr>
          <w:p w:rsidR="000419CE" w:rsidRPr="006A1AC2" w:rsidRDefault="000419CE" w:rsidP="000419CE">
            <w:pPr>
              <w:jc w:val="both"/>
              <w:rPr>
                <w:rFonts w:eastAsia="Calibri"/>
                <w:sz w:val="20"/>
              </w:rPr>
            </w:pPr>
            <w:r w:rsidRPr="006A1AC2">
              <w:rPr>
                <w:rFonts w:eastAsia="Calibri"/>
                <w:sz w:val="20"/>
              </w:rPr>
              <w:t>August 10, 2010</w:t>
            </w:r>
          </w:p>
          <w:p w:rsidR="000419CE" w:rsidRPr="006A1AC2" w:rsidRDefault="000419CE" w:rsidP="000419CE">
            <w:pPr>
              <w:jc w:val="both"/>
              <w:rPr>
                <w:rFonts w:eastAsia="Calibri"/>
                <w:sz w:val="20"/>
              </w:rPr>
            </w:pPr>
            <w:r w:rsidRPr="006A1AC2">
              <w:rPr>
                <w:rFonts w:eastAsia="Calibri"/>
                <w:sz w:val="20"/>
              </w:rPr>
              <w:t>Supreme Court of Canada</w:t>
            </w:r>
          </w:p>
        </w:tc>
        <w:tc>
          <w:tcPr>
            <w:tcW w:w="243" w:type="pct"/>
          </w:tcPr>
          <w:p w:rsidR="000419CE" w:rsidRPr="006A1AC2" w:rsidRDefault="000419CE" w:rsidP="000419CE">
            <w:pPr>
              <w:jc w:val="both"/>
              <w:rPr>
                <w:rFonts w:eastAsia="Calibri"/>
                <w:sz w:val="20"/>
              </w:rPr>
            </w:pPr>
          </w:p>
        </w:tc>
        <w:tc>
          <w:tcPr>
            <w:tcW w:w="2330" w:type="pct"/>
          </w:tcPr>
          <w:p w:rsidR="000419CE" w:rsidRPr="006A1AC2" w:rsidRDefault="000419CE" w:rsidP="000419CE">
            <w:pPr>
              <w:jc w:val="both"/>
              <w:rPr>
                <w:rFonts w:eastAsia="Calibri"/>
                <w:sz w:val="20"/>
              </w:rPr>
            </w:pPr>
            <w:r w:rsidRPr="006A1AC2">
              <w:rPr>
                <w:rFonts w:eastAsia="Calibri"/>
                <w:sz w:val="20"/>
              </w:rPr>
              <w:t>Application for leave to appeal filed</w:t>
            </w:r>
          </w:p>
          <w:p w:rsidR="000419CE" w:rsidRPr="006A1AC2" w:rsidRDefault="000419CE" w:rsidP="000419CE">
            <w:pPr>
              <w:jc w:val="both"/>
              <w:rPr>
                <w:rFonts w:eastAsia="Calibri"/>
                <w:sz w:val="20"/>
              </w:rPr>
            </w:pPr>
          </w:p>
        </w:tc>
      </w:tr>
    </w:tbl>
    <w:p w:rsidR="000419CE" w:rsidRDefault="000419CE" w:rsidP="00331157">
      <w:pPr>
        <w:keepNext/>
        <w:rPr>
          <w:sz w:val="20"/>
          <w:szCs w:val="20"/>
        </w:rPr>
      </w:pPr>
    </w:p>
    <w:p w:rsidR="00331157" w:rsidRPr="00C50A5C" w:rsidRDefault="003E770A" w:rsidP="00331157">
      <w:pPr>
        <w:rPr>
          <w:sz w:val="20"/>
          <w:szCs w:val="20"/>
        </w:rPr>
      </w:pPr>
      <w:r w:rsidRPr="003E770A">
        <w:rPr>
          <w:sz w:val="20"/>
          <w:szCs w:val="20"/>
          <w:lang w:val="fr-CA"/>
        </w:rPr>
        <w:pict>
          <v:rect id="_x0000_i1051" style="width:2in;height:1pt" o:hrpct="0" o:hralign="center" o:hrstd="t" o:hrnoshade="t" o:hr="t" fillcolor="black [3213]" stroked="f"/>
        </w:pict>
      </w:r>
    </w:p>
    <w:p w:rsidR="00331157" w:rsidRPr="00C50A5C" w:rsidRDefault="00331157" w:rsidP="00331157">
      <w:pPr>
        <w:rPr>
          <w:sz w:val="20"/>
          <w:szCs w:val="20"/>
        </w:rPr>
      </w:pPr>
    </w:p>
    <w:p w:rsidR="00331157" w:rsidRPr="00C50A5C" w:rsidRDefault="00331157" w:rsidP="00331157">
      <w:pPr>
        <w:keepNext/>
        <w:rPr>
          <w:sz w:val="20"/>
          <w:szCs w:val="20"/>
          <w:u w:val="single"/>
          <w:lang w:val="fr-CA"/>
        </w:rPr>
      </w:pPr>
      <w:r w:rsidRPr="00C50A5C">
        <w:rPr>
          <w:sz w:val="20"/>
          <w:szCs w:val="20"/>
          <w:u w:val="single"/>
          <w:lang w:val="fr-CA"/>
        </w:rPr>
        <w:t>RÉSUMÉ DE L’AFFAIRE</w:t>
      </w:r>
    </w:p>
    <w:p w:rsidR="00331157" w:rsidRDefault="00331157" w:rsidP="00331157">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0419CE" w:rsidRPr="003B380E" w:rsidTr="000419CE">
        <w:tc>
          <w:tcPr>
            <w:tcW w:w="5000" w:type="pct"/>
          </w:tcPr>
          <w:p w:rsidR="000419CE" w:rsidRDefault="000419CE" w:rsidP="000419CE">
            <w:pPr>
              <w:jc w:val="both"/>
              <w:rPr>
                <w:rFonts w:eastAsia="Calibri"/>
                <w:sz w:val="20"/>
                <w:lang w:val="fr-CA"/>
              </w:rPr>
            </w:pPr>
            <w:r w:rsidRPr="006A1AC2">
              <w:rPr>
                <w:rFonts w:eastAsia="Calibri"/>
                <w:sz w:val="20"/>
                <w:lang w:val="fr-CA"/>
              </w:rPr>
              <w:t>Droit civil – Contrat de crédit-bail – Location de voiture à long terme avec option d’achat – Montant forfaitaire initial payé par le crédit-preneur au crédit-bailleur – Désaccord sur le caractère taxable de ce paiement – Le crédit-preneur a cessé de faire ses paiements mensuels – Le crédit-preneur revendique la propriété du bien meuble loué – Le montant forfaitaire initial imputable à un contrat de crédit-bail est-il taxable?</w:t>
            </w:r>
          </w:p>
          <w:p w:rsidR="000419CE" w:rsidRPr="006A1AC2" w:rsidRDefault="000419CE" w:rsidP="000419CE">
            <w:pPr>
              <w:jc w:val="both"/>
              <w:rPr>
                <w:rFonts w:eastAsia="Calibri"/>
                <w:sz w:val="20"/>
                <w:lang w:val="fr-CA"/>
              </w:rPr>
            </w:pPr>
          </w:p>
        </w:tc>
      </w:tr>
      <w:tr w:rsidR="000419CE" w:rsidRPr="003B380E" w:rsidTr="000419CE">
        <w:tc>
          <w:tcPr>
            <w:tcW w:w="5000" w:type="pct"/>
          </w:tcPr>
          <w:p w:rsidR="000419CE" w:rsidRPr="006A1AC2" w:rsidRDefault="000419CE" w:rsidP="000419CE">
            <w:pPr>
              <w:jc w:val="both"/>
              <w:rPr>
                <w:rFonts w:eastAsia="Calibri"/>
                <w:sz w:val="20"/>
                <w:lang w:val="fr-CA"/>
              </w:rPr>
            </w:pPr>
            <w:r w:rsidRPr="006A1AC2">
              <w:rPr>
                <w:rFonts w:eastAsia="Calibri"/>
                <w:sz w:val="20"/>
                <w:lang w:val="fr-CA"/>
              </w:rPr>
              <w:t xml:space="preserve">Le 22 mai 2003, M. </w:t>
            </w:r>
            <w:proofErr w:type="spellStart"/>
            <w:r w:rsidRPr="006A1AC2">
              <w:rPr>
                <w:rFonts w:eastAsia="Calibri"/>
                <w:sz w:val="20"/>
                <w:lang w:val="fr-CA"/>
              </w:rPr>
              <w:t>Byer</w:t>
            </w:r>
            <w:proofErr w:type="spellEnd"/>
            <w:r w:rsidRPr="006A1AC2">
              <w:rPr>
                <w:rFonts w:eastAsia="Calibri"/>
                <w:sz w:val="20"/>
                <w:lang w:val="fr-CA"/>
              </w:rPr>
              <w:t xml:space="preserve"> et </w:t>
            </w:r>
            <w:proofErr w:type="spellStart"/>
            <w:r w:rsidRPr="006A1AC2">
              <w:rPr>
                <w:rFonts w:eastAsia="Calibri"/>
                <w:sz w:val="20"/>
                <w:lang w:val="fr-CA"/>
              </w:rPr>
              <w:t>Lutex</w:t>
            </w:r>
            <w:proofErr w:type="spellEnd"/>
            <w:r w:rsidRPr="006A1AC2">
              <w:rPr>
                <w:rFonts w:eastAsia="Calibri"/>
                <w:sz w:val="20"/>
                <w:lang w:val="fr-CA"/>
              </w:rPr>
              <w:t xml:space="preserve"> ont signé un contrat de crédit-bail d’une durée de quatre ans pour une automobile. Les mensualités étaient de 686 $. Le contrat a été reconduit en 2007 pour une durée supplémentaire de deux ans. Avec son paiement initial, en mai 2005, M. </w:t>
            </w:r>
            <w:proofErr w:type="spellStart"/>
            <w:r w:rsidRPr="006A1AC2">
              <w:rPr>
                <w:rFonts w:eastAsia="Calibri"/>
                <w:sz w:val="20"/>
                <w:lang w:val="fr-CA"/>
              </w:rPr>
              <w:t>Byer</w:t>
            </w:r>
            <w:proofErr w:type="spellEnd"/>
            <w:r w:rsidRPr="006A1AC2">
              <w:rPr>
                <w:rFonts w:eastAsia="Calibri"/>
                <w:sz w:val="20"/>
                <w:lang w:val="fr-CA"/>
              </w:rPr>
              <w:t xml:space="preserve"> avait remis à </w:t>
            </w:r>
            <w:proofErr w:type="spellStart"/>
            <w:r w:rsidRPr="006A1AC2">
              <w:rPr>
                <w:rFonts w:eastAsia="Calibri"/>
                <w:sz w:val="20"/>
                <w:lang w:val="fr-CA"/>
              </w:rPr>
              <w:t>Lutex</w:t>
            </w:r>
            <w:proofErr w:type="spellEnd"/>
            <w:r w:rsidRPr="006A1AC2">
              <w:rPr>
                <w:rFonts w:eastAsia="Calibri"/>
                <w:sz w:val="20"/>
                <w:lang w:val="fr-CA"/>
              </w:rPr>
              <w:t xml:space="preserve"> un [</w:t>
            </w:r>
            <w:r w:rsidRPr="006A1AC2">
              <w:rPr>
                <w:rFonts w:eastAsia="Calibri"/>
                <w:smallCaps/>
                <w:sz w:val="20"/>
                <w:lang w:val="fr-CA"/>
              </w:rPr>
              <w:t>traduction</w:t>
            </w:r>
            <w:r w:rsidRPr="006A1AC2">
              <w:rPr>
                <w:rFonts w:eastAsia="Calibri"/>
                <w:sz w:val="20"/>
                <w:lang w:val="fr-CA"/>
              </w:rPr>
              <w:t xml:space="preserve">] « dépôt au comptant non remboursable » de 25 000 $. Selon le demandeur, ce dépôt devait être exempt de taxes. Toutefois, </w:t>
            </w:r>
            <w:proofErr w:type="spellStart"/>
            <w:r w:rsidRPr="006A1AC2">
              <w:rPr>
                <w:rFonts w:eastAsia="Calibri"/>
                <w:sz w:val="20"/>
                <w:lang w:val="fr-CA"/>
              </w:rPr>
              <w:t>Lutex</w:t>
            </w:r>
            <w:proofErr w:type="spellEnd"/>
            <w:r w:rsidRPr="006A1AC2">
              <w:rPr>
                <w:rFonts w:eastAsia="Calibri"/>
                <w:sz w:val="20"/>
                <w:lang w:val="fr-CA"/>
              </w:rPr>
              <w:t xml:space="preserve"> a calculé les taxes et la différence est devenue évidente en 2008 relativement à l’état de compte. Croyant que </w:t>
            </w:r>
            <w:proofErr w:type="spellStart"/>
            <w:r w:rsidRPr="006A1AC2">
              <w:rPr>
                <w:rFonts w:eastAsia="Calibri"/>
                <w:sz w:val="20"/>
                <w:lang w:val="fr-CA"/>
              </w:rPr>
              <w:t>Lutex</w:t>
            </w:r>
            <w:proofErr w:type="spellEnd"/>
            <w:r w:rsidRPr="006A1AC2">
              <w:rPr>
                <w:rFonts w:eastAsia="Calibri"/>
                <w:sz w:val="20"/>
                <w:lang w:val="fr-CA"/>
              </w:rPr>
              <w:t xml:space="preserve"> lui devait la somme de 3 265 $ au titre de taxes imputées à tort, M. </w:t>
            </w:r>
            <w:proofErr w:type="spellStart"/>
            <w:r w:rsidRPr="006A1AC2">
              <w:rPr>
                <w:rFonts w:eastAsia="Calibri"/>
                <w:sz w:val="20"/>
                <w:lang w:val="fr-CA"/>
              </w:rPr>
              <w:t>Byer</w:t>
            </w:r>
            <w:proofErr w:type="spellEnd"/>
            <w:r w:rsidRPr="006A1AC2">
              <w:rPr>
                <w:rFonts w:eastAsia="Calibri"/>
                <w:sz w:val="20"/>
                <w:lang w:val="fr-CA"/>
              </w:rPr>
              <w:t xml:space="preserve"> a cessé de payer ses mensualités. </w:t>
            </w:r>
            <w:proofErr w:type="spellStart"/>
            <w:r w:rsidRPr="006A1AC2">
              <w:rPr>
                <w:rFonts w:eastAsia="Calibri"/>
                <w:sz w:val="20"/>
                <w:lang w:val="fr-CA"/>
              </w:rPr>
              <w:t>Lutex</w:t>
            </w:r>
            <w:proofErr w:type="spellEnd"/>
            <w:r w:rsidRPr="006A1AC2">
              <w:rPr>
                <w:rFonts w:eastAsia="Calibri"/>
                <w:sz w:val="20"/>
                <w:lang w:val="fr-CA"/>
              </w:rPr>
              <w:t xml:space="preserve"> a revendiqué la propriété du véhicule en conséquence du manquement de M. </w:t>
            </w:r>
            <w:proofErr w:type="spellStart"/>
            <w:r w:rsidRPr="006A1AC2">
              <w:rPr>
                <w:rFonts w:eastAsia="Calibri"/>
                <w:sz w:val="20"/>
                <w:lang w:val="fr-CA"/>
              </w:rPr>
              <w:t>Byer</w:t>
            </w:r>
            <w:proofErr w:type="spellEnd"/>
            <w:r w:rsidRPr="006A1AC2">
              <w:rPr>
                <w:rFonts w:eastAsia="Calibri"/>
                <w:sz w:val="20"/>
                <w:lang w:val="fr-CA"/>
              </w:rPr>
              <w:t xml:space="preserve">; </w:t>
            </w:r>
            <w:proofErr w:type="spellStart"/>
            <w:r w:rsidRPr="006A1AC2">
              <w:rPr>
                <w:rFonts w:eastAsia="Calibri"/>
                <w:sz w:val="20"/>
                <w:lang w:val="fr-CA"/>
              </w:rPr>
              <w:t>Lutex</w:t>
            </w:r>
            <w:proofErr w:type="spellEnd"/>
            <w:r w:rsidRPr="006A1AC2">
              <w:rPr>
                <w:rFonts w:eastAsia="Calibri"/>
                <w:sz w:val="20"/>
                <w:lang w:val="fr-CA"/>
              </w:rPr>
              <w:t xml:space="preserve"> a demandé que le montant en souffrance soit réduit du montant de la vente de l’automobile.</w:t>
            </w:r>
          </w:p>
        </w:tc>
      </w:tr>
    </w:tbl>
    <w:p w:rsidR="000419CE" w:rsidRPr="000419CE" w:rsidRDefault="000419CE" w:rsidP="000419CE">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0419CE" w:rsidRPr="006A1AC2" w:rsidTr="000419CE">
        <w:trPr>
          <w:cantSplit/>
        </w:trPr>
        <w:tc>
          <w:tcPr>
            <w:tcW w:w="2427" w:type="pct"/>
          </w:tcPr>
          <w:p w:rsidR="000419CE" w:rsidRPr="006A1AC2" w:rsidRDefault="000419CE" w:rsidP="000419CE">
            <w:pPr>
              <w:jc w:val="both"/>
              <w:rPr>
                <w:rFonts w:eastAsia="Calibri"/>
                <w:sz w:val="20"/>
                <w:lang w:val="fr-CA"/>
              </w:rPr>
            </w:pPr>
            <w:r w:rsidRPr="006A1AC2">
              <w:rPr>
                <w:rFonts w:eastAsia="Calibri"/>
                <w:sz w:val="20"/>
                <w:lang w:val="fr-CA"/>
              </w:rPr>
              <w:t>24 février 2010</w:t>
            </w:r>
          </w:p>
          <w:p w:rsidR="000419CE" w:rsidRPr="006A1AC2" w:rsidRDefault="000419CE" w:rsidP="000419CE">
            <w:pPr>
              <w:jc w:val="both"/>
              <w:rPr>
                <w:rFonts w:eastAsia="Calibri"/>
                <w:sz w:val="20"/>
                <w:lang w:val="fr-CA"/>
              </w:rPr>
            </w:pPr>
            <w:r w:rsidRPr="006A1AC2">
              <w:rPr>
                <w:rFonts w:eastAsia="Calibri"/>
                <w:sz w:val="20"/>
                <w:lang w:val="fr-CA"/>
              </w:rPr>
              <w:t xml:space="preserve">Cour du Québec (Juge </w:t>
            </w:r>
            <w:proofErr w:type="spellStart"/>
            <w:r w:rsidRPr="006A1AC2">
              <w:rPr>
                <w:rFonts w:eastAsia="Calibri"/>
                <w:sz w:val="20"/>
                <w:lang w:val="fr-CA"/>
              </w:rPr>
              <w:t>Lareau</w:t>
            </w:r>
            <w:proofErr w:type="spellEnd"/>
            <w:r w:rsidRPr="006A1AC2">
              <w:rPr>
                <w:rFonts w:eastAsia="Calibri"/>
                <w:sz w:val="20"/>
                <w:lang w:val="fr-CA"/>
              </w:rPr>
              <w:t>)</w:t>
            </w:r>
          </w:p>
          <w:p w:rsidR="000419CE" w:rsidRPr="006A1AC2" w:rsidRDefault="000419CE" w:rsidP="00CE303C">
            <w:pPr>
              <w:jc w:val="both"/>
              <w:rPr>
                <w:rFonts w:eastAsia="Calibri"/>
                <w:sz w:val="20"/>
                <w:lang w:val="fr-CA"/>
              </w:rPr>
            </w:pPr>
            <w:r w:rsidRPr="006A1AC2">
              <w:rPr>
                <w:rFonts w:eastAsia="Calibri"/>
                <w:sz w:val="20"/>
                <w:lang w:val="fr-CA"/>
              </w:rPr>
              <w:t>Référence neutre : 2010 QCCQ 1958</w:t>
            </w:r>
          </w:p>
        </w:tc>
        <w:tc>
          <w:tcPr>
            <w:tcW w:w="243" w:type="pct"/>
          </w:tcPr>
          <w:p w:rsidR="000419CE" w:rsidRDefault="000419CE" w:rsidP="000419CE">
            <w:pPr>
              <w:jc w:val="both"/>
              <w:rPr>
                <w:rFonts w:eastAsia="Calibri"/>
                <w:sz w:val="20"/>
                <w:lang w:val="fr-CA"/>
              </w:rPr>
            </w:pPr>
          </w:p>
          <w:p w:rsidR="00CE303C" w:rsidRDefault="00CE303C" w:rsidP="000419CE">
            <w:pPr>
              <w:jc w:val="both"/>
              <w:rPr>
                <w:rFonts w:eastAsia="Calibri"/>
                <w:sz w:val="20"/>
                <w:lang w:val="fr-CA"/>
              </w:rPr>
            </w:pPr>
          </w:p>
          <w:p w:rsidR="00CE303C" w:rsidRDefault="00CE303C" w:rsidP="000419CE">
            <w:pPr>
              <w:jc w:val="both"/>
              <w:rPr>
                <w:rFonts w:eastAsia="Calibri"/>
                <w:sz w:val="20"/>
                <w:lang w:val="fr-CA"/>
              </w:rPr>
            </w:pPr>
          </w:p>
          <w:p w:rsidR="00CE303C" w:rsidRPr="006A1AC2" w:rsidRDefault="00CE303C" w:rsidP="000419CE">
            <w:pPr>
              <w:jc w:val="both"/>
              <w:rPr>
                <w:rFonts w:eastAsia="Calibri"/>
                <w:sz w:val="20"/>
                <w:lang w:val="fr-CA"/>
              </w:rPr>
            </w:pPr>
          </w:p>
        </w:tc>
        <w:tc>
          <w:tcPr>
            <w:tcW w:w="2330" w:type="pct"/>
          </w:tcPr>
          <w:p w:rsidR="000419CE" w:rsidRPr="006A1AC2" w:rsidRDefault="000419CE" w:rsidP="000419CE">
            <w:pPr>
              <w:jc w:val="both"/>
              <w:rPr>
                <w:rFonts w:eastAsia="Calibri"/>
                <w:sz w:val="20"/>
                <w:lang w:val="fr-CA"/>
              </w:rPr>
            </w:pPr>
            <w:r w:rsidRPr="006A1AC2">
              <w:rPr>
                <w:rFonts w:eastAsia="Calibri"/>
                <w:sz w:val="20"/>
                <w:lang w:val="fr-CA"/>
              </w:rPr>
              <w:t xml:space="preserve">Demande de l’intimée, accueillie </w:t>
            </w:r>
          </w:p>
        </w:tc>
      </w:tr>
      <w:tr w:rsidR="000419CE" w:rsidRPr="006A1AC2" w:rsidTr="000419CE">
        <w:trPr>
          <w:cantSplit/>
        </w:trPr>
        <w:tc>
          <w:tcPr>
            <w:tcW w:w="2427" w:type="pct"/>
          </w:tcPr>
          <w:p w:rsidR="000419CE" w:rsidRPr="006A1AC2" w:rsidRDefault="000419CE" w:rsidP="000419CE">
            <w:pPr>
              <w:jc w:val="both"/>
              <w:rPr>
                <w:rFonts w:eastAsia="Calibri"/>
                <w:sz w:val="20"/>
                <w:lang w:val="fr-CA"/>
              </w:rPr>
            </w:pPr>
            <w:r w:rsidRPr="006A1AC2">
              <w:rPr>
                <w:rFonts w:eastAsia="Calibri"/>
                <w:sz w:val="20"/>
                <w:lang w:val="fr-CA"/>
              </w:rPr>
              <w:t>3 mai 2010</w:t>
            </w:r>
          </w:p>
          <w:p w:rsidR="000419CE" w:rsidRPr="006A1AC2" w:rsidRDefault="000419CE" w:rsidP="000419CE">
            <w:pPr>
              <w:jc w:val="both"/>
              <w:rPr>
                <w:rFonts w:eastAsia="Calibri"/>
                <w:sz w:val="20"/>
                <w:lang w:val="fr-CA"/>
              </w:rPr>
            </w:pPr>
            <w:r w:rsidRPr="006A1AC2">
              <w:rPr>
                <w:rFonts w:eastAsia="Calibri"/>
                <w:sz w:val="20"/>
                <w:lang w:val="fr-CA"/>
              </w:rPr>
              <w:t>Cour d’appel du Québec (Montréal)</w:t>
            </w:r>
          </w:p>
          <w:p w:rsidR="000419CE" w:rsidRPr="006A1AC2" w:rsidRDefault="000419CE" w:rsidP="000419CE">
            <w:pPr>
              <w:jc w:val="both"/>
              <w:rPr>
                <w:rFonts w:eastAsia="Calibri"/>
                <w:sz w:val="20"/>
                <w:lang w:val="fr-CA"/>
              </w:rPr>
            </w:pPr>
            <w:r w:rsidRPr="006A1AC2">
              <w:rPr>
                <w:rFonts w:eastAsia="Calibri"/>
                <w:sz w:val="20"/>
                <w:lang w:val="fr-CA"/>
              </w:rPr>
              <w:t>(Juges Chamberland, Doyon et Léger)</w:t>
            </w:r>
          </w:p>
          <w:p w:rsidR="000419CE" w:rsidRPr="006A1AC2" w:rsidRDefault="000419CE" w:rsidP="00CE303C">
            <w:pPr>
              <w:jc w:val="both"/>
              <w:rPr>
                <w:rFonts w:eastAsia="Calibri"/>
                <w:sz w:val="20"/>
                <w:lang w:val="fr-CA"/>
              </w:rPr>
            </w:pPr>
            <w:r w:rsidRPr="006A1AC2">
              <w:rPr>
                <w:rFonts w:eastAsia="Calibri"/>
                <w:sz w:val="20"/>
                <w:lang w:val="fr-CA"/>
              </w:rPr>
              <w:t>Référence neutre : 2010 QCCA 901</w:t>
            </w:r>
          </w:p>
        </w:tc>
        <w:tc>
          <w:tcPr>
            <w:tcW w:w="243" w:type="pct"/>
          </w:tcPr>
          <w:p w:rsidR="000419CE" w:rsidRDefault="000419CE" w:rsidP="000419CE">
            <w:pPr>
              <w:jc w:val="both"/>
              <w:rPr>
                <w:rFonts w:eastAsia="Calibri"/>
                <w:sz w:val="20"/>
                <w:lang w:val="fr-CA"/>
              </w:rPr>
            </w:pPr>
          </w:p>
          <w:p w:rsidR="00CE303C" w:rsidRDefault="00CE303C" w:rsidP="000419CE">
            <w:pPr>
              <w:jc w:val="both"/>
              <w:rPr>
                <w:rFonts w:eastAsia="Calibri"/>
                <w:sz w:val="20"/>
                <w:lang w:val="fr-CA"/>
              </w:rPr>
            </w:pPr>
          </w:p>
          <w:p w:rsidR="00CE303C" w:rsidRDefault="00CE303C" w:rsidP="000419CE">
            <w:pPr>
              <w:jc w:val="both"/>
              <w:rPr>
                <w:rFonts w:eastAsia="Calibri"/>
                <w:sz w:val="20"/>
                <w:lang w:val="fr-CA"/>
              </w:rPr>
            </w:pPr>
          </w:p>
          <w:p w:rsidR="00CE303C" w:rsidRDefault="00CE303C" w:rsidP="000419CE">
            <w:pPr>
              <w:jc w:val="both"/>
              <w:rPr>
                <w:rFonts w:eastAsia="Calibri"/>
                <w:sz w:val="20"/>
                <w:lang w:val="fr-CA"/>
              </w:rPr>
            </w:pPr>
          </w:p>
          <w:p w:rsidR="00CE303C" w:rsidRPr="006A1AC2" w:rsidRDefault="00CE303C" w:rsidP="000419CE">
            <w:pPr>
              <w:jc w:val="both"/>
              <w:rPr>
                <w:rFonts w:eastAsia="Calibri"/>
                <w:sz w:val="20"/>
                <w:lang w:val="fr-CA"/>
              </w:rPr>
            </w:pPr>
          </w:p>
        </w:tc>
        <w:tc>
          <w:tcPr>
            <w:tcW w:w="2330" w:type="pct"/>
          </w:tcPr>
          <w:p w:rsidR="000419CE" w:rsidRPr="006A1AC2" w:rsidRDefault="000419CE" w:rsidP="000419CE">
            <w:pPr>
              <w:jc w:val="both"/>
              <w:rPr>
                <w:rFonts w:eastAsia="Calibri"/>
                <w:sz w:val="20"/>
                <w:lang w:val="fr-CA"/>
              </w:rPr>
            </w:pPr>
            <w:r w:rsidRPr="006A1AC2">
              <w:rPr>
                <w:rFonts w:eastAsia="Calibri"/>
                <w:sz w:val="20"/>
                <w:lang w:val="fr-CA"/>
              </w:rPr>
              <w:t>Appel rejeté</w:t>
            </w:r>
          </w:p>
        </w:tc>
      </w:tr>
    </w:tbl>
    <w:p w:rsidR="005A14DB" w:rsidRDefault="005A14DB"/>
    <w:p w:rsidR="005A14DB" w:rsidRDefault="005A14DB">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0419CE" w:rsidRPr="006A1AC2" w:rsidTr="000419CE">
        <w:trPr>
          <w:cantSplit/>
        </w:trPr>
        <w:tc>
          <w:tcPr>
            <w:tcW w:w="2427" w:type="pct"/>
          </w:tcPr>
          <w:p w:rsidR="000419CE" w:rsidRPr="006A1AC2" w:rsidRDefault="000419CE" w:rsidP="000419CE">
            <w:pPr>
              <w:jc w:val="both"/>
              <w:rPr>
                <w:rFonts w:eastAsia="Calibri"/>
                <w:sz w:val="20"/>
                <w:lang w:val="fr-CA"/>
              </w:rPr>
            </w:pPr>
            <w:r w:rsidRPr="006A1AC2">
              <w:rPr>
                <w:rFonts w:eastAsia="Calibri"/>
                <w:sz w:val="20"/>
                <w:lang w:val="fr-CA"/>
              </w:rPr>
              <w:lastRenderedPageBreak/>
              <w:t>10 août 2010</w:t>
            </w:r>
          </w:p>
          <w:p w:rsidR="000419CE" w:rsidRPr="006A1AC2" w:rsidRDefault="000419CE" w:rsidP="000419CE">
            <w:pPr>
              <w:jc w:val="both"/>
              <w:rPr>
                <w:rFonts w:eastAsia="Calibri"/>
                <w:sz w:val="20"/>
                <w:lang w:val="fr-CA"/>
              </w:rPr>
            </w:pPr>
            <w:r w:rsidRPr="006A1AC2">
              <w:rPr>
                <w:rFonts w:eastAsia="Calibri"/>
                <w:sz w:val="20"/>
                <w:lang w:val="fr-CA"/>
              </w:rPr>
              <w:t>Cour suprême du Canada</w:t>
            </w:r>
          </w:p>
        </w:tc>
        <w:tc>
          <w:tcPr>
            <w:tcW w:w="243" w:type="pct"/>
          </w:tcPr>
          <w:p w:rsidR="000419CE" w:rsidRPr="006A1AC2" w:rsidRDefault="000419CE" w:rsidP="000419CE">
            <w:pPr>
              <w:jc w:val="both"/>
              <w:rPr>
                <w:rFonts w:eastAsia="Calibri"/>
                <w:sz w:val="20"/>
                <w:lang w:val="fr-CA"/>
              </w:rPr>
            </w:pPr>
          </w:p>
        </w:tc>
        <w:tc>
          <w:tcPr>
            <w:tcW w:w="2330" w:type="pct"/>
          </w:tcPr>
          <w:p w:rsidR="000419CE" w:rsidRPr="006A1AC2" w:rsidRDefault="000419CE" w:rsidP="000419CE">
            <w:pPr>
              <w:jc w:val="both"/>
              <w:rPr>
                <w:rFonts w:eastAsia="Calibri"/>
                <w:sz w:val="20"/>
                <w:lang w:val="fr-CA"/>
              </w:rPr>
            </w:pPr>
            <w:r w:rsidRPr="006A1AC2">
              <w:rPr>
                <w:rFonts w:eastAsia="Calibri"/>
                <w:sz w:val="20"/>
                <w:lang w:val="fr-CA"/>
              </w:rPr>
              <w:t>Demande d’autorisation d’appel, déposée</w:t>
            </w:r>
          </w:p>
          <w:p w:rsidR="000419CE" w:rsidRPr="006A1AC2" w:rsidRDefault="000419CE" w:rsidP="000419CE">
            <w:pPr>
              <w:jc w:val="both"/>
              <w:rPr>
                <w:rFonts w:eastAsia="Calibri"/>
                <w:sz w:val="20"/>
                <w:lang w:val="fr-CA"/>
              </w:rPr>
            </w:pPr>
          </w:p>
        </w:tc>
      </w:tr>
    </w:tbl>
    <w:p w:rsidR="000419CE" w:rsidRDefault="000419CE" w:rsidP="00331157">
      <w:pPr>
        <w:keepNext/>
        <w:rPr>
          <w:sz w:val="20"/>
          <w:szCs w:val="20"/>
          <w:lang w:val="fr-CA"/>
        </w:rPr>
      </w:pPr>
    </w:p>
    <w:p w:rsidR="00331157" w:rsidRDefault="003E770A" w:rsidP="00331157">
      <w:pPr>
        <w:keepNext/>
        <w:rPr>
          <w:sz w:val="20"/>
          <w:szCs w:val="20"/>
          <w:lang w:val="fr-CA"/>
        </w:rPr>
      </w:pPr>
      <w:r w:rsidRPr="003E770A">
        <w:rPr>
          <w:sz w:val="20"/>
          <w:szCs w:val="20"/>
          <w:lang w:val="fr-CA"/>
        </w:rPr>
        <w:pict>
          <v:rect id="_x0000_i1052" style="width:2in;height:1pt" o:hrpct="0" o:hralign="center" o:hrstd="t" o:hrnoshade="t" o:hr="t" fillcolor="black [3213]" stroked="f"/>
        </w:pict>
      </w:r>
    </w:p>
    <w:p w:rsidR="00AD2D4D" w:rsidRDefault="00AD2D4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3B380E" w:rsidTr="00F94A8D">
        <w:trPr>
          <w:cantSplit/>
        </w:trPr>
        <w:tc>
          <w:tcPr>
            <w:tcW w:w="1458" w:type="dxa"/>
          </w:tcPr>
          <w:p w:rsidR="00F94A8D" w:rsidRPr="00F94A8D" w:rsidRDefault="00F94A8D" w:rsidP="00F94A8D">
            <w:pPr>
              <w:rPr>
                <w:sz w:val="20"/>
                <w:szCs w:val="20"/>
              </w:rPr>
            </w:pPr>
            <w:r w:rsidRPr="00F94A8D">
              <w:rPr>
                <w:rStyle w:val="SCCFileNumberChar"/>
                <w:sz w:val="20"/>
                <w:szCs w:val="20"/>
              </w:rPr>
              <w:t>33793</w:t>
            </w:r>
          </w:p>
          <w:p w:rsidR="00F94A8D" w:rsidRPr="00F94A8D" w:rsidRDefault="00F94A8D" w:rsidP="00F94A8D">
            <w:pPr>
              <w:rPr>
                <w:b/>
                <w:sz w:val="20"/>
                <w:szCs w:val="20"/>
                <w:lang w:val="fr-CA"/>
              </w:rPr>
            </w:pPr>
          </w:p>
        </w:tc>
        <w:tc>
          <w:tcPr>
            <w:tcW w:w="8118" w:type="dxa"/>
          </w:tcPr>
          <w:p w:rsidR="00F94A8D" w:rsidRPr="00F94A8D" w:rsidRDefault="00F94A8D" w:rsidP="00FA3B73">
            <w:pPr>
              <w:jc w:val="both"/>
              <w:rPr>
                <w:sz w:val="20"/>
                <w:szCs w:val="20"/>
                <w:lang w:val="fr-CA"/>
              </w:rPr>
            </w:pPr>
            <w:r w:rsidRPr="00F94A8D">
              <w:rPr>
                <w:rStyle w:val="SCCLsocChar"/>
                <w:sz w:val="20"/>
                <w:szCs w:val="20"/>
              </w:rPr>
              <w:t>Johan Sarrazin c. Procureure générale du Québec, Ministère de la sécurité publique et Établissement de détention de St-Jérôme</w:t>
            </w:r>
            <w:r w:rsidRPr="00F94A8D">
              <w:rPr>
                <w:sz w:val="20"/>
                <w:szCs w:val="20"/>
                <w:lang w:val="fr-CA"/>
              </w:rPr>
              <w:t xml:space="preserve"> (</w:t>
            </w:r>
            <w:proofErr w:type="spellStart"/>
            <w:r w:rsidRPr="00F94A8D">
              <w:rPr>
                <w:sz w:val="20"/>
                <w:szCs w:val="20"/>
                <w:lang w:val="fr-CA"/>
              </w:rPr>
              <w:t>Qc</w:t>
            </w:r>
            <w:proofErr w:type="spellEnd"/>
            <w:r w:rsidRPr="00F94A8D">
              <w:rPr>
                <w:sz w:val="20"/>
                <w:szCs w:val="20"/>
                <w:lang w:val="fr-CA"/>
              </w:rPr>
              <w:t>) (Civile) (Autorisation)</w:t>
            </w:r>
          </w:p>
          <w:p w:rsidR="00F94A8D" w:rsidRPr="00F94A8D" w:rsidRDefault="00F94A8D" w:rsidP="00FA3B73">
            <w:pPr>
              <w:jc w:val="both"/>
              <w:rPr>
                <w:sz w:val="20"/>
                <w:szCs w:val="20"/>
                <w:lang w:val="fr-CA"/>
              </w:rPr>
            </w:pPr>
          </w:p>
        </w:tc>
      </w:tr>
      <w:tr w:rsidR="00F94A8D" w:rsidRPr="003B380E" w:rsidTr="00F94A8D">
        <w:trPr>
          <w:cantSplit/>
        </w:trPr>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rPr>
            </w:pPr>
            <w:r w:rsidRPr="00F94A8D">
              <w:rPr>
                <w:rStyle w:val="SCCCoramChar"/>
                <w:sz w:val="20"/>
                <w:szCs w:val="20"/>
              </w:rPr>
              <w:t xml:space="preserve">Les juges </w:t>
            </w:r>
            <w:proofErr w:type="spellStart"/>
            <w:r w:rsidRPr="00F94A8D">
              <w:rPr>
                <w:rStyle w:val="SCCCoramChar"/>
                <w:sz w:val="20"/>
                <w:szCs w:val="20"/>
              </w:rPr>
              <w:t>LeBel</w:t>
            </w:r>
            <w:proofErr w:type="spellEnd"/>
            <w:r w:rsidRPr="00F94A8D">
              <w:rPr>
                <w:rStyle w:val="SCCCoramChar"/>
                <w:sz w:val="20"/>
                <w:szCs w:val="20"/>
              </w:rPr>
              <w:t>, Deschamps et Charron</w:t>
            </w:r>
          </w:p>
          <w:p w:rsidR="00F94A8D" w:rsidRPr="00F94A8D" w:rsidRDefault="00F94A8D" w:rsidP="00F94A8D">
            <w:pPr>
              <w:rPr>
                <w:sz w:val="20"/>
                <w:szCs w:val="20"/>
                <w:lang w:val="fr-CA"/>
              </w:rPr>
            </w:pPr>
          </w:p>
        </w:tc>
      </w:tr>
      <w:tr w:rsidR="00F94A8D" w:rsidRPr="00F94A8D" w:rsidTr="00F94A8D">
        <w:trPr>
          <w:cantSplit/>
        </w:trPr>
        <w:tc>
          <w:tcPr>
            <w:tcW w:w="9576" w:type="dxa"/>
            <w:gridSpan w:val="2"/>
          </w:tcPr>
          <w:p w:rsidR="00F94A8D" w:rsidRPr="00F94A8D" w:rsidRDefault="00F94A8D" w:rsidP="00F94A8D">
            <w:pPr>
              <w:jc w:val="both"/>
              <w:rPr>
                <w:sz w:val="20"/>
                <w:szCs w:val="20"/>
                <w:lang w:val="fr-CA"/>
              </w:rPr>
            </w:pPr>
            <w:r>
              <w:rPr>
                <w:sz w:val="20"/>
                <w:szCs w:val="20"/>
                <w:lang w:val="fr-CA"/>
              </w:rPr>
              <w:tab/>
            </w:r>
            <w:r w:rsidRPr="00F94A8D">
              <w:rPr>
                <w:sz w:val="20"/>
                <w:szCs w:val="20"/>
                <w:lang w:val="fr-CA"/>
              </w:rPr>
              <w:t>La demande d’autorisation d’appel de l’arrêt de la Cour d’appel du Québec (Montréal), numéro 500-09-018892-083, 2010 QCCA 996, daté du 21 mai 2010, est accordée avec dépens suivant l’issue de la cause.</w:t>
            </w:r>
          </w:p>
          <w:p w:rsidR="00F94A8D" w:rsidRPr="00F94A8D" w:rsidRDefault="00F94A8D" w:rsidP="00F94A8D">
            <w:pPr>
              <w:jc w:val="both"/>
              <w:rPr>
                <w:sz w:val="20"/>
                <w:szCs w:val="20"/>
                <w:lang w:val="fr-CA"/>
              </w:rPr>
            </w:pPr>
          </w:p>
          <w:p w:rsidR="00F94A8D" w:rsidRPr="00F94A8D" w:rsidRDefault="00F94A8D" w:rsidP="00F94A8D">
            <w:pPr>
              <w:jc w:val="both"/>
              <w:rPr>
                <w:sz w:val="20"/>
                <w:szCs w:val="20"/>
              </w:rPr>
            </w:pPr>
            <w:r w:rsidRPr="00052196">
              <w:rPr>
                <w:sz w:val="20"/>
                <w:szCs w:val="20"/>
                <w:lang w:val="fr-CA"/>
              </w:rPr>
              <w:tab/>
            </w:r>
            <w:r w:rsidRPr="00F94A8D">
              <w:rPr>
                <w:sz w:val="20"/>
                <w:szCs w:val="20"/>
              </w:rPr>
              <w:t xml:space="preserve">The application for leave to appeal from the judgment of the Court of Appeal of Quebec (Montréal), Number 500-09-018892-083, </w:t>
            </w:r>
            <w:proofErr w:type="gramStart"/>
            <w:r w:rsidRPr="00F94A8D">
              <w:rPr>
                <w:sz w:val="20"/>
                <w:szCs w:val="20"/>
              </w:rPr>
              <w:t>2010</w:t>
            </w:r>
            <w:proofErr w:type="gramEnd"/>
            <w:r w:rsidRPr="00F94A8D">
              <w:rPr>
                <w:sz w:val="20"/>
                <w:szCs w:val="20"/>
              </w:rPr>
              <w:t xml:space="preserve"> QCCA 996, dated May 21, 2010, is granted with costs in the cause.</w:t>
            </w:r>
          </w:p>
        </w:tc>
      </w:tr>
    </w:tbl>
    <w:p w:rsidR="00F94A8D" w:rsidRPr="00F94A8D" w:rsidRDefault="00F94A8D" w:rsidP="008D292F">
      <w:pPr>
        <w:rPr>
          <w:sz w:val="20"/>
          <w:szCs w:val="20"/>
        </w:rPr>
      </w:pPr>
    </w:p>
    <w:p w:rsidR="00F94A8D" w:rsidRPr="00C50A5C" w:rsidRDefault="00F94A8D" w:rsidP="00F94A8D">
      <w:pPr>
        <w:keepNext/>
        <w:rPr>
          <w:sz w:val="20"/>
          <w:szCs w:val="20"/>
        </w:rPr>
      </w:pPr>
      <w:r w:rsidRPr="00C50A5C">
        <w:rPr>
          <w:sz w:val="20"/>
          <w:szCs w:val="20"/>
          <w:u w:val="single"/>
        </w:rPr>
        <w:t>CASE SUMMARY</w:t>
      </w:r>
    </w:p>
    <w:p w:rsidR="00F94A8D" w:rsidRDefault="00F94A8D" w:rsidP="00F94A8D">
      <w:pPr>
        <w:keepNext/>
        <w:rPr>
          <w:sz w:val="20"/>
          <w:szCs w:val="20"/>
        </w:rPr>
      </w:pPr>
    </w:p>
    <w:tbl>
      <w:tblPr>
        <w:tblW w:w="4952" w:type="pct"/>
        <w:tblLayout w:type="fixed"/>
        <w:tblCellMar>
          <w:left w:w="0" w:type="dxa"/>
          <w:bottom w:w="99" w:type="dxa"/>
          <w:right w:w="0" w:type="dxa"/>
        </w:tblCellMar>
        <w:tblLook w:val="04A0"/>
      </w:tblPr>
      <w:tblGrid>
        <w:gridCol w:w="9527"/>
      </w:tblGrid>
      <w:tr w:rsidR="004D595B" w:rsidRPr="003D125F" w:rsidTr="004D595B">
        <w:tc>
          <w:tcPr>
            <w:tcW w:w="5000" w:type="pct"/>
          </w:tcPr>
          <w:p w:rsidR="004D595B" w:rsidRPr="003D125F" w:rsidRDefault="004D595B" w:rsidP="004D595B">
            <w:pPr>
              <w:jc w:val="both"/>
              <w:rPr>
                <w:rFonts w:eastAsia="Calibri"/>
                <w:sz w:val="20"/>
              </w:rPr>
            </w:pPr>
            <w:r w:rsidRPr="003D125F">
              <w:rPr>
                <w:rFonts w:eastAsia="Calibri"/>
                <w:sz w:val="20"/>
              </w:rPr>
              <w:t xml:space="preserve">Human rights - Right of confined person to be kept apart - Burden of proof where right interfered with – Accused confined with prisoners - Rumour of pedophilia followed by assault - Lengthy confinement before initial charges dropped - Action in damages - Whether accused who was assaulted while his right to be kept apart was being violated bears burden of proving, in order to obtain compensation, that that fault was cause of assault or resulting damage - Whether objective of right to be kept apart is solely dignity of accused or also safety of accused - Whether Court of Appeal erred in requiring specific evidence of intrinsic indignity - Amount of moral damages, if any - If Applicant entitled to compensatory damages for humiliation resulting from intrinsic impairment of his dignity, whether Court of Appeal erred in denying his claim for exemplary damages - </w:t>
            </w:r>
            <w:r w:rsidRPr="003D125F">
              <w:rPr>
                <w:rFonts w:eastAsia="Calibri"/>
                <w:i/>
                <w:iCs/>
                <w:sz w:val="20"/>
              </w:rPr>
              <w:t>Charter of human rights and freedoms</w:t>
            </w:r>
            <w:r w:rsidRPr="003D125F">
              <w:rPr>
                <w:rFonts w:eastAsia="Calibri"/>
                <w:sz w:val="20"/>
              </w:rPr>
              <w:t>, R.S.Q. c. C</w:t>
            </w:r>
            <w:r w:rsidRPr="003D125F">
              <w:rPr>
                <w:rFonts w:eastAsia="Calibri"/>
                <w:sz w:val="20"/>
              </w:rPr>
              <w:noBreakHyphen/>
              <w:t xml:space="preserve">12, ss. 27, 49 - </w:t>
            </w:r>
            <w:r w:rsidRPr="003D125F">
              <w:rPr>
                <w:rFonts w:eastAsia="Calibri"/>
                <w:i/>
                <w:iCs/>
                <w:sz w:val="20"/>
              </w:rPr>
              <w:t>Act respecting correctional services</w:t>
            </w:r>
            <w:r w:rsidRPr="003D125F">
              <w:rPr>
                <w:rFonts w:eastAsia="Calibri"/>
                <w:sz w:val="20"/>
              </w:rPr>
              <w:t>, R.S.Q. c. S</w:t>
            </w:r>
            <w:r w:rsidRPr="003D125F">
              <w:rPr>
                <w:rFonts w:eastAsia="Calibri"/>
                <w:sz w:val="20"/>
              </w:rPr>
              <w:noBreakHyphen/>
              <w:t>4.01, s. 17.</w:t>
            </w:r>
          </w:p>
        </w:tc>
      </w:tr>
      <w:tr w:rsidR="004D595B" w:rsidRPr="003D125F" w:rsidTr="004D595B">
        <w:tc>
          <w:tcPr>
            <w:tcW w:w="5000" w:type="pct"/>
          </w:tcPr>
          <w:p w:rsidR="004D595B" w:rsidRPr="003D125F" w:rsidRDefault="004D595B" w:rsidP="004D595B">
            <w:pPr>
              <w:jc w:val="both"/>
              <w:rPr>
                <w:rFonts w:eastAsia="Calibri"/>
                <w:sz w:val="20"/>
              </w:rPr>
            </w:pPr>
          </w:p>
          <w:p w:rsidR="004D595B" w:rsidRPr="003D125F" w:rsidRDefault="004D595B" w:rsidP="004D595B">
            <w:pPr>
              <w:jc w:val="both"/>
              <w:rPr>
                <w:rFonts w:eastAsia="Calibri"/>
                <w:sz w:val="20"/>
              </w:rPr>
            </w:pPr>
            <w:r w:rsidRPr="003D125F">
              <w:rPr>
                <w:rFonts w:eastAsia="Calibri"/>
                <w:sz w:val="20"/>
              </w:rPr>
              <w:t xml:space="preserve">In August 2002, the Applicant </w:t>
            </w:r>
            <w:proofErr w:type="spellStart"/>
            <w:r w:rsidRPr="003D125F">
              <w:rPr>
                <w:rFonts w:eastAsia="Calibri"/>
                <w:sz w:val="20"/>
              </w:rPr>
              <w:t>Sarrazin</w:t>
            </w:r>
            <w:proofErr w:type="spellEnd"/>
            <w:r w:rsidRPr="003D125F">
              <w:rPr>
                <w:rFonts w:eastAsia="Calibri"/>
                <w:sz w:val="20"/>
              </w:rPr>
              <w:t xml:space="preserve">, a known businessman in </w:t>
            </w:r>
            <w:proofErr w:type="spellStart"/>
            <w:r w:rsidRPr="003D125F">
              <w:rPr>
                <w:rFonts w:eastAsia="Calibri"/>
                <w:sz w:val="20"/>
              </w:rPr>
              <w:t>L’Annonciation</w:t>
            </w:r>
            <w:proofErr w:type="spellEnd"/>
            <w:r w:rsidRPr="003D125F">
              <w:rPr>
                <w:rFonts w:eastAsia="Calibri"/>
                <w:sz w:val="20"/>
              </w:rPr>
              <w:t xml:space="preserve">, was arrested and charged with sexual activity with a minor, possession of cannabis and assault.  He was released pending his trial but arrested again the following October 15 and charged with breaching his conditions.  He was then confined at the </w:t>
            </w:r>
            <w:proofErr w:type="spellStart"/>
            <w:r w:rsidRPr="003D125F">
              <w:rPr>
                <w:rFonts w:eastAsia="Calibri"/>
                <w:sz w:val="20"/>
              </w:rPr>
              <w:t>St</w:t>
            </w:r>
            <w:r w:rsidRPr="003D125F">
              <w:rPr>
                <w:rFonts w:eastAsia="Calibri"/>
                <w:sz w:val="20"/>
              </w:rPr>
              <w:noBreakHyphen/>
              <w:t>Jérôme</w:t>
            </w:r>
            <w:proofErr w:type="spellEnd"/>
            <w:r w:rsidRPr="003D125F">
              <w:rPr>
                <w:rFonts w:eastAsia="Calibri"/>
                <w:sz w:val="20"/>
              </w:rPr>
              <w:t xml:space="preserve"> prison in an area containing fourteen inmates serving sentences as well as three other accused persons.  On the morning of October 16, some inmates received a newspaper in which the Applicant was identified as a pedophile.  Shortly thereafter, he was beaten by several inmates and then treated in the health care centre.  After two months in confinement, the initial charges were dropped.  Mr. </w:t>
            </w:r>
            <w:proofErr w:type="spellStart"/>
            <w:r w:rsidRPr="003D125F">
              <w:rPr>
                <w:rFonts w:eastAsia="Calibri"/>
                <w:sz w:val="20"/>
              </w:rPr>
              <w:t>Sarrazin</w:t>
            </w:r>
            <w:proofErr w:type="spellEnd"/>
            <w:r w:rsidRPr="003D125F">
              <w:rPr>
                <w:rFonts w:eastAsia="Calibri"/>
                <w:sz w:val="20"/>
              </w:rPr>
              <w:t xml:space="preserve"> sued the public authorities for various negligent acts, including the violation of his right to be kept apart.</w:t>
            </w:r>
          </w:p>
        </w:tc>
      </w:tr>
    </w:tbl>
    <w:p w:rsidR="004D595B" w:rsidRDefault="004D595B" w:rsidP="004D595B"/>
    <w:tbl>
      <w:tblPr>
        <w:tblW w:w="4952" w:type="pct"/>
        <w:tblLayout w:type="fixed"/>
        <w:tblCellMar>
          <w:left w:w="0" w:type="dxa"/>
          <w:bottom w:w="99" w:type="dxa"/>
          <w:right w:w="0" w:type="dxa"/>
        </w:tblCellMar>
        <w:tblLook w:val="04A0"/>
      </w:tblPr>
      <w:tblGrid>
        <w:gridCol w:w="4624"/>
        <w:gridCol w:w="463"/>
        <w:gridCol w:w="4440"/>
      </w:tblGrid>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t>June 20, 2008</w:t>
            </w:r>
          </w:p>
          <w:p w:rsidR="004D595B" w:rsidRPr="003D125F" w:rsidRDefault="004D595B" w:rsidP="004D595B">
            <w:pPr>
              <w:jc w:val="both"/>
              <w:rPr>
                <w:rFonts w:eastAsia="Calibri"/>
                <w:sz w:val="20"/>
              </w:rPr>
            </w:pPr>
            <w:r w:rsidRPr="003D125F">
              <w:rPr>
                <w:rFonts w:eastAsia="Calibri"/>
                <w:sz w:val="20"/>
              </w:rPr>
              <w:t>Quebec Superior Court</w:t>
            </w:r>
          </w:p>
          <w:p w:rsidR="004D595B" w:rsidRPr="003D125F" w:rsidRDefault="003E770A" w:rsidP="004D595B">
            <w:pPr>
              <w:jc w:val="both"/>
              <w:rPr>
                <w:rFonts w:eastAsia="Calibri"/>
                <w:sz w:val="20"/>
              </w:rPr>
            </w:pPr>
            <w:r w:rsidRPr="003D125F">
              <w:rPr>
                <w:rFonts w:eastAsia="Calibri"/>
                <w:sz w:val="20"/>
              </w:rPr>
              <w:fldChar w:fldCharType="begin"/>
            </w:r>
            <w:r w:rsidR="004D595B" w:rsidRPr="003D125F">
              <w:rPr>
                <w:rFonts w:eastAsia="Calibri"/>
                <w:sz w:val="20"/>
              </w:rPr>
              <w:instrText xml:space="preserve"> SEQ CHAPTER \h \r 1</w:instrText>
            </w:r>
            <w:r w:rsidRPr="003D125F">
              <w:rPr>
                <w:rFonts w:eastAsia="Calibri"/>
                <w:sz w:val="20"/>
              </w:rPr>
              <w:fldChar w:fldCharType="end"/>
            </w:r>
            <w:r w:rsidR="004D595B" w:rsidRPr="003D125F">
              <w:rPr>
                <w:rFonts w:eastAsia="Calibri"/>
                <w:sz w:val="20"/>
              </w:rPr>
              <w:t>(</w:t>
            </w:r>
            <w:proofErr w:type="spellStart"/>
            <w:r w:rsidR="004D595B" w:rsidRPr="003D125F">
              <w:rPr>
                <w:rFonts w:eastAsia="Calibri"/>
                <w:sz w:val="20"/>
              </w:rPr>
              <w:t>Marcelin</w:t>
            </w:r>
            <w:proofErr w:type="spellEnd"/>
            <w:r w:rsidR="004D595B" w:rsidRPr="003D125F">
              <w:rPr>
                <w:rFonts w:eastAsia="Calibri"/>
                <w:sz w:val="20"/>
              </w:rPr>
              <w:t xml:space="preserve"> J.)</w:t>
            </w:r>
          </w:p>
          <w:p w:rsidR="004D595B" w:rsidRPr="003D125F" w:rsidRDefault="004D595B" w:rsidP="00FA3B73">
            <w:pPr>
              <w:jc w:val="both"/>
              <w:rPr>
                <w:rFonts w:eastAsia="Calibri"/>
                <w:sz w:val="20"/>
              </w:rPr>
            </w:pPr>
            <w:r w:rsidRPr="003D125F">
              <w:rPr>
                <w:rFonts w:eastAsia="Calibri"/>
                <w:sz w:val="20"/>
              </w:rPr>
              <w:t>Neutral citation: 2008 QCCS 3082</w:t>
            </w:r>
          </w:p>
        </w:tc>
        <w:tc>
          <w:tcPr>
            <w:tcW w:w="243" w:type="pct"/>
          </w:tcPr>
          <w:p w:rsidR="004D595B" w:rsidRDefault="004D595B"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Pr="003D125F" w:rsidRDefault="00FA3B73"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Applicant’s action in damages dismissed</w:t>
            </w:r>
          </w:p>
        </w:tc>
      </w:tr>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t>May 21, 2010</w:t>
            </w:r>
          </w:p>
          <w:p w:rsidR="004D595B" w:rsidRPr="003D125F" w:rsidRDefault="004D595B" w:rsidP="004D595B">
            <w:pPr>
              <w:jc w:val="both"/>
              <w:rPr>
                <w:rFonts w:eastAsia="Calibri"/>
                <w:sz w:val="20"/>
              </w:rPr>
            </w:pPr>
            <w:r w:rsidRPr="003D125F">
              <w:rPr>
                <w:rFonts w:eastAsia="Calibri"/>
                <w:sz w:val="20"/>
              </w:rPr>
              <w:t>Quebec Court of Appeal (Montréal)</w:t>
            </w:r>
          </w:p>
          <w:p w:rsidR="004D595B" w:rsidRPr="003D125F" w:rsidRDefault="003E770A" w:rsidP="004D595B">
            <w:pPr>
              <w:jc w:val="both"/>
              <w:rPr>
                <w:rFonts w:eastAsia="Calibri"/>
                <w:sz w:val="20"/>
              </w:rPr>
            </w:pPr>
            <w:r w:rsidRPr="003D125F">
              <w:rPr>
                <w:rFonts w:eastAsia="Calibri"/>
                <w:sz w:val="20"/>
              </w:rPr>
              <w:fldChar w:fldCharType="begin"/>
            </w:r>
            <w:r w:rsidR="004D595B" w:rsidRPr="003D125F">
              <w:rPr>
                <w:rFonts w:eastAsia="Calibri"/>
                <w:sz w:val="20"/>
              </w:rPr>
              <w:instrText xml:space="preserve"> SEQ CHAPTER \h \r 1</w:instrText>
            </w:r>
            <w:r w:rsidRPr="003D125F">
              <w:rPr>
                <w:rFonts w:eastAsia="Calibri"/>
                <w:sz w:val="20"/>
              </w:rPr>
              <w:fldChar w:fldCharType="end"/>
            </w:r>
            <w:r w:rsidR="004D595B" w:rsidRPr="003D125F">
              <w:rPr>
                <w:rFonts w:eastAsia="Calibri"/>
                <w:sz w:val="20"/>
              </w:rPr>
              <w:t xml:space="preserve">(Hilton, </w:t>
            </w:r>
            <w:proofErr w:type="spellStart"/>
            <w:r w:rsidR="004D595B" w:rsidRPr="003D125F">
              <w:rPr>
                <w:rFonts w:eastAsia="Calibri"/>
                <w:sz w:val="20"/>
              </w:rPr>
              <w:t>Bich</w:t>
            </w:r>
            <w:proofErr w:type="spellEnd"/>
            <w:r w:rsidR="004D595B" w:rsidRPr="003D125F">
              <w:rPr>
                <w:rFonts w:eastAsia="Calibri"/>
                <w:sz w:val="20"/>
              </w:rPr>
              <w:t xml:space="preserve"> and Gagnon JJ.A.)</w:t>
            </w:r>
          </w:p>
          <w:p w:rsidR="004D595B" w:rsidRPr="003D125F" w:rsidRDefault="004D595B" w:rsidP="00FA3B73">
            <w:pPr>
              <w:jc w:val="both"/>
              <w:rPr>
                <w:rFonts w:eastAsia="Calibri"/>
                <w:sz w:val="20"/>
              </w:rPr>
            </w:pPr>
            <w:r w:rsidRPr="003D125F">
              <w:rPr>
                <w:rFonts w:eastAsia="Calibri"/>
                <w:sz w:val="20"/>
              </w:rPr>
              <w:t>Neutral citation: 2010 QCCA 996</w:t>
            </w:r>
          </w:p>
        </w:tc>
        <w:tc>
          <w:tcPr>
            <w:tcW w:w="243" w:type="pct"/>
          </w:tcPr>
          <w:p w:rsidR="004D595B" w:rsidRDefault="004D595B"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Pr="003D125F" w:rsidRDefault="00FA3B73"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Appeal dismissed</w:t>
            </w:r>
          </w:p>
        </w:tc>
      </w:tr>
    </w:tbl>
    <w:p w:rsidR="000C6523" w:rsidRDefault="000C6523"/>
    <w:p w:rsidR="000C6523" w:rsidRDefault="000C6523">
      <w:r>
        <w:br w:type="page"/>
      </w:r>
    </w:p>
    <w:tbl>
      <w:tblPr>
        <w:tblW w:w="4952" w:type="pct"/>
        <w:tblLayout w:type="fixed"/>
        <w:tblCellMar>
          <w:left w:w="0" w:type="dxa"/>
          <w:bottom w:w="99" w:type="dxa"/>
          <w:right w:w="0" w:type="dxa"/>
        </w:tblCellMar>
        <w:tblLook w:val="04A0"/>
      </w:tblPr>
      <w:tblGrid>
        <w:gridCol w:w="4624"/>
        <w:gridCol w:w="463"/>
        <w:gridCol w:w="4440"/>
      </w:tblGrid>
      <w:tr w:rsidR="004D595B" w:rsidRPr="003D125F" w:rsidTr="004D595B">
        <w:trPr>
          <w:cantSplit/>
        </w:trPr>
        <w:tc>
          <w:tcPr>
            <w:tcW w:w="2427" w:type="pct"/>
          </w:tcPr>
          <w:p w:rsidR="004D595B" w:rsidRPr="003D125F" w:rsidRDefault="004D595B" w:rsidP="004D595B">
            <w:pPr>
              <w:jc w:val="both"/>
              <w:rPr>
                <w:rFonts w:eastAsia="Calibri"/>
                <w:sz w:val="20"/>
              </w:rPr>
            </w:pPr>
            <w:r w:rsidRPr="003D125F">
              <w:rPr>
                <w:rFonts w:eastAsia="Calibri"/>
                <w:sz w:val="20"/>
              </w:rPr>
              <w:lastRenderedPageBreak/>
              <w:t>August 16, 2010</w:t>
            </w:r>
          </w:p>
          <w:p w:rsidR="004D595B" w:rsidRPr="003D125F" w:rsidRDefault="004D595B" w:rsidP="004D595B">
            <w:pPr>
              <w:jc w:val="both"/>
              <w:rPr>
                <w:rFonts w:eastAsia="Calibri"/>
                <w:sz w:val="20"/>
              </w:rPr>
            </w:pPr>
            <w:r w:rsidRPr="003D125F">
              <w:rPr>
                <w:rFonts w:eastAsia="Calibri"/>
                <w:sz w:val="20"/>
              </w:rPr>
              <w:t>Supreme Court of Canada</w:t>
            </w:r>
          </w:p>
        </w:tc>
        <w:tc>
          <w:tcPr>
            <w:tcW w:w="243" w:type="pct"/>
          </w:tcPr>
          <w:p w:rsidR="004D595B" w:rsidRPr="003D125F" w:rsidRDefault="004D595B" w:rsidP="004D595B">
            <w:pPr>
              <w:jc w:val="both"/>
              <w:rPr>
                <w:rFonts w:eastAsia="Calibri"/>
                <w:sz w:val="20"/>
              </w:rPr>
            </w:pPr>
          </w:p>
        </w:tc>
        <w:tc>
          <w:tcPr>
            <w:tcW w:w="2330" w:type="pct"/>
          </w:tcPr>
          <w:p w:rsidR="004D595B" w:rsidRPr="003D125F" w:rsidRDefault="004D595B" w:rsidP="004D595B">
            <w:pPr>
              <w:jc w:val="both"/>
              <w:rPr>
                <w:rFonts w:eastAsia="Calibri"/>
                <w:sz w:val="20"/>
              </w:rPr>
            </w:pPr>
            <w:r w:rsidRPr="003D125F">
              <w:rPr>
                <w:rFonts w:eastAsia="Calibri"/>
                <w:sz w:val="20"/>
              </w:rPr>
              <w:t>Application for leave to appeal filed</w:t>
            </w:r>
          </w:p>
        </w:tc>
      </w:tr>
    </w:tbl>
    <w:p w:rsidR="004D595B" w:rsidRDefault="004D595B" w:rsidP="00F94A8D">
      <w:pPr>
        <w:keepNext/>
        <w:rPr>
          <w:sz w:val="20"/>
          <w:szCs w:val="20"/>
        </w:rPr>
      </w:pPr>
    </w:p>
    <w:p w:rsidR="00F94A8D" w:rsidRPr="00C50A5C" w:rsidRDefault="003E770A" w:rsidP="00F94A8D">
      <w:pPr>
        <w:rPr>
          <w:sz w:val="20"/>
          <w:szCs w:val="20"/>
        </w:rPr>
      </w:pPr>
      <w:r w:rsidRPr="003E770A">
        <w:rPr>
          <w:sz w:val="20"/>
          <w:szCs w:val="20"/>
          <w:lang w:val="fr-CA"/>
        </w:rPr>
        <w:pict>
          <v:rect id="_x0000_i1053"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Layout w:type="fixed"/>
        <w:tblCellMar>
          <w:left w:w="0" w:type="dxa"/>
          <w:bottom w:w="99" w:type="dxa"/>
          <w:right w:w="0" w:type="dxa"/>
        </w:tblCellMar>
        <w:tblLook w:val="04A0"/>
      </w:tblPr>
      <w:tblGrid>
        <w:gridCol w:w="9527"/>
      </w:tblGrid>
      <w:tr w:rsidR="004D595B" w:rsidRPr="003D125F" w:rsidTr="004D595B">
        <w:tc>
          <w:tcPr>
            <w:tcW w:w="5000" w:type="pct"/>
          </w:tcPr>
          <w:p w:rsidR="004D595B" w:rsidRPr="003D125F" w:rsidRDefault="004D595B" w:rsidP="004D595B">
            <w:pPr>
              <w:jc w:val="both"/>
              <w:rPr>
                <w:rFonts w:eastAsia="Calibri"/>
                <w:sz w:val="20"/>
                <w:lang w:val="fr-CA"/>
              </w:rPr>
            </w:pPr>
            <w:r w:rsidRPr="003D125F">
              <w:rPr>
                <w:rFonts w:eastAsia="Calibri"/>
                <w:sz w:val="20"/>
                <w:lang w:val="fr-CA"/>
              </w:rPr>
              <w:t xml:space="preserve">Droits de la personne - Droit à la détention séparée - Fardeau de preuve en cas d’atteinte – Accusé incarcéré avec des prisonniers - Rumeur de pédophilie suivie d’agression - Détention prolongée puis abandon des accusations initiales - Action en dommages-intérêts - L’accusé agressé alors que son droit à la détention séparée n’est pas respecté a-t-il le fardeau de prouver, pour obtenir réparation, que cette faute a constitué la cause de l’agression ou la cause des dommages en résultant? - Le droit à la détention séparée est-il fondé sur le seul objectif de dignité des accusés ou aussi sur celui de leur sécurité? - La Cour d’appel a-t-elle erré en exigeant une preuve spécifique d’une indignité intrinsèque et quel est le montant des dommages moraux, le cas échéant? - Si le demandeur a droit à des dommages compensatoires pour l’humiliation qui résulte de l’atteinte intrinsèque à sa dignité, la Cour d’appel a-t-elle erré en refusant sa demande de dommages exemplaires?- </w:t>
            </w:r>
            <w:r w:rsidRPr="003D125F">
              <w:rPr>
                <w:rFonts w:eastAsia="Calibri"/>
                <w:i/>
                <w:iCs/>
                <w:sz w:val="20"/>
                <w:lang w:val="fr-CA"/>
              </w:rPr>
              <w:t>Charte des droits et libertés de la personne</w:t>
            </w:r>
            <w:r w:rsidRPr="003D125F">
              <w:rPr>
                <w:rFonts w:eastAsia="Calibri"/>
                <w:sz w:val="20"/>
                <w:lang w:val="fr-CA"/>
              </w:rPr>
              <w:t xml:space="preserve">, L.R.Q. ch. C-12, art. 27, 49 - </w:t>
            </w:r>
            <w:r w:rsidRPr="003D125F">
              <w:rPr>
                <w:rFonts w:eastAsia="Calibri"/>
                <w:i/>
                <w:iCs/>
                <w:sz w:val="20"/>
                <w:lang w:val="fr-CA"/>
              </w:rPr>
              <w:t>Loi sur les services correctionnels</w:t>
            </w:r>
            <w:r w:rsidRPr="003D125F">
              <w:rPr>
                <w:rFonts w:eastAsia="Calibri"/>
                <w:sz w:val="20"/>
                <w:lang w:val="fr-CA"/>
              </w:rPr>
              <w:t>, L.R.Q. ch. S-4.01, art. 17.</w:t>
            </w:r>
          </w:p>
        </w:tc>
      </w:tr>
      <w:tr w:rsidR="004D595B" w:rsidRPr="003B380E" w:rsidTr="004D595B">
        <w:tc>
          <w:tcPr>
            <w:tcW w:w="5000" w:type="pct"/>
          </w:tcPr>
          <w:p w:rsidR="004D595B" w:rsidRPr="003D125F" w:rsidRDefault="004D595B" w:rsidP="004D595B">
            <w:pPr>
              <w:jc w:val="both"/>
              <w:rPr>
                <w:rFonts w:eastAsia="Calibri"/>
                <w:sz w:val="20"/>
                <w:lang w:val="fr-CA"/>
              </w:rPr>
            </w:pPr>
          </w:p>
          <w:p w:rsidR="004D595B" w:rsidRPr="003D125F" w:rsidRDefault="004D595B" w:rsidP="004D595B">
            <w:pPr>
              <w:jc w:val="both"/>
              <w:rPr>
                <w:rFonts w:eastAsia="Calibri"/>
                <w:sz w:val="20"/>
                <w:lang w:val="fr-CA"/>
              </w:rPr>
            </w:pPr>
            <w:r w:rsidRPr="003D125F">
              <w:rPr>
                <w:rFonts w:eastAsia="Calibri"/>
                <w:sz w:val="20"/>
                <w:lang w:val="fr-CA"/>
              </w:rPr>
              <w:t>En août 2002, le demandeur Sarrazin, homme d’affaires connu dans L’Annonciation, est arrêté et accusé d’actes sexuels avec un mineur, possession de cannabis et voies de fait. Remis en liberté dans l’attente de son procès, il est arrêté de nouveau le 15 octobre suivant et accusé de bris des conditions. Il est alors incarcéré à la prison de St-Jérôme, dans un secteur où se trouvent quatorze détenus purgeant leur peine ainsi que trois autres prévenus. Le matin du 16 octobre, des détenus reçoivent un journal où le demandeur est identifié comme pédophile. Peu après, il est battu par plusieurs détenus puis soigné à l’infirmerie. Après deux mois de détention, les accusations initiales sont abandonnées. M. Sarrazin poursuit les autorités publiques pour diverses négligences, dont celle de n’avoir pas respecté son droit à la détention séparée.</w:t>
            </w:r>
          </w:p>
        </w:tc>
      </w:tr>
    </w:tbl>
    <w:p w:rsidR="004D595B" w:rsidRPr="004D595B" w:rsidRDefault="004D595B" w:rsidP="004D595B">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4D595B" w:rsidRPr="003B380E"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t>Le 20 juin 2008</w:t>
            </w:r>
          </w:p>
          <w:p w:rsidR="004D595B" w:rsidRPr="003D125F" w:rsidRDefault="004D595B" w:rsidP="004D595B">
            <w:pPr>
              <w:jc w:val="both"/>
              <w:rPr>
                <w:rFonts w:eastAsia="Calibri"/>
                <w:sz w:val="20"/>
                <w:lang w:val="fr-CA"/>
              </w:rPr>
            </w:pPr>
            <w:r w:rsidRPr="003D125F">
              <w:rPr>
                <w:rFonts w:eastAsia="Calibri"/>
                <w:sz w:val="20"/>
                <w:lang w:val="fr-CA"/>
              </w:rPr>
              <w:t>Cour supérieure du Québec</w:t>
            </w:r>
          </w:p>
          <w:p w:rsidR="004D595B" w:rsidRPr="003D125F" w:rsidRDefault="003E770A" w:rsidP="004D595B">
            <w:pPr>
              <w:jc w:val="both"/>
              <w:rPr>
                <w:rFonts w:eastAsia="Calibri"/>
                <w:sz w:val="20"/>
                <w:lang w:val="fr-CA"/>
              </w:rPr>
            </w:pPr>
            <w:r w:rsidRPr="003D125F">
              <w:rPr>
                <w:rFonts w:eastAsia="Calibri"/>
                <w:sz w:val="20"/>
              </w:rPr>
              <w:fldChar w:fldCharType="begin"/>
            </w:r>
            <w:r w:rsidR="004D595B" w:rsidRPr="003D125F">
              <w:rPr>
                <w:rFonts w:eastAsia="Calibri"/>
                <w:sz w:val="20"/>
                <w:lang w:val="fr-FR"/>
              </w:rPr>
              <w:instrText xml:space="preserve"> SEQ CHAPTER \h \r 1</w:instrText>
            </w:r>
            <w:r w:rsidRPr="003D125F">
              <w:rPr>
                <w:rFonts w:eastAsia="Calibri"/>
                <w:sz w:val="20"/>
              </w:rPr>
              <w:fldChar w:fldCharType="end"/>
            </w:r>
            <w:r w:rsidR="004D595B" w:rsidRPr="003D125F">
              <w:rPr>
                <w:rFonts w:eastAsia="Calibri"/>
                <w:sz w:val="20"/>
                <w:lang w:val="fr-CA"/>
              </w:rPr>
              <w:t>(La juge Marcelin)</w:t>
            </w:r>
          </w:p>
          <w:p w:rsidR="004D595B" w:rsidRPr="003D125F" w:rsidRDefault="004D595B" w:rsidP="00FA3B73">
            <w:pPr>
              <w:jc w:val="both"/>
              <w:rPr>
                <w:rFonts w:eastAsia="Calibri"/>
                <w:sz w:val="20"/>
                <w:lang w:val="fr-CA"/>
              </w:rPr>
            </w:pPr>
            <w:r w:rsidRPr="003D125F">
              <w:rPr>
                <w:rFonts w:eastAsia="Calibri"/>
                <w:sz w:val="20"/>
                <w:lang w:val="fr-CA"/>
              </w:rPr>
              <w:t>Référence neutre : 2008 QCCS 3082</w:t>
            </w:r>
          </w:p>
        </w:tc>
        <w:tc>
          <w:tcPr>
            <w:tcW w:w="243" w:type="pct"/>
          </w:tcPr>
          <w:p w:rsidR="004D595B" w:rsidRDefault="004D595B" w:rsidP="004D595B">
            <w:pPr>
              <w:jc w:val="both"/>
              <w:rPr>
                <w:rFonts w:eastAsia="Calibri"/>
                <w:sz w:val="20"/>
                <w:lang w:val="fr-FR"/>
              </w:rPr>
            </w:pPr>
          </w:p>
          <w:p w:rsidR="00FA3B73" w:rsidRDefault="00FA3B73" w:rsidP="004D595B">
            <w:pPr>
              <w:jc w:val="both"/>
              <w:rPr>
                <w:rFonts w:eastAsia="Calibri"/>
                <w:sz w:val="20"/>
                <w:lang w:val="fr-FR"/>
              </w:rPr>
            </w:pPr>
          </w:p>
          <w:p w:rsidR="00FA3B73" w:rsidRDefault="00FA3B73" w:rsidP="004D595B">
            <w:pPr>
              <w:jc w:val="both"/>
              <w:rPr>
                <w:rFonts w:eastAsia="Calibri"/>
                <w:sz w:val="20"/>
                <w:lang w:val="fr-FR"/>
              </w:rPr>
            </w:pPr>
          </w:p>
          <w:p w:rsidR="00FA3B73" w:rsidRDefault="00FA3B73" w:rsidP="004D595B">
            <w:pPr>
              <w:jc w:val="both"/>
              <w:rPr>
                <w:rFonts w:eastAsia="Calibri"/>
                <w:sz w:val="20"/>
                <w:lang w:val="fr-FR"/>
              </w:rPr>
            </w:pPr>
          </w:p>
          <w:p w:rsidR="00FA3B73" w:rsidRPr="003D125F" w:rsidRDefault="00FA3B73" w:rsidP="004D595B">
            <w:pPr>
              <w:jc w:val="both"/>
              <w:rPr>
                <w:rFonts w:eastAsia="Calibri"/>
                <w:sz w:val="20"/>
                <w:lang w:val="fr-FR"/>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Rejet de l’action du demandeur en dommages-intérêts.</w:t>
            </w:r>
          </w:p>
        </w:tc>
      </w:tr>
      <w:tr w:rsidR="004D595B" w:rsidRPr="003D125F"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t>Le 21 mai 2010</w:t>
            </w:r>
          </w:p>
          <w:p w:rsidR="004D595B" w:rsidRPr="003D125F" w:rsidRDefault="004D595B" w:rsidP="004D595B">
            <w:pPr>
              <w:jc w:val="both"/>
              <w:rPr>
                <w:rFonts w:eastAsia="Calibri"/>
                <w:sz w:val="20"/>
                <w:lang w:val="fr-CA"/>
              </w:rPr>
            </w:pPr>
            <w:r w:rsidRPr="003D125F">
              <w:rPr>
                <w:rFonts w:eastAsia="Calibri"/>
                <w:sz w:val="20"/>
                <w:lang w:val="fr-CA"/>
              </w:rPr>
              <w:t>Cour d’appel du Québec (Montréal)</w:t>
            </w:r>
          </w:p>
          <w:p w:rsidR="004D595B" w:rsidRPr="003D125F" w:rsidRDefault="003E770A" w:rsidP="004D595B">
            <w:pPr>
              <w:jc w:val="both"/>
              <w:rPr>
                <w:rFonts w:eastAsia="Calibri"/>
                <w:sz w:val="20"/>
                <w:lang w:val="fr-CA"/>
              </w:rPr>
            </w:pPr>
            <w:r w:rsidRPr="003D125F">
              <w:rPr>
                <w:rFonts w:eastAsia="Calibri"/>
                <w:sz w:val="20"/>
              </w:rPr>
              <w:fldChar w:fldCharType="begin"/>
            </w:r>
            <w:r w:rsidR="004D595B" w:rsidRPr="003D125F">
              <w:rPr>
                <w:rFonts w:eastAsia="Calibri"/>
                <w:sz w:val="20"/>
                <w:lang w:val="fr-FR"/>
              </w:rPr>
              <w:instrText xml:space="preserve"> SEQ CHAPTER \h \r 1</w:instrText>
            </w:r>
            <w:r w:rsidRPr="003D125F">
              <w:rPr>
                <w:rFonts w:eastAsia="Calibri"/>
                <w:sz w:val="20"/>
              </w:rPr>
              <w:fldChar w:fldCharType="end"/>
            </w:r>
            <w:r w:rsidR="004D595B" w:rsidRPr="003D125F">
              <w:rPr>
                <w:rFonts w:eastAsia="Calibri"/>
                <w:sz w:val="20"/>
                <w:lang w:val="fr-CA"/>
              </w:rPr>
              <w:t xml:space="preserve">(Les juges Hilton, </w:t>
            </w:r>
            <w:proofErr w:type="spellStart"/>
            <w:r w:rsidR="004D595B" w:rsidRPr="003D125F">
              <w:rPr>
                <w:rFonts w:eastAsia="Calibri"/>
                <w:sz w:val="20"/>
                <w:lang w:val="fr-CA"/>
              </w:rPr>
              <w:t>Bich</w:t>
            </w:r>
            <w:proofErr w:type="spellEnd"/>
            <w:r w:rsidR="004D595B" w:rsidRPr="003D125F">
              <w:rPr>
                <w:rFonts w:eastAsia="Calibri"/>
                <w:sz w:val="20"/>
                <w:lang w:val="fr-CA"/>
              </w:rPr>
              <w:t xml:space="preserve"> et Gagnon)</w:t>
            </w:r>
          </w:p>
          <w:p w:rsidR="004D595B" w:rsidRPr="003D125F" w:rsidRDefault="004D595B" w:rsidP="00FA3B73">
            <w:pPr>
              <w:jc w:val="both"/>
              <w:rPr>
                <w:rFonts w:eastAsia="Calibri"/>
                <w:sz w:val="20"/>
                <w:lang w:val="fr-FR"/>
              </w:rPr>
            </w:pPr>
            <w:r w:rsidRPr="003D125F">
              <w:rPr>
                <w:rFonts w:eastAsia="Calibri"/>
                <w:sz w:val="20"/>
                <w:lang w:val="fr-CA"/>
              </w:rPr>
              <w:t>Référence neutre : 2010 QCCA 996</w:t>
            </w:r>
          </w:p>
        </w:tc>
        <w:tc>
          <w:tcPr>
            <w:tcW w:w="243" w:type="pct"/>
          </w:tcPr>
          <w:p w:rsidR="004D595B" w:rsidRDefault="004D595B" w:rsidP="004D595B">
            <w:pPr>
              <w:jc w:val="both"/>
              <w:rPr>
                <w:rFonts w:eastAsia="Calibri"/>
                <w:sz w:val="20"/>
                <w:lang w:val="fr-FR"/>
              </w:rPr>
            </w:pPr>
          </w:p>
          <w:p w:rsidR="00FA3B73" w:rsidRDefault="00FA3B73" w:rsidP="004D595B">
            <w:pPr>
              <w:jc w:val="both"/>
              <w:rPr>
                <w:rFonts w:eastAsia="Calibri"/>
                <w:sz w:val="20"/>
                <w:lang w:val="fr-FR"/>
              </w:rPr>
            </w:pPr>
          </w:p>
          <w:p w:rsidR="00FA3B73" w:rsidRDefault="00FA3B73" w:rsidP="004D595B">
            <w:pPr>
              <w:jc w:val="both"/>
              <w:rPr>
                <w:rFonts w:eastAsia="Calibri"/>
                <w:sz w:val="20"/>
                <w:lang w:val="fr-FR"/>
              </w:rPr>
            </w:pPr>
          </w:p>
          <w:p w:rsidR="00FA3B73" w:rsidRDefault="00FA3B73" w:rsidP="004D595B">
            <w:pPr>
              <w:jc w:val="both"/>
              <w:rPr>
                <w:rFonts w:eastAsia="Calibri"/>
                <w:sz w:val="20"/>
                <w:lang w:val="fr-FR"/>
              </w:rPr>
            </w:pPr>
          </w:p>
          <w:p w:rsidR="00FA3B73" w:rsidRPr="003D125F" w:rsidRDefault="00FA3B73" w:rsidP="004D595B">
            <w:pPr>
              <w:jc w:val="both"/>
              <w:rPr>
                <w:rFonts w:eastAsia="Calibri"/>
                <w:sz w:val="20"/>
                <w:lang w:val="fr-FR"/>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Rejet de l’appel.</w:t>
            </w:r>
          </w:p>
        </w:tc>
      </w:tr>
      <w:tr w:rsidR="004D595B" w:rsidRPr="003B380E" w:rsidTr="004D595B">
        <w:trPr>
          <w:cantSplit/>
        </w:trPr>
        <w:tc>
          <w:tcPr>
            <w:tcW w:w="2427" w:type="pct"/>
          </w:tcPr>
          <w:p w:rsidR="004D595B" w:rsidRPr="003D125F" w:rsidRDefault="004D595B" w:rsidP="004D595B">
            <w:pPr>
              <w:jc w:val="both"/>
              <w:rPr>
                <w:rFonts w:eastAsia="Calibri"/>
                <w:sz w:val="20"/>
                <w:lang w:val="fr-CA"/>
              </w:rPr>
            </w:pPr>
            <w:r w:rsidRPr="003D125F">
              <w:rPr>
                <w:rFonts w:eastAsia="Calibri"/>
                <w:sz w:val="20"/>
                <w:lang w:val="fr-CA"/>
              </w:rPr>
              <w:t>Le 16 août 2010</w:t>
            </w:r>
          </w:p>
          <w:p w:rsidR="004D595B" w:rsidRPr="003D125F" w:rsidRDefault="004D595B" w:rsidP="004D595B">
            <w:pPr>
              <w:jc w:val="both"/>
              <w:rPr>
                <w:rFonts w:eastAsia="Calibri"/>
                <w:sz w:val="20"/>
                <w:lang w:val="fr-FR"/>
              </w:rPr>
            </w:pPr>
            <w:r w:rsidRPr="003D125F">
              <w:rPr>
                <w:rFonts w:eastAsia="Calibri"/>
                <w:sz w:val="20"/>
                <w:lang w:val="fr-CA"/>
              </w:rPr>
              <w:t>Cour suprême du Canada</w:t>
            </w:r>
          </w:p>
        </w:tc>
        <w:tc>
          <w:tcPr>
            <w:tcW w:w="243" w:type="pct"/>
          </w:tcPr>
          <w:p w:rsidR="004D595B" w:rsidRPr="003D125F" w:rsidRDefault="004D595B" w:rsidP="004D595B">
            <w:pPr>
              <w:jc w:val="both"/>
              <w:rPr>
                <w:rFonts w:eastAsia="Calibri"/>
                <w:sz w:val="20"/>
                <w:lang w:val="fr-FR"/>
              </w:rPr>
            </w:pPr>
          </w:p>
        </w:tc>
        <w:tc>
          <w:tcPr>
            <w:tcW w:w="2330" w:type="pct"/>
          </w:tcPr>
          <w:p w:rsidR="004D595B" w:rsidRPr="003D125F" w:rsidRDefault="004D595B" w:rsidP="004D595B">
            <w:pPr>
              <w:jc w:val="both"/>
              <w:rPr>
                <w:rFonts w:eastAsia="Calibri"/>
                <w:sz w:val="20"/>
                <w:lang w:val="fr-CA"/>
              </w:rPr>
            </w:pPr>
            <w:r w:rsidRPr="003D125F">
              <w:rPr>
                <w:rFonts w:eastAsia="Calibri"/>
                <w:sz w:val="20"/>
                <w:lang w:val="fr-CA"/>
              </w:rPr>
              <w:t>Dépôt de la demande d’autorisation d’appel.</w:t>
            </w:r>
          </w:p>
        </w:tc>
      </w:tr>
    </w:tbl>
    <w:p w:rsidR="004D595B" w:rsidRDefault="004D595B" w:rsidP="00F94A8D">
      <w:pPr>
        <w:keepNext/>
        <w:rPr>
          <w:sz w:val="20"/>
          <w:szCs w:val="20"/>
          <w:lang w:val="fr-CA"/>
        </w:rPr>
      </w:pPr>
    </w:p>
    <w:p w:rsidR="00F94A8D" w:rsidRDefault="003E770A" w:rsidP="00F94A8D">
      <w:pPr>
        <w:keepNext/>
        <w:rPr>
          <w:sz w:val="20"/>
          <w:szCs w:val="20"/>
          <w:lang w:val="fr-CA"/>
        </w:rPr>
      </w:pPr>
      <w:r w:rsidRPr="003E770A">
        <w:rPr>
          <w:sz w:val="20"/>
          <w:szCs w:val="20"/>
          <w:lang w:val="fr-CA"/>
        </w:rPr>
        <w:pict>
          <v:rect id="_x0000_i1054" style="width:2in;height:1pt" o:hrpct="0" o:hralign="center" o:hrstd="t" o:hrnoshade="t" o:hr="t" fillcolor="black [3213]" stroked="f"/>
        </w:pict>
      </w:r>
    </w:p>
    <w:p w:rsidR="00F94A8D" w:rsidRDefault="00F94A8D" w:rsidP="00F94A8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F94A8D" w:rsidTr="005A14DB">
        <w:tc>
          <w:tcPr>
            <w:tcW w:w="1458" w:type="dxa"/>
          </w:tcPr>
          <w:p w:rsidR="00F94A8D" w:rsidRPr="00F94A8D" w:rsidRDefault="00F94A8D" w:rsidP="00F94A8D">
            <w:pPr>
              <w:rPr>
                <w:sz w:val="20"/>
                <w:szCs w:val="20"/>
              </w:rPr>
            </w:pPr>
            <w:r w:rsidRPr="00F94A8D">
              <w:rPr>
                <w:rStyle w:val="SCCFileNumberChar"/>
                <w:sz w:val="20"/>
                <w:szCs w:val="20"/>
              </w:rPr>
              <w:t>33795</w:t>
            </w:r>
          </w:p>
          <w:p w:rsidR="00F94A8D" w:rsidRPr="00F94A8D" w:rsidRDefault="00F94A8D" w:rsidP="00F94A8D">
            <w:pPr>
              <w:rPr>
                <w:b/>
                <w:sz w:val="20"/>
                <w:szCs w:val="20"/>
                <w:lang w:val="fr-CA"/>
              </w:rPr>
            </w:pPr>
          </w:p>
        </w:tc>
        <w:tc>
          <w:tcPr>
            <w:tcW w:w="8118" w:type="dxa"/>
          </w:tcPr>
          <w:p w:rsidR="00F94A8D" w:rsidRPr="00F94A8D" w:rsidRDefault="00F94A8D" w:rsidP="00F94A8D">
            <w:pPr>
              <w:rPr>
                <w:sz w:val="20"/>
                <w:szCs w:val="20"/>
              </w:rPr>
            </w:pPr>
            <w:r w:rsidRPr="00F94A8D">
              <w:rPr>
                <w:rStyle w:val="SCCLsocChar"/>
                <w:sz w:val="20"/>
                <w:szCs w:val="20"/>
                <w:lang w:val="en-CA"/>
              </w:rPr>
              <w:t>Nor-Man Regional Health Authority Inc. v. Manitoba Association of Healthcare Professionals</w:t>
            </w:r>
            <w:r w:rsidRPr="00F94A8D">
              <w:rPr>
                <w:sz w:val="20"/>
                <w:szCs w:val="20"/>
              </w:rPr>
              <w:t xml:space="preserve"> (Man.) (Civil) (By Leave)</w:t>
            </w:r>
          </w:p>
          <w:p w:rsidR="00F94A8D" w:rsidRPr="00F94A8D" w:rsidRDefault="00F94A8D" w:rsidP="00F94A8D">
            <w:pPr>
              <w:rPr>
                <w:sz w:val="20"/>
                <w:szCs w:val="20"/>
              </w:rPr>
            </w:pPr>
          </w:p>
        </w:tc>
      </w:tr>
      <w:tr w:rsidR="00F94A8D" w:rsidRPr="00F94A8D" w:rsidTr="005A14DB">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lang w:val="en-CA"/>
              </w:rPr>
            </w:pPr>
            <w:proofErr w:type="spellStart"/>
            <w:r w:rsidRPr="00F94A8D">
              <w:rPr>
                <w:rStyle w:val="SCCCoramChar"/>
                <w:sz w:val="20"/>
                <w:szCs w:val="20"/>
                <w:lang w:val="en-CA"/>
              </w:rPr>
              <w:t>LeBel</w:t>
            </w:r>
            <w:proofErr w:type="spellEnd"/>
            <w:r w:rsidRPr="00F94A8D">
              <w:rPr>
                <w:rStyle w:val="SCCCoramChar"/>
                <w:sz w:val="20"/>
                <w:szCs w:val="20"/>
                <w:lang w:val="en-CA"/>
              </w:rPr>
              <w:t xml:space="preserve">, </w:t>
            </w:r>
            <w:proofErr w:type="spellStart"/>
            <w:r w:rsidRPr="00F94A8D">
              <w:rPr>
                <w:rStyle w:val="SCCCoramChar"/>
                <w:sz w:val="20"/>
                <w:szCs w:val="20"/>
                <w:lang w:val="en-CA"/>
              </w:rPr>
              <w:t>Deschamps</w:t>
            </w:r>
            <w:proofErr w:type="spellEnd"/>
            <w:r w:rsidRPr="00F94A8D">
              <w:rPr>
                <w:rStyle w:val="SCCCoramChar"/>
                <w:sz w:val="20"/>
                <w:szCs w:val="20"/>
                <w:lang w:val="en-CA"/>
              </w:rPr>
              <w:t xml:space="preserve"> and </w:t>
            </w:r>
            <w:proofErr w:type="spellStart"/>
            <w:r w:rsidRPr="00F94A8D">
              <w:rPr>
                <w:rStyle w:val="SCCCoramChar"/>
                <w:sz w:val="20"/>
                <w:szCs w:val="20"/>
                <w:lang w:val="en-CA"/>
              </w:rPr>
              <w:t>Charron</w:t>
            </w:r>
            <w:proofErr w:type="spellEnd"/>
            <w:r w:rsidRPr="00F94A8D">
              <w:rPr>
                <w:rStyle w:val="SCCCoramChar"/>
                <w:sz w:val="20"/>
                <w:szCs w:val="20"/>
                <w:lang w:val="en-CA"/>
              </w:rPr>
              <w:t> JJ.</w:t>
            </w:r>
          </w:p>
          <w:p w:rsidR="00F94A8D" w:rsidRPr="00F94A8D" w:rsidRDefault="00F94A8D" w:rsidP="00F94A8D">
            <w:pPr>
              <w:rPr>
                <w:sz w:val="20"/>
                <w:szCs w:val="20"/>
              </w:rPr>
            </w:pPr>
          </w:p>
        </w:tc>
      </w:tr>
      <w:tr w:rsidR="00F94A8D" w:rsidRPr="003B380E" w:rsidTr="005A14DB">
        <w:tc>
          <w:tcPr>
            <w:tcW w:w="9576" w:type="dxa"/>
            <w:gridSpan w:val="2"/>
          </w:tcPr>
          <w:p w:rsidR="00F94A8D" w:rsidRPr="00F94A8D" w:rsidRDefault="00F94A8D" w:rsidP="00F94A8D">
            <w:pPr>
              <w:jc w:val="both"/>
              <w:rPr>
                <w:sz w:val="20"/>
                <w:szCs w:val="20"/>
              </w:rPr>
            </w:pPr>
            <w:r>
              <w:rPr>
                <w:sz w:val="20"/>
                <w:szCs w:val="20"/>
              </w:rPr>
              <w:tab/>
            </w:r>
            <w:r w:rsidRPr="00F94A8D">
              <w:rPr>
                <w:sz w:val="20"/>
                <w:szCs w:val="20"/>
              </w:rPr>
              <w:t>The application for leave to appeal from the judgment of the Court of Appeal of Manitoba, Number AI 09-30-07226, 2010 MBCA 55, dated May 18, 2010, is granted with costs in the cause.</w:t>
            </w:r>
          </w:p>
          <w:p w:rsidR="00F94A8D" w:rsidRPr="00F94A8D" w:rsidRDefault="00F94A8D" w:rsidP="00F94A8D">
            <w:pPr>
              <w:jc w:val="both"/>
              <w:rPr>
                <w:sz w:val="20"/>
                <w:szCs w:val="20"/>
              </w:rPr>
            </w:pPr>
          </w:p>
          <w:p w:rsidR="00F94A8D" w:rsidRPr="00F94A8D" w:rsidRDefault="00F94A8D" w:rsidP="00F94A8D">
            <w:pPr>
              <w:jc w:val="both"/>
              <w:rPr>
                <w:sz w:val="20"/>
                <w:szCs w:val="20"/>
                <w:lang w:val="fr-CA"/>
              </w:rPr>
            </w:pPr>
            <w:r w:rsidRPr="00052196">
              <w:rPr>
                <w:sz w:val="20"/>
                <w:szCs w:val="20"/>
              </w:rPr>
              <w:lastRenderedPageBreak/>
              <w:tab/>
            </w:r>
            <w:r w:rsidRPr="00F94A8D">
              <w:rPr>
                <w:sz w:val="20"/>
                <w:szCs w:val="20"/>
                <w:lang w:val="fr-CA"/>
              </w:rPr>
              <w:t xml:space="preserve">La demande d’autorisation d’appel de l’arrêt de la Cour d’appel du Manitoba, numéro AI 09-30-07226, 2010 MBCA 55, daté du 18 mai 2010, est accordée avec dépens suivant l’issue de la cause. </w:t>
            </w:r>
          </w:p>
        </w:tc>
      </w:tr>
    </w:tbl>
    <w:p w:rsidR="00F94A8D" w:rsidRDefault="00F94A8D" w:rsidP="00F94A8D">
      <w:pPr>
        <w:rPr>
          <w:sz w:val="20"/>
          <w:szCs w:val="20"/>
          <w:lang w:val="fr-CA"/>
        </w:rPr>
      </w:pPr>
    </w:p>
    <w:p w:rsidR="00F94A8D" w:rsidRPr="00C50A5C" w:rsidRDefault="00F94A8D" w:rsidP="00F94A8D">
      <w:pPr>
        <w:keepNext/>
        <w:rPr>
          <w:sz w:val="20"/>
          <w:szCs w:val="20"/>
        </w:rPr>
      </w:pPr>
      <w:r w:rsidRPr="00C50A5C">
        <w:rPr>
          <w:sz w:val="20"/>
          <w:szCs w:val="20"/>
          <w:u w:val="single"/>
        </w:rPr>
        <w:t>CASE SUMMARY</w:t>
      </w:r>
    </w:p>
    <w:p w:rsidR="00F94A8D" w:rsidRDefault="00F94A8D" w:rsidP="00F94A8D">
      <w:pPr>
        <w:keepNext/>
        <w:rPr>
          <w:sz w:val="20"/>
          <w:szCs w:val="20"/>
        </w:rPr>
      </w:pPr>
    </w:p>
    <w:tbl>
      <w:tblPr>
        <w:tblW w:w="4952" w:type="pct"/>
        <w:tblLayout w:type="fixed"/>
        <w:tblCellMar>
          <w:left w:w="0" w:type="dxa"/>
          <w:bottom w:w="99" w:type="dxa"/>
          <w:right w:w="0" w:type="dxa"/>
        </w:tblCellMar>
        <w:tblLook w:val="04A0"/>
      </w:tblPr>
      <w:tblGrid>
        <w:gridCol w:w="9527"/>
      </w:tblGrid>
      <w:tr w:rsidR="004D595B" w:rsidRPr="009C0EA2" w:rsidTr="004D595B">
        <w:tc>
          <w:tcPr>
            <w:tcW w:w="5000" w:type="pct"/>
          </w:tcPr>
          <w:p w:rsidR="004D595B" w:rsidRPr="009C0EA2" w:rsidRDefault="004D595B" w:rsidP="004D595B">
            <w:pPr>
              <w:jc w:val="both"/>
              <w:rPr>
                <w:rFonts w:eastAsia="Calibri"/>
                <w:sz w:val="20"/>
              </w:rPr>
            </w:pPr>
            <w:r w:rsidRPr="009C0EA2">
              <w:rPr>
                <w:rFonts w:eastAsia="Calibri"/>
                <w:sz w:val="20"/>
              </w:rPr>
              <w:t xml:space="preserve">Labour relations – Collective agreements – Grievance - </w:t>
            </w:r>
            <w:proofErr w:type="spellStart"/>
            <w:r w:rsidRPr="009C0EA2">
              <w:rPr>
                <w:rFonts w:eastAsia="Calibri"/>
                <w:sz w:val="20"/>
              </w:rPr>
              <w:t>Estoppel</w:t>
            </w:r>
            <w:proofErr w:type="spellEnd"/>
            <w:r w:rsidRPr="009C0EA2">
              <w:rPr>
                <w:rFonts w:eastAsia="Calibri"/>
                <w:sz w:val="20"/>
              </w:rPr>
              <w:t xml:space="preserve"> - Whether the doctrine of </w:t>
            </w:r>
            <w:proofErr w:type="spellStart"/>
            <w:r w:rsidRPr="009C0EA2">
              <w:rPr>
                <w:rFonts w:eastAsia="Calibri"/>
                <w:sz w:val="20"/>
              </w:rPr>
              <w:t>estoppel</w:t>
            </w:r>
            <w:proofErr w:type="spellEnd"/>
            <w:r w:rsidRPr="009C0EA2">
              <w:rPr>
                <w:rFonts w:eastAsia="Calibri"/>
                <w:sz w:val="20"/>
              </w:rPr>
              <w:t xml:space="preserve"> must be defined uniformly by all adjudicators, and strictly accord with uniform definition established by the courts or whether labour arbitrators are entitled to develop their own jurisprudence - Whether the equitable doctrine of </w:t>
            </w:r>
            <w:proofErr w:type="spellStart"/>
            <w:r w:rsidRPr="009C0EA2">
              <w:rPr>
                <w:rFonts w:eastAsia="Calibri"/>
                <w:sz w:val="20"/>
              </w:rPr>
              <w:t>estoppel</w:t>
            </w:r>
            <w:proofErr w:type="spellEnd"/>
            <w:r w:rsidRPr="009C0EA2">
              <w:rPr>
                <w:rFonts w:eastAsia="Calibri"/>
                <w:sz w:val="20"/>
              </w:rPr>
              <w:t xml:space="preserve"> requires that actual knowledge of certain facts and actual intent to affect legal relations exist, or whether constructive knowledge and intention may be implied.</w:t>
            </w:r>
          </w:p>
          <w:p w:rsidR="004D595B" w:rsidRPr="009C0EA2" w:rsidRDefault="004D595B" w:rsidP="004D595B">
            <w:pPr>
              <w:jc w:val="both"/>
              <w:rPr>
                <w:rFonts w:eastAsia="Calibri"/>
                <w:sz w:val="20"/>
              </w:rPr>
            </w:pPr>
          </w:p>
        </w:tc>
      </w:tr>
      <w:tr w:rsidR="004D595B" w:rsidRPr="009C0EA2" w:rsidTr="004D595B">
        <w:tc>
          <w:tcPr>
            <w:tcW w:w="5000" w:type="pct"/>
          </w:tcPr>
          <w:p w:rsidR="004D595B" w:rsidRPr="009C0EA2" w:rsidRDefault="004D595B" w:rsidP="004D595B">
            <w:pPr>
              <w:tabs>
                <w:tab w:val="left" w:pos="4827"/>
              </w:tabs>
              <w:ind w:right="127"/>
              <w:jc w:val="both"/>
              <w:rPr>
                <w:color w:val="000000"/>
                <w:sz w:val="20"/>
              </w:rPr>
            </w:pPr>
            <w:r w:rsidRPr="009C0EA2">
              <w:rPr>
                <w:color w:val="000000"/>
                <w:sz w:val="20"/>
              </w:rPr>
              <w:t>The employer, Nor-Man Regional Health Authority Inc. (“Nor-Man”) and the union were parties to a collective agreement that contained several provisions on casual employees and annual vacations. In July 2008, an employee submitted a grievance, alleging that she had been denied certain vacation benefits, in violation of the collective agreement. She had worked for Nor-Man both on a casual and on a part-time indefinite term basis. According to Article 1104 of the agreement, paid vacation entitlement was based on length of employment and Article 1105 indicated that an employee was entitled to an extra week of paid vacation on the 20</w:t>
            </w:r>
            <w:r w:rsidRPr="009C0EA2">
              <w:rPr>
                <w:color w:val="000000"/>
                <w:sz w:val="20"/>
                <w:vertAlign w:val="superscript"/>
              </w:rPr>
              <w:t>th</w:t>
            </w:r>
            <w:r w:rsidRPr="009C0EA2">
              <w:rPr>
                <w:color w:val="000000"/>
                <w:sz w:val="20"/>
              </w:rPr>
              <w:t xml:space="preserve"> anniversary of her employment.  The </w:t>
            </w:r>
            <w:proofErr w:type="spellStart"/>
            <w:r w:rsidRPr="009C0EA2">
              <w:rPr>
                <w:color w:val="000000"/>
                <w:sz w:val="20"/>
              </w:rPr>
              <w:t>grievor</w:t>
            </w:r>
            <w:proofErr w:type="spellEnd"/>
            <w:r w:rsidRPr="009C0EA2">
              <w:rPr>
                <w:color w:val="000000"/>
                <w:sz w:val="20"/>
              </w:rPr>
              <w:t xml:space="preserve"> claimed that the relevant date for calculating her vacation entitlement was July 12, 1988, when she first became employed as a casual nurse's aide. The employer said it was May 30, 1999, when she became employed in a part-time indefinite term position, and when she started to accrue seniority under the agreement.</w:t>
            </w:r>
          </w:p>
          <w:p w:rsidR="004D595B" w:rsidRPr="009C0EA2" w:rsidRDefault="004D595B" w:rsidP="004D595B">
            <w:pPr>
              <w:tabs>
                <w:tab w:val="left" w:pos="4827"/>
              </w:tabs>
              <w:ind w:right="127"/>
              <w:jc w:val="both"/>
              <w:rPr>
                <w:color w:val="000000"/>
                <w:sz w:val="20"/>
              </w:rPr>
            </w:pPr>
          </w:p>
          <w:p w:rsidR="004D595B" w:rsidRPr="009C0EA2" w:rsidRDefault="004D595B" w:rsidP="004D595B">
            <w:pPr>
              <w:tabs>
                <w:tab w:val="left" w:pos="4827"/>
              </w:tabs>
              <w:ind w:right="127"/>
              <w:jc w:val="both"/>
              <w:rPr>
                <w:sz w:val="20"/>
              </w:rPr>
            </w:pPr>
            <w:r w:rsidRPr="009C0EA2">
              <w:rPr>
                <w:color w:val="000000"/>
                <w:sz w:val="20"/>
              </w:rPr>
              <w:t xml:space="preserve">Nor-Man had consistently interpreted the agreement on the basis that credit for casual time was excluded, since casual employees received vacation pay with each cheque. Further, the union had never questioned the practice.  Seniority reports were regularly produced by Nor-Man, were regularly given to the union and were posted in the workplace. The </w:t>
            </w:r>
            <w:proofErr w:type="spellStart"/>
            <w:r w:rsidRPr="009C0EA2">
              <w:rPr>
                <w:color w:val="000000"/>
                <w:sz w:val="20"/>
              </w:rPr>
              <w:t>grievor’s</w:t>
            </w:r>
            <w:proofErr w:type="spellEnd"/>
            <w:r w:rsidRPr="009C0EA2">
              <w:rPr>
                <w:color w:val="000000"/>
                <w:sz w:val="20"/>
              </w:rPr>
              <w:t xml:space="preserve"> seniority report showed her seniority date as May 30, 1999, and her employment date as July 12, 1988. The union’s position was that all casual time should be counted.</w:t>
            </w:r>
          </w:p>
        </w:tc>
      </w:tr>
    </w:tbl>
    <w:p w:rsidR="004D595B" w:rsidRDefault="004D595B" w:rsidP="004D595B"/>
    <w:tbl>
      <w:tblPr>
        <w:tblW w:w="4952" w:type="pct"/>
        <w:tblLayout w:type="fixed"/>
        <w:tblCellMar>
          <w:left w:w="0" w:type="dxa"/>
          <w:bottom w:w="99" w:type="dxa"/>
          <w:right w:w="0" w:type="dxa"/>
        </w:tblCellMar>
        <w:tblLook w:val="04A0"/>
      </w:tblPr>
      <w:tblGrid>
        <w:gridCol w:w="4624"/>
        <w:gridCol w:w="463"/>
        <w:gridCol w:w="4440"/>
      </w:tblGrid>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November 5, 2008</w:t>
            </w:r>
          </w:p>
          <w:p w:rsidR="004D595B" w:rsidRPr="009C0EA2" w:rsidRDefault="004D595B" w:rsidP="004D595B">
            <w:pPr>
              <w:jc w:val="both"/>
              <w:rPr>
                <w:rFonts w:eastAsia="Calibri"/>
                <w:sz w:val="20"/>
              </w:rPr>
            </w:pPr>
            <w:r w:rsidRPr="009C0EA2">
              <w:rPr>
                <w:rFonts w:eastAsia="Calibri"/>
                <w:sz w:val="20"/>
              </w:rPr>
              <w:t>Manitoba Labour Relations Board</w:t>
            </w:r>
          </w:p>
          <w:p w:rsidR="004D595B" w:rsidRPr="009C0EA2" w:rsidRDefault="004D595B" w:rsidP="00FA3B73">
            <w:pPr>
              <w:jc w:val="both"/>
              <w:rPr>
                <w:rFonts w:eastAsia="Calibri"/>
                <w:sz w:val="20"/>
              </w:rPr>
            </w:pPr>
            <w:r w:rsidRPr="009C0EA2">
              <w:rPr>
                <w:rFonts w:eastAsia="Calibri"/>
                <w:sz w:val="20"/>
              </w:rPr>
              <w:t>Simpson, Arbitrator</w:t>
            </w:r>
          </w:p>
        </w:tc>
        <w:tc>
          <w:tcPr>
            <w:tcW w:w="243" w:type="pct"/>
          </w:tcPr>
          <w:p w:rsidR="004D595B" w:rsidRDefault="004D595B"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Pr="009C0EA2" w:rsidRDefault="00FA3B73"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 xml:space="preserve">Grievance allowed but union </w:t>
            </w:r>
            <w:proofErr w:type="spellStart"/>
            <w:r w:rsidRPr="009C0EA2">
              <w:rPr>
                <w:rFonts w:eastAsia="Calibri"/>
                <w:sz w:val="20"/>
              </w:rPr>
              <w:t>estopped</w:t>
            </w:r>
            <w:proofErr w:type="spellEnd"/>
            <w:r w:rsidRPr="009C0EA2">
              <w:rPr>
                <w:rFonts w:eastAsia="Calibri"/>
                <w:sz w:val="20"/>
              </w:rPr>
              <w:t xml:space="preserve"> from asserting its rights under articles 1104 and 1105 of the collective agreement.</w:t>
            </w: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August 7, 2009</w:t>
            </w:r>
          </w:p>
          <w:p w:rsidR="004D595B" w:rsidRPr="009C0EA2" w:rsidRDefault="004D595B" w:rsidP="004D595B">
            <w:pPr>
              <w:jc w:val="both"/>
              <w:rPr>
                <w:rFonts w:eastAsia="Calibri"/>
                <w:sz w:val="20"/>
              </w:rPr>
            </w:pPr>
            <w:r w:rsidRPr="009C0EA2">
              <w:rPr>
                <w:rFonts w:eastAsia="Calibri"/>
                <w:sz w:val="20"/>
              </w:rPr>
              <w:t>Court of Queen’s Bench of Manitoba</w:t>
            </w:r>
          </w:p>
          <w:p w:rsidR="004D595B" w:rsidRPr="009C0EA2" w:rsidRDefault="004D595B" w:rsidP="004D595B">
            <w:pPr>
              <w:jc w:val="both"/>
              <w:rPr>
                <w:rFonts w:eastAsia="Calibri"/>
                <w:sz w:val="20"/>
              </w:rPr>
            </w:pPr>
            <w:r w:rsidRPr="009C0EA2">
              <w:rPr>
                <w:rFonts w:eastAsia="Calibri"/>
                <w:sz w:val="20"/>
              </w:rPr>
              <w:t>(</w:t>
            </w:r>
            <w:proofErr w:type="spellStart"/>
            <w:r w:rsidRPr="009C0EA2">
              <w:rPr>
                <w:rFonts w:eastAsia="Calibri"/>
                <w:sz w:val="20"/>
              </w:rPr>
              <w:t>Bryk</w:t>
            </w:r>
            <w:proofErr w:type="spellEnd"/>
            <w:r w:rsidRPr="009C0EA2">
              <w:rPr>
                <w:rFonts w:eastAsia="Calibri"/>
                <w:sz w:val="20"/>
              </w:rPr>
              <w:t xml:space="preserve"> J.)</w:t>
            </w:r>
          </w:p>
          <w:p w:rsidR="004D595B" w:rsidRPr="009C0EA2" w:rsidRDefault="004D595B" w:rsidP="00FA3B73">
            <w:pPr>
              <w:jc w:val="both"/>
              <w:rPr>
                <w:rFonts w:eastAsia="Calibri"/>
                <w:sz w:val="20"/>
              </w:rPr>
            </w:pPr>
            <w:r w:rsidRPr="009C0EA2">
              <w:rPr>
                <w:rFonts w:eastAsia="Calibri"/>
                <w:sz w:val="20"/>
              </w:rPr>
              <w:t>2009 MBQB 213</w:t>
            </w:r>
          </w:p>
        </w:tc>
        <w:tc>
          <w:tcPr>
            <w:tcW w:w="243" w:type="pct"/>
          </w:tcPr>
          <w:p w:rsidR="004D595B" w:rsidRDefault="004D595B"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Pr="009C0EA2" w:rsidRDefault="00FA3B73"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Application for judicial review dismissed</w:t>
            </w:r>
          </w:p>
          <w:p w:rsidR="004D595B" w:rsidRPr="009C0EA2" w:rsidRDefault="004D595B" w:rsidP="004D595B">
            <w:pPr>
              <w:jc w:val="both"/>
              <w:rPr>
                <w:rFonts w:eastAsia="Calibri"/>
                <w:sz w:val="20"/>
              </w:rPr>
            </w:pP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May 18, 2010</w:t>
            </w:r>
          </w:p>
          <w:p w:rsidR="004D595B" w:rsidRPr="009C0EA2" w:rsidRDefault="004D595B" w:rsidP="004D595B">
            <w:pPr>
              <w:jc w:val="both"/>
              <w:rPr>
                <w:rFonts w:eastAsia="Calibri"/>
                <w:sz w:val="20"/>
              </w:rPr>
            </w:pPr>
            <w:r w:rsidRPr="009C0EA2">
              <w:rPr>
                <w:rFonts w:eastAsia="Calibri"/>
                <w:sz w:val="20"/>
              </w:rPr>
              <w:t>Court of Appeal of Manitoba</w:t>
            </w:r>
          </w:p>
          <w:p w:rsidR="004D595B" w:rsidRPr="009C0EA2" w:rsidRDefault="004D595B" w:rsidP="004D595B">
            <w:pPr>
              <w:jc w:val="both"/>
              <w:rPr>
                <w:rFonts w:eastAsia="Calibri"/>
                <w:sz w:val="20"/>
              </w:rPr>
            </w:pPr>
            <w:r w:rsidRPr="009C0EA2">
              <w:rPr>
                <w:rFonts w:eastAsia="Calibri"/>
                <w:sz w:val="20"/>
              </w:rPr>
              <w:t>(</w:t>
            </w:r>
            <w:proofErr w:type="spellStart"/>
            <w:r w:rsidRPr="009C0EA2">
              <w:rPr>
                <w:rFonts w:eastAsia="Calibri"/>
                <w:sz w:val="20"/>
              </w:rPr>
              <w:t>Monnin</w:t>
            </w:r>
            <w:proofErr w:type="spellEnd"/>
            <w:r w:rsidRPr="009C0EA2">
              <w:rPr>
                <w:rFonts w:eastAsia="Calibri"/>
                <w:sz w:val="20"/>
              </w:rPr>
              <w:t>, Steel and Freedman JJ.A.)</w:t>
            </w:r>
          </w:p>
          <w:p w:rsidR="004D595B" w:rsidRPr="009C0EA2" w:rsidRDefault="004D595B" w:rsidP="00FA3B73">
            <w:pPr>
              <w:jc w:val="both"/>
              <w:rPr>
                <w:rFonts w:eastAsia="Calibri"/>
                <w:sz w:val="20"/>
              </w:rPr>
            </w:pPr>
            <w:r w:rsidRPr="009C0EA2">
              <w:rPr>
                <w:rFonts w:eastAsia="Calibri"/>
                <w:sz w:val="20"/>
              </w:rPr>
              <w:t>2010 MBCA 55</w:t>
            </w:r>
          </w:p>
        </w:tc>
        <w:tc>
          <w:tcPr>
            <w:tcW w:w="243" w:type="pct"/>
          </w:tcPr>
          <w:p w:rsidR="004D595B" w:rsidRDefault="004D595B"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Default="00FA3B73" w:rsidP="004D595B">
            <w:pPr>
              <w:jc w:val="both"/>
              <w:rPr>
                <w:rFonts w:eastAsia="Calibri"/>
                <w:sz w:val="20"/>
              </w:rPr>
            </w:pPr>
          </w:p>
          <w:p w:rsidR="00FA3B73" w:rsidRPr="009C0EA2" w:rsidRDefault="00FA3B73"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Appeal allowed</w:t>
            </w:r>
          </w:p>
          <w:p w:rsidR="004D595B" w:rsidRPr="009C0EA2" w:rsidRDefault="004D595B" w:rsidP="004D595B">
            <w:pPr>
              <w:jc w:val="both"/>
              <w:rPr>
                <w:rFonts w:eastAsia="Calibri"/>
                <w:sz w:val="20"/>
              </w:rPr>
            </w:pPr>
          </w:p>
        </w:tc>
      </w:tr>
      <w:tr w:rsidR="004D595B" w:rsidRPr="009C0EA2" w:rsidTr="004D595B">
        <w:trPr>
          <w:cantSplit/>
        </w:trPr>
        <w:tc>
          <w:tcPr>
            <w:tcW w:w="2427" w:type="pct"/>
          </w:tcPr>
          <w:p w:rsidR="004D595B" w:rsidRPr="009C0EA2" w:rsidRDefault="004D595B" w:rsidP="004D595B">
            <w:pPr>
              <w:jc w:val="both"/>
              <w:rPr>
                <w:rFonts w:eastAsia="Calibri"/>
                <w:sz w:val="20"/>
              </w:rPr>
            </w:pPr>
            <w:r w:rsidRPr="009C0EA2">
              <w:rPr>
                <w:rFonts w:eastAsia="Calibri"/>
                <w:sz w:val="20"/>
              </w:rPr>
              <w:t>August 16, 2010</w:t>
            </w:r>
          </w:p>
          <w:p w:rsidR="004D595B" w:rsidRPr="009C0EA2" w:rsidRDefault="004D595B" w:rsidP="004D595B">
            <w:pPr>
              <w:jc w:val="both"/>
              <w:rPr>
                <w:rFonts w:eastAsia="Calibri"/>
                <w:sz w:val="20"/>
              </w:rPr>
            </w:pPr>
            <w:r w:rsidRPr="009C0EA2">
              <w:rPr>
                <w:rFonts w:eastAsia="Calibri"/>
                <w:sz w:val="20"/>
              </w:rPr>
              <w:t>Supreme Court of Canada</w:t>
            </w:r>
          </w:p>
        </w:tc>
        <w:tc>
          <w:tcPr>
            <w:tcW w:w="243" w:type="pct"/>
          </w:tcPr>
          <w:p w:rsidR="004D595B" w:rsidRPr="009C0EA2" w:rsidRDefault="004D595B" w:rsidP="004D595B">
            <w:pPr>
              <w:jc w:val="both"/>
              <w:rPr>
                <w:rFonts w:eastAsia="Calibri"/>
                <w:sz w:val="20"/>
              </w:rPr>
            </w:pPr>
          </w:p>
        </w:tc>
        <w:tc>
          <w:tcPr>
            <w:tcW w:w="2330" w:type="pct"/>
          </w:tcPr>
          <w:p w:rsidR="004D595B" w:rsidRPr="009C0EA2" w:rsidRDefault="004D595B" w:rsidP="004D595B">
            <w:pPr>
              <w:jc w:val="both"/>
              <w:rPr>
                <w:rFonts w:eastAsia="Calibri"/>
                <w:sz w:val="20"/>
              </w:rPr>
            </w:pPr>
            <w:r w:rsidRPr="009C0EA2">
              <w:rPr>
                <w:rFonts w:eastAsia="Calibri"/>
                <w:sz w:val="20"/>
              </w:rPr>
              <w:t>Application for leave to appeal filed</w:t>
            </w:r>
          </w:p>
          <w:p w:rsidR="004D595B" w:rsidRPr="009C0EA2" w:rsidRDefault="004D595B" w:rsidP="004D595B">
            <w:pPr>
              <w:jc w:val="both"/>
              <w:rPr>
                <w:rFonts w:eastAsia="Calibri"/>
                <w:sz w:val="20"/>
              </w:rPr>
            </w:pPr>
          </w:p>
        </w:tc>
      </w:tr>
    </w:tbl>
    <w:p w:rsidR="004D595B" w:rsidRDefault="004D595B" w:rsidP="00F94A8D">
      <w:pPr>
        <w:keepNext/>
        <w:rPr>
          <w:sz w:val="20"/>
          <w:szCs w:val="20"/>
        </w:rPr>
      </w:pPr>
    </w:p>
    <w:p w:rsidR="00F94A8D" w:rsidRPr="00C50A5C" w:rsidRDefault="003E770A" w:rsidP="00F94A8D">
      <w:pPr>
        <w:rPr>
          <w:sz w:val="20"/>
          <w:szCs w:val="20"/>
        </w:rPr>
      </w:pPr>
      <w:r w:rsidRPr="003E770A">
        <w:rPr>
          <w:sz w:val="20"/>
          <w:szCs w:val="20"/>
          <w:lang w:val="fr-CA"/>
        </w:rPr>
        <w:pict>
          <v:rect id="_x0000_i1055"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4D595B" w:rsidRPr="003B380E" w:rsidTr="004D595B">
        <w:tc>
          <w:tcPr>
            <w:tcW w:w="5000" w:type="pct"/>
          </w:tcPr>
          <w:p w:rsidR="004D595B" w:rsidRPr="009C0EA2" w:rsidRDefault="004D595B" w:rsidP="004D595B">
            <w:pPr>
              <w:jc w:val="both"/>
              <w:rPr>
                <w:rFonts w:eastAsia="Calibri"/>
                <w:sz w:val="20"/>
                <w:lang w:val="fr-CA"/>
              </w:rPr>
            </w:pPr>
            <w:r w:rsidRPr="009C0EA2">
              <w:rPr>
                <w:rFonts w:eastAsia="Calibri"/>
                <w:sz w:val="20"/>
                <w:lang w:val="fr-CA"/>
              </w:rPr>
              <w:t xml:space="preserve">Relations du travail – Conventions collectives – Grief - </w:t>
            </w:r>
            <w:proofErr w:type="spellStart"/>
            <w:r w:rsidRPr="009C0EA2">
              <w:rPr>
                <w:rFonts w:eastAsia="Calibri"/>
                <w:sz w:val="20"/>
                <w:lang w:val="fr-CA"/>
              </w:rPr>
              <w:t>Préclusion</w:t>
            </w:r>
            <w:proofErr w:type="spellEnd"/>
            <w:r w:rsidRPr="009C0EA2">
              <w:rPr>
                <w:rFonts w:eastAsia="Calibri"/>
                <w:sz w:val="20"/>
                <w:lang w:val="fr-CA"/>
              </w:rPr>
              <w:t xml:space="preserve"> – La règle de la </w:t>
            </w:r>
            <w:proofErr w:type="spellStart"/>
            <w:r w:rsidRPr="009C0EA2">
              <w:rPr>
                <w:rFonts w:eastAsia="Calibri"/>
                <w:sz w:val="20"/>
                <w:lang w:val="fr-CA"/>
              </w:rPr>
              <w:t>préclusion</w:t>
            </w:r>
            <w:proofErr w:type="spellEnd"/>
            <w:r w:rsidRPr="009C0EA2">
              <w:rPr>
                <w:rFonts w:eastAsia="Calibri"/>
                <w:sz w:val="20"/>
                <w:lang w:val="fr-CA"/>
              </w:rPr>
              <w:t xml:space="preserve"> doit-elle être définie uniformément par tous les arbitres et doit-elle être strictement conforme à la définition uniforme établie par les tribunaux ou est-il loisible aux arbitres du travail d’élaborer leur propre jurisprudence? – En vertu de la règle de la </w:t>
            </w:r>
            <w:proofErr w:type="spellStart"/>
            <w:r w:rsidRPr="009C0EA2">
              <w:rPr>
                <w:rFonts w:eastAsia="Calibri"/>
                <w:sz w:val="20"/>
                <w:lang w:val="fr-CA"/>
              </w:rPr>
              <w:lastRenderedPageBreak/>
              <w:t>préclusion</w:t>
            </w:r>
            <w:proofErr w:type="spellEnd"/>
            <w:r w:rsidRPr="009C0EA2">
              <w:rPr>
                <w:rFonts w:eastAsia="Calibri"/>
                <w:sz w:val="20"/>
                <w:lang w:val="fr-CA"/>
              </w:rPr>
              <w:t xml:space="preserve"> en </w:t>
            </w:r>
            <w:proofErr w:type="spellStart"/>
            <w:r w:rsidRPr="009C0EA2">
              <w:rPr>
                <w:rFonts w:eastAsia="Calibri"/>
                <w:sz w:val="20"/>
                <w:lang w:val="fr-CA"/>
              </w:rPr>
              <w:t>equity</w:t>
            </w:r>
            <w:proofErr w:type="spellEnd"/>
            <w:r w:rsidRPr="009C0EA2">
              <w:rPr>
                <w:rFonts w:eastAsia="Calibri"/>
                <w:sz w:val="20"/>
                <w:lang w:val="fr-CA"/>
              </w:rPr>
              <w:t>, faut-il avoir une connaissance réelle de certains faits et l’intention réelle de modifier les rapports juridiques, ou bien est-ce que cette connaissance et cette intention peuvent être implicites, par interprétation?</w:t>
            </w:r>
          </w:p>
          <w:p w:rsidR="004D595B" w:rsidRPr="009C0EA2" w:rsidRDefault="004D595B" w:rsidP="004D595B">
            <w:pPr>
              <w:jc w:val="both"/>
              <w:rPr>
                <w:rFonts w:eastAsia="Calibri"/>
                <w:sz w:val="20"/>
                <w:lang w:val="fr-CA"/>
              </w:rPr>
            </w:pPr>
          </w:p>
        </w:tc>
      </w:tr>
      <w:tr w:rsidR="004D595B" w:rsidRPr="003B380E" w:rsidTr="004D595B">
        <w:tc>
          <w:tcPr>
            <w:tcW w:w="5000" w:type="pct"/>
          </w:tcPr>
          <w:p w:rsidR="004D595B" w:rsidRPr="009C0EA2" w:rsidRDefault="004D595B" w:rsidP="004D595B">
            <w:pPr>
              <w:tabs>
                <w:tab w:val="left" w:pos="4827"/>
              </w:tabs>
              <w:ind w:right="127"/>
              <w:jc w:val="both"/>
              <w:rPr>
                <w:color w:val="000000"/>
                <w:sz w:val="20"/>
                <w:lang w:val="fr-CA"/>
              </w:rPr>
            </w:pPr>
            <w:proofErr w:type="spellStart"/>
            <w:r w:rsidRPr="009C0EA2">
              <w:rPr>
                <w:color w:val="000000"/>
                <w:sz w:val="20"/>
              </w:rPr>
              <w:lastRenderedPageBreak/>
              <w:t>L’employeur</w:t>
            </w:r>
            <w:proofErr w:type="spellEnd"/>
            <w:r w:rsidRPr="009C0EA2">
              <w:rPr>
                <w:color w:val="000000"/>
                <w:sz w:val="20"/>
              </w:rPr>
              <w:t xml:space="preserve">, Nor-Man Regional Health Authority Inc. </w:t>
            </w:r>
            <w:r w:rsidRPr="009C0EA2">
              <w:rPr>
                <w:color w:val="000000"/>
                <w:sz w:val="20"/>
                <w:lang w:val="fr-CA"/>
              </w:rPr>
              <w:t>(« </w:t>
            </w:r>
            <w:proofErr w:type="spellStart"/>
            <w:r w:rsidRPr="009C0EA2">
              <w:rPr>
                <w:color w:val="000000"/>
                <w:sz w:val="20"/>
                <w:lang w:val="fr-CA"/>
              </w:rPr>
              <w:t>Nor-Man</w:t>
            </w:r>
            <w:proofErr w:type="spellEnd"/>
            <w:r w:rsidRPr="009C0EA2">
              <w:rPr>
                <w:color w:val="000000"/>
                <w:sz w:val="20"/>
                <w:lang w:val="fr-CA"/>
              </w:rPr>
              <w:t xml:space="preserve"> ») et le syndicat étaient parties à une convention collective qui renfermait plusieurs dispositions relatives aux employés occasionnels et aux vacances annuelles. En juillet 2008, une employée a déposé un grief, alléguant s’être vu refuser certaines indemnités de vacances, contrairement à la convention collective. Elle avait travaillé pour </w:t>
            </w:r>
            <w:proofErr w:type="spellStart"/>
            <w:r w:rsidRPr="009C0EA2">
              <w:rPr>
                <w:color w:val="000000"/>
                <w:sz w:val="20"/>
                <w:lang w:val="fr-CA"/>
              </w:rPr>
              <w:t>Nor-Man</w:t>
            </w:r>
            <w:proofErr w:type="spellEnd"/>
            <w:r w:rsidRPr="009C0EA2">
              <w:rPr>
                <w:color w:val="000000"/>
                <w:sz w:val="20"/>
                <w:lang w:val="fr-CA"/>
              </w:rPr>
              <w:t xml:space="preserve"> à titre occasionnel et aussi à temps partiel pour une durée indéterminée. En vertu de l’article 1104 de la convention, le droit à des vacances payées était fondé sur la durée de l’emploi et l’article 1105 prévoyait que l’employé avait droit à une semaine supplémentaire de vacances payées au 20</w:t>
            </w:r>
            <w:r w:rsidRPr="009C0EA2">
              <w:rPr>
                <w:color w:val="000000"/>
                <w:sz w:val="20"/>
                <w:vertAlign w:val="superscript"/>
                <w:lang w:val="fr-CA"/>
              </w:rPr>
              <w:t>e</w:t>
            </w:r>
            <w:r w:rsidRPr="009C0EA2">
              <w:rPr>
                <w:color w:val="000000"/>
                <w:sz w:val="20"/>
                <w:lang w:val="fr-CA"/>
              </w:rPr>
              <w:t xml:space="preserve"> anniversaire de son embauche. La plaignante prétendait que la date pertinente aux fins du calcul de son droit à des vacances était le 12 juillet 1988, lorsqu’elle a été embauchée pour la première fois comme aide-infirmière à titre occasionnel. L’employeur affirmait que la date pertinente était le 30 mai 1999, lorsqu’elle a été embauchée à un poste à temps partiel pour une durée indéterminée et lorsqu’elle a commencé à accumuler de l’ancienneté en vertu de la convention. </w:t>
            </w:r>
          </w:p>
          <w:p w:rsidR="004D595B" w:rsidRPr="009C0EA2" w:rsidRDefault="004D595B" w:rsidP="004D595B">
            <w:pPr>
              <w:tabs>
                <w:tab w:val="left" w:pos="4827"/>
              </w:tabs>
              <w:ind w:right="127"/>
              <w:jc w:val="both"/>
              <w:rPr>
                <w:color w:val="000000"/>
                <w:sz w:val="20"/>
                <w:lang w:val="fr-CA"/>
              </w:rPr>
            </w:pPr>
          </w:p>
          <w:p w:rsidR="004D595B" w:rsidRPr="009C0EA2" w:rsidRDefault="004D595B" w:rsidP="004D595B">
            <w:pPr>
              <w:tabs>
                <w:tab w:val="left" w:pos="4827"/>
              </w:tabs>
              <w:ind w:right="127"/>
              <w:jc w:val="both"/>
              <w:rPr>
                <w:sz w:val="20"/>
                <w:lang w:val="fr-CA"/>
              </w:rPr>
            </w:pPr>
            <w:proofErr w:type="spellStart"/>
            <w:r w:rsidRPr="009C0EA2">
              <w:rPr>
                <w:color w:val="000000"/>
                <w:sz w:val="20"/>
                <w:lang w:val="fr-CA"/>
              </w:rPr>
              <w:t>Nor-Man</w:t>
            </w:r>
            <w:proofErr w:type="spellEnd"/>
            <w:r w:rsidRPr="009C0EA2">
              <w:rPr>
                <w:color w:val="000000"/>
                <w:sz w:val="20"/>
                <w:lang w:val="fr-CA"/>
              </w:rPr>
              <w:t xml:space="preserve"> avait toujours interprété la convention en considérant que la durée d’embauche à titre occasionnel était exclue, puisque les employés occasionnels recevaient une indemnité de vacances avec chaque chèque. En outre, le syndicat n’avait jamais contesté cette pratique.  </w:t>
            </w:r>
            <w:proofErr w:type="spellStart"/>
            <w:r w:rsidRPr="009C0EA2">
              <w:rPr>
                <w:color w:val="000000"/>
                <w:sz w:val="20"/>
                <w:lang w:val="fr-CA"/>
              </w:rPr>
              <w:t>Nor-Man</w:t>
            </w:r>
            <w:proofErr w:type="spellEnd"/>
            <w:r w:rsidRPr="009C0EA2">
              <w:rPr>
                <w:color w:val="000000"/>
                <w:sz w:val="20"/>
                <w:lang w:val="fr-CA"/>
              </w:rPr>
              <w:t xml:space="preserve"> produisait régulièrement des rapports d’ancienneté qui étaient régulièrement donnés au syndicat et affichés au lieu de travail. Le rapport d’ancienneté de la plaignante indiquait que sa date d’ancienneté était le 30 mai 1999 et que sa date d’embauche était le 12 juillet 1988. La position du syndicat était que tout le temps d’emploi occasionnel devait être compté.</w:t>
            </w:r>
          </w:p>
        </w:tc>
      </w:tr>
    </w:tbl>
    <w:p w:rsidR="004D595B" w:rsidRPr="004D595B" w:rsidRDefault="004D595B" w:rsidP="004D595B">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4D595B" w:rsidRPr="003B380E" w:rsidTr="004D595B">
        <w:trPr>
          <w:cantSplit/>
        </w:trPr>
        <w:tc>
          <w:tcPr>
            <w:tcW w:w="2427" w:type="pct"/>
          </w:tcPr>
          <w:p w:rsidR="004D595B" w:rsidRPr="009C0EA2" w:rsidRDefault="004D595B" w:rsidP="004D595B">
            <w:pPr>
              <w:jc w:val="both"/>
              <w:rPr>
                <w:rFonts w:eastAsia="Calibri"/>
                <w:sz w:val="20"/>
                <w:lang w:val="fr-CA"/>
              </w:rPr>
            </w:pPr>
            <w:r w:rsidRPr="009C0EA2">
              <w:rPr>
                <w:rFonts w:eastAsia="Calibri"/>
                <w:sz w:val="20"/>
                <w:lang w:val="fr-CA"/>
              </w:rPr>
              <w:t>5 novembre 2008</w:t>
            </w:r>
          </w:p>
          <w:p w:rsidR="004D595B" w:rsidRPr="009C0EA2" w:rsidRDefault="004D595B" w:rsidP="004D595B">
            <w:pPr>
              <w:jc w:val="both"/>
              <w:rPr>
                <w:rFonts w:eastAsia="Calibri"/>
                <w:sz w:val="20"/>
                <w:lang w:val="fr-CA"/>
              </w:rPr>
            </w:pPr>
            <w:r w:rsidRPr="009C0EA2">
              <w:rPr>
                <w:rFonts w:eastAsia="Calibri"/>
                <w:sz w:val="20"/>
                <w:lang w:val="fr-CA"/>
              </w:rPr>
              <w:t>Commission du travail du Manitoba</w:t>
            </w:r>
          </w:p>
          <w:p w:rsidR="004D595B" w:rsidRPr="009C0EA2" w:rsidRDefault="004D595B" w:rsidP="00FA3B73">
            <w:pPr>
              <w:jc w:val="both"/>
              <w:rPr>
                <w:rFonts w:eastAsia="Calibri"/>
                <w:sz w:val="20"/>
                <w:lang w:val="fr-CA"/>
              </w:rPr>
            </w:pPr>
            <w:r w:rsidRPr="009C0EA2">
              <w:rPr>
                <w:rFonts w:eastAsia="Calibri"/>
                <w:sz w:val="20"/>
                <w:lang w:val="fr-CA"/>
              </w:rPr>
              <w:t>Arbitre Simpson</w:t>
            </w:r>
          </w:p>
        </w:tc>
        <w:tc>
          <w:tcPr>
            <w:tcW w:w="243" w:type="pct"/>
          </w:tcPr>
          <w:p w:rsidR="004D595B" w:rsidRDefault="004D595B" w:rsidP="004D595B">
            <w:pPr>
              <w:jc w:val="both"/>
              <w:rPr>
                <w:rFonts w:eastAsia="Calibri"/>
                <w:sz w:val="20"/>
                <w:lang w:val="fr-CA"/>
              </w:rPr>
            </w:pPr>
          </w:p>
          <w:p w:rsidR="00FA3B73" w:rsidRDefault="00FA3B73" w:rsidP="004D595B">
            <w:pPr>
              <w:jc w:val="both"/>
              <w:rPr>
                <w:rFonts w:eastAsia="Calibri"/>
                <w:sz w:val="20"/>
                <w:lang w:val="fr-CA"/>
              </w:rPr>
            </w:pPr>
          </w:p>
          <w:p w:rsidR="00FA3B73" w:rsidRDefault="00FA3B73" w:rsidP="004D595B">
            <w:pPr>
              <w:jc w:val="both"/>
              <w:rPr>
                <w:rFonts w:eastAsia="Calibri"/>
                <w:sz w:val="20"/>
                <w:lang w:val="fr-CA"/>
              </w:rPr>
            </w:pPr>
          </w:p>
          <w:p w:rsidR="00FA3B73" w:rsidRPr="009C0EA2" w:rsidRDefault="00FA3B73" w:rsidP="004D595B">
            <w:pPr>
              <w:jc w:val="both"/>
              <w:rPr>
                <w:rFonts w:eastAsia="Calibri"/>
                <w:sz w:val="20"/>
                <w:lang w:val="fr-CA"/>
              </w:rPr>
            </w:pPr>
          </w:p>
        </w:tc>
        <w:tc>
          <w:tcPr>
            <w:tcW w:w="2330" w:type="pct"/>
          </w:tcPr>
          <w:p w:rsidR="004D595B" w:rsidRPr="009C0EA2" w:rsidRDefault="004D595B" w:rsidP="004D595B">
            <w:pPr>
              <w:jc w:val="both"/>
              <w:rPr>
                <w:rFonts w:eastAsia="Calibri"/>
                <w:sz w:val="20"/>
                <w:lang w:val="fr-CA"/>
              </w:rPr>
            </w:pPr>
            <w:r w:rsidRPr="009C0EA2">
              <w:rPr>
                <w:rFonts w:eastAsia="Calibri"/>
                <w:sz w:val="20"/>
                <w:lang w:val="fr-CA"/>
              </w:rPr>
              <w:t xml:space="preserve">Grief accueilli, mais le syndicat est </w:t>
            </w:r>
            <w:proofErr w:type="spellStart"/>
            <w:r w:rsidRPr="009C0EA2">
              <w:rPr>
                <w:rFonts w:eastAsia="Calibri"/>
                <w:sz w:val="20"/>
                <w:lang w:val="fr-CA"/>
              </w:rPr>
              <w:t>préclus</w:t>
            </w:r>
            <w:proofErr w:type="spellEnd"/>
            <w:r w:rsidRPr="009C0EA2">
              <w:rPr>
                <w:rFonts w:eastAsia="Calibri"/>
                <w:sz w:val="20"/>
                <w:lang w:val="fr-CA"/>
              </w:rPr>
              <w:t xml:space="preserve"> d’invoquer ses droits en vertu des articles 1104 et 1105 de la convention collective.</w:t>
            </w:r>
          </w:p>
        </w:tc>
      </w:tr>
      <w:tr w:rsidR="004D595B" w:rsidRPr="009C0EA2" w:rsidTr="004D595B">
        <w:trPr>
          <w:cantSplit/>
        </w:trPr>
        <w:tc>
          <w:tcPr>
            <w:tcW w:w="2427" w:type="pct"/>
          </w:tcPr>
          <w:p w:rsidR="004D595B" w:rsidRPr="009C0EA2" w:rsidRDefault="004D595B" w:rsidP="004D595B">
            <w:pPr>
              <w:jc w:val="both"/>
              <w:rPr>
                <w:rFonts w:eastAsia="Calibri"/>
                <w:sz w:val="20"/>
                <w:lang w:val="fr-CA"/>
              </w:rPr>
            </w:pPr>
            <w:r w:rsidRPr="009C0EA2">
              <w:rPr>
                <w:rFonts w:eastAsia="Calibri"/>
                <w:sz w:val="20"/>
                <w:lang w:val="fr-CA"/>
              </w:rPr>
              <w:t>7 août 2009</w:t>
            </w:r>
          </w:p>
          <w:p w:rsidR="004D595B" w:rsidRPr="009C0EA2" w:rsidRDefault="004D595B" w:rsidP="004D595B">
            <w:pPr>
              <w:jc w:val="both"/>
              <w:rPr>
                <w:rFonts w:eastAsia="Calibri"/>
                <w:sz w:val="20"/>
                <w:lang w:val="fr-CA"/>
              </w:rPr>
            </w:pPr>
            <w:r w:rsidRPr="009C0EA2">
              <w:rPr>
                <w:rFonts w:eastAsia="Calibri"/>
                <w:sz w:val="20"/>
                <w:lang w:val="fr-CA"/>
              </w:rPr>
              <w:t>Cour du Banc de la Reine du Manitoba</w:t>
            </w:r>
          </w:p>
          <w:p w:rsidR="004D595B" w:rsidRPr="009C0EA2" w:rsidRDefault="004D595B" w:rsidP="004D595B">
            <w:pPr>
              <w:jc w:val="both"/>
              <w:rPr>
                <w:rFonts w:eastAsia="Calibri"/>
                <w:sz w:val="20"/>
                <w:lang w:val="fr-CA"/>
              </w:rPr>
            </w:pPr>
            <w:r w:rsidRPr="009C0EA2">
              <w:rPr>
                <w:rFonts w:eastAsia="Calibri"/>
                <w:sz w:val="20"/>
                <w:lang w:val="fr-CA"/>
              </w:rPr>
              <w:t xml:space="preserve">(Juge </w:t>
            </w:r>
            <w:proofErr w:type="spellStart"/>
            <w:r w:rsidRPr="009C0EA2">
              <w:rPr>
                <w:rFonts w:eastAsia="Calibri"/>
                <w:sz w:val="20"/>
                <w:lang w:val="fr-CA"/>
              </w:rPr>
              <w:t>Bryk</w:t>
            </w:r>
            <w:proofErr w:type="spellEnd"/>
            <w:r w:rsidRPr="009C0EA2">
              <w:rPr>
                <w:rFonts w:eastAsia="Calibri"/>
                <w:sz w:val="20"/>
                <w:lang w:val="fr-CA"/>
              </w:rPr>
              <w:t>)</w:t>
            </w:r>
          </w:p>
          <w:p w:rsidR="004D595B" w:rsidRPr="009C0EA2" w:rsidRDefault="004D595B" w:rsidP="00FA3B73">
            <w:pPr>
              <w:jc w:val="both"/>
              <w:rPr>
                <w:rFonts w:eastAsia="Calibri"/>
                <w:sz w:val="20"/>
                <w:lang w:val="fr-CA"/>
              </w:rPr>
            </w:pPr>
            <w:r w:rsidRPr="009C0EA2">
              <w:rPr>
                <w:rFonts w:eastAsia="Calibri"/>
                <w:sz w:val="20"/>
                <w:lang w:val="fr-CA"/>
              </w:rPr>
              <w:t>2009 MBQB 213</w:t>
            </w:r>
          </w:p>
        </w:tc>
        <w:tc>
          <w:tcPr>
            <w:tcW w:w="243" w:type="pct"/>
          </w:tcPr>
          <w:p w:rsidR="004D595B" w:rsidRDefault="004D595B" w:rsidP="004D595B">
            <w:pPr>
              <w:jc w:val="both"/>
              <w:rPr>
                <w:rFonts w:eastAsia="Calibri"/>
                <w:sz w:val="20"/>
                <w:lang w:val="fr-CA"/>
              </w:rPr>
            </w:pPr>
          </w:p>
          <w:p w:rsidR="00FA3B73" w:rsidRDefault="00FA3B73" w:rsidP="004D595B">
            <w:pPr>
              <w:jc w:val="both"/>
              <w:rPr>
                <w:rFonts w:eastAsia="Calibri"/>
                <w:sz w:val="20"/>
                <w:lang w:val="fr-CA"/>
              </w:rPr>
            </w:pPr>
          </w:p>
          <w:p w:rsidR="00FA3B73" w:rsidRDefault="00FA3B73" w:rsidP="004D595B">
            <w:pPr>
              <w:jc w:val="both"/>
              <w:rPr>
                <w:rFonts w:eastAsia="Calibri"/>
                <w:sz w:val="20"/>
                <w:lang w:val="fr-CA"/>
              </w:rPr>
            </w:pPr>
          </w:p>
          <w:p w:rsidR="00FA3B73" w:rsidRDefault="00FA3B73" w:rsidP="004D595B">
            <w:pPr>
              <w:jc w:val="both"/>
              <w:rPr>
                <w:rFonts w:eastAsia="Calibri"/>
                <w:sz w:val="20"/>
                <w:lang w:val="fr-CA"/>
              </w:rPr>
            </w:pPr>
          </w:p>
          <w:p w:rsidR="00FA3B73" w:rsidRPr="009C0EA2" w:rsidRDefault="00FA3B73" w:rsidP="004D595B">
            <w:pPr>
              <w:jc w:val="both"/>
              <w:rPr>
                <w:rFonts w:eastAsia="Calibri"/>
                <w:sz w:val="20"/>
                <w:lang w:val="fr-CA"/>
              </w:rPr>
            </w:pPr>
          </w:p>
        </w:tc>
        <w:tc>
          <w:tcPr>
            <w:tcW w:w="2330" w:type="pct"/>
          </w:tcPr>
          <w:p w:rsidR="004D595B" w:rsidRPr="009C0EA2" w:rsidRDefault="004D595B" w:rsidP="004D595B">
            <w:pPr>
              <w:jc w:val="both"/>
              <w:rPr>
                <w:rFonts w:eastAsia="Calibri"/>
                <w:sz w:val="20"/>
                <w:lang w:val="fr-CA"/>
              </w:rPr>
            </w:pPr>
            <w:r w:rsidRPr="009C0EA2">
              <w:rPr>
                <w:rFonts w:eastAsia="Calibri"/>
                <w:sz w:val="20"/>
                <w:lang w:val="fr-CA"/>
              </w:rPr>
              <w:t>Demande de contrôle judiciaire rejetée</w:t>
            </w:r>
          </w:p>
          <w:p w:rsidR="004D595B" w:rsidRPr="009C0EA2" w:rsidRDefault="004D595B" w:rsidP="004D595B">
            <w:pPr>
              <w:jc w:val="both"/>
              <w:rPr>
                <w:rFonts w:eastAsia="Calibri"/>
                <w:sz w:val="20"/>
                <w:lang w:val="fr-CA"/>
              </w:rPr>
            </w:pPr>
          </w:p>
        </w:tc>
      </w:tr>
      <w:tr w:rsidR="004D595B" w:rsidRPr="009C0EA2" w:rsidTr="004D595B">
        <w:trPr>
          <w:cantSplit/>
        </w:trPr>
        <w:tc>
          <w:tcPr>
            <w:tcW w:w="2427" w:type="pct"/>
          </w:tcPr>
          <w:p w:rsidR="004D595B" w:rsidRPr="009C0EA2" w:rsidRDefault="004D595B" w:rsidP="004D595B">
            <w:pPr>
              <w:jc w:val="both"/>
              <w:rPr>
                <w:rFonts w:eastAsia="Calibri"/>
                <w:sz w:val="20"/>
                <w:lang w:val="fr-CA"/>
              </w:rPr>
            </w:pPr>
            <w:r w:rsidRPr="009C0EA2">
              <w:rPr>
                <w:rFonts w:eastAsia="Calibri"/>
                <w:sz w:val="20"/>
                <w:lang w:val="fr-CA"/>
              </w:rPr>
              <w:t>18 mai 2010</w:t>
            </w:r>
          </w:p>
          <w:p w:rsidR="004D595B" w:rsidRPr="009C0EA2" w:rsidRDefault="004D595B" w:rsidP="004D595B">
            <w:pPr>
              <w:jc w:val="both"/>
              <w:rPr>
                <w:rFonts w:eastAsia="Calibri"/>
                <w:sz w:val="20"/>
                <w:lang w:val="fr-CA"/>
              </w:rPr>
            </w:pPr>
            <w:r w:rsidRPr="009C0EA2">
              <w:rPr>
                <w:rFonts w:eastAsia="Calibri"/>
                <w:sz w:val="20"/>
                <w:lang w:val="fr-CA"/>
              </w:rPr>
              <w:t>Cour d’appel du Manitoba</w:t>
            </w:r>
          </w:p>
          <w:p w:rsidR="004D595B" w:rsidRPr="009C0EA2" w:rsidRDefault="004D595B" w:rsidP="004D595B">
            <w:pPr>
              <w:jc w:val="both"/>
              <w:rPr>
                <w:rFonts w:eastAsia="Calibri"/>
                <w:sz w:val="20"/>
                <w:lang w:val="fr-CA"/>
              </w:rPr>
            </w:pPr>
            <w:r w:rsidRPr="009C0EA2">
              <w:rPr>
                <w:rFonts w:eastAsia="Calibri"/>
                <w:sz w:val="20"/>
                <w:lang w:val="fr-CA"/>
              </w:rPr>
              <w:t xml:space="preserve">(Juges </w:t>
            </w:r>
            <w:proofErr w:type="spellStart"/>
            <w:r w:rsidRPr="009C0EA2">
              <w:rPr>
                <w:rFonts w:eastAsia="Calibri"/>
                <w:sz w:val="20"/>
                <w:lang w:val="fr-CA"/>
              </w:rPr>
              <w:t>Monnin</w:t>
            </w:r>
            <w:proofErr w:type="spellEnd"/>
            <w:r w:rsidRPr="009C0EA2">
              <w:rPr>
                <w:rFonts w:eastAsia="Calibri"/>
                <w:sz w:val="20"/>
                <w:lang w:val="fr-CA"/>
              </w:rPr>
              <w:t xml:space="preserve">, </w:t>
            </w:r>
            <w:proofErr w:type="spellStart"/>
            <w:r w:rsidRPr="009C0EA2">
              <w:rPr>
                <w:rFonts w:eastAsia="Calibri"/>
                <w:sz w:val="20"/>
                <w:lang w:val="fr-CA"/>
              </w:rPr>
              <w:t>Steel</w:t>
            </w:r>
            <w:proofErr w:type="spellEnd"/>
            <w:r w:rsidRPr="009C0EA2">
              <w:rPr>
                <w:rFonts w:eastAsia="Calibri"/>
                <w:sz w:val="20"/>
                <w:lang w:val="fr-CA"/>
              </w:rPr>
              <w:t xml:space="preserve"> et </w:t>
            </w:r>
            <w:proofErr w:type="spellStart"/>
            <w:r w:rsidRPr="009C0EA2">
              <w:rPr>
                <w:rFonts w:eastAsia="Calibri"/>
                <w:sz w:val="20"/>
                <w:lang w:val="fr-CA"/>
              </w:rPr>
              <w:t>Freedman</w:t>
            </w:r>
            <w:proofErr w:type="spellEnd"/>
            <w:r w:rsidRPr="009C0EA2">
              <w:rPr>
                <w:rFonts w:eastAsia="Calibri"/>
                <w:sz w:val="20"/>
                <w:lang w:val="fr-CA"/>
              </w:rPr>
              <w:t>)</w:t>
            </w:r>
          </w:p>
          <w:p w:rsidR="004D595B" w:rsidRPr="009C0EA2" w:rsidRDefault="004D595B" w:rsidP="00FA3B73">
            <w:pPr>
              <w:jc w:val="both"/>
              <w:rPr>
                <w:rFonts w:eastAsia="Calibri"/>
                <w:sz w:val="20"/>
                <w:lang w:val="fr-CA"/>
              </w:rPr>
            </w:pPr>
            <w:r w:rsidRPr="009C0EA2">
              <w:rPr>
                <w:rFonts w:eastAsia="Calibri"/>
                <w:sz w:val="20"/>
                <w:lang w:val="fr-CA"/>
              </w:rPr>
              <w:t>2010 MBCA 55</w:t>
            </w:r>
          </w:p>
        </w:tc>
        <w:tc>
          <w:tcPr>
            <w:tcW w:w="243" w:type="pct"/>
          </w:tcPr>
          <w:p w:rsidR="004D595B" w:rsidRDefault="004D595B" w:rsidP="004D595B">
            <w:pPr>
              <w:jc w:val="both"/>
              <w:rPr>
                <w:rFonts w:eastAsia="Calibri"/>
                <w:sz w:val="20"/>
                <w:lang w:val="fr-CA"/>
              </w:rPr>
            </w:pPr>
          </w:p>
          <w:p w:rsidR="00FA3B73" w:rsidRDefault="00FA3B73" w:rsidP="004D595B">
            <w:pPr>
              <w:jc w:val="both"/>
              <w:rPr>
                <w:rFonts w:eastAsia="Calibri"/>
                <w:sz w:val="20"/>
                <w:lang w:val="fr-CA"/>
              </w:rPr>
            </w:pPr>
          </w:p>
          <w:p w:rsidR="00FA3B73" w:rsidRDefault="00FA3B73" w:rsidP="004D595B">
            <w:pPr>
              <w:jc w:val="both"/>
              <w:rPr>
                <w:rFonts w:eastAsia="Calibri"/>
                <w:sz w:val="20"/>
                <w:lang w:val="fr-CA"/>
              </w:rPr>
            </w:pPr>
          </w:p>
          <w:p w:rsidR="00FA3B73" w:rsidRDefault="00FA3B73" w:rsidP="004D595B">
            <w:pPr>
              <w:jc w:val="both"/>
              <w:rPr>
                <w:rFonts w:eastAsia="Calibri"/>
                <w:sz w:val="20"/>
                <w:lang w:val="fr-CA"/>
              </w:rPr>
            </w:pPr>
          </w:p>
          <w:p w:rsidR="00FA3B73" w:rsidRPr="009C0EA2" w:rsidRDefault="00FA3B73" w:rsidP="004D595B">
            <w:pPr>
              <w:jc w:val="both"/>
              <w:rPr>
                <w:rFonts w:eastAsia="Calibri"/>
                <w:sz w:val="20"/>
                <w:lang w:val="fr-CA"/>
              </w:rPr>
            </w:pPr>
          </w:p>
        </w:tc>
        <w:tc>
          <w:tcPr>
            <w:tcW w:w="2330" w:type="pct"/>
          </w:tcPr>
          <w:p w:rsidR="004D595B" w:rsidRPr="009C0EA2" w:rsidRDefault="004D595B" w:rsidP="004D595B">
            <w:pPr>
              <w:jc w:val="both"/>
              <w:rPr>
                <w:rFonts w:eastAsia="Calibri"/>
                <w:sz w:val="20"/>
                <w:lang w:val="fr-CA"/>
              </w:rPr>
            </w:pPr>
            <w:r w:rsidRPr="009C0EA2">
              <w:rPr>
                <w:rFonts w:eastAsia="Calibri"/>
                <w:sz w:val="20"/>
                <w:lang w:val="fr-CA"/>
              </w:rPr>
              <w:t>Appel accueilli</w:t>
            </w:r>
          </w:p>
          <w:p w:rsidR="004D595B" w:rsidRPr="009C0EA2" w:rsidRDefault="004D595B" w:rsidP="004D595B">
            <w:pPr>
              <w:jc w:val="both"/>
              <w:rPr>
                <w:rFonts w:eastAsia="Calibri"/>
                <w:sz w:val="20"/>
                <w:lang w:val="fr-CA"/>
              </w:rPr>
            </w:pPr>
          </w:p>
        </w:tc>
      </w:tr>
      <w:tr w:rsidR="004D595B" w:rsidRPr="009C0EA2" w:rsidTr="004D595B">
        <w:trPr>
          <w:cantSplit/>
        </w:trPr>
        <w:tc>
          <w:tcPr>
            <w:tcW w:w="2427" w:type="pct"/>
          </w:tcPr>
          <w:p w:rsidR="004D595B" w:rsidRPr="009C0EA2" w:rsidRDefault="004D595B" w:rsidP="004D595B">
            <w:pPr>
              <w:jc w:val="both"/>
              <w:rPr>
                <w:rFonts w:eastAsia="Calibri"/>
                <w:sz w:val="20"/>
                <w:lang w:val="fr-CA"/>
              </w:rPr>
            </w:pPr>
            <w:r w:rsidRPr="009C0EA2">
              <w:rPr>
                <w:rFonts w:eastAsia="Calibri"/>
                <w:sz w:val="20"/>
                <w:lang w:val="fr-CA"/>
              </w:rPr>
              <w:t>16 août 2010</w:t>
            </w:r>
          </w:p>
          <w:p w:rsidR="004D595B" w:rsidRPr="009C0EA2" w:rsidRDefault="004D595B" w:rsidP="004D595B">
            <w:pPr>
              <w:jc w:val="both"/>
              <w:rPr>
                <w:rFonts w:eastAsia="Calibri"/>
                <w:sz w:val="20"/>
                <w:lang w:val="fr-CA"/>
              </w:rPr>
            </w:pPr>
            <w:r w:rsidRPr="009C0EA2">
              <w:rPr>
                <w:rFonts w:eastAsia="Calibri"/>
                <w:sz w:val="20"/>
                <w:lang w:val="fr-CA"/>
              </w:rPr>
              <w:t>Cour suprême du Canada</w:t>
            </w:r>
          </w:p>
        </w:tc>
        <w:tc>
          <w:tcPr>
            <w:tcW w:w="243" w:type="pct"/>
          </w:tcPr>
          <w:p w:rsidR="004D595B" w:rsidRPr="009C0EA2" w:rsidRDefault="004D595B" w:rsidP="004D595B">
            <w:pPr>
              <w:jc w:val="both"/>
              <w:rPr>
                <w:rFonts w:eastAsia="Calibri"/>
                <w:sz w:val="20"/>
                <w:lang w:val="fr-CA"/>
              </w:rPr>
            </w:pPr>
          </w:p>
        </w:tc>
        <w:tc>
          <w:tcPr>
            <w:tcW w:w="2330" w:type="pct"/>
          </w:tcPr>
          <w:p w:rsidR="004D595B" w:rsidRPr="009C0EA2" w:rsidRDefault="004D595B" w:rsidP="004D595B">
            <w:pPr>
              <w:jc w:val="both"/>
              <w:rPr>
                <w:rFonts w:eastAsia="Calibri"/>
                <w:sz w:val="20"/>
                <w:lang w:val="fr-CA"/>
              </w:rPr>
            </w:pPr>
            <w:r w:rsidRPr="009C0EA2">
              <w:rPr>
                <w:rFonts w:eastAsia="Calibri"/>
                <w:sz w:val="20"/>
                <w:lang w:val="fr-CA"/>
              </w:rPr>
              <w:t>Demande d’autorisation d’appel, déposée</w:t>
            </w:r>
          </w:p>
          <w:p w:rsidR="004D595B" w:rsidRPr="009C0EA2" w:rsidRDefault="004D595B" w:rsidP="004D595B">
            <w:pPr>
              <w:jc w:val="both"/>
              <w:rPr>
                <w:rFonts w:eastAsia="Calibri"/>
                <w:sz w:val="20"/>
                <w:lang w:val="fr-CA"/>
              </w:rPr>
            </w:pPr>
          </w:p>
        </w:tc>
      </w:tr>
    </w:tbl>
    <w:p w:rsidR="004D595B" w:rsidRDefault="004D595B" w:rsidP="00F94A8D">
      <w:pPr>
        <w:keepNext/>
        <w:rPr>
          <w:sz w:val="20"/>
          <w:szCs w:val="20"/>
          <w:lang w:val="fr-CA"/>
        </w:rPr>
      </w:pPr>
    </w:p>
    <w:p w:rsidR="00F94A8D" w:rsidRDefault="003E770A" w:rsidP="00F94A8D">
      <w:pPr>
        <w:keepNext/>
        <w:rPr>
          <w:sz w:val="20"/>
          <w:szCs w:val="20"/>
          <w:lang w:val="fr-CA"/>
        </w:rPr>
      </w:pPr>
      <w:r w:rsidRPr="003E770A">
        <w:rPr>
          <w:sz w:val="20"/>
          <w:szCs w:val="20"/>
          <w:lang w:val="fr-CA"/>
        </w:rPr>
        <w:pict>
          <v:rect id="_x0000_i1056" style="width:2in;height:1pt" o:hrpct="0" o:hralign="center" o:hrstd="t" o:hrnoshade="t" o:hr="t" fillcolor="black [3213]" stroked="f"/>
        </w:pict>
      </w:r>
    </w:p>
    <w:p w:rsidR="00F94A8D" w:rsidRDefault="00F94A8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F94A8D" w:rsidTr="00F94A8D">
        <w:trPr>
          <w:cantSplit/>
        </w:trPr>
        <w:tc>
          <w:tcPr>
            <w:tcW w:w="1458" w:type="dxa"/>
          </w:tcPr>
          <w:p w:rsidR="00F94A8D" w:rsidRPr="00F94A8D" w:rsidRDefault="00F94A8D" w:rsidP="00F94A8D">
            <w:pPr>
              <w:rPr>
                <w:sz w:val="20"/>
                <w:szCs w:val="20"/>
              </w:rPr>
            </w:pPr>
            <w:r w:rsidRPr="00F94A8D">
              <w:rPr>
                <w:rStyle w:val="SCCFileNumberChar"/>
                <w:sz w:val="20"/>
                <w:szCs w:val="20"/>
              </w:rPr>
              <w:t>33796</w:t>
            </w:r>
          </w:p>
          <w:p w:rsidR="00F94A8D" w:rsidRPr="00F94A8D" w:rsidRDefault="00F94A8D" w:rsidP="00F94A8D">
            <w:pPr>
              <w:rPr>
                <w:b/>
                <w:sz w:val="20"/>
                <w:szCs w:val="20"/>
                <w:lang w:val="fr-CA"/>
              </w:rPr>
            </w:pPr>
          </w:p>
        </w:tc>
        <w:tc>
          <w:tcPr>
            <w:tcW w:w="8118" w:type="dxa"/>
          </w:tcPr>
          <w:p w:rsidR="00F94A8D" w:rsidRPr="00F94A8D" w:rsidRDefault="00F94A8D" w:rsidP="00F94A8D">
            <w:pPr>
              <w:rPr>
                <w:sz w:val="20"/>
                <w:szCs w:val="20"/>
              </w:rPr>
            </w:pPr>
            <w:r w:rsidRPr="00F94A8D">
              <w:rPr>
                <w:rStyle w:val="SCCLsocChar"/>
                <w:sz w:val="20"/>
                <w:szCs w:val="20"/>
                <w:lang w:val="en-CA"/>
              </w:rPr>
              <w:t>Gary William McHale v. Her Majesty the Queen</w:t>
            </w:r>
            <w:r w:rsidRPr="00F94A8D">
              <w:rPr>
                <w:sz w:val="20"/>
                <w:szCs w:val="20"/>
              </w:rPr>
              <w:t xml:space="preserve"> (Ont.) (Criminal) (By Leave)</w:t>
            </w:r>
          </w:p>
          <w:p w:rsidR="00F94A8D" w:rsidRPr="00F94A8D" w:rsidRDefault="00F94A8D" w:rsidP="00F94A8D">
            <w:pPr>
              <w:rPr>
                <w:sz w:val="20"/>
                <w:szCs w:val="20"/>
              </w:rPr>
            </w:pPr>
          </w:p>
        </w:tc>
      </w:tr>
      <w:tr w:rsidR="00F94A8D" w:rsidRPr="00F94A8D" w:rsidTr="00F94A8D">
        <w:trPr>
          <w:cantSplit/>
        </w:trPr>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lang w:val="en-CA"/>
              </w:rPr>
            </w:pPr>
            <w:proofErr w:type="spellStart"/>
            <w:r w:rsidRPr="00F94A8D">
              <w:rPr>
                <w:rStyle w:val="SCCCoramChar"/>
                <w:sz w:val="20"/>
                <w:szCs w:val="20"/>
                <w:lang w:val="en-CA"/>
              </w:rPr>
              <w:t>Binnie</w:t>
            </w:r>
            <w:proofErr w:type="spellEnd"/>
            <w:r w:rsidRPr="00F94A8D">
              <w:rPr>
                <w:rStyle w:val="SCCCoramChar"/>
                <w:sz w:val="20"/>
                <w:szCs w:val="20"/>
                <w:lang w:val="en-CA"/>
              </w:rPr>
              <w:t>, Fish and Rothstein JJ.</w:t>
            </w:r>
          </w:p>
          <w:p w:rsidR="00F94A8D" w:rsidRPr="00F94A8D" w:rsidRDefault="00F94A8D" w:rsidP="00F94A8D">
            <w:pPr>
              <w:rPr>
                <w:sz w:val="20"/>
                <w:szCs w:val="20"/>
              </w:rPr>
            </w:pPr>
          </w:p>
        </w:tc>
      </w:tr>
      <w:tr w:rsidR="00F94A8D" w:rsidRPr="003B380E" w:rsidTr="00F94A8D">
        <w:trPr>
          <w:cantSplit/>
        </w:trPr>
        <w:tc>
          <w:tcPr>
            <w:tcW w:w="9576" w:type="dxa"/>
            <w:gridSpan w:val="2"/>
          </w:tcPr>
          <w:p w:rsidR="00F94A8D" w:rsidRPr="00F94A8D" w:rsidRDefault="00F94A8D" w:rsidP="00F94A8D">
            <w:pPr>
              <w:jc w:val="both"/>
              <w:rPr>
                <w:sz w:val="20"/>
                <w:szCs w:val="20"/>
              </w:rPr>
            </w:pPr>
            <w:r>
              <w:rPr>
                <w:sz w:val="20"/>
                <w:szCs w:val="20"/>
              </w:rPr>
              <w:tab/>
            </w:r>
            <w:r w:rsidRPr="00F94A8D">
              <w:rPr>
                <w:sz w:val="20"/>
                <w:szCs w:val="20"/>
              </w:rPr>
              <w:t>The application for leave to appeal from the judgment of the Court of Appeal for Ontario, Number C50822, 2010 ONCA 361, dated May 17, 2010, is dismissed without costs.</w:t>
            </w:r>
          </w:p>
          <w:p w:rsidR="00F94A8D" w:rsidRPr="00F94A8D" w:rsidRDefault="00F94A8D" w:rsidP="00F94A8D">
            <w:pPr>
              <w:jc w:val="both"/>
              <w:rPr>
                <w:sz w:val="20"/>
                <w:szCs w:val="20"/>
              </w:rPr>
            </w:pPr>
          </w:p>
          <w:p w:rsidR="00F94A8D" w:rsidRPr="00F94A8D" w:rsidRDefault="00F94A8D" w:rsidP="00F94A8D">
            <w:pPr>
              <w:jc w:val="both"/>
              <w:rPr>
                <w:sz w:val="20"/>
                <w:szCs w:val="20"/>
                <w:lang w:val="fr-CA"/>
              </w:rPr>
            </w:pPr>
            <w:r w:rsidRPr="00F94A8D">
              <w:rPr>
                <w:sz w:val="20"/>
                <w:szCs w:val="20"/>
              </w:rPr>
              <w:tab/>
            </w:r>
            <w:r w:rsidRPr="00F94A8D">
              <w:rPr>
                <w:sz w:val="20"/>
                <w:szCs w:val="20"/>
                <w:lang w:val="fr-CA"/>
              </w:rPr>
              <w:t>La demande d’autorisation d’appel de l’arrêt de la Cour d’appel de l’Ontario, numéro C50822, 2010 ONCA 361, daté du 17 mai 2010, est rejetée sans dépens.</w:t>
            </w:r>
          </w:p>
        </w:tc>
      </w:tr>
    </w:tbl>
    <w:p w:rsidR="00F94A8D" w:rsidRPr="00C50A5C" w:rsidRDefault="00F94A8D" w:rsidP="00F94A8D">
      <w:pPr>
        <w:keepNext/>
        <w:rPr>
          <w:sz w:val="20"/>
          <w:szCs w:val="20"/>
        </w:rPr>
      </w:pPr>
      <w:r w:rsidRPr="00C50A5C">
        <w:rPr>
          <w:sz w:val="20"/>
          <w:szCs w:val="20"/>
          <w:u w:val="single"/>
        </w:rPr>
        <w:lastRenderedPageBreak/>
        <w:t>CASE SUMMARY</w:t>
      </w:r>
    </w:p>
    <w:p w:rsidR="00F94A8D" w:rsidRDefault="00F94A8D" w:rsidP="00F94A8D">
      <w:pPr>
        <w:keepNext/>
        <w:rPr>
          <w:sz w:val="20"/>
          <w:szCs w:val="20"/>
        </w:rPr>
      </w:pPr>
    </w:p>
    <w:tbl>
      <w:tblPr>
        <w:tblW w:w="4952" w:type="pct"/>
        <w:tblLayout w:type="fixed"/>
        <w:tblCellMar>
          <w:left w:w="0" w:type="dxa"/>
          <w:bottom w:w="99" w:type="dxa"/>
          <w:right w:w="0" w:type="dxa"/>
        </w:tblCellMar>
        <w:tblLook w:val="04A0"/>
      </w:tblPr>
      <w:tblGrid>
        <w:gridCol w:w="9527"/>
      </w:tblGrid>
      <w:tr w:rsidR="006F5D6D" w:rsidRPr="006A1AC2" w:rsidTr="000419CE">
        <w:tc>
          <w:tcPr>
            <w:tcW w:w="5000" w:type="pct"/>
          </w:tcPr>
          <w:p w:rsidR="006F5D6D" w:rsidRPr="006A1AC2" w:rsidRDefault="006F5D6D" w:rsidP="000419CE">
            <w:pPr>
              <w:jc w:val="both"/>
              <w:rPr>
                <w:rFonts w:eastAsia="Calibri"/>
                <w:smallCaps/>
                <w:sz w:val="20"/>
              </w:rPr>
            </w:pPr>
            <w:r w:rsidRPr="006A1AC2">
              <w:rPr>
                <w:rFonts w:eastAsia="Calibri"/>
                <w:smallCaps/>
                <w:sz w:val="20"/>
              </w:rPr>
              <w:t>(Publication ban in case)</w:t>
            </w:r>
          </w:p>
          <w:p w:rsidR="006F5D6D" w:rsidRPr="006A1AC2" w:rsidRDefault="006F5D6D" w:rsidP="000419CE">
            <w:pPr>
              <w:jc w:val="both"/>
              <w:rPr>
                <w:rFonts w:eastAsia="Calibri"/>
                <w:sz w:val="20"/>
              </w:rPr>
            </w:pPr>
          </w:p>
          <w:p w:rsidR="006F5D6D" w:rsidRDefault="006F5D6D" w:rsidP="000419CE">
            <w:pPr>
              <w:tabs>
                <w:tab w:val="left" w:pos="365"/>
              </w:tabs>
              <w:jc w:val="both"/>
              <w:rPr>
                <w:rFonts w:eastAsia="Calibri"/>
                <w:sz w:val="20"/>
              </w:rPr>
            </w:pPr>
            <w:r w:rsidRPr="006A1AC2">
              <w:rPr>
                <w:rFonts w:eastAsia="Calibri"/>
                <w:sz w:val="20"/>
              </w:rPr>
              <w:t>Charter of Rights - Criminal law</w:t>
            </w:r>
            <w:r w:rsidRPr="006A1AC2">
              <w:rPr>
                <w:rFonts w:eastAsia="Calibri"/>
                <w:i/>
                <w:sz w:val="20"/>
              </w:rPr>
              <w:t xml:space="preserve"> - </w:t>
            </w:r>
            <w:r w:rsidRPr="006A1AC2">
              <w:rPr>
                <w:rFonts w:eastAsia="Calibri"/>
                <w:iCs/>
                <w:color w:val="000000"/>
                <w:sz w:val="20"/>
              </w:rPr>
              <w:t>Prosecution - Private prosecutors – Authority of Crown to withdraw information or stay proceedings prior to a pre-</w:t>
            </w:r>
            <w:proofErr w:type="spellStart"/>
            <w:r w:rsidRPr="006A1AC2">
              <w:rPr>
                <w:rFonts w:eastAsia="Calibri"/>
                <w:iCs/>
                <w:color w:val="000000"/>
                <w:sz w:val="20"/>
              </w:rPr>
              <w:t>enquete</w:t>
            </w:r>
            <w:proofErr w:type="spellEnd"/>
            <w:r w:rsidRPr="006A1AC2">
              <w:rPr>
                <w:rFonts w:eastAsia="Calibri"/>
                <w:iCs/>
                <w:color w:val="000000"/>
                <w:sz w:val="20"/>
              </w:rPr>
              <w:t xml:space="preserve"> - Whether court of appeal erred in failing to </w:t>
            </w:r>
            <w:r w:rsidRPr="006A1AC2">
              <w:rPr>
                <w:rFonts w:eastAsia="Calibri"/>
                <w:sz w:val="20"/>
              </w:rPr>
              <w:t xml:space="preserve">balance the rights of a citizen to lay a private information and the authority of the Crown to stay an information, and in failing to properly interpret the phrase “proceedings against an accused” - Whether the court of appeal contradicted itself by stating that private </w:t>
            </w:r>
            <w:proofErr w:type="spellStart"/>
            <w:r w:rsidRPr="006A1AC2">
              <w:rPr>
                <w:rFonts w:eastAsia="Calibri"/>
                <w:sz w:val="20"/>
              </w:rPr>
              <w:t>informations</w:t>
            </w:r>
            <w:proofErr w:type="spellEnd"/>
            <w:r w:rsidRPr="006A1AC2">
              <w:rPr>
                <w:rFonts w:eastAsia="Calibri"/>
                <w:sz w:val="20"/>
              </w:rPr>
              <w:t xml:space="preserve"> begin and end with the right of the private informant to bring forward a charge, then ruling the Crown can stay an information at any stage prior to a charge being issued.</w:t>
            </w:r>
          </w:p>
          <w:p w:rsidR="006F5D6D" w:rsidRPr="006A1AC2" w:rsidRDefault="006F5D6D" w:rsidP="000419CE">
            <w:pPr>
              <w:tabs>
                <w:tab w:val="left" w:pos="365"/>
              </w:tabs>
              <w:jc w:val="both"/>
              <w:rPr>
                <w:rFonts w:eastAsia="Calibri"/>
                <w:sz w:val="20"/>
              </w:rPr>
            </w:pPr>
          </w:p>
        </w:tc>
      </w:tr>
      <w:tr w:rsidR="006F5D6D" w:rsidRPr="006A1AC2" w:rsidTr="000419CE">
        <w:tc>
          <w:tcPr>
            <w:tcW w:w="5000" w:type="pct"/>
          </w:tcPr>
          <w:p w:rsidR="006F5D6D" w:rsidRPr="006A1AC2" w:rsidRDefault="006F5D6D" w:rsidP="006F5D6D">
            <w:pPr>
              <w:jc w:val="both"/>
              <w:rPr>
                <w:rFonts w:eastAsia="Calibri"/>
                <w:sz w:val="20"/>
              </w:rPr>
            </w:pPr>
            <w:r w:rsidRPr="006A1AC2">
              <w:rPr>
                <w:rFonts w:eastAsia="Calibri"/>
                <w:sz w:val="20"/>
              </w:rPr>
              <w:t xml:space="preserve">In 2008, Mr. McHale swore private </w:t>
            </w:r>
            <w:proofErr w:type="spellStart"/>
            <w:r w:rsidRPr="006A1AC2">
              <w:rPr>
                <w:rFonts w:eastAsia="Calibri"/>
                <w:sz w:val="20"/>
              </w:rPr>
              <w:t>informations</w:t>
            </w:r>
            <w:proofErr w:type="spellEnd"/>
            <w:r w:rsidRPr="006A1AC2">
              <w:rPr>
                <w:rFonts w:eastAsia="Calibri"/>
                <w:sz w:val="20"/>
              </w:rPr>
              <w:t xml:space="preserve"> against three police officials, alleging the commission of two counts each of common nuisance contrary to s. 180 of the </w:t>
            </w:r>
            <w:r w:rsidRPr="006A1AC2">
              <w:rPr>
                <w:rFonts w:eastAsia="Calibri"/>
                <w:i/>
                <w:sz w:val="20"/>
              </w:rPr>
              <w:t>Criminal Code</w:t>
            </w:r>
            <w:r w:rsidRPr="006A1AC2">
              <w:rPr>
                <w:rFonts w:eastAsia="Calibri"/>
                <w:sz w:val="20"/>
              </w:rPr>
              <w:t xml:space="preserve">.  The </w:t>
            </w:r>
            <w:proofErr w:type="spellStart"/>
            <w:r w:rsidRPr="006A1AC2">
              <w:rPr>
                <w:rFonts w:eastAsia="Calibri"/>
                <w:sz w:val="20"/>
              </w:rPr>
              <w:t>informations</w:t>
            </w:r>
            <w:proofErr w:type="spellEnd"/>
            <w:r w:rsidRPr="006A1AC2">
              <w:rPr>
                <w:rFonts w:eastAsia="Calibri"/>
                <w:sz w:val="20"/>
              </w:rPr>
              <w:t xml:space="preserve"> came before the justice of the peace for a pre-</w:t>
            </w:r>
            <w:proofErr w:type="spellStart"/>
            <w:r w:rsidRPr="006A1AC2">
              <w:rPr>
                <w:rFonts w:eastAsia="Calibri"/>
                <w:sz w:val="20"/>
              </w:rPr>
              <w:t>enquete</w:t>
            </w:r>
            <w:proofErr w:type="spellEnd"/>
            <w:r w:rsidRPr="006A1AC2">
              <w:rPr>
                <w:rFonts w:eastAsia="Calibri"/>
                <w:sz w:val="20"/>
              </w:rPr>
              <w:t xml:space="preserve"> under s. 507.1 of the </w:t>
            </w:r>
            <w:r w:rsidRPr="006A1AC2">
              <w:rPr>
                <w:rFonts w:eastAsia="Calibri"/>
                <w:i/>
                <w:sz w:val="20"/>
              </w:rPr>
              <w:t>Code</w:t>
            </w:r>
            <w:r w:rsidRPr="006A1AC2">
              <w:rPr>
                <w:rFonts w:eastAsia="Calibri"/>
                <w:sz w:val="20"/>
              </w:rPr>
              <w:t xml:space="preserve">.  At the beginning of the hearing, the Crown withdrew all three </w:t>
            </w:r>
            <w:proofErr w:type="spellStart"/>
            <w:r w:rsidRPr="006A1AC2">
              <w:rPr>
                <w:rFonts w:eastAsia="Calibri"/>
                <w:sz w:val="20"/>
              </w:rPr>
              <w:t>informations</w:t>
            </w:r>
            <w:proofErr w:type="spellEnd"/>
            <w:r w:rsidRPr="006A1AC2">
              <w:rPr>
                <w:rFonts w:eastAsia="Calibri"/>
                <w:sz w:val="20"/>
              </w:rPr>
              <w:t xml:space="preserve"> on the basis of its authority under s. 11(d) of the </w:t>
            </w:r>
            <w:r w:rsidRPr="006A1AC2">
              <w:rPr>
                <w:rFonts w:eastAsia="Calibri"/>
                <w:i/>
                <w:sz w:val="20"/>
              </w:rPr>
              <w:t>Crown Attorneys Act</w:t>
            </w:r>
            <w:r w:rsidRPr="006A1AC2">
              <w:rPr>
                <w:rFonts w:eastAsia="Calibri"/>
                <w:sz w:val="20"/>
              </w:rPr>
              <w:t xml:space="preserve">, R.S.O. 1990, </w:t>
            </w:r>
            <w:proofErr w:type="gramStart"/>
            <w:r w:rsidRPr="006A1AC2">
              <w:rPr>
                <w:rFonts w:eastAsia="Calibri"/>
                <w:sz w:val="20"/>
              </w:rPr>
              <w:t>c</w:t>
            </w:r>
            <w:proofErr w:type="gramEnd"/>
            <w:r w:rsidRPr="006A1AC2">
              <w:rPr>
                <w:rFonts w:eastAsia="Calibri"/>
                <w:sz w:val="20"/>
              </w:rPr>
              <w:t xml:space="preserve">. C-49.  Mr. McHale applied for an order of </w:t>
            </w:r>
            <w:r w:rsidRPr="006A1AC2">
              <w:rPr>
                <w:rFonts w:eastAsia="Calibri"/>
                <w:i/>
                <w:sz w:val="20"/>
              </w:rPr>
              <w:t>mandamus</w:t>
            </w:r>
            <w:r w:rsidRPr="006A1AC2">
              <w:rPr>
                <w:rFonts w:eastAsia="Calibri"/>
                <w:sz w:val="20"/>
              </w:rPr>
              <w:t xml:space="preserve"> on the ground that the Crown did not have the discretion to withdraw </w:t>
            </w:r>
            <w:proofErr w:type="gramStart"/>
            <w:r w:rsidRPr="006A1AC2">
              <w:rPr>
                <w:rFonts w:eastAsia="Calibri"/>
                <w:sz w:val="20"/>
              </w:rPr>
              <w:t>a private</w:t>
            </w:r>
            <w:proofErr w:type="gramEnd"/>
            <w:r w:rsidRPr="006A1AC2">
              <w:rPr>
                <w:rFonts w:eastAsia="Calibri"/>
                <w:sz w:val="20"/>
              </w:rPr>
              <w:t xml:space="preserve"> information during a s. 507.1 hearing.</w:t>
            </w:r>
          </w:p>
        </w:tc>
      </w:tr>
    </w:tbl>
    <w:p w:rsidR="006F5D6D" w:rsidRDefault="006F5D6D" w:rsidP="006F5D6D"/>
    <w:tbl>
      <w:tblPr>
        <w:tblW w:w="4952" w:type="pct"/>
        <w:tblLayout w:type="fixed"/>
        <w:tblCellMar>
          <w:left w:w="0" w:type="dxa"/>
          <w:bottom w:w="99" w:type="dxa"/>
          <w:right w:w="0" w:type="dxa"/>
        </w:tblCellMar>
        <w:tblLook w:val="04A0"/>
      </w:tblPr>
      <w:tblGrid>
        <w:gridCol w:w="4624"/>
        <w:gridCol w:w="463"/>
        <w:gridCol w:w="4440"/>
      </w:tblGrid>
      <w:tr w:rsidR="006F5D6D" w:rsidRPr="006A1AC2" w:rsidTr="000419CE">
        <w:trPr>
          <w:cantSplit/>
        </w:trPr>
        <w:tc>
          <w:tcPr>
            <w:tcW w:w="2427" w:type="pct"/>
          </w:tcPr>
          <w:p w:rsidR="006F5D6D" w:rsidRPr="006A1AC2" w:rsidRDefault="006F5D6D" w:rsidP="000419CE">
            <w:pPr>
              <w:jc w:val="both"/>
              <w:rPr>
                <w:rFonts w:eastAsia="Calibri"/>
                <w:sz w:val="20"/>
              </w:rPr>
            </w:pPr>
            <w:r w:rsidRPr="006A1AC2">
              <w:rPr>
                <w:rFonts w:eastAsia="Calibri"/>
                <w:sz w:val="20"/>
              </w:rPr>
              <w:t>July 2, 2009</w:t>
            </w:r>
          </w:p>
          <w:p w:rsidR="006F5D6D" w:rsidRPr="006A1AC2" w:rsidRDefault="006F5D6D" w:rsidP="000419CE">
            <w:pPr>
              <w:jc w:val="both"/>
              <w:rPr>
                <w:rFonts w:eastAsia="Calibri"/>
                <w:sz w:val="20"/>
              </w:rPr>
            </w:pPr>
            <w:r w:rsidRPr="006A1AC2">
              <w:rPr>
                <w:rFonts w:eastAsia="Calibri"/>
                <w:sz w:val="20"/>
              </w:rPr>
              <w:t>Ontario Superior Court of Justice</w:t>
            </w:r>
          </w:p>
          <w:p w:rsidR="006F5D6D" w:rsidRPr="006A1AC2" w:rsidRDefault="006F5D6D" w:rsidP="000419CE">
            <w:pPr>
              <w:jc w:val="both"/>
              <w:rPr>
                <w:rFonts w:eastAsia="Calibri"/>
                <w:sz w:val="20"/>
              </w:rPr>
            </w:pPr>
            <w:r w:rsidRPr="006A1AC2">
              <w:rPr>
                <w:rFonts w:eastAsia="Calibri"/>
                <w:sz w:val="20"/>
              </w:rPr>
              <w:t>(Marshall J.)</w:t>
            </w:r>
          </w:p>
          <w:p w:rsidR="006F5D6D" w:rsidRPr="006A1AC2" w:rsidRDefault="006F5D6D" w:rsidP="00FA3B73">
            <w:pPr>
              <w:jc w:val="both"/>
              <w:rPr>
                <w:rFonts w:eastAsia="Calibri"/>
                <w:sz w:val="20"/>
              </w:rPr>
            </w:pPr>
            <w:r w:rsidRPr="006A1AC2">
              <w:rPr>
                <w:rFonts w:eastAsia="Calibri"/>
                <w:sz w:val="20"/>
              </w:rPr>
              <w:t>(2009), 251 C.C.C. (3d) 283</w:t>
            </w:r>
          </w:p>
        </w:tc>
        <w:tc>
          <w:tcPr>
            <w:tcW w:w="243" w:type="pct"/>
          </w:tcPr>
          <w:p w:rsidR="006F5D6D" w:rsidRDefault="006F5D6D"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Pr="006A1AC2" w:rsidRDefault="00FA3B73" w:rsidP="000419CE">
            <w:pPr>
              <w:jc w:val="both"/>
              <w:rPr>
                <w:rFonts w:eastAsia="Calibri"/>
                <w:sz w:val="20"/>
              </w:rPr>
            </w:pPr>
          </w:p>
        </w:tc>
        <w:tc>
          <w:tcPr>
            <w:tcW w:w="2330" w:type="pct"/>
          </w:tcPr>
          <w:p w:rsidR="006F5D6D" w:rsidRPr="006A1AC2" w:rsidRDefault="006F5D6D" w:rsidP="000419CE">
            <w:pPr>
              <w:jc w:val="both"/>
              <w:rPr>
                <w:rFonts w:eastAsia="Calibri"/>
                <w:sz w:val="20"/>
              </w:rPr>
            </w:pPr>
            <w:r w:rsidRPr="006A1AC2">
              <w:rPr>
                <w:rFonts w:eastAsia="Calibri"/>
                <w:i/>
                <w:sz w:val="20"/>
              </w:rPr>
              <w:t>Mandamus</w:t>
            </w:r>
            <w:r w:rsidRPr="006A1AC2">
              <w:rPr>
                <w:rFonts w:eastAsia="Calibri"/>
                <w:sz w:val="20"/>
              </w:rPr>
              <w:t xml:space="preserve"> issued directing justice of the peace to conduct a hearing under s. 507.1 of the </w:t>
            </w:r>
            <w:r w:rsidRPr="006A1AC2">
              <w:rPr>
                <w:rFonts w:eastAsia="Calibri"/>
                <w:i/>
                <w:sz w:val="20"/>
              </w:rPr>
              <w:t>Criminal Code</w:t>
            </w:r>
          </w:p>
          <w:p w:rsidR="006F5D6D" w:rsidRPr="006A1AC2" w:rsidRDefault="006F5D6D" w:rsidP="000419CE">
            <w:pPr>
              <w:jc w:val="both"/>
              <w:rPr>
                <w:rFonts w:eastAsia="Calibri"/>
                <w:sz w:val="20"/>
              </w:rPr>
            </w:pPr>
          </w:p>
        </w:tc>
      </w:tr>
      <w:tr w:rsidR="006F5D6D" w:rsidRPr="006A1AC2" w:rsidTr="000419CE">
        <w:trPr>
          <w:cantSplit/>
        </w:trPr>
        <w:tc>
          <w:tcPr>
            <w:tcW w:w="2427" w:type="pct"/>
          </w:tcPr>
          <w:p w:rsidR="006F5D6D" w:rsidRPr="006A1AC2" w:rsidRDefault="006F5D6D" w:rsidP="000419CE">
            <w:pPr>
              <w:jc w:val="both"/>
              <w:rPr>
                <w:rFonts w:eastAsia="Calibri"/>
                <w:sz w:val="20"/>
              </w:rPr>
            </w:pPr>
            <w:r w:rsidRPr="006A1AC2">
              <w:rPr>
                <w:rFonts w:eastAsia="Calibri"/>
                <w:sz w:val="20"/>
              </w:rPr>
              <w:t>May 17, 2010</w:t>
            </w:r>
          </w:p>
          <w:p w:rsidR="006F5D6D" w:rsidRPr="006A1AC2" w:rsidRDefault="006F5D6D" w:rsidP="000419CE">
            <w:pPr>
              <w:jc w:val="both"/>
              <w:rPr>
                <w:rFonts w:eastAsia="Calibri"/>
                <w:sz w:val="20"/>
              </w:rPr>
            </w:pPr>
            <w:r w:rsidRPr="006A1AC2">
              <w:rPr>
                <w:rFonts w:eastAsia="Calibri"/>
                <w:sz w:val="20"/>
              </w:rPr>
              <w:t>Court of Appeal for Ontario</w:t>
            </w:r>
          </w:p>
          <w:p w:rsidR="006F5D6D" w:rsidRPr="006A1AC2" w:rsidRDefault="006F5D6D" w:rsidP="000419CE">
            <w:pPr>
              <w:jc w:val="both"/>
              <w:rPr>
                <w:rFonts w:eastAsia="Calibri"/>
                <w:sz w:val="20"/>
              </w:rPr>
            </w:pPr>
            <w:r w:rsidRPr="006A1AC2">
              <w:rPr>
                <w:rFonts w:eastAsia="Calibri"/>
                <w:sz w:val="20"/>
              </w:rPr>
              <w:t xml:space="preserve">(Winkler, </w:t>
            </w:r>
            <w:proofErr w:type="spellStart"/>
            <w:r w:rsidRPr="006A1AC2">
              <w:rPr>
                <w:rFonts w:eastAsia="Calibri"/>
                <w:sz w:val="20"/>
              </w:rPr>
              <w:t>Goudge</w:t>
            </w:r>
            <w:proofErr w:type="spellEnd"/>
            <w:r w:rsidRPr="006A1AC2">
              <w:rPr>
                <w:rFonts w:eastAsia="Calibri"/>
                <w:sz w:val="20"/>
              </w:rPr>
              <w:t xml:space="preserve"> and Watt JJ.A.)</w:t>
            </w:r>
          </w:p>
          <w:p w:rsidR="006F5D6D" w:rsidRPr="006A1AC2" w:rsidRDefault="006F5D6D" w:rsidP="00FA3B73">
            <w:pPr>
              <w:jc w:val="both"/>
              <w:rPr>
                <w:rFonts w:eastAsia="Calibri"/>
                <w:sz w:val="20"/>
              </w:rPr>
            </w:pPr>
            <w:r w:rsidRPr="006A1AC2">
              <w:rPr>
                <w:rFonts w:eastAsia="Calibri"/>
                <w:sz w:val="20"/>
              </w:rPr>
              <w:t>2010 ONCA 361</w:t>
            </w:r>
          </w:p>
        </w:tc>
        <w:tc>
          <w:tcPr>
            <w:tcW w:w="243" w:type="pct"/>
          </w:tcPr>
          <w:p w:rsidR="006F5D6D" w:rsidRDefault="006F5D6D"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Pr="006A1AC2" w:rsidRDefault="00FA3B73" w:rsidP="000419CE">
            <w:pPr>
              <w:jc w:val="both"/>
              <w:rPr>
                <w:rFonts w:eastAsia="Calibri"/>
                <w:sz w:val="20"/>
              </w:rPr>
            </w:pPr>
          </w:p>
        </w:tc>
        <w:tc>
          <w:tcPr>
            <w:tcW w:w="2330" w:type="pct"/>
          </w:tcPr>
          <w:p w:rsidR="006F5D6D" w:rsidRPr="006A1AC2" w:rsidRDefault="006F5D6D" w:rsidP="000419CE">
            <w:pPr>
              <w:jc w:val="both"/>
              <w:rPr>
                <w:rFonts w:eastAsia="Calibri"/>
                <w:sz w:val="20"/>
              </w:rPr>
            </w:pPr>
            <w:r w:rsidRPr="006A1AC2">
              <w:rPr>
                <w:rFonts w:eastAsia="Calibri"/>
                <w:sz w:val="20"/>
              </w:rPr>
              <w:t>Appeal dismissed</w:t>
            </w:r>
          </w:p>
          <w:p w:rsidR="006F5D6D" w:rsidRPr="006A1AC2" w:rsidRDefault="006F5D6D" w:rsidP="000419CE">
            <w:pPr>
              <w:jc w:val="both"/>
              <w:rPr>
                <w:rFonts w:eastAsia="Calibri"/>
                <w:sz w:val="20"/>
              </w:rPr>
            </w:pPr>
          </w:p>
        </w:tc>
      </w:tr>
      <w:tr w:rsidR="006F5D6D" w:rsidRPr="006A1AC2" w:rsidTr="000419CE">
        <w:trPr>
          <w:cantSplit/>
        </w:trPr>
        <w:tc>
          <w:tcPr>
            <w:tcW w:w="2427" w:type="pct"/>
          </w:tcPr>
          <w:p w:rsidR="006F5D6D" w:rsidRPr="006A1AC2" w:rsidRDefault="006F5D6D" w:rsidP="000419CE">
            <w:pPr>
              <w:jc w:val="both"/>
              <w:rPr>
                <w:rFonts w:eastAsia="Calibri"/>
                <w:sz w:val="20"/>
              </w:rPr>
            </w:pPr>
            <w:r w:rsidRPr="006A1AC2">
              <w:rPr>
                <w:rFonts w:eastAsia="Calibri"/>
                <w:sz w:val="20"/>
              </w:rPr>
              <w:t>August 16, 2010</w:t>
            </w:r>
          </w:p>
          <w:p w:rsidR="006F5D6D" w:rsidRPr="006A1AC2" w:rsidRDefault="006F5D6D" w:rsidP="000419CE">
            <w:pPr>
              <w:jc w:val="both"/>
              <w:rPr>
                <w:rFonts w:eastAsia="Calibri"/>
                <w:sz w:val="20"/>
              </w:rPr>
            </w:pPr>
            <w:r w:rsidRPr="006A1AC2">
              <w:rPr>
                <w:rFonts w:eastAsia="Calibri"/>
                <w:sz w:val="20"/>
              </w:rPr>
              <w:t>Supreme Court of Canada</w:t>
            </w:r>
          </w:p>
        </w:tc>
        <w:tc>
          <w:tcPr>
            <w:tcW w:w="243" w:type="pct"/>
          </w:tcPr>
          <w:p w:rsidR="006F5D6D" w:rsidRPr="006A1AC2" w:rsidRDefault="006F5D6D" w:rsidP="000419CE">
            <w:pPr>
              <w:jc w:val="both"/>
              <w:rPr>
                <w:rFonts w:eastAsia="Calibri"/>
                <w:sz w:val="20"/>
              </w:rPr>
            </w:pPr>
          </w:p>
        </w:tc>
        <w:tc>
          <w:tcPr>
            <w:tcW w:w="2330" w:type="pct"/>
          </w:tcPr>
          <w:p w:rsidR="006F5D6D" w:rsidRPr="006A1AC2" w:rsidRDefault="006F5D6D" w:rsidP="000419CE">
            <w:pPr>
              <w:jc w:val="both"/>
              <w:rPr>
                <w:rFonts w:eastAsia="Calibri"/>
                <w:sz w:val="20"/>
              </w:rPr>
            </w:pPr>
            <w:r w:rsidRPr="006A1AC2">
              <w:rPr>
                <w:rFonts w:eastAsia="Calibri"/>
                <w:sz w:val="20"/>
              </w:rPr>
              <w:t>Application for leave to appeal filed</w:t>
            </w:r>
          </w:p>
          <w:p w:rsidR="006F5D6D" w:rsidRPr="006A1AC2" w:rsidRDefault="006F5D6D" w:rsidP="000419CE">
            <w:pPr>
              <w:jc w:val="both"/>
              <w:rPr>
                <w:rFonts w:eastAsia="Calibri"/>
                <w:sz w:val="20"/>
              </w:rPr>
            </w:pPr>
          </w:p>
        </w:tc>
      </w:tr>
    </w:tbl>
    <w:p w:rsidR="006F5D6D" w:rsidRPr="00EF7D12" w:rsidRDefault="006F5D6D" w:rsidP="00F94A8D">
      <w:pPr>
        <w:rPr>
          <w:sz w:val="20"/>
          <w:szCs w:val="20"/>
        </w:rPr>
      </w:pPr>
    </w:p>
    <w:p w:rsidR="00F94A8D" w:rsidRPr="00C50A5C" w:rsidRDefault="003E770A" w:rsidP="00F94A8D">
      <w:pPr>
        <w:rPr>
          <w:sz w:val="20"/>
          <w:szCs w:val="20"/>
        </w:rPr>
      </w:pPr>
      <w:r w:rsidRPr="003E770A">
        <w:rPr>
          <w:sz w:val="20"/>
          <w:szCs w:val="20"/>
          <w:lang w:val="fr-CA"/>
        </w:rPr>
        <w:pict>
          <v:rect id="_x0000_i1057"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6F5D6D" w:rsidRPr="003B380E" w:rsidTr="000419CE">
        <w:tc>
          <w:tcPr>
            <w:tcW w:w="5000" w:type="pct"/>
          </w:tcPr>
          <w:p w:rsidR="006F5D6D" w:rsidRPr="006A1AC2" w:rsidRDefault="006F5D6D" w:rsidP="000419CE">
            <w:pPr>
              <w:jc w:val="both"/>
              <w:rPr>
                <w:rFonts w:eastAsia="Calibri"/>
                <w:smallCaps/>
                <w:sz w:val="20"/>
                <w:lang w:val="fr-CA"/>
              </w:rPr>
            </w:pPr>
            <w:r w:rsidRPr="006A1AC2">
              <w:rPr>
                <w:rFonts w:eastAsia="Calibri"/>
                <w:smallCaps/>
                <w:sz w:val="20"/>
                <w:lang w:val="fr-CA"/>
              </w:rPr>
              <w:t>(Ordonnance de non-publication dans le dossier)</w:t>
            </w:r>
          </w:p>
          <w:p w:rsidR="006F5D6D" w:rsidRPr="006A1AC2" w:rsidRDefault="006F5D6D" w:rsidP="000419CE">
            <w:pPr>
              <w:jc w:val="both"/>
              <w:rPr>
                <w:rFonts w:eastAsia="Calibri"/>
                <w:sz w:val="20"/>
                <w:lang w:val="fr-CA"/>
              </w:rPr>
            </w:pPr>
          </w:p>
          <w:p w:rsidR="006F5D6D" w:rsidRPr="006A1AC2" w:rsidRDefault="006F5D6D" w:rsidP="00D628C4">
            <w:pPr>
              <w:tabs>
                <w:tab w:val="left" w:pos="365"/>
              </w:tabs>
              <w:jc w:val="both"/>
              <w:rPr>
                <w:rFonts w:eastAsia="Calibri"/>
                <w:sz w:val="20"/>
                <w:lang w:val="fr-CA"/>
              </w:rPr>
            </w:pPr>
            <w:r w:rsidRPr="006A1AC2">
              <w:rPr>
                <w:rFonts w:eastAsia="Calibri"/>
                <w:sz w:val="20"/>
                <w:lang w:val="fr-CA"/>
              </w:rPr>
              <w:t>Charte des droits – Droit criminel</w:t>
            </w:r>
            <w:r w:rsidRPr="006A1AC2">
              <w:rPr>
                <w:rFonts w:eastAsia="Calibri"/>
                <w:i/>
                <w:iCs/>
                <w:sz w:val="20"/>
                <w:lang w:val="fr-CA"/>
              </w:rPr>
              <w:t xml:space="preserve"> - </w:t>
            </w:r>
            <w:r w:rsidRPr="006A1AC2">
              <w:rPr>
                <w:rFonts w:eastAsia="Calibri"/>
                <w:color w:val="000000"/>
                <w:sz w:val="20"/>
                <w:lang w:val="fr-CA"/>
              </w:rPr>
              <w:t>Poursuite – Poursuivants privés – Pouvoir du ministère public de retirer des dénonciations ou de suspendre une instance avant une pré-enquête   – La Cour d’appel a-t-elle eu tort de ne pas avoir soupesé les droits d’un citoyen de faire une dénonciation privée et le pouvoir du ministère public de suspendre une dénonciation et de ne pas avoir correctement interprété la phrase [</w:t>
            </w:r>
            <w:r w:rsidRPr="006A1AC2">
              <w:rPr>
                <w:rFonts w:eastAsia="Calibri"/>
                <w:smallCaps/>
                <w:color w:val="000000"/>
                <w:sz w:val="20"/>
                <w:lang w:val="fr-CA"/>
              </w:rPr>
              <w:t>traduction</w:t>
            </w:r>
            <w:r w:rsidRPr="006A1AC2">
              <w:rPr>
                <w:rFonts w:eastAsia="Calibri"/>
                <w:color w:val="000000"/>
                <w:sz w:val="20"/>
                <w:lang w:val="fr-CA"/>
              </w:rPr>
              <w:t>] « instances introduites contre un accusé »? –</w:t>
            </w:r>
            <w:r w:rsidRPr="006A1AC2">
              <w:rPr>
                <w:rFonts w:eastAsia="Calibri"/>
                <w:sz w:val="20"/>
                <w:lang w:val="fr-CA"/>
              </w:rPr>
              <w:t xml:space="preserve">  La Cour d’appel s’est-elle contredite en affirmant que des dénonciations privées commencent et se terminent avec le droit du dénonciateur privé de porter une accusation, puis en statuant que le ministère public peut suspendre une dénonciation à toute étape avant la mise en accusation?</w:t>
            </w:r>
          </w:p>
        </w:tc>
      </w:tr>
    </w:tbl>
    <w:p w:rsidR="00D628C4" w:rsidRPr="00F10F5E" w:rsidRDefault="00D628C4">
      <w:pPr>
        <w:rPr>
          <w:lang w:val="fr-CA"/>
        </w:rPr>
      </w:pPr>
    </w:p>
    <w:p w:rsidR="00D628C4" w:rsidRPr="00F10F5E" w:rsidRDefault="00D628C4">
      <w:pPr>
        <w:rPr>
          <w:lang w:val="fr-CA"/>
        </w:rPr>
      </w:pPr>
      <w:r w:rsidRPr="00F10F5E">
        <w:rPr>
          <w:lang w:val="fr-CA"/>
        </w:rPr>
        <w:br w:type="page"/>
      </w:r>
    </w:p>
    <w:tbl>
      <w:tblPr>
        <w:tblW w:w="4952" w:type="pct"/>
        <w:tblInd w:w="2" w:type="dxa"/>
        <w:tblLayout w:type="fixed"/>
        <w:tblCellMar>
          <w:left w:w="0" w:type="dxa"/>
          <w:bottom w:w="99" w:type="dxa"/>
          <w:right w:w="0" w:type="dxa"/>
        </w:tblCellMar>
        <w:tblLook w:val="00A0"/>
      </w:tblPr>
      <w:tblGrid>
        <w:gridCol w:w="9527"/>
      </w:tblGrid>
      <w:tr w:rsidR="006F5D6D" w:rsidRPr="003B380E" w:rsidTr="000419CE">
        <w:tc>
          <w:tcPr>
            <w:tcW w:w="5000" w:type="pct"/>
          </w:tcPr>
          <w:p w:rsidR="006F5D6D" w:rsidRPr="006A1AC2" w:rsidRDefault="006F5D6D" w:rsidP="006F5D6D">
            <w:pPr>
              <w:jc w:val="both"/>
              <w:rPr>
                <w:rFonts w:eastAsia="Calibri"/>
                <w:sz w:val="20"/>
                <w:lang w:val="fr-CA"/>
              </w:rPr>
            </w:pPr>
            <w:r w:rsidRPr="006A1AC2">
              <w:rPr>
                <w:rFonts w:eastAsia="Calibri"/>
                <w:sz w:val="20"/>
                <w:lang w:val="fr-CA"/>
              </w:rPr>
              <w:lastRenderedPageBreak/>
              <w:t xml:space="preserve">En 2008, M. McHale a fait sous serment des dénonciations privées contre trois policiers, alléguant qu’ils avaient chacun commis une nuisance publique sous deux chefs, contrairement à l’art. 180 du </w:t>
            </w:r>
            <w:r w:rsidRPr="006A1AC2">
              <w:rPr>
                <w:rFonts w:eastAsia="Calibri"/>
                <w:i/>
                <w:iCs/>
                <w:sz w:val="20"/>
                <w:lang w:val="fr-CA"/>
              </w:rPr>
              <w:t>Code criminel</w:t>
            </w:r>
            <w:r w:rsidRPr="006A1AC2">
              <w:rPr>
                <w:rFonts w:eastAsia="Calibri"/>
                <w:sz w:val="20"/>
                <w:lang w:val="fr-CA"/>
              </w:rPr>
              <w:t xml:space="preserve">.  Les dénonciations ont été présentées au juge de paix pour une pré-enquête en vertu de l’art. 507.1 du </w:t>
            </w:r>
            <w:r w:rsidRPr="006A1AC2">
              <w:rPr>
                <w:rFonts w:eastAsia="Calibri"/>
                <w:i/>
                <w:iCs/>
                <w:sz w:val="20"/>
                <w:lang w:val="fr-CA"/>
              </w:rPr>
              <w:t>Code</w:t>
            </w:r>
            <w:r w:rsidRPr="006A1AC2">
              <w:rPr>
                <w:rFonts w:eastAsia="Calibri"/>
                <w:sz w:val="20"/>
                <w:lang w:val="fr-CA"/>
              </w:rPr>
              <w:t xml:space="preserve">. Au début de l’audience, le ministère public a retiré les trois dénonciations en vertu du pouvoir que lui confère l’al. 11 d) de la </w:t>
            </w:r>
            <w:r w:rsidRPr="006A1AC2">
              <w:rPr>
                <w:rFonts w:eastAsia="Calibri"/>
                <w:i/>
                <w:iCs/>
                <w:sz w:val="20"/>
                <w:lang w:val="fr-CA"/>
              </w:rPr>
              <w:t>Loi sur les procureurs de la Couronne</w:t>
            </w:r>
            <w:r w:rsidRPr="006A1AC2">
              <w:rPr>
                <w:rFonts w:eastAsia="Calibri"/>
                <w:sz w:val="20"/>
                <w:lang w:val="fr-CA"/>
              </w:rPr>
              <w:t xml:space="preserve">, L.R.O. 1990, ch. C-49.  Monsieur McHale a demandé une ordonnance de </w:t>
            </w:r>
            <w:r w:rsidRPr="006A1AC2">
              <w:rPr>
                <w:rFonts w:eastAsia="Calibri"/>
                <w:i/>
                <w:iCs/>
                <w:sz w:val="20"/>
                <w:lang w:val="fr-CA"/>
              </w:rPr>
              <w:t>mandamus</w:t>
            </w:r>
            <w:r w:rsidRPr="006A1AC2">
              <w:rPr>
                <w:rFonts w:eastAsia="Calibri"/>
                <w:sz w:val="20"/>
                <w:lang w:val="fr-CA"/>
              </w:rPr>
              <w:t>, plaidant que le ministère public n’avait pas le pouvoir discrétionnaire de retirer une dénonciation privée pendant une audience prévue à l’art. 507.1.</w:t>
            </w:r>
          </w:p>
        </w:tc>
      </w:tr>
    </w:tbl>
    <w:p w:rsidR="006F5D6D" w:rsidRPr="006F5D6D" w:rsidRDefault="006F5D6D" w:rsidP="006F5D6D">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6F5D6D" w:rsidRPr="003B380E"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t>2 juillet 2009</w:t>
            </w:r>
          </w:p>
          <w:p w:rsidR="006F5D6D" w:rsidRPr="006A1AC2" w:rsidRDefault="006F5D6D" w:rsidP="000419CE">
            <w:pPr>
              <w:jc w:val="both"/>
              <w:rPr>
                <w:rFonts w:eastAsia="Calibri"/>
                <w:sz w:val="20"/>
                <w:lang w:val="fr-CA"/>
              </w:rPr>
            </w:pPr>
            <w:r w:rsidRPr="006A1AC2">
              <w:rPr>
                <w:rFonts w:eastAsia="Calibri"/>
                <w:sz w:val="20"/>
                <w:lang w:val="fr-CA"/>
              </w:rPr>
              <w:t>Cour supérieure de justice de l’Ontario</w:t>
            </w:r>
          </w:p>
          <w:p w:rsidR="006F5D6D" w:rsidRPr="006A1AC2" w:rsidRDefault="006F5D6D" w:rsidP="000419CE">
            <w:pPr>
              <w:jc w:val="both"/>
              <w:rPr>
                <w:rFonts w:eastAsia="Calibri"/>
                <w:sz w:val="20"/>
              </w:rPr>
            </w:pPr>
            <w:r w:rsidRPr="006A1AC2">
              <w:rPr>
                <w:rFonts w:eastAsia="Calibri"/>
                <w:sz w:val="20"/>
              </w:rPr>
              <w:t>(</w:t>
            </w:r>
            <w:proofErr w:type="spellStart"/>
            <w:r w:rsidRPr="006A1AC2">
              <w:rPr>
                <w:rFonts w:eastAsia="Calibri"/>
                <w:sz w:val="20"/>
              </w:rPr>
              <w:t>Juge</w:t>
            </w:r>
            <w:proofErr w:type="spellEnd"/>
            <w:r w:rsidRPr="006A1AC2">
              <w:rPr>
                <w:rFonts w:eastAsia="Calibri"/>
                <w:sz w:val="20"/>
              </w:rPr>
              <w:t xml:space="preserve"> Marshall)</w:t>
            </w:r>
          </w:p>
          <w:p w:rsidR="006F5D6D" w:rsidRPr="006A1AC2" w:rsidRDefault="006F5D6D" w:rsidP="00FA3B73">
            <w:pPr>
              <w:jc w:val="both"/>
              <w:rPr>
                <w:rFonts w:eastAsia="Calibri"/>
                <w:sz w:val="20"/>
              </w:rPr>
            </w:pPr>
            <w:r w:rsidRPr="006A1AC2">
              <w:rPr>
                <w:rFonts w:eastAsia="Calibri"/>
                <w:sz w:val="20"/>
              </w:rPr>
              <w:t>(2009), 251 C.C.C. (3d) 283</w:t>
            </w:r>
          </w:p>
        </w:tc>
        <w:tc>
          <w:tcPr>
            <w:tcW w:w="243" w:type="pct"/>
          </w:tcPr>
          <w:p w:rsidR="006F5D6D" w:rsidRDefault="006F5D6D"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Default="00FA3B73" w:rsidP="000419CE">
            <w:pPr>
              <w:jc w:val="both"/>
              <w:rPr>
                <w:rFonts w:eastAsia="Calibri"/>
                <w:sz w:val="20"/>
              </w:rPr>
            </w:pPr>
          </w:p>
          <w:p w:rsidR="00FA3B73" w:rsidRPr="006A1AC2" w:rsidRDefault="00FA3B73" w:rsidP="000419CE">
            <w:pPr>
              <w:jc w:val="both"/>
              <w:rPr>
                <w:rFonts w:eastAsia="Calibri"/>
                <w:sz w:val="20"/>
              </w:rPr>
            </w:pPr>
          </w:p>
        </w:tc>
        <w:tc>
          <w:tcPr>
            <w:tcW w:w="2330" w:type="pct"/>
          </w:tcPr>
          <w:p w:rsidR="006F5D6D" w:rsidRPr="006A1AC2" w:rsidRDefault="006F5D6D" w:rsidP="000419CE">
            <w:pPr>
              <w:jc w:val="both"/>
              <w:rPr>
                <w:rFonts w:eastAsia="Calibri"/>
                <w:sz w:val="20"/>
                <w:lang w:val="fr-CA"/>
              </w:rPr>
            </w:pPr>
            <w:r w:rsidRPr="006A1AC2">
              <w:rPr>
                <w:rFonts w:eastAsia="Calibri"/>
                <w:i/>
                <w:iCs/>
                <w:sz w:val="20"/>
                <w:lang w:val="fr-CA"/>
              </w:rPr>
              <w:t>Mandamus</w:t>
            </w:r>
            <w:r w:rsidRPr="006A1AC2">
              <w:rPr>
                <w:rFonts w:eastAsia="Calibri"/>
                <w:sz w:val="20"/>
                <w:lang w:val="fr-CA"/>
              </w:rPr>
              <w:t xml:space="preserve"> délivré ordonnant au juge de paix de tenir une audience en vertu de l’art. 507.1 du </w:t>
            </w:r>
            <w:r w:rsidRPr="006A1AC2">
              <w:rPr>
                <w:rFonts w:eastAsia="Calibri"/>
                <w:i/>
                <w:iCs/>
                <w:sz w:val="20"/>
                <w:lang w:val="fr-CA"/>
              </w:rPr>
              <w:t>Code criminel</w:t>
            </w:r>
          </w:p>
          <w:p w:rsidR="006F5D6D" w:rsidRPr="006A1AC2" w:rsidRDefault="006F5D6D" w:rsidP="000419CE">
            <w:pPr>
              <w:jc w:val="both"/>
              <w:rPr>
                <w:rFonts w:eastAsia="Calibri"/>
                <w:sz w:val="20"/>
                <w:lang w:val="fr-CA"/>
              </w:rPr>
            </w:pPr>
          </w:p>
        </w:tc>
      </w:tr>
      <w:tr w:rsidR="006F5D6D" w:rsidRPr="006A1AC2"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t>17 mai 2010</w:t>
            </w:r>
          </w:p>
          <w:p w:rsidR="006F5D6D" w:rsidRPr="006A1AC2" w:rsidRDefault="006F5D6D" w:rsidP="000419CE">
            <w:pPr>
              <w:jc w:val="both"/>
              <w:rPr>
                <w:rFonts w:eastAsia="Calibri"/>
                <w:sz w:val="20"/>
                <w:lang w:val="fr-CA"/>
              </w:rPr>
            </w:pPr>
            <w:r w:rsidRPr="006A1AC2">
              <w:rPr>
                <w:rFonts w:eastAsia="Calibri"/>
                <w:sz w:val="20"/>
                <w:lang w:val="fr-CA"/>
              </w:rPr>
              <w:t>Cour d’appel de l’Ontario</w:t>
            </w:r>
          </w:p>
          <w:p w:rsidR="006F5D6D" w:rsidRPr="006A1AC2" w:rsidRDefault="006F5D6D" w:rsidP="000419CE">
            <w:pPr>
              <w:jc w:val="both"/>
              <w:rPr>
                <w:rFonts w:eastAsia="Calibri"/>
                <w:sz w:val="20"/>
                <w:lang w:val="fr-CA"/>
              </w:rPr>
            </w:pPr>
            <w:r w:rsidRPr="006A1AC2">
              <w:rPr>
                <w:rFonts w:eastAsia="Calibri"/>
                <w:sz w:val="20"/>
                <w:lang w:val="fr-CA"/>
              </w:rPr>
              <w:t xml:space="preserve">(Juges </w:t>
            </w:r>
            <w:proofErr w:type="spellStart"/>
            <w:r w:rsidRPr="006A1AC2">
              <w:rPr>
                <w:rFonts w:eastAsia="Calibri"/>
                <w:sz w:val="20"/>
                <w:lang w:val="fr-CA"/>
              </w:rPr>
              <w:t>Winkler</w:t>
            </w:r>
            <w:proofErr w:type="spellEnd"/>
            <w:r w:rsidRPr="006A1AC2">
              <w:rPr>
                <w:rFonts w:eastAsia="Calibri"/>
                <w:sz w:val="20"/>
                <w:lang w:val="fr-CA"/>
              </w:rPr>
              <w:t xml:space="preserve">, </w:t>
            </w:r>
            <w:proofErr w:type="spellStart"/>
            <w:r w:rsidRPr="006A1AC2">
              <w:rPr>
                <w:rFonts w:eastAsia="Calibri"/>
                <w:sz w:val="20"/>
                <w:lang w:val="fr-CA"/>
              </w:rPr>
              <w:t>Goudge</w:t>
            </w:r>
            <w:proofErr w:type="spellEnd"/>
            <w:r w:rsidRPr="006A1AC2">
              <w:rPr>
                <w:rFonts w:eastAsia="Calibri"/>
                <w:sz w:val="20"/>
                <w:lang w:val="fr-CA"/>
              </w:rPr>
              <w:t xml:space="preserve"> et Watt)</w:t>
            </w:r>
          </w:p>
          <w:p w:rsidR="006F5D6D" w:rsidRPr="006A1AC2" w:rsidRDefault="006F5D6D" w:rsidP="00FA3B73">
            <w:pPr>
              <w:jc w:val="both"/>
              <w:rPr>
                <w:rFonts w:eastAsia="Calibri"/>
                <w:sz w:val="20"/>
                <w:lang w:val="fr-CA"/>
              </w:rPr>
            </w:pPr>
            <w:r w:rsidRPr="006A1AC2">
              <w:rPr>
                <w:rFonts w:eastAsia="Calibri"/>
                <w:sz w:val="20"/>
                <w:lang w:val="fr-CA"/>
              </w:rPr>
              <w:t>2010 ONCA 361</w:t>
            </w:r>
          </w:p>
        </w:tc>
        <w:tc>
          <w:tcPr>
            <w:tcW w:w="243" w:type="pct"/>
          </w:tcPr>
          <w:p w:rsidR="006F5D6D" w:rsidRDefault="006F5D6D" w:rsidP="000419CE">
            <w:pPr>
              <w:jc w:val="both"/>
              <w:rPr>
                <w:rFonts w:eastAsia="Calibri"/>
                <w:sz w:val="20"/>
                <w:lang w:val="fr-CA"/>
              </w:rPr>
            </w:pPr>
          </w:p>
          <w:p w:rsidR="00FA3B73" w:rsidRDefault="00FA3B73" w:rsidP="000419CE">
            <w:pPr>
              <w:jc w:val="both"/>
              <w:rPr>
                <w:rFonts w:eastAsia="Calibri"/>
                <w:sz w:val="20"/>
                <w:lang w:val="fr-CA"/>
              </w:rPr>
            </w:pPr>
          </w:p>
          <w:p w:rsidR="00FA3B73" w:rsidRDefault="00FA3B73" w:rsidP="000419CE">
            <w:pPr>
              <w:jc w:val="both"/>
              <w:rPr>
                <w:rFonts w:eastAsia="Calibri"/>
                <w:sz w:val="20"/>
                <w:lang w:val="fr-CA"/>
              </w:rPr>
            </w:pPr>
          </w:p>
          <w:p w:rsidR="00FA3B73" w:rsidRDefault="00FA3B73" w:rsidP="000419CE">
            <w:pPr>
              <w:jc w:val="both"/>
              <w:rPr>
                <w:rFonts w:eastAsia="Calibri"/>
                <w:sz w:val="20"/>
                <w:lang w:val="fr-CA"/>
              </w:rPr>
            </w:pPr>
          </w:p>
          <w:p w:rsidR="00FA3B73" w:rsidRPr="006A1AC2" w:rsidRDefault="00FA3B73" w:rsidP="000419CE">
            <w:pPr>
              <w:jc w:val="both"/>
              <w:rPr>
                <w:rFonts w:eastAsia="Calibri"/>
                <w:sz w:val="20"/>
                <w:lang w:val="fr-CA"/>
              </w:rPr>
            </w:pPr>
          </w:p>
        </w:tc>
        <w:tc>
          <w:tcPr>
            <w:tcW w:w="2330" w:type="pct"/>
          </w:tcPr>
          <w:p w:rsidR="006F5D6D" w:rsidRPr="006A1AC2" w:rsidRDefault="006F5D6D" w:rsidP="000419CE">
            <w:pPr>
              <w:jc w:val="both"/>
              <w:rPr>
                <w:rFonts w:eastAsia="Calibri"/>
                <w:sz w:val="20"/>
                <w:lang w:val="fr-CA"/>
              </w:rPr>
            </w:pPr>
            <w:r w:rsidRPr="006A1AC2">
              <w:rPr>
                <w:rFonts w:eastAsia="Calibri"/>
                <w:sz w:val="20"/>
                <w:lang w:val="fr-CA"/>
              </w:rPr>
              <w:t>Appel rejeté</w:t>
            </w:r>
          </w:p>
          <w:p w:rsidR="006F5D6D" w:rsidRPr="006A1AC2" w:rsidRDefault="006F5D6D" w:rsidP="000419CE">
            <w:pPr>
              <w:jc w:val="both"/>
              <w:rPr>
                <w:rFonts w:eastAsia="Calibri"/>
                <w:sz w:val="20"/>
                <w:lang w:val="fr-CA"/>
              </w:rPr>
            </w:pPr>
          </w:p>
        </w:tc>
      </w:tr>
      <w:tr w:rsidR="006F5D6D" w:rsidRPr="006A1AC2"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t>16 août 2010</w:t>
            </w:r>
          </w:p>
          <w:p w:rsidR="006F5D6D" w:rsidRPr="006A1AC2" w:rsidRDefault="006F5D6D" w:rsidP="000419CE">
            <w:pPr>
              <w:jc w:val="both"/>
              <w:rPr>
                <w:rFonts w:eastAsia="Calibri"/>
                <w:sz w:val="20"/>
                <w:lang w:val="fr-CA"/>
              </w:rPr>
            </w:pPr>
            <w:r w:rsidRPr="006A1AC2">
              <w:rPr>
                <w:rFonts w:eastAsia="Calibri"/>
                <w:sz w:val="20"/>
                <w:lang w:val="fr-CA"/>
              </w:rPr>
              <w:t>Cour suprême du Canada</w:t>
            </w:r>
          </w:p>
        </w:tc>
        <w:tc>
          <w:tcPr>
            <w:tcW w:w="243" w:type="pct"/>
          </w:tcPr>
          <w:p w:rsidR="006F5D6D" w:rsidRPr="006A1AC2" w:rsidRDefault="006F5D6D" w:rsidP="000419CE">
            <w:pPr>
              <w:jc w:val="both"/>
              <w:rPr>
                <w:rFonts w:eastAsia="Calibri"/>
                <w:sz w:val="20"/>
                <w:lang w:val="fr-CA"/>
              </w:rPr>
            </w:pPr>
          </w:p>
        </w:tc>
        <w:tc>
          <w:tcPr>
            <w:tcW w:w="2330" w:type="pct"/>
          </w:tcPr>
          <w:p w:rsidR="006F5D6D" w:rsidRPr="006A1AC2" w:rsidRDefault="006F5D6D" w:rsidP="000419CE">
            <w:pPr>
              <w:jc w:val="both"/>
              <w:rPr>
                <w:rFonts w:eastAsia="Calibri"/>
                <w:sz w:val="20"/>
                <w:lang w:val="fr-CA"/>
              </w:rPr>
            </w:pPr>
            <w:r w:rsidRPr="006A1AC2">
              <w:rPr>
                <w:rFonts w:eastAsia="Calibri"/>
                <w:sz w:val="20"/>
                <w:lang w:val="fr-CA"/>
              </w:rPr>
              <w:t>Demande d’autorisation d’appel déposée</w:t>
            </w:r>
          </w:p>
          <w:p w:rsidR="006F5D6D" w:rsidRPr="006A1AC2" w:rsidRDefault="006F5D6D" w:rsidP="000419CE">
            <w:pPr>
              <w:jc w:val="both"/>
              <w:rPr>
                <w:rFonts w:eastAsia="Calibri"/>
                <w:sz w:val="20"/>
                <w:lang w:val="fr-CA"/>
              </w:rPr>
            </w:pPr>
          </w:p>
        </w:tc>
      </w:tr>
    </w:tbl>
    <w:p w:rsidR="006F5D6D" w:rsidRDefault="006F5D6D" w:rsidP="006F5D6D">
      <w:pPr>
        <w:jc w:val="both"/>
        <w:rPr>
          <w:rFonts w:eastAsia="Calibri"/>
          <w:sz w:val="20"/>
          <w:lang w:val="fr-CA"/>
        </w:rPr>
      </w:pPr>
    </w:p>
    <w:p w:rsidR="00F94A8D" w:rsidRDefault="003E770A" w:rsidP="00F94A8D">
      <w:pPr>
        <w:keepNext/>
        <w:rPr>
          <w:sz w:val="20"/>
          <w:szCs w:val="20"/>
          <w:lang w:val="fr-CA"/>
        </w:rPr>
      </w:pPr>
      <w:r w:rsidRPr="003E770A">
        <w:rPr>
          <w:sz w:val="20"/>
          <w:szCs w:val="20"/>
          <w:lang w:val="fr-CA"/>
        </w:rPr>
        <w:pict>
          <v:rect id="_x0000_i1058" style="width:2in;height:1pt" o:hrpct="0" o:hralign="center" o:hrstd="t" o:hrnoshade="t" o:hr="t" fillcolor="black [3213]" stroked="f"/>
        </w:pict>
      </w:r>
    </w:p>
    <w:p w:rsidR="00F94A8D" w:rsidRDefault="00F94A8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F94A8D" w:rsidTr="00F94A8D">
        <w:trPr>
          <w:cantSplit/>
        </w:trPr>
        <w:tc>
          <w:tcPr>
            <w:tcW w:w="1458" w:type="dxa"/>
          </w:tcPr>
          <w:p w:rsidR="00F94A8D" w:rsidRPr="00F94A8D" w:rsidRDefault="00F94A8D" w:rsidP="00F94A8D">
            <w:pPr>
              <w:rPr>
                <w:sz w:val="20"/>
                <w:szCs w:val="20"/>
              </w:rPr>
            </w:pPr>
            <w:r w:rsidRPr="00F94A8D">
              <w:rPr>
                <w:rStyle w:val="SCCFileNumberChar"/>
                <w:sz w:val="20"/>
                <w:szCs w:val="20"/>
              </w:rPr>
              <w:t>33807</w:t>
            </w:r>
          </w:p>
          <w:p w:rsidR="00F94A8D" w:rsidRPr="00F94A8D" w:rsidRDefault="00F94A8D" w:rsidP="00F94A8D">
            <w:pPr>
              <w:rPr>
                <w:b/>
                <w:sz w:val="20"/>
                <w:szCs w:val="20"/>
                <w:lang w:val="fr-CA"/>
              </w:rPr>
            </w:pPr>
          </w:p>
        </w:tc>
        <w:tc>
          <w:tcPr>
            <w:tcW w:w="8118" w:type="dxa"/>
          </w:tcPr>
          <w:p w:rsidR="00F94A8D" w:rsidRPr="00F94A8D" w:rsidRDefault="00F94A8D" w:rsidP="00AD6FFE">
            <w:pPr>
              <w:jc w:val="both"/>
              <w:rPr>
                <w:sz w:val="20"/>
                <w:szCs w:val="20"/>
              </w:rPr>
            </w:pPr>
            <w:r w:rsidRPr="00F94A8D">
              <w:rPr>
                <w:rStyle w:val="SCCLsocChar"/>
                <w:sz w:val="20"/>
                <w:szCs w:val="20"/>
                <w:lang w:val="en-CA"/>
              </w:rPr>
              <w:t xml:space="preserve">Dan </w:t>
            </w:r>
            <w:proofErr w:type="spellStart"/>
            <w:r w:rsidRPr="00F94A8D">
              <w:rPr>
                <w:rStyle w:val="SCCLsocChar"/>
                <w:sz w:val="20"/>
                <w:szCs w:val="20"/>
                <w:lang w:val="en-CA"/>
              </w:rPr>
              <w:t>Ambrosi</w:t>
            </w:r>
            <w:proofErr w:type="spellEnd"/>
            <w:r w:rsidR="00C62C83">
              <w:rPr>
                <w:rStyle w:val="SCCLsocChar"/>
                <w:sz w:val="20"/>
                <w:szCs w:val="20"/>
                <w:lang w:val="en-CA"/>
              </w:rPr>
              <w:t xml:space="preserve"> and</w:t>
            </w:r>
            <w:r w:rsidRPr="00F94A8D">
              <w:rPr>
                <w:rStyle w:val="SCCLsocChar"/>
                <w:sz w:val="20"/>
                <w:szCs w:val="20"/>
                <w:lang w:val="en-CA"/>
              </w:rPr>
              <w:t xml:space="preserve"> Valley Rubber Resources Inc. v. Her Majesty the Queen</w:t>
            </w:r>
            <w:r w:rsidRPr="00F94A8D">
              <w:rPr>
                <w:sz w:val="20"/>
                <w:szCs w:val="20"/>
              </w:rPr>
              <w:t xml:space="preserve"> (B.C.) (Civil) (By Leave)</w:t>
            </w:r>
          </w:p>
          <w:p w:rsidR="00F94A8D" w:rsidRPr="00F94A8D" w:rsidRDefault="00F94A8D" w:rsidP="00F94A8D">
            <w:pPr>
              <w:rPr>
                <w:sz w:val="20"/>
                <w:szCs w:val="20"/>
              </w:rPr>
            </w:pPr>
          </w:p>
        </w:tc>
      </w:tr>
      <w:tr w:rsidR="00F94A8D" w:rsidRPr="00F94A8D" w:rsidTr="00F94A8D">
        <w:trPr>
          <w:cantSplit/>
        </w:trPr>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lang w:val="en-CA"/>
              </w:rPr>
            </w:pPr>
            <w:proofErr w:type="spellStart"/>
            <w:r w:rsidRPr="00F94A8D">
              <w:rPr>
                <w:rStyle w:val="SCCCoramChar"/>
                <w:sz w:val="20"/>
                <w:szCs w:val="20"/>
                <w:lang w:val="en-CA"/>
              </w:rPr>
              <w:t>Binnie</w:t>
            </w:r>
            <w:proofErr w:type="spellEnd"/>
            <w:r w:rsidRPr="00F94A8D">
              <w:rPr>
                <w:rStyle w:val="SCCCoramChar"/>
                <w:sz w:val="20"/>
                <w:szCs w:val="20"/>
                <w:lang w:val="en-CA"/>
              </w:rPr>
              <w:t>, Fish and Rothstein JJ.</w:t>
            </w:r>
          </w:p>
          <w:p w:rsidR="00F94A8D" w:rsidRPr="00F94A8D" w:rsidRDefault="00F94A8D" w:rsidP="00F94A8D">
            <w:pPr>
              <w:rPr>
                <w:sz w:val="20"/>
                <w:szCs w:val="20"/>
              </w:rPr>
            </w:pPr>
          </w:p>
        </w:tc>
      </w:tr>
      <w:tr w:rsidR="00F94A8D" w:rsidRPr="003B380E" w:rsidTr="00F94A8D">
        <w:trPr>
          <w:cantSplit/>
        </w:trPr>
        <w:tc>
          <w:tcPr>
            <w:tcW w:w="9576" w:type="dxa"/>
            <w:gridSpan w:val="2"/>
          </w:tcPr>
          <w:p w:rsidR="00F94A8D" w:rsidRPr="00F94A8D" w:rsidRDefault="00F94A8D" w:rsidP="00F94A8D">
            <w:pPr>
              <w:jc w:val="both"/>
              <w:rPr>
                <w:sz w:val="20"/>
                <w:szCs w:val="20"/>
              </w:rPr>
            </w:pPr>
            <w:r>
              <w:rPr>
                <w:sz w:val="20"/>
                <w:szCs w:val="20"/>
              </w:rPr>
              <w:tab/>
            </w:r>
            <w:r w:rsidR="00C62C83">
              <w:rPr>
                <w:sz w:val="20"/>
                <w:szCs w:val="20"/>
              </w:rPr>
              <w:t xml:space="preserve">The motion for an extension of time to serve and file the application for leave to appeal is granted. </w:t>
            </w:r>
            <w:r w:rsidRPr="00F94A8D">
              <w:rPr>
                <w:sz w:val="20"/>
                <w:szCs w:val="20"/>
              </w:rPr>
              <w:t>The application for leave to appeal from the judgment of the Court of Appeal for British Columbia (Vancouver), Number CA036340, dated April 27, 2010, is dismissed without costs.</w:t>
            </w:r>
          </w:p>
          <w:p w:rsidR="00F94A8D" w:rsidRPr="00F94A8D" w:rsidRDefault="00F94A8D" w:rsidP="00F94A8D">
            <w:pPr>
              <w:jc w:val="both"/>
              <w:rPr>
                <w:sz w:val="20"/>
                <w:szCs w:val="20"/>
              </w:rPr>
            </w:pPr>
          </w:p>
          <w:p w:rsidR="00F94A8D" w:rsidRPr="00F94A8D" w:rsidRDefault="00F94A8D" w:rsidP="00F94A8D">
            <w:pPr>
              <w:jc w:val="both"/>
              <w:rPr>
                <w:sz w:val="20"/>
                <w:szCs w:val="20"/>
                <w:lang w:val="fr-CA"/>
              </w:rPr>
            </w:pPr>
            <w:r w:rsidRPr="00C62C83">
              <w:rPr>
                <w:sz w:val="20"/>
                <w:szCs w:val="20"/>
              </w:rPr>
              <w:tab/>
            </w:r>
            <w:r w:rsidR="00C62C83" w:rsidRPr="00C62C83">
              <w:rPr>
                <w:sz w:val="20"/>
                <w:szCs w:val="20"/>
                <w:lang w:val="fr-CA"/>
              </w:rPr>
              <w:t>La requ</w:t>
            </w:r>
            <w:r w:rsidR="00C62C83">
              <w:rPr>
                <w:sz w:val="20"/>
                <w:szCs w:val="20"/>
                <w:lang w:val="fr-CA"/>
              </w:rPr>
              <w:t xml:space="preserve">ête en prorogation du délai de signification et de dépôt de la demande d’autorisation d’appel est accordée.  </w:t>
            </w:r>
            <w:r w:rsidRPr="00F94A8D">
              <w:rPr>
                <w:sz w:val="20"/>
                <w:szCs w:val="20"/>
                <w:lang w:val="fr-CA"/>
              </w:rPr>
              <w:t>La demande d’autorisation d’appel de l’arrêt de la Cour d’appel de la Colombie-Britannique (Vancouver), numéro CA036340, daté du 27 avril 2010, est rejetée sans dépens.</w:t>
            </w:r>
          </w:p>
        </w:tc>
      </w:tr>
    </w:tbl>
    <w:p w:rsidR="00F94A8D" w:rsidRDefault="00F94A8D" w:rsidP="00F94A8D">
      <w:pPr>
        <w:rPr>
          <w:sz w:val="20"/>
          <w:szCs w:val="20"/>
          <w:lang w:val="fr-CA"/>
        </w:rPr>
      </w:pPr>
    </w:p>
    <w:p w:rsidR="00F94A8D" w:rsidRPr="00C50A5C" w:rsidRDefault="00F94A8D" w:rsidP="00F94A8D">
      <w:pPr>
        <w:keepNext/>
        <w:rPr>
          <w:sz w:val="20"/>
          <w:szCs w:val="20"/>
        </w:rPr>
      </w:pPr>
      <w:r w:rsidRPr="00C50A5C">
        <w:rPr>
          <w:sz w:val="20"/>
          <w:szCs w:val="20"/>
          <w:u w:val="single"/>
        </w:rPr>
        <w:t>CASE SUMMARY</w:t>
      </w:r>
    </w:p>
    <w:p w:rsidR="00F94A8D" w:rsidRDefault="00F94A8D" w:rsidP="00F94A8D">
      <w:pPr>
        <w:keepNext/>
        <w:rPr>
          <w:sz w:val="20"/>
          <w:szCs w:val="20"/>
        </w:rPr>
      </w:pPr>
    </w:p>
    <w:tbl>
      <w:tblPr>
        <w:tblW w:w="4952" w:type="pct"/>
        <w:tblLayout w:type="fixed"/>
        <w:tblCellMar>
          <w:left w:w="0" w:type="dxa"/>
          <w:bottom w:w="99" w:type="dxa"/>
          <w:right w:w="0" w:type="dxa"/>
        </w:tblCellMar>
        <w:tblLook w:val="04A0"/>
      </w:tblPr>
      <w:tblGrid>
        <w:gridCol w:w="9527"/>
      </w:tblGrid>
      <w:tr w:rsidR="006074A6" w:rsidRPr="006A1AC2" w:rsidTr="005255F0">
        <w:trPr>
          <w:cantSplit/>
        </w:trPr>
        <w:tc>
          <w:tcPr>
            <w:tcW w:w="5000" w:type="pct"/>
          </w:tcPr>
          <w:p w:rsidR="006074A6" w:rsidRDefault="006074A6" w:rsidP="000C6523">
            <w:pPr>
              <w:jc w:val="both"/>
              <w:rPr>
                <w:rFonts w:eastAsia="Calibri"/>
                <w:sz w:val="20"/>
              </w:rPr>
            </w:pPr>
            <w:r w:rsidRPr="006A1AC2">
              <w:rPr>
                <w:rFonts w:eastAsia="Calibri"/>
                <w:sz w:val="20"/>
              </w:rPr>
              <w:t xml:space="preserve">Environmental Law – Appeals – Provincial Offences – Whether Regulations, made without express, statutory authorization, can support charges pursuant thereto – Whether the Legislature or Lieutenant Governor can enact legislation or regulations for purposes intended to eliminate competition in the marketplace, and/or to maintain a monopoly over a given industry, product or service, or that results in such a monopolistic situation – Whether there was a want of jurisdiction to prosecute the charges in this matter as the facts on which the information was based were known to the Minister over two years prior to the offence date – </w:t>
            </w:r>
            <w:r w:rsidRPr="006A1AC2">
              <w:rPr>
                <w:rFonts w:eastAsia="Calibri"/>
                <w:i/>
                <w:sz w:val="20"/>
              </w:rPr>
              <w:t>Storage of Recyclable Material Regulation</w:t>
            </w:r>
            <w:r w:rsidRPr="006A1AC2">
              <w:rPr>
                <w:rFonts w:eastAsia="Calibri"/>
                <w:sz w:val="20"/>
              </w:rPr>
              <w:t xml:space="preserve">, B.C. Reg. 133/92 – </w:t>
            </w:r>
            <w:r w:rsidRPr="006A1AC2">
              <w:rPr>
                <w:rFonts w:eastAsia="Calibri"/>
                <w:i/>
                <w:sz w:val="20"/>
              </w:rPr>
              <w:t>Waste Management Act</w:t>
            </w:r>
            <w:r w:rsidRPr="006A1AC2">
              <w:rPr>
                <w:rFonts w:eastAsia="Calibri"/>
                <w:sz w:val="20"/>
              </w:rPr>
              <w:t>, R.S.B.C. c. 482.</w:t>
            </w:r>
          </w:p>
          <w:p w:rsidR="000C6523" w:rsidRPr="006A1AC2" w:rsidRDefault="000C6523" w:rsidP="000C6523">
            <w:pPr>
              <w:jc w:val="both"/>
              <w:rPr>
                <w:rFonts w:eastAsia="Calibri"/>
                <w:sz w:val="20"/>
              </w:rPr>
            </w:pPr>
          </w:p>
        </w:tc>
      </w:tr>
      <w:tr w:rsidR="006074A6" w:rsidRPr="006A1AC2" w:rsidTr="005255F0">
        <w:trPr>
          <w:cantSplit/>
        </w:trPr>
        <w:tc>
          <w:tcPr>
            <w:tcW w:w="5000" w:type="pct"/>
          </w:tcPr>
          <w:p w:rsidR="006074A6" w:rsidRPr="006A1AC2" w:rsidRDefault="006074A6" w:rsidP="00364C5F">
            <w:pPr>
              <w:jc w:val="both"/>
              <w:rPr>
                <w:rFonts w:eastAsia="Calibri"/>
                <w:sz w:val="20"/>
              </w:rPr>
            </w:pPr>
            <w:r w:rsidRPr="006A1AC2">
              <w:rPr>
                <w:rFonts w:eastAsia="Calibri"/>
                <w:sz w:val="20"/>
              </w:rPr>
              <w:lastRenderedPageBreak/>
              <w:t xml:space="preserve">The applicants were charged with twelve counts of provincial regulatory offences under the </w:t>
            </w:r>
            <w:r w:rsidRPr="006A1AC2">
              <w:rPr>
                <w:rFonts w:eastAsia="Calibri"/>
                <w:i/>
                <w:sz w:val="20"/>
              </w:rPr>
              <w:t>Storage of Recyclable Material Regulation</w:t>
            </w:r>
            <w:r w:rsidRPr="006A1AC2">
              <w:rPr>
                <w:rFonts w:eastAsia="Calibri"/>
                <w:sz w:val="20"/>
              </w:rPr>
              <w:t xml:space="preserve"> (the “Regulation”), enacted pursuant to the </w:t>
            </w:r>
            <w:r w:rsidRPr="006A1AC2">
              <w:rPr>
                <w:rFonts w:eastAsia="Calibri"/>
                <w:i/>
                <w:sz w:val="20"/>
              </w:rPr>
              <w:t>Waste Management Act</w:t>
            </w:r>
            <w:r w:rsidRPr="006A1AC2">
              <w:rPr>
                <w:rFonts w:eastAsia="Calibri"/>
                <w:sz w:val="20"/>
              </w:rPr>
              <w:t>. The alleged offences involved the storage of recyclable material containing gypsum for various periods of time in a quantity and for a period exceeding that prescribed by ss. 4(2) and 5(1) of the Regulation, namely more than 1,000 tonnes and for more than six months.</w:t>
            </w:r>
            <w:r w:rsidR="00364C5F" w:rsidRPr="006A1AC2">
              <w:rPr>
                <w:rFonts w:eastAsia="Calibri"/>
                <w:sz w:val="20"/>
              </w:rPr>
              <w:t xml:space="preserve"> </w:t>
            </w:r>
          </w:p>
        </w:tc>
      </w:tr>
    </w:tbl>
    <w:p w:rsidR="006074A6" w:rsidRDefault="006074A6" w:rsidP="006074A6"/>
    <w:tbl>
      <w:tblPr>
        <w:tblW w:w="4952" w:type="pct"/>
        <w:tblLayout w:type="fixed"/>
        <w:tblCellMar>
          <w:left w:w="0" w:type="dxa"/>
          <w:bottom w:w="99" w:type="dxa"/>
          <w:right w:w="0" w:type="dxa"/>
        </w:tblCellMar>
        <w:tblLook w:val="04A0"/>
      </w:tblPr>
      <w:tblGrid>
        <w:gridCol w:w="4624"/>
        <w:gridCol w:w="463"/>
        <w:gridCol w:w="4440"/>
      </w:tblGrid>
      <w:tr w:rsidR="006074A6" w:rsidRPr="006A1AC2" w:rsidTr="005255F0">
        <w:tc>
          <w:tcPr>
            <w:tcW w:w="2427" w:type="pct"/>
          </w:tcPr>
          <w:p w:rsidR="006074A6" w:rsidRPr="006A1AC2" w:rsidRDefault="006074A6" w:rsidP="005255F0">
            <w:pPr>
              <w:jc w:val="both"/>
              <w:rPr>
                <w:rFonts w:eastAsia="Calibri"/>
                <w:sz w:val="20"/>
              </w:rPr>
            </w:pPr>
            <w:r w:rsidRPr="006A1AC2">
              <w:rPr>
                <w:rFonts w:eastAsia="Calibri"/>
                <w:sz w:val="20"/>
              </w:rPr>
              <w:t>September 1, 2005</w:t>
            </w:r>
          </w:p>
          <w:p w:rsidR="006074A6" w:rsidRPr="006A1AC2" w:rsidRDefault="006074A6" w:rsidP="005255F0">
            <w:pPr>
              <w:jc w:val="both"/>
              <w:rPr>
                <w:rFonts w:eastAsia="Calibri"/>
                <w:sz w:val="20"/>
              </w:rPr>
            </w:pPr>
            <w:r w:rsidRPr="006A1AC2">
              <w:rPr>
                <w:rFonts w:eastAsia="Calibri"/>
                <w:sz w:val="20"/>
              </w:rPr>
              <w:t>Provincial Court of British Columbia</w:t>
            </w:r>
          </w:p>
          <w:p w:rsidR="006074A6" w:rsidRPr="006A1AC2" w:rsidRDefault="006074A6" w:rsidP="005255F0">
            <w:pPr>
              <w:jc w:val="both"/>
              <w:rPr>
                <w:rFonts w:eastAsia="Calibri"/>
                <w:sz w:val="20"/>
              </w:rPr>
            </w:pPr>
            <w:r w:rsidRPr="006A1AC2">
              <w:rPr>
                <w:rFonts w:eastAsia="Calibri"/>
                <w:sz w:val="20"/>
              </w:rPr>
              <w:t>(</w:t>
            </w:r>
            <w:proofErr w:type="spellStart"/>
            <w:r w:rsidRPr="006A1AC2">
              <w:rPr>
                <w:rFonts w:eastAsia="Calibri"/>
                <w:sz w:val="20"/>
              </w:rPr>
              <w:t>Rohrmoser</w:t>
            </w:r>
            <w:proofErr w:type="spellEnd"/>
            <w:r w:rsidRPr="006A1AC2">
              <w:rPr>
                <w:rFonts w:eastAsia="Calibri"/>
                <w:sz w:val="20"/>
              </w:rPr>
              <w:t xml:space="preserve"> P.C.J.)</w:t>
            </w:r>
          </w:p>
          <w:p w:rsidR="006074A6" w:rsidRPr="006A1AC2" w:rsidRDefault="006074A6" w:rsidP="005255F0">
            <w:pPr>
              <w:jc w:val="both"/>
              <w:rPr>
                <w:rFonts w:eastAsia="Calibri"/>
                <w:sz w:val="20"/>
              </w:rPr>
            </w:pPr>
            <w:r w:rsidRPr="006A1AC2">
              <w:rPr>
                <w:rFonts w:eastAsia="Calibri"/>
                <w:sz w:val="20"/>
              </w:rPr>
              <w:t xml:space="preserve">Neutral citation: 2005 BCPC 0483 </w:t>
            </w:r>
          </w:p>
        </w:tc>
        <w:tc>
          <w:tcPr>
            <w:tcW w:w="243" w:type="pct"/>
          </w:tcPr>
          <w:p w:rsidR="006074A6" w:rsidRDefault="006074A6"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Pr="006A1AC2" w:rsidRDefault="005255F0" w:rsidP="005255F0">
            <w:pPr>
              <w:jc w:val="both"/>
              <w:rPr>
                <w:rFonts w:eastAsia="Calibri"/>
                <w:sz w:val="20"/>
              </w:rPr>
            </w:pPr>
          </w:p>
        </w:tc>
        <w:tc>
          <w:tcPr>
            <w:tcW w:w="2330" w:type="pct"/>
          </w:tcPr>
          <w:p w:rsidR="006074A6" w:rsidRPr="006A1AC2" w:rsidRDefault="006074A6" w:rsidP="005255F0">
            <w:pPr>
              <w:jc w:val="both"/>
              <w:rPr>
                <w:rFonts w:eastAsia="Calibri"/>
                <w:sz w:val="20"/>
              </w:rPr>
            </w:pPr>
            <w:r w:rsidRPr="006A1AC2">
              <w:rPr>
                <w:rFonts w:eastAsia="Calibri"/>
                <w:sz w:val="20"/>
              </w:rPr>
              <w:t xml:space="preserve">Conviction: three counts (Mr. </w:t>
            </w:r>
            <w:proofErr w:type="spellStart"/>
            <w:r w:rsidRPr="006A1AC2">
              <w:rPr>
                <w:rFonts w:eastAsia="Calibri"/>
                <w:sz w:val="20"/>
              </w:rPr>
              <w:t>Ambrosi</w:t>
            </w:r>
            <w:proofErr w:type="spellEnd"/>
            <w:r w:rsidRPr="006A1AC2">
              <w:rPr>
                <w:rFonts w:eastAsia="Calibri"/>
                <w:sz w:val="20"/>
              </w:rPr>
              <w:t xml:space="preserve">) and one count (Valley Rubber Resources Inc.) of storage of gypsum in a quantity exceeding 1,000 tonnes, and three counts (Mr. </w:t>
            </w:r>
            <w:proofErr w:type="spellStart"/>
            <w:r w:rsidRPr="006A1AC2">
              <w:rPr>
                <w:rFonts w:eastAsia="Calibri"/>
                <w:sz w:val="20"/>
              </w:rPr>
              <w:t>Ambrosi</w:t>
            </w:r>
            <w:proofErr w:type="spellEnd"/>
            <w:r w:rsidRPr="006A1AC2">
              <w:rPr>
                <w:rFonts w:eastAsia="Calibri"/>
                <w:sz w:val="20"/>
              </w:rPr>
              <w:t>) of storage of gypsum for a period of time exceeding six months</w:t>
            </w:r>
          </w:p>
        </w:tc>
      </w:tr>
      <w:tr w:rsidR="006074A6" w:rsidRPr="006A1AC2" w:rsidTr="005255F0">
        <w:tc>
          <w:tcPr>
            <w:tcW w:w="2427" w:type="pct"/>
          </w:tcPr>
          <w:p w:rsidR="005255F0" w:rsidRPr="006A1AC2" w:rsidRDefault="005255F0" w:rsidP="005255F0">
            <w:pPr>
              <w:jc w:val="both"/>
              <w:rPr>
                <w:rFonts w:eastAsia="Calibri"/>
                <w:sz w:val="20"/>
              </w:rPr>
            </w:pPr>
            <w:r w:rsidRPr="006A1AC2">
              <w:rPr>
                <w:rFonts w:eastAsia="Calibri"/>
                <w:sz w:val="20"/>
              </w:rPr>
              <w:t>May 2, 2006</w:t>
            </w:r>
          </w:p>
          <w:p w:rsidR="005255F0" w:rsidRPr="006A1AC2" w:rsidRDefault="005255F0" w:rsidP="005255F0">
            <w:pPr>
              <w:jc w:val="both"/>
              <w:rPr>
                <w:rFonts w:eastAsia="Calibri"/>
                <w:sz w:val="20"/>
              </w:rPr>
            </w:pPr>
            <w:r w:rsidRPr="006A1AC2">
              <w:rPr>
                <w:rFonts w:eastAsia="Calibri"/>
                <w:sz w:val="20"/>
              </w:rPr>
              <w:t>Provincial Court of British Columbia</w:t>
            </w:r>
          </w:p>
          <w:p w:rsidR="005255F0" w:rsidRPr="006A1AC2" w:rsidRDefault="005255F0" w:rsidP="005255F0">
            <w:pPr>
              <w:jc w:val="both"/>
              <w:rPr>
                <w:rFonts w:eastAsia="Calibri"/>
                <w:sz w:val="20"/>
              </w:rPr>
            </w:pPr>
            <w:r w:rsidRPr="006A1AC2">
              <w:rPr>
                <w:rFonts w:eastAsia="Calibri"/>
                <w:sz w:val="20"/>
              </w:rPr>
              <w:t>(</w:t>
            </w:r>
            <w:proofErr w:type="spellStart"/>
            <w:r w:rsidRPr="006A1AC2">
              <w:rPr>
                <w:rFonts w:eastAsia="Calibri"/>
                <w:sz w:val="20"/>
              </w:rPr>
              <w:t>Rohrmoser</w:t>
            </w:r>
            <w:proofErr w:type="spellEnd"/>
            <w:r w:rsidRPr="006A1AC2">
              <w:rPr>
                <w:rFonts w:eastAsia="Calibri"/>
                <w:sz w:val="20"/>
              </w:rPr>
              <w:t xml:space="preserve"> P.C.J.)</w:t>
            </w:r>
          </w:p>
          <w:p w:rsidR="006074A6" w:rsidRPr="006A1AC2" w:rsidRDefault="005255F0" w:rsidP="005255F0">
            <w:pPr>
              <w:jc w:val="both"/>
              <w:rPr>
                <w:rFonts w:eastAsia="Calibri"/>
                <w:sz w:val="20"/>
              </w:rPr>
            </w:pPr>
            <w:r w:rsidRPr="006A1AC2">
              <w:rPr>
                <w:rFonts w:eastAsia="Calibri"/>
                <w:sz w:val="20"/>
              </w:rPr>
              <w:t>Neutral citation: 2006 BCPC 0188</w:t>
            </w:r>
          </w:p>
        </w:tc>
        <w:tc>
          <w:tcPr>
            <w:tcW w:w="243" w:type="pct"/>
          </w:tcPr>
          <w:p w:rsidR="006074A6" w:rsidRDefault="006074A6"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Pr="006A1AC2" w:rsidRDefault="005255F0" w:rsidP="005255F0">
            <w:pPr>
              <w:jc w:val="both"/>
              <w:rPr>
                <w:rFonts w:eastAsia="Calibri"/>
                <w:sz w:val="20"/>
              </w:rPr>
            </w:pPr>
          </w:p>
        </w:tc>
        <w:tc>
          <w:tcPr>
            <w:tcW w:w="2330" w:type="pct"/>
          </w:tcPr>
          <w:p w:rsidR="006074A6" w:rsidRPr="006A1AC2" w:rsidRDefault="005255F0" w:rsidP="005255F0">
            <w:pPr>
              <w:jc w:val="both"/>
              <w:rPr>
                <w:rFonts w:eastAsia="Calibri"/>
                <w:sz w:val="20"/>
              </w:rPr>
            </w:pPr>
            <w:r w:rsidRPr="006A1AC2">
              <w:rPr>
                <w:rFonts w:eastAsia="Calibri"/>
                <w:sz w:val="20"/>
              </w:rPr>
              <w:t>Sentence: fines in the amount of $500 on each count, order to landfill the gypsum and order to pay $25,000 to the Habitat Conservation Trust Fund</w:t>
            </w:r>
          </w:p>
        </w:tc>
      </w:tr>
      <w:tr w:rsidR="006074A6" w:rsidRPr="006A1AC2" w:rsidTr="005255F0">
        <w:tc>
          <w:tcPr>
            <w:tcW w:w="2427" w:type="pct"/>
          </w:tcPr>
          <w:p w:rsidR="006074A6" w:rsidRPr="006A1AC2" w:rsidRDefault="006074A6" w:rsidP="006074A6">
            <w:pPr>
              <w:jc w:val="both"/>
              <w:rPr>
                <w:rFonts w:eastAsia="Calibri"/>
                <w:sz w:val="20"/>
              </w:rPr>
            </w:pPr>
            <w:r w:rsidRPr="006A1AC2">
              <w:rPr>
                <w:rFonts w:eastAsia="Calibri"/>
                <w:sz w:val="20"/>
              </w:rPr>
              <w:t>July 8, 2008</w:t>
            </w:r>
          </w:p>
          <w:p w:rsidR="006074A6" w:rsidRPr="006A1AC2" w:rsidRDefault="006074A6" w:rsidP="006074A6">
            <w:pPr>
              <w:jc w:val="both"/>
              <w:rPr>
                <w:rFonts w:eastAsia="Calibri"/>
                <w:sz w:val="20"/>
              </w:rPr>
            </w:pPr>
            <w:r w:rsidRPr="006A1AC2">
              <w:rPr>
                <w:rFonts w:eastAsia="Calibri"/>
                <w:sz w:val="20"/>
              </w:rPr>
              <w:t>Supreme Court of British Columbia</w:t>
            </w:r>
          </w:p>
          <w:p w:rsidR="006074A6" w:rsidRPr="006A1AC2" w:rsidRDefault="006074A6" w:rsidP="006074A6">
            <w:pPr>
              <w:jc w:val="both"/>
              <w:rPr>
                <w:rFonts w:eastAsia="Calibri"/>
                <w:sz w:val="20"/>
              </w:rPr>
            </w:pPr>
            <w:r w:rsidRPr="006A1AC2">
              <w:rPr>
                <w:rFonts w:eastAsia="Calibri"/>
                <w:sz w:val="20"/>
              </w:rPr>
              <w:t>(</w:t>
            </w:r>
            <w:proofErr w:type="spellStart"/>
            <w:r w:rsidRPr="006A1AC2">
              <w:rPr>
                <w:rFonts w:eastAsia="Calibri"/>
                <w:sz w:val="20"/>
              </w:rPr>
              <w:t>Ehrcke</w:t>
            </w:r>
            <w:proofErr w:type="spellEnd"/>
            <w:r w:rsidRPr="006A1AC2">
              <w:rPr>
                <w:rFonts w:eastAsia="Calibri"/>
                <w:sz w:val="20"/>
              </w:rPr>
              <w:t xml:space="preserve"> J.)</w:t>
            </w:r>
          </w:p>
          <w:p w:rsidR="006074A6" w:rsidRPr="006A1AC2" w:rsidRDefault="006074A6" w:rsidP="005255F0">
            <w:pPr>
              <w:jc w:val="both"/>
              <w:rPr>
                <w:rFonts w:eastAsia="Calibri"/>
                <w:sz w:val="20"/>
              </w:rPr>
            </w:pPr>
            <w:r w:rsidRPr="006A1AC2">
              <w:rPr>
                <w:rFonts w:eastAsia="Calibri"/>
                <w:sz w:val="20"/>
              </w:rPr>
              <w:t>Neutral citation: 2008 BCSC 886</w:t>
            </w:r>
          </w:p>
        </w:tc>
        <w:tc>
          <w:tcPr>
            <w:tcW w:w="243" w:type="pct"/>
          </w:tcPr>
          <w:p w:rsidR="006074A6" w:rsidRDefault="006074A6"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Pr="006A1AC2" w:rsidRDefault="005255F0" w:rsidP="005255F0">
            <w:pPr>
              <w:jc w:val="both"/>
              <w:rPr>
                <w:rFonts w:eastAsia="Calibri"/>
                <w:sz w:val="20"/>
              </w:rPr>
            </w:pPr>
          </w:p>
        </w:tc>
        <w:tc>
          <w:tcPr>
            <w:tcW w:w="2330" w:type="pct"/>
          </w:tcPr>
          <w:p w:rsidR="005255F0" w:rsidRPr="006A1AC2" w:rsidRDefault="005255F0" w:rsidP="005255F0">
            <w:pPr>
              <w:jc w:val="both"/>
              <w:rPr>
                <w:rFonts w:eastAsia="Calibri"/>
                <w:sz w:val="20"/>
              </w:rPr>
            </w:pPr>
            <w:r w:rsidRPr="006A1AC2">
              <w:rPr>
                <w:rFonts w:eastAsia="Calibri"/>
                <w:sz w:val="20"/>
              </w:rPr>
              <w:t xml:space="preserve">Appeal dismissed with respect to third count; appeal allowed with respect to first and second counts (Mr. </w:t>
            </w:r>
            <w:proofErr w:type="spellStart"/>
            <w:r w:rsidRPr="006A1AC2">
              <w:rPr>
                <w:rFonts w:eastAsia="Calibri"/>
                <w:sz w:val="20"/>
              </w:rPr>
              <w:t>Ambrosi</w:t>
            </w:r>
            <w:proofErr w:type="spellEnd"/>
            <w:r w:rsidRPr="006A1AC2">
              <w:rPr>
                <w:rFonts w:eastAsia="Calibri"/>
                <w:sz w:val="20"/>
              </w:rPr>
              <w:t>) and conditional stays entered on those counts</w:t>
            </w:r>
          </w:p>
          <w:p w:rsidR="006074A6" w:rsidRPr="006A1AC2" w:rsidRDefault="006074A6" w:rsidP="005255F0">
            <w:pPr>
              <w:jc w:val="both"/>
              <w:rPr>
                <w:rFonts w:eastAsia="Calibri"/>
                <w:sz w:val="20"/>
              </w:rPr>
            </w:pPr>
          </w:p>
        </w:tc>
      </w:tr>
      <w:tr w:rsidR="006074A6" w:rsidRPr="006A1AC2" w:rsidTr="005255F0">
        <w:tc>
          <w:tcPr>
            <w:tcW w:w="2427" w:type="pct"/>
          </w:tcPr>
          <w:p w:rsidR="006074A6" w:rsidRPr="006A1AC2" w:rsidRDefault="006074A6" w:rsidP="005255F0">
            <w:pPr>
              <w:jc w:val="both"/>
              <w:rPr>
                <w:rFonts w:eastAsia="Calibri"/>
                <w:sz w:val="20"/>
              </w:rPr>
            </w:pPr>
            <w:r w:rsidRPr="006A1AC2">
              <w:rPr>
                <w:rFonts w:eastAsia="Calibri"/>
                <w:sz w:val="20"/>
              </w:rPr>
              <w:t>April 27, 2010</w:t>
            </w:r>
          </w:p>
          <w:p w:rsidR="006074A6" w:rsidRPr="006A1AC2" w:rsidRDefault="006074A6" w:rsidP="005255F0">
            <w:pPr>
              <w:jc w:val="both"/>
              <w:rPr>
                <w:rFonts w:eastAsia="Calibri"/>
                <w:sz w:val="20"/>
              </w:rPr>
            </w:pPr>
            <w:r w:rsidRPr="006A1AC2">
              <w:rPr>
                <w:rFonts w:eastAsia="Calibri"/>
                <w:sz w:val="20"/>
              </w:rPr>
              <w:t>Court of Appeal for British Columbia (Vancouver)</w:t>
            </w:r>
          </w:p>
          <w:p w:rsidR="006074A6" w:rsidRPr="006A1AC2" w:rsidRDefault="006074A6" w:rsidP="005255F0">
            <w:pPr>
              <w:jc w:val="both"/>
              <w:rPr>
                <w:rFonts w:eastAsia="Calibri"/>
                <w:sz w:val="20"/>
              </w:rPr>
            </w:pPr>
            <w:r w:rsidRPr="006A1AC2">
              <w:rPr>
                <w:rFonts w:eastAsia="Calibri"/>
                <w:sz w:val="20"/>
              </w:rPr>
              <w:t>(</w:t>
            </w:r>
            <w:proofErr w:type="spellStart"/>
            <w:r w:rsidRPr="006A1AC2">
              <w:rPr>
                <w:rFonts w:eastAsia="Calibri"/>
                <w:sz w:val="20"/>
              </w:rPr>
              <w:t>Groberman</w:t>
            </w:r>
            <w:proofErr w:type="spellEnd"/>
            <w:r w:rsidRPr="006A1AC2">
              <w:rPr>
                <w:rFonts w:eastAsia="Calibri"/>
                <w:sz w:val="20"/>
              </w:rPr>
              <w:t xml:space="preserve"> J.A.)</w:t>
            </w:r>
          </w:p>
        </w:tc>
        <w:tc>
          <w:tcPr>
            <w:tcW w:w="243" w:type="pct"/>
          </w:tcPr>
          <w:p w:rsidR="006074A6" w:rsidRDefault="006074A6" w:rsidP="005255F0">
            <w:pPr>
              <w:jc w:val="both"/>
              <w:rPr>
                <w:rFonts w:eastAsia="Calibri"/>
                <w:sz w:val="20"/>
              </w:rPr>
            </w:pPr>
          </w:p>
          <w:p w:rsidR="005255F0" w:rsidRDefault="005255F0" w:rsidP="005255F0">
            <w:pPr>
              <w:jc w:val="both"/>
              <w:rPr>
                <w:rFonts w:eastAsia="Calibri"/>
                <w:sz w:val="20"/>
              </w:rPr>
            </w:pPr>
          </w:p>
          <w:p w:rsidR="005255F0" w:rsidRDefault="005255F0" w:rsidP="005255F0">
            <w:pPr>
              <w:jc w:val="both"/>
              <w:rPr>
                <w:rFonts w:eastAsia="Calibri"/>
                <w:sz w:val="20"/>
              </w:rPr>
            </w:pPr>
          </w:p>
          <w:p w:rsidR="005255F0" w:rsidRPr="006A1AC2" w:rsidRDefault="005255F0" w:rsidP="005255F0">
            <w:pPr>
              <w:jc w:val="both"/>
              <w:rPr>
                <w:rFonts w:eastAsia="Calibri"/>
                <w:sz w:val="20"/>
              </w:rPr>
            </w:pPr>
          </w:p>
        </w:tc>
        <w:tc>
          <w:tcPr>
            <w:tcW w:w="2330" w:type="pct"/>
          </w:tcPr>
          <w:p w:rsidR="006074A6" w:rsidRPr="006A1AC2" w:rsidRDefault="006074A6" w:rsidP="005255F0">
            <w:pPr>
              <w:jc w:val="both"/>
              <w:rPr>
                <w:rFonts w:eastAsia="Calibri"/>
                <w:sz w:val="20"/>
              </w:rPr>
            </w:pPr>
            <w:r w:rsidRPr="006A1AC2">
              <w:rPr>
                <w:rFonts w:eastAsia="Calibri"/>
                <w:sz w:val="20"/>
              </w:rPr>
              <w:t>Application for leave to appeal dismissed</w:t>
            </w:r>
          </w:p>
          <w:p w:rsidR="006074A6" w:rsidRPr="006A1AC2" w:rsidRDefault="006074A6" w:rsidP="005255F0">
            <w:pPr>
              <w:jc w:val="both"/>
              <w:rPr>
                <w:rFonts w:eastAsia="Calibri"/>
                <w:sz w:val="20"/>
              </w:rPr>
            </w:pPr>
          </w:p>
        </w:tc>
      </w:tr>
      <w:tr w:rsidR="006074A6" w:rsidRPr="006A1AC2" w:rsidTr="005255F0">
        <w:tc>
          <w:tcPr>
            <w:tcW w:w="2427" w:type="pct"/>
          </w:tcPr>
          <w:p w:rsidR="006074A6" w:rsidRPr="006A1AC2" w:rsidRDefault="006074A6" w:rsidP="005255F0">
            <w:pPr>
              <w:jc w:val="both"/>
              <w:rPr>
                <w:rFonts w:eastAsia="Calibri"/>
                <w:sz w:val="20"/>
              </w:rPr>
            </w:pPr>
            <w:r w:rsidRPr="006A1AC2">
              <w:rPr>
                <w:rFonts w:eastAsia="Calibri"/>
                <w:sz w:val="20"/>
              </w:rPr>
              <w:t>August 20, 2010</w:t>
            </w:r>
          </w:p>
          <w:p w:rsidR="006074A6" w:rsidRPr="006A1AC2" w:rsidRDefault="006074A6" w:rsidP="005255F0">
            <w:pPr>
              <w:jc w:val="both"/>
              <w:rPr>
                <w:rFonts w:eastAsia="Calibri"/>
                <w:sz w:val="20"/>
              </w:rPr>
            </w:pPr>
            <w:r w:rsidRPr="006A1AC2">
              <w:rPr>
                <w:rFonts w:eastAsia="Calibri"/>
                <w:sz w:val="20"/>
              </w:rPr>
              <w:t>Supreme Court of Canada</w:t>
            </w:r>
          </w:p>
        </w:tc>
        <w:tc>
          <w:tcPr>
            <w:tcW w:w="243" w:type="pct"/>
          </w:tcPr>
          <w:p w:rsidR="006074A6" w:rsidRPr="006A1AC2" w:rsidRDefault="006074A6" w:rsidP="005255F0">
            <w:pPr>
              <w:jc w:val="both"/>
              <w:rPr>
                <w:rFonts w:eastAsia="Calibri"/>
                <w:sz w:val="20"/>
              </w:rPr>
            </w:pPr>
          </w:p>
        </w:tc>
        <w:tc>
          <w:tcPr>
            <w:tcW w:w="2330" w:type="pct"/>
          </w:tcPr>
          <w:p w:rsidR="006074A6" w:rsidRPr="006A1AC2" w:rsidRDefault="006074A6" w:rsidP="005255F0">
            <w:pPr>
              <w:jc w:val="both"/>
              <w:rPr>
                <w:rFonts w:eastAsia="Calibri"/>
                <w:sz w:val="20"/>
              </w:rPr>
            </w:pPr>
            <w:r w:rsidRPr="006A1AC2">
              <w:rPr>
                <w:rFonts w:eastAsia="Calibri"/>
                <w:sz w:val="20"/>
              </w:rPr>
              <w:t>Application for leave to appeal and motion for extension of time filed</w:t>
            </w:r>
          </w:p>
        </w:tc>
      </w:tr>
    </w:tbl>
    <w:p w:rsidR="006074A6" w:rsidRDefault="006074A6" w:rsidP="00F94A8D">
      <w:pPr>
        <w:keepNext/>
        <w:rPr>
          <w:sz w:val="20"/>
          <w:szCs w:val="20"/>
        </w:rPr>
      </w:pPr>
    </w:p>
    <w:p w:rsidR="00F94A8D" w:rsidRPr="00C50A5C" w:rsidRDefault="003E770A" w:rsidP="00F94A8D">
      <w:pPr>
        <w:rPr>
          <w:sz w:val="20"/>
          <w:szCs w:val="20"/>
        </w:rPr>
      </w:pPr>
      <w:r w:rsidRPr="003E770A">
        <w:rPr>
          <w:sz w:val="20"/>
          <w:szCs w:val="20"/>
          <w:lang w:val="fr-CA"/>
        </w:rPr>
        <w:pict>
          <v:rect id="_x0000_i1059"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6F5D6D" w:rsidRPr="003B380E" w:rsidTr="000419CE">
        <w:tc>
          <w:tcPr>
            <w:tcW w:w="5000" w:type="pct"/>
          </w:tcPr>
          <w:p w:rsidR="006F5D6D" w:rsidRDefault="006F5D6D" w:rsidP="000419CE">
            <w:pPr>
              <w:jc w:val="both"/>
              <w:rPr>
                <w:rFonts w:eastAsia="Calibri"/>
                <w:sz w:val="20"/>
                <w:lang w:val="fr-CA"/>
              </w:rPr>
            </w:pPr>
            <w:r w:rsidRPr="006A1AC2">
              <w:rPr>
                <w:rFonts w:eastAsia="Calibri"/>
                <w:sz w:val="20"/>
                <w:lang w:val="fr-CA"/>
              </w:rPr>
              <w:t xml:space="preserve">Droit de l’environnement – Appels – Infractions provinciales – Des accusations peuvent-elles être portées en vertu du règlement pris sans autorisation légale expresse? – La législature ou le lieutenant-gouverneur peuvent-il édicter des lois ou des règlements dans le but d’éliminer de la concurrence sur le marché ou de maintenir un monopole dans un secteur donné de biens ou de services ou qui donnent lieu à une telle situation de monopole? – Y avait-il défaut de compétence pour porter des accusations dans cette affaire, puisque les faits sur lesquels la dénonciation était fondée étaient connus du ministre plus de deux ans avant la date de l’infraction? – </w:t>
            </w:r>
            <w:r w:rsidRPr="006A1AC2">
              <w:rPr>
                <w:rFonts w:eastAsia="Calibri"/>
                <w:i/>
                <w:iCs/>
                <w:sz w:val="20"/>
                <w:lang w:val="fr-CA"/>
              </w:rPr>
              <w:t xml:space="preserve">Storage of Recyclable </w:t>
            </w:r>
            <w:proofErr w:type="spellStart"/>
            <w:r w:rsidRPr="006A1AC2">
              <w:rPr>
                <w:rFonts w:eastAsia="Calibri"/>
                <w:i/>
                <w:iCs/>
                <w:sz w:val="20"/>
                <w:lang w:val="fr-CA"/>
              </w:rPr>
              <w:t>Material</w:t>
            </w:r>
            <w:proofErr w:type="spellEnd"/>
            <w:r w:rsidRPr="006A1AC2">
              <w:rPr>
                <w:rFonts w:eastAsia="Calibri"/>
                <w:i/>
                <w:iCs/>
                <w:sz w:val="20"/>
                <w:lang w:val="fr-CA"/>
              </w:rPr>
              <w:t xml:space="preserve"> </w:t>
            </w:r>
            <w:proofErr w:type="spellStart"/>
            <w:r w:rsidRPr="006A1AC2">
              <w:rPr>
                <w:rFonts w:eastAsia="Calibri"/>
                <w:i/>
                <w:iCs/>
                <w:sz w:val="20"/>
                <w:lang w:val="fr-CA"/>
              </w:rPr>
              <w:t>Regulation</w:t>
            </w:r>
            <w:proofErr w:type="spellEnd"/>
            <w:r w:rsidRPr="006A1AC2">
              <w:rPr>
                <w:rFonts w:eastAsia="Calibri"/>
                <w:sz w:val="20"/>
                <w:lang w:val="fr-CA"/>
              </w:rPr>
              <w:t xml:space="preserve">, B.C. Reg. 133/92 – </w:t>
            </w:r>
            <w:proofErr w:type="spellStart"/>
            <w:r w:rsidRPr="006A1AC2">
              <w:rPr>
                <w:rFonts w:eastAsia="Calibri"/>
                <w:i/>
                <w:iCs/>
                <w:sz w:val="20"/>
                <w:lang w:val="fr-CA"/>
              </w:rPr>
              <w:t>Waste</w:t>
            </w:r>
            <w:proofErr w:type="spellEnd"/>
            <w:r w:rsidRPr="006A1AC2">
              <w:rPr>
                <w:rFonts w:eastAsia="Calibri"/>
                <w:i/>
                <w:iCs/>
                <w:sz w:val="20"/>
                <w:lang w:val="fr-CA"/>
              </w:rPr>
              <w:t xml:space="preserve"> Management </w:t>
            </w:r>
            <w:proofErr w:type="spellStart"/>
            <w:r w:rsidRPr="006A1AC2">
              <w:rPr>
                <w:rFonts w:eastAsia="Calibri"/>
                <w:i/>
                <w:iCs/>
                <w:sz w:val="20"/>
                <w:lang w:val="fr-CA"/>
              </w:rPr>
              <w:t>Act</w:t>
            </w:r>
            <w:proofErr w:type="spellEnd"/>
            <w:r w:rsidRPr="006A1AC2">
              <w:rPr>
                <w:rFonts w:eastAsia="Calibri"/>
                <w:sz w:val="20"/>
                <w:lang w:val="fr-CA"/>
              </w:rPr>
              <w:t>, R.S.B.C. ch. 482.</w:t>
            </w:r>
          </w:p>
          <w:p w:rsidR="006F5D6D" w:rsidRPr="006A1AC2" w:rsidRDefault="006F5D6D" w:rsidP="000419CE">
            <w:pPr>
              <w:jc w:val="both"/>
              <w:rPr>
                <w:rFonts w:eastAsia="Calibri"/>
                <w:sz w:val="20"/>
                <w:lang w:val="fr-CA"/>
              </w:rPr>
            </w:pPr>
          </w:p>
        </w:tc>
      </w:tr>
      <w:tr w:rsidR="006F5D6D" w:rsidRPr="003B380E" w:rsidTr="000419CE">
        <w:tc>
          <w:tcPr>
            <w:tcW w:w="5000" w:type="pct"/>
          </w:tcPr>
          <w:p w:rsidR="006F5D6D" w:rsidRPr="006A1AC2" w:rsidRDefault="006F5D6D" w:rsidP="00AD6FFE">
            <w:pPr>
              <w:jc w:val="both"/>
              <w:rPr>
                <w:rFonts w:eastAsia="Calibri"/>
                <w:sz w:val="20"/>
                <w:lang w:val="fr-CA"/>
              </w:rPr>
            </w:pPr>
            <w:r w:rsidRPr="006A1AC2">
              <w:rPr>
                <w:rFonts w:eastAsia="Calibri"/>
                <w:sz w:val="20"/>
                <w:lang w:val="fr-CA"/>
              </w:rPr>
              <w:t xml:space="preserve">Les demandeurs ont été accusés sous douze chefs d’infractions réglementaires provinciales sous le régime du </w:t>
            </w:r>
            <w:r w:rsidRPr="006A1AC2">
              <w:rPr>
                <w:rFonts w:eastAsia="Calibri"/>
                <w:i/>
                <w:iCs/>
                <w:sz w:val="20"/>
                <w:lang w:val="fr-CA"/>
              </w:rPr>
              <w:t xml:space="preserve">Storage of Recyclable </w:t>
            </w:r>
            <w:proofErr w:type="spellStart"/>
            <w:r w:rsidRPr="006A1AC2">
              <w:rPr>
                <w:rFonts w:eastAsia="Calibri"/>
                <w:i/>
                <w:iCs/>
                <w:sz w:val="20"/>
                <w:lang w:val="fr-CA"/>
              </w:rPr>
              <w:t>Material</w:t>
            </w:r>
            <w:proofErr w:type="spellEnd"/>
            <w:r w:rsidRPr="006A1AC2">
              <w:rPr>
                <w:rFonts w:eastAsia="Calibri"/>
                <w:i/>
                <w:iCs/>
                <w:sz w:val="20"/>
                <w:lang w:val="fr-CA"/>
              </w:rPr>
              <w:t xml:space="preserve"> </w:t>
            </w:r>
            <w:proofErr w:type="spellStart"/>
            <w:r w:rsidRPr="006A1AC2">
              <w:rPr>
                <w:rFonts w:eastAsia="Calibri"/>
                <w:i/>
                <w:iCs/>
                <w:sz w:val="20"/>
                <w:lang w:val="fr-CA"/>
              </w:rPr>
              <w:t>Regulation</w:t>
            </w:r>
            <w:proofErr w:type="spellEnd"/>
            <w:r w:rsidRPr="006A1AC2">
              <w:rPr>
                <w:rFonts w:eastAsia="Calibri"/>
                <w:sz w:val="20"/>
                <w:lang w:val="fr-CA"/>
              </w:rPr>
              <w:t xml:space="preserve"> (le « règlement »), pris en application de la </w:t>
            </w:r>
            <w:proofErr w:type="spellStart"/>
            <w:r w:rsidRPr="006A1AC2">
              <w:rPr>
                <w:rFonts w:eastAsia="Calibri"/>
                <w:i/>
                <w:iCs/>
                <w:sz w:val="20"/>
                <w:lang w:val="fr-CA"/>
              </w:rPr>
              <w:t>Waste</w:t>
            </w:r>
            <w:proofErr w:type="spellEnd"/>
            <w:r w:rsidRPr="006A1AC2">
              <w:rPr>
                <w:rFonts w:eastAsia="Calibri"/>
                <w:i/>
                <w:iCs/>
                <w:sz w:val="20"/>
                <w:lang w:val="fr-CA"/>
              </w:rPr>
              <w:t xml:space="preserve"> Management </w:t>
            </w:r>
            <w:proofErr w:type="spellStart"/>
            <w:r w:rsidRPr="006A1AC2">
              <w:rPr>
                <w:rFonts w:eastAsia="Calibri"/>
                <w:i/>
                <w:iCs/>
                <w:sz w:val="20"/>
                <w:lang w:val="fr-CA"/>
              </w:rPr>
              <w:t>Act</w:t>
            </w:r>
            <w:proofErr w:type="spellEnd"/>
            <w:r w:rsidRPr="006A1AC2">
              <w:rPr>
                <w:rFonts w:eastAsia="Calibri"/>
                <w:sz w:val="20"/>
                <w:lang w:val="fr-CA"/>
              </w:rPr>
              <w:t>. Les infractions alléguées concernaient l’entreposage de matériel recyclable renfermant du gypse à diverses périodes en quantité et pour une durée qui dépassaient ce qui était prescrit aux par. 4(2) et 5(1) du règlement, à savoir 1 000 tonnes pendant plus de six mois.</w:t>
            </w:r>
          </w:p>
        </w:tc>
      </w:tr>
    </w:tbl>
    <w:p w:rsidR="006F5D6D" w:rsidRPr="006F5D6D" w:rsidRDefault="006F5D6D" w:rsidP="006F5D6D">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6F5D6D" w:rsidRPr="003B380E"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lastRenderedPageBreak/>
              <w:t>1</w:t>
            </w:r>
            <w:r w:rsidRPr="006A1AC2">
              <w:rPr>
                <w:rFonts w:eastAsia="Calibri"/>
                <w:sz w:val="20"/>
                <w:vertAlign w:val="superscript"/>
                <w:lang w:val="fr-CA"/>
              </w:rPr>
              <w:t>er</w:t>
            </w:r>
            <w:r w:rsidRPr="006A1AC2">
              <w:rPr>
                <w:rFonts w:eastAsia="Calibri"/>
                <w:sz w:val="20"/>
                <w:lang w:val="fr-CA"/>
              </w:rPr>
              <w:t xml:space="preserve"> septembre 2005</w:t>
            </w:r>
          </w:p>
          <w:p w:rsidR="006F5D6D" w:rsidRPr="006A1AC2" w:rsidRDefault="006F5D6D" w:rsidP="000419CE">
            <w:pPr>
              <w:jc w:val="both"/>
              <w:rPr>
                <w:rFonts w:eastAsia="Calibri"/>
                <w:sz w:val="20"/>
                <w:lang w:val="fr-CA"/>
              </w:rPr>
            </w:pPr>
            <w:r w:rsidRPr="006A1AC2">
              <w:rPr>
                <w:rFonts w:eastAsia="Calibri"/>
                <w:sz w:val="20"/>
                <w:lang w:val="fr-CA"/>
              </w:rPr>
              <w:t>Cour provinciale de la Colombie-Britannique</w:t>
            </w:r>
          </w:p>
          <w:p w:rsidR="006F5D6D" w:rsidRPr="006A1AC2" w:rsidRDefault="006F5D6D" w:rsidP="000419CE">
            <w:pPr>
              <w:jc w:val="both"/>
              <w:rPr>
                <w:rFonts w:eastAsia="Calibri"/>
                <w:sz w:val="20"/>
                <w:lang w:val="fr-CA"/>
              </w:rPr>
            </w:pPr>
            <w:r w:rsidRPr="006A1AC2">
              <w:rPr>
                <w:rFonts w:eastAsia="Calibri"/>
                <w:sz w:val="20"/>
                <w:lang w:val="fr-CA"/>
              </w:rPr>
              <w:t xml:space="preserve">(Juge </w:t>
            </w:r>
            <w:proofErr w:type="spellStart"/>
            <w:r w:rsidRPr="006A1AC2">
              <w:rPr>
                <w:rFonts w:eastAsia="Calibri"/>
                <w:sz w:val="20"/>
                <w:lang w:val="fr-CA"/>
              </w:rPr>
              <w:t>Rohrmoser</w:t>
            </w:r>
            <w:proofErr w:type="spellEnd"/>
            <w:r w:rsidRPr="006A1AC2">
              <w:rPr>
                <w:rFonts w:eastAsia="Calibri"/>
                <w:sz w:val="20"/>
                <w:lang w:val="fr-CA"/>
              </w:rPr>
              <w:t>)</w:t>
            </w:r>
          </w:p>
          <w:p w:rsidR="006F5D6D" w:rsidRPr="006A1AC2" w:rsidRDefault="006F5D6D" w:rsidP="000419CE">
            <w:pPr>
              <w:jc w:val="both"/>
              <w:rPr>
                <w:rFonts w:eastAsia="Calibri"/>
                <w:sz w:val="20"/>
                <w:lang w:val="fr-CA"/>
              </w:rPr>
            </w:pPr>
            <w:r w:rsidRPr="006A1AC2">
              <w:rPr>
                <w:rFonts w:eastAsia="Calibri"/>
                <w:sz w:val="20"/>
                <w:lang w:val="fr-CA"/>
              </w:rPr>
              <w:t xml:space="preserve">Référence neutre : 2005 BCPC 0483 </w:t>
            </w:r>
          </w:p>
          <w:p w:rsidR="006F5D6D" w:rsidRPr="006A1AC2" w:rsidRDefault="006F5D6D" w:rsidP="00AD6FFE">
            <w:pPr>
              <w:jc w:val="both"/>
              <w:rPr>
                <w:rFonts w:eastAsia="Calibri"/>
                <w:sz w:val="20"/>
                <w:lang w:val="fr-CA"/>
              </w:rPr>
            </w:pPr>
          </w:p>
        </w:tc>
        <w:tc>
          <w:tcPr>
            <w:tcW w:w="243" w:type="pct"/>
          </w:tcPr>
          <w:p w:rsidR="006F5D6D" w:rsidRDefault="006F5D6D"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Pr="006A1AC2" w:rsidRDefault="00AD6FFE" w:rsidP="000419CE">
            <w:pPr>
              <w:jc w:val="both"/>
              <w:rPr>
                <w:rFonts w:eastAsia="Calibri"/>
                <w:sz w:val="20"/>
                <w:lang w:val="fr-CA"/>
              </w:rPr>
            </w:pPr>
          </w:p>
        </w:tc>
        <w:tc>
          <w:tcPr>
            <w:tcW w:w="2330" w:type="pct"/>
          </w:tcPr>
          <w:p w:rsidR="006F5D6D" w:rsidRPr="006A1AC2" w:rsidRDefault="006F5D6D" w:rsidP="00AD6FFE">
            <w:pPr>
              <w:jc w:val="both"/>
              <w:rPr>
                <w:rFonts w:eastAsia="Calibri"/>
                <w:sz w:val="20"/>
                <w:lang w:val="fr-CA"/>
              </w:rPr>
            </w:pPr>
            <w:r w:rsidRPr="006A1AC2">
              <w:rPr>
                <w:rFonts w:eastAsia="Calibri"/>
                <w:sz w:val="20"/>
                <w:lang w:val="fr-CA"/>
              </w:rPr>
              <w:t xml:space="preserve">Déclaration de culpabilité : trois chefs (M. </w:t>
            </w:r>
            <w:proofErr w:type="spellStart"/>
            <w:r w:rsidRPr="006A1AC2">
              <w:rPr>
                <w:rFonts w:eastAsia="Calibri"/>
                <w:sz w:val="20"/>
                <w:lang w:val="fr-CA"/>
              </w:rPr>
              <w:t>Ambrosi</w:t>
            </w:r>
            <w:proofErr w:type="spellEnd"/>
            <w:r w:rsidRPr="006A1AC2">
              <w:rPr>
                <w:rFonts w:eastAsia="Calibri"/>
                <w:sz w:val="20"/>
                <w:lang w:val="fr-CA"/>
              </w:rPr>
              <w:t>) et un chef (</w:t>
            </w:r>
            <w:proofErr w:type="spellStart"/>
            <w:r w:rsidRPr="006A1AC2">
              <w:rPr>
                <w:rFonts w:eastAsia="Calibri"/>
                <w:sz w:val="20"/>
                <w:lang w:val="fr-CA"/>
              </w:rPr>
              <w:t>Valley</w:t>
            </w:r>
            <w:proofErr w:type="spellEnd"/>
            <w:r w:rsidRPr="006A1AC2">
              <w:rPr>
                <w:rFonts w:eastAsia="Calibri"/>
                <w:sz w:val="20"/>
                <w:lang w:val="fr-CA"/>
              </w:rPr>
              <w:t xml:space="preserve"> </w:t>
            </w:r>
            <w:proofErr w:type="spellStart"/>
            <w:r w:rsidRPr="006A1AC2">
              <w:rPr>
                <w:rFonts w:eastAsia="Calibri"/>
                <w:sz w:val="20"/>
                <w:lang w:val="fr-CA"/>
              </w:rPr>
              <w:t>Rubber</w:t>
            </w:r>
            <w:proofErr w:type="spellEnd"/>
            <w:r w:rsidRPr="006A1AC2">
              <w:rPr>
                <w:rFonts w:eastAsia="Calibri"/>
                <w:sz w:val="20"/>
                <w:lang w:val="fr-CA"/>
              </w:rPr>
              <w:t xml:space="preserve"> </w:t>
            </w:r>
            <w:proofErr w:type="spellStart"/>
            <w:r w:rsidRPr="006A1AC2">
              <w:rPr>
                <w:rFonts w:eastAsia="Calibri"/>
                <w:sz w:val="20"/>
                <w:lang w:val="fr-CA"/>
              </w:rPr>
              <w:t>Resources</w:t>
            </w:r>
            <w:proofErr w:type="spellEnd"/>
            <w:r w:rsidRPr="006A1AC2">
              <w:rPr>
                <w:rFonts w:eastAsia="Calibri"/>
                <w:sz w:val="20"/>
                <w:lang w:val="fr-CA"/>
              </w:rPr>
              <w:t xml:space="preserve"> Inc.) d’entreposage de gypse en quantité supérieure à 1 000 tonnes et trois chefs (M. </w:t>
            </w:r>
            <w:proofErr w:type="spellStart"/>
            <w:r w:rsidRPr="006A1AC2">
              <w:rPr>
                <w:rFonts w:eastAsia="Calibri"/>
                <w:sz w:val="20"/>
                <w:lang w:val="fr-CA"/>
              </w:rPr>
              <w:t>Ambrosi</w:t>
            </w:r>
            <w:proofErr w:type="spellEnd"/>
            <w:r w:rsidRPr="006A1AC2">
              <w:rPr>
                <w:rFonts w:eastAsia="Calibri"/>
                <w:sz w:val="20"/>
                <w:lang w:val="fr-CA"/>
              </w:rPr>
              <w:t>) d’entreposage de gypse pendant plus de six mois</w:t>
            </w:r>
          </w:p>
        </w:tc>
      </w:tr>
      <w:tr w:rsidR="00AD6FFE" w:rsidRPr="00F23712" w:rsidTr="000419CE">
        <w:trPr>
          <w:cantSplit/>
        </w:trPr>
        <w:tc>
          <w:tcPr>
            <w:tcW w:w="2427" w:type="pct"/>
          </w:tcPr>
          <w:p w:rsidR="00AD6FFE" w:rsidRPr="006A1AC2" w:rsidRDefault="00AD6FFE" w:rsidP="00AD6FFE">
            <w:pPr>
              <w:jc w:val="both"/>
              <w:rPr>
                <w:rFonts w:eastAsia="Calibri"/>
                <w:sz w:val="20"/>
                <w:lang w:val="fr-CA"/>
              </w:rPr>
            </w:pPr>
            <w:r w:rsidRPr="006A1AC2">
              <w:rPr>
                <w:rFonts w:eastAsia="Calibri"/>
                <w:sz w:val="20"/>
                <w:lang w:val="fr-CA"/>
              </w:rPr>
              <w:t>2 mai 2006</w:t>
            </w:r>
          </w:p>
          <w:p w:rsidR="00AD6FFE" w:rsidRPr="006A1AC2" w:rsidRDefault="00AD6FFE" w:rsidP="00AD6FFE">
            <w:pPr>
              <w:jc w:val="both"/>
              <w:rPr>
                <w:rFonts w:eastAsia="Calibri"/>
                <w:sz w:val="20"/>
                <w:lang w:val="fr-CA"/>
              </w:rPr>
            </w:pPr>
            <w:r w:rsidRPr="006A1AC2">
              <w:rPr>
                <w:rFonts w:eastAsia="Calibri"/>
                <w:sz w:val="20"/>
                <w:lang w:val="fr-CA"/>
              </w:rPr>
              <w:t>Cour provinciale de la Colombie-Britannique</w:t>
            </w:r>
          </w:p>
          <w:p w:rsidR="00AD6FFE" w:rsidRPr="006A1AC2" w:rsidRDefault="00AD6FFE" w:rsidP="00AD6FFE">
            <w:pPr>
              <w:jc w:val="both"/>
              <w:rPr>
                <w:rFonts w:eastAsia="Calibri"/>
                <w:sz w:val="20"/>
                <w:lang w:val="fr-CA"/>
              </w:rPr>
            </w:pPr>
            <w:r w:rsidRPr="006A1AC2">
              <w:rPr>
                <w:rFonts w:eastAsia="Calibri"/>
                <w:sz w:val="20"/>
                <w:lang w:val="fr-CA"/>
              </w:rPr>
              <w:t xml:space="preserve">(Juge </w:t>
            </w:r>
            <w:proofErr w:type="spellStart"/>
            <w:r w:rsidRPr="006A1AC2">
              <w:rPr>
                <w:rFonts w:eastAsia="Calibri"/>
                <w:sz w:val="20"/>
                <w:lang w:val="fr-CA"/>
              </w:rPr>
              <w:t>Rohrmoser</w:t>
            </w:r>
            <w:proofErr w:type="spellEnd"/>
            <w:r w:rsidRPr="006A1AC2">
              <w:rPr>
                <w:rFonts w:eastAsia="Calibri"/>
                <w:sz w:val="20"/>
                <w:lang w:val="fr-CA"/>
              </w:rPr>
              <w:t>)</w:t>
            </w:r>
          </w:p>
          <w:p w:rsidR="00AD6FFE" w:rsidRPr="006A1AC2" w:rsidRDefault="00AD6FFE" w:rsidP="00AD6FFE">
            <w:pPr>
              <w:jc w:val="both"/>
              <w:rPr>
                <w:rFonts w:eastAsia="Calibri"/>
                <w:sz w:val="20"/>
                <w:lang w:val="fr-CA"/>
              </w:rPr>
            </w:pPr>
            <w:r w:rsidRPr="006A1AC2">
              <w:rPr>
                <w:rFonts w:eastAsia="Calibri"/>
                <w:sz w:val="20"/>
                <w:lang w:val="fr-CA"/>
              </w:rPr>
              <w:t>Référence neutre : 2006 BCPC 0188</w:t>
            </w:r>
          </w:p>
        </w:tc>
        <w:tc>
          <w:tcPr>
            <w:tcW w:w="243" w:type="pct"/>
          </w:tcPr>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Pr="006A1AC2" w:rsidRDefault="00AD6FFE" w:rsidP="000419CE">
            <w:pPr>
              <w:jc w:val="both"/>
              <w:rPr>
                <w:rFonts w:eastAsia="Calibri"/>
                <w:sz w:val="20"/>
                <w:lang w:val="fr-CA"/>
              </w:rPr>
            </w:pPr>
          </w:p>
        </w:tc>
        <w:tc>
          <w:tcPr>
            <w:tcW w:w="2330" w:type="pct"/>
          </w:tcPr>
          <w:p w:rsidR="00AD6FFE" w:rsidRPr="006A1AC2" w:rsidRDefault="00AD6FFE" w:rsidP="00AD6FFE">
            <w:pPr>
              <w:jc w:val="both"/>
              <w:rPr>
                <w:rFonts w:eastAsia="Calibri"/>
                <w:sz w:val="20"/>
                <w:lang w:val="fr-CA"/>
              </w:rPr>
            </w:pPr>
            <w:r w:rsidRPr="006A1AC2">
              <w:rPr>
                <w:rFonts w:eastAsia="Calibri"/>
                <w:sz w:val="20"/>
                <w:lang w:val="fr-CA"/>
              </w:rPr>
              <w:t xml:space="preserve">Peine : amendes de 500 $ pour chacun des chefs, ordonnance d’enfouissement du gypse et ordonnance de paiement de 25 000 $ </w:t>
            </w:r>
            <w:proofErr w:type="gramStart"/>
            <w:r w:rsidRPr="006A1AC2">
              <w:rPr>
                <w:rFonts w:eastAsia="Calibri"/>
                <w:sz w:val="20"/>
                <w:lang w:val="fr-CA"/>
              </w:rPr>
              <w:t>au Habitat</w:t>
            </w:r>
            <w:proofErr w:type="gramEnd"/>
            <w:r w:rsidRPr="006A1AC2">
              <w:rPr>
                <w:rFonts w:eastAsia="Calibri"/>
                <w:sz w:val="20"/>
                <w:lang w:val="fr-CA"/>
              </w:rPr>
              <w:t xml:space="preserve"> Conservation Trust </w:t>
            </w:r>
            <w:proofErr w:type="spellStart"/>
            <w:r w:rsidRPr="006A1AC2">
              <w:rPr>
                <w:rFonts w:eastAsia="Calibri"/>
                <w:sz w:val="20"/>
                <w:lang w:val="fr-CA"/>
              </w:rPr>
              <w:t>Fund</w:t>
            </w:r>
            <w:proofErr w:type="spellEnd"/>
          </w:p>
        </w:tc>
      </w:tr>
      <w:tr w:rsidR="00AD6FFE" w:rsidRPr="003B380E" w:rsidTr="000419CE">
        <w:trPr>
          <w:cantSplit/>
        </w:trPr>
        <w:tc>
          <w:tcPr>
            <w:tcW w:w="2427" w:type="pct"/>
          </w:tcPr>
          <w:p w:rsidR="00AD6FFE" w:rsidRPr="006A1AC2" w:rsidRDefault="00AD6FFE" w:rsidP="00AD6FFE">
            <w:pPr>
              <w:jc w:val="both"/>
              <w:rPr>
                <w:rFonts w:eastAsia="Calibri"/>
                <w:sz w:val="20"/>
                <w:lang w:val="fr-CA"/>
              </w:rPr>
            </w:pPr>
            <w:r w:rsidRPr="006A1AC2">
              <w:rPr>
                <w:rFonts w:eastAsia="Calibri"/>
                <w:sz w:val="20"/>
                <w:lang w:val="fr-CA"/>
              </w:rPr>
              <w:t>8 juillet 2008</w:t>
            </w:r>
          </w:p>
          <w:p w:rsidR="00AD6FFE" w:rsidRPr="006A1AC2" w:rsidRDefault="00AD6FFE" w:rsidP="00AD6FFE">
            <w:pPr>
              <w:jc w:val="both"/>
              <w:rPr>
                <w:rFonts w:eastAsia="Calibri"/>
                <w:sz w:val="20"/>
                <w:lang w:val="fr-CA"/>
              </w:rPr>
            </w:pPr>
            <w:r w:rsidRPr="006A1AC2">
              <w:rPr>
                <w:rFonts w:eastAsia="Calibri"/>
                <w:sz w:val="20"/>
                <w:lang w:val="fr-CA"/>
              </w:rPr>
              <w:t>Cour suprême de la Colombie-Britannique</w:t>
            </w:r>
          </w:p>
          <w:p w:rsidR="00AD6FFE" w:rsidRPr="006A1AC2" w:rsidRDefault="00AD6FFE" w:rsidP="00AD6FFE">
            <w:pPr>
              <w:jc w:val="both"/>
              <w:rPr>
                <w:rFonts w:eastAsia="Calibri"/>
                <w:sz w:val="20"/>
                <w:lang w:val="fr-CA"/>
              </w:rPr>
            </w:pPr>
            <w:r w:rsidRPr="006A1AC2">
              <w:rPr>
                <w:rFonts w:eastAsia="Calibri"/>
                <w:sz w:val="20"/>
                <w:lang w:val="fr-CA"/>
              </w:rPr>
              <w:t xml:space="preserve">(Juge </w:t>
            </w:r>
            <w:proofErr w:type="spellStart"/>
            <w:r w:rsidRPr="006A1AC2">
              <w:rPr>
                <w:rFonts w:eastAsia="Calibri"/>
                <w:sz w:val="20"/>
                <w:lang w:val="fr-CA"/>
              </w:rPr>
              <w:t>Ehrcke</w:t>
            </w:r>
            <w:proofErr w:type="spellEnd"/>
            <w:r w:rsidRPr="006A1AC2">
              <w:rPr>
                <w:rFonts w:eastAsia="Calibri"/>
                <w:sz w:val="20"/>
                <w:lang w:val="fr-CA"/>
              </w:rPr>
              <w:t>)</w:t>
            </w:r>
          </w:p>
          <w:p w:rsidR="00AD6FFE" w:rsidRPr="006A1AC2" w:rsidRDefault="00AD6FFE" w:rsidP="00AD6FFE">
            <w:pPr>
              <w:jc w:val="both"/>
              <w:rPr>
                <w:rFonts w:eastAsia="Calibri"/>
                <w:sz w:val="20"/>
                <w:lang w:val="fr-CA"/>
              </w:rPr>
            </w:pPr>
            <w:r w:rsidRPr="006A1AC2">
              <w:rPr>
                <w:rFonts w:eastAsia="Calibri"/>
                <w:sz w:val="20"/>
                <w:lang w:val="fr-CA"/>
              </w:rPr>
              <w:t>Référence neutre : 2008 BCSC 886</w:t>
            </w:r>
          </w:p>
        </w:tc>
        <w:tc>
          <w:tcPr>
            <w:tcW w:w="243" w:type="pct"/>
          </w:tcPr>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Pr="006A1AC2" w:rsidRDefault="00AD6FFE" w:rsidP="000419CE">
            <w:pPr>
              <w:jc w:val="both"/>
              <w:rPr>
                <w:rFonts w:eastAsia="Calibri"/>
                <w:sz w:val="20"/>
                <w:lang w:val="fr-CA"/>
              </w:rPr>
            </w:pPr>
          </w:p>
        </w:tc>
        <w:tc>
          <w:tcPr>
            <w:tcW w:w="2330" w:type="pct"/>
          </w:tcPr>
          <w:p w:rsidR="00AD6FFE" w:rsidRPr="006A1AC2" w:rsidRDefault="00AD6FFE" w:rsidP="00AD6FFE">
            <w:pPr>
              <w:jc w:val="both"/>
              <w:rPr>
                <w:rFonts w:eastAsia="Calibri"/>
                <w:sz w:val="20"/>
                <w:lang w:val="fr-CA"/>
              </w:rPr>
            </w:pPr>
            <w:r w:rsidRPr="006A1AC2">
              <w:rPr>
                <w:rFonts w:eastAsia="Calibri"/>
                <w:sz w:val="20"/>
                <w:lang w:val="fr-CA"/>
              </w:rPr>
              <w:t xml:space="preserve">Appel rejeté relativement au troisième chef; appel accueilli relativement au premier et </w:t>
            </w:r>
            <w:proofErr w:type="gramStart"/>
            <w:r w:rsidRPr="006A1AC2">
              <w:rPr>
                <w:rFonts w:eastAsia="Calibri"/>
                <w:sz w:val="20"/>
                <w:lang w:val="fr-CA"/>
              </w:rPr>
              <w:t>au deuxième chefs</w:t>
            </w:r>
            <w:proofErr w:type="gramEnd"/>
            <w:r w:rsidRPr="006A1AC2">
              <w:rPr>
                <w:rFonts w:eastAsia="Calibri"/>
                <w:sz w:val="20"/>
                <w:lang w:val="fr-CA"/>
              </w:rPr>
              <w:t xml:space="preserve"> (M. </w:t>
            </w:r>
            <w:proofErr w:type="spellStart"/>
            <w:r w:rsidRPr="006A1AC2">
              <w:rPr>
                <w:rFonts w:eastAsia="Calibri"/>
                <w:sz w:val="20"/>
                <w:lang w:val="fr-CA"/>
              </w:rPr>
              <w:t>Ambrosi</w:t>
            </w:r>
            <w:proofErr w:type="spellEnd"/>
            <w:r w:rsidRPr="006A1AC2">
              <w:rPr>
                <w:rFonts w:eastAsia="Calibri"/>
                <w:sz w:val="20"/>
                <w:lang w:val="fr-CA"/>
              </w:rPr>
              <w:t>) et sursis conditionnels inscrits relativement à ces chefs</w:t>
            </w:r>
          </w:p>
        </w:tc>
      </w:tr>
      <w:tr w:rsidR="006F5D6D" w:rsidRPr="006A1AC2"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t>27 avril 2010</w:t>
            </w:r>
          </w:p>
          <w:p w:rsidR="006F5D6D" w:rsidRPr="006A1AC2" w:rsidRDefault="006F5D6D" w:rsidP="000419CE">
            <w:pPr>
              <w:jc w:val="both"/>
              <w:rPr>
                <w:rFonts w:eastAsia="Calibri"/>
                <w:sz w:val="20"/>
                <w:lang w:val="fr-CA"/>
              </w:rPr>
            </w:pPr>
            <w:r w:rsidRPr="006A1AC2">
              <w:rPr>
                <w:rFonts w:eastAsia="Calibri"/>
                <w:sz w:val="20"/>
                <w:lang w:val="fr-CA"/>
              </w:rPr>
              <w:t>Cour d’appel de la Colombie-Britannique (Vancouver)</w:t>
            </w:r>
          </w:p>
          <w:p w:rsidR="006F5D6D" w:rsidRPr="006A1AC2" w:rsidRDefault="006F5D6D" w:rsidP="00AD6FFE">
            <w:pPr>
              <w:jc w:val="both"/>
              <w:rPr>
                <w:rFonts w:eastAsia="Calibri"/>
                <w:sz w:val="20"/>
                <w:lang w:val="fr-CA"/>
              </w:rPr>
            </w:pPr>
            <w:r w:rsidRPr="006A1AC2">
              <w:rPr>
                <w:rFonts w:eastAsia="Calibri"/>
                <w:sz w:val="20"/>
                <w:lang w:val="fr-CA"/>
              </w:rPr>
              <w:t xml:space="preserve">(Juge </w:t>
            </w:r>
            <w:proofErr w:type="spellStart"/>
            <w:r w:rsidRPr="006A1AC2">
              <w:rPr>
                <w:rFonts w:eastAsia="Calibri"/>
                <w:sz w:val="20"/>
                <w:lang w:val="fr-CA"/>
              </w:rPr>
              <w:t>Groberman</w:t>
            </w:r>
            <w:proofErr w:type="spellEnd"/>
            <w:r w:rsidRPr="006A1AC2">
              <w:rPr>
                <w:rFonts w:eastAsia="Calibri"/>
                <w:sz w:val="20"/>
                <w:lang w:val="fr-CA"/>
              </w:rPr>
              <w:t>)</w:t>
            </w:r>
          </w:p>
        </w:tc>
        <w:tc>
          <w:tcPr>
            <w:tcW w:w="243" w:type="pct"/>
          </w:tcPr>
          <w:p w:rsidR="006F5D6D" w:rsidRDefault="006F5D6D" w:rsidP="000419CE">
            <w:pPr>
              <w:jc w:val="both"/>
              <w:rPr>
                <w:rFonts w:eastAsia="Calibri"/>
                <w:sz w:val="20"/>
                <w:lang w:val="fr-CA"/>
              </w:rPr>
            </w:pPr>
          </w:p>
          <w:p w:rsidR="00AD6FFE" w:rsidRDefault="00AD6FFE" w:rsidP="000419CE">
            <w:pPr>
              <w:jc w:val="both"/>
              <w:rPr>
                <w:rFonts w:eastAsia="Calibri"/>
                <w:sz w:val="20"/>
                <w:lang w:val="fr-CA"/>
              </w:rPr>
            </w:pPr>
          </w:p>
          <w:p w:rsidR="00AD6FFE" w:rsidRDefault="00AD6FFE" w:rsidP="000419CE">
            <w:pPr>
              <w:jc w:val="both"/>
              <w:rPr>
                <w:rFonts w:eastAsia="Calibri"/>
                <w:sz w:val="20"/>
                <w:lang w:val="fr-CA"/>
              </w:rPr>
            </w:pPr>
          </w:p>
          <w:p w:rsidR="00AD6FFE" w:rsidRPr="006A1AC2" w:rsidRDefault="00AD6FFE" w:rsidP="000419CE">
            <w:pPr>
              <w:jc w:val="both"/>
              <w:rPr>
                <w:rFonts w:eastAsia="Calibri"/>
                <w:sz w:val="20"/>
                <w:lang w:val="fr-CA"/>
              </w:rPr>
            </w:pPr>
          </w:p>
        </w:tc>
        <w:tc>
          <w:tcPr>
            <w:tcW w:w="2330" w:type="pct"/>
          </w:tcPr>
          <w:p w:rsidR="006F5D6D" w:rsidRPr="006A1AC2" w:rsidRDefault="006F5D6D" w:rsidP="000419CE">
            <w:pPr>
              <w:jc w:val="both"/>
              <w:rPr>
                <w:rFonts w:eastAsia="Calibri"/>
                <w:sz w:val="20"/>
                <w:lang w:val="fr-CA"/>
              </w:rPr>
            </w:pPr>
            <w:r w:rsidRPr="006A1AC2">
              <w:rPr>
                <w:rFonts w:eastAsia="Calibri"/>
                <w:sz w:val="20"/>
                <w:lang w:val="fr-CA"/>
              </w:rPr>
              <w:t>Demande d’autorisation d’appel, rejetée</w:t>
            </w:r>
          </w:p>
          <w:p w:rsidR="006F5D6D" w:rsidRPr="006A1AC2" w:rsidRDefault="006F5D6D" w:rsidP="000419CE">
            <w:pPr>
              <w:jc w:val="both"/>
              <w:rPr>
                <w:rFonts w:eastAsia="Calibri"/>
                <w:sz w:val="20"/>
                <w:lang w:val="fr-CA"/>
              </w:rPr>
            </w:pPr>
          </w:p>
        </w:tc>
      </w:tr>
      <w:tr w:rsidR="006F5D6D" w:rsidRPr="003B380E" w:rsidTr="000419CE">
        <w:trPr>
          <w:cantSplit/>
        </w:trPr>
        <w:tc>
          <w:tcPr>
            <w:tcW w:w="2427" w:type="pct"/>
          </w:tcPr>
          <w:p w:rsidR="006F5D6D" w:rsidRPr="006A1AC2" w:rsidRDefault="006F5D6D" w:rsidP="000419CE">
            <w:pPr>
              <w:jc w:val="both"/>
              <w:rPr>
                <w:rFonts w:eastAsia="Calibri"/>
                <w:sz w:val="20"/>
                <w:lang w:val="fr-CA"/>
              </w:rPr>
            </w:pPr>
            <w:r w:rsidRPr="006A1AC2">
              <w:rPr>
                <w:rFonts w:eastAsia="Calibri"/>
                <w:sz w:val="20"/>
                <w:lang w:val="fr-CA"/>
              </w:rPr>
              <w:t>20 août 2010</w:t>
            </w:r>
          </w:p>
          <w:p w:rsidR="006F5D6D" w:rsidRPr="006A1AC2" w:rsidRDefault="006F5D6D" w:rsidP="000419CE">
            <w:pPr>
              <w:jc w:val="both"/>
              <w:rPr>
                <w:rFonts w:eastAsia="Calibri"/>
                <w:sz w:val="20"/>
                <w:lang w:val="fr-CA"/>
              </w:rPr>
            </w:pPr>
            <w:r w:rsidRPr="006A1AC2">
              <w:rPr>
                <w:rFonts w:eastAsia="Calibri"/>
                <w:sz w:val="20"/>
                <w:lang w:val="fr-CA"/>
              </w:rPr>
              <w:t>Cour suprême du Canada</w:t>
            </w:r>
          </w:p>
        </w:tc>
        <w:tc>
          <w:tcPr>
            <w:tcW w:w="243" w:type="pct"/>
          </w:tcPr>
          <w:p w:rsidR="006F5D6D" w:rsidRPr="006A1AC2" w:rsidRDefault="006F5D6D" w:rsidP="000419CE">
            <w:pPr>
              <w:jc w:val="both"/>
              <w:rPr>
                <w:rFonts w:eastAsia="Calibri"/>
                <w:sz w:val="20"/>
                <w:lang w:val="fr-CA"/>
              </w:rPr>
            </w:pPr>
          </w:p>
        </w:tc>
        <w:tc>
          <w:tcPr>
            <w:tcW w:w="2330" w:type="pct"/>
          </w:tcPr>
          <w:p w:rsidR="006F5D6D" w:rsidRPr="006A1AC2" w:rsidRDefault="006F5D6D" w:rsidP="000419CE">
            <w:pPr>
              <w:jc w:val="both"/>
              <w:rPr>
                <w:rFonts w:eastAsia="Calibri"/>
                <w:sz w:val="20"/>
                <w:lang w:val="fr-CA"/>
              </w:rPr>
            </w:pPr>
            <w:r w:rsidRPr="006A1AC2">
              <w:rPr>
                <w:rFonts w:eastAsia="Calibri"/>
                <w:sz w:val="20"/>
                <w:lang w:val="fr-CA"/>
              </w:rPr>
              <w:t>Demande d’autorisation d’appel et requête en prorogation de délai, déposées</w:t>
            </w:r>
          </w:p>
        </w:tc>
      </w:tr>
    </w:tbl>
    <w:p w:rsidR="006F5D6D" w:rsidRPr="006A1AC2" w:rsidRDefault="006F5D6D" w:rsidP="006F5D6D">
      <w:pPr>
        <w:jc w:val="both"/>
        <w:rPr>
          <w:rFonts w:eastAsia="Calibri"/>
          <w:sz w:val="20"/>
          <w:lang w:val="fr-CA"/>
        </w:rPr>
      </w:pPr>
    </w:p>
    <w:p w:rsidR="00F94A8D" w:rsidRDefault="003E770A" w:rsidP="00F94A8D">
      <w:pPr>
        <w:keepNext/>
        <w:rPr>
          <w:sz w:val="20"/>
          <w:szCs w:val="20"/>
          <w:lang w:val="fr-CA"/>
        </w:rPr>
      </w:pPr>
      <w:r w:rsidRPr="003E770A">
        <w:rPr>
          <w:sz w:val="20"/>
          <w:szCs w:val="20"/>
          <w:lang w:val="fr-CA"/>
        </w:rPr>
        <w:pict>
          <v:rect id="_x0000_i1060" style="width:2in;height:1pt" o:hrpct="0" o:hralign="center" o:hrstd="t" o:hrnoshade="t" o:hr="t" fillcolor="black [3213]" stroked="f"/>
        </w:pict>
      </w:r>
    </w:p>
    <w:p w:rsidR="00F94A8D" w:rsidRDefault="00F94A8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F94A8D" w:rsidTr="00F94A8D">
        <w:trPr>
          <w:cantSplit/>
        </w:trPr>
        <w:tc>
          <w:tcPr>
            <w:tcW w:w="1458" w:type="dxa"/>
          </w:tcPr>
          <w:p w:rsidR="00F94A8D" w:rsidRPr="00F94A8D" w:rsidRDefault="00F94A8D" w:rsidP="00F94A8D">
            <w:pPr>
              <w:rPr>
                <w:sz w:val="20"/>
                <w:szCs w:val="20"/>
              </w:rPr>
            </w:pPr>
            <w:r w:rsidRPr="00F94A8D">
              <w:rPr>
                <w:rStyle w:val="SCCFileNumberChar"/>
                <w:sz w:val="20"/>
                <w:szCs w:val="20"/>
              </w:rPr>
              <w:t>33814</w:t>
            </w:r>
          </w:p>
          <w:p w:rsidR="00F94A8D" w:rsidRPr="00F94A8D" w:rsidRDefault="00F94A8D" w:rsidP="00F94A8D">
            <w:pPr>
              <w:rPr>
                <w:b/>
                <w:sz w:val="20"/>
                <w:szCs w:val="20"/>
                <w:lang w:val="fr-CA"/>
              </w:rPr>
            </w:pPr>
          </w:p>
        </w:tc>
        <w:tc>
          <w:tcPr>
            <w:tcW w:w="8118" w:type="dxa"/>
          </w:tcPr>
          <w:p w:rsidR="00F94A8D" w:rsidRPr="00F94A8D" w:rsidRDefault="00F94A8D" w:rsidP="00F94A8D">
            <w:pPr>
              <w:rPr>
                <w:sz w:val="20"/>
                <w:szCs w:val="20"/>
              </w:rPr>
            </w:pPr>
            <w:r w:rsidRPr="00F94A8D">
              <w:rPr>
                <w:rStyle w:val="SCCLsocChar"/>
                <w:sz w:val="20"/>
                <w:szCs w:val="20"/>
                <w:lang w:val="en-CA"/>
              </w:rPr>
              <w:t>McKinley Farms Ltd. v. Tribute Resources Inc.</w:t>
            </w:r>
            <w:r w:rsidRPr="00F94A8D">
              <w:rPr>
                <w:sz w:val="20"/>
                <w:szCs w:val="20"/>
              </w:rPr>
              <w:t xml:space="preserve"> (Ont.) (Civil) (By Leave)</w:t>
            </w:r>
          </w:p>
          <w:p w:rsidR="00F94A8D" w:rsidRPr="00F94A8D" w:rsidRDefault="00F94A8D" w:rsidP="00F94A8D">
            <w:pPr>
              <w:rPr>
                <w:sz w:val="20"/>
                <w:szCs w:val="20"/>
              </w:rPr>
            </w:pPr>
          </w:p>
        </w:tc>
      </w:tr>
      <w:tr w:rsidR="00F94A8D" w:rsidRPr="00F94A8D" w:rsidTr="00F94A8D">
        <w:trPr>
          <w:cantSplit/>
        </w:trPr>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lang w:val="en-CA"/>
              </w:rPr>
            </w:pPr>
            <w:proofErr w:type="spellStart"/>
            <w:r w:rsidRPr="00F94A8D">
              <w:rPr>
                <w:rStyle w:val="SCCCoramChar"/>
                <w:sz w:val="20"/>
                <w:szCs w:val="20"/>
                <w:lang w:val="en-CA"/>
              </w:rPr>
              <w:t>Binnie</w:t>
            </w:r>
            <w:proofErr w:type="spellEnd"/>
            <w:r w:rsidRPr="00F94A8D">
              <w:rPr>
                <w:rStyle w:val="SCCCoramChar"/>
                <w:sz w:val="20"/>
                <w:szCs w:val="20"/>
                <w:lang w:val="en-CA"/>
              </w:rPr>
              <w:t>, Fish and Rothstein JJ.</w:t>
            </w:r>
          </w:p>
          <w:p w:rsidR="00F94A8D" w:rsidRPr="00F94A8D" w:rsidRDefault="00F94A8D" w:rsidP="00F94A8D">
            <w:pPr>
              <w:rPr>
                <w:sz w:val="20"/>
                <w:szCs w:val="20"/>
              </w:rPr>
            </w:pPr>
          </w:p>
        </w:tc>
      </w:tr>
      <w:tr w:rsidR="00F94A8D" w:rsidRPr="003B380E" w:rsidTr="00F94A8D">
        <w:trPr>
          <w:cantSplit/>
        </w:trPr>
        <w:tc>
          <w:tcPr>
            <w:tcW w:w="9576" w:type="dxa"/>
            <w:gridSpan w:val="2"/>
          </w:tcPr>
          <w:p w:rsidR="00F94A8D" w:rsidRPr="00F94A8D" w:rsidRDefault="00F94A8D" w:rsidP="00F94A8D">
            <w:pPr>
              <w:jc w:val="both"/>
              <w:rPr>
                <w:sz w:val="20"/>
                <w:szCs w:val="20"/>
              </w:rPr>
            </w:pPr>
            <w:r>
              <w:rPr>
                <w:sz w:val="20"/>
                <w:szCs w:val="20"/>
              </w:rPr>
              <w:tab/>
            </w:r>
            <w:r w:rsidRPr="00F94A8D">
              <w:rPr>
                <w:sz w:val="20"/>
                <w:szCs w:val="20"/>
              </w:rPr>
              <w:t>The application for leave to appeal from the judgment of the Court of Appeal for Ontario, Number C50782, 2010 ONCA 392, dated June 2, 2010, is dismissed with costs.</w:t>
            </w:r>
          </w:p>
          <w:p w:rsidR="00F94A8D" w:rsidRPr="00F94A8D" w:rsidRDefault="00F94A8D" w:rsidP="00F94A8D">
            <w:pPr>
              <w:jc w:val="both"/>
              <w:rPr>
                <w:sz w:val="20"/>
                <w:szCs w:val="20"/>
              </w:rPr>
            </w:pPr>
          </w:p>
          <w:p w:rsidR="00F94A8D" w:rsidRPr="00F94A8D" w:rsidRDefault="00F94A8D" w:rsidP="00F94A8D">
            <w:pPr>
              <w:jc w:val="both"/>
              <w:rPr>
                <w:sz w:val="20"/>
                <w:szCs w:val="20"/>
                <w:lang w:val="fr-CA"/>
              </w:rPr>
            </w:pPr>
            <w:r w:rsidRPr="00052196">
              <w:rPr>
                <w:sz w:val="20"/>
                <w:szCs w:val="20"/>
              </w:rPr>
              <w:tab/>
            </w:r>
            <w:r w:rsidRPr="00F94A8D">
              <w:rPr>
                <w:sz w:val="20"/>
                <w:szCs w:val="20"/>
                <w:lang w:val="fr-CA"/>
              </w:rPr>
              <w:t>La demande d’autorisation d’appel de l’arrêt de la Cour d’appel de l’Ontario, numéro C50782, 2010 ONCA 392, daté du 2 juin 2010, est rejetée avec dépens.</w:t>
            </w:r>
          </w:p>
        </w:tc>
      </w:tr>
    </w:tbl>
    <w:p w:rsidR="00F94A8D" w:rsidRDefault="00F94A8D" w:rsidP="00F94A8D">
      <w:pPr>
        <w:rPr>
          <w:sz w:val="20"/>
          <w:szCs w:val="20"/>
          <w:lang w:val="fr-CA"/>
        </w:rPr>
      </w:pPr>
    </w:p>
    <w:p w:rsidR="00F94A8D" w:rsidRPr="00C50A5C" w:rsidRDefault="00F94A8D" w:rsidP="00F94A8D">
      <w:pPr>
        <w:keepNext/>
        <w:rPr>
          <w:sz w:val="20"/>
          <w:szCs w:val="20"/>
        </w:rPr>
      </w:pPr>
      <w:r w:rsidRPr="00C50A5C">
        <w:rPr>
          <w:sz w:val="20"/>
          <w:szCs w:val="20"/>
          <w:u w:val="single"/>
        </w:rPr>
        <w:t>CASE SUMMARY</w:t>
      </w:r>
    </w:p>
    <w:p w:rsidR="00F94A8D" w:rsidRDefault="00F94A8D" w:rsidP="00F94A8D">
      <w:pPr>
        <w:keepNext/>
        <w:rPr>
          <w:sz w:val="20"/>
          <w:szCs w:val="20"/>
        </w:rPr>
      </w:pPr>
    </w:p>
    <w:tbl>
      <w:tblPr>
        <w:tblW w:w="5000" w:type="pct"/>
        <w:tblCellMar>
          <w:left w:w="0" w:type="dxa"/>
          <w:bottom w:w="99" w:type="dxa"/>
          <w:right w:w="0" w:type="dxa"/>
        </w:tblCellMar>
        <w:tblLook w:val="04A0"/>
      </w:tblPr>
      <w:tblGrid>
        <w:gridCol w:w="9619"/>
      </w:tblGrid>
      <w:tr w:rsidR="00052196" w:rsidRPr="006A1AC2" w:rsidTr="00052196">
        <w:tc>
          <w:tcPr>
            <w:tcW w:w="5000" w:type="pct"/>
          </w:tcPr>
          <w:p w:rsidR="00052196" w:rsidRPr="006A1AC2" w:rsidRDefault="00052196" w:rsidP="00052196">
            <w:pPr>
              <w:jc w:val="both"/>
              <w:rPr>
                <w:rFonts w:eastAsia="Calibri"/>
                <w:sz w:val="20"/>
              </w:rPr>
            </w:pPr>
            <w:r w:rsidRPr="006A1AC2">
              <w:rPr>
                <w:rFonts w:eastAsia="Calibri"/>
                <w:sz w:val="20"/>
              </w:rPr>
              <w:t>Contracts – Commercial contracts – Oil and gas leases – Interpretation – Termination – Parties seeking declaration on whether oil and gas lease was valid and subsisting or had been automatically terminated - Whether late rental payment from lessee to property owner caused the lease to automatically terminate - Whether clarity and exacting language are required</w:t>
            </w:r>
          </w:p>
          <w:p w:rsidR="00052196" w:rsidRPr="006A1AC2" w:rsidRDefault="00052196" w:rsidP="00052196">
            <w:pPr>
              <w:jc w:val="both"/>
              <w:rPr>
                <w:rFonts w:eastAsia="Calibri"/>
                <w:sz w:val="20"/>
              </w:rPr>
            </w:pPr>
          </w:p>
        </w:tc>
      </w:tr>
      <w:tr w:rsidR="00052196" w:rsidRPr="006A1AC2" w:rsidTr="00052196">
        <w:tc>
          <w:tcPr>
            <w:tcW w:w="5000" w:type="pct"/>
          </w:tcPr>
          <w:p w:rsidR="00052196" w:rsidRPr="006A1AC2" w:rsidRDefault="00052196" w:rsidP="00364C5F">
            <w:pPr>
              <w:jc w:val="both"/>
              <w:rPr>
                <w:rFonts w:eastAsia="Calibri"/>
                <w:sz w:val="20"/>
              </w:rPr>
            </w:pPr>
            <w:r w:rsidRPr="006A1AC2">
              <w:rPr>
                <w:rFonts w:eastAsia="Calibri"/>
                <w:color w:val="000000"/>
                <w:sz w:val="20"/>
              </w:rPr>
              <w:t xml:space="preserve">Tribute Resources Inc.'s (“Tribute”) predecessor executed an oil and gas lease with McKinley Farm </w:t>
            </w:r>
            <w:proofErr w:type="spellStart"/>
            <w:r w:rsidRPr="006A1AC2">
              <w:rPr>
                <w:rFonts w:eastAsia="Calibri"/>
                <w:color w:val="000000"/>
                <w:sz w:val="20"/>
              </w:rPr>
              <w:t>Ltd.'s</w:t>
            </w:r>
            <w:proofErr w:type="spellEnd"/>
            <w:r w:rsidRPr="006A1AC2">
              <w:rPr>
                <w:rFonts w:eastAsia="Calibri"/>
                <w:color w:val="000000"/>
                <w:sz w:val="20"/>
              </w:rPr>
              <w:t xml:space="preserve"> (“McKinley”) predecessor in 1977. The lease provided Tribute with certain oil and gas rights in exchange for monthly payments for a period of ten years, with the provision that the contract would be extended as long as oil and gas were being produced “in paying quantities”. The lease was amended in 1984 by a “unit operating agreement” (“UOA”) that provided for the extension of the lease in the event of a cessation in the production of oil and gas.  It required Tribute to make an annual per-acre rental payment on a particular date, and also provided that the lease would continue as long as rental payments were made. As of July 2001, gas was no longer produced in paying quantities, but Tribute made the annual rental payments.  Although those annual payments were usually late, McKinley accepted them.  The parties also </w:t>
            </w:r>
            <w:r w:rsidRPr="006A1AC2">
              <w:rPr>
                <w:rFonts w:eastAsia="Calibri"/>
                <w:color w:val="000000"/>
                <w:sz w:val="20"/>
              </w:rPr>
              <w:lastRenderedPageBreak/>
              <w:t>entered into a gas storage lease agreement in 1998 that provided it would terminate after ten years unless one of the parties applied to have the lands designated as a gas storage area.  In 2008, McKinley took the position that both the oil and gas lease and the gas storage lease had terminated.  Tribute applied to the court, seeking declarations that both leases remained valid, while McKinley sought declarations that the leases had terminated.</w:t>
            </w:r>
            <w:r w:rsidR="00364C5F" w:rsidRPr="006A1AC2">
              <w:rPr>
                <w:rFonts w:eastAsia="Calibri"/>
                <w:sz w:val="20"/>
              </w:rPr>
              <w:t xml:space="preserve"> </w:t>
            </w:r>
          </w:p>
        </w:tc>
      </w:tr>
    </w:tbl>
    <w:p w:rsidR="00364C5F" w:rsidRDefault="00364C5F"/>
    <w:tbl>
      <w:tblPr>
        <w:tblW w:w="5000" w:type="pct"/>
        <w:tblCellMar>
          <w:left w:w="0" w:type="dxa"/>
          <w:bottom w:w="99" w:type="dxa"/>
          <w:right w:w="0" w:type="dxa"/>
        </w:tblCellMar>
        <w:tblLook w:val="04A0"/>
      </w:tblPr>
      <w:tblGrid>
        <w:gridCol w:w="4670"/>
        <w:gridCol w:w="467"/>
        <w:gridCol w:w="4482"/>
      </w:tblGrid>
      <w:tr w:rsidR="00052196" w:rsidRPr="006A1AC2" w:rsidTr="00814152">
        <w:trPr>
          <w:cantSplit/>
        </w:trPr>
        <w:tc>
          <w:tcPr>
            <w:tcW w:w="2427" w:type="pct"/>
          </w:tcPr>
          <w:p w:rsidR="00052196" w:rsidRPr="006A1AC2" w:rsidRDefault="00052196" w:rsidP="00052196">
            <w:pPr>
              <w:jc w:val="both"/>
              <w:rPr>
                <w:rFonts w:eastAsia="Calibri"/>
                <w:sz w:val="20"/>
              </w:rPr>
            </w:pPr>
            <w:r w:rsidRPr="006A1AC2">
              <w:rPr>
                <w:rFonts w:eastAsia="Calibri"/>
                <w:sz w:val="20"/>
              </w:rPr>
              <w:t>June 29, 2009</w:t>
            </w:r>
          </w:p>
          <w:p w:rsidR="00052196" w:rsidRPr="006A1AC2" w:rsidRDefault="00052196" w:rsidP="00052196">
            <w:pPr>
              <w:jc w:val="both"/>
              <w:rPr>
                <w:rFonts w:eastAsia="Calibri"/>
                <w:sz w:val="20"/>
              </w:rPr>
            </w:pPr>
            <w:r w:rsidRPr="006A1AC2">
              <w:rPr>
                <w:rFonts w:eastAsia="Calibri"/>
                <w:sz w:val="20"/>
              </w:rPr>
              <w:t>Ontario Superior Court of Justice</w:t>
            </w:r>
          </w:p>
          <w:p w:rsidR="00052196" w:rsidRPr="006A1AC2" w:rsidRDefault="00052196" w:rsidP="00052196">
            <w:pPr>
              <w:jc w:val="both"/>
              <w:rPr>
                <w:rFonts w:eastAsia="Calibri"/>
                <w:sz w:val="20"/>
              </w:rPr>
            </w:pPr>
            <w:r w:rsidRPr="006A1AC2">
              <w:rPr>
                <w:rFonts w:eastAsia="Calibri"/>
                <w:sz w:val="20"/>
              </w:rPr>
              <w:t>(Little J.)</w:t>
            </w:r>
          </w:p>
          <w:p w:rsidR="00052196" w:rsidRPr="006A1AC2" w:rsidRDefault="00052196" w:rsidP="005255F0">
            <w:pPr>
              <w:jc w:val="both"/>
              <w:rPr>
                <w:rFonts w:eastAsia="Calibri"/>
                <w:sz w:val="20"/>
              </w:rPr>
            </w:pPr>
            <w:r w:rsidRPr="006A1AC2">
              <w:rPr>
                <w:rFonts w:eastAsia="Calibri"/>
                <w:sz w:val="20"/>
              </w:rPr>
              <w:t>[2009] O.J. No. 2722</w:t>
            </w:r>
          </w:p>
        </w:tc>
        <w:tc>
          <w:tcPr>
            <w:tcW w:w="243" w:type="pct"/>
          </w:tcPr>
          <w:p w:rsidR="00052196" w:rsidRDefault="00052196" w:rsidP="00052196">
            <w:pPr>
              <w:jc w:val="both"/>
              <w:rPr>
                <w:rFonts w:eastAsia="Calibri"/>
                <w:sz w:val="20"/>
              </w:rPr>
            </w:pPr>
          </w:p>
          <w:p w:rsidR="005255F0" w:rsidRDefault="005255F0" w:rsidP="00052196">
            <w:pPr>
              <w:jc w:val="both"/>
              <w:rPr>
                <w:rFonts w:eastAsia="Calibri"/>
                <w:sz w:val="20"/>
              </w:rPr>
            </w:pPr>
          </w:p>
          <w:p w:rsidR="005255F0" w:rsidRDefault="005255F0" w:rsidP="00052196">
            <w:pPr>
              <w:jc w:val="both"/>
              <w:rPr>
                <w:rFonts w:eastAsia="Calibri"/>
                <w:sz w:val="20"/>
              </w:rPr>
            </w:pPr>
          </w:p>
          <w:p w:rsidR="005255F0" w:rsidRDefault="005255F0" w:rsidP="00052196">
            <w:pPr>
              <w:jc w:val="both"/>
              <w:rPr>
                <w:rFonts w:eastAsia="Calibri"/>
                <w:sz w:val="20"/>
              </w:rPr>
            </w:pPr>
          </w:p>
          <w:p w:rsidR="005255F0" w:rsidRPr="006A1AC2" w:rsidRDefault="005255F0" w:rsidP="00052196">
            <w:pPr>
              <w:jc w:val="both"/>
              <w:rPr>
                <w:rFonts w:eastAsia="Calibri"/>
                <w:sz w:val="20"/>
              </w:rPr>
            </w:pPr>
          </w:p>
        </w:tc>
        <w:tc>
          <w:tcPr>
            <w:tcW w:w="2330" w:type="pct"/>
          </w:tcPr>
          <w:p w:rsidR="00052196" w:rsidRPr="006A1AC2" w:rsidRDefault="00052196" w:rsidP="00052196">
            <w:pPr>
              <w:jc w:val="both"/>
              <w:rPr>
                <w:rFonts w:eastAsia="Calibri"/>
                <w:sz w:val="20"/>
              </w:rPr>
            </w:pPr>
            <w:r w:rsidRPr="006A1AC2">
              <w:rPr>
                <w:rFonts w:eastAsia="Calibri"/>
                <w:sz w:val="20"/>
              </w:rPr>
              <w:t>Declaration that oil and gas lease and gas storage lease agreement between the parties were both terminated</w:t>
            </w:r>
          </w:p>
          <w:p w:rsidR="00052196" w:rsidRPr="006A1AC2" w:rsidRDefault="00052196" w:rsidP="00052196">
            <w:pPr>
              <w:jc w:val="both"/>
              <w:rPr>
                <w:rFonts w:eastAsia="Calibri"/>
                <w:sz w:val="20"/>
              </w:rPr>
            </w:pPr>
          </w:p>
          <w:p w:rsidR="00052196" w:rsidRPr="006A1AC2" w:rsidRDefault="00052196" w:rsidP="00052196">
            <w:pPr>
              <w:jc w:val="both"/>
              <w:rPr>
                <w:rFonts w:eastAsia="Calibri"/>
                <w:sz w:val="20"/>
              </w:rPr>
            </w:pPr>
          </w:p>
        </w:tc>
      </w:tr>
      <w:tr w:rsidR="00052196" w:rsidRPr="006A1AC2" w:rsidTr="00814152">
        <w:trPr>
          <w:cantSplit/>
        </w:trPr>
        <w:tc>
          <w:tcPr>
            <w:tcW w:w="2427" w:type="pct"/>
          </w:tcPr>
          <w:p w:rsidR="00052196" w:rsidRPr="006A1AC2" w:rsidRDefault="00052196" w:rsidP="00052196">
            <w:pPr>
              <w:jc w:val="both"/>
              <w:rPr>
                <w:rFonts w:eastAsia="Calibri"/>
                <w:sz w:val="20"/>
              </w:rPr>
            </w:pPr>
            <w:r w:rsidRPr="006A1AC2">
              <w:rPr>
                <w:rFonts w:eastAsia="Calibri"/>
                <w:sz w:val="20"/>
              </w:rPr>
              <w:t>June 2, 2010</w:t>
            </w:r>
          </w:p>
          <w:p w:rsidR="00052196" w:rsidRPr="006A1AC2" w:rsidRDefault="00052196" w:rsidP="00052196">
            <w:pPr>
              <w:jc w:val="both"/>
              <w:rPr>
                <w:rFonts w:eastAsia="Calibri"/>
                <w:sz w:val="20"/>
              </w:rPr>
            </w:pPr>
            <w:r w:rsidRPr="006A1AC2">
              <w:rPr>
                <w:rFonts w:eastAsia="Calibri"/>
                <w:sz w:val="20"/>
              </w:rPr>
              <w:t>Court of Appeal for Ontario</w:t>
            </w:r>
          </w:p>
          <w:p w:rsidR="00052196" w:rsidRPr="006A1AC2" w:rsidRDefault="00052196" w:rsidP="00052196">
            <w:pPr>
              <w:jc w:val="both"/>
              <w:rPr>
                <w:rFonts w:eastAsia="Calibri"/>
                <w:sz w:val="20"/>
              </w:rPr>
            </w:pPr>
            <w:r w:rsidRPr="006A1AC2">
              <w:rPr>
                <w:rFonts w:eastAsia="Calibri"/>
                <w:sz w:val="20"/>
              </w:rPr>
              <w:t xml:space="preserve">(Armstrong, Lang and </w:t>
            </w:r>
            <w:proofErr w:type="spellStart"/>
            <w:r w:rsidRPr="006A1AC2">
              <w:rPr>
                <w:rFonts w:eastAsia="Calibri"/>
                <w:sz w:val="20"/>
              </w:rPr>
              <w:t>Juriansz</w:t>
            </w:r>
            <w:proofErr w:type="spellEnd"/>
            <w:r w:rsidRPr="006A1AC2">
              <w:rPr>
                <w:rFonts w:eastAsia="Calibri"/>
                <w:sz w:val="20"/>
              </w:rPr>
              <w:t xml:space="preserve"> JJ.A.)</w:t>
            </w:r>
          </w:p>
          <w:p w:rsidR="00052196" w:rsidRPr="006A1AC2" w:rsidRDefault="00052196" w:rsidP="005255F0">
            <w:pPr>
              <w:jc w:val="both"/>
              <w:rPr>
                <w:rFonts w:eastAsia="Calibri"/>
                <w:sz w:val="20"/>
              </w:rPr>
            </w:pPr>
            <w:r w:rsidRPr="006A1AC2">
              <w:rPr>
                <w:rFonts w:eastAsia="Calibri"/>
                <w:sz w:val="20"/>
              </w:rPr>
              <w:t>2010 ONCA 392</w:t>
            </w:r>
          </w:p>
        </w:tc>
        <w:tc>
          <w:tcPr>
            <w:tcW w:w="243" w:type="pct"/>
          </w:tcPr>
          <w:p w:rsidR="00052196" w:rsidRDefault="00052196" w:rsidP="00052196">
            <w:pPr>
              <w:jc w:val="both"/>
              <w:rPr>
                <w:rFonts w:eastAsia="Calibri"/>
                <w:sz w:val="20"/>
              </w:rPr>
            </w:pPr>
          </w:p>
          <w:p w:rsidR="005255F0" w:rsidRDefault="005255F0" w:rsidP="00052196">
            <w:pPr>
              <w:jc w:val="both"/>
              <w:rPr>
                <w:rFonts w:eastAsia="Calibri"/>
                <w:sz w:val="20"/>
              </w:rPr>
            </w:pPr>
          </w:p>
          <w:p w:rsidR="005255F0" w:rsidRDefault="005255F0" w:rsidP="00052196">
            <w:pPr>
              <w:jc w:val="both"/>
              <w:rPr>
                <w:rFonts w:eastAsia="Calibri"/>
                <w:sz w:val="20"/>
              </w:rPr>
            </w:pPr>
          </w:p>
          <w:p w:rsidR="005255F0" w:rsidRDefault="005255F0" w:rsidP="00052196">
            <w:pPr>
              <w:jc w:val="both"/>
              <w:rPr>
                <w:rFonts w:eastAsia="Calibri"/>
                <w:sz w:val="20"/>
              </w:rPr>
            </w:pPr>
          </w:p>
          <w:p w:rsidR="005255F0" w:rsidRPr="006A1AC2" w:rsidRDefault="005255F0" w:rsidP="00052196">
            <w:pPr>
              <w:jc w:val="both"/>
              <w:rPr>
                <w:rFonts w:eastAsia="Calibri"/>
                <w:sz w:val="20"/>
              </w:rPr>
            </w:pPr>
          </w:p>
        </w:tc>
        <w:tc>
          <w:tcPr>
            <w:tcW w:w="2330" w:type="pct"/>
          </w:tcPr>
          <w:p w:rsidR="00052196" w:rsidRPr="006A1AC2" w:rsidRDefault="00052196" w:rsidP="00052196">
            <w:pPr>
              <w:jc w:val="both"/>
              <w:rPr>
                <w:rFonts w:eastAsia="Calibri"/>
                <w:sz w:val="20"/>
              </w:rPr>
            </w:pPr>
            <w:r w:rsidRPr="006A1AC2">
              <w:rPr>
                <w:rFonts w:eastAsia="Calibri"/>
                <w:sz w:val="20"/>
              </w:rPr>
              <w:t>Appeal allowed in part; oil and gas lease declared in force and effect</w:t>
            </w:r>
          </w:p>
          <w:p w:rsidR="00052196" w:rsidRPr="006A1AC2" w:rsidRDefault="00052196" w:rsidP="00052196">
            <w:pPr>
              <w:jc w:val="both"/>
              <w:rPr>
                <w:rFonts w:eastAsia="Calibri"/>
                <w:sz w:val="20"/>
              </w:rPr>
            </w:pPr>
          </w:p>
          <w:p w:rsidR="00052196" w:rsidRPr="006A1AC2" w:rsidRDefault="00052196" w:rsidP="00052196">
            <w:pPr>
              <w:jc w:val="both"/>
              <w:rPr>
                <w:rFonts w:eastAsia="Calibri"/>
                <w:sz w:val="20"/>
              </w:rPr>
            </w:pPr>
          </w:p>
        </w:tc>
      </w:tr>
      <w:tr w:rsidR="00052196" w:rsidRPr="006A1AC2" w:rsidTr="00814152">
        <w:trPr>
          <w:cantSplit/>
        </w:trPr>
        <w:tc>
          <w:tcPr>
            <w:tcW w:w="2427" w:type="pct"/>
          </w:tcPr>
          <w:p w:rsidR="00052196" w:rsidRPr="006A1AC2" w:rsidRDefault="00052196" w:rsidP="00052196">
            <w:pPr>
              <w:jc w:val="both"/>
              <w:rPr>
                <w:rFonts w:eastAsia="Calibri"/>
                <w:sz w:val="20"/>
              </w:rPr>
            </w:pPr>
            <w:r w:rsidRPr="006A1AC2">
              <w:rPr>
                <w:rFonts w:eastAsia="Calibri"/>
                <w:sz w:val="20"/>
              </w:rPr>
              <w:t>August 27, 2010</w:t>
            </w:r>
          </w:p>
          <w:p w:rsidR="00052196" w:rsidRPr="006A1AC2" w:rsidRDefault="00052196" w:rsidP="00052196">
            <w:pPr>
              <w:jc w:val="both"/>
              <w:rPr>
                <w:rFonts w:eastAsia="Calibri"/>
                <w:sz w:val="20"/>
              </w:rPr>
            </w:pPr>
            <w:r w:rsidRPr="006A1AC2">
              <w:rPr>
                <w:rFonts w:eastAsia="Calibri"/>
                <w:sz w:val="20"/>
              </w:rPr>
              <w:t>Supreme Court of Canada</w:t>
            </w:r>
          </w:p>
        </w:tc>
        <w:tc>
          <w:tcPr>
            <w:tcW w:w="243" w:type="pct"/>
          </w:tcPr>
          <w:p w:rsidR="00052196" w:rsidRPr="006A1AC2" w:rsidRDefault="00052196" w:rsidP="00052196">
            <w:pPr>
              <w:jc w:val="both"/>
              <w:rPr>
                <w:rFonts w:eastAsia="Calibri"/>
                <w:sz w:val="20"/>
              </w:rPr>
            </w:pPr>
          </w:p>
        </w:tc>
        <w:tc>
          <w:tcPr>
            <w:tcW w:w="2330" w:type="pct"/>
          </w:tcPr>
          <w:p w:rsidR="00052196" w:rsidRPr="006A1AC2" w:rsidRDefault="00052196" w:rsidP="00052196">
            <w:pPr>
              <w:jc w:val="both"/>
              <w:rPr>
                <w:rFonts w:eastAsia="Calibri"/>
                <w:sz w:val="20"/>
              </w:rPr>
            </w:pPr>
            <w:r w:rsidRPr="006A1AC2">
              <w:rPr>
                <w:rFonts w:eastAsia="Calibri"/>
                <w:sz w:val="20"/>
              </w:rPr>
              <w:t>Application for leave to appeal filed</w:t>
            </w:r>
          </w:p>
          <w:p w:rsidR="00052196" w:rsidRPr="006A1AC2" w:rsidRDefault="00052196" w:rsidP="00052196">
            <w:pPr>
              <w:jc w:val="both"/>
              <w:rPr>
                <w:rFonts w:eastAsia="Calibri"/>
                <w:sz w:val="20"/>
              </w:rPr>
            </w:pPr>
          </w:p>
        </w:tc>
      </w:tr>
    </w:tbl>
    <w:p w:rsidR="00052196" w:rsidRDefault="00052196" w:rsidP="00052196">
      <w:pPr>
        <w:tabs>
          <w:tab w:val="left" w:pos="720"/>
        </w:tabs>
        <w:rPr>
          <w:sz w:val="20"/>
        </w:rPr>
      </w:pPr>
    </w:p>
    <w:p w:rsidR="00F94A8D" w:rsidRPr="00C50A5C" w:rsidRDefault="003E770A" w:rsidP="00F94A8D">
      <w:pPr>
        <w:rPr>
          <w:sz w:val="20"/>
          <w:szCs w:val="20"/>
        </w:rPr>
      </w:pPr>
      <w:r w:rsidRPr="003E770A">
        <w:rPr>
          <w:sz w:val="20"/>
          <w:szCs w:val="20"/>
          <w:lang w:val="fr-CA"/>
        </w:rPr>
        <w:pict>
          <v:rect id="_x0000_i1061"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814152" w:rsidRPr="003B380E" w:rsidTr="000419CE">
        <w:tc>
          <w:tcPr>
            <w:tcW w:w="5000" w:type="pct"/>
          </w:tcPr>
          <w:p w:rsidR="00814152" w:rsidRDefault="00814152" w:rsidP="000419CE">
            <w:pPr>
              <w:jc w:val="both"/>
              <w:rPr>
                <w:rFonts w:eastAsia="Calibri"/>
                <w:sz w:val="20"/>
                <w:lang w:val="fr-CA"/>
              </w:rPr>
            </w:pPr>
            <w:r w:rsidRPr="006A1AC2">
              <w:rPr>
                <w:rFonts w:eastAsia="Calibri"/>
                <w:sz w:val="20"/>
                <w:lang w:val="fr-CA"/>
              </w:rPr>
              <w:t>Contrats – Contrats commerciaux – Concessions pétrolières et gazières – Interprétation – Résiliation – Les parties sollicitent un jugement déclaratoire sur la question de savoir si la concession pétrolière et gazière était valide et toujours en vigueur ou si elle avait été automatiquement résiliée – Le paiement en retard du loyer du détenteur de concession au propriétaire du bien a-t-il entraîné la résiliation automatique de la concession? – Faut-il un texte clair et rigoureux?</w:t>
            </w:r>
          </w:p>
          <w:p w:rsidR="00814152" w:rsidRPr="006A1AC2" w:rsidRDefault="00814152" w:rsidP="000419CE">
            <w:pPr>
              <w:jc w:val="both"/>
              <w:rPr>
                <w:rFonts w:eastAsia="Calibri"/>
                <w:sz w:val="20"/>
                <w:lang w:val="fr-CA"/>
              </w:rPr>
            </w:pPr>
          </w:p>
        </w:tc>
      </w:tr>
      <w:tr w:rsidR="00814152" w:rsidRPr="003B380E" w:rsidTr="000419CE">
        <w:tc>
          <w:tcPr>
            <w:tcW w:w="5000" w:type="pct"/>
          </w:tcPr>
          <w:p w:rsidR="00814152" w:rsidRPr="006A1AC2" w:rsidRDefault="00814152" w:rsidP="005255F0">
            <w:pPr>
              <w:ind w:left="-2"/>
              <w:jc w:val="both"/>
              <w:rPr>
                <w:rFonts w:eastAsia="Calibri"/>
                <w:sz w:val="20"/>
                <w:lang w:val="fr-CA"/>
              </w:rPr>
            </w:pPr>
            <w:r w:rsidRPr="006A1AC2">
              <w:rPr>
                <w:rFonts w:eastAsia="Calibri"/>
                <w:sz w:val="20"/>
                <w:lang w:val="fr-CA"/>
              </w:rPr>
              <w:t xml:space="preserve">La société remplacée par </w:t>
            </w:r>
            <w:r w:rsidRPr="006A1AC2">
              <w:rPr>
                <w:rFonts w:eastAsia="Calibri"/>
                <w:color w:val="000000"/>
                <w:sz w:val="20"/>
                <w:lang w:val="fr-CA"/>
              </w:rPr>
              <w:t xml:space="preserve">Tribute </w:t>
            </w:r>
            <w:proofErr w:type="spellStart"/>
            <w:r w:rsidRPr="006A1AC2">
              <w:rPr>
                <w:rFonts w:eastAsia="Calibri"/>
                <w:color w:val="000000"/>
                <w:sz w:val="20"/>
                <w:lang w:val="fr-CA"/>
              </w:rPr>
              <w:t>Resources</w:t>
            </w:r>
            <w:proofErr w:type="spellEnd"/>
            <w:r w:rsidRPr="006A1AC2">
              <w:rPr>
                <w:rFonts w:eastAsia="Calibri"/>
                <w:color w:val="000000"/>
                <w:sz w:val="20"/>
                <w:lang w:val="fr-CA"/>
              </w:rPr>
              <w:t xml:space="preserve"> Inc. (« Tribute ») a conclu une concession </w:t>
            </w:r>
            <w:r w:rsidRPr="006A1AC2">
              <w:rPr>
                <w:rFonts w:eastAsia="Calibri"/>
                <w:sz w:val="20"/>
                <w:lang w:val="fr-CA"/>
              </w:rPr>
              <w:t>pétrolière et gazière</w:t>
            </w:r>
            <w:r w:rsidRPr="006A1AC2">
              <w:rPr>
                <w:rFonts w:eastAsia="Calibri"/>
                <w:color w:val="000000"/>
                <w:sz w:val="20"/>
                <w:lang w:val="fr-CA"/>
              </w:rPr>
              <w:t xml:space="preserve"> avec la société remplacée par McKinley </w:t>
            </w:r>
            <w:proofErr w:type="spellStart"/>
            <w:r w:rsidRPr="006A1AC2">
              <w:rPr>
                <w:rFonts w:eastAsia="Calibri"/>
                <w:color w:val="000000"/>
                <w:sz w:val="20"/>
                <w:lang w:val="fr-CA"/>
              </w:rPr>
              <w:t>Farms</w:t>
            </w:r>
            <w:proofErr w:type="spellEnd"/>
            <w:r w:rsidRPr="006A1AC2">
              <w:rPr>
                <w:rFonts w:eastAsia="Calibri"/>
                <w:color w:val="000000"/>
                <w:sz w:val="20"/>
                <w:lang w:val="fr-CA"/>
              </w:rPr>
              <w:t xml:space="preserve"> Ltd. (« McKinley ») en 1977. La concession accordait à Tribute certains droits pétroliers et gaziers en contrepartie de mensualités payables pendant une durée de dix ans, avec une disposition de prolongation du contrat tant que le pétrole et le gaz était produits [</w:t>
            </w:r>
            <w:r w:rsidRPr="006A1AC2">
              <w:rPr>
                <w:rFonts w:eastAsia="Calibri"/>
                <w:smallCaps/>
                <w:color w:val="000000"/>
                <w:sz w:val="20"/>
                <w:lang w:val="fr-CA"/>
              </w:rPr>
              <w:t>traduction</w:t>
            </w:r>
            <w:r w:rsidRPr="006A1AC2">
              <w:rPr>
                <w:rFonts w:eastAsia="Calibri"/>
                <w:color w:val="000000"/>
                <w:sz w:val="20"/>
                <w:lang w:val="fr-CA"/>
              </w:rPr>
              <w:t>] « en quantités rentables ». La concession a été modifiée en 1984 par un [</w:t>
            </w:r>
            <w:r w:rsidRPr="006A1AC2">
              <w:rPr>
                <w:rFonts w:eastAsia="Calibri"/>
                <w:smallCaps/>
                <w:color w:val="000000"/>
                <w:sz w:val="20"/>
                <w:lang w:val="fr-CA"/>
              </w:rPr>
              <w:t>traduction</w:t>
            </w:r>
            <w:r w:rsidRPr="006A1AC2">
              <w:rPr>
                <w:rFonts w:eastAsia="Calibri"/>
                <w:color w:val="000000"/>
                <w:sz w:val="20"/>
                <w:lang w:val="fr-CA"/>
              </w:rPr>
              <w:t xml:space="preserve">] « accord unitaire d’exploitation » qui prévoyait la prolongation de la concession en cas de cessation de la production pétrolière et gazière.  L’accord obligeait Tribute à verser un loyer annuel par acre à une date déterminée et prévoyait également que la concession demeurerait en vigueur tant que les loyers étaient payés. En juillet 2001, il n’y avait plus de production de gaz en quantités rentables, mais Tribute faisait les paiements de loyer annuels. Même si ces paiements annuels étaient habituellement faits en retard, McKinley les acceptaient. Les parties ont également conclu un bail de stockage du gaz en 1998 qui prévoyait sa résiliation au terme de dix ans, à moins que l’une des parties ne demande la désignation des terres comme zone de stockage du gaz. En 2008, McKinley a prétendu que la concession </w:t>
            </w:r>
            <w:r w:rsidRPr="006A1AC2">
              <w:rPr>
                <w:rFonts w:eastAsia="Calibri"/>
                <w:sz w:val="20"/>
                <w:lang w:val="fr-CA"/>
              </w:rPr>
              <w:t>pétrolière et gazière</w:t>
            </w:r>
            <w:r w:rsidRPr="006A1AC2">
              <w:rPr>
                <w:rFonts w:eastAsia="Calibri"/>
                <w:color w:val="000000"/>
                <w:sz w:val="20"/>
                <w:lang w:val="fr-CA"/>
              </w:rPr>
              <w:t xml:space="preserve"> et le bail de stockage du gaz avaient été résiliés. Tribute a présenté une demande au tribunal, sollicitant des jugements déclarant que la concession et le bail demeuraient valides, alors que McKinley a sollicité des jugements déclarant que la concession et le bail avaient été résiliés.</w:t>
            </w:r>
          </w:p>
        </w:tc>
      </w:tr>
    </w:tbl>
    <w:p w:rsidR="00814152" w:rsidRPr="00EF7D12" w:rsidRDefault="00814152">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814152" w:rsidRPr="003B380E" w:rsidTr="00814152">
        <w:trPr>
          <w:cantSplit/>
        </w:trPr>
        <w:tc>
          <w:tcPr>
            <w:tcW w:w="2427" w:type="pct"/>
          </w:tcPr>
          <w:p w:rsidR="00814152" w:rsidRPr="006A1AC2" w:rsidRDefault="00814152" w:rsidP="000419CE">
            <w:pPr>
              <w:jc w:val="both"/>
              <w:rPr>
                <w:rFonts w:eastAsia="Calibri"/>
                <w:sz w:val="20"/>
                <w:lang w:val="fr-CA"/>
              </w:rPr>
            </w:pPr>
            <w:r w:rsidRPr="006A1AC2">
              <w:rPr>
                <w:rFonts w:eastAsia="Calibri"/>
                <w:sz w:val="20"/>
                <w:lang w:val="fr-CA"/>
              </w:rPr>
              <w:t>29 juin 2009</w:t>
            </w:r>
          </w:p>
          <w:p w:rsidR="00814152" w:rsidRPr="006A1AC2" w:rsidRDefault="00814152" w:rsidP="000419CE">
            <w:pPr>
              <w:jc w:val="both"/>
              <w:rPr>
                <w:rFonts w:eastAsia="Calibri"/>
                <w:sz w:val="20"/>
                <w:lang w:val="fr-CA"/>
              </w:rPr>
            </w:pPr>
            <w:r w:rsidRPr="006A1AC2">
              <w:rPr>
                <w:rFonts w:eastAsia="Calibri"/>
                <w:sz w:val="20"/>
                <w:lang w:val="fr-CA"/>
              </w:rPr>
              <w:t>Cour supérieure de justice de l’Ontario</w:t>
            </w:r>
          </w:p>
          <w:p w:rsidR="00814152" w:rsidRPr="006A1AC2" w:rsidRDefault="00814152" w:rsidP="000419CE">
            <w:pPr>
              <w:jc w:val="both"/>
              <w:rPr>
                <w:rFonts w:eastAsia="Calibri"/>
                <w:sz w:val="20"/>
              </w:rPr>
            </w:pPr>
            <w:r w:rsidRPr="006A1AC2">
              <w:rPr>
                <w:rFonts w:eastAsia="Calibri"/>
                <w:sz w:val="20"/>
              </w:rPr>
              <w:t>(</w:t>
            </w:r>
            <w:proofErr w:type="spellStart"/>
            <w:r w:rsidRPr="006A1AC2">
              <w:rPr>
                <w:rFonts w:eastAsia="Calibri"/>
                <w:sz w:val="20"/>
              </w:rPr>
              <w:t>Juge</w:t>
            </w:r>
            <w:proofErr w:type="spellEnd"/>
            <w:r w:rsidRPr="006A1AC2">
              <w:rPr>
                <w:rFonts w:eastAsia="Calibri"/>
                <w:sz w:val="20"/>
              </w:rPr>
              <w:t xml:space="preserve"> Little)</w:t>
            </w:r>
          </w:p>
          <w:p w:rsidR="00814152" w:rsidRPr="006A1AC2" w:rsidRDefault="00814152" w:rsidP="005255F0">
            <w:pPr>
              <w:jc w:val="both"/>
              <w:rPr>
                <w:rFonts w:eastAsia="Calibri"/>
                <w:sz w:val="20"/>
              </w:rPr>
            </w:pPr>
            <w:r w:rsidRPr="006A1AC2">
              <w:rPr>
                <w:rFonts w:eastAsia="Calibri"/>
                <w:sz w:val="20"/>
              </w:rPr>
              <w:t>[2009] O.J. No. 2722</w:t>
            </w:r>
          </w:p>
        </w:tc>
        <w:tc>
          <w:tcPr>
            <w:tcW w:w="243" w:type="pct"/>
          </w:tcPr>
          <w:p w:rsidR="00814152" w:rsidRDefault="00814152" w:rsidP="000419CE">
            <w:pPr>
              <w:jc w:val="both"/>
              <w:rPr>
                <w:rFonts w:eastAsia="Calibri"/>
                <w:sz w:val="20"/>
              </w:rPr>
            </w:pPr>
          </w:p>
          <w:p w:rsidR="005255F0" w:rsidRDefault="005255F0" w:rsidP="000419CE">
            <w:pPr>
              <w:jc w:val="both"/>
              <w:rPr>
                <w:rFonts w:eastAsia="Calibri"/>
                <w:sz w:val="20"/>
              </w:rPr>
            </w:pPr>
          </w:p>
          <w:p w:rsidR="005255F0" w:rsidRDefault="005255F0" w:rsidP="000419CE">
            <w:pPr>
              <w:jc w:val="both"/>
              <w:rPr>
                <w:rFonts w:eastAsia="Calibri"/>
                <w:sz w:val="20"/>
              </w:rPr>
            </w:pPr>
          </w:p>
          <w:p w:rsidR="005255F0" w:rsidRDefault="005255F0" w:rsidP="000419CE">
            <w:pPr>
              <w:jc w:val="both"/>
              <w:rPr>
                <w:rFonts w:eastAsia="Calibri"/>
                <w:sz w:val="20"/>
              </w:rPr>
            </w:pPr>
          </w:p>
          <w:p w:rsidR="005255F0" w:rsidRPr="006A1AC2" w:rsidRDefault="005255F0" w:rsidP="000419CE">
            <w:pPr>
              <w:jc w:val="both"/>
              <w:rPr>
                <w:rFonts w:eastAsia="Calibri"/>
                <w:sz w:val="20"/>
              </w:rPr>
            </w:pPr>
          </w:p>
        </w:tc>
        <w:tc>
          <w:tcPr>
            <w:tcW w:w="2330" w:type="pct"/>
          </w:tcPr>
          <w:p w:rsidR="00814152" w:rsidRPr="006A1AC2" w:rsidRDefault="00814152" w:rsidP="000419CE">
            <w:pPr>
              <w:jc w:val="both"/>
              <w:rPr>
                <w:rFonts w:eastAsia="Calibri"/>
                <w:sz w:val="20"/>
                <w:lang w:val="fr-CA"/>
              </w:rPr>
            </w:pPr>
            <w:r w:rsidRPr="006A1AC2">
              <w:rPr>
                <w:rFonts w:eastAsia="Calibri"/>
                <w:sz w:val="20"/>
                <w:lang w:val="fr-CA"/>
              </w:rPr>
              <w:t>Jugement déclarant que la concession pétrolière et gazière et le bail de stockage du gaz conclus entre les parties étaient tous les deux résiliés</w:t>
            </w:r>
          </w:p>
          <w:p w:rsidR="00814152" w:rsidRPr="006A1AC2" w:rsidRDefault="00814152" w:rsidP="000419CE">
            <w:pPr>
              <w:jc w:val="both"/>
              <w:rPr>
                <w:rFonts w:eastAsia="Calibri"/>
                <w:sz w:val="20"/>
                <w:lang w:val="fr-CA"/>
              </w:rPr>
            </w:pPr>
          </w:p>
        </w:tc>
      </w:tr>
      <w:tr w:rsidR="00814152" w:rsidRPr="003B380E" w:rsidTr="00814152">
        <w:trPr>
          <w:cantSplit/>
        </w:trPr>
        <w:tc>
          <w:tcPr>
            <w:tcW w:w="2427" w:type="pct"/>
          </w:tcPr>
          <w:p w:rsidR="00814152" w:rsidRPr="006A1AC2" w:rsidRDefault="00814152" w:rsidP="000419CE">
            <w:pPr>
              <w:jc w:val="both"/>
              <w:rPr>
                <w:rFonts w:eastAsia="Calibri"/>
                <w:sz w:val="20"/>
                <w:lang w:val="fr-CA"/>
              </w:rPr>
            </w:pPr>
            <w:r w:rsidRPr="006A1AC2">
              <w:rPr>
                <w:rFonts w:eastAsia="Calibri"/>
                <w:sz w:val="20"/>
                <w:lang w:val="fr-CA"/>
              </w:rPr>
              <w:lastRenderedPageBreak/>
              <w:t>2 juin 2010</w:t>
            </w:r>
          </w:p>
          <w:p w:rsidR="00814152" w:rsidRPr="006A1AC2" w:rsidRDefault="00814152" w:rsidP="000419CE">
            <w:pPr>
              <w:jc w:val="both"/>
              <w:rPr>
                <w:rFonts w:eastAsia="Calibri"/>
                <w:sz w:val="20"/>
                <w:lang w:val="fr-CA"/>
              </w:rPr>
            </w:pPr>
            <w:r w:rsidRPr="006A1AC2">
              <w:rPr>
                <w:rFonts w:eastAsia="Calibri"/>
                <w:sz w:val="20"/>
                <w:lang w:val="fr-CA"/>
              </w:rPr>
              <w:t>Cour d’appel de l’Ontario</w:t>
            </w:r>
          </w:p>
          <w:p w:rsidR="00814152" w:rsidRPr="006A1AC2" w:rsidRDefault="00814152" w:rsidP="000419CE">
            <w:pPr>
              <w:jc w:val="both"/>
              <w:rPr>
                <w:rFonts w:eastAsia="Calibri"/>
                <w:sz w:val="20"/>
                <w:lang w:val="fr-CA"/>
              </w:rPr>
            </w:pPr>
            <w:r w:rsidRPr="006A1AC2">
              <w:rPr>
                <w:rFonts w:eastAsia="Calibri"/>
                <w:sz w:val="20"/>
                <w:lang w:val="fr-CA"/>
              </w:rPr>
              <w:t xml:space="preserve">(Juges Armstrong, Lang et </w:t>
            </w:r>
            <w:proofErr w:type="spellStart"/>
            <w:r w:rsidRPr="006A1AC2">
              <w:rPr>
                <w:rFonts w:eastAsia="Calibri"/>
                <w:sz w:val="20"/>
                <w:lang w:val="fr-CA"/>
              </w:rPr>
              <w:t>Juriansz</w:t>
            </w:r>
            <w:proofErr w:type="spellEnd"/>
            <w:r w:rsidRPr="006A1AC2">
              <w:rPr>
                <w:rFonts w:eastAsia="Calibri"/>
                <w:sz w:val="20"/>
                <w:lang w:val="fr-CA"/>
              </w:rPr>
              <w:t>)</w:t>
            </w:r>
          </w:p>
          <w:p w:rsidR="00814152" w:rsidRPr="006A1AC2" w:rsidRDefault="00814152" w:rsidP="005255F0">
            <w:pPr>
              <w:jc w:val="both"/>
              <w:rPr>
                <w:rFonts w:eastAsia="Calibri"/>
                <w:sz w:val="20"/>
                <w:lang w:val="fr-CA"/>
              </w:rPr>
            </w:pPr>
            <w:r w:rsidRPr="006A1AC2">
              <w:rPr>
                <w:rFonts w:eastAsia="Calibri"/>
                <w:sz w:val="20"/>
                <w:lang w:val="fr-CA"/>
              </w:rPr>
              <w:t>2010 ONCA 392</w:t>
            </w:r>
          </w:p>
        </w:tc>
        <w:tc>
          <w:tcPr>
            <w:tcW w:w="243" w:type="pct"/>
          </w:tcPr>
          <w:p w:rsidR="00814152" w:rsidRDefault="00814152" w:rsidP="000419CE">
            <w:pPr>
              <w:jc w:val="both"/>
              <w:rPr>
                <w:rFonts w:eastAsia="Calibri"/>
                <w:sz w:val="20"/>
                <w:lang w:val="fr-CA"/>
              </w:rPr>
            </w:pPr>
          </w:p>
          <w:p w:rsidR="005255F0" w:rsidRDefault="005255F0" w:rsidP="000419CE">
            <w:pPr>
              <w:jc w:val="both"/>
              <w:rPr>
                <w:rFonts w:eastAsia="Calibri"/>
                <w:sz w:val="20"/>
                <w:lang w:val="fr-CA"/>
              </w:rPr>
            </w:pPr>
          </w:p>
          <w:p w:rsidR="005255F0" w:rsidRDefault="005255F0" w:rsidP="000419CE">
            <w:pPr>
              <w:jc w:val="both"/>
              <w:rPr>
                <w:rFonts w:eastAsia="Calibri"/>
                <w:sz w:val="20"/>
                <w:lang w:val="fr-CA"/>
              </w:rPr>
            </w:pPr>
          </w:p>
          <w:p w:rsidR="005255F0" w:rsidRDefault="005255F0" w:rsidP="000419CE">
            <w:pPr>
              <w:jc w:val="both"/>
              <w:rPr>
                <w:rFonts w:eastAsia="Calibri"/>
                <w:sz w:val="20"/>
                <w:lang w:val="fr-CA"/>
              </w:rPr>
            </w:pPr>
          </w:p>
          <w:p w:rsidR="005255F0" w:rsidRPr="006A1AC2" w:rsidRDefault="005255F0" w:rsidP="000419CE">
            <w:pPr>
              <w:jc w:val="both"/>
              <w:rPr>
                <w:rFonts w:eastAsia="Calibri"/>
                <w:sz w:val="20"/>
                <w:lang w:val="fr-CA"/>
              </w:rPr>
            </w:pPr>
          </w:p>
        </w:tc>
        <w:tc>
          <w:tcPr>
            <w:tcW w:w="2330" w:type="pct"/>
          </w:tcPr>
          <w:p w:rsidR="00814152" w:rsidRPr="006A1AC2" w:rsidRDefault="00814152" w:rsidP="000419CE">
            <w:pPr>
              <w:jc w:val="both"/>
              <w:rPr>
                <w:rFonts w:eastAsia="Calibri"/>
                <w:sz w:val="20"/>
                <w:lang w:val="fr-CA"/>
              </w:rPr>
            </w:pPr>
            <w:r w:rsidRPr="006A1AC2">
              <w:rPr>
                <w:rFonts w:eastAsia="Calibri"/>
                <w:sz w:val="20"/>
                <w:lang w:val="fr-CA"/>
              </w:rPr>
              <w:t>Appel accueilli en partie; concession pétrolière et gazière déclarée en vigueur</w:t>
            </w:r>
          </w:p>
          <w:p w:rsidR="00814152" w:rsidRPr="006A1AC2" w:rsidRDefault="00814152" w:rsidP="000419CE">
            <w:pPr>
              <w:jc w:val="both"/>
              <w:rPr>
                <w:rFonts w:eastAsia="Calibri"/>
                <w:sz w:val="20"/>
                <w:lang w:val="fr-CA"/>
              </w:rPr>
            </w:pPr>
          </w:p>
          <w:p w:rsidR="00814152" w:rsidRPr="006A1AC2" w:rsidRDefault="00814152" w:rsidP="000419CE">
            <w:pPr>
              <w:jc w:val="both"/>
              <w:rPr>
                <w:rFonts w:eastAsia="Calibri"/>
                <w:sz w:val="20"/>
                <w:lang w:val="fr-CA"/>
              </w:rPr>
            </w:pPr>
          </w:p>
        </w:tc>
      </w:tr>
      <w:tr w:rsidR="00814152" w:rsidRPr="006A1AC2" w:rsidTr="00814152">
        <w:trPr>
          <w:cantSplit/>
        </w:trPr>
        <w:tc>
          <w:tcPr>
            <w:tcW w:w="2427" w:type="pct"/>
          </w:tcPr>
          <w:p w:rsidR="00814152" w:rsidRPr="006A1AC2" w:rsidRDefault="00814152" w:rsidP="000419CE">
            <w:pPr>
              <w:jc w:val="both"/>
              <w:rPr>
                <w:rFonts w:eastAsia="Calibri"/>
                <w:sz w:val="20"/>
                <w:lang w:val="fr-CA"/>
              </w:rPr>
            </w:pPr>
            <w:r w:rsidRPr="006A1AC2">
              <w:rPr>
                <w:rFonts w:eastAsia="Calibri"/>
                <w:sz w:val="20"/>
                <w:lang w:val="fr-CA"/>
              </w:rPr>
              <w:t>27 août 2010</w:t>
            </w:r>
          </w:p>
          <w:p w:rsidR="00814152" w:rsidRPr="006A1AC2" w:rsidRDefault="00814152" w:rsidP="000419CE">
            <w:pPr>
              <w:jc w:val="both"/>
              <w:rPr>
                <w:rFonts w:eastAsia="Calibri"/>
                <w:sz w:val="20"/>
                <w:lang w:val="fr-CA"/>
              </w:rPr>
            </w:pPr>
            <w:r w:rsidRPr="006A1AC2">
              <w:rPr>
                <w:rFonts w:eastAsia="Calibri"/>
                <w:sz w:val="20"/>
                <w:lang w:val="fr-CA"/>
              </w:rPr>
              <w:t>Cour suprême du Canada</w:t>
            </w:r>
          </w:p>
        </w:tc>
        <w:tc>
          <w:tcPr>
            <w:tcW w:w="243" w:type="pct"/>
          </w:tcPr>
          <w:p w:rsidR="00814152" w:rsidRPr="006A1AC2" w:rsidRDefault="00814152" w:rsidP="000419CE">
            <w:pPr>
              <w:jc w:val="both"/>
              <w:rPr>
                <w:rFonts w:eastAsia="Calibri"/>
                <w:sz w:val="20"/>
                <w:lang w:val="fr-CA"/>
              </w:rPr>
            </w:pPr>
          </w:p>
        </w:tc>
        <w:tc>
          <w:tcPr>
            <w:tcW w:w="2330" w:type="pct"/>
          </w:tcPr>
          <w:p w:rsidR="00814152" w:rsidRPr="006A1AC2" w:rsidRDefault="00814152" w:rsidP="000419CE">
            <w:pPr>
              <w:jc w:val="both"/>
              <w:rPr>
                <w:rFonts w:eastAsia="Calibri"/>
                <w:sz w:val="20"/>
                <w:lang w:val="fr-CA"/>
              </w:rPr>
            </w:pPr>
            <w:r w:rsidRPr="006A1AC2">
              <w:rPr>
                <w:rFonts w:eastAsia="Calibri"/>
                <w:sz w:val="20"/>
                <w:lang w:val="fr-CA"/>
              </w:rPr>
              <w:t>Demande d’autorisation d’appel, déposée</w:t>
            </w:r>
          </w:p>
          <w:p w:rsidR="00814152" w:rsidRPr="006A1AC2" w:rsidRDefault="00814152" w:rsidP="000419CE">
            <w:pPr>
              <w:jc w:val="both"/>
              <w:rPr>
                <w:rFonts w:eastAsia="Calibri"/>
                <w:sz w:val="20"/>
                <w:lang w:val="fr-CA"/>
              </w:rPr>
            </w:pPr>
          </w:p>
        </w:tc>
      </w:tr>
    </w:tbl>
    <w:p w:rsidR="00814152" w:rsidRDefault="00814152" w:rsidP="00814152">
      <w:pPr>
        <w:jc w:val="both"/>
        <w:rPr>
          <w:rFonts w:eastAsia="Calibri"/>
          <w:sz w:val="20"/>
          <w:lang w:val="fr-CA"/>
        </w:rPr>
      </w:pPr>
    </w:p>
    <w:p w:rsidR="00F94A8D" w:rsidRDefault="003E770A" w:rsidP="00F94A8D">
      <w:pPr>
        <w:keepNext/>
        <w:rPr>
          <w:sz w:val="20"/>
          <w:szCs w:val="20"/>
          <w:lang w:val="fr-CA"/>
        </w:rPr>
      </w:pPr>
      <w:r w:rsidRPr="003E770A">
        <w:rPr>
          <w:sz w:val="20"/>
          <w:szCs w:val="20"/>
          <w:lang w:val="fr-CA"/>
        </w:rPr>
        <w:pict>
          <v:rect id="_x0000_i1062" style="width:2in;height:1pt" o:hrpct="0" o:hralign="center" o:hrstd="t" o:hrnoshade="t" o:hr="t" fillcolor="black [3213]" stroked="f"/>
        </w:pict>
      </w:r>
    </w:p>
    <w:p w:rsidR="00C0427B" w:rsidRDefault="00C0427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4A8D" w:rsidRPr="00F94A8D" w:rsidTr="00F94A8D">
        <w:trPr>
          <w:cantSplit/>
        </w:trPr>
        <w:tc>
          <w:tcPr>
            <w:tcW w:w="1458" w:type="dxa"/>
          </w:tcPr>
          <w:p w:rsidR="00F94A8D" w:rsidRPr="00F94A8D" w:rsidRDefault="00F94A8D" w:rsidP="00F94A8D">
            <w:pPr>
              <w:rPr>
                <w:sz w:val="20"/>
                <w:szCs w:val="20"/>
              </w:rPr>
            </w:pPr>
            <w:r w:rsidRPr="00F94A8D">
              <w:rPr>
                <w:rStyle w:val="SCCFileNumberChar"/>
                <w:sz w:val="20"/>
                <w:szCs w:val="20"/>
              </w:rPr>
              <w:t>33815</w:t>
            </w:r>
          </w:p>
          <w:p w:rsidR="00F94A8D" w:rsidRPr="00F94A8D" w:rsidRDefault="00F94A8D" w:rsidP="00F94A8D">
            <w:pPr>
              <w:rPr>
                <w:b/>
                <w:sz w:val="20"/>
                <w:szCs w:val="20"/>
                <w:lang w:val="fr-CA"/>
              </w:rPr>
            </w:pPr>
          </w:p>
        </w:tc>
        <w:tc>
          <w:tcPr>
            <w:tcW w:w="8118" w:type="dxa"/>
          </w:tcPr>
          <w:p w:rsidR="00F94A8D" w:rsidRPr="00F94A8D" w:rsidRDefault="00F94A8D" w:rsidP="00F94A8D">
            <w:pPr>
              <w:rPr>
                <w:sz w:val="20"/>
                <w:szCs w:val="20"/>
              </w:rPr>
            </w:pPr>
            <w:r w:rsidRPr="00F94A8D">
              <w:rPr>
                <w:rStyle w:val="SCCLsocChar"/>
                <w:sz w:val="20"/>
                <w:szCs w:val="20"/>
              </w:rPr>
              <w:t xml:space="preserve">Viktor </w:t>
            </w:r>
            <w:proofErr w:type="spellStart"/>
            <w:r w:rsidRPr="00F94A8D">
              <w:rPr>
                <w:rStyle w:val="SCCLsocChar"/>
                <w:sz w:val="20"/>
                <w:szCs w:val="20"/>
              </w:rPr>
              <w:t>Mubili</w:t>
            </w:r>
            <w:proofErr w:type="spellEnd"/>
            <w:r w:rsidRPr="00F94A8D">
              <w:rPr>
                <w:rStyle w:val="SCCLsocChar"/>
                <w:sz w:val="20"/>
                <w:szCs w:val="20"/>
              </w:rPr>
              <w:t xml:space="preserve"> v. </w:t>
            </w:r>
            <w:proofErr w:type="spellStart"/>
            <w:r w:rsidRPr="00F94A8D">
              <w:rPr>
                <w:rStyle w:val="SCCLsocChar"/>
                <w:sz w:val="20"/>
                <w:szCs w:val="20"/>
              </w:rPr>
              <w:t>Agnes</w:t>
            </w:r>
            <w:proofErr w:type="spellEnd"/>
            <w:r w:rsidRPr="00F94A8D">
              <w:rPr>
                <w:rStyle w:val="SCCLsocChar"/>
                <w:sz w:val="20"/>
                <w:szCs w:val="20"/>
              </w:rPr>
              <w:t xml:space="preserve"> </w:t>
            </w:r>
            <w:proofErr w:type="spellStart"/>
            <w:r w:rsidRPr="00F94A8D">
              <w:rPr>
                <w:rStyle w:val="SCCLsocChar"/>
                <w:sz w:val="20"/>
                <w:szCs w:val="20"/>
              </w:rPr>
              <w:t>Zinyama</w:t>
            </w:r>
            <w:proofErr w:type="spellEnd"/>
            <w:r w:rsidRPr="00F94A8D">
              <w:rPr>
                <w:rStyle w:val="SCCLsocChar"/>
                <w:sz w:val="20"/>
                <w:szCs w:val="20"/>
              </w:rPr>
              <w:t>-</w:t>
            </w:r>
            <w:proofErr w:type="spellStart"/>
            <w:r w:rsidRPr="00F94A8D">
              <w:rPr>
                <w:rStyle w:val="SCCLsocChar"/>
                <w:sz w:val="20"/>
                <w:szCs w:val="20"/>
              </w:rPr>
              <w:t>Mubili</w:t>
            </w:r>
            <w:proofErr w:type="spellEnd"/>
            <w:r w:rsidRPr="00F94A8D">
              <w:rPr>
                <w:sz w:val="20"/>
                <w:szCs w:val="20"/>
                <w:lang w:val="fr-CA"/>
              </w:rPr>
              <w:t xml:space="preserve"> (Ont.) </w:t>
            </w:r>
            <w:r w:rsidRPr="00F94A8D">
              <w:rPr>
                <w:sz w:val="20"/>
                <w:szCs w:val="20"/>
              </w:rPr>
              <w:t>(Civil) (By Leave)</w:t>
            </w:r>
          </w:p>
          <w:p w:rsidR="00F94A8D" w:rsidRPr="00F94A8D" w:rsidRDefault="00F94A8D" w:rsidP="00F94A8D">
            <w:pPr>
              <w:rPr>
                <w:sz w:val="20"/>
                <w:szCs w:val="20"/>
              </w:rPr>
            </w:pPr>
          </w:p>
        </w:tc>
      </w:tr>
      <w:tr w:rsidR="00F94A8D" w:rsidRPr="00F94A8D" w:rsidTr="00F94A8D">
        <w:trPr>
          <w:cantSplit/>
        </w:trPr>
        <w:tc>
          <w:tcPr>
            <w:tcW w:w="1458" w:type="dxa"/>
          </w:tcPr>
          <w:p w:rsidR="00F94A8D" w:rsidRPr="00F94A8D" w:rsidRDefault="00F94A8D" w:rsidP="00F94A8D">
            <w:pPr>
              <w:rPr>
                <w:sz w:val="20"/>
                <w:szCs w:val="20"/>
              </w:rPr>
            </w:pPr>
            <w:r w:rsidRPr="00F94A8D">
              <w:rPr>
                <w:sz w:val="20"/>
                <w:szCs w:val="20"/>
              </w:rPr>
              <w:t>Coram :</w:t>
            </w:r>
          </w:p>
        </w:tc>
        <w:tc>
          <w:tcPr>
            <w:tcW w:w="8118" w:type="dxa"/>
          </w:tcPr>
          <w:p w:rsidR="00F94A8D" w:rsidRDefault="00F94A8D" w:rsidP="00F94A8D">
            <w:pPr>
              <w:rPr>
                <w:rStyle w:val="SCCCoramChar"/>
                <w:sz w:val="20"/>
                <w:szCs w:val="20"/>
                <w:lang w:val="en-CA"/>
              </w:rPr>
            </w:pPr>
            <w:proofErr w:type="spellStart"/>
            <w:r w:rsidRPr="00F94A8D">
              <w:rPr>
                <w:rStyle w:val="SCCCoramChar"/>
                <w:sz w:val="20"/>
                <w:szCs w:val="20"/>
                <w:lang w:val="en-CA"/>
              </w:rPr>
              <w:t>LeBel</w:t>
            </w:r>
            <w:proofErr w:type="spellEnd"/>
            <w:r w:rsidRPr="00F94A8D">
              <w:rPr>
                <w:rStyle w:val="SCCCoramChar"/>
                <w:sz w:val="20"/>
                <w:szCs w:val="20"/>
                <w:lang w:val="en-CA"/>
              </w:rPr>
              <w:t xml:space="preserve">, </w:t>
            </w:r>
            <w:proofErr w:type="spellStart"/>
            <w:r w:rsidRPr="00F94A8D">
              <w:rPr>
                <w:rStyle w:val="SCCCoramChar"/>
                <w:sz w:val="20"/>
                <w:szCs w:val="20"/>
                <w:lang w:val="en-CA"/>
              </w:rPr>
              <w:t>Deschamps</w:t>
            </w:r>
            <w:proofErr w:type="spellEnd"/>
            <w:r w:rsidRPr="00F94A8D">
              <w:rPr>
                <w:rStyle w:val="SCCCoramChar"/>
                <w:sz w:val="20"/>
                <w:szCs w:val="20"/>
                <w:lang w:val="en-CA"/>
              </w:rPr>
              <w:t xml:space="preserve"> and </w:t>
            </w:r>
            <w:proofErr w:type="spellStart"/>
            <w:r w:rsidRPr="00F94A8D">
              <w:rPr>
                <w:rStyle w:val="SCCCoramChar"/>
                <w:sz w:val="20"/>
                <w:szCs w:val="20"/>
                <w:lang w:val="en-CA"/>
              </w:rPr>
              <w:t>Charron</w:t>
            </w:r>
            <w:proofErr w:type="spellEnd"/>
            <w:r w:rsidRPr="00F94A8D">
              <w:rPr>
                <w:rStyle w:val="SCCCoramChar"/>
                <w:sz w:val="20"/>
                <w:szCs w:val="20"/>
                <w:lang w:val="en-CA"/>
              </w:rPr>
              <w:t> JJ.</w:t>
            </w:r>
          </w:p>
          <w:p w:rsidR="00F94A8D" w:rsidRPr="00F94A8D" w:rsidRDefault="00F94A8D" w:rsidP="00F94A8D">
            <w:pPr>
              <w:rPr>
                <w:sz w:val="20"/>
                <w:szCs w:val="20"/>
              </w:rPr>
            </w:pPr>
          </w:p>
        </w:tc>
      </w:tr>
      <w:tr w:rsidR="00F94A8D" w:rsidRPr="003B380E" w:rsidTr="00F94A8D">
        <w:trPr>
          <w:cantSplit/>
        </w:trPr>
        <w:tc>
          <w:tcPr>
            <w:tcW w:w="9576" w:type="dxa"/>
            <w:gridSpan w:val="2"/>
          </w:tcPr>
          <w:p w:rsidR="00F94A8D" w:rsidRPr="00F94A8D" w:rsidRDefault="00F94A8D" w:rsidP="00F94A8D">
            <w:pPr>
              <w:jc w:val="both"/>
              <w:rPr>
                <w:sz w:val="20"/>
                <w:szCs w:val="20"/>
              </w:rPr>
            </w:pPr>
            <w:r>
              <w:rPr>
                <w:sz w:val="20"/>
                <w:szCs w:val="20"/>
              </w:rPr>
              <w:tab/>
            </w:r>
            <w:r w:rsidRPr="00F94A8D">
              <w:rPr>
                <w:sz w:val="20"/>
                <w:szCs w:val="20"/>
              </w:rPr>
              <w:t>The application for leave to appeal from the judgment of the Court of Appeal for Ontario, Numbers M38388 and M38829, dated July 8, 2010, is dismissed with costs.</w:t>
            </w:r>
          </w:p>
          <w:p w:rsidR="00F94A8D" w:rsidRPr="00F94A8D" w:rsidRDefault="00F94A8D" w:rsidP="00F94A8D">
            <w:pPr>
              <w:jc w:val="both"/>
              <w:rPr>
                <w:sz w:val="20"/>
                <w:szCs w:val="20"/>
              </w:rPr>
            </w:pPr>
          </w:p>
          <w:p w:rsidR="00F94A8D" w:rsidRPr="00F94A8D" w:rsidRDefault="00F94A8D" w:rsidP="00F94A8D">
            <w:pPr>
              <w:jc w:val="both"/>
              <w:rPr>
                <w:sz w:val="20"/>
                <w:szCs w:val="20"/>
                <w:lang w:val="fr-CA"/>
              </w:rPr>
            </w:pPr>
            <w:r w:rsidRPr="00052196">
              <w:rPr>
                <w:sz w:val="20"/>
                <w:szCs w:val="20"/>
              </w:rPr>
              <w:tab/>
            </w:r>
            <w:r w:rsidRPr="00F94A8D">
              <w:rPr>
                <w:sz w:val="20"/>
                <w:szCs w:val="20"/>
                <w:lang w:val="fr-CA"/>
              </w:rPr>
              <w:t>La demande d’autorisation d’appel de l’arrêt de la Cour d’appel de l’Ontario, numéros M38388 et M38829, daté du 8 juillet 2010, est rejetée avec dépens.</w:t>
            </w:r>
          </w:p>
        </w:tc>
      </w:tr>
    </w:tbl>
    <w:p w:rsidR="00F94A8D" w:rsidRDefault="00F94A8D" w:rsidP="008D292F">
      <w:pPr>
        <w:rPr>
          <w:sz w:val="20"/>
          <w:szCs w:val="20"/>
          <w:lang w:val="fr-CA"/>
        </w:rPr>
      </w:pPr>
    </w:p>
    <w:p w:rsidR="00F94A8D" w:rsidRPr="00C50A5C" w:rsidRDefault="00F94A8D" w:rsidP="00F94A8D">
      <w:pPr>
        <w:keepNext/>
        <w:rPr>
          <w:sz w:val="20"/>
          <w:szCs w:val="20"/>
        </w:rPr>
      </w:pPr>
      <w:r w:rsidRPr="00C50A5C">
        <w:rPr>
          <w:sz w:val="20"/>
          <w:szCs w:val="20"/>
          <w:u w:val="single"/>
        </w:rPr>
        <w:t>CASE SUMMARY</w:t>
      </w:r>
    </w:p>
    <w:p w:rsidR="00F94A8D" w:rsidRDefault="00F94A8D" w:rsidP="00F94A8D">
      <w:pPr>
        <w:keepNext/>
        <w:rPr>
          <w:sz w:val="20"/>
          <w:szCs w:val="20"/>
        </w:rPr>
      </w:pPr>
    </w:p>
    <w:tbl>
      <w:tblPr>
        <w:tblW w:w="4952" w:type="pct"/>
        <w:tblLayout w:type="fixed"/>
        <w:tblCellMar>
          <w:left w:w="0" w:type="dxa"/>
          <w:bottom w:w="99" w:type="dxa"/>
          <w:right w:w="0" w:type="dxa"/>
        </w:tblCellMar>
        <w:tblLook w:val="04A0"/>
      </w:tblPr>
      <w:tblGrid>
        <w:gridCol w:w="9527"/>
      </w:tblGrid>
      <w:tr w:rsidR="004D595B" w:rsidRPr="00087171" w:rsidTr="004D595B">
        <w:tc>
          <w:tcPr>
            <w:tcW w:w="5000" w:type="pct"/>
          </w:tcPr>
          <w:p w:rsidR="004D595B" w:rsidRDefault="004D595B" w:rsidP="004D595B">
            <w:pPr>
              <w:jc w:val="both"/>
              <w:rPr>
                <w:sz w:val="20"/>
              </w:rPr>
            </w:pPr>
            <w:r w:rsidRPr="00087171">
              <w:rPr>
                <w:sz w:val="20"/>
              </w:rPr>
              <w:t xml:space="preserve">Civil procedure – Appeals – Family law – Motion to set aside a consent order – Custody and access – Whether the Court of Appeal for Ontario erred in refusing to overturn the exercise of discretion of a Justice of that Court, declining to grant the Applicant an extension of time to appeal a lower court order - Was the Order of Price J. dated October 7, 2009 appealed on time –Did the Court err by failing to address itself to the availability of evidence of timely appeal of Price J.’s Order – Did the Court address itself to the presence of fraud in the October 31, 2008 </w:t>
            </w:r>
            <w:proofErr w:type="spellStart"/>
            <w:r w:rsidRPr="00087171">
              <w:rPr>
                <w:sz w:val="20"/>
              </w:rPr>
              <w:t>Mossip</w:t>
            </w:r>
            <w:proofErr w:type="spellEnd"/>
            <w:r w:rsidRPr="00087171">
              <w:rPr>
                <w:sz w:val="20"/>
              </w:rPr>
              <w:t xml:space="preserve"> J. consent order as the real reason for the matter before it.</w:t>
            </w:r>
          </w:p>
          <w:p w:rsidR="004D595B" w:rsidRPr="00087171" w:rsidRDefault="004D595B" w:rsidP="004D595B">
            <w:pPr>
              <w:rPr>
                <w:sz w:val="20"/>
              </w:rPr>
            </w:pPr>
          </w:p>
        </w:tc>
      </w:tr>
      <w:tr w:rsidR="004D595B" w:rsidRPr="00087171" w:rsidTr="004D595B">
        <w:tc>
          <w:tcPr>
            <w:tcW w:w="5000" w:type="pct"/>
          </w:tcPr>
          <w:p w:rsidR="004D595B" w:rsidRPr="00087171" w:rsidRDefault="004D595B" w:rsidP="004D595B">
            <w:pPr>
              <w:jc w:val="both"/>
              <w:rPr>
                <w:sz w:val="20"/>
              </w:rPr>
            </w:pPr>
            <w:r w:rsidRPr="00087171">
              <w:rPr>
                <w:sz w:val="20"/>
              </w:rPr>
              <w:t xml:space="preserve">The parties immigrated to Canada from Zambia. They separated, and have one son born in 2006. The Respondent commenced a proceeding, claiming custody, support and a restraining order against the Applicant.  There have subsequently been numerous other proceedings and motions between the parties. On October 31, 2008, </w:t>
            </w:r>
            <w:proofErr w:type="spellStart"/>
            <w:r w:rsidRPr="00087171">
              <w:rPr>
                <w:sz w:val="20"/>
              </w:rPr>
              <w:t>Mossip</w:t>
            </w:r>
            <w:proofErr w:type="spellEnd"/>
            <w:r w:rsidRPr="00087171">
              <w:rPr>
                <w:sz w:val="20"/>
              </w:rPr>
              <w:t xml:space="preserve"> J. granted a final Order for custody and access based on minutes of settlement signed by the parties. The minutes of settlement provided that the Respondent had custody of the son, with the Applicant having access for up to 96 consecutive hours each month, on ten days notice. Justice </w:t>
            </w:r>
            <w:proofErr w:type="spellStart"/>
            <w:r w:rsidRPr="00087171">
              <w:rPr>
                <w:sz w:val="20"/>
              </w:rPr>
              <w:t>Mossip</w:t>
            </w:r>
            <w:proofErr w:type="spellEnd"/>
            <w:r w:rsidRPr="00087171">
              <w:rPr>
                <w:sz w:val="20"/>
              </w:rPr>
              <w:t xml:space="preserve"> adjourned the issue of child support to a settlement conference.</w:t>
            </w:r>
          </w:p>
          <w:p w:rsidR="004D595B" w:rsidRPr="00087171" w:rsidRDefault="004D595B" w:rsidP="004D595B">
            <w:pPr>
              <w:jc w:val="both"/>
              <w:rPr>
                <w:sz w:val="20"/>
              </w:rPr>
            </w:pPr>
          </w:p>
          <w:p w:rsidR="004D595B" w:rsidRPr="00087171" w:rsidRDefault="004D595B" w:rsidP="005255F0">
            <w:pPr>
              <w:jc w:val="both"/>
              <w:rPr>
                <w:sz w:val="20"/>
              </w:rPr>
            </w:pPr>
            <w:r w:rsidRPr="00087171">
              <w:rPr>
                <w:sz w:val="20"/>
              </w:rPr>
              <w:t xml:space="preserve">The Applicant made a motion before Miller J. on February 25, 2009, for an order setting aside the consent order of </w:t>
            </w:r>
            <w:proofErr w:type="spellStart"/>
            <w:r w:rsidRPr="00087171">
              <w:rPr>
                <w:sz w:val="20"/>
              </w:rPr>
              <w:t>Mossip</w:t>
            </w:r>
            <w:proofErr w:type="spellEnd"/>
            <w:r w:rsidRPr="00087171">
              <w:rPr>
                <w:sz w:val="20"/>
              </w:rPr>
              <w:t xml:space="preserve"> J. on the basis that the Respondent had made misrepresentations during the settlement conference. Miller J. dismissed the motion. The Applicant appealed to the Divisional Court from the Order of Miller J. The Respondent brought a motion to strike the Applicant’s notice of appeal, and the Applicant brought a motion to strike out the Respondent’s motion as being procedurally unfair.</w:t>
            </w:r>
          </w:p>
        </w:tc>
      </w:tr>
    </w:tbl>
    <w:p w:rsidR="004D595B" w:rsidRDefault="004D595B" w:rsidP="004D595B"/>
    <w:tbl>
      <w:tblPr>
        <w:tblW w:w="4952" w:type="pct"/>
        <w:tblLayout w:type="fixed"/>
        <w:tblCellMar>
          <w:left w:w="0" w:type="dxa"/>
          <w:bottom w:w="99" w:type="dxa"/>
          <w:right w:w="0" w:type="dxa"/>
        </w:tblCellMar>
        <w:tblLook w:val="04A0"/>
      </w:tblPr>
      <w:tblGrid>
        <w:gridCol w:w="4624"/>
        <w:gridCol w:w="463"/>
        <w:gridCol w:w="4440"/>
      </w:tblGrid>
      <w:tr w:rsidR="004D595B" w:rsidRPr="00087171" w:rsidTr="004D595B">
        <w:trPr>
          <w:cantSplit/>
        </w:trPr>
        <w:tc>
          <w:tcPr>
            <w:tcW w:w="2427" w:type="pct"/>
          </w:tcPr>
          <w:p w:rsidR="004D595B" w:rsidRPr="00087171" w:rsidRDefault="004D595B" w:rsidP="004D595B">
            <w:pPr>
              <w:rPr>
                <w:sz w:val="20"/>
              </w:rPr>
            </w:pPr>
            <w:r w:rsidRPr="00087171">
              <w:rPr>
                <w:sz w:val="20"/>
              </w:rPr>
              <w:t>October 7, 2009</w:t>
            </w:r>
          </w:p>
          <w:p w:rsidR="004D595B" w:rsidRPr="00087171" w:rsidRDefault="004D595B" w:rsidP="004D595B">
            <w:pPr>
              <w:rPr>
                <w:sz w:val="20"/>
              </w:rPr>
            </w:pPr>
            <w:r w:rsidRPr="00087171">
              <w:rPr>
                <w:sz w:val="20"/>
              </w:rPr>
              <w:t>Ontario Superior Court of Justice, Divisional Court</w:t>
            </w:r>
          </w:p>
          <w:p w:rsidR="004D595B" w:rsidRPr="00087171" w:rsidRDefault="004D595B" w:rsidP="004D595B">
            <w:pPr>
              <w:rPr>
                <w:sz w:val="20"/>
              </w:rPr>
            </w:pPr>
            <w:r w:rsidRPr="00087171">
              <w:rPr>
                <w:sz w:val="20"/>
              </w:rPr>
              <w:t>(Price J.)</w:t>
            </w:r>
          </w:p>
          <w:p w:rsidR="004D595B" w:rsidRPr="00087171" w:rsidRDefault="004D595B" w:rsidP="005255F0">
            <w:pPr>
              <w:rPr>
                <w:sz w:val="20"/>
              </w:rPr>
            </w:pPr>
            <w:r w:rsidRPr="00087171">
              <w:rPr>
                <w:sz w:val="20"/>
              </w:rPr>
              <w:t>[2009] O.J. No. 413; 255 O.A.C. 183</w:t>
            </w:r>
          </w:p>
        </w:tc>
        <w:tc>
          <w:tcPr>
            <w:tcW w:w="243" w:type="pct"/>
          </w:tcPr>
          <w:p w:rsidR="004D595B" w:rsidRDefault="004D595B" w:rsidP="004D595B">
            <w:pPr>
              <w:rPr>
                <w:sz w:val="20"/>
              </w:rPr>
            </w:pPr>
          </w:p>
          <w:p w:rsidR="005255F0" w:rsidRDefault="005255F0" w:rsidP="004D595B">
            <w:pPr>
              <w:rPr>
                <w:sz w:val="20"/>
              </w:rPr>
            </w:pPr>
          </w:p>
          <w:p w:rsidR="005255F0" w:rsidRDefault="005255F0" w:rsidP="004D595B">
            <w:pPr>
              <w:rPr>
                <w:sz w:val="20"/>
              </w:rPr>
            </w:pPr>
          </w:p>
          <w:p w:rsidR="005255F0" w:rsidRDefault="005255F0" w:rsidP="004D595B">
            <w:pPr>
              <w:rPr>
                <w:sz w:val="20"/>
              </w:rPr>
            </w:pPr>
          </w:p>
          <w:p w:rsidR="005255F0" w:rsidRPr="00087171" w:rsidRDefault="005255F0" w:rsidP="004D595B">
            <w:pPr>
              <w:rPr>
                <w:sz w:val="20"/>
              </w:rPr>
            </w:pPr>
          </w:p>
        </w:tc>
        <w:tc>
          <w:tcPr>
            <w:tcW w:w="2330" w:type="pct"/>
          </w:tcPr>
          <w:p w:rsidR="004D595B" w:rsidRPr="00087171" w:rsidRDefault="004D595B" w:rsidP="004D595B">
            <w:pPr>
              <w:jc w:val="both"/>
              <w:rPr>
                <w:sz w:val="20"/>
              </w:rPr>
            </w:pPr>
            <w:r w:rsidRPr="00087171">
              <w:rPr>
                <w:sz w:val="20"/>
              </w:rPr>
              <w:t>Applicant’s motion to strike Respondent’s motion as procedurally unfair dismissed; Respondent’s motion to strike Applicant’s notice of appeal, allowed</w:t>
            </w:r>
          </w:p>
          <w:p w:rsidR="004D595B" w:rsidRPr="00087171" w:rsidRDefault="004D595B" w:rsidP="004D595B">
            <w:pPr>
              <w:rPr>
                <w:sz w:val="20"/>
              </w:rPr>
            </w:pPr>
          </w:p>
        </w:tc>
      </w:tr>
      <w:tr w:rsidR="004D595B" w:rsidRPr="00087171" w:rsidTr="004D595B">
        <w:trPr>
          <w:cantSplit/>
        </w:trPr>
        <w:tc>
          <w:tcPr>
            <w:tcW w:w="2427" w:type="pct"/>
          </w:tcPr>
          <w:p w:rsidR="004D595B" w:rsidRPr="00087171" w:rsidRDefault="004D595B" w:rsidP="004D595B">
            <w:pPr>
              <w:rPr>
                <w:sz w:val="20"/>
              </w:rPr>
            </w:pPr>
            <w:r w:rsidRPr="00087171">
              <w:rPr>
                <w:sz w:val="20"/>
              </w:rPr>
              <w:lastRenderedPageBreak/>
              <w:t>January 21, 2010</w:t>
            </w:r>
          </w:p>
          <w:p w:rsidR="004D595B" w:rsidRPr="00087171" w:rsidRDefault="004D595B" w:rsidP="004D595B">
            <w:pPr>
              <w:rPr>
                <w:sz w:val="20"/>
              </w:rPr>
            </w:pPr>
            <w:r w:rsidRPr="00087171">
              <w:rPr>
                <w:sz w:val="20"/>
              </w:rPr>
              <w:t>Court of Appeal for Ontario</w:t>
            </w:r>
          </w:p>
          <w:p w:rsidR="004D595B" w:rsidRPr="00087171" w:rsidRDefault="004D595B" w:rsidP="004D595B">
            <w:pPr>
              <w:rPr>
                <w:sz w:val="20"/>
              </w:rPr>
            </w:pPr>
            <w:r w:rsidRPr="00087171">
              <w:rPr>
                <w:sz w:val="20"/>
              </w:rPr>
              <w:t>(Epstein J.A.)</w:t>
            </w:r>
          </w:p>
          <w:p w:rsidR="004D595B" w:rsidRPr="00087171" w:rsidRDefault="004D595B" w:rsidP="005255F0">
            <w:pPr>
              <w:rPr>
                <w:sz w:val="20"/>
              </w:rPr>
            </w:pPr>
            <w:r w:rsidRPr="00087171">
              <w:rPr>
                <w:sz w:val="20"/>
              </w:rPr>
              <w:t xml:space="preserve">M38388 </w:t>
            </w:r>
          </w:p>
        </w:tc>
        <w:tc>
          <w:tcPr>
            <w:tcW w:w="243" w:type="pct"/>
          </w:tcPr>
          <w:p w:rsidR="004D595B" w:rsidRDefault="004D595B" w:rsidP="004D595B">
            <w:pPr>
              <w:rPr>
                <w:sz w:val="20"/>
              </w:rPr>
            </w:pPr>
          </w:p>
          <w:p w:rsidR="005255F0" w:rsidRDefault="005255F0" w:rsidP="004D595B">
            <w:pPr>
              <w:rPr>
                <w:sz w:val="20"/>
              </w:rPr>
            </w:pPr>
          </w:p>
          <w:p w:rsidR="005255F0" w:rsidRDefault="005255F0" w:rsidP="004D595B">
            <w:pPr>
              <w:rPr>
                <w:sz w:val="20"/>
              </w:rPr>
            </w:pPr>
          </w:p>
          <w:p w:rsidR="005255F0" w:rsidRDefault="005255F0" w:rsidP="004D595B">
            <w:pPr>
              <w:rPr>
                <w:sz w:val="20"/>
              </w:rPr>
            </w:pPr>
          </w:p>
          <w:p w:rsidR="005255F0" w:rsidRPr="00087171" w:rsidRDefault="005255F0" w:rsidP="004D595B">
            <w:pPr>
              <w:rPr>
                <w:sz w:val="20"/>
              </w:rPr>
            </w:pPr>
          </w:p>
        </w:tc>
        <w:tc>
          <w:tcPr>
            <w:tcW w:w="2330" w:type="pct"/>
          </w:tcPr>
          <w:p w:rsidR="004D595B" w:rsidRPr="00087171" w:rsidRDefault="004D595B" w:rsidP="004D595B">
            <w:pPr>
              <w:jc w:val="both"/>
              <w:rPr>
                <w:sz w:val="20"/>
              </w:rPr>
            </w:pPr>
            <w:r w:rsidRPr="00087171">
              <w:rPr>
                <w:sz w:val="20"/>
              </w:rPr>
              <w:t>Motion for an extension of time to appeal Order of Price J. dismissed</w:t>
            </w:r>
          </w:p>
        </w:tc>
      </w:tr>
      <w:tr w:rsidR="004D595B" w:rsidRPr="00087171" w:rsidTr="004D595B">
        <w:trPr>
          <w:cantSplit/>
        </w:trPr>
        <w:tc>
          <w:tcPr>
            <w:tcW w:w="2427" w:type="pct"/>
          </w:tcPr>
          <w:p w:rsidR="004D595B" w:rsidRPr="00087171" w:rsidRDefault="004D595B" w:rsidP="004D595B">
            <w:pPr>
              <w:rPr>
                <w:sz w:val="20"/>
              </w:rPr>
            </w:pPr>
            <w:r w:rsidRPr="00087171">
              <w:rPr>
                <w:sz w:val="20"/>
              </w:rPr>
              <w:t>July 8, 2010</w:t>
            </w:r>
          </w:p>
          <w:p w:rsidR="004D595B" w:rsidRPr="00087171" w:rsidRDefault="004D595B" w:rsidP="004D595B">
            <w:pPr>
              <w:rPr>
                <w:sz w:val="20"/>
              </w:rPr>
            </w:pPr>
            <w:r w:rsidRPr="00087171">
              <w:rPr>
                <w:sz w:val="20"/>
              </w:rPr>
              <w:t>Court of Appeal for Ontario</w:t>
            </w:r>
          </w:p>
          <w:p w:rsidR="004D595B" w:rsidRPr="00087171" w:rsidRDefault="004D595B" w:rsidP="004D595B">
            <w:pPr>
              <w:rPr>
                <w:sz w:val="20"/>
              </w:rPr>
            </w:pPr>
            <w:r w:rsidRPr="00087171">
              <w:rPr>
                <w:sz w:val="20"/>
              </w:rPr>
              <w:t>(</w:t>
            </w:r>
            <w:proofErr w:type="spellStart"/>
            <w:r w:rsidRPr="00087171">
              <w:rPr>
                <w:sz w:val="20"/>
              </w:rPr>
              <w:t>MacPherson</w:t>
            </w:r>
            <w:proofErr w:type="spellEnd"/>
            <w:r w:rsidRPr="00087171">
              <w:rPr>
                <w:sz w:val="20"/>
              </w:rPr>
              <w:t xml:space="preserve">, </w:t>
            </w:r>
            <w:proofErr w:type="spellStart"/>
            <w:r w:rsidRPr="00087171">
              <w:rPr>
                <w:sz w:val="20"/>
              </w:rPr>
              <w:t>Cronk</w:t>
            </w:r>
            <w:proofErr w:type="spellEnd"/>
            <w:r w:rsidRPr="00087171">
              <w:rPr>
                <w:sz w:val="20"/>
              </w:rPr>
              <w:t xml:space="preserve"> and </w:t>
            </w:r>
            <w:proofErr w:type="spellStart"/>
            <w:r w:rsidRPr="00087171">
              <w:rPr>
                <w:sz w:val="20"/>
              </w:rPr>
              <w:t>Karakatsanis</w:t>
            </w:r>
            <w:proofErr w:type="spellEnd"/>
            <w:r w:rsidRPr="00087171">
              <w:rPr>
                <w:sz w:val="20"/>
              </w:rPr>
              <w:t xml:space="preserve"> JJ.A.)</w:t>
            </w:r>
          </w:p>
          <w:p w:rsidR="004D595B" w:rsidRPr="00087171" w:rsidRDefault="004D595B" w:rsidP="005255F0">
            <w:pPr>
              <w:rPr>
                <w:sz w:val="20"/>
              </w:rPr>
            </w:pPr>
            <w:r w:rsidRPr="00087171">
              <w:rPr>
                <w:sz w:val="20"/>
              </w:rPr>
              <w:t>M38829</w:t>
            </w:r>
          </w:p>
        </w:tc>
        <w:tc>
          <w:tcPr>
            <w:tcW w:w="243" w:type="pct"/>
          </w:tcPr>
          <w:p w:rsidR="004D595B" w:rsidRDefault="004D595B" w:rsidP="004D595B">
            <w:pPr>
              <w:rPr>
                <w:sz w:val="20"/>
              </w:rPr>
            </w:pPr>
          </w:p>
          <w:p w:rsidR="005255F0" w:rsidRDefault="005255F0" w:rsidP="004D595B">
            <w:pPr>
              <w:rPr>
                <w:sz w:val="20"/>
              </w:rPr>
            </w:pPr>
          </w:p>
          <w:p w:rsidR="005255F0" w:rsidRDefault="005255F0" w:rsidP="004D595B">
            <w:pPr>
              <w:rPr>
                <w:sz w:val="20"/>
              </w:rPr>
            </w:pPr>
          </w:p>
          <w:p w:rsidR="005255F0" w:rsidRDefault="005255F0" w:rsidP="004D595B">
            <w:pPr>
              <w:rPr>
                <w:sz w:val="20"/>
              </w:rPr>
            </w:pPr>
          </w:p>
          <w:p w:rsidR="005255F0" w:rsidRPr="00087171" w:rsidRDefault="005255F0" w:rsidP="004D595B">
            <w:pPr>
              <w:rPr>
                <w:sz w:val="20"/>
              </w:rPr>
            </w:pPr>
          </w:p>
        </w:tc>
        <w:tc>
          <w:tcPr>
            <w:tcW w:w="2330" w:type="pct"/>
          </w:tcPr>
          <w:p w:rsidR="004D595B" w:rsidRPr="00087171" w:rsidRDefault="004D595B" w:rsidP="004D595B">
            <w:pPr>
              <w:jc w:val="both"/>
              <w:rPr>
                <w:sz w:val="20"/>
              </w:rPr>
            </w:pPr>
            <w:r w:rsidRPr="00087171">
              <w:rPr>
                <w:sz w:val="20"/>
              </w:rPr>
              <w:t xml:space="preserve">Motion to vary or set aside Order of Epstein J.A. dismissed </w:t>
            </w:r>
          </w:p>
        </w:tc>
      </w:tr>
    </w:tbl>
    <w:p w:rsidR="00C0427B" w:rsidRDefault="00C0427B"/>
    <w:tbl>
      <w:tblPr>
        <w:tblW w:w="4952" w:type="pct"/>
        <w:tblLayout w:type="fixed"/>
        <w:tblCellMar>
          <w:left w:w="0" w:type="dxa"/>
          <w:bottom w:w="99" w:type="dxa"/>
          <w:right w:w="0" w:type="dxa"/>
        </w:tblCellMar>
        <w:tblLook w:val="04A0"/>
      </w:tblPr>
      <w:tblGrid>
        <w:gridCol w:w="4624"/>
        <w:gridCol w:w="463"/>
        <w:gridCol w:w="4440"/>
      </w:tblGrid>
      <w:tr w:rsidR="004D595B" w:rsidRPr="00087171" w:rsidTr="004D595B">
        <w:trPr>
          <w:cantSplit/>
        </w:trPr>
        <w:tc>
          <w:tcPr>
            <w:tcW w:w="2427" w:type="pct"/>
          </w:tcPr>
          <w:p w:rsidR="004D595B" w:rsidRPr="00087171" w:rsidRDefault="004D595B" w:rsidP="004D595B">
            <w:pPr>
              <w:rPr>
                <w:sz w:val="20"/>
              </w:rPr>
            </w:pPr>
            <w:r w:rsidRPr="00087171">
              <w:rPr>
                <w:sz w:val="20"/>
              </w:rPr>
              <w:t>August 30, 2010</w:t>
            </w:r>
          </w:p>
          <w:p w:rsidR="004D595B" w:rsidRPr="00087171" w:rsidRDefault="004D595B" w:rsidP="004D595B">
            <w:pPr>
              <w:rPr>
                <w:sz w:val="20"/>
              </w:rPr>
            </w:pPr>
            <w:r w:rsidRPr="00087171">
              <w:rPr>
                <w:sz w:val="20"/>
              </w:rPr>
              <w:t>Supreme Court of Canada</w:t>
            </w:r>
          </w:p>
        </w:tc>
        <w:tc>
          <w:tcPr>
            <w:tcW w:w="243" w:type="pct"/>
          </w:tcPr>
          <w:p w:rsidR="004D595B" w:rsidRPr="00087171" w:rsidRDefault="004D595B" w:rsidP="004D595B">
            <w:pPr>
              <w:rPr>
                <w:sz w:val="20"/>
              </w:rPr>
            </w:pPr>
          </w:p>
        </w:tc>
        <w:tc>
          <w:tcPr>
            <w:tcW w:w="2330" w:type="pct"/>
          </w:tcPr>
          <w:p w:rsidR="004D595B" w:rsidRPr="00087171" w:rsidRDefault="004D595B" w:rsidP="004D595B">
            <w:pPr>
              <w:rPr>
                <w:sz w:val="20"/>
              </w:rPr>
            </w:pPr>
            <w:r w:rsidRPr="00087171">
              <w:rPr>
                <w:sz w:val="20"/>
              </w:rPr>
              <w:t>Application for leave to appeal filed</w:t>
            </w:r>
          </w:p>
          <w:p w:rsidR="004D595B" w:rsidRPr="00087171" w:rsidRDefault="004D595B" w:rsidP="004D595B">
            <w:pPr>
              <w:rPr>
                <w:sz w:val="20"/>
              </w:rPr>
            </w:pPr>
          </w:p>
        </w:tc>
      </w:tr>
    </w:tbl>
    <w:p w:rsidR="004D595B" w:rsidRDefault="004D595B" w:rsidP="00F94A8D">
      <w:pPr>
        <w:keepNext/>
        <w:rPr>
          <w:sz w:val="20"/>
          <w:szCs w:val="20"/>
        </w:rPr>
      </w:pPr>
    </w:p>
    <w:p w:rsidR="00F94A8D" w:rsidRPr="00C50A5C" w:rsidRDefault="003E770A" w:rsidP="00F94A8D">
      <w:pPr>
        <w:rPr>
          <w:sz w:val="20"/>
          <w:szCs w:val="20"/>
        </w:rPr>
      </w:pPr>
      <w:r w:rsidRPr="003E770A">
        <w:rPr>
          <w:sz w:val="20"/>
          <w:szCs w:val="20"/>
          <w:lang w:val="fr-CA"/>
        </w:rPr>
        <w:pict>
          <v:rect id="_x0000_i1063" style="width:2in;height:1pt" o:hrpct="0" o:hralign="center" o:hrstd="t" o:hrnoshade="t" o:hr="t" fillcolor="black [3213]" stroked="f"/>
        </w:pict>
      </w:r>
    </w:p>
    <w:p w:rsidR="00F94A8D" w:rsidRPr="00C50A5C" w:rsidRDefault="00F94A8D" w:rsidP="00F94A8D">
      <w:pPr>
        <w:rPr>
          <w:sz w:val="20"/>
          <w:szCs w:val="20"/>
        </w:rPr>
      </w:pPr>
    </w:p>
    <w:p w:rsidR="00F94A8D" w:rsidRPr="00C50A5C" w:rsidRDefault="00F94A8D" w:rsidP="00F94A8D">
      <w:pPr>
        <w:keepNext/>
        <w:rPr>
          <w:sz w:val="20"/>
          <w:szCs w:val="20"/>
          <w:u w:val="single"/>
          <w:lang w:val="fr-CA"/>
        </w:rPr>
      </w:pPr>
      <w:r w:rsidRPr="00C50A5C">
        <w:rPr>
          <w:sz w:val="20"/>
          <w:szCs w:val="20"/>
          <w:u w:val="single"/>
          <w:lang w:val="fr-CA"/>
        </w:rPr>
        <w:t>RÉSUMÉ DE L’AFFAIRE</w:t>
      </w:r>
    </w:p>
    <w:p w:rsidR="00F94A8D" w:rsidRDefault="00F94A8D" w:rsidP="00F94A8D">
      <w:pPr>
        <w:keepNext/>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3E5C2C" w:rsidRPr="003B380E" w:rsidTr="003E5C2C">
        <w:tc>
          <w:tcPr>
            <w:tcW w:w="5000" w:type="pct"/>
          </w:tcPr>
          <w:p w:rsidR="003E5C2C" w:rsidRPr="009C0EA2" w:rsidRDefault="003E5C2C" w:rsidP="003E5C2C">
            <w:pPr>
              <w:jc w:val="both"/>
              <w:rPr>
                <w:rFonts w:eastAsia="Calibri"/>
                <w:sz w:val="20"/>
                <w:lang w:val="fr-CA"/>
              </w:rPr>
            </w:pPr>
            <w:r w:rsidRPr="009C0EA2">
              <w:rPr>
                <w:rFonts w:eastAsia="Calibri"/>
                <w:sz w:val="20"/>
                <w:lang w:val="fr-CA"/>
              </w:rPr>
              <w:t xml:space="preserve">Procédure civile – Appels – Droit de la famille – Motion en annulation d’une ordonnance sur consentement – Garde et droit de visite – La Cour d’appel de l’Ontario a-t-elle eu tort de refuser d’infirmer l’exercice du pouvoir discrétionnaire d’un juge de cette Cour, refusant d’accorder au demandeur une prorogation du délai d’appel de l’ordonnance d’une juridiction inférieure? – L’appel de l’ordonnance du juge Price datée du 7 octobre 2009 a-t-il été interjeté à temps? – La Cour a-t-elle eu tort de ne pas avoir considéré la disponibilité d’une preuve d’appel en temps opportun de l’ordonnance du juge Price? – La Cour a-t-elle considéré que la présence de fraude entachant l’ordonnance sur consentement rendue par la juge </w:t>
            </w:r>
            <w:proofErr w:type="spellStart"/>
            <w:r w:rsidRPr="009C0EA2">
              <w:rPr>
                <w:rFonts w:eastAsia="Calibri"/>
                <w:sz w:val="20"/>
                <w:lang w:val="fr-CA"/>
              </w:rPr>
              <w:t>Mossip</w:t>
            </w:r>
            <w:proofErr w:type="spellEnd"/>
            <w:r w:rsidRPr="009C0EA2">
              <w:rPr>
                <w:rFonts w:eastAsia="Calibri"/>
                <w:sz w:val="20"/>
                <w:lang w:val="fr-CA"/>
              </w:rPr>
              <w:t xml:space="preserve"> le 31 octobre 2008 était le véritable objet de l’affaire dont elle était saisie?</w:t>
            </w:r>
          </w:p>
          <w:p w:rsidR="003E5C2C" w:rsidRPr="009C0EA2" w:rsidRDefault="003E5C2C" w:rsidP="003E5C2C">
            <w:pPr>
              <w:jc w:val="both"/>
              <w:rPr>
                <w:rFonts w:eastAsia="Calibri"/>
                <w:sz w:val="20"/>
                <w:lang w:val="fr-CA"/>
              </w:rPr>
            </w:pPr>
          </w:p>
        </w:tc>
      </w:tr>
      <w:tr w:rsidR="003E5C2C" w:rsidRPr="003B380E" w:rsidTr="003E5C2C">
        <w:tc>
          <w:tcPr>
            <w:tcW w:w="5000" w:type="pct"/>
          </w:tcPr>
          <w:p w:rsidR="003E5C2C" w:rsidRPr="009C0EA2" w:rsidRDefault="003E5C2C" w:rsidP="003E5C2C">
            <w:pPr>
              <w:jc w:val="both"/>
              <w:rPr>
                <w:rFonts w:eastAsia="Calibri"/>
                <w:sz w:val="20"/>
                <w:lang w:val="fr-CA"/>
              </w:rPr>
            </w:pPr>
            <w:r w:rsidRPr="009C0EA2">
              <w:rPr>
                <w:rFonts w:eastAsia="Calibri"/>
                <w:sz w:val="20"/>
                <w:lang w:val="fr-CA"/>
              </w:rPr>
              <w:t xml:space="preserve">Les parties ont immigré au Canada de la Zambie. Elles se sont séparées et ont eu un fils, né en 2006. L’intimée a introduit une instance, demandant la garde, des aliments et une ordonnance de non-communication contre le demandeur. De nombreuses autres procédures et motions ont été introduites par la suite entre les parties. Le 31 octobre 2008, la juge </w:t>
            </w:r>
            <w:proofErr w:type="spellStart"/>
            <w:r w:rsidRPr="009C0EA2">
              <w:rPr>
                <w:rFonts w:eastAsia="Calibri"/>
                <w:sz w:val="20"/>
                <w:lang w:val="fr-CA"/>
              </w:rPr>
              <w:t>Mossip</w:t>
            </w:r>
            <w:proofErr w:type="spellEnd"/>
            <w:r w:rsidRPr="009C0EA2">
              <w:rPr>
                <w:rFonts w:eastAsia="Calibri"/>
                <w:sz w:val="20"/>
                <w:lang w:val="fr-CA"/>
              </w:rPr>
              <w:t xml:space="preserve"> a rendu une ordonnance finale de garde et de droit de visite fondée sur le procès-verbal de transaction signé par les parties. Ce procès-verbal prévoyait que l’intimée avait la garde du fils et que le demandeur avait un droit de visite qui pouvait atteindre 96 heures consécutives par mois, moyennant un préavis de dix jours. La juge </w:t>
            </w:r>
            <w:proofErr w:type="spellStart"/>
            <w:r w:rsidRPr="009C0EA2">
              <w:rPr>
                <w:rFonts w:eastAsia="Calibri"/>
                <w:sz w:val="20"/>
                <w:lang w:val="fr-CA"/>
              </w:rPr>
              <w:t>Mossip</w:t>
            </w:r>
            <w:proofErr w:type="spellEnd"/>
            <w:r w:rsidRPr="009C0EA2">
              <w:rPr>
                <w:rFonts w:eastAsia="Calibri"/>
                <w:sz w:val="20"/>
                <w:lang w:val="fr-CA"/>
              </w:rPr>
              <w:t xml:space="preserve"> a ajourné la question de la pension alimentaire l’enfant à une conférence de règlement.</w:t>
            </w:r>
          </w:p>
          <w:p w:rsidR="003E5C2C" w:rsidRPr="009C0EA2" w:rsidRDefault="003E5C2C" w:rsidP="003E5C2C">
            <w:pPr>
              <w:jc w:val="both"/>
              <w:rPr>
                <w:rFonts w:eastAsia="Calibri"/>
                <w:sz w:val="20"/>
                <w:lang w:val="fr-CA"/>
              </w:rPr>
            </w:pPr>
          </w:p>
          <w:p w:rsidR="003E5C2C" w:rsidRPr="009C0EA2" w:rsidRDefault="003E5C2C" w:rsidP="003E5C2C">
            <w:pPr>
              <w:jc w:val="both"/>
              <w:rPr>
                <w:rFonts w:eastAsia="Calibri"/>
                <w:sz w:val="20"/>
                <w:lang w:val="fr-CA"/>
              </w:rPr>
            </w:pPr>
            <w:r w:rsidRPr="009C0EA2">
              <w:rPr>
                <w:rFonts w:eastAsia="Calibri"/>
                <w:sz w:val="20"/>
                <w:lang w:val="fr-CA"/>
              </w:rPr>
              <w:t xml:space="preserve">Le 25 février 2009, le demandeur a présenté à la juge Miller une motion en annulation de l’ordonnance sur consentement de la juge </w:t>
            </w:r>
            <w:proofErr w:type="spellStart"/>
            <w:r w:rsidRPr="009C0EA2">
              <w:rPr>
                <w:rFonts w:eastAsia="Calibri"/>
                <w:sz w:val="20"/>
                <w:lang w:val="fr-CA"/>
              </w:rPr>
              <w:t>Mossip</w:t>
            </w:r>
            <w:proofErr w:type="spellEnd"/>
            <w:r w:rsidRPr="009C0EA2">
              <w:rPr>
                <w:rFonts w:eastAsia="Calibri"/>
                <w:sz w:val="20"/>
                <w:lang w:val="fr-CA"/>
              </w:rPr>
              <w:t>, alléguant que l’intimée avait fait des assertions inexactes pendant la conférence de règlement. La juge Miller a rejeté la motion. Le demandeur a interjeté appel à la Cour divisionnaire de l’ordonnance de la juge Miller. L’intimée a présenté une motion en radiation de l’avis d’appel du demandeur et le demandeur a présenté une motion en radiation de la motion de l’intimée, alléguant qu’elle était injuste sur le plan de la procédure.</w:t>
            </w:r>
          </w:p>
        </w:tc>
      </w:tr>
    </w:tbl>
    <w:p w:rsidR="003E5C2C" w:rsidRPr="003E5C2C" w:rsidRDefault="003E5C2C" w:rsidP="003E5C2C">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3E5C2C" w:rsidRPr="003B380E" w:rsidTr="003E5C2C">
        <w:trPr>
          <w:cantSplit/>
        </w:trPr>
        <w:tc>
          <w:tcPr>
            <w:tcW w:w="2427" w:type="pct"/>
          </w:tcPr>
          <w:p w:rsidR="003E5C2C" w:rsidRPr="009C0EA2" w:rsidRDefault="003E5C2C" w:rsidP="003E5C2C">
            <w:pPr>
              <w:jc w:val="both"/>
              <w:rPr>
                <w:rFonts w:eastAsia="Calibri"/>
                <w:sz w:val="20"/>
                <w:lang w:val="fr-CA"/>
              </w:rPr>
            </w:pPr>
            <w:r w:rsidRPr="009C0EA2">
              <w:rPr>
                <w:rFonts w:eastAsia="Calibri"/>
                <w:sz w:val="20"/>
                <w:lang w:val="fr-CA"/>
              </w:rPr>
              <w:t>7 octobre 2009</w:t>
            </w:r>
          </w:p>
          <w:p w:rsidR="003E5C2C" w:rsidRPr="009C0EA2" w:rsidRDefault="003E5C2C" w:rsidP="003E5C2C">
            <w:pPr>
              <w:jc w:val="both"/>
              <w:rPr>
                <w:rFonts w:eastAsia="Calibri"/>
                <w:sz w:val="20"/>
                <w:lang w:val="fr-CA"/>
              </w:rPr>
            </w:pPr>
            <w:r w:rsidRPr="009C0EA2">
              <w:rPr>
                <w:rFonts w:eastAsia="Calibri"/>
                <w:sz w:val="20"/>
                <w:lang w:val="fr-CA"/>
              </w:rPr>
              <w:t>Cour supérieure de justice de l’Ontario, Cour divisionnaire</w:t>
            </w:r>
          </w:p>
          <w:p w:rsidR="003E5C2C" w:rsidRPr="009C0EA2" w:rsidRDefault="003E5C2C" w:rsidP="003E5C2C">
            <w:pPr>
              <w:jc w:val="both"/>
              <w:rPr>
                <w:rFonts w:eastAsia="Calibri"/>
                <w:sz w:val="20"/>
              </w:rPr>
            </w:pPr>
            <w:r w:rsidRPr="009C0EA2">
              <w:rPr>
                <w:rFonts w:eastAsia="Calibri"/>
                <w:sz w:val="20"/>
              </w:rPr>
              <w:t>(</w:t>
            </w:r>
            <w:proofErr w:type="spellStart"/>
            <w:r w:rsidRPr="009C0EA2">
              <w:rPr>
                <w:rFonts w:eastAsia="Calibri"/>
                <w:sz w:val="20"/>
              </w:rPr>
              <w:t>Juge</w:t>
            </w:r>
            <w:proofErr w:type="spellEnd"/>
            <w:r w:rsidRPr="009C0EA2">
              <w:rPr>
                <w:rFonts w:eastAsia="Calibri"/>
                <w:sz w:val="20"/>
              </w:rPr>
              <w:t xml:space="preserve"> Price)</w:t>
            </w:r>
          </w:p>
          <w:p w:rsidR="003E5C2C" w:rsidRPr="009C0EA2" w:rsidRDefault="003E5C2C" w:rsidP="005255F0">
            <w:pPr>
              <w:jc w:val="both"/>
              <w:rPr>
                <w:rFonts w:eastAsia="Calibri"/>
                <w:sz w:val="20"/>
              </w:rPr>
            </w:pPr>
            <w:r w:rsidRPr="009C0EA2">
              <w:rPr>
                <w:rFonts w:eastAsia="Calibri"/>
                <w:sz w:val="20"/>
              </w:rPr>
              <w:t>[2009] O.J. No. 413; 255 O.A.C. 183</w:t>
            </w:r>
          </w:p>
        </w:tc>
        <w:tc>
          <w:tcPr>
            <w:tcW w:w="243" w:type="pct"/>
          </w:tcPr>
          <w:p w:rsidR="003E5C2C" w:rsidRDefault="003E5C2C" w:rsidP="003E5C2C">
            <w:pPr>
              <w:jc w:val="both"/>
              <w:rPr>
                <w:rFonts w:eastAsia="Calibri"/>
                <w:sz w:val="20"/>
              </w:rPr>
            </w:pPr>
          </w:p>
          <w:p w:rsidR="005255F0" w:rsidRDefault="005255F0" w:rsidP="003E5C2C">
            <w:pPr>
              <w:jc w:val="both"/>
              <w:rPr>
                <w:rFonts w:eastAsia="Calibri"/>
                <w:sz w:val="20"/>
              </w:rPr>
            </w:pPr>
          </w:p>
          <w:p w:rsidR="005255F0" w:rsidRDefault="005255F0" w:rsidP="003E5C2C">
            <w:pPr>
              <w:jc w:val="both"/>
              <w:rPr>
                <w:rFonts w:eastAsia="Calibri"/>
                <w:sz w:val="20"/>
              </w:rPr>
            </w:pPr>
          </w:p>
          <w:p w:rsidR="005255F0" w:rsidRDefault="005255F0" w:rsidP="003E5C2C">
            <w:pPr>
              <w:jc w:val="both"/>
              <w:rPr>
                <w:rFonts w:eastAsia="Calibri"/>
                <w:sz w:val="20"/>
              </w:rPr>
            </w:pPr>
          </w:p>
          <w:p w:rsidR="005255F0" w:rsidRDefault="005255F0" w:rsidP="003E5C2C">
            <w:pPr>
              <w:jc w:val="both"/>
              <w:rPr>
                <w:rFonts w:eastAsia="Calibri"/>
                <w:sz w:val="20"/>
              </w:rPr>
            </w:pPr>
          </w:p>
          <w:p w:rsidR="005255F0" w:rsidRPr="009C0EA2" w:rsidRDefault="005255F0" w:rsidP="003E5C2C">
            <w:pPr>
              <w:jc w:val="both"/>
              <w:rPr>
                <w:rFonts w:eastAsia="Calibri"/>
                <w:sz w:val="20"/>
              </w:rPr>
            </w:pPr>
          </w:p>
        </w:tc>
        <w:tc>
          <w:tcPr>
            <w:tcW w:w="2330" w:type="pct"/>
          </w:tcPr>
          <w:p w:rsidR="003E5C2C" w:rsidRPr="009C0EA2" w:rsidRDefault="003E5C2C" w:rsidP="003E5C2C">
            <w:pPr>
              <w:jc w:val="both"/>
              <w:rPr>
                <w:rFonts w:eastAsia="Calibri"/>
                <w:sz w:val="20"/>
                <w:lang w:val="fr-CA"/>
              </w:rPr>
            </w:pPr>
            <w:r w:rsidRPr="009C0EA2">
              <w:rPr>
                <w:rFonts w:eastAsia="Calibri"/>
                <w:sz w:val="20"/>
                <w:lang w:val="fr-CA"/>
              </w:rPr>
              <w:t>Motion du demandeur en radiation de la motion de l’intimée parce qu’injuste sur le plan de la procédure, rejetée; motion de l’intimée en radiation de l’avis d’appel du demandeur, accueillie</w:t>
            </w:r>
          </w:p>
          <w:p w:rsidR="003E5C2C" w:rsidRPr="009C0EA2" w:rsidRDefault="003E5C2C" w:rsidP="003E5C2C">
            <w:pPr>
              <w:jc w:val="both"/>
              <w:rPr>
                <w:rFonts w:eastAsia="Calibri"/>
                <w:sz w:val="20"/>
                <w:lang w:val="fr-CA"/>
              </w:rPr>
            </w:pPr>
          </w:p>
        </w:tc>
      </w:tr>
      <w:tr w:rsidR="003E5C2C" w:rsidRPr="003B380E" w:rsidTr="003E5C2C">
        <w:trPr>
          <w:cantSplit/>
        </w:trPr>
        <w:tc>
          <w:tcPr>
            <w:tcW w:w="2427" w:type="pct"/>
          </w:tcPr>
          <w:p w:rsidR="003E5C2C" w:rsidRPr="009C0EA2" w:rsidRDefault="003E5C2C" w:rsidP="003E5C2C">
            <w:pPr>
              <w:jc w:val="both"/>
              <w:rPr>
                <w:rFonts w:eastAsia="Calibri"/>
                <w:sz w:val="20"/>
                <w:lang w:val="fr-CA"/>
              </w:rPr>
            </w:pPr>
            <w:r w:rsidRPr="009C0EA2">
              <w:rPr>
                <w:rFonts w:eastAsia="Calibri"/>
                <w:sz w:val="20"/>
                <w:lang w:val="fr-CA"/>
              </w:rPr>
              <w:lastRenderedPageBreak/>
              <w:t>21 janvier 2010</w:t>
            </w:r>
          </w:p>
          <w:p w:rsidR="003E5C2C" w:rsidRPr="009C0EA2" w:rsidRDefault="003E5C2C" w:rsidP="003E5C2C">
            <w:pPr>
              <w:jc w:val="both"/>
              <w:rPr>
                <w:rFonts w:eastAsia="Calibri"/>
                <w:sz w:val="20"/>
                <w:lang w:val="fr-CA"/>
              </w:rPr>
            </w:pPr>
            <w:r w:rsidRPr="009C0EA2">
              <w:rPr>
                <w:rFonts w:eastAsia="Calibri"/>
                <w:sz w:val="20"/>
                <w:lang w:val="fr-CA"/>
              </w:rPr>
              <w:t>Cour d’appel de l’Ontario</w:t>
            </w:r>
          </w:p>
          <w:p w:rsidR="003E5C2C" w:rsidRPr="009C0EA2" w:rsidRDefault="003E5C2C" w:rsidP="003E5C2C">
            <w:pPr>
              <w:jc w:val="both"/>
              <w:rPr>
                <w:rFonts w:eastAsia="Calibri"/>
                <w:sz w:val="20"/>
                <w:lang w:val="fr-CA"/>
              </w:rPr>
            </w:pPr>
            <w:r w:rsidRPr="009C0EA2">
              <w:rPr>
                <w:rFonts w:eastAsia="Calibri"/>
                <w:sz w:val="20"/>
                <w:lang w:val="fr-CA"/>
              </w:rPr>
              <w:t>(Juge Epstein)</w:t>
            </w:r>
          </w:p>
          <w:p w:rsidR="003E5C2C" w:rsidRPr="009C0EA2" w:rsidRDefault="003E5C2C" w:rsidP="005255F0">
            <w:pPr>
              <w:jc w:val="both"/>
              <w:rPr>
                <w:rFonts w:eastAsia="Calibri"/>
                <w:sz w:val="20"/>
                <w:lang w:val="fr-CA"/>
              </w:rPr>
            </w:pPr>
            <w:r w:rsidRPr="009C0EA2">
              <w:rPr>
                <w:rFonts w:eastAsia="Calibri"/>
                <w:sz w:val="20"/>
                <w:lang w:val="fr-CA"/>
              </w:rPr>
              <w:t xml:space="preserve">M38388 </w:t>
            </w:r>
          </w:p>
        </w:tc>
        <w:tc>
          <w:tcPr>
            <w:tcW w:w="243" w:type="pct"/>
          </w:tcPr>
          <w:p w:rsidR="003E5C2C" w:rsidRDefault="003E5C2C" w:rsidP="003E5C2C">
            <w:pPr>
              <w:jc w:val="both"/>
              <w:rPr>
                <w:rFonts w:eastAsia="Calibri"/>
                <w:sz w:val="20"/>
                <w:lang w:val="fr-CA"/>
              </w:rPr>
            </w:pPr>
          </w:p>
          <w:p w:rsidR="005255F0" w:rsidRDefault="005255F0" w:rsidP="003E5C2C">
            <w:pPr>
              <w:jc w:val="both"/>
              <w:rPr>
                <w:rFonts w:eastAsia="Calibri"/>
                <w:sz w:val="20"/>
                <w:lang w:val="fr-CA"/>
              </w:rPr>
            </w:pPr>
          </w:p>
          <w:p w:rsidR="005255F0" w:rsidRDefault="005255F0" w:rsidP="003E5C2C">
            <w:pPr>
              <w:jc w:val="both"/>
              <w:rPr>
                <w:rFonts w:eastAsia="Calibri"/>
                <w:sz w:val="20"/>
                <w:lang w:val="fr-CA"/>
              </w:rPr>
            </w:pPr>
          </w:p>
          <w:p w:rsidR="005255F0" w:rsidRDefault="005255F0" w:rsidP="003E5C2C">
            <w:pPr>
              <w:jc w:val="both"/>
              <w:rPr>
                <w:rFonts w:eastAsia="Calibri"/>
                <w:sz w:val="20"/>
                <w:lang w:val="fr-CA"/>
              </w:rPr>
            </w:pPr>
          </w:p>
          <w:p w:rsidR="005255F0" w:rsidRPr="009C0EA2" w:rsidRDefault="005255F0" w:rsidP="003E5C2C">
            <w:pPr>
              <w:jc w:val="both"/>
              <w:rPr>
                <w:rFonts w:eastAsia="Calibri"/>
                <w:sz w:val="20"/>
                <w:lang w:val="fr-CA"/>
              </w:rPr>
            </w:pPr>
          </w:p>
        </w:tc>
        <w:tc>
          <w:tcPr>
            <w:tcW w:w="2330" w:type="pct"/>
          </w:tcPr>
          <w:p w:rsidR="003E5C2C" w:rsidRPr="009C0EA2" w:rsidRDefault="003E5C2C" w:rsidP="003E5C2C">
            <w:pPr>
              <w:jc w:val="both"/>
              <w:rPr>
                <w:rFonts w:eastAsia="Calibri"/>
                <w:sz w:val="20"/>
                <w:lang w:val="fr-CA"/>
              </w:rPr>
            </w:pPr>
            <w:r w:rsidRPr="009C0EA2">
              <w:rPr>
                <w:rFonts w:eastAsia="Calibri"/>
                <w:sz w:val="20"/>
                <w:lang w:val="fr-CA"/>
              </w:rPr>
              <w:t>Motion en prorogation du délai d’appel de l’ordonnance du juge Price, rejetée</w:t>
            </w:r>
          </w:p>
        </w:tc>
      </w:tr>
      <w:tr w:rsidR="003E5C2C" w:rsidRPr="003B380E" w:rsidTr="003E5C2C">
        <w:trPr>
          <w:cantSplit/>
        </w:trPr>
        <w:tc>
          <w:tcPr>
            <w:tcW w:w="2427" w:type="pct"/>
          </w:tcPr>
          <w:p w:rsidR="003E5C2C" w:rsidRPr="009C0EA2" w:rsidRDefault="003E5C2C" w:rsidP="003E5C2C">
            <w:pPr>
              <w:jc w:val="both"/>
              <w:rPr>
                <w:rFonts w:eastAsia="Calibri"/>
                <w:sz w:val="20"/>
                <w:lang w:val="fr-CA"/>
              </w:rPr>
            </w:pPr>
            <w:r w:rsidRPr="009C0EA2">
              <w:rPr>
                <w:rFonts w:eastAsia="Calibri"/>
                <w:sz w:val="20"/>
                <w:lang w:val="fr-CA"/>
              </w:rPr>
              <w:t>8 juillet 2010</w:t>
            </w:r>
          </w:p>
          <w:p w:rsidR="003E5C2C" w:rsidRPr="009C0EA2" w:rsidRDefault="003E5C2C" w:rsidP="003E5C2C">
            <w:pPr>
              <w:jc w:val="both"/>
              <w:rPr>
                <w:rFonts w:eastAsia="Calibri"/>
                <w:sz w:val="20"/>
                <w:lang w:val="fr-CA"/>
              </w:rPr>
            </w:pPr>
            <w:r w:rsidRPr="009C0EA2">
              <w:rPr>
                <w:rFonts w:eastAsia="Calibri"/>
                <w:sz w:val="20"/>
                <w:lang w:val="fr-CA"/>
              </w:rPr>
              <w:t>Cour d’appel de l’Ontario</w:t>
            </w:r>
          </w:p>
          <w:p w:rsidR="003E5C2C" w:rsidRPr="009C0EA2" w:rsidRDefault="003E5C2C" w:rsidP="003E5C2C">
            <w:pPr>
              <w:jc w:val="both"/>
              <w:rPr>
                <w:rFonts w:eastAsia="Calibri"/>
                <w:sz w:val="20"/>
                <w:lang w:val="fr-CA"/>
              </w:rPr>
            </w:pPr>
            <w:r w:rsidRPr="009C0EA2">
              <w:rPr>
                <w:rFonts w:eastAsia="Calibri"/>
                <w:sz w:val="20"/>
                <w:lang w:val="fr-CA"/>
              </w:rPr>
              <w:t xml:space="preserve">(Juges </w:t>
            </w:r>
            <w:proofErr w:type="spellStart"/>
            <w:r w:rsidRPr="009C0EA2">
              <w:rPr>
                <w:rFonts w:eastAsia="Calibri"/>
                <w:sz w:val="20"/>
                <w:lang w:val="fr-CA"/>
              </w:rPr>
              <w:t>MacPherson</w:t>
            </w:r>
            <w:proofErr w:type="spellEnd"/>
            <w:r w:rsidRPr="009C0EA2">
              <w:rPr>
                <w:rFonts w:eastAsia="Calibri"/>
                <w:sz w:val="20"/>
                <w:lang w:val="fr-CA"/>
              </w:rPr>
              <w:t xml:space="preserve">, </w:t>
            </w:r>
            <w:proofErr w:type="spellStart"/>
            <w:r w:rsidRPr="009C0EA2">
              <w:rPr>
                <w:rFonts w:eastAsia="Calibri"/>
                <w:sz w:val="20"/>
                <w:lang w:val="fr-CA"/>
              </w:rPr>
              <w:t>Cronk</w:t>
            </w:r>
            <w:proofErr w:type="spellEnd"/>
            <w:r w:rsidRPr="009C0EA2">
              <w:rPr>
                <w:rFonts w:eastAsia="Calibri"/>
                <w:sz w:val="20"/>
                <w:lang w:val="fr-CA"/>
              </w:rPr>
              <w:t xml:space="preserve"> et </w:t>
            </w:r>
            <w:proofErr w:type="spellStart"/>
            <w:r w:rsidRPr="009C0EA2">
              <w:rPr>
                <w:rFonts w:eastAsia="Calibri"/>
                <w:sz w:val="20"/>
                <w:lang w:val="fr-CA"/>
              </w:rPr>
              <w:t>Karakatsanis</w:t>
            </w:r>
            <w:proofErr w:type="spellEnd"/>
            <w:r w:rsidRPr="009C0EA2">
              <w:rPr>
                <w:rFonts w:eastAsia="Calibri"/>
                <w:sz w:val="20"/>
                <w:lang w:val="fr-CA"/>
              </w:rPr>
              <w:t>)</w:t>
            </w:r>
          </w:p>
          <w:p w:rsidR="003E5C2C" w:rsidRPr="009C0EA2" w:rsidRDefault="003E5C2C" w:rsidP="005255F0">
            <w:pPr>
              <w:jc w:val="both"/>
              <w:rPr>
                <w:rFonts w:eastAsia="Calibri"/>
                <w:sz w:val="20"/>
                <w:lang w:val="fr-CA"/>
              </w:rPr>
            </w:pPr>
            <w:r w:rsidRPr="009C0EA2">
              <w:rPr>
                <w:rFonts w:eastAsia="Calibri"/>
                <w:sz w:val="20"/>
                <w:lang w:val="fr-CA"/>
              </w:rPr>
              <w:t>M38829</w:t>
            </w:r>
          </w:p>
        </w:tc>
        <w:tc>
          <w:tcPr>
            <w:tcW w:w="243" w:type="pct"/>
          </w:tcPr>
          <w:p w:rsidR="003E5C2C" w:rsidRDefault="003E5C2C" w:rsidP="003E5C2C">
            <w:pPr>
              <w:jc w:val="both"/>
              <w:rPr>
                <w:rFonts w:eastAsia="Calibri"/>
                <w:sz w:val="20"/>
                <w:lang w:val="fr-CA"/>
              </w:rPr>
            </w:pPr>
          </w:p>
          <w:p w:rsidR="005255F0" w:rsidRDefault="005255F0" w:rsidP="003E5C2C">
            <w:pPr>
              <w:jc w:val="both"/>
              <w:rPr>
                <w:rFonts w:eastAsia="Calibri"/>
                <w:sz w:val="20"/>
                <w:lang w:val="fr-CA"/>
              </w:rPr>
            </w:pPr>
          </w:p>
          <w:p w:rsidR="005255F0" w:rsidRDefault="005255F0" w:rsidP="003E5C2C">
            <w:pPr>
              <w:jc w:val="both"/>
              <w:rPr>
                <w:rFonts w:eastAsia="Calibri"/>
                <w:sz w:val="20"/>
                <w:lang w:val="fr-CA"/>
              </w:rPr>
            </w:pPr>
          </w:p>
          <w:p w:rsidR="005255F0" w:rsidRDefault="005255F0" w:rsidP="003E5C2C">
            <w:pPr>
              <w:jc w:val="both"/>
              <w:rPr>
                <w:rFonts w:eastAsia="Calibri"/>
                <w:sz w:val="20"/>
                <w:lang w:val="fr-CA"/>
              </w:rPr>
            </w:pPr>
          </w:p>
          <w:p w:rsidR="005255F0" w:rsidRPr="009C0EA2" w:rsidRDefault="005255F0" w:rsidP="003E5C2C">
            <w:pPr>
              <w:jc w:val="both"/>
              <w:rPr>
                <w:rFonts w:eastAsia="Calibri"/>
                <w:sz w:val="20"/>
                <w:lang w:val="fr-CA"/>
              </w:rPr>
            </w:pPr>
          </w:p>
        </w:tc>
        <w:tc>
          <w:tcPr>
            <w:tcW w:w="2330" w:type="pct"/>
          </w:tcPr>
          <w:p w:rsidR="003E5C2C" w:rsidRPr="009C0EA2" w:rsidRDefault="003E5C2C" w:rsidP="003E5C2C">
            <w:pPr>
              <w:jc w:val="both"/>
              <w:rPr>
                <w:rFonts w:eastAsia="Calibri"/>
                <w:sz w:val="20"/>
                <w:lang w:val="fr-CA"/>
              </w:rPr>
            </w:pPr>
            <w:r w:rsidRPr="009C0EA2">
              <w:rPr>
                <w:rFonts w:eastAsia="Calibri"/>
                <w:sz w:val="20"/>
                <w:lang w:val="fr-CA"/>
              </w:rPr>
              <w:t xml:space="preserve">Motion en modification ou en annulation de l’ordonnance du juge Epstein, rejetée </w:t>
            </w:r>
          </w:p>
        </w:tc>
      </w:tr>
      <w:tr w:rsidR="003E5C2C" w:rsidRPr="009C0EA2" w:rsidTr="003E5C2C">
        <w:trPr>
          <w:cantSplit/>
        </w:trPr>
        <w:tc>
          <w:tcPr>
            <w:tcW w:w="2427" w:type="pct"/>
          </w:tcPr>
          <w:p w:rsidR="003E5C2C" w:rsidRPr="009C0EA2" w:rsidRDefault="003E5C2C" w:rsidP="003E5C2C">
            <w:pPr>
              <w:jc w:val="both"/>
              <w:rPr>
                <w:rFonts w:eastAsia="Calibri"/>
                <w:sz w:val="20"/>
                <w:lang w:val="fr-CA"/>
              </w:rPr>
            </w:pPr>
            <w:r w:rsidRPr="009C0EA2">
              <w:rPr>
                <w:rFonts w:eastAsia="Calibri"/>
                <w:sz w:val="20"/>
                <w:lang w:val="fr-CA"/>
              </w:rPr>
              <w:t>30 août 2010</w:t>
            </w:r>
          </w:p>
          <w:p w:rsidR="003E5C2C" w:rsidRPr="009C0EA2" w:rsidRDefault="003E5C2C" w:rsidP="003E5C2C">
            <w:pPr>
              <w:jc w:val="both"/>
              <w:rPr>
                <w:rFonts w:eastAsia="Calibri"/>
                <w:sz w:val="20"/>
                <w:lang w:val="fr-CA"/>
              </w:rPr>
            </w:pPr>
            <w:r w:rsidRPr="009C0EA2">
              <w:rPr>
                <w:rFonts w:eastAsia="Calibri"/>
                <w:sz w:val="20"/>
                <w:lang w:val="fr-CA"/>
              </w:rPr>
              <w:t>Cour suprême du Canada</w:t>
            </w:r>
          </w:p>
        </w:tc>
        <w:tc>
          <w:tcPr>
            <w:tcW w:w="243" w:type="pct"/>
          </w:tcPr>
          <w:p w:rsidR="003E5C2C" w:rsidRPr="009C0EA2" w:rsidRDefault="003E5C2C" w:rsidP="003E5C2C">
            <w:pPr>
              <w:jc w:val="both"/>
              <w:rPr>
                <w:rFonts w:eastAsia="Calibri"/>
                <w:sz w:val="20"/>
                <w:lang w:val="fr-CA"/>
              </w:rPr>
            </w:pPr>
          </w:p>
        </w:tc>
        <w:tc>
          <w:tcPr>
            <w:tcW w:w="2330" w:type="pct"/>
          </w:tcPr>
          <w:p w:rsidR="003E5C2C" w:rsidRPr="009C0EA2" w:rsidRDefault="003E5C2C" w:rsidP="003E5C2C">
            <w:pPr>
              <w:jc w:val="both"/>
              <w:rPr>
                <w:rFonts w:eastAsia="Calibri"/>
                <w:sz w:val="20"/>
                <w:lang w:val="fr-CA"/>
              </w:rPr>
            </w:pPr>
            <w:r w:rsidRPr="009C0EA2">
              <w:rPr>
                <w:rFonts w:eastAsia="Calibri"/>
                <w:sz w:val="20"/>
                <w:lang w:val="fr-CA"/>
              </w:rPr>
              <w:t>Demande d’autorisation d’appel, déposée</w:t>
            </w:r>
          </w:p>
          <w:p w:rsidR="003E5C2C" w:rsidRPr="009C0EA2" w:rsidRDefault="003E5C2C" w:rsidP="003E5C2C">
            <w:pPr>
              <w:jc w:val="both"/>
              <w:rPr>
                <w:rFonts w:eastAsia="Calibri"/>
                <w:sz w:val="20"/>
                <w:lang w:val="fr-CA"/>
              </w:rPr>
            </w:pPr>
          </w:p>
        </w:tc>
      </w:tr>
    </w:tbl>
    <w:p w:rsidR="003E5C2C" w:rsidRPr="009C0EA2" w:rsidRDefault="003E5C2C" w:rsidP="003E5C2C">
      <w:pPr>
        <w:jc w:val="both"/>
        <w:rPr>
          <w:rFonts w:eastAsia="Calibri"/>
          <w:sz w:val="20"/>
          <w:lang w:val="fr-CA"/>
        </w:rPr>
      </w:pPr>
    </w:p>
    <w:p w:rsidR="00F94A8D" w:rsidRDefault="003E770A" w:rsidP="00F94A8D">
      <w:pPr>
        <w:keepNext/>
        <w:rPr>
          <w:sz w:val="20"/>
          <w:szCs w:val="20"/>
          <w:lang w:val="fr-CA"/>
        </w:rPr>
      </w:pPr>
      <w:r w:rsidRPr="003E770A">
        <w:rPr>
          <w:sz w:val="20"/>
          <w:szCs w:val="20"/>
          <w:lang w:val="fr-CA"/>
        </w:rPr>
        <w:pict>
          <v:rect id="_x0000_i1064"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890FEB" w:rsidRPr="008E763A" w:rsidRDefault="00890FEB" w:rsidP="00890FEB">
      <w:pPr>
        <w:rPr>
          <w:sz w:val="20"/>
          <w:szCs w:val="20"/>
        </w:rPr>
      </w:pPr>
    </w:p>
    <w:p w:rsidR="008E763A" w:rsidRPr="00442E28" w:rsidRDefault="00442E28" w:rsidP="00890FEB">
      <w:pPr>
        <w:rPr>
          <w:sz w:val="20"/>
          <w:szCs w:val="20"/>
          <w:lang w:val="fr-CA"/>
        </w:rPr>
      </w:pPr>
      <w:r w:rsidRPr="00442E28">
        <w:rPr>
          <w:sz w:val="20"/>
          <w:szCs w:val="20"/>
          <w:lang w:val="fr-CA"/>
        </w:rPr>
        <w:t>18.11.2010</w:t>
      </w:r>
      <w:r>
        <w:rPr>
          <w:sz w:val="20"/>
          <w:szCs w:val="20"/>
          <w:lang w:val="fr-CA"/>
        </w:rPr>
        <w:t xml:space="preserve">  - 2010 SCC </w:t>
      </w:r>
      <w:r w:rsidR="00196919">
        <w:rPr>
          <w:sz w:val="20"/>
          <w:szCs w:val="20"/>
          <w:lang w:val="fr-CA"/>
        </w:rPr>
        <w:t>54</w:t>
      </w:r>
      <w:r>
        <w:rPr>
          <w:sz w:val="20"/>
          <w:szCs w:val="20"/>
          <w:lang w:val="fr-CA"/>
        </w:rPr>
        <w:t xml:space="preserve"> / 2010 CSC </w:t>
      </w:r>
      <w:r w:rsidR="00196919">
        <w:rPr>
          <w:sz w:val="20"/>
          <w:szCs w:val="20"/>
          <w:lang w:val="fr-CA"/>
        </w:rPr>
        <w:t>54</w:t>
      </w:r>
    </w:p>
    <w:p w:rsidR="008E763A" w:rsidRPr="008E763A" w:rsidRDefault="008E763A" w:rsidP="00890FEB">
      <w:pPr>
        <w:rPr>
          <w:sz w:val="20"/>
          <w:szCs w:val="20"/>
          <w:lang w:val="fr-CA"/>
        </w:rPr>
      </w:pPr>
    </w:p>
    <w:p w:rsidR="00442E28" w:rsidRPr="00052196" w:rsidRDefault="00442E28" w:rsidP="00442E28">
      <w:pPr>
        <w:rPr>
          <w:sz w:val="20"/>
          <w:szCs w:val="20"/>
          <w:lang w:bidi="en-US"/>
        </w:rPr>
      </w:pPr>
      <w:r w:rsidRPr="00052196">
        <w:rPr>
          <w:sz w:val="20"/>
          <w:szCs w:val="20"/>
          <w:lang w:bidi="en-US"/>
        </w:rPr>
        <w:t xml:space="preserve">CORAM:  </w:t>
      </w:r>
      <w:proofErr w:type="spellStart"/>
      <w:r w:rsidRPr="00052196">
        <w:rPr>
          <w:sz w:val="20"/>
          <w:szCs w:val="20"/>
          <w:u w:val="single"/>
          <w:lang w:bidi="en-US"/>
        </w:rPr>
        <w:t>Binnie</w:t>
      </w:r>
      <w:proofErr w:type="spellEnd"/>
      <w:r w:rsidRPr="00052196">
        <w:rPr>
          <w:sz w:val="20"/>
          <w:szCs w:val="20"/>
          <w:u w:val="single"/>
          <w:lang w:bidi="en-US"/>
        </w:rPr>
        <w:t xml:space="preserve">, </w:t>
      </w:r>
      <w:proofErr w:type="spellStart"/>
      <w:r w:rsidRPr="00052196">
        <w:rPr>
          <w:sz w:val="20"/>
          <w:szCs w:val="20"/>
          <w:u w:val="single"/>
          <w:lang w:bidi="en-US"/>
        </w:rPr>
        <w:t>Abella</w:t>
      </w:r>
      <w:proofErr w:type="spellEnd"/>
      <w:r w:rsidRPr="00052196">
        <w:rPr>
          <w:sz w:val="20"/>
          <w:szCs w:val="20"/>
          <w:u w:val="single"/>
          <w:lang w:bidi="en-US"/>
        </w:rPr>
        <w:t xml:space="preserve"> and Cromwell JJ.</w:t>
      </w:r>
    </w:p>
    <w:p w:rsidR="008E763A" w:rsidRPr="00052196" w:rsidRDefault="008E763A" w:rsidP="00890FE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
        <w:gridCol w:w="4687"/>
      </w:tblGrid>
      <w:tr w:rsidR="00442E28" w:rsidRPr="003B380E" w:rsidTr="00442E28">
        <w:trPr>
          <w:cantSplit/>
        </w:trPr>
        <w:tc>
          <w:tcPr>
            <w:tcW w:w="4681" w:type="dxa"/>
          </w:tcPr>
          <w:p w:rsidR="00442E28" w:rsidRPr="00D67826" w:rsidRDefault="00442E28" w:rsidP="00442E28">
            <w:pPr>
              <w:rPr>
                <w:b/>
                <w:sz w:val="20"/>
                <w:szCs w:val="20"/>
                <w:lang w:val="fr-CA"/>
              </w:rPr>
            </w:pPr>
            <w:r w:rsidRPr="00D67826">
              <w:rPr>
                <w:b/>
                <w:sz w:val="20"/>
                <w:szCs w:val="20"/>
                <w:lang w:val="fr-CA"/>
              </w:rPr>
              <w:t xml:space="preserve">Motion to release </w:t>
            </w:r>
            <w:proofErr w:type="spellStart"/>
            <w:r w:rsidRPr="00D67826">
              <w:rPr>
                <w:b/>
                <w:sz w:val="20"/>
                <w:szCs w:val="20"/>
                <w:lang w:val="fr-CA"/>
              </w:rPr>
              <w:t>exhibits</w:t>
            </w:r>
            <w:proofErr w:type="spellEnd"/>
          </w:p>
        </w:tc>
        <w:tc>
          <w:tcPr>
            <w:tcW w:w="467" w:type="dxa"/>
          </w:tcPr>
          <w:p w:rsidR="00442E28" w:rsidRPr="00D67826" w:rsidRDefault="00442E28" w:rsidP="00442E28">
            <w:pPr>
              <w:rPr>
                <w:sz w:val="20"/>
                <w:szCs w:val="20"/>
                <w:lang w:val="fr-CA"/>
              </w:rPr>
            </w:pPr>
          </w:p>
          <w:p w:rsidR="00442E28" w:rsidRPr="00D67826" w:rsidRDefault="00442E28" w:rsidP="00442E28">
            <w:pPr>
              <w:rPr>
                <w:sz w:val="20"/>
                <w:szCs w:val="20"/>
                <w:lang w:val="fr-CA"/>
              </w:rPr>
            </w:pPr>
          </w:p>
        </w:tc>
        <w:tc>
          <w:tcPr>
            <w:tcW w:w="4687" w:type="dxa"/>
          </w:tcPr>
          <w:p w:rsidR="00442E28" w:rsidRPr="00C73EE6" w:rsidRDefault="00442E28" w:rsidP="00442E28">
            <w:pPr>
              <w:rPr>
                <w:b/>
                <w:sz w:val="20"/>
                <w:szCs w:val="20"/>
                <w:lang w:val="fr-CA"/>
              </w:rPr>
            </w:pPr>
            <w:r w:rsidRPr="00C73EE6">
              <w:rPr>
                <w:b/>
                <w:sz w:val="20"/>
                <w:szCs w:val="20"/>
                <w:lang w:val="fr-CA"/>
              </w:rPr>
              <w:t>Requête</w:t>
            </w:r>
            <w:r>
              <w:rPr>
                <w:b/>
                <w:sz w:val="20"/>
                <w:szCs w:val="20"/>
                <w:lang w:val="fr-CA"/>
              </w:rPr>
              <w:t xml:space="preserve"> pour obtenir l’accès à</w:t>
            </w:r>
            <w:r w:rsidRPr="00C73EE6">
              <w:rPr>
                <w:b/>
                <w:sz w:val="20"/>
                <w:szCs w:val="20"/>
                <w:lang w:val="fr-CA"/>
              </w:rPr>
              <w:t xml:space="preserve"> de</w:t>
            </w:r>
            <w:r>
              <w:rPr>
                <w:b/>
                <w:sz w:val="20"/>
                <w:szCs w:val="20"/>
                <w:lang w:val="fr-CA"/>
              </w:rPr>
              <w:t>s</w:t>
            </w:r>
            <w:r w:rsidRPr="00C73EE6">
              <w:rPr>
                <w:b/>
                <w:sz w:val="20"/>
                <w:szCs w:val="20"/>
                <w:lang w:val="fr-CA"/>
              </w:rPr>
              <w:t xml:space="preserve"> pièces</w:t>
            </w:r>
          </w:p>
        </w:tc>
      </w:tr>
      <w:tr w:rsidR="00442E28" w:rsidRPr="00C73EE6" w:rsidTr="00442E28">
        <w:trPr>
          <w:cantSplit/>
        </w:trPr>
        <w:tc>
          <w:tcPr>
            <w:tcW w:w="4681" w:type="dxa"/>
          </w:tcPr>
          <w:p w:rsidR="00442E28" w:rsidRPr="00052196" w:rsidRDefault="00442E28" w:rsidP="00442E28">
            <w:pPr>
              <w:rPr>
                <w:sz w:val="20"/>
                <w:szCs w:val="20"/>
              </w:rPr>
            </w:pPr>
            <w:r w:rsidRPr="00052196">
              <w:rPr>
                <w:sz w:val="20"/>
                <w:szCs w:val="20"/>
              </w:rPr>
              <w:t>Leighton Hay</w:t>
            </w:r>
          </w:p>
          <w:p w:rsidR="00442E28" w:rsidRPr="00052196" w:rsidRDefault="00442E28" w:rsidP="00442E28">
            <w:pPr>
              <w:rPr>
                <w:sz w:val="20"/>
                <w:szCs w:val="20"/>
              </w:rPr>
            </w:pPr>
          </w:p>
          <w:p w:rsidR="00442E28" w:rsidRPr="00C73EE6" w:rsidRDefault="00442E28" w:rsidP="00442E28">
            <w:pPr>
              <w:rPr>
                <w:sz w:val="20"/>
                <w:szCs w:val="20"/>
              </w:rPr>
            </w:pPr>
            <w:r w:rsidRPr="00052196">
              <w:rPr>
                <w:sz w:val="20"/>
                <w:szCs w:val="20"/>
              </w:rPr>
              <w:tab/>
            </w:r>
            <w:r w:rsidRPr="00C73EE6">
              <w:rPr>
                <w:sz w:val="20"/>
                <w:szCs w:val="20"/>
              </w:rPr>
              <w:t>v. (33536)</w:t>
            </w:r>
          </w:p>
          <w:p w:rsidR="00442E28" w:rsidRPr="00C73EE6" w:rsidRDefault="00442E28" w:rsidP="00442E28">
            <w:pPr>
              <w:rPr>
                <w:sz w:val="20"/>
                <w:szCs w:val="20"/>
              </w:rPr>
            </w:pPr>
          </w:p>
          <w:p w:rsidR="00442E28" w:rsidRPr="00C73EE6" w:rsidRDefault="00442E28" w:rsidP="00442E28">
            <w:pPr>
              <w:rPr>
                <w:sz w:val="20"/>
                <w:szCs w:val="20"/>
                <w:lang w:val="fr-CA"/>
              </w:rPr>
            </w:pPr>
            <w:r w:rsidRPr="00C73EE6">
              <w:rPr>
                <w:sz w:val="20"/>
                <w:szCs w:val="20"/>
              </w:rPr>
              <w:t>Her Majesty the Queen (Crim.) (Ont.)</w:t>
            </w:r>
          </w:p>
        </w:tc>
        <w:tc>
          <w:tcPr>
            <w:tcW w:w="467" w:type="dxa"/>
          </w:tcPr>
          <w:p w:rsidR="00442E28" w:rsidRPr="00C73EE6" w:rsidRDefault="00442E28" w:rsidP="00442E28">
            <w:pPr>
              <w:rPr>
                <w:sz w:val="20"/>
                <w:szCs w:val="20"/>
                <w:lang w:val="fr-CA"/>
              </w:rPr>
            </w:pPr>
          </w:p>
          <w:p w:rsidR="00442E28" w:rsidRPr="00C73EE6" w:rsidRDefault="00442E28" w:rsidP="00442E28">
            <w:pPr>
              <w:rPr>
                <w:sz w:val="20"/>
                <w:szCs w:val="20"/>
                <w:lang w:val="fr-CA"/>
              </w:rPr>
            </w:pPr>
          </w:p>
          <w:p w:rsidR="00442E28" w:rsidRPr="00C73EE6" w:rsidRDefault="00442E28" w:rsidP="00442E28">
            <w:pPr>
              <w:rPr>
                <w:sz w:val="20"/>
                <w:szCs w:val="20"/>
                <w:lang w:val="fr-CA"/>
              </w:rPr>
            </w:pPr>
          </w:p>
          <w:p w:rsidR="00442E28" w:rsidRPr="00C73EE6" w:rsidRDefault="00442E28" w:rsidP="00442E28">
            <w:pPr>
              <w:rPr>
                <w:sz w:val="20"/>
                <w:szCs w:val="20"/>
                <w:lang w:val="fr-CA"/>
              </w:rPr>
            </w:pPr>
          </w:p>
          <w:p w:rsidR="00442E28" w:rsidRPr="00C73EE6" w:rsidRDefault="00442E28" w:rsidP="00442E28">
            <w:pPr>
              <w:rPr>
                <w:sz w:val="20"/>
                <w:szCs w:val="20"/>
                <w:lang w:val="fr-CA"/>
              </w:rPr>
            </w:pPr>
          </w:p>
        </w:tc>
        <w:tc>
          <w:tcPr>
            <w:tcW w:w="4687" w:type="dxa"/>
          </w:tcPr>
          <w:p w:rsidR="00442E28" w:rsidRPr="00C73EE6" w:rsidRDefault="00442E28" w:rsidP="00442E28">
            <w:pPr>
              <w:rPr>
                <w:sz w:val="20"/>
                <w:szCs w:val="20"/>
              </w:rPr>
            </w:pPr>
          </w:p>
        </w:tc>
      </w:tr>
    </w:tbl>
    <w:p w:rsidR="00442E28" w:rsidRPr="00C73EE6" w:rsidRDefault="00442E28" w:rsidP="00442E28">
      <w:pPr>
        <w:rPr>
          <w:sz w:val="20"/>
          <w:szCs w:val="20"/>
        </w:rPr>
      </w:pPr>
    </w:p>
    <w:p w:rsidR="00442E28" w:rsidRPr="00442E28" w:rsidRDefault="00442E28" w:rsidP="00442E28">
      <w:pPr>
        <w:rPr>
          <w:b/>
          <w:bCs/>
          <w:sz w:val="20"/>
          <w:szCs w:val="20"/>
          <w:lang w:bidi="en-US"/>
        </w:rPr>
      </w:pPr>
      <w:r w:rsidRPr="00442E28">
        <w:rPr>
          <w:b/>
          <w:bCs/>
          <w:sz w:val="20"/>
          <w:szCs w:val="20"/>
          <w:u w:val="single"/>
          <w:lang w:bidi="en-US"/>
        </w:rPr>
        <w:t>CROMWELL J.</w:t>
      </w:r>
      <w:r w:rsidRPr="00442E28">
        <w:rPr>
          <w:b/>
          <w:bCs/>
          <w:sz w:val="20"/>
          <w:szCs w:val="20"/>
          <w:lang w:bidi="en-US"/>
        </w:rPr>
        <w:t>:</w:t>
      </w:r>
    </w:p>
    <w:p w:rsidR="00442E28" w:rsidRPr="00442E28" w:rsidRDefault="00442E28" w:rsidP="00442E28">
      <w:pPr>
        <w:rPr>
          <w:b/>
          <w:bCs/>
          <w:sz w:val="20"/>
          <w:szCs w:val="20"/>
          <w:lang w:bidi="en-US"/>
        </w:rPr>
      </w:pPr>
    </w:p>
    <w:p w:rsidR="00442E28" w:rsidRPr="00442E28" w:rsidRDefault="00442E28" w:rsidP="00442E28">
      <w:pPr>
        <w:jc w:val="both"/>
        <w:rPr>
          <w:sz w:val="20"/>
          <w:szCs w:val="20"/>
          <w:lang w:bidi="en-US"/>
        </w:rPr>
      </w:pPr>
      <w:r w:rsidRPr="00442E28">
        <w:rPr>
          <w:sz w:val="20"/>
          <w:szCs w:val="20"/>
          <w:lang w:bidi="en-US"/>
        </w:rPr>
        <w:t>[1]</w:t>
      </w:r>
      <w:r w:rsidRPr="00442E28">
        <w:rPr>
          <w:sz w:val="20"/>
          <w:szCs w:val="20"/>
          <w:lang w:bidi="en-US"/>
        </w:rPr>
        <w:tab/>
        <w:t xml:space="preserve">The applicant and Gary </w:t>
      </w:r>
      <w:proofErr w:type="spellStart"/>
      <w:r w:rsidRPr="00442E28">
        <w:rPr>
          <w:sz w:val="20"/>
          <w:szCs w:val="20"/>
          <w:lang w:bidi="en-US"/>
        </w:rPr>
        <w:t>Eunick</w:t>
      </w:r>
      <w:proofErr w:type="spellEnd"/>
      <w:r w:rsidRPr="00442E28">
        <w:rPr>
          <w:sz w:val="20"/>
          <w:szCs w:val="20"/>
          <w:lang w:bidi="en-US"/>
        </w:rPr>
        <w:t xml:space="preserve"> were convicted of the first degree murder of Collin Moore and the attempted murder of Roger Moore in a nightclub shooting in the summer of 2002.  A joint appeal to the Ontario Court of Appeal was dismissed (</w:t>
      </w:r>
      <w:r w:rsidRPr="00442E28">
        <w:rPr>
          <w:i/>
          <w:sz w:val="20"/>
          <w:szCs w:val="20"/>
          <w:lang w:bidi="en-US"/>
        </w:rPr>
        <w:t>R. v. Hay</w:t>
      </w:r>
      <w:r w:rsidRPr="00442E28">
        <w:rPr>
          <w:sz w:val="20"/>
          <w:szCs w:val="20"/>
          <w:lang w:bidi="en-US"/>
        </w:rPr>
        <w:t>, 2009 ONCA 398, 249 O.A.C. 24) and the applicant has applied for leave to appeal to this Court.  The applicant wishes to determine whether he should seek to supplement with fresh evidence his pending leave application with respect to his argument that the verdict was unreasonable.  For this purpose, he has applied for an order releasing two trial exhibits and their delivery to the Centre of Forensic Sciences for examination.  The respondent Crown opposes the application.  I agree with the position of counsel for both parties that the Court has jurisdiction to make the order sought.  It is also my view that it is in the interests of justice to do so.</w:t>
      </w:r>
    </w:p>
    <w:p w:rsidR="00442E28" w:rsidRPr="00442E28" w:rsidRDefault="00442E28" w:rsidP="00442E28">
      <w:pPr>
        <w:jc w:val="both"/>
        <w:rPr>
          <w:sz w:val="20"/>
          <w:szCs w:val="20"/>
          <w:lang w:val="en-GB"/>
        </w:rPr>
      </w:pPr>
    </w:p>
    <w:p w:rsidR="00442E28" w:rsidRPr="00442E28" w:rsidRDefault="00442E28" w:rsidP="00442E28">
      <w:pPr>
        <w:jc w:val="both"/>
        <w:rPr>
          <w:sz w:val="20"/>
          <w:szCs w:val="20"/>
          <w:lang w:bidi="en-US"/>
        </w:rPr>
      </w:pPr>
      <w:r w:rsidRPr="00442E28">
        <w:rPr>
          <w:sz w:val="20"/>
          <w:szCs w:val="20"/>
          <w:lang w:bidi="en-US"/>
        </w:rPr>
        <w:t>[2]</w:t>
      </w:r>
      <w:r w:rsidRPr="00442E28">
        <w:rPr>
          <w:sz w:val="20"/>
          <w:szCs w:val="20"/>
          <w:lang w:bidi="en-US"/>
        </w:rPr>
        <w:tab/>
        <w:t>Turning first to jurisdiction, I agree with the position of counsel for the respondent that a panel of this Court considering a leave application is authorized by s. 695(1) (read with s. 683(1)(</w:t>
      </w:r>
      <w:r w:rsidRPr="00442E28">
        <w:rPr>
          <w:i/>
          <w:sz w:val="20"/>
          <w:szCs w:val="20"/>
          <w:lang w:bidi="en-US"/>
        </w:rPr>
        <w:t>a</w:t>
      </w:r>
      <w:r w:rsidRPr="00442E28">
        <w:rPr>
          <w:sz w:val="20"/>
          <w:szCs w:val="20"/>
          <w:lang w:bidi="en-US"/>
        </w:rPr>
        <w:t xml:space="preserve">)) of the </w:t>
      </w:r>
      <w:r w:rsidRPr="00442E28">
        <w:rPr>
          <w:i/>
          <w:sz w:val="20"/>
          <w:szCs w:val="20"/>
          <w:lang w:bidi="en-US"/>
        </w:rPr>
        <w:t>Criminal Code</w:t>
      </w:r>
      <w:r w:rsidRPr="00442E28">
        <w:rPr>
          <w:sz w:val="20"/>
          <w:szCs w:val="20"/>
          <w:lang w:bidi="en-US"/>
        </w:rPr>
        <w:t xml:space="preserve">, R.S.C. 1985, c. C-46, to make the order the applicant seeks.  </w:t>
      </w:r>
      <w:proofErr w:type="gramStart"/>
      <w:r w:rsidRPr="00442E28">
        <w:rPr>
          <w:sz w:val="20"/>
          <w:szCs w:val="20"/>
          <w:lang w:bidi="en-US"/>
        </w:rPr>
        <w:t>That section confers authority on the Court in connection with an “appeal under this Part” to make any order that the Court of Appeal might have made.</w:t>
      </w:r>
      <w:proofErr w:type="gramEnd"/>
      <w:r w:rsidRPr="00442E28">
        <w:rPr>
          <w:sz w:val="20"/>
          <w:szCs w:val="20"/>
          <w:lang w:bidi="en-US"/>
        </w:rPr>
        <w:t xml:space="preserve">  While there may be some question as to whether this authority extends to the Court considering an application for leave to appeal, three factors combine to convince me that it does. </w:t>
      </w:r>
    </w:p>
    <w:p w:rsidR="00442E28" w:rsidRPr="00442E28" w:rsidRDefault="00442E28" w:rsidP="00442E28">
      <w:pPr>
        <w:jc w:val="both"/>
        <w:rPr>
          <w:sz w:val="20"/>
          <w:szCs w:val="20"/>
          <w:lang w:bidi="en-US"/>
        </w:rPr>
      </w:pPr>
      <w:r w:rsidRPr="00442E28">
        <w:rPr>
          <w:sz w:val="20"/>
          <w:szCs w:val="20"/>
          <w:lang w:bidi="en-US"/>
        </w:rPr>
        <w:t xml:space="preserve"> </w:t>
      </w:r>
    </w:p>
    <w:p w:rsidR="00442E28" w:rsidRPr="00442E28" w:rsidRDefault="00442E28" w:rsidP="00442E28">
      <w:pPr>
        <w:jc w:val="both"/>
        <w:rPr>
          <w:sz w:val="20"/>
          <w:szCs w:val="20"/>
          <w:lang w:bidi="en-US"/>
        </w:rPr>
      </w:pPr>
      <w:r w:rsidRPr="00442E28">
        <w:rPr>
          <w:sz w:val="20"/>
          <w:szCs w:val="20"/>
          <w:lang w:bidi="en-US"/>
        </w:rPr>
        <w:t>[3]</w:t>
      </w:r>
      <w:r w:rsidRPr="00442E28">
        <w:rPr>
          <w:sz w:val="20"/>
          <w:szCs w:val="20"/>
          <w:lang w:bidi="en-US"/>
        </w:rPr>
        <w:tab/>
        <w:t xml:space="preserve">First, the provisions of the </w:t>
      </w:r>
      <w:r w:rsidRPr="00442E28">
        <w:rPr>
          <w:i/>
          <w:sz w:val="20"/>
          <w:szCs w:val="20"/>
          <w:lang w:bidi="en-US"/>
        </w:rPr>
        <w:t>Criminal Code</w:t>
      </w:r>
      <w:r w:rsidRPr="00442E28">
        <w:rPr>
          <w:sz w:val="20"/>
          <w:szCs w:val="20"/>
          <w:lang w:bidi="en-US"/>
        </w:rPr>
        <w:t xml:space="preserve"> conferring appellate jurisdiction on this Court, while headed “Appeals to the Supreme Court of Canada”, set out situations in which appeals may be taken here either as of right or by leave.  Moreover, for at least some purposes, the application for leave to appeal and the appeal itself in the event of a successful leave application are treated as two stages of an appeal to this Court.  For example, s. 694.2(1), the provision granting the right to an appellant who is in custody to be present “at the hearing of the appeal before the Supreme Court of Canada”, is qualified by s. 694.2(2</w:t>
      </w:r>
      <w:proofErr w:type="gramStart"/>
      <w:r w:rsidRPr="00442E28">
        <w:rPr>
          <w:sz w:val="20"/>
          <w:szCs w:val="20"/>
          <w:lang w:bidi="en-US"/>
        </w:rPr>
        <w:t>)(</w:t>
      </w:r>
      <w:proofErr w:type="gramEnd"/>
      <w:r w:rsidRPr="00442E28">
        <w:rPr>
          <w:i/>
          <w:sz w:val="20"/>
          <w:szCs w:val="20"/>
          <w:lang w:bidi="en-US"/>
        </w:rPr>
        <w:t>a</w:t>
      </w:r>
      <w:r w:rsidRPr="00442E28">
        <w:rPr>
          <w:sz w:val="20"/>
          <w:szCs w:val="20"/>
          <w:lang w:bidi="en-US"/>
        </w:rPr>
        <w:t>) to make clear that a person in custody who is represented by counsel is not entitled to be present “on an application for leave to appeal”.  This qualification would not be necessary if the right to be present at an appeal set out in s. 694.2(1) did not include the right to be present for an oral hearing of an application for leave to appeal.</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[4]</w:t>
      </w:r>
      <w:r w:rsidRPr="00442E28">
        <w:rPr>
          <w:sz w:val="20"/>
          <w:szCs w:val="20"/>
          <w:lang w:bidi="en-US"/>
        </w:rPr>
        <w:tab/>
        <w:t xml:space="preserve">Second, while the term “appeal” is not a defined term in the </w:t>
      </w:r>
      <w:r w:rsidRPr="00442E28">
        <w:rPr>
          <w:i/>
          <w:sz w:val="20"/>
          <w:szCs w:val="20"/>
          <w:lang w:bidi="en-US"/>
        </w:rPr>
        <w:t>Criminal Code</w:t>
      </w:r>
      <w:r w:rsidRPr="00442E28">
        <w:rPr>
          <w:sz w:val="20"/>
          <w:szCs w:val="20"/>
          <w:lang w:bidi="en-US"/>
        </w:rPr>
        <w:t xml:space="preserve">, it is defined in the </w:t>
      </w:r>
      <w:r w:rsidRPr="00442E28">
        <w:rPr>
          <w:i/>
          <w:sz w:val="20"/>
          <w:szCs w:val="20"/>
          <w:lang w:bidi="en-US"/>
        </w:rPr>
        <w:t>Supreme Court Act</w:t>
      </w:r>
      <w:r w:rsidRPr="00442E28">
        <w:rPr>
          <w:sz w:val="20"/>
          <w:szCs w:val="20"/>
          <w:lang w:bidi="en-US"/>
        </w:rPr>
        <w:t xml:space="preserve"> to include “any proceeding to set aside or vary any judgment of the court appealed from”:  </w:t>
      </w:r>
      <w:r w:rsidRPr="00442E28">
        <w:rPr>
          <w:i/>
          <w:sz w:val="20"/>
          <w:szCs w:val="20"/>
          <w:lang w:bidi="en-US"/>
        </w:rPr>
        <w:t>Supreme Court Act</w:t>
      </w:r>
      <w:r w:rsidRPr="00442E28">
        <w:rPr>
          <w:sz w:val="20"/>
          <w:szCs w:val="20"/>
          <w:lang w:bidi="en-US"/>
        </w:rPr>
        <w:t>, R.S.C. 1985, c. S-26, s. 2(1). This definition is broad enough to include in this context an application for leave to appeal.  As provided in s. 15(2)(</w:t>
      </w:r>
      <w:r w:rsidRPr="00442E28">
        <w:rPr>
          <w:i/>
          <w:sz w:val="20"/>
          <w:szCs w:val="20"/>
          <w:lang w:bidi="en-US"/>
        </w:rPr>
        <w:t>b</w:t>
      </w:r>
      <w:r w:rsidRPr="00442E28">
        <w:rPr>
          <w:sz w:val="20"/>
          <w:szCs w:val="20"/>
          <w:lang w:bidi="en-US"/>
        </w:rPr>
        <w:t xml:space="preserve">) of the </w:t>
      </w:r>
      <w:r w:rsidRPr="00442E28">
        <w:rPr>
          <w:i/>
          <w:sz w:val="20"/>
          <w:szCs w:val="20"/>
          <w:lang w:bidi="en-US"/>
        </w:rPr>
        <w:t>Interpretation Act</w:t>
      </w:r>
      <w:r w:rsidRPr="00442E28">
        <w:rPr>
          <w:sz w:val="20"/>
          <w:szCs w:val="20"/>
          <w:lang w:bidi="en-US"/>
        </w:rPr>
        <w:t xml:space="preserve">, R.S.C. 1985, c. I-21, this definition is to be “read and construed … as being applicable to all other enactments relating to the same subject-matter unless a contrary intention appears”.  The broader definition of “appeal” in the </w:t>
      </w:r>
      <w:r w:rsidRPr="00442E28">
        <w:rPr>
          <w:i/>
          <w:sz w:val="20"/>
          <w:szCs w:val="20"/>
          <w:lang w:bidi="en-US"/>
        </w:rPr>
        <w:t>Supreme Court Act</w:t>
      </w:r>
      <w:r w:rsidRPr="00442E28">
        <w:rPr>
          <w:sz w:val="20"/>
          <w:szCs w:val="20"/>
          <w:lang w:bidi="en-US"/>
        </w:rPr>
        <w:t xml:space="preserve"> should therefore be applied to that term as used in the provisions of the </w:t>
      </w:r>
      <w:r w:rsidRPr="00442E28">
        <w:rPr>
          <w:i/>
          <w:sz w:val="20"/>
          <w:szCs w:val="20"/>
          <w:lang w:bidi="en-US"/>
        </w:rPr>
        <w:t>Criminal Code</w:t>
      </w:r>
      <w:r w:rsidRPr="00442E28">
        <w:rPr>
          <w:sz w:val="20"/>
          <w:szCs w:val="20"/>
          <w:lang w:bidi="en-US"/>
        </w:rPr>
        <w:t xml:space="preserve"> conferring appellate jurisdiction on this Court absent a contrary intention.  I see none.</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[5]</w:t>
      </w:r>
      <w:r w:rsidRPr="00442E28">
        <w:rPr>
          <w:sz w:val="20"/>
          <w:szCs w:val="20"/>
          <w:lang w:bidi="en-US"/>
        </w:rPr>
        <w:tab/>
        <w:t>Finally, as counsel for the respondent pointed out in her oral submissions, a contrary interpretation would leave a potentially significant lacuna in the powers of this Court to fully address leave applications.</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[6]</w:t>
      </w:r>
      <w:r w:rsidRPr="00442E28">
        <w:rPr>
          <w:sz w:val="20"/>
          <w:szCs w:val="20"/>
          <w:lang w:bidi="en-US"/>
        </w:rPr>
        <w:tab/>
        <w:t xml:space="preserve">I conclude that a panel of the Court considering a leave application has authority to make the order sought.  I now turn to why, in my view, it is in the interests of justice that we do so. </w:t>
      </w:r>
    </w:p>
    <w:p w:rsidR="00442E28" w:rsidRPr="00442E28" w:rsidRDefault="00442E28" w:rsidP="00442E28">
      <w:pPr>
        <w:jc w:val="both"/>
        <w:rPr>
          <w:sz w:val="20"/>
          <w:szCs w:val="20"/>
          <w:lang w:bidi="en-US"/>
        </w:rPr>
      </w:pPr>
      <w:r w:rsidRPr="00442E28">
        <w:rPr>
          <w:sz w:val="20"/>
          <w:szCs w:val="20"/>
          <w:lang w:bidi="en-US"/>
        </w:rPr>
        <w:lastRenderedPageBreak/>
        <w:t>[7]</w:t>
      </w:r>
      <w:r w:rsidRPr="00442E28">
        <w:rPr>
          <w:sz w:val="20"/>
          <w:szCs w:val="20"/>
          <w:lang w:bidi="en-US"/>
        </w:rPr>
        <w:tab/>
        <w:t xml:space="preserve">There was a significant issue at trial about whether the applicant was the second of two gunmen who participated in the murder.  The eyewitness identification at the scene was somewhat equivocal although there was considerable circumstantial evidence tending to link the applicant to the shooting.  The Crown at trial argued to the jury that the post-offence conduct of the applicant supported an inference of guilt.  It was contended that shortly after the killing he went to his home with the co-accused and changed his appearance by shaving his head.  The Crown relied, among other evidence, on hair clippings found wrapped in </w:t>
      </w:r>
      <w:proofErr w:type="gramStart"/>
      <w:r w:rsidRPr="00442E28">
        <w:rPr>
          <w:sz w:val="20"/>
          <w:szCs w:val="20"/>
          <w:lang w:bidi="en-US"/>
        </w:rPr>
        <w:t>a newspaper which were</w:t>
      </w:r>
      <w:proofErr w:type="gramEnd"/>
      <w:r w:rsidRPr="00442E28">
        <w:rPr>
          <w:sz w:val="20"/>
          <w:szCs w:val="20"/>
          <w:lang w:bidi="en-US"/>
        </w:rPr>
        <w:t xml:space="preserve"> found in a garbage can of a washroom adjacent to the applicant’s bedroom and in a hair clipper or razor found in the drawer of a nightstand in the applicant’s bedroom.  In its judgment, the Court of Appeal concluded that these clippings, combined with other evidence concerning the applicant’s appearance before the shooting, provided “a powerful inference” that the applicant had shaved his head after the murder to disguise his appearance (</w:t>
      </w:r>
      <w:proofErr w:type="spellStart"/>
      <w:r w:rsidRPr="00442E28">
        <w:rPr>
          <w:sz w:val="20"/>
          <w:szCs w:val="20"/>
          <w:lang w:bidi="en-US"/>
        </w:rPr>
        <w:t>paras</w:t>
      </w:r>
      <w:proofErr w:type="spellEnd"/>
      <w:r w:rsidRPr="00442E28">
        <w:rPr>
          <w:sz w:val="20"/>
          <w:szCs w:val="20"/>
          <w:lang w:bidi="en-US"/>
        </w:rPr>
        <w:t>. 36-36).  The Court of Appeal found that this “powerful inference”, coupled with other evidence was enough to put the case over “the unreasonable verdict threshold” (</w:t>
      </w:r>
      <w:proofErr w:type="spellStart"/>
      <w:r w:rsidRPr="00442E28">
        <w:rPr>
          <w:sz w:val="20"/>
          <w:szCs w:val="20"/>
          <w:lang w:bidi="en-US"/>
        </w:rPr>
        <w:t>para</w:t>
      </w:r>
      <w:proofErr w:type="spellEnd"/>
      <w:r w:rsidRPr="00442E28">
        <w:rPr>
          <w:sz w:val="20"/>
          <w:szCs w:val="20"/>
          <w:lang w:bidi="en-US"/>
        </w:rPr>
        <w:t>. 36).</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[8]</w:t>
      </w:r>
      <w:r w:rsidRPr="00442E28">
        <w:rPr>
          <w:sz w:val="20"/>
          <w:szCs w:val="20"/>
          <w:lang w:bidi="en-US"/>
        </w:rPr>
        <w:tab/>
        <w:t>The applicant seeks to have the clippings released for forensic examination to determine whether the hair is facial or scalp hair.  The evidence before us on the application is that the Centre of Forensic Sciences has the expertise required to conduct this type of examination and that it can be completed within three weeks of receipt of the items to be tested.  This sort of forensic testing was not conducted by the Crown in preparation for trial and was not requested on behalf of the defence until several months after the appeal to the Court of Appeal had been dismissed.  Defence counsel at trial indicates in his affidavit that he was unaware that forensic analysis could distinguish between scalp and facial hairs.  There is a letter in the record indicating that the applicant’s counsel on the appeal to the Court of Appeal was similarly unaware of the feasibility of such testing.  There is no evidence that the Crown was aware of this possibility.  Given that it appears that no one requested such testing and the potential importance of the result which might be obtained, I would infer that it simply did not occur to any of the experienced criminal lawyers involved that this testing was available.</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[9]</w:t>
      </w:r>
      <w:r w:rsidRPr="00442E28">
        <w:rPr>
          <w:sz w:val="20"/>
          <w:szCs w:val="20"/>
          <w:lang w:bidi="en-US"/>
        </w:rPr>
        <w:tab/>
        <w:t>Given the importance attached to the head shaving evidence by Crown counsel at trial and the significance of the inference of guilt which the head shaving evidence appears to have had in the Court of Appeal’s conclusion that the verdict of guilty was not unreasonable, it is in my view in the interests of justice that the applicant have access to this information in formulating his application for leave to appeal to this Court.  Of course, we are not at the stage of considering an application to adduce fresh evidence which would have to be addressed if and when advanced.  At this stage, the applicant wishes simply to explore a possible source of expert evidence that may or may not produce evidence that is capable of laying the basis for such an application.</w:t>
      </w:r>
    </w:p>
    <w:p w:rsidR="00442E28" w:rsidRPr="00442E28" w:rsidRDefault="00442E28" w:rsidP="00442E28">
      <w:pPr>
        <w:jc w:val="both"/>
        <w:rPr>
          <w:sz w:val="20"/>
          <w:szCs w:val="20"/>
          <w:lang w:bidi="en-US"/>
        </w:rPr>
      </w:pPr>
    </w:p>
    <w:p w:rsidR="00442E28" w:rsidRPr="00442E28" w:rsidRDefault="00442E28" w:rsidP="00442E28">
      <w:pPr>
        <w:jc w:val="both"/>
        <w:rPr>
          <w:sz w:val="20"/>
          <w:szCs w:val="20"/>
          <w:lang w:bidi="en-US"/>
        </w:rPr>
      </w:pPr>
      <w:r w:rsidRPr="00442E28">
        <w:rPr>
          <w:sz w:val="20"/>
          <w:szCs w:val="20"/>
          <w:lang w:bidi="en-US"/>
        </w:rPr>
        <w:t>[10]</w:t>
      </w:r>
      <w:r w:rsidRPr="00442E28">
        <w:rPr>
          <w:sz w:val="20"/>
          <w:szCs w:val="20"/>
          <w:lang w:bidi="en-US"/>
        </w:rPr>
        <w:tab/>
        <w:t>The motion is allowed and counsel are directed to submit to the Court in draft a supplementary order addressing the precise arrangements to be made for release, transport, testing and return of the exhibits.  If counsel cannot agree on a joint draft within 14 days hereof then each party is to submit a proposed draft order within 21 days of the date of this order for the Court’s consideration.</w:t>
      </w:r>
    </w:p>
    <w:p w:rsidR="00442E28" w:rsidRDefault="00442E28" w:rsidP="00890FEB">
      <w:pPr>
        <w:rPr>
          <w:sz w:val="20"/>
          <w:szCs w:val="20"/>
        </w:rPr>
      </w:pPr>
    </w:p>
    <w:p w:rsidR="00442E28" w:rsidRDefault="00442E28" w:rsidP="00890FEB">
      <w:pPr>
        <w:rPr>
          <w:sz w:val="20"/>
          <w:szCs w:val="20"/>
        </w:rPr>
      </w:pPr>
    </w:p>
    <w:p w:rsidR="00442E28" w:rsidRDefault="00442E28" w:rsidP="00890FEB">
      <w:pPr>
        <w:rPr>
          <w:sz w:val="20"/>
          <w:szCs w:val="20"/>
        </w:rPr>
      </w:pPr>
    </w:p>
    <w:p w:rsidR="00442E28" w:rsidRPr="00442E28" w:rsidRDefault="00442E28" w:rsidP="00442E28">
      <w:pPr>
        <w:rPr>
          <w:b/>
          <w:sz w:val="20"/>
          <w:szCs w:val="20"/>
          <w:lang w:val="fr-CA"/>
        </w:rPr>
      </w:pPr>
      <w:r w:rsidRPr="00442E28">
        <w:rPr>
          <w:b/>
          <w:sz w:val="20"/>
          <w:szCs w:val="20"/>
          <w:u w:val="single"/>
          <w:lang w:val="fr-CA"/>
        </w:rPr>
        <w:t>LE JUGE CROMWELL</w:t>
      </w:r>
      <w:r w:rsidRPr="00442E28">
        <w:rPr>
          <w:b/>
          <w:sz w:val="20"/>
          <w:szCs w:val="20"/>
          <w:lang w:val="fr-CA"/>
        </w:rPr>
        <w:t xml:space="preserve"> : </w:t>
      </w:r>
    </w:p>
    <w:p w:rsidR="00442E28" w:rsidRPr="00442E28" w:rsidRDefault="00442E28" w:rsidP="00442E28">
      <w:pPr>
        <w:rPr>
          <w:sz w:val="20"/>
          <w:szCs w:val="20"/>
          <w:u w:val="single"/>
          <w:lang w:val="fr-CA"/>
        </w:rPr>
      </w:pPr>
    </w:p>
    <w:p w:rsidR="00442E28" w:rsidRPr="00442E28" w:rsidRDefault="00442E28" w:rsidP="00442E28">
      <w:pPr>
        <w:jc w:val="both"/>
        <w:rPr>
          <w:sz w:val="20"/>
          <w:szCs w:val="20"/>
          <w:lang w:val="fr-FR"/>
        </w:rPr>
      </w:pPr>
      <w:r w:rsidRPr="00442E28">
        <w:rPr>
          <w:sz w:val="20"/>
          <w:szCs w:val="20"/>
          <w:lang w:val="fr-CA"/>
        </w:rPr>
        <w:t>[1]</w:t>
      </w:r>
      <w:r w:rsidRPr="00442E28">
        <w:rPr>
          <w:sz w:val="20"/>
          <w:szCs w:val="20"/>
          <w:lang w:val="fr-CA"/>
        </w:rPr>
        <w:tab/>
      </w:r>
      <w:r w:rsidRPr="00442E28">
        <w:rPr>
          <w:sz w:val="20"/>
          <w:szCs w:val="20"/>
          <w:lang w:val="fr-FR"/>
        </w:rPr>
        <w:t xml:space="preserve">Le demandeur et Gary </w:t>
      </w:r>
      <w:proofErr w:type="spellStart"/>
      <w:r w:rsidRPr="00442E28">
        <w:rPr>
          <w:sz w:val="20"/>
          <w:szCs w:val="20"/>
          <w:lang w:val="fr-FR"/>
        </w:rPr>
        <w:t>Eunick</w:t>
      </w:r>
      <w:proofErr w:type="spellEnd"/>
      <w:r w:rsidRPr="00442E28">
        <w:rPr>
          <w:sz w:val="20"/>
          <w:szCs w:val="20"/>
          <w:lang w:val="fr-FR"/>
        </w:rPr>
        <w:t xml:space="preserve"> ont été reconnus coupables du meurtre au premier degré de </w:t>
      </w:r>
      <w:proofErr w:type="spellStart"/>
      <w:r w:rsidRPr="00442E28">
        <w:rPr>
          <w:sz w:val="20"/>
          <w:szCs w:val="20"/>
          <w:lang w:val="fr-FR"/>
        </w:rPr>
        <w:t>Collin</w:t>
      </w:r>
      <w:proofErr w:type="spellEnd"/>
      <w:r w:rsidRPr="00442E28">
        <w:rPr>
          <w:sz w:val="20"/>
          <w:szCs w:val="20"/>
          <w:lang w:val="fr-FR"/>
        </w:rPr>
        <w:t> Moore et de tentative de meurtre à l’endroit de Roger Moore à la suite d’une fusillade survenue dans une boîte de nuit à l’été 2002. La Cour d’appel de l’Ontario a rejeté leur appel conjoint de ces déclarations de culpabilité (</w:t>
      </w:r>
      <w:r w:rsidRPr="00442E28">
        <w:rPr>
          <w:i/>
          <w:sz w:val="20"/>
          <w:szCs w:val="20"/>
          <w:lang w:val="fr-FR"/>
        </w:rPr>
        <w:t>R. c. Hay</w:t>
      </w:r>
      <w:r w:rsidRPr="00442E28">
        <w:rPr>
          <w:sz w:val="20"/>
          <w:szCs w:val="20"/>
          <w:lang w:val="fr-FR"/>
        </w:rPr>
        <w:t xml:space="preserve">, 2009 ONCA 398, 249 O.A.C. 24), et le demandeur sollicite l’autorisation de se pourvoir devant notre Cour. Il désire déterminer s’il existe de nouveaux éléments de preuve qui pourraient servir à étayer sa demande d’autorisation pendante, relativement à son argument selon lequel le verdict était déraisonnable. À cette fin, il a sollicité une ordonnance visant la production de deux pièces déposées au procès et leur remise pour examen au Centre des sciences judiciaires. Le ministère public intimé s’oppose à cette demande. Je suis d’accord avec les avocats des deux parties pour dire que la Cour a compétence pour rendre l’ordonnance demandée. J’estime également qu’il est dans l’intérêt de la justice qu’une telle ordonnance soit rendue.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[2]</w:t>
      </w:r>
      <w:r w:rsidRPr="00442E28">
        <w:rPr>
          <w:sz w:val="20"/>
          <w:szCs w:val="20"/>
          <w:lang w:val="fr-FR"/>
        </w:rPr>
        <w:tab/>
        <w:t xml:space="preserve">Commençons d’abord par la question de la compétence. Je souscris à la thèse de l’avocate de l’intimée selon laquelle le par. 695(1) du </w:t>
      </w:r>
      <w:r w:rsidRPr="00442E28">
        <w:rPr>
          <w:i/>
          <w:iCs/>
          <w:sz w:val="20"/>
          <w:szCs w:val="20"/>
          <w:lang w:val="fr-FR"/>
        </w:rPr>
        <w:t>Code criminel</w:t>
      </w:r>
      <w:r w:rsidRPr="00442E28">
        <w:rPr>
          <w:sz w:val="20"/>
          <w:szCs w:val="20"/>
          <w:lang w:val="fr-FR"/>
        </w:rPr>
        <w:t>, L.R.C. 1985, ch. C-46, lu en corrélation avec l'al. 683(1</w:t>
      </w:r>
      <w:proofErr w:type="gramStart"/>
      <w:r w:rsidRPr="00442E28">
        <w:rPr>
          <w:sz w:val="20"/>
          <w:szCs w:val="20"/>
          <w:lang w:val="fr-FR"/>
        </w:rPr>
        <w:t>)(</w:t>
      </w:r>
      <w:proofErr w:type="gramEnd"/>
      <w:r w:rsidRPr="00442E28">
        <w:rPr>
          <w:i/>
          <w:iCs/>
          <w:sz w:val="20"/>
          <w:szCs w:val="20"/>
          <w:lang w:val="fr-FR"/>
        </w:rPr>
        <w:t>a</w:t>
      </w:r>
      <w:r w:rsidRPr="00442E28">
        <w:rPr>
          <w:sz w:val="20"/>
          <w:szCs w:val="20"/>
          <w:lang w:val="fr-FR"/>
        </w:rPr>
        <w:t xml:space="preserve">) de cette loi, </w:t>
      </w:r>
      <w:r w:rsidRPr="00442E28">
        <w:rPr>
          <w:sz w:val="20"/>
          <w:szCs w:val="20"/>
          <w:lang w:val="fr-FR"/>
        </w:rPr>
        <w:lastRenderedPageBreak/>
        <w:t xml:space="preserve">autorise une formation de la Cour saisie d’une demande d’autorisation d’appel à rendre l’ordonnance que sollicite le demandeur. Suivant le par. 695(1), la Cour peut, « sur un appel aux termes de la présente partie », rendre toute ordonnance que la cour d’appel aurait pu rendre. Quoiqu’il soit permis de se demander si ce pouvoir s’étend à la Cour lorsqu’elle examine une demande d’autorisation d’appel, trois facteurs me convainquent que la réponse est oui.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[3]</w:t>
      </w:r>
      <w:r w:rsidRPr="00442E28">
        <w:rPr>
          <w:sz w:val="20"/>
          <w:szCs w:val="20"/>
          <w:lang w:val="fr-FR"/>
        </w:rPr>
        <w:tab/>
        <w:t xml:space="preserve">Premièrement, bien qu’elles figurent sous la rubrique « Appels à la Cour suprême du Canada », les dispositions du </w:t>
      </w:r>
      <w:r w:rsidRPr="00442E28">
        <w:rPr>
          <w:i/>
          <w:sz w:val="20"/>
          <w:szCs w:val="20"/>
          <w:lang w:val="fr-FR"/>
        </w:rPr>
        <w:t>Code criminel</w:t>
      </w:r>
      <w:r w:rsidRPr="00442E28">
        <w:rPr>
          <w:sz w:val="20"/>
          <w:szCs w:val="20"/>
          <w:lang w:val="fr-FR"/>
        </w:rPr>
        <w:t xml:space="preserve"> conférant à la Cour compétence en matière d’appel prévoient des situations où l’appel est formé soit de plein droit soit sur autorisation. En outre, à certains égards au moins, la demande d’autorisation d’appel et l’appel lui-même (si l’autorisation est accordée) sont considérés comme deux étapes d’un appel à la Cour. Par exemple, l’al. 694.2(2</w:t>
      </w:r>
      <w:proofErr w:type="gramStart"/>
      <w:r w:rsidRPr="00442E28">
        <w:rPr>
          <w:sz w:val="20"/>
          <w:szCs w:val="20"/>
          <w:lang w:val="fr-FR"/>
        </w:rPr>
        <w:t>)(</w:t>
      </w:r>
      <w:proofErr w:type="gramEnd"/>
      <w:r w:rsidRPr="00442E28">
        <w:rPr>
          <w:i/>
          <w:sz w:val="20"/>
          <w:szCs w:val="20"/>
          <w:lang w:val="fr-FR"/>
        </w:rPr>
        <w:t>a</w:t>
      </w:r>
      <w:r w:rsidRPr="00442E28">
        <w:rPr>
          <w:sz w:val="20"/>
          <w:szCs w:val="20"/>
          <w:lang w:val="fr-FR"/>
        </w:rPr>
        <w:t xml:space="preserve">) vient préciser le par. 694.2(1) -- lequel accorde à l’appelant qui est sous garde le droit d’être présent « à l’audition de l’appel devant la Cour suprême du Canada » -- en indiquant clairement qu’une personne qui est sous garde et qui est représentée par un avocat n’a pas le droit d’être présente devant la Cour suprême « lors de la demande d’autorisation d’appel ». Cette précision serait inutile si le droit, prévu au par. 694.2(1), d’être présent lors de l’audition d’un appel n’emportait pas celui d’assister à l’audition d’une demande d’autorisation d’appel.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[4]</w:t>
      </w:r>
      <w:r w:rsidRPr="00442E28">
        <w:rPr>
          <w:sz w:val="20"/>
          <w:szCs w:val="20"/>
          <w:lang w:val="fr-FR"/>
        </w:rPr>
        <w:tab/>
        <w:t xml:space="preserve">Deuxièmement, le terme « appel » n’est pas défini dans le </w:t>
      </w:r>
      <w:r w:rsidRPr="00442E28">
        <w:rPr>
          <w:i/>
          <w:sz w:val="20"/>
          <w:szCs w:val="20"/>
          <w:lang w:val="fr-FR"/>
        </w:rPr>
        <w:t>Code criminel</w:t>
      </w:r>
      <w:r w:rsidRPr="00442E28">
        <w:rPr>
          <w:sz w:val="20"/>
          <w:szCs w:val="20"/>
          <w:lang w:val="fr-FR"/>
        </w:rPr>
        <w:t xml:space="preserve">, mais il l’est dans la </w:t>
      </w:r>
      <w:r w:rsidRPr="00442E28">
        <w:rPr>
          <w:i/>
          <w:sz w:val="20"/>
          <w:szCs w:val="20"/>
          <w:lang w:val="fr-FR"/>
        </w:rPr>
        <w:t>Loi sur la Cour suprême</w:t>
      </w:r>
      <w:r w:rsidRPr="00442E28">
        <w:rPr>
          <w:sz w:val="20"/>
          <w:szCs w:val="20"/>
          <w:lang w:val="fr-FR"/>
        </w:rPr>
        <w:t xml:space="preserve">, où il s’entend de « toute procédure visant […] </w:t>
      </w:r>
      <w:r w:rsidRPr="00442E28">
        <w:rPr>
          <w:sz w:val="20"/>
          <w:szCs w:val="20"/>
          <w:lang w:val="fr-CA"/>
        </w:rPr>
        <w:t xml:space="preserve">l’infirmation ou la rectification d’un jugement d’une juridiction inférieure » : </w:t>
      </w:r>
      <w:r w:rsidRPr="00442E28">
        <w:rPr>
          <w:i/>
          <w:sz w:val="20"/>
          <w:szCs w:val="20"/>
          <w:lang w:val="fr-CA"/>
        </w:rPr>
        <w:t>Loi sur la Cour suprême</w:t>
      </w:r>
      <w:r w:rsidRPr="00442E28">
        <w:rPr>
          <w:sz w:val="20"/>
          <w:szCs w:val="20"/>
          <w:lang w:val="fr-FR"/>
        </w:rPr>
        <w:t>, L.R.C. 1985, ch. S-26, par. 2(1). Cette définition est suffisamment large, dans le contexte qui nous occupe, pour englober une demande d’autorisation d’appel. Aux termes de l’al. 15(2)</w:t>
      </w:r>
      <w:r w:rsidRPr="00442E28">
        <w:rPr>
          <w:i/>
          <w:sz w:val="20"/>
          <w:szCs w:val="20"/>
          <w:lang w:val="fr-FR"/>
        </w:rPr>
        <w:t>b</w:t>
      </w:r>
      <w:r w:rsidRPr="00442E28">
        <w:rPr>
          <w:sz w:val="20"/>
          <w:szCs w:val="20"/>
          <w:lang w:val="fr-FR"/>
        </w:rPr>
        <w:t xml:space="preserve">) de la </w:t>
      </w:r>
      <w:r w:rsidRPr="00442E28">
        <w:rPr>
          <w:i/>
          <w:sz w:val="20"/>
          <w:szCs w:val="20"/>
          <w:lang w:val="fr-FR"/>
        </w:rPr>
        <w:t>Loi d’interprétation</w:t>
      </w:r>
      <w:r w:rsidRPr="00442E28">
        <w:rPr>
          <w:sz w:val="20"/>
          <w:szCs w:val="20"/>
          <w:lang w:val="fr-FR"/>
        </w:rPr>
        <w:t xml:space="preserve">, il faut considérer que cette définition « […] </w:t>
      </w:r>
      <w:proofErr w:type="gramStart"/>
      <w:r w:rsidRPr="00442E28">
        <w:rPr>
          <w:sz w:val="20"/>
          <w:szCs w:val="20"/>
          <w:lang w:val="fr-FR"/>
        </w:rPr>
        <w:t>s’[</w:t>
      </w:r>
      <w:proofErr w:type="gramEnd"/>
      <w:r w:rsidRPr="00442E28">
        <w:rPr>
          <w:sz w:val="20"/>
          <w:szCs w:val="20"/>
          <w:lang w:val="fr-FR"/>
        </w:rPr>
        <w:t xml:space="preserve">applique], sauf indication contraire, aux autres textes portant sur un domaine identique ». Par conséquent, la définition large d’« appel » qui figure dans la </w:t>
      </w:r>
      <w:r w:rsidRPr="00442E28">
        <w:rPr>
          <w:i/>
          <w:sz w:val="20"/>
          <w:szCs w:val="20"/>
          <w:lang w:val="fr-FR"/>
        </w:rPr>
        <w:t>Loi sur la</w:t>
      </w:r>
      <w:r w:rsidRPr="00442E28">
        <w:rPr>
          <w:sz w:val="20"/>
          <w:szCs w:val="20"/>
          <w:lang w:val="fr-FR"/>
        </w:rPr>
        <w:t xml:space="preserve"> </w:t>
      </w:r>
      <w:r w:rsidRPr="00442E28">
        <w:rPr>
          <w:i/>
          <w:sz w:val="20"/>
          <w:szCs w:val="20"/>
          <w:lang w:val="fr-FR"/>
        </w:rPr>
        <w:t>Cour suprême</w:t>
      </w:r>
      <w:r w:rsidRPr="00442E28">
        <w:rPr>
          <w:sz w:val="20"/>
          <w:szCs w:val="20"/>
          <w:lang w:val="fr-FR"/>
        </w:rPr>
        <w:t xml:space="preserve"> doit être appliquée à ce terme lorsqu’il est utilisé dans les dispositions du </w:t>
      </w:r>
      <w:r w:rsidRPr="00442E28">
        <w:rPr>
          <w:i/>
          <w:sz w:val="20"/>
          <w:szCs w:val="20"/>
          <w:lang w:val="fr-FR"/>
        </w:rPr>
        <w:t>Code criminel</w:t>
      </w:r>
      <w:r w:rsidRPr="00442E28">
        <w:rPr>
          <w:sz w:val="20"/>
          <w:szCs w:val="20"/>
          <w:lang w:val="fr-FR"/>
        </w:rPr>
        <w:t xml:space="preserve"> conférant à notre Cour sa compétence en matière d’appel, sauf indication à l’effet contraire. Or, je ne peux trouver aucune indication de cette nature.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[5]</w:t>
      </w:r>
      <w:r w:rsidRPr="00442E28">
        <w:rPr>
          <w:sz w:val="20"/>
          <w:szCs w:val="20"/>
          <w:lang w:val="fr-FR"/>
        </w:rPr>
        <w:tab/>
        <w:t xml:space="preserve">Enfin, comme l’a souligné l’avocate de l’intimée dans sa plaidoirie, une interprétation contraire risquerait de limiter considérablement le pouvoir de la Cour d’examiner à fond les demandes d’autorisation d’appel.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[6]</w:t>
      </w:r>
      <w:r w:rsidRPr="00442E28">
        <w:rPr>
          <w:sz w:val="20"/>
          <w:szCs w:val="20"/>
          <w:lang w:val="fr-FR"/>
        </w:rPr>
        <w:tab/>
        <w:t xml:space="preserve">J’en viens à la conclusion qu’une formation de la Cour saisie d’une demande d’autorisation est compétente pour rendre l’ordonnance sollicitée en l’espèce. Je vais maintenant examiner les raisons pour lesquelles il est dans l’intérêt de la justice, à mon avis, que nous rendions une telle ordonnance.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[7]</w:t>
      </w:r>
      <w:r w:rsidRPr="00442E28">
        <w:rPr>
          <w:sz w:val="20"/>
          <w:szCs w:val="20"/>
          <w:lang w:val="fr-FR"/>
        </w:rPr>
        <w:tab/>
        <w:t xml:space="preserve">La question de savoir si le demandeur était le deuxième des deux hommes armés ayant participé au meurtre a été vigoureusement débattue au procès. L’identification faite par les témoins oculaires sur les lieux était quelque peu équivoque, mais il existait une abondante preuve circonstancielle tendant à démontrer que le demandeur avait pris part à la fusillade. Au procès, le ministère public a dit au jury que la manière dont s’était comporté le demandeur après l’infraction étayait une inférence de culpabilité. On a soutenu que, peu de temps après le meurtre, le demandeur s’est rendu chez lui avec le coaccusé et a changé son apparence en se rasant la tête. Le ministère public a notamment déposé en preuve des bouts de cheveux emballés dans du papier journal qui avaient été découverts dans la poubelle des toilettes adjacentes à la chambre à coucher du demandeur, ainsi qu’une tondeuse ou un rasoir à cheveux trouvé dans le tiroir d’une table de nuit dans la chambre à coucher. Dans sa décision, la Cour d’appel a conclu que, conjugués à d’autres éléments de preuve relatifs à l’apparence du demandeur avant la fusillade, ces bouts de cheveux permettaient de tirer [traduction] « une solide inférence » que ce dernier s’était rasé la tête après le meurtre pour changer d’apparence (par. 35 et 36). La Cour d’appel a conclu que cette « solide inférence », ajoutée à ces autres éléments de preuve, suffisait pour élever le verdict au-dessus </w:t>
      </w:r>
      <w:proofErr w:type="gramStart"/>
      <w:r w:rsidRPr="00442E28">
        <w:rPr>
          <w:sz w:val="20"/>
          <w:szCs w:val="20"/>
          <w:lang w:val="fr-FR"/>
        </w:rPr>
        <w:t>du</w:t>
      </w:r>
      <w:proofErr w:type="gramEnd"/>
      <w:r w:rsidRPr="00442E28">
        <w:rPr>
          <w:sz w:val="20"/>
          <w:szCs w:val="20"/>
          <w:lang w:val="fr-FR"/>
        </w:rPr>
        <w:t xml:space="preserve"> [traduction] « seuil sous lequel un verdict est déraisonnable » (par. 36).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[8]</w:t>
      </w:r>
      <w:r w:rsidRPr="00442E28">
        <w:rPr>
          <w:sz w:val="20"/>
          <w:szCs w:val="20"/>
          <w:lang w:val="fr-FR"/>
        </w:rPr>
        <w:tab/>
        <w:t xml:space="preserve">Le demandeur sollicite la production des bouts de cheveux pour que l’on détermine, par analyse scientifique, s’il s’agit de poils faciaux ou de cheveux. D’après la preuve dont nous disposons dans le cadre de la demande, le Centre des sciences judiciaires possède l’expertise requise pour effectuer une telle analyse et que celle-ci peut être réalisée dans un délai de trois semaines après avoir reçu les objets en question. Aucune analyse de ce genre n’a été effectuée par le ministère public en vue du procès et on n’en a demandé une, pour le compte de la défense, que plusieurs mois après le rejet de l’appel par la Cour d’appel. Dans son affidavit, l’avocat qui a occupé pour la défense au procès dit qu’il ne savait pas que des analyses scientifiques permettaient de distinguer les cheveux des poils faciaux. Une lettre au dossier indique que l’avocat ayant représenté le demandeur devant la Cour d’appel n’était pas non plus au courant de la possibilité de telles analyses. Rien ne prouve que le ministère public </w:t>
      </w:r>
      <w:proofErr w:type="gramStart"/>
      <w:r w:rsidRPr="00442E28">
        <w:rPr>
          <w:sz w:val="20"/>
          <w:szCs w:val="20"/>
          <w:lang w:val="fr-FR"/>
        </w:rPr>
        <w:t>était</w:t>
      </w:r>
      <w:proofErr w:type="gramEnd"/>
      <w:r w:rsidRPr="00442E28">
        <w:rPr>
          <w:sz w:val="20"/>
          <w:szCs w:val="20"/>
          <w:lang w:val="fr-FR"/>
        </w:rPr>
        <w:t xml:space="preserve"> au fait de cette possibilité. Puisqu’il semble </w:t>
      </w:r>
      <w:r w:rsidRPr="00442E28">
        <w:rPr>
          <w:sz w:val="20"/>
          <w:szCs w:val="20"/>
          <w:lang w:val="fr-FR"/>
        </w:rPr>
        <w:lastRenderedPageBreak/>
        <w:t xml:space="preserve">que personne n’a demandé pareille analyse et, vu l’importance que pourraient avoir les résultats susceptibles d’être obtenus grâce à celle-ci, j’en déduis qu’il n’est tout simplement pas venu à l’esprit de l’un ou l’autre des criminalistes d’expérience concernés que pareilles analyses existaient.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[9]</w:t>
      </w:r>
      <w:r w:rsidRPr="00442E28">
        <w:rPr>
          <w:sz w:val="20"/>
          <w:szCs w:val="20"/>
          <w:lang w:val="fr-FR"/>
        </w:rPr>
        <w:tab/>
        <w:t xml:space="preserve">En raison de l’importance qu’a accordée l’avocat du ministère public, au procès, à la preuve selon laquelle le demandeur s’était rasé la tête, et du poids que l’inférence de culpabilité tirée de cette preuve semble avoir eu dans la conclusion de la Cour d’appel que le verdict de culpabilité n’était pas déraisonnable, il est selon moi dans l’intérêt de la justice que le demandeur dispose de l’information pertinente pour préparer sa demande d’autorisation d’appel à notre Cour. Bien entendu, nous n’en sommes pas à l’examen d’une demande sollicitant l’autorisation de produire de nouveaux éléments de preuve, demande qui serait examinée lors de sa présentation, si effectivement une telle demande est présentée. Pour l’instant, le demandeur désire simplement recourir à une mesure d’expertise qui pourrait ou non produire des éléments de preuve susceptibles d’étayer la présentation d’une demande de ce genre. </w:t>
      </w:r>
    </w:p>
    <w:p w:rsidR="00442E28" w:rsidRPr="00442E28" w:rsidRDefault="00442E28" w:rsidP="00442E28">
      <w:pPr>
        <w:jc w:val="both"/>
        <w:rPr>
          <w:sz w:val="20"/>
          <w:szCs w:val="20"/>
          <w:lang w:val="fr-FR"/>
        </w:rPr>
      </w:pPr>
    </w:p>
    <w:p w:rsidR="00442E28" w:rsidRPr="00442E28" w:rsidRDefault="00442E28" w:rsidP="00442E28">
      <w:pPr>
        <w:jc w:val="both"/>
        <w:rPr>
          <w:sz w:val="20"/>
          <w:szCs w:val="20"/>
          <w:lang w:val="fr-FR"/>
        </w:rPr>
      </w:pPr>
      <w:r w:rsidRPr="00442E28">
        <w:rPr>
          <w:sz w:val="20"/>
          <w:szCs w:val="20"/>
          <w:lang w:val="fr-FR"/>
        </w:rPr>
        <w:t>[10]</w:t>
      </w:r>
      <w:r w:rsidRPr="00442E28">
        <w:rPr>
          <w:sz w:val="20"/>
          <w:szCs w:val="20"/>
          <w:lang w:val="fr-FR"/>
        </w:rPr>
        <w:tab/>
        <w:t xml:space="preserve">Il est fait droit à la demande et ordonné aux avocats de soumettre à la Cour un projet d’ordonnance supplémentaire précisant les arrangements devant être pris en vue de la production, du transport et de l’analyse des pièces en question, ainsi que de leur remise après les analyses. Si les avocats ne parviennent pas à s’entendre sur ce projet d’ordonnance commune dans un délai de 14 jours suivant la date de la présente ordonnance, chaque partie doit alors présenter un projet d’ordonnance à la Cour, pour examen, dans les 21 jours qui suivent la date de la présente décision. </w:t>
      </w:r>
    </w:p>
    <w:p w:rsidR="00890FEB" w:rsidRPr="00052196" w:rsidRDefault="00890FEB" w:rsidP="00C50A5C">
      <w:pPr>
        <w:jc w:val="both"/>
        <w:rPr>
          <w:sz w:val="20"/>
          <w:szCs w:val="20"/>
          <w:lang w:val="fr-CA"/>
        </w:rPr>
      </w:pPr>
    </w:p>
    <w:p w:rsidR="00890FEB" w:rsidRPr="00C50A5C" w:rsidRDefault="003E770A" w:rsidP="00C50A5C">
      <w:pPr>
        <w:jc w:val="both"/>
        <w:rPr>
          <w:sz w:val="20"/>
          <w:szCs w:val="20"/>
        </w:rPr>
      </w:pPr>
      <w:r w:rsidRPr="003E770A">
        <w:rPr>
          <w:sz w:val="20"/>
          <w:szCs w:val="20"/>
        </w:rPr>
        <w:pict>
          <v:rect id="_x0000_i1067" style="width:2in;height:1pt" o:hrpct="0" o:hralign="center" o:hrstd="t" o:hrnoshade="t" o:hr="t" fillcolor="black" stroked="f"/>
        </w:pict>
      </w: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AF3487" w:rsidRPr="00AF3487" w:rsidRDefault="00AF3487" w:rsidP="00AF3487">
      <w:pPr>
        <w:rPr>
          <w:rFonts w:cs="Times New Roman"/>
          <w:sz w:val="20"/>
          <w:szCs w:val="20"/>
        </w:rPr>
      </w:pPr>
      <w:r w:rsidRPr="00AF3487">
        <w:rPr>
          <w:rFonts w:cs="Times New Roman"/>
          <w:sz w:val="20"/>
          <w:szCs w:val="20"/>
        </w:rPr>
        <w:t>08.11.2010</w:t>
      </w:r>
    </w:p>
    <w:p w:rsidR="00AF3487" w:rsidRPr="00AF3487" w:rsidRDefault="00AF3487" w:rsidP="00AF3487">
      <w:pPr>
        <w:rPr>
          <w:rFonts w:cs="Times New Roman"/>
          <w:sz w:val="20"/>
          <w:szCs w:val="20"/>
        </w:rPr>
      </w:pPr>
    </w:p>
    <w:p w:rsidR="00AF3487" w:rsidRP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BINNIE J. / LE JUGE BINNIE</w:t>
      </w:r>
    </w:p>
    <w:p w:rsidR="00AF3487" w:rsidRPr="00AF3487" w:rsidRDefault="00AF3487" w:rsidP="00AF3487">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AF3487" w:rsidTr="00AF3487">
        <w:trPr>
          <w:trHeight w:val="151"/>
        </w:trPr>
        <w:tc>
          <w:tcPr>
            <w:tcW w:w="4338" w:type="dxa"/>
          </w:tcPr>
          <w:p w:rsidR="00AF3487" w:rsidRPr="00AF3487" w:rsidRDefault="00AF3487" w:rsidP="00AF3487">
            <w:pPr>
              <w:jc w:val="both"/>
              <w:rPr>
                <w:rFonts w:cs="Times New Roman"/>
                <w:sz w:val="20"/>
                <w:szCs w:val="20"/>
              </w:rPr>
            </w:pPr>
            <w:r w:rsidRPr="00AF3487">
              <w:rPr>
                <w:rFonts w:cs="Times New Roman"/>
                <w:b/>
                <w:sz w:val="20"/>
                <w:szCs w:val="20"/>
              </w:rPr>
              <w:t>Motion for leave to intervene</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r w:rsidRPr="00AF3487">
              <w:rPr>
                <w:rFonts w:cs="Times New Roman"/>
                <w:b/>
                <w:sz w:val="20"/>
                <w:szCs w:val="20"/>
                <w:lang w:val="fr-CA"/>
              </w:rPr>
              <w:t>Requête en autorisation d’intervenir</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rPr>
            </w:pPr>
            <w:r w:rsidRPr="00AF3487">
              <w:rPr>
                <w:rFonts w:cs="Times New Roman"/>
                <w:sz w:val="20"/>
                <w:szCs w:val="20"/>
              </w:rPr>
              <w:t>BY / PAR :</w:t>
            </w:r>
            <w:r w:rsidRPr="00AF3487">
              <w:rPr>
                <w:rFonts w:cs="Times New Roman"/>
                <w:sz w:val="20"/>
                <w:szCs w:val="20"/>
              </w:rPr>
              <w:tab/>
              <w:t>Friends of the Earth Canada</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IN / DANS :</w:t>
            </w:r>
            <w:r w:rsidRPr="00AF3487">
              <w:rPr>
                <w:rFonts w:cs="Times New Roman"/>
                <w:sz w:val="20"/>
                <w:szCs w:val="20"/>
              </w:rPr>
              <w:tab/>
              <w:t xml:space="preserve">Bernard </w:t>
            </w:r>
            <w:proofErr w:type="spellStart"/>
            <w:r w:rsidRPr="00AF3487">
              <w:rPr>
                <w:rFonts w:cs="Times New Roman"/>
                <w:sz w:val="20"/>
                <w:szCs w:val="20"/>
              </w:rPr>
              <w:t>Gerardus</w:t>
            </w:r>
            <w:proofErr w:type="spellEnd"/>
            <w:r w:rsidRPr="00AF3487">
              <w:rPr>
                <w:rFonts w:cs="Times New Roman"/>
                <w:sz w:val="20"/>
                <w:szCs w:val="20"/>
              </w:rPr>
              <w:t xml:space="preserve"> Maria</w:t>
            </w: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r>
            <w:proofErr w:type="spellStart"/>
            <w:r w:rsidRPr="00AF3487">
              <w:rPr>
                <w:rFonts w:cs="Times New Roman"/>
                <w:sz w:val="20"/>
                <w:szCs w:val="20"/>
              </w:rPr>
              <w:t>Berendsen</w:t>
            </w:r>
            <w:proofErr w:type="spellEnd"/>
            <w:r w:rsidRPr="00AF3487">
              <w:rPr>
                <w:rFonts w:cs="Times New Roman"/>
                <w:sz w:val="20"/>
                <w:szCs w:val="20"/>
              </w:rPr>
              <w:t xml:space="preserve"> et al.</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r>
            <w:r w:rsidRPr="00AF3487">
              <w:rPr>
                <w:rFonts w:cs="Times New Roman"/>
                <w:sz w:val="20"/>
                <w:szCs w:val="20"/>
              </w:rPr>
              <w:tab/>
              <w:t>v. (33543)</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 xml:space="preserve">Her Majesty the Queen in Right </w:t>
            </w:r>
            <w:r w:rsidRPr="00AF3487">
              <w:rPr>
                <w:rFonts w:cs="Times New Roman"/>
                <w:sz w:val="20"/>
                <w:szCs w:val="20"/>
              </w:rPr>
              <w:tab/>
            </w:r>
            <w:r w:rsidRPr="00AF3487">
              <w:rPr>
                <w:rFonts w:cs="Times New Roman"/>
                <w:sz w:val="20"/>
                <w:szCs w:val="20"/>
              </w:rPr>
              <w:tab/>
              <w:t>of Ontario (Ont.)</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rPr>
          <w:rFonts w:cs="Times New Roman"/>
          <w:sz w:val="20"/>
          <w:szCs w:val="20"/>
        </w:rPr>
      </w:pPr>
    </w:p>
    <w:p w:rsidR="00AF3487" w:rsidRPr="00AF3487" w:rsidRDefault="00AF3487" w:rsidP="00AF3487">
      <w:pPr>
        <w:tabs>
          <w:tab w:val="left" w:pos="-1440"/>
          <w:tab w:val="left" w:pos="-720"/>
        </w:tabs>
        <w:jc w:val="both"/>
        <w:rPr>
          <w:rFonts w:cs="Times New Roman"/>
          <w:sz w:val="20"/>
          <w:szCs w:val="20"/>
        </w:rPr>
      </w:pPr>
      <w:r w:rsidRPr="00AF3487">
        <w:rPr>
          <w:rFonts w:cs="Times New Roman"/>
          <w:b/>
          <w:sz w:val="20"/>
          <w:szCs w:val="20"/>
        </w:rPr>
        <w:t>GRANTED / ACCORDÉE</w:t>
      </w:r>
    </w:p>
    <w:p w:rsidR="00AF3487" w:rsidRPr="00AF3487" w:rsidRDefault="00AF3487" w:rsidP="00AF3487">
      <w:pPr>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 xml:space="preserve">UPON APPLICATION </w:t>
      </w:r>
      <w:r w:rsidRPr="00AF3487">
        <w:rPr>
          <w:rFonts w:cs="Times New Roman"/>
          <w:sz w:val="20"/>
          <w:szCs w:val="20"/>
        </w:rPr>
        <w:t>by the Friends of the Earth Canada for leave to intervene in the above appeal;</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AND THE MATERIAL FILED</w:t>
      </w:r>
      <w:r w:rsidRPr="00AF3487">
        <w:rPr>
          <w:rFonts w:cs="Times New Roman"/>
          <w:sz w:val="20"/>
          <w:szCs w:val="20"/>
        </w:rPr>
        <w:t xml:space="preserve"> having been read;</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IT IS HEREBY ORDERED THAT:</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motion for leave to intervene by the Friends of the Earth Canada is granted and the said intervener shall be entitled to serve and file a factum not to exceed 10 pages in length on or before January 14, 2011.</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requests to present oral argument are deferred to a date following receipt and consideration of the written arguments of the parties and the intervener.</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intervener shall not be entitled to raise new issues or to adduce further evidence or otherwise to supplement the record of the parties.</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Pursuant to Rule 59(1</w:t>
      </w:r>
      <w:proofErr w:type="gramStart"/>
      <w:r w:rsidRPr="00AF3487">
        <w:rPr>
          <w:rFonts w:cs="Times New Roman"/>
          <w:sz w:val="20"/>
          <w:szCs w:val="20"/>
        </w:rPr>
        <w:t>)(</w:t>
      </w:r>
      <w:proofErr w:type="gramEnd"/>
      <w:r w:rsidRPr="00AF3487">
        <w:rPr>
          <w:rFonts w:cs="Times New Roman"/>
          <w:i/>
          <w:iCs/>
          <w:sz w:val="20"/>
          <w:szCs w:val="20"/>
        </w:rPr>
        <w:t>a</w:t>
      </w:r>
      <w:r w:rsidRPr="00AF3487">
        <w:rPr>
          <w:rFonts w:cs="Times New Roman"/>
          <w:sz w:val="20"/>
          <w:szCs w:val="20"/>
        </w:rPr>
        <w:t xml:space="preserve">) of the </w:t>
      </w:r>
      <w:r w:rsidRPr="00AF3487">
        <w:rPr>
          <w:rFonts w:cs="Times New Roman"/>
          <w:i/>
          <w:iCs/>
          <w:sz w:val="20"/>
          <w:szCs w:val="20"/>
        </w:rPr>
        <w:t>Rules of the Supreme Court of Canada</w:t>
      </w:r>
      <w:r w:rsidRPr="00AF3487">
        <w:rPr>
          <w:rFonts w:cs="Times New Roman"/>
          <w:sz w:val="20"/>
          <w:szCs w:val="20"/>
        </w:rPr>
        <w:t>, the intervener shall pay to the appellants and respondent any additional disbursements occasioned to the appellants and respondent by its intervention.</w: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À LA SUITE D’UNE REQUÊTE</w:t>
      </w:r>
      <w:r w:rsidRPr="00AF3487">
        <w:rPr>
          <w:rFonts w:cs="Times New Roman"/>
          <w:bCs/>
          <w:sz w:val="20"/>
          <w:szCs w:val="20"/>
          <w:lang w:val="fr-FR"/>
        </w:rPr>
        <w:t xml:space="preserve"> en autorisation d’intervenir présentée par Les Ami(e)s de la Terre Canada;</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 xml:space="preserve">APRÈS EXAMEN </w:t>
      </w:r>
      <w:r w:rsidRPr="00AF3487">
        <w:rPr>
          <w:rFonts w:cs="Times New Roman"/>
          <w:bCs/>
          <w:sz w:val="20"/>
          <w:szCs w:val="20"/>
          <w:lang w:val="fr-FR"/>
        </w:rPr>
        <w:t>des documents déposés;</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IL EST ORDONNÉ CE QUI SUIT :</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La requête en autorisation d’intervenir présentée par Les Ami(e)s de la Terre Canada est accordée et cette intervenante est autorisée à signifier et déposer un mémoire d’au plus 10 pages au plus tard le 14 janvier 2011.</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La décision sur la demande en vue de présenter une plaidoirie orale sera rendue après réception et examen des arguments écrits des parties et de l’intervenante.</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L’intervenante n’a pas le droit de soulever de nouvelles questions, de produire d’autres éléments de preuve ni de compléter de quelque autre façon le dossier des parties.</w:t>
      </w:r>
    </w:p>
    <w:p w:rsidR="00AF3487" w:rsidRPr="00AF3487" w:rsidRDefault="00AF3487" w:rsidP="00AF3487">
      <w:pPr>
        <w:rPr>
          <w:rFonts w:cs="Times New Roman"/>
          <w:sz w:val="20"/>
          <w:szCs w:val="20"/>
          <w:lang w:val="fr-FR"/>
        </w:rPr>
      </w:pPr>
      <w:r w:rsidRPr="00AF3487">
        <w:rPr>
          <w:rFonts w:cs="Times New Roman"/>
          <w:sz w:val="20"/>
          <w:szCs w:val="20"/>
          <w:lang w:val="fr-FR"/>
        </w:rPr>
        <w:br w:type="page"/>
      </w:r>
    </w:p>
    <w:p w:rsidR="00AF3487" w:rsidRPr="00AF3487" w:rsidRDefault="00AF3487" w:rsidP="00AF3487">
      <w:pPr>
        <w:jc w:val="both"/>
        <w:rPr>
          <w:rFonts w:cs="Times New Roman"/>
          <w:sz w:val="20"/>
          <w:szCs w:val="20"/>
          <w:lang w:val="fr-CA"/>
        </w:rPr>
      </w:pPr>
      <w:r w:rsidRPr="00AF3487">
        <w:rPr>
          <w:rFonts w:cs="Times New Roman"/>
          <w:sz w:val="20"/>
          <w:szCs w:val="20"/>
          <w:lang w:val="fr-FR"/>
        </w:rPr>
        <w:lastRenderedPageBreak/>
        <w:t>Conformément à l’alinéa 59(1)</w:t>
      </w:r>
      <w:r w:rsidRPr="00AF3487">
        <w:rPr>
          <w:rFonts w:cs="Times New Roman"/>
          <w:i/>
          <w:sz w:val="20"/>
          <w:szCs w:val="20"/>
          <w:lang w:val="fr-FR"/>
        </w:rPr>
        <w:t>a</w:t>
      </w:r>
      <w:r w:rsidRPr="00AF3487">
        <w:rPr>
          <w:rFonts w:cs="Times New Roman"/>
          <w:sz w:val="20"/>
          <w:szCs w:val="20"/>
          <w:lang w:val="fr-FR"/>
        </w:rPr>
        <w:t xml:space="preserve">) des </w:t>
      </w:r>
      <w:r w:rsidRPr="00AF3487">
        <w:rPr>
          <w:rFonts w:cs="Times New Roman"/>
          <w:i/>
          <w:sz w:val="20"/>
          <w:szCs w:val="20"/>
          <w:lang w:val="fr-FR"/>
        </w:rPr>
        <w:t>Règles de la Cour suprême du Canada</w:t>
      </w:r>
      <w:r w:rsidRPr="00AF3487">
        <w:rPr>
          <w:rFonts w:cs="Times New Roman"/>
          <w:sz w:val="20"/>
          <w:szCs w:val="20"/>
          <w:lang w:val="fr-FR"/>
        </w:rPr>
        <w:t>, l’intervenante paiera  aux appelants et à l’intimée tous débours supplémentaires résultant de son intervention.</w:t>
      </w:r>
    </w:p>
    <w:p w:rsidR="00AF3487" w:rsidRPr="00AF3487" w:rsidRDefault="00AF3487" w:rsidP="00AF3487">
      <w:pPr>
        <w:rPr>
          <w:rFonts w:cs="Times New Roman"/>
          <w:sz w:val="20"/>
          <w:szCs w:val="20"/>
          <w:lang w:val="fr-CA"/>
        </w:rPr>
      </w:pPr>
    </w:p>
    <w:p w:rsidR="00AF3487" w:rsidRPr="00AF3487" w:rsidRDefault="003E770A" w:rsidP="00AF3487">
      <w:pPr>
        <w:rPr>
          <w:rFonts w:cs="Times New Roman"/>
          <w:sz w:val="20"/>
          <w:szCs w:val="20"/>
        </w:rPr>
      </w:pPr>
      <w:r w:rsidRPr="003E770A">
        <w:rPr>
          <w:rFonts w:cs="Times New Roman"/>
          <w:sz w:val="20"/>
          <w:szCs w:val="20"/>
          <w:lang w:val="fr-CA"/>
        </w:rPr>
        <w:pict>
          <v:rect id="_x0000_i1070" style="width:2in;height:1pt" o:hrpct="0" o:hralign="center" o:hrstd="t" o:hrnoshade="t" o:hr="t" fillcolor="black [3213]" stroked="f"/>
        </w:pic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lang w:val="fr-CA"/>
        </w:rPr>
      </w:pPr>
      <w:r w:rsidRPr="00AF3487">
        <w:rPr>
          <w:rFonts w:cs="Times New Roman"/>
          <w:sz w:val="20"/>
          <w:szCs w:val="20"/>
          <w:lang w:val="fr-CA"/>
        </w:rPr>
        <w:t>08.11.2010</w:t>
      </w:r>
    </w:p>
    <w:p w:rsidR="00AF3487" w:rsidRPr="00AF3487" w:rsidRDefault="00AF3487" w:rsidP="00AF3487">
      <w:pPr>
        <w:rPr>
          <w:rFonts w:cs="Times New Roman"/>
          <w:sz w:val="20"/>
          <w:szCs w:val="20"/>
          <w:lang w:val="fr-CA"/>
        </w:rPr>
      </w:pPr>
    </w:p>
    <w:p w:rsidR="00AF3487" w:rsidRP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BINNIE J. / LE JUGE BINNIE</w:t>
      </w:r>
    </w:p>
    <w:p w:rsidR="00AF3487" w:rsidRPr="00AF3487" w:rsidRDefault="00AF3487" w:rsidP="00AF3487">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AF3487" w:rsidTr="00AF3487">
        <w:trPr>
          <w:trHeight w:val="151"/>
        </w:trPr>
        <w:tc>
          <w:tcPr>
            <w:tcW w:w="4338" w:type="dxa"/>
          </w:tcPr>
          <w:p w:rsidR="00AF3487" w:rsidRPr="00AF3487" w:rsidRDefault="00AF3487" w:rsidP="00AF3487">
            <w:pPr>
              <w:jc w:val="both"/>
              <w:rPr>
                <w:rFonts w:cs="Times New Roman"/>
                <w:sz w:val="20"/>
                <w:szCs w:val="20"/>
              </w:rPr>
            </w:pPr>
            <w:r w:rsidRPr="00AF3487">
              <w:rPr>
                <w:rFonts w:cs="Times New Roman"/>
                <w:b/>
                <w:sz w:val="20"/>
                <w:szCs w:val="20"/>
              </w:rPr>
              <w:t>Motion for leave to intervene</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r w:rsidRPr="00AF3487">
              <w:rPr>
                <w:rFonts w:cs="Times New Roman"/>
                <w:b/>
                <w:sz w:val="20"/>
                <w:szCs w:val="20"/>
                <w:lang w:val="fr-CA"/>
              </w:rPr>
              <w:t>Requête en autorisation d’intervenir</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rPr>
            </w:pPr>
            <w:r w:rsidRPr="00AF3487">
              <w:rPr>
                <w:rFonts w:cs="Times New Roman"/>
                <w:sz w:val="20"/>
                <w:szCs w:val="20"/>
              </w:rPr>
              <w:t>BY / PAR :</w:t>
            </w:r>
            <w:r w:rsidRPr="00AF3487">
              <w:rPr>
                <w:rFonts w:cs="Times New Roman"/>
                <w:sz w:val="20"/>
                <w:szCs w:val="20"/>
              </w:rPr>
              <w:tab/>
              <w:t>Canadian Civil Liberties</w:t>
            </w: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Association</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IN / DANS :</w:t>
            </w:r>
            <w:r w:rsidRPr="00AF3487">
              <w:rPr>
                <w:rFonts w:cs="Times New Roman"/>
                <w:sz w:val="20"/>
                <w:szCs w:val="20"/>
              </w:rPr>
              <w:tab/>
              <w:t xml:space="preserve">Robert </w:t>
            </w:r>
            <w:proofErr w:type="spellStart"/>
            <w:r w:rsidRPr="00AF3487">
              <w:rPr>
                <w:rFonts w:cs="Times New Roman"/>
                <w:sz w:val="20"/>
                <w:szCs w:val="20"/>
              </w:rPr>
              <w:t>Katigbak</w:t>
            </w:r>
            <w:proofErr w:type="spellEnd"/>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r>
            <w:r w:rsidRPr="00AF3487">
              <w:rPr>
                <w:rFonts w:cs="Times New Roman"/>
                <w:sz w:val="20"/>
                <w:szCs w:val="20"/>
              </w:rPr>
              <w:tab/>
              <w:t>v. (33762)</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 xml:space="preserve">Her Majesty the Queen (Crim.) </w:t>
            </w:r>
            <w:r w:rsidRPr="00AF3487">
              <w:rPr>
                <w:rFonts w:cs="Times New Roman"/>
                <w:sz w:val="20"/>
                <w:szCs w:val="20"/>
              </w:rPr>
              <w:tab/>
            </w:r>
            <w:r w:rsidRPr="00AF3487">
              <w:rPr>
                <w:rFonts w:cs="Times New Roman"/>
                <w:sz w:val="20"/>
                <w:szCs w:val="20"/>
              </w:rPr>
              <w:tab/>
              <w:t>(Ont.)</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tabs>
          <w:tab w:val="left" w:pos="-1440"/>
          <w:tab w:val="left" w:pos="-720"/>
        </w:tabs>
        <w:jc w:val="both"/>
        <w:rPr>
          <w:rFonts w:cs="Times New Roman"/>
          <w:b/>
          <w:sz w:val="20"/>
          <w:szCs w:val="20"/>
        </w:rPr>
      </w:pPr>
    </w:p>
    <w:p w:rsidR="00AF3487" w:rsidRPr="00AF3487" w:rsidRDefault="00AF3487" w:rsidP="00AF3487">
      <w:pPr>
        <w:tabs>
          <w:tab w:val="left" w:pos="-1440"/>
          <w:tab w:val="left" w:pos="-720"/>
        </w:tabs>
        <w:jc w:val="both"/>
        <w:rPr>
          <w:rFonts w:cs="Times New Roman"/>
          <w:sz w:val="20"/>
          <w:szCs w:val="20"/>
        </w:rPr>
      </w:pPr>
      <w:r w:rsidRPr="00AF3487">
        <w:rPr>
          <w:rFonts w:cs="Times New Roman"/>
          <w:b/>
          <w:sz w:val="20"/>
          <w:szCs w:val="20"/>
        </w:rPr>
        <w:t>GRANTED / ACCORDÉE</w:t>
      </w:r>
    </w:p>
    <w:p w:rsidR="00AF3487" w:rsidRPr="00AF3487" w:rsidRDefault="00AF3487" w:rsidP="00AF3487">
      <w:pPr>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 xml:space="preserve">UPON APPLICATION </w:t>
      </w:r>
      <w:r w:rsidRPr="00AF3487">
        <w:rPr>
          <w:rFonts w:cs="Times New Roman"/>
          <w:sz w:val="20"/>
          <w:szCs w:val="20"/>
        </w:rPr>
        <w:t>by the Canadian Civil Liberties Association for leave to intervene in the above appeal;</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AND THE MATERIAL FILED</w:t>
      </w:r>
      <w:r w:rsidRPr="00AF3487">
        <w:rPr>
          <w:rFonts w:cs="Times New Roman"/>
          <w:sz w:val="20"/>
          <w:szCs w:val="20"/>
        </w:rPr>
        <w:t xml:space="preserve"> having been read;</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IT IS HEREBY ORDERED THAT:</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motion for leave to intervene of the Canadian Civil Liberties Association is granted and the said intervener shall be entitled to serve and file a factum not to exceed 10 pages in length.</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request to present oral argument is deferred to a date following receipt and consideration of the written arguments of the parties and the intervener.</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intervener shall not be entitled to raise new issues or to adduce further evidence or otherwise to supplement the record of the parties.</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Pursuant to Rule 59(1</w:t>
      </w:r>
      <w:proofErr w:type="gramStart"/>
      <w:r w:rsidRPr="00AF3487">
        <w:rPr>
          <w:rFonts w:cs="Times New Roman"/>
          <w:sz w:val="20"/>
          <w:szCs w:val="20"/>
        </w:rPr>
        <w:t>)(</w:t>
      </w:r>
      <w:proofErr w:type="gramEnd"/>
      <w:r w:rsidRPr="00AF3487">
        <w:rPr>
          <w:rFonts w:cs="Times New Roman"/>
          <w:i/>
          <w:iCs/>
          <w:sz w:val="20"/>
          <w:szCs w:val="20"/>
        </w:rPr>
        <w:t>a</w:t>
      </w:r>
      <w:r w:rsidRPr="00AF3487">
        <w:rPr>
          <w:rFonts w:cs="Times New Roman"/>
          <w:sz w:val="20"/>
          <w:szCs w:val="20"/>
        </w:rPr>
        <w:t xml:space="preserve">) of the </w:t>
      </w:r>
      <w:r w:rsidRPr="00AF3487">
        <w:rPr>
          <w:rFonts w:cs="Times New Roman"/>
          <w:i/>
          <w:iCs/>
          <w:sz w:val="20"/>
          <w:szCs w:val="20"/>
        </w:rPr>
        <w:t>Rules of the Supreme Court of Canada</w:t>
      </w:r>
      <w:r w:rsidRPr="00AF3487">
        <w:rPr>
          <w:rFonts w:cs="Times New Roman"/>
          <w:sz w:val="20"/>
          <w:szCs w:val="20"/>
        </w:rPr>
        <w:t>, the intervener shall pay to the appellant and respondent any additional disbursements occasioned to the appellant and respondent by its intervention.</w: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À LA SUITE D’UNE REQUÊTE</w:t>
      </w:r>
      <w:r w:rsidRPr="00AF3487">
        <w:rPr>
          <w:rFonts w:cs="Times New Roman"/>
          <w:bCs/>
          <w:sz w:val="20"/>
          <w:szCs w:val="20"/>
          <w:lang w:val="fr-FR"/>
        </w:rPr>
        <w:t xml:space="preserve"> en autorisation d’intervenir présentée par l’Association canadienne des libertés civiles</w:t>
      </w:r>
      <w:r w:rsidRPr="00AF3487">
        <w:rPr>
          <w:rFonts w:cs="Times New Roman"/>
          <w:sz w:val="20"/>
          <w:szCs w:val="20"/>
          <w:lang w:val="fr-FR"/>
        </w:rPr>
        <w:t>;</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 xml:space="preserve">APRÈS EXAMEN </w:t>
      </w:r>
      <w:r w:rsidRPr="00AF3487">
        <w:rPr>
          <w:rFonts w:cs="Times New Roman"/>
          <w:bCs/>
          <w:sz w:val="20"/>
          <w:szCs w:val="20"/>
          <w:lang w:val="fr-FR"/>
        </w:rPr>
        <w:t>des documents déposés</w:t>
      </w:r>
      <w:r w:rsidRPr="00AF3487">
        <w:rPr>
          <w:rFonts w:cs="Times New Roman"/>
          <w:sz w:val="20"/>
          <w:szCs w:val="20"/>
          <w:lang w:val="fr-FR"/>
        </w:rPr>
        <w:t>;</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IL EST ORDONNÉ CE QUI SUIT :</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La requête en autorisation d’intervenir de l’Association canadienne des libertés civiles est accordée et cette intervenante est autorisée à signifier et déposer un mémoire d’au plus 10 pages.</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La décision sur la demande en vue de présenter une plaidoirie orale sera rendue après réception et examen des arguments écrits des parties et de l’intervenante.</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lastRenderedPageBreak/>
        <w:t xml:space="preserve">L’intervenante n’a pas le droit de soulever de nouvelles questions, de produire d’autres éléments de preuve ni de compléter de quelque autre façon le dossier des parties. </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jc w:val="both"/>
        <w:rPr>
          <w:rFonts w:cs="Times New Roman"/>
          <w:sz w:val="20"/>
          <w:szCs w:val="20"/>
          <w:lang w:val="fr-FR"/>
        </w:rPr>
      </w:pPr>
      <w:r w:rsidRPr="00AF3487">
        <w:rPr>
          <w:rFonts w:cs="Times New Roman"/>
          <w:sz w:val="20"/>
          <w:szCs w:val="20"/>
          <w:lang w:val="fr-FR"/>
        </w:rPr>
        <w:t>Conformément à l’alinéa 59(1)</w:t>
      </w:r>
      <w:r w:rsidRPr="00AF3487">
        <w:rPr>
          <w:rFonts w:cs="Times New Roman"/>
          <w:i/>
          <w:sz w:val="20"/>
          <w:szCs w:val="20"/>
          <w:lang w:val="fr-FR"/>
        </w:rPr>
        <w:t>a</w:t>
      </w:r>
      <w:r w:rsidRPr="00AF3487">
        <w:rPr>
          <w:rFonts w:cs="Times New Roman"/>
          <w:sz w:val="20"/>
          <w:szCs w:val="20"/>
          <w:lang w:val="fr-FR"/>
        </w:rPr>
        <w:t xml:space="preserve">) des </w:t>
      </w:r>
      <w:r w:rsidRPr="00AF3487">
        <w:rPr>
          <w:rFonts w:cs="Times New Roman"/>
          <w:i/>
          <w:sz w:val="20"/>
          <w:szCs w:val="20"/>
          <w:lang w:val="fr-FR"/>
        </w:rPr>
        <w:t>Règles de la Cour suprême du Canada</w:t>
      </w:r>
      <w:r w:rsidRPr="00AF3487">
        <w:rPr>
          <w:rFonts w:cs="Times New Roman"/>
          <w:sz w:val="20"/>
          <w:szCs w:val="20"/>
          <w:lang w:val="fr-FR"/>
        </w:rPr>
        <w:t>, l’intervenante paiera à l’appelant et à l’intimée tous débours supplémentaires résultant de son intervention.</w:t>
      </w:r>
    </w:p>
    <w:p w:rsidR="00AF3487" w:rsidRPr="00AF3487" w:rsidRDefault="00AF3487" w:rsidP="00AF3487">
      <w:pPr>
        <w:jc w:val="both"/>
        <w:rPr>
          <w:rFonts w:cs="Times New Roman"/>
          <w:sz w:val="20"/>
          <w:szCs w:val="20"/>
          <w:lang w:val="fr-CA"/>
        </w:rPr>
      </w:pPr>
    </w:p>
    <w:p w:rsidR="00AF3487" w:rsidRPr="00AF3487" w:rsidRDefault="003E770A" w:rsidP="00AF3487">
      <w:pPr>
        <w:rPr>
          <w:rFonts w:cs="Times New Roman"/>
          <w:sz w:val="20"/>
          <w:szCs w:val="20"/>
        </w:rPr>
      </w:pPr>
      <w:r w:rsidRPr="003E770A">
        <w:rPr>
          <w:rFonts w:cs="Times New Roman"/>
          <w:sz w:val="20"/>
          <w:szCs w:val="20"/>
          <w:lang w:val="fr-CA"/>
        </w:rPr>
        <w:pict>
          <v:rect id="_x0000_i1071" style="width:2in;height:1pt" o:hrpct="0" o:hralign="center" o:hrstd="t" o:hrnoshade="t" o:hr="t" fillcolor="black [3213]" stroked="f"/>
        </w:pic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lang w:val="fr-CA"/>
        </w:rPr>
      </w:pPr>
      <w:r w:rsidRPr="00AF3487">
        <w:rPr>
          <w:rFonts w:cs="Times New Roman"/>
          <w:sz w:val="20"/>
          <w:szCs w:val="20"/>
          <w:lang w:val="fr-CA"/>
        </w:rPr>
        <w:t>08.11.2010</w:t>
      </w:r>
    </w:p>
    <w:p w:rsidR="00AF3487" w:rsidRPr="00AF3487" w:rsidRDefault="00AF3487" w:rsidP="00AF3487">
      <w:pPr>
        <w:rPr>
          <w:rFonts w:cs="Times New Roman"/>
          <w:sz w:val="20"/>
          <w:szCs w:val="20"/>
          <w:lang w:val="fr-CA"/>
        </w:rPr>
      </w:pPr>
    </w:p>
    <w:p w:rsidR="00AF3487" w:rsidRP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BINNIE J. / LE JUGE BINNIE</w:t>
      </w:r>
    </w:p>
    <w:p w:rsidR="00AF3487" w:rsidRPr="00AF3487" w:rsidRDefault="00AF3487" w:rsidP="00AF3487">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AF3487" w:rsidTr="00AF3487">
        <w:trPr>
          <w:trHeight w:val="151"/>
        </w:trPr>
        <w:tc>
          <w:tcPr>
            <w:tcW w:w="4338" w:type="dxa"/>
          </w:tcPr>
          <w:p w:rsidR="00AF3487" w:rsidRPr="00AF3487" w:rsidRDefault="00AF3487" w:rsidP="00AF3487">
            <w:pPr>
              <w:jc w:val="both"/>
              <w:rPr>
                <w:rFonts w:cs="Times New Roman"/>
                <w:sz w:val="20"/>
                <w:szCs w:val="20"/>
              </w:rPr>
            </w:pPr>
            <w:r w:rsidRPr="00AF3487">
              <w:rPr>
                <w:rFonts w:cs="Times New Roman"/>
                <w:b/>
                <w:sz w:val="20"/>
                <w:szCs w:val="20"/>
              </w:rPr>
              <w:t>Motions for leave to intervene</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r w:rsidRPr="00AF3487">
              <w:rPr>
                <w:rFonts w:cs="Times New Roman"/>
                <w:b/>
                <w:sz w:val="20"/>
                <w:szCs w:val="20"/>
                <w:lang w:val="fr-CA"/>
              </w:rPr>
              <w:t>Requêtes en autorisation d’intervenir</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rPr>
            </w:pPr>
            <w:r w:rsidRPr="00AF3487">
              <w:rPr>
                <w:rFonts w:cs="Times New Roman"/>
                <w:sz w:val="20"/>
                <w:szCs w:val="20"/>
              </w:rPr>
              <w:t>BY / PAR :</w:t>
            </w:r>
            <w:r w:rsidRPr="00AF3487">
              <w:rPr>
                <w:rFonts w:cs="Times New Roman"/>
                <w:sz w:val="20"/>
                <w:szCs w:val="20"/>
              </w:rPr>
              <w:tab/>
              <w:t>Attorney General of Canada;</w:t>
            </w: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Attorney General of British</w:t>
            </w: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Columbia</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IN / DANS :</w:t>
            </w:r>
            <w:r w:rsidRPr="00AF3487">
              <w:rPr>
                <w:rFonts w:cs="Times New Roman"/>
                <w:sz w:val="20"/>
                <w:szCs w:val="20"/>
              </w:rPr>
              <w:tab/>
              <w:t xml:space="preserve">Her Majesty the Queen in Right </w:t>
            </w:r>
            <w:r w:rsidRPr="00AF3487">
              <w:rPr>
                <w:rFonts w:cs="Times New Roman"/>
                <w:sz w:val="20"/>
                <w:szCs w:val="20"/>
              </w:rPr>
              <w:tab/>
            </w:r>
            <w:r w:rsidRPr="00AF3487">
              <w:rPr>
                <w:rFonts w:cs="Times New Roman"/>
                <w:sz w:val="20"/>
                <w:szCs w:val="20"/>
              </w:rPr>
              <w:tab/>
              <w:t xml:space="preserve">of Alberta </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r>
            <w:r w:rsidRPr="00AF3487">
              <w:rPr>
                <w:rFonts w:cs="Times New Roman"/>
                <w:sz w:val="20"/>
                <w:szCs w:val="20"/>
              </w:rPr>
              <w:tab/>
              <w:t>v. (33551)</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r>
            <w:r w:rsidRPr="00AF3487">
              <w:rPr>
                <w:rFonts w:cs="Times New Roman"/>
                <w:sz w:val="20"/>
                <w:szCs w:val="20"/>
              </w:rPr>
              <w:tab/>
              <w:t>Elder Advocates of Alberta</w:t>
            </w:r>
          </w:p>
          <w:p w:rsidR="00AF3487" w:rsidRPr="00AF3487" w:rsidRDefault="00AF3487" w:rsidP="00AF3487">
            <w:pPr>
              <w:jc w:val="both"/>
              <w:rPr>
                <w:rFonts w:cs="Times New Roman"/>
                <w:sz w:val="20"/>
                <w:szCs w:val="20"/>
              </w:rPr>
            </w:pPr>
            <w:r w:rsidRPr="00AF3487">
              <w:rPr>
                <w:rFonts w:cs="Times New Roman"/>
                <w:sz w:val="20"/>
                <w:szCs w:val="20"/>
              </w:rPr>
              <w:t xml:space="preserve"> </w:t>
            </w:r>
            <w:r w:rsidRPr="00AF3487">
              <w:rPr>
                <w:rFonts w:cs="Times New Roman"/>
                <w:sz w:val="20"/>
                <w:szCs w:val="20"/>
              </w:rPr>
              <w:tab/>
            </w:r>
            <w:r w:rsidRPr="00AF3487">
              <w:rPr>
                <w:rFonts w:cs="Times New Roman"/>
                <w:sz w:val="20"/>
                <w:szCs w:val="20"/>
              </w:rPr>
              <w:tab/>
              <w:t>Society et al. (Alta.)</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r w:rsidRPr="00AF3487">
        <w:rPr>
          <w:rFonts w:cs="Times New Roman"/>
          <w:b/>
          <w:sz w:val="20"/>
          <w:szCs w:val="20"/>
        </w:rPr>
        <w:t>GRANTED / ACCORDÉES</w:t>
      </w:r>
    </w:p>
    <w:p w:rsidR="00AF3487" w:rsidRPr="00AF3487" w:rsidRDefault="00AF3487" w:rsidP="00AF3487">
      <w:pPr>
        <w:rPr>
          <w:rFonts w:cs="Times New Roman"/>
          <w:sz w:val="20"/>
          <w:szCs w:val="20"/>
          <w:lang w:val="fr-CA"/>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 xml:space="preserve">UPON APPLICATIONS </w:t>
      </w:r>
      <w:r w:rsidRPr="00AF3487">
        <w:rPr>
          <w:rFonts w:cs="Times New Roman"/>
          <w:sz w:val="20"/>
          <w:szCs w:val="20"/>
        </w:rPr>
        <w:t>by the Attorney General of Canada and the Attorney General of British Columbia for leave to intervene in the above appeal;</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AND THE MATERIAL FILED</w:t>
      </w:r>
      <w:r w:rsidRPr="00AF3487">
        <w:rPr>
          <w:rFonts w:cs="Times New Roman"/>
          <w:sz w:val="20"/>
          <w:szCs w:val="20"/>
        </w:rPr>
        <w:t xml:space="preserve"> having been read;</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b/>
          <w:bCs/>
          <w:sz w:val="20"/>
          <w:szCs w:val="20"/>
        </w:rPr>
        <w:t>IT IS HEREBY ORDERED THAT:</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motions for leave to intervene by the Attorney General of Canada and the Attorney General of British Columbia are granted and the said interveners shall be entitled to serve and file a factum not to exceed 10 pages in length on or before January 14, 2011.</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requests to present oral argument are deferred to a date following receipt and consideration of the written arguments of the parties and the interveners.</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The interveners shall not be entitled to raise new issues or to adduce further evidence or otherwise to supplement the record of the parties.</w:t>
      </w:r>
    </w:p>
    <w:p w:rsidR="00AF3487" w:rsidRPr="00AF3487" w:rsidRDefault="00AF3487" w:rsidP="00AF3487">
      <w:pPr>
        <w:spacing w:line="233" w:lineRule="auto"/>
        <w:jc w:val="both"/>
        <w:rPr>
          <w:rFonts w:cs="Times New Roman"/>
          <w:sz w:val="20"/>
          <w:szCs w:val="20"/>
        </w:rPr>
      </w:pPr>
    </w:p>
    <w:p w:rsidR="00AF3487" w:rsidRPr="00AF3487" w:rsidRDefault="00AF3487" w:rsidP="00AF3487">
      <w:pPr>
        <w:spacing w:line="233" w:lineRule="auto"/>
        <w:jc w:val="both"/>
        <w:rPr>
          <w:rFonts w:cs="Times New Roman"/>
          <w:sz w:val="20"/>
          <w:szCs w:val="20"/>
        </w:rPr>
      </w:pPr>
      <w:r w:rsidRPr="00AF3487">
        <w:rPr>
          <w:rFonts w:cs="Times New Roman"/>
          <w:sz w:val="20"/>
          <w:szCs w:val="20"/>
        </w:rPr>
        <w:t>Pursuant to Rule 59(1</w:t>
      </w:r>
      <w:proofErr w:type="gramStart"/>
      <w:r w:rsidRPr="00AF3487">
        <w:rPr>
          <w:rFonts w:cs="Times New Roman"/>
          <w:sz w:val="20"/>
          <w:szCs w:val="20"/>
        </w:rPr>
        <w:t>)(</w:t>
      </w:r>
      <w:proofErr w:type="gramEnd"/>
      <w:r w:rsidRPr="00AF3487">
        <w:rPr>
          <w:rFonts w:cs="Times New Roman"/>
          <w:i/>
          <w:iCs/>
          <w:sz w:val="20"/>
          <w:szCs w:val="20"/>
        </w:rPr>
        <w:t>a</w:t>
      </w:r>
      <w:r w:rsidRPr="00AF3487">
        <w:rPr>
          <w:rFonts w:cs="Times New Roman"/>
          <w:sz w:val="20"/>
          <w:szCs w:val="20"/>
        </w:rPr>
        <w:t xml:space="preserve">) of the </w:t>
      </w:r>
      <w:r w:rsidRPr="00AF3487">
        <w:rPr>
          <w:rFonts w:cs="Times New Roman"/>
          <w:i/>
          <w:iCs/>
          <w:sz w:val="20"/>
          <w:szCs w:val="20"/>
        </w:rPr>
        <w:t>Rules of the Supreme Court of Canada</w:t>
      </w:r>
      <w:r w:rsidRPr="00AF3487">
        <w:rPr>
          <w:rFonts w:cs="Times New Roman"/>
          <w:sz w:val="20"/>
          <w:szCs w:val="20"/>
        </w:rPr>
        <w:t>, the interveners shall pay to the appellant and respondents any additional disbursements occasioned to the appellant and respondents by their intervention.</w: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À LA SUITE DES REQUÊTES</w:t>
      </w:r>
      <w:r w:rsidRPr="00AF3487">
        <w:rPr>
          <w:rFonts w:cs="Times New Roman"/>
          <w:bCs/>
          <w:sz w:val="20"/>
          <w:szCs w:val="20"/>
          <w:lang w:val="fr-FR"/>
        </w:rPr>
        <w:t xml:space="preserve"> en autorisation d’intervenir présentées par le procureur général du Canada et le procureur général de la Colombie-Britannique</w:t>
      </w:r>
      <w:r w:rsidRPr="00AF3487">
        <w:rPr>
          <w:rFonts w:cs="Times New Roman"/>
          <w:sz w:val="20"/>
          <w:szCs w:val="20"/>
          <w:lang w:val="fr-FR"/>
        </w:rPr>
        <w:t>;</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t xml:space="preserve">APRÈS EXAMEN </w:t>
      </w:r>
      <w:r w:rsidRPr="00AF3487">
        <w:rPr>
          <w:rFonts w:cs="Times New Roman"/>
          <w:bCs/>
          <w:sz w:val="20"/>
          <w:szCs w:val="20"/>
          <w:lang w:val="fr-FR"/>
        </w:rPr>
        <w:t>des documents déposés</w:t>
      </w:r>
      <w:r w:rsidRPr="00AF3487">
        <w:rPr>
          <w:rFonts w:cs="Times New Roman"/>
          <w:sz w:val="20"/>
          <w:szCs w:val="20"/>
          <w:lang w:val="fr-FR"/>
        </w:rPr>
        <w:t>;</w:t>
      </w:r>
    </w:p>
    <w:p w:rsidR="00AF3487" w:rsidRDefault="00AF3487">
      <w:pPr>
        <w:rPr>
          <w:rFonts w:cs="Times New Roman"/>
          <w:sz w:val="20"/>
          <w:szCs w:val="20"/>
          <w:lang w:val="fr-FR"/>
        </w:rPr>
      </w:pPr>
      <w:r>
        <w:rPr>
          <w:rFonts w:cs="Times New Roman"/>
          <w:sz w:val="20"/>
          <w:szCs w:val="20"/>
          <w:lang w:val="fr-FR"/>
        </w:rPr>
        <w:br w:type="page"/>
      </w:r>
    </w:p>
    <w:p w:rsidR="00AF3487" w:rsidRPr="00AF3487" w:rsidRDefault="00AF3487" w:rsidP="00AF3487">
      <w:pPr>
        <w:spacing w:line="233" w:lineRule="auto"/>
        <w:jc w:val="both"/>
        <w:rPr>
          <w:rFonts w:cs="Times New Roman"/>
          <w:sz w:val="20"/>
          <w:szCs w:val="20"/>
          <w:lang w:val="fr-FR"/>
        </w:rPr>
      </w:pPr>
      <w:r w:rsidRPr="00AF3487">
        <w:rPr>
          <w:rFonts w:cs="Times New Roman"/>
          <w:b/>
          <w:bCs/>
          <w:sz w:val="20"/>
          <w:szCs w:val="20"/>
          <w:lang w:val="fr-FR"/>
        </w:rPr>
        <w:lastRenderedPageBreak/>
        <w:t>IL EST ORDONNÉ CE QUI SUIT :</w:t>
      </w:r>
    </w:p>
    <w:p w:rsid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 xml:space="preserve">Les requêtes en autorisation d’intervenir du </w:t>
      </w:r>
      <w:r w:rsidRPr="00AF3487">
        <w:rPr>
          <w:rFonts w:cs="Times New Roman"/>
          <w:bCs/>
          <w:sz w:val="20"/>
          <w:szCs w:val="20"/>
          <w:lang w:val="fr-FR"/>
        </w:rPr>
        <w:t>procureur général du Canada et du procureur général de la Colombie-Britannique</w:t>
      </w:r>
      <w:r w:rsidRPr="00AF3487">
        <w:rPr>
          <w:rFonts w:cs="Times New Roman"/>
          <w:sz w:val="20"/>
          <w:szCs w:val="20"/>
          <w:lang w:val="fr-FR"/>
        </w:rPr>
        <w:t xml:space="preserve"> sont accordées et les intervenants sont autorisés à signifier et déposer un mémoire d’au plus 10 pages au plus tard le 14 janvier 2011.</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La décision sur les demandes en vue de présenter une plaidoirie orale sera rendue après réception et examen des arguments écrits des parties et des intervenants.</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spacing w:line="233" w:lineRule="auto"/>
        <w:jc w:val="both"/>
        <w:rPr>
          <w:rFonts w:cs="Times New Roman"/>
          <w:sz w:val="20"/>
          <w:szCs w:val="20"/>
          <w:lang w:val="fr-FR"/>
        </w:rPr>
      </w:pPr>
      <w:r w:rsidRPr="00AF3487">
        <w:rPr>
          <w:rFonts w:cs="Times New Roman"/>
          <w:sz w:val="20"/>
          <w:szCs w:val="20"/>
          <w:lang w:val="fr-FR"/>
        </w:rPr>
        <w:t xml:space="preserve">Les intervenants n’ont pas le droit de soulever de nouvelles questions, de produire d’autres éléments de preuve ni de compléter de quelque autre façon le dossier des parties. </w:t>
      </w:r>
    </w:p>
    <w:p w:rsidR="00AF3487" w:rsidRPr="00AF3487" w:rsidRDefault="00AF3487" w:rsidP="00AF3487">
      <w:pPr>
        <w:spacing w:line="233" w:lineRule="auto"/>
        <w:jc w:val="both"/>
        <w:rPr>
          <w:rFonts w:cs="Times New Roman"/>
          <w:sz w:val="20"/>
          <w:szCs w:val="20"/>
          <w:lang w:val="fr-FR"/>
        </w:rPr>
      </w:pPr>
    </w:p>
    <w:p w:rsidR="00AF3487" w:rsidRPr="00AF3487" w:rsidRDefault="00AF3487" w:rsidP="00AF3487">
      <w:pPr>
        <w:jc w:val="both"/>
        <w:rPr>
          <w:rFonts w:cs="Times New Roman"/>
          <w:sz w:val="20"/>
          <w:szCs w:val="20"/>
          <w:lang w:val="fr-CA"/>
        </w:rPr>
      </w:pPr>
      <w:r w:rsidRPr="00AF3487">
        <w:rPr>
          <w:rFonts w:cs="Times New Roman"/>
          <w:sz w:val="20"/>
          <w:szCs w:val="20"/>
          <w:lang w:val="fr-FR"/>
        </w:rPr>
        <w:t>Conformément à l’alinéa 59(1)</w:t>
      </w:r>
      <w:r w:rsidRPr="00AF3487">
        <w:rPr>
          <w:rFonts w:cs="Times New Roman"/>
          <w:i/>
          <w:sz w:val="20"/>
          <w:szCs w:val="20"/>
          <w:lang w:val="fr-FR"/>
        </w:rPr>
        <w:t>a</w:t>
      </w:r>
      <w:r w:rsidRPr="00AF3487">
        <w:rPr>
          <w:rFonts w:cs="Times New Roman"/>
          <w:sz w:val="20"/>
          <w:szCs w:val="20"/>
          <w:lang w:val="fr-FR"/>
        </w:rPr>
        <w:t xml:space="preserve">) des </w:t>
      </w:r>
      <w:r w:rsidRPr="00AF3487">
        <w:rPr>
          <w:rFonts w:cs="Times New Roman"/>
          <w:i/>
          <w:sz w:val="20"/>
          <w:szCs w:val="20"/>
          <w:lang w:val="fr-FR"/>
        </w:rPr>
        <w:t>Règles de la Cour suprême du Canada</w:t>
      </w:r>
      <w:r w:rsidRPr="00AF3487">
        <w:rPr>
          <w:rFonts w:cs="Times New Roman"/>
          <w:sz w:val="20"/>
          <w:szCs w:val="20"/>
          <w:lang w:val="fr-FR"/>
        </w:rPr>
        <w:t>, les intervenants paieront à l’appelante et aux intimés tous débours supplémentaires résultant de leur intervention.</w:t>
      </w:r>
    </w:p>
    <w:p w:rsidR="00AF3487" w:rsidRPr="00AF3487" w:rsidRDefault="00AF3487" w:rsidP="00AF3487">
      <w:pPr>
        <w:rPr>
          <w:rFonts w:cs="Times New Roman"/>
          <w:sz w:val="20"/>
          <w:szCs w:val="20"/>
          <w:lang w:val="fr-CA"/>
        </w:rPr>
      </w:pPr>
    </w:p>
    <w:p w:rsidR="00AF3487" w:rsidRPr="00AF3487" w:rsidRDefault="003E770A" w:rsidP="00AF3487">
      <w:pPr>
        <w:rPr>
          <w:rFonts w:cs="Times New Roman"/>
          <w:sz w:val="20"/>
          <w:szCs w:val="20"/>
        </w:rPr>
      </w:pPr>
      <w:r w:rsidRPr="003E770A">
        <w:rPr>
          <w:rFonts w:cs="Times New Roman"/>
          <w:sz w:val="20"/>
          <w:szCs w:val="20"/>
          <w:lang w:val="fr-CA"/>
        </w:rPr>
        <w:pict>
          <v:rect id="_x0000_i1072" style="width:2in;height:1pt" o:hrpct="0" o:hralign="center" o:hrstd="t" o:hrnoshade="t" o:hr="t" fillcolor="black [3213]" stroked="f"/>
        </w:pic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lang w:val="fr-CA"/>
        </w:rPr>
      </w:pPr>
      <w:r w:rsidRPr="00AF3487">
        <w:rPr>
          <w:rFonts w:cs="Times New Roman"/>
          <w:sz w:val="20"/>
          <w:szCs w:val="20"/>
          <w:lang w:val="fr-CA"/>
        </w:rPr>
        <w:t>08.11.2010</w:t>
      </w:r>
    </w:p>
    <w:p w:rsidR="00AF3487" w:rsidRPr="00AF3487" w:rsidRDefault="00AF3487" w:rsidP="00AF3487">
      <w:pPr>
        <w:rPr>
          <w:rFonts w:cs="Times New Roman"/>
          <w:sz w:val="20"/>
          <w:szCs w:val="20"/>
          <w:lang w:val="fr-CA"/>
        </w:rPr>
      </w:pPr>
    </w:p>
    <w:p w:rsidR="00AF3487" w:rsidRP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THE REGISTRAR / LE REGISTRAIRE</w:t>
      </w:r>
    </w:p>
    <w:p w:rsidR="00AF3487" w:rsidRPr="00AF3487" w:rsidRDefault="00AF3487" w:rsidP="00AF3487">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3B380E" w:rsidTr="00AF3487">
        <w:trPr>
          <w:trHeight w:val="151"/>
        </w:trPr>
        <w:tc>
          <w:tcPr>
            <w:tcW w:w="4338" w:type="dxa"/>
          </w:tcPr>
          <w:p w:rsidR="00AF3487" w:rsidRPr="00AF3487" w:rsidRDefault="00AF3487" w:rsidP="00AF3487">
            <w:pPr>
              <w:jc w:val="both"/>
              <w:rPr>
                <w:rFonts w:cs="Times New Roman"/>
                <w:sz w:val="20"/>
                <w:szCs w:val="20"/>
              </w:rPr>
            </w:pPr>
            <w:r w:rsidRPr="00AF3487">
              <w:rPr>
                <w:rFonts w:cs="Times New Roman"/>
                <w:b/>
                <w:sz w:val="20"/>
                <w:szCs w:val="20"/>
              </w:rPr>
              <w:t>Motion to extend time to serve and file the appellant’s factum and book of authorities to October 4, 2010</w:t>
            </w:r>
            <w:r w:rsidRPr="00AF3487">
              <w:rPr>
                <w:rFonts w:cs="Times New Roman"/>
                <w:sz w:val="20"/>
                <w:szCs w:val="20"/>
              </w:rPr>
              <w:t xml:space="preserve"> </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b/>
                <w:sz w:val="20"/>
                <w:szCs w:val="20"/>
                <w:lang w:val="fr-CA"/>
              </w:rPr>
            </w:pPr>
            <w:r w:rsidRPr="00AF3487">
              <w:rPr>
                <w:rFonts w:cs="Times New Roman"/>
                <w:b/>
                <w:sz w:val="20"/>
                <w:szCs w:val="20"/>
                <w:lang w:val="fr-CA"/>
              </w:rPr>
              <w:t xml:space="preserve">Requête en prorogation du délai de signification et dépôt des </w:t>
            </w:r>
            <w:proofErr w:type="gramStart"/>
            <w:r w:rsidRPr="00AF3487">
              <w:rPr>
                <w:rFonts w:cs="Times New Roman"/>
                <w:b/>
                <w:sz w:val="20"/>
                <w:szCs w:val="20"/>
                <w:lang w:val="fr-CA"/>
              </w:rPr>
              <w:t>mémoire</w:t>
            </w:r>
            <w:proofErr w:type="gramEnd"/>
            <w:r w:rsidRPr="00AF3487">
              <w:rPr>
                <w:rFonts w:cs="Times New Roman"/>
                <w:b/>
                <w:sz w:val="20"/>
                <w:szCs w:val="20"/>
                <w:lang w:val="fr-CA"/>
              </w:rPr>
              <w:t xml:space="preserve"> et recueil de sources de l’appelant jusqu’au 4 octobre 2010</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rPr>
            </w:pPr>
            <w:r w:rsidRPr="00AF3487">
              <w:rPr>
                <w:rFonts w:cs="Times New Roman"/>
                <w:sz w:val="20"/>
                <w:szCs w:val="20"/>
              </w:rPr>
              <w:t>Ross Barros</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t>v. (33727)</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Her Majesty the Queen (Crim.) (Alta.)</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r w:rsidRPr="00AF3487">
        <w:rPr>
          <w:rFonts w:cs="Times New Roman"/>
          <w:b/>
          <w:sz w:val="20"/>
          <w:szCs w:val="20"/>
        </w:rPr>
        <w:t>GRANTED / ACCORDÉE</w:t>
      </w:r>
    </w:p>
    <w:p w:rsidR="00AF3487" w:rsidRPr="00AF3487" w:rsidRDefault="00AF3487" w:rsidP="00AF3487">
      <w:pPr>
        <w:rPr>
          <w:rFonts w:cs="Times New Roman"/>
          <w:sz w:val="20"/>
          <w:szCs w:val="20"/>
        </w:rPr>
      </w:pPr>
    </w:p>
    <w:p w:rsidR="00AF3487" w:rsidRPr="00AF3487" w:rsidRDefault="003E770A" w:rsidP="00AF3487">
      <w:pPr>
        <w:rPr>
          <w:rFonts w:cs="Times New Roman"/>
          <w:sz w:val="20"/>
          <w:szCs w:val="20"/>
        </w:rPr>
      </w:pPr>
      <w:r w:rsidRPr="003E770A">
        <w:rPr>
          <w:rFonts w:cs="Times New Roman"/>
          <w:sz w:val="20"/>
          <w:szCs w:val="20"/>
          <w:lang w:val="fr-CA"/>
        </w:rPr>
        <w:pict>
          <v:rect id="_x0000_i1073" style="width:2in;height:1pt" o:hrpct="0" o:hralign="center" o:hrstd="t" o:hrnoshade="t" o:hr="t" fillcolor="black [3213]" stroked="f"/>
        </w:pict>
      </w:r>
    </w:p>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lang w:val="fr-CA"/>
        </w:rPr>
      </w:pPr>
      <w:r w:rsidRPr="00AF3487">
        <w:rPr>
          <w:rFonts w:cs="Times New Roman"/>
          <w:sz w:val="20"/>
          <w:szCs w:val="20"/>
          <w:lang w:val="fr-CA"/>
        </w:rPr>
        <w:t>08.11.2010</w:t>
      </w:r>
    </w:p>
    <w:p w:rsidR="00AF3487" w:rsidRPr="00AF3487" w:rsidRDefault="00AF3487" w:rsidP="00AF3487">
      <w:pPr>
        <w:rPr>
          <w:rFonts w:cs="Times New Roman"/>
          <w:sz w:val="20"/>
          <w:szCs w:val="20"/>
          <w:lang w:val="fr-CA"/>
        </w:rPr>
      </w:pPr>
    </w:p>
    <w:p w:rsidR="00AF3487" w:rsidRP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THE REGISTRAR / LE REGISTRAIRE</w:t>
      </w:r>
    </w:p>
    <w:p w:rsidR="00AF3487" w:rsidRPr="00AF3487" w:rsidRDefault="00AF3487" w:rsidP="00AF3487">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3B380E" w:rsidTr="00AF3487">
        <w:trPr>
          <w:trHeight w:val="151"/>
        </w:trPr>
        <w:tc>
          <w:tcPr>
            <w:tcW w:w="4338" w:type="dxa"/>
          </w:tcPr>
          <w:p w:rsidR="00AF3487" w:rsidRPr="00AF3487" w:rsidRDefault="00AF3487" w:rsidP="00AF3487">
            <w:pPr>
              <w:jc w:val="both"/>
              <w:rPr>
                <w:rFonts w:cs="Times New Roman"/>
                <w:b/>
                <w:sz w:val="20"/>
                <w:szCs w:val="20"/>
              </w:rPr>
            </w:pPr>
            <w:r w:rsidRPr="00AF3487">
              <w:rPr>
                <w:rFonts w:cs="Times New Roman"/>
                <w:b/>
                <w:sz w:val="20"/>
                <w:szCs w:val="20"/>
              </w:rPr>
              <w:t>Motion allowing the applicant to file a single application from the two judgments of the Federal Court of Appeal</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b/>
                <w:sz w:val="20"/>
                <w:szCs w:val="20"/>
                <w:lang w:val="fr-CA"/>
              </w:rPr>
            </w:pPr>
            <w:r w:rsidRPr="00AF3487">
              <w:rPr>
                <w:rFonts w:cs="Times New Roman"/>
                <w:b/>
                <w:sz w:val="20"/>
                <w:szCs w:val="20"/>
                <w:lang w:val="fr-CA"/>
              </w:rPr>
              <w:t xml:space="preserve">Requête du demandeur en vue de déposer une seule demande d’autorisation d’appel contre les deux jugements de la Cour d’appel fédérale </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lang w:val="fr-CA"/>
              </w:rPr>
            </w:pPr>
            <w:r w:rsidRPr="00AF3487">
              <w:rPr>
                <w:rFonts w:cs="Times New Roman"/>
                <w:sz w:val="20"/>
                <w:szCs w:val="20"/>
                <w:lang w:val="fr-CA"/>
              </w:rPr>
              <w:t>Rogers Communication Inc. et al.</w:t>
            </w:r>
          </w:p>
          <w:p w:rsidR="00AF3487" w:rsidRPr="00AF3487" w:rsidRDefault="00AF3487" w:rsidP="00AF3487">
            <w:pPr>
              <w:jc w:val="both"/>
              <w:rPr>
                <w:rFonts w:cs="Times New Roman"/>
                <w:sz w:val="20"/>
                <w:szCs w:val="20"/>
                <w:lang w:val="fr-CA"/>
              </w:rPr>
            </w:pPr>
          </w:p>
          <w:p w:rsidR="00AF3487" w:rsidRPr="00AF3487" w:rsidRDefault="00AF3487" w:rsidP="00AF3487">
            <w:pPr>
              <w:jc w:val="both"/>
              <w:rPr>
                <w:rFonts w:cs="Times New Roman"/>
                <w:sz w:val="20"/>
                <w:szCs w:val="20"/>
              </w:rPr>
            </w:pPr>
            <w:r w:rsidRPr="00AF3487">
              <w:rPr>
                <w:rFonts w:cs="Times New Roman"/>
                <w:sz w:val="20"/>
                <w:szCs w:val="20"/>
                <w:lang w:val="fr-CA"/>
              </w:rPr>
              <w:tab/>
            </w:r>
            <w:r w:rsidRPr="00AF3487">
              <w:rPr>
                <w:rFonts w:cs="Times New Roman"/>
                <w:sz w:val="20"/>
                <w:szCs w:val="20"/>
              </w:rPr>
              <w:t>v. (33922)</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Society of Composers, Authors and Music Publishers of Canada (F.C.)</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rPr>
          <w:rFonts w:cs="Times New Roman"/>
          <w:sz w:val="20"/>
          <w:szCs w:val="20"/>
        </w:rPr>
      </w:pPr>
    </w:p>
    <w:p w:rsidR="00AF3487" w:rsidRPr="00AF3487" w:rsidRDefault="00AF3487" w:rsidP="00AF3487">
      <w:pPr>
        <w:rPr>
          <w:rFonts w:cs="Times New Roman"/>
          <w:sz w:val="20"/>
          <w:szCs w:val="20"/>
        </w:rPr>
      </w:pPr>
      <w:r w:rsidRPr="00AF3487">
        <w:rPr>
          <w:rFonts w:cs="Times New Roman"/>
          <w:b/>
          <w:sz w:val="20"/>
          <w:szCs w:val="20"/>
        </w:rPr>
        <w:t>GRANTED / ACCORDÉE</w:t>
      </w:r>
    </w:p>
    <w:p w:rsidR="00AF3487" w:rsidRPr="00AF3487" w:rsidRDefault="00AF3487" w:rsidP="00AF3487">
      <w:pPr>
        <w:rPr>
          <w:rFonts w:cs="Times New Roman"/>
          <w:sz w:val="20"/>
          <w:szCs w:val="20"/>
        </w:rPr>
      </w:pPr>
    </w:p>
    <w:p w:rsidR="00AF3487" w:rsidRPr="00AF3487" w:rsidRDefault="00AF3487" w:rsidP="00AF3487">
      <w:pPr>
        <w:tabs>
          <w:tab w:val="left" w:pos="-1440"/>
          <w:tab w:val="left" w:pos="-720"/>
        </w:tabs>
        <w:spacing w:line="-19" w:lineRule="auto"/>
        <w:jc w:val="both"/>
        <w:rPr>
          <w:rFonts w:cs="Times New Roman"/>
          <w:sz w:val="20"/>
          <w:szCs w:val="20"/>
        </w:rPr>
      </w:pPr>
    </w:p>
    <w:p w:rsidR="00AF3487" w:rsidRPr="00AF3487" w:rsidRDefault="003E770A" w:rsidP="00AF3487">
      <w:pPr>
        <w:tabs>
          <w:tab w:val="left" w:pos="-1440"/>
          <w:tab w:val="left" w:pos="-720"/>
        </w:tabs>
        <w:spacing w:line="0" w:lineRule="atLeast"/>
        <w:jc w:val="both"/>
        <w:rPr>
          <w:rFonts w:cs="Times New Roman"/>
          <w:sz w:val="20"/>
          <w:szCs w:val="20"/>
          <w:lang w:val="fr-CA"/>
        </w:rPr>
      </w:pPr>
      <w:r w:rsidRPr="003E770A">
        <w:rPr>
          <w:rFonts w:cs="Times New Roman"/>
          <w:sz w:val="20"/>
          <w:szCs w:val="20"/>
          <w:lang w:val="fr-CA"/>
        </w:rPr>
        <w:pict>
          <v:rect id="_x0000_i1074" style="width:2in;height:1pt" o:hrpct="0" o:hralign="center" o:hrstd="t" o:hrnoshade="t" o:hr="t" fillcolor="black [3213]" stroked="f"/>
        </w:pict>
      </w:r>
    </w:p>
    <w:p w:rsidR="00AF3487" w:rsidRDefault="00AF3487">
      <w:pPr>
        <w:rPr>
          <w:rFonts w:cs="Times New Roman"/>
          <w:sz w:val="20"/>
          <w:szCs w:val="20"/>
          <w:lang w:val="fr-CA"/>
        </w:rPr>
      </w:pPr>
      <w:r>
        <w:rPr>
          <w:rFonts w:cs="Times New Roman"/>
          <w:sz w:val="20"/>
          <w:szCs w:val="20"/>
          <w:lang w:val="fr-CA"/>
        </w:rPr>
        <w:br w:type="page"/>
      </w:r>
    </w:p>
    <w:p w:rsidR="00AF3487" w:rsidRPr="00AF3487" w:rsidRDefault="00AF3487" w:rsidP="00AF3487">
      <w:pPr>
        <w:rPr>
          <w:rFonts w:cs="Times New Roman"/>
          <w:sz w:val="20"/>
          <w:szCs w:val="20"/>
          <w:lang w:val="fr-CA"/>
        </w:rPr>
      </w:pPr>
      <w:r w:rsidRPr="00AF3487">
        <w:rPr>
          <w:rFonts w:cs="Times New Roman"/>
          <w:sz w:val="20"/>
          <w:szCs w:val="20"/>
          <w:lang w:val="fr-CA"/>
        </w:rPr>
        <w:lastRenderedPageBreak/>
        <w:t>10.11.2010</w:t>
      </w:r>
    </w:p>
    <w:p w:rsidR="00AF3487" w:rsidRPr="00AF3487" w:rsidRDefault="00AF3487" w:rsidP="00AF3487">
      <w:pPr>
        <w:rPr>
          <w:rFonts w:cs="Times New Roman"/>
          <w:sz w:val="20"/>
          <w:szCs w:val="20"/>
          <w:lang w:val="fr-CA"/>
        </w:rPr>
      </w:pPr>
    </w:p>
    <w:p w:rsidR="00AF3487" w:rsidRDefault="00AF3487" w:rsidP="00AF3487">
      <w:pPr>
        <w:jc w:val="both"/>
        <w:rPr>
          <w:rFonts w:cs="Times New Roman"/>
          <w:sz w:val="20"/>
          <w:szCs w:val="20"/>
          <w:lang w:val="fr-CA"/>
        </w:rPr>
      </w:pPr>
      <w:proofErr w:type="spellStart"/>
      <w:r w:rsidRPr="00AF3487">
        <w:rPr>
          <w:rFonts w:cs="Times New Roman"/>
          <w:sz w:val="20"/>
          <w:szCs w:val="20"/>
          <w:lang w:val="fr-CA"/>
        </w:rPr>
        <w:t>Before</w:t>
      </w:r>
      <w:proofErr w:type="spellEnd"/>
      <w:r w:rsidRPr="00AF3487">
        <w:rPr>
          <w:rFonts w:cs="Times New Roman"/>
          <w:sz w:val="20"/>
          <w:szCs w:val="20"/>
          <w:lang w:val="fr-CA"/>
        </w:rPr>
        <w:t xml:space="preserve"> / Devant:   BINNIE J. / LE JUGE BINNIE</w:t>
      </w:r>
    </w:p>
    <w:p w:rsidR="00AF3487" w:rsidRPr="00AF3487" w:rsidRDefault="00AF3487" w:rsidP="00AF3487">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487" w:rsidRPr="00AF3487" w:rsidTr="00AF3487">
        <w:trPr>
          <w:trHeight w:val="151"/>
        </w:trPr>
        <w:tc>
          <w:tcPr>
            <w:tcW w:w="4338" w:type="dxa"/>
          </w:tcPr>
          <w:p w:rsidR="00AF3487" w:rsidRPr="00AF3487" w:rsidRDefault="00AF3487" w:rsidP="00AF3487">
            <w:pPr>
              <w:jc w:val="both"/>
              <w:rPr>
                <w:rFonts w:cs="Times New Roman"/>
                <w:b/>
                <w:sz w:val="20"/>
                <w:szCs w:val="20"/>
              </w:rPr>
            </w:pPr>
            <w:r w:rsidRPr="00AF3487">
              <w:rPr>
                <w:rFonts w:cs="Times New Roman"/>
                <w:b/>
                <w:sz w:val="20"/>
                <w:szCs w:val="20"/>
              </w:rPr>
              <w:t>Motion to strike</w:t>
            </w:r>
          </w:p>
        </w:tc>
        <w:tc>
          <w:tcPr>
            <w:tcW w:w="1170" w:type="dxa"/>
          </w:tcPr>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b/>
                <w:sz w:val="20"/>
                <w:szCs w:val="20"/>
                <w:lang w:val="fr-CA"/>
              </w:rPr>
            </w:pPr>
            <w:r w:rsidRPr="00AF3487">
              <w:rPr>
                <w:rFonts w:cs="Times New Roman"/>
                <w:b/>
                <w:sz w:val="20"/>
                <w:szCs w:val="20"/>
                <w:lang w:val="fr-CA"/>
              </w:rPr>
              <w:t>Requête en radiation</w:t>
            </w:r>
          </w:p>
        </w:tc>
      </w:tr>
      <w:tr w:rsidR="00AF3487" w:rsidRPr="00AF3487" w:rsidTr="00AF3487">
        <w:trPr>
          <w:trHeight w:val="150"/>
        </w:trPr>
        <w:tc>
          <w:tcPr>
            <w:tcW w:w="4338" w:type="dxa"/>
          </w:tcPr>
          <w:p w:rsidR="00AF3487" w:rsidRPr="00AF3487" w:rsidRDefault="00AF3487" w:rsidP="00AF3487">
            <w:pPr>
              <w:jc w:val="both"/>
              <w:rPr>
                <w:rFonts w:cs="Times New Roman"/>
                <w:sz w:val="20"/>
                <w:szCs w:val="20"/>
              </w:rPr>
            </w:pPr>
            <w:r w:rsidRPr="00AF3487">
              <w:rPr>
                <w:rFonts w:cs="Times New Roman"/>
                <w:sz w:val="20"/>
                <w:szCs w:val="20"/>
              </w:rPr>
              <w:t>New Brunswick Human Rights Commission</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ab/>
              <w:t>v. (33820)</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Province of New Brunswick, as represented by the Department of Social Development (N.B.)</w:t>
            </w:r>
          </w:p>
        </w:tc>
        <w:tc>
          <w:tcPr>
            <w:tcW w:w="1170" w:type="dxa"/>
          </w:tcPr>
          <w:p w:rsidR="00AF3487" w:rsidRPr="00AF3487" w:rsidRDefault="00AF3487" w:rsidP="00AF3487">
            <w:pPr>
              <w:jc w:val="both"/>
              <w:rPr>
                <w:rFonts w:cs="Times New Roman"/>
                <w:sz w:val="20"/>
                <w:szCs w:val="20"/>
              </w:rPr>
            </w:pPr>
          </w:p>
        </w:tc>
        <w:tc>
          <w:tcPr>
            <w:tcW w:w="4327" w:type="dxa"/>
          </w:tcPr>
          <w:p w:rsidR="00AF3487" w:rsidRPr="00AF3487" w:rsidRDefault="00AF3487" w:rsidP="00AF3487">
            <w:pPr>
              <w:jc w:val="both"/>
              <w:rPr>
                <w:rFonts w:cs="Times New Roman"/>
                <w:sz w:val="20"/>
                <w:szCs w:val="20"/>
              </w:rPr>
            </w:pPr>
          </w:p>
        </w:tc>
      </w:tr>
    </w:tbl>
    <w:p w:rsidR="00AF3487" w:rsidRPr="00AF3487" w:rsidRDefault="00AF3487" w:rsidP="00AF3487">
      <w:pPr>
        <w:tabs>
          <w:tab w:val="left" w:pos="-1440"/>
          <w:tab w:val="left" w:pos="-720"/>
        </w:tabs>
        <w:spacing w:line="0" w:lineRule="atLeast"/>
        <w:jc w:val="both"/>
        <w:rPr>
          <w:rFonts w:cs="Times New Roman"/>
          <w:sz w:val="20"/>
          <w:szCs w:val="20"/>
        </w:rPr>
      </w:pPr>
    </w:p>
    <w:p w:rsidR="00AF3487" w:rsidRPr="00AF3487" w:rsidRDefault="00AF3487" w:rsidP="00AF3487">
      <w:pPr>
        <w:tabs>
          <w:tab w:val="left" w:pos="-1440"/>
          <w:tab w:val="left" w:pos="-720"/>
        </w:tabs>
        <w:spacing w:line="0" w:lineRule="atLeast"/>
        <w:jc w:val="both"/>
        <w:rPr>
          <w:rFonts w:cs="Times New Roman"/>
          <w:b/>
          <w:sz w:val="20"/>
          <w:szCs w:val="20"/>
        </w:rPr>
      </w:pPr>
      <w:r w:rsidRPr="00AF3487">
        <w:rPr>
          <w:rFonts w:cs="Times New Roman"/>
          <w:b/>
          <w:sz w:val="20"/>
          <w:szCs w:val="20"/>
        </w:rPr>
        <w:t>DISMISSED / REJETÉE</w:t>
      </w:r>
    </w:p>
    <w:p w:rsidR="00AF3487" w:rsidRPr="00AF3487" w:rsidRDefault="00AF3487" w:rsidP="00AF3487">
      <w:pPr>
        <w:jc w:val="both"/>
        <w:rPr>
          <w:rFonts w:cs="Times New Roman"/>
          <w:b/>
          <w:sz w:val="20"/>
          <w:szCs w:val="20"/>
        </w:rPr>
      </w:pPr>
    </w:p>
    <w:p w:rsidR="00AF3487" w:rsidRPr="00AF3487" w:rsidRDefault="00AF3487" w:rsidP="00AF3487">
      <w:pPr>
        <w:jc w:val="both"/>
        <w:rPr>
          <w:rFonts w:cs="Times New Roman"/>
          <w:sz w:val="20"/>
          <w:szCs w:val="20"/>
        </w:rPr>
      </w:pPr>
      <w:r w:rsidRPr="00AF3487">
        <w:rPr>
          <w:rFonts w:cs="Times New Roman"/>
          <w:b/>
          <w:sz w:val="20"/>
          <w:szCs w:val="20"/>
        </w:rPr>
        <w:t>UPON APPLICATION</w:t>
      </w:r>
      <w:r w:rsidRPr="00AF3487">
        <w:rPr>
          <w:rFonts w:cs="Times New Roman"/>
          <w:sz w:val="20"/>
          <w:szCs w:val="20"/>
        </w:rPr>
        <w:t xml:space="preserve"> by the applicant for:</w:t>
      </w:r>
    </w:p>
    <w:p w:rsidR="00AF3487" w:rsidRPr="00AF3487" w:rsidRDefault="00AF3487" w:rsidP="00AF3487">
      <w:pPr>
        <w:jc w:val="both"/>
        <w:rPr>
          <w:rFonts w:cs="Times New Roman"/>
          <w:sz w:val="20"/>
          <w:szCs w:val="20"/>
        </w:rPr>
      </w:pPr>
    </w:p>
    <w:p w:rsidR="00AF3487" w:rsidRPr="00AF3487" w:rsidRDefault="00AF3487" w:rsidP="00AF3487">
      <w:pPr>
        <w:pStyle w:val="ListParagraph"/>
        <w:numPr>
          <w:ilvl w:val="0"/>
          <w:numId w:val="2"/>
        </w:numPr>
        <w:jc w:val="both"/>
        <w:rPr>
          <w:rFonts w:cs="Times New Roman"/>
          <w:sz w:val="20"/>
          <w:szCs w:val="20"/>
        </w:rPr>
      </w:pPr>
      <w:r w:rsidRPr="00AF3487">
        <w:rPr>
          <w:rFonts w:cs="Times New Roman"/>
          <w:sz w:val="20"/>
          <w:szCs w:val="20"/>
        </w:rPr>
        <w:t>An Order striking the Affidavit of Gary Bradford from the Response of the Respondent to the Application for leave to appeal;</w:t>
      </w:r>
    </w:p>
    <w:p w:rsidR="00AF3487" w:rsidRPr="00AF3487" w:rsidRDefault="00AF3487" w:rsidP="00AF3487">
      <w:pPr>
        <w:jc w:val="both"/>
        <w:rPr>
          <w:rFonts w:cs="Times New Roman"/>
          <w:sz w:val="20"/>
          <w:szCs w:val="20"/>
        </w:rPr>
      </w:pPr>
    </w:p>
    <w:p w:rsidR="00AF3487" w:rsidRPr="00AF3487" w:rsidRDefault="00AF3487" w:rsidP="00AF3487">
      <w:pPr>
        <w:pStyle w:val="ListParagraph"/>
        <w:numPr>
          <w:ilvl w:val="0"/>
          <w:numId w:val="2"/>
        </w:numPr>
        <w:jc w:val="both"/>
        <w:rPr>
          <w:rFonts w:cs="Times New Roman"/>
          <w:sz w:val="20"/>
          <w:szCs w:val="20"/>
        </w:rPr>
      </w:pPr>
      <w:r w:rsidRPr="00AF3487">
        <w:rPr>
          <w:rFonts w:cs="Times New Roman"/>
          <w:sz w:val="20"/>
          <w:szCs w:val="20"/>
        </w:rPr>
        <w:t>An Order requiring the respondent to serve and file a revised Response to the Application for leave to appeal that does not refer to the aforementioned affidavit or any other material that was not part of the record before the courts below;</w:t>
      </w:r>
    </w:p>
    <w:p w:rsidR="00AF3487" w:rsidRPr="00AF3487" w:rsidRDefault="00AF3487" w:rsidP="00AF3487">
      <w:pPr>
        <w:jc w:val="both"/>
        <w:rPr>
          <w:rFonts w:cs="Times New Roman"/>
          <w:sz w:val="20"/>
          <w:szCs w:val="20"/>
        </w:rPr>
      </w:pPr>
    </w:p>
    <w:p w:rsidR="00AF3487" w:rsidRPr="00AF3487" w:rsidRDefault="00AF3487" w:rsidP="00AF3487">
      <w:pPr>
        <w:pStyle w:val="ListParagraph"/>
        <w:numPr>
          <w:ilvl w:val="0"/>
          <w:numId w:val="2"/>
        </w:numPr>
        <w:jc w:val="both"/>
        <w:rPr>
          <w:rFonts w:cs="Times New Roman"/>
          <w:sz w:val="20"/>
          <w:szCs w:val="20"/>
        </w:rPr>
      </w:pPr>
      <w:r w:rsidRPr="00AF3487">
        <w:rPr>
          <w:rFonts w:cs="Times New Roman"/>
          <w:sz w:val="20"/>
          <w:szCs w:val="20"/>
        </w:rPr>
        <w:t>An Order extending the deadline for serving and filing the applicant’s Reply to the Response to the Application for leave to appeal to the later of 10 days after the date of service of a revised Response or alternatively 10 days after the disposition of this Motion;</w:t>
      </w:r>
    </w:p>
    <w:p w:rsidR="00AF3487" w:rsidRPr="00AF3487" w:rsidRDefault="00AF3487" w:rsidP="00AF3487">
      <w:pPr>
        <w:jc w:val="both"/>
        <w:rPr>
          <w:rFonts w:cs="Times New Roman"/>
          <w:sz w:val="20"/>
          <w:szCs w:val="20"/>
        </w:rPr>
      </w:pPr>
    </w:p>
    <w:p w:rsidR="00AF3487" w:rsidRPr="00AF3487" w:rsidRDefault="003E770A" w:rsidP="00AF3487">
      <w:pPr>
        <w:jc w:val="both"/>
        <w:rPr>
          <w:rFonts w:cs="Times New Roman"/>
          <w:sz w:val="20"/>
          <w:szCs w:val="20"/>
        </w:rPr>
      </w:pPr>
      <w:r w:rsidRPr="00AF3487">
        <w:rPr>
          <w:rFonts w:cs="Times New Roman"/>
          <w:sz w:val="20"/>
          <w:szCs w:val="20"/>
        </w:rPr>
        <w:fldChar w:fldCharType="begin"/>
      </w:r>
      <w:r w:rsidR="00AF3487" w:rsidRPr="00AF3487">
        <w:rPr>
          <w:rFonts w:cs="Times New Roman"/>
          <w:sz w:val="20"/>
          <w:szCs w:val="20"/>
        </w:rPr>
        <w:instrText xml:space="preserve"> SEQ CHAPTER \h \r 1</w:instrText>
      </w:r>
      <w:r w:rsidRPr="00AF3487">
        <w:rPr>
          <w:rFonts w:cs="Times New Roman"/>
          <w:sz w:val="20"/>
          <w:szCs w:val="20"/>
        </w:rPr>
        <w:fldChar w:fldCharType="end"/>
      </w:r>
      <w:r w:rsidR="00AF3487" w:rsidRPr="00AF3487">
        <w:rPr>
          <w:rFonts w:cs="Times New Roman"/>
          <w:b/>
          <w:bCs/>
          <w:sz w:val="20"/>
          <w:szCs w:val="20"/>
        </w:rPr>
        <w:t>AND HAVING READ</w:t>
      </w:r>
      <w:r w:rsidR="00AF3487" w:rsidRPr="00AF3487">
        <w:rPr>
          <w:rFonts w:cs="Times New Roman"/>
          <w:sz w:val="20"/>
          <w:szCs w:val="20"/>
        </w:rPr>
        <w:t xml:space="preserve"> the material filed;</w:t>
      </w:r>
    </w:p>
    <w:p w:rsidR="00AF3487" w:rsidRPr="00AF3487" w:rsidRDefault="00AF3487" w:rsidP="00AF3487">
      <w:pPr>
        <w:jc w:val="both"/>
        <w:rPr>
          <w:rFonts w:cs="Times New Roman"/>
          <w:color w:val="000000" w:themeColor="text1"/>
          <w:sz w:val="20"/>
          <w:szCs w:val="20"/>
        </w:rPr>
      </w:pPr>
    </w:p>
    <w:p w:rsidR="00AF3487" w:rsidRPr="00AF3487" w:rsidRDefault="00AF3487" w:rsidP="00AF3487">
      <w:pPr>
        <w:jc w:val="both"/>
        <w:rPr>
          <w:rFonts w:cs="Times New Roman"/>
          <w:b/>
          <w:caps/>
          <w:color w:val="000000" w:themeColor="text1"/>
          <w:sz w:val="20"/>
          <w:szCs w:val="20"/>
        </w:rPr>
      </w:pPr>
      <w:r w:rsidRPr="00AF3487">
        <w:rPr>
          <w:rFonts w:cs="Times New Roman"/>
          <w:b/>
          <w:caps/>
          <w:color w:val="000000" w:themeColor="text1"/>
          <w:sz w:val="20"/>
          <w:szCs w:val="20"/>
        </w:rPr>
        <w:t>It is hereby ordered that:</w:t>
      </w:r>
    </w:p>
    <w:p w:rsidR="00AF3487" w:rsidRPr="00AF3487" w:rsidRDefault="00AF3487" w:rsidP="00AF3487">
      <w:pPr>
        <w:jc w:val="both"/>
        <w:rPr>
          <w:rFonts w:cs="Times New Roman"/>
          <w:sz w:val="20"/>
          <w:szCs w:val="20"/>
        </w:rPr>
      </w:pPr>
    </w:p>
    <w:p w:rsidR="00AF3487" w:rsidRPr="00AF3487" w:rsidRDefault="00AF3487" w:rsidP="00AF3487">
      <w:pPr>
        <w:jc w:val="both"/>
        <w:rPr>
          <w:rFonts w:cs="Times New Roman"/>
          <w:sz w:val="20"/>
          <w:szCs w:val="20"/>
        </w:rPr>
      </w:pPr>
      <w:r w:rsidRPr="00AF3487">
        <w:rPr>
          <w:rFonts w:cs="Times New Roman"/>
          <w:sz w:val="20"/>
          <w:szCs w:val="20"/>
        </w:rPr>
        <w:t xml:space="preserve">The motion for an Order striking the Affidavit of Gary Bradford is dismissed. </w:t>
      </w:r>
    </w:p>
    <w:p w:rsidR="00AF3487" w:rsidRPr="00AF3487" w:rsidRDefault="00AF3487" w:rsidP="00AF3487">
      <w:pPr>
        <w:jc w:val="both"/>
        <w:rPr>
          <w:rFonts w:cs="Times New Roman"/>
          <w:sz w:val="20"/>
          <w:szCs w:val="20"/>
        </w:rPr>
      </w:pPr>
    </w:p>
    <w:p w:rsidR="00AF3487" w:rsidRPr="00AF3487" w:rsidRDefault="003E770A" w:rsidP="00AF3487">
      <w:pPr>
        <w:jc w:val="both"/>
        <w:rPr>
          <w:rFonts w:cs="Times New Roman"/>
          <w:sz w:val="20"/>
          <w:szCs w:val="20"/>
        </w:rPr>
      </w:pPr>
      <w:r w:rsidRPr="00AF3487">
        <w:rPr>
          <w:rFonts w:cs="Times New Roman"/>
          <w:sz w:val="20"/>
          <w:szCs w:val="20"/>
        </w:rPr>
        <w:fldChar w:fldCharType="begin"/>
      </w:r>
      <w:r w:rsidR="00AF3487" w:rsidRPr="00AF3487">
        <w:rPr>
          <w:rFonts w:cs="Times New Roman"/>
          <w:sz w:val="20"/>
          <w:szCs w:val="20"/>
        </w:rPr>
        <w:instrText xml:space="preserve"> SEQ CHAPTER \h \r 1</w:instrText>
      </w:r>
      <w:r w:rsidRPr="00AF3487">
        <w:rPr>
          <w:rFonts w:cs="Times New Roman"/>
          <w:sz w:val="20"/>
          <w:szCs w:val="20"/>
        </w:rPr>
        <w:fldChar w:fldCharType="end"/>
      </w:r>
      <w:r w:rsidR="00AF3487" w:rsidRPr="00AF3487">
        <w:rPr>
          <w:rFonts w:cs="Times New Roman"/>
          <w:sz w:val="20"/>
          <w:szCs w:val="20"/>
        </w:rPr>
        <w:t>The applicant is granted an extension of 10 days from this order to serve and file its reply to the response to the application for leave to appeal.</w:t>
      </w:r>
    </w:p>
    <w:p w:rsidR="00AF3487" w:rsidRPr="00AF3487" w:rsidRDefault="00AF3487" w:rsidP="00AF3487">
      <w:pPr>
        <w:tabs>
          <w:tab w:val="left" w:pos="-1440"/>
          <w:tab w:val="left" w:pos="-720"/>
        </w:tabs>
        <w:spacing w:line="0" w:lineRule="atLeast"/>
        <w:jc w:val="both"/>
        <w:rPr>
          <w:rFonts w:cs="Times New Roman"/>
          <w:sz w:val="20"/>
          <w:szCs w:val="20"/>
        </w:rPr>
      </w:pPr>
    </w:p>
    <w:p w:rsidR="00AF3487" w:rsidRPr="00AF3487" w:rsidRDefault="00AF3487" w:rsidP="00AF3487">
      <w:pPr>
        <w:tabs>
          <w:tab w:val="left" w:pos="-1440"/>
          <w:tab w:val="left" w:pos="-720"/>
        </w:tabs>
        <w:spacing w:line="0" w:lineRule="atLeast"/>
        <w:jc w:val="both"/>
        <w:rPr>
          <w:rFonts w:cs="Times New Roman"/>
          <w:sz w:val="20"/>
          <w:szCs w:val="20"/>
        </w:rPr>
      </w:pPr>
    </w:p>
    <w:p w:rsidR="00AF3487" w:rsidRPr="00AF3487" w:rsidRDefault="00AF3487" w:rsidP="00AF3487">
      <w:pPr>
        <w:tabs>
          <w:tab w:val="left" w:pos="-1440"/>
          <w:tab w:val="left" w:pos="-720"/>
        </w:tabs>
        <w:spacing w:line="0" w:lineRule="atLeast"/>
        <w:jc w:val="both"/>
        <w:rPr>
          <w:rFonts w:cs="Times New Roman"/>
          <w:sz w:val="20"/>
          <w:szCs w:val="20"/>
        </w:rPr>
      </w:pPr>
    </w:p>
    <w:p w:rsidR="00AF3487" w:rsidRPr="00AF3487" w:rsidRDefault="00AF3487" w:rsidP="00AF3487">
      <w:pPr>
        <w:rPr>
          <w:rFonts w:cs="Times New Roman"/>
          <w:sz w:val="20"/>
          <w:szCs w:val="20"/>
          <w:lang w:val="fr-FR"/>
        </w:rPr>
      </w:pPr>
      <w:r w:rsidRPr="00AF3487">
        <w:rPr>
          <w:rFonts w:cs="Times New Roman"/>
          <w:b/>
          <w:sz w:val="20"/>
          <w:szCs w:val="20"/>
          <w:lang w:val="fr-FR"/>
        </w:rPr>
        <w:t xml:space="preserve">À LA SUITE DE LA REQUÊTE </w:t>
      </w:r>
      <w:r w:rsidRPr="00AF3487">
        <w:rPr>
          <w:rFonts w:cs="Times New Roman"/>
          <w:sz w:val="20"/>
          <w:szCs w:val="20"/>
          <w:lang w:val="fr-FR"/>
        </w:rPr>
        <w:t>de la demanderesse visant:</w:t>
      </w:r>
    </w:p>
    <w:p w:rsidR="00AF3487" w:rsidRPr="00AF3487" w:rsidRDefault="00AF3487" w:rsidP="00AF3487">
      <w:pPr>
        <w:rPr>
          <w:rFonts w:cs="Times New Roman"/>
          <w:sz w:val="20"/>
          <w:szCs w:val="20"/>
          <w:lang w:val="fr-FR"/>
        </w:rPr>
      </w:pPr>
    </w:p>
    <w:p w:rsidR="00AF3487" w:rsidRPr="00AF3487" w:rsidRDefault="00AF3487" w:rsidP="00AF3487">
      <w:pPr>
        <w:pStyle w:val="ListParagraph"/>
        <w:numPr>
          <w:ilvl w:val="0"/>
          <w:numId w:val="3"/>
        </w:numPr>
        <w:rPr>
          <w:rFonts w:cs="Times New Roman"/>
          <w:sz w:val="20"/>
          <w:szCs w:val="20"/>
          <w:lang w:val="fr-FR"/>
        </w:rPr>
      </w:pPr>
      <w:r w:rsidRPr="00AF3487">
        <w:rPr>
          <w:rFonts w:cs="Times New Roman"/>
          <w:sz w:val="20"/>
          <w:szCs w:val="20"/>
          <w:lang w:val="fr-FR"/>
        </w:rPr>
        <w:t>La radiation de l’affidavit de Gary Bradford figurant dans la réponse de l’intimée à la demande d’autorisation d’appel;</w:t>
      </w:r>
    </w:p>
    <w:p w:rsidR="00AF3487" w:rsidRPr="00AF3487" w:rsidRDefault="00AF3487" w:rsidP="00AF3487">
      <w:pPr>
        <w:rPr>
          <w:rFonts w:cs="Times New Roman"/>
          <w:sz w:val="20"/>
          <w:szCs w:val="20"/>
          <w:lang w:val="fr-FR"/>
        </w:rPr>
      </w:pPr>
    </w:p>
    <w:p w:rsidR="00AF3487" w:rsidRPr="00AF3487" w:rsidRDefault="00AF3487" w:rsidP="00AF3487">
      <w:pPr>
        <w:pStyle w:val="ListParagraph"/>
        <w:numPr>
          <w:ilvl w:val="0"/>
          <w:numId w:val="3"/>
        </w:numPr>
        <w:rPr>
          <w:rFonts w:cs="Times New Roman"/>
          <w:sz w:val="20"/>
          <w:szCs w:val="20"/>
          <w:lang w:val="fr-FR"/>
        </w:rPr>
      </w:pPr>
      <w:r w:rsidRPr="00AF3487">
        <w:rPr>
          <w:rFonts w:cs="Times New Roman"/>
          <w:sz w:val="20"/>
          <w:szCs w:val="20"/>
          <w:lang w:val="fr-FR"/>
        </w:rPr>
        <w:t xml:space="preserve">La signification et le dépôt par l’intimée d’une réponse révisée à la demande d’autorisation d’appel ne faisant pas mention dudit affidavit ni de quelque autre élément ne faisant pas partie du dossier produit devant les juridictions inférieures;   </w:t>
      </w:r>
    </w:p>
    <w:p w:rsidR="00AF3487" w:rsidRPr="00AF3487" w:rsidRDefault="00AF3487" w:rsidP="00AF3487">
      <w:pPr>
        <w:rPr>
          <w:rFonts w:cs="Times New Roman"/>
          <w:sz w:val="20"/>
          <w:szCs w:val="20"/>
          <w:lang w:val="fr-FR"/>
        </w:rPr>
      </w:pPr>
    </w:p>
    <w:p w:rsidR="00AF3487" w:rsidRPr="00AF3487" w:rsidRDefault="00AF3487" w:rsidP="00AF3487">
      <w:pPr>
        <w:pStyle w:val="ListParagraph"/>
        <w:numPr>
          <w:ilvl w:val="0"/>
          <w:numId w:val="3"/>
        </w:numPr>
        <w:rPr>
          <w:rFonts w:cs="Times New Roman"/>
          <w:sz w:val="20"/>
          <w:szCs w:val="20"/>
          <w:lang w:val="fr-FR"/>
        </w:rPr>
      </w:pPr>
      <w:r w:rsidRPr="00AF3487">
        <w:rPr>
          <w:rFonts w:cs="Times New Roman"/>
          <w:sz w:val="20"/>
          <w:szCs w:val="20"/>
          <w:lang w:val="fr-FR"/>
        </w:rPr>
        <w:t>Une prorogation de délai permettant à la demanderesse de signifier et de déposer sa réplique à la réponse à la demande d’autorisation d’appel dans les dix jours suivant la décision rendue sur la présente requête ou, le cas échéant, suivant la signification de la réponse révisée;</w:t>
      </w:r>
    </w:p>
    <w:p w:rsidR="00AF3487" w:rsidRPr="00AF3487" w:rsidRDefault="00AF3487" w:rsidP="00AF3487">
      <w:pPr>
        <w:rPr>
          <w:rFonts w:cs="Times New Roman"/>
          <w:sz w:val="20"/>
          <w:szCs w:val="20"/>
          <w:lang w:val="fr-FR"/>
        </w:rPr>
      </w:pPr>
    </w:p>
    <w:p w:rsidR="00AF3487" w:rsidRPr="00AF3487" w:rsidRDefault="00AF3487" w:rsidP="00AF3487">
      <w:pPr>
        <w:rPr>
          <w:rFonts w:cs="Times New Roman"/>
          <w:sz w:val="20"/>
          <w:szCs w:val="20"/>
          <w:lang w:val="fr-FR"/>
        </w:rPr>
      </w:pPr>
      <w:r w:rsidRPr="00AF3487">
        <w:rPr>
          <w:rFonts w:cs="Times New Roman"/>
          <w:b/>
          <w:sz w:val="20"/>
          <w:szCs w:val="20"/>
          <w:lang w:val="fr-FR"/>
        </w:rPr>
        <w:t>APRÈS EXAMEN</w:t>
      </w:r>
      <w:r w:rsidRPr="00AF3487">
        <w:rPr>
          <w:rFonts w:cs="Times New Roman"/>
          <w:sz w:val="20"/>
          <w:szCs w:val="20"/>
          <w:lang w:val="fr-FR"/>
        </w:rPr>
        <w:t xml:space="preserve"> des documents déposés; </w:t>
      </w:r>
      <w:r w:rsidR="003E770A" w:rsidRPr="00AF3487">
        <w:rPr>
          <w:rFonts w:cs="Times New Roman"/>
          <w:sz w:val="20"/>
          <w:szCs w:val="20"/>
        </w:rPr>
        <w:fldChar w:fldCharType="begin"/>
      </w:r>
      <w:r w:rsidRPr="00AF3487">
        <w:rPr>
          <w:rFonts w:cs="Times New Roman"/>
          <w:sz w:val="20"/>
          <w:szCs w:val="20"/>
          <w:lang w:val="fr-FR"/>
        </w:rPr>
        <w:instrText xml:space="preserve"> SEQ CHAPTER \h \r 1</w:instrText>
      </w:r>
      <w:r w:rsidR="003E770A" w:rsidRPr="00AF3487">
        <w:rPr>
          <w:rFonts w:cs="Times New Roman"/>
          <w:sz w:val="20"/>
          <w:szCs w:val="20"/>
        </w:rPr>
        <w:fldChar w:fldCharType="end"/>
      </w:r>
    </w:p>
    <w:p w:rsidR="00AF3487" w:rsidRDefault="00AF3487">
      <w:pPr>
        <w:rPr>
          <w:rFonts w:cs="Times New Roman"/>
          <w:color w:val="000000" w:themeColor="text1"/>
          <w:sz w:val="20"/>
          <w:szCs w:val="20"/>
          <w:lang w:val="fr-FR"/>
        </w:rPr>
      </w:pPr>
      <w:r>
        <w:rPr>
          <w:rFonts w:cs="Times New Roman"/>
          <w:color w:val="000000" w:themeColor="text1"/>
          <w:sz w:val="20"/>
          <w:szCs w:val="20"/>
          <w:lang w:val="fr-FR"/>
        </w:rPr>
        <w:br w:type="page"/>
      </w:r>
    </w:p>
    <w:p w:rsidR="00AF3487" w:rsidRPr="00AF3487" w:rsidRDefault="00AF3487" w:rsidP="00AF3487">
      <w:pPr>
        <w:rPr>
          <w:rFonts w:cs="Times New Roman"/>
          <w:b/>
          <w:caps/>
          <w:color w:val="000000" w:themeColor="text1"/>
          <w:sz w:val="20"/>
          <w:szCs w:val="20"/>
          <w:lang w:val="fr-FR"/>
        </w:rPr>
      </w:pPr>
      <w:r w:rsidRPr="00AF3487">
        <w:rPr>
          <w:rFonts w:cs="Times New Roman"/>
          <w:b/>
          <w:caps/>
          <w:color w:val="000000" w:themeColor="text1"/>
          <w:sz w:val="20"/>
          <w:szCs w:val="20"/>
          <w:lang w:val="fr-FR"/>
        </w:rPr>
        <w:lastRenderedPageBreak/>
        <w:t>Il est ordonnÉ ce qui suit :</w:t>
      </w:r>
    </w:p>
    <w:p w:rsidR="00AF3487" w:rsidRPr="00AF3487" w:rsidRDefault="00AF3487" w:rsidP="00AF3487">
      <w:pPr>
        <w:rPr>
          <w:rFonts w:cs="Times New Roman"/>
          <w:sz w:val="20"/>
          <w:szCs w:val="20"/>
          <w:lang w:val="fr-FR"/>
        </w:rPr>
      </w:pPr>
    </w:p>
    <w:p w:rsidR="00AF3487" w:rsidRPr="00AF3487" w:rsidRDefault="00AF3487" w:rsidP="00AF3487">
      <w:pPr>
        <w:rPr>
          <w:rFonts w:cs="Times New Roman"/>
          <w:sz w:val="20"/>
          <w:szCs w:val="20"/>
          <w:lang w:val="fr-FR"/>
        </w:rPr>
      </w:pPr>
      <w:r w:rsidRPr="00AF3487">
        <w:rPr>
          <w:rFonts w:cs="Times New Roman"/>
          <w:sz w:val="20"/>
          <w:szCs w:val="20"/>
          <w:lang w:val="fr-FR"/>
        </w:rPr>
        <w:t xml:space="preserve">La requête en radiation de l’affidavit de Gary Bradford est rejetée. </w:t>
      </w:r>
    </w:p>
    <w:p w:rsidR="00AF3487" w:rsidRPr="00AF3487" w:rsidRDefault="00AF3487" w:rsidP="00AF3487">
      <w:pPr>
        <w:rPr>
          <w:rFonts w:cs="Times New Roman"/>
          <w:sz w:val="20"/>
          <w:szCs w:val="20"/>
          <w:lang w:val="fr-FR"/>
        </w:rPr>
      </w:pPr>
    </w:p>
    <w:p w:rsidR="00AF3487" w:rsidRPr="00AF3487" w:rsidRDefault="00AF3487" w:rsidP="00AF3487">
      <w:pPr>
        <w:tabs>
          <w:tab w:val="left" w:pos="-1440"/>
          <w:tab w:val="left" w:pos="-720"/>
        </w:tabs>
        <w:spacing w:line="0" w:lineRule="atLeast"/>
        <w:jc w:val="both"/>
        <w:rPr>
          <w:rFonts w:cs="Times New Roman"/>
          <w:sz w:val="20"/>
          <w:szCs w:val="20"/>
          <w:lang w:val="fr-CA"/>
        </w:rPr>
      </w:pPr>
      <w:r w:rsidRPr="00AF3487">
        <w:rPr>
          <w:rFonts w:cs="Times New Roman"/>
          <w:sz w:val="20"/>
          <w:szCs w:val="20"/>
          <w:lang w:val="fr-FR"/>
        </w:rPr>
        <w:t>La demanderesse bénéficie d’une prorogation de dix jours à compter de la date de la présente ordonnance pour signifier et déposer sa réplique à la réponse à la demande d’autorisation d’appel.</w:t>
      </w:r>
    </w:p>
    <w:p w:rsidR="00AD2D4D" w:rsidRPr="00AF3487" w:rsidRDefault="00AD2D4D" w:rsidP="00890FEB">
      <w:pPr>
        <w:rPr>
          <w:sz w:val="20"/>
          <w:szCs w:val="20"/>
          <w:lang w:val="fr-CA"/>
        </w:rPr>
      </w:pPr>
    </w:p>
    <w:p w:rsidR="00890FEB" w:rsidRPr="00AF3487" w:rsidRDefault="00890FEB" w:rsidP="00AD2D4D">
      <w:pPr>
        <w:spacing w:line="-19" w:lineRule="auto"/>
        <w:jc w:val="both"/>
        <w:rPr>
          <w:sz w:val="20"/>
          <w:szCs w:val="20"/>
          <w:lang w:val="fr-CA"/>
        </w:rPr>
      </w:pPr>
    </w:p>
    <w:p w:rsidR="00831CA9" w:rsidRPr="00C50A5C" w:rsidRDefault="003E770A" w:rsidP="00831CA9">
      <w:pPr>
        <w:jc w:val="both"/>
        <w:rPr>
          <w:sz w:val="20"/>
          <w:szCs w:val="20"/>
          <w:lang w:val="fr-CA"/>
        </w:rPr>
      </w:pPr>
      <w:r w:rsidRPr="003E770A">
        <w:rPr>
          <w:sz w:val="20"/>
          <w:szCs w:val="20"/>
        </w:rPr>
        <w:pict>
          <v:rect id="_x0000_i1075" style="width:2in;height:1pt" o:hrpct="0" o:hralign="center" o:hrstd="t" o:hrnoshade="t" o:hr="t" fillcolor="black"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B380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F40249" w:rsidRPr="00C50A5C" w:rsidTr="00F40249">
        <w:trPr>
          <w:cantSplit/>
        </w:trPr>
        <w:tc>
          <w:tcPr>
            <w:tcW w:w="2206" w:type="pct"/>
            <w:tcMar>
              <w:left w:w="0" w:type="dxa"/>
              <w:right w:w="0" w:type="dxa"/>
            </w:tcMar>
          </w:tcPr>
          <w:p w:rsidR="00F40249" w:rsidRPr="00AD2D4D" w:rsidRDefault="00AD2D4D" w:rsidP="00BA116A">
            <w:pPr>
              <w:jc w:val="both"/>
              <w:rPr>
                <w:sz w:val="20"/>
                <w:szCs w:val="20"/>
              </w:rPr>
            </w:pPr>
            <w:r w:rsidRPr="00AD2D4D">
              <w:rPr>
                <w:sz w:val="20"/>
                <w:szCs w:val="20"/>
              </w:rPr>
              <w:t>09</w:t>
            </w:r>
            <w:r w:rsidR="00F40249" w:rsidRPr="00AD2D4D">
              <w:rPr>
                <w:sz w:val="20"/>
                <w:szCs w:val="20"/>
              </w:rPr>
              <w:t>.</w:t>
            </w:r>
            <w:r w:rsidRPr="00AD2D4D">
              <w:rPr>
                <w:sz w:val="20"/>
                <w:szCs w:val="20"/>
              </w:rPr>
              <w:t>1</w:t>
            </w:r>
            <w:r w:rsidR="00F40249" w:rsidRPr="00AD2D4D">
              <w:rPr>
                <w:sz w:val="20"/>
                <w:szCs w:val="20"/>
              </w:rPr>
              <w:t>1.2010</w:t>
            </w:r>
          </w:p>
          <w:p w:rsidR="00F40249" w:rsidRPr="00AD2D4D" w:rsidRDefault="00F40249" w:rsidP="00BA116A">
            <w:pPr>
              <w:jc w:val="both"/>
              <w:rPr>
                <w:sz w:val="20"/>
                <w:szCs w:val="20"/>
              </w:rPr>
            </w:pPr>
          </w:p>
          <w:p w:rsidR="00F40249" w:rsidRPr="00AD2D4D" w:rsidRDefault="00AD2D4D" w:rsidP="00BA116A">
            <w:pPr>
              <w:jc w:val="both"/>
              <w:rPr>
                <w:b/>
                <w:sz w:val="20"/>
                <w:szCs w:val="20"/>
              </w:rPr>
            </w:pPr>
            <w:r w:rsidRPr="00AD2D4D">
              <w:rPr>
                <w:b/>
                <w:sz w:val="20"/>
                <w:szCs w:val="20"/>
              </w:rPr>
              <w:t>L.</w:t>
            </w:r>
            <w:r w:rsidR="00F40249" w:rsidRPr="00AD2D4D">
              <w:rPr>
                <w:b/>
                <w:sz w:val="20"/>
                <w:szCs w:val="20"/>
              </w:rPr>
              <w:t>M</w:t>
            </w:r>
            <w:r w:rsidRPr="00AD2D4D">
              <w:rPr>
                <w:b/>
                <w:sz w:val="20"/>
                <w:szCs w:val="20"/>
              </w:rPr>
              <w:t>.P.</w:t>
            </w:r>
          </w:p>
          <w:p w:rsidR="00F40249" w:rsidRPr="00AD2D4D" w:rsidRDefault="00F40249" w:rsidP="00BA116A">
            <w:pPr>
              <w:jc w:val="both"/>
              <w:rPr>
                <w:b/>
                <w:sz w:val="20"/>
                <w:szCs w:val="20"/>
              </w:rPr>
            </w:pPr>
          </w:p>
          <w:p w:rsidR="00F40249" w:rsidRPr="00AD2D4D" w:rsidRDefault="00F40249" w:rsidP="00BA116A">
            <w:pPr>
              <w:jc w:val="both"/>
              <w:rPr>
                <w:b/>
                <w:sz w:val="20"/>
                <w:szCs w:val="20"/>
              </w:rPr>
            </w:pPr>
            <w:r w:rsidRPr="00AD2D4D">
              <w:rPr>
                <w:b/>
                <w:sz w:val="20"/>
                <w:szCs w:val="20"/>
              </w:rPr>
              <w:tab/>
              <w:t>v. (33</w:t>
            </w:r>
            <w:r w:rsidR="00AD2D4D">
              <w:rPr>
                <w:b/>
                <w:sz w:val="20"/>
                <w:szCs w:val="20"/>
              </w:rPr>
              <w:t>749</w:t>
            </w:r>
            <w:r w:rsidRPr="00AD2D4D">
              <w:rPr>
                <w:b/>
                <w:sz w:val="20"/>
                <w:szCs w:val="20"/>
              </w:rPr>
              <w:t>)</w:t>
            </w:r>
          </w:p>
          <w:p w:rsidR="00F40249" w:rsidRPr="00AD2D4D" w:rsidRDefault="00F40249" w:rsidP="00BA116A">
            <w:pPr>
              <w:jc w:val="both"/>
              <w:rPr>
                <w:b/>
                <w:sz w:val="20"/>
                <w:szCs w:val="20"/>
              </w:rPr>
            </w:pPr>
          </w:p>
          <w:p w:rsidR="00F40249" w:rsidRPr="00AD2D4D" w:rsidRDefault="00AD2D4D" w:rsidP="00BA116A">
            <w:pPr>
              <w:jc w:val="both"/>
              <w:rPr>
                <w:b/>
                <w:sz w:val="20"/>
                <w:szCs w:val="20"/>
              </w:rPr>
            </w:pPr>
            <w:r>
              <w:rPr>
                <w:b/>
                <w:sz w:val="20"/>
                <w:szCs w:val="20"/>
              </w:rPr>
              <w:t>L.S.</w:t>
            </w:r>
            <w:r w:rsidR="00F40249" w:rsidRPr="00AD2D4D">
              <w:rPr>
                <w:b/>
                <w:sz w:val="20"/>
                <w:szCs w:val="20"/>
              </w:rPr>
              <w:t xml:space="preserve"> (</w:t>
            </w:r>
            <w:r>
              <w:rPr>
                <w:b/>
                <w:sz w:val="20"/>
                <w:szCs w:val="20"/>
              </w:rPr>
              <w:t>Que</w:t>
            </w:r>
            <w:r w:rsidR="00F40249" w:rsidRPr="00AD2D4D">
              <w:rPr>
                <w:b/>
                <w:sz w:val="20"/>
                <w:szCs w:val="20"/>
              </w:rPr>
              <w:t>.)</w:t>
            </w:r>
          </w:p>
          <w:p w:rsidR="00F40249" w:rsidRPr="00AD2D4D" w:rsidRDefault="00F40249" w:rsidP="00BA116A">
            <w:pPr>
              <w:jc w:val="both"/>
              <w:rPr>
                <w:sz w:val="20"/>
                <w:szCs w:val="20"/>
              </w:rPr>
            </w:pPr>
          </w:p>
          <w:p w:rsidR="00F40249" w:rsidRPr="00C50A5C" w:rsidRDefault="00F40249" w:rsidP="00BA116A">
            <w:pPr>
              <w:jc w:val="both"/>
              <w:rPr>
                <w:sz w:val="20"/>
                <w:szCs w:val="20"/>
              </w:rPr>
            </w:pPr>
            <w:r w:rsidRPr="00C50A5C">
              <w:rPr>
                <w:sz w:val="20"/>
                <w:szCs w:val="20"/>
              </w:rPr>
              <w:t>(By Leave)</w:t>
            </w:r>
          </w:p>
          <w:p w:rsidR="00F40249" w:rsidRPr="00C50A5C" w:rsidRDefault="00F40249" w:rsidP="00BA116A">
            <w:pPr>
              <w:jc w:val="both"/>
              <w:rPr>
                <w:sz w:val="20"/>
                <w:szCs w:val="20"/>
              </w:rPr>
            </w:pPr>
          </w:p>
          <w:p w:rsidR="00F40249" w:rsidRPr="00AD2D4D" w:rsidRDefault="003E770A" w:rsidP="00BA116A">
            <w:pPr>
              <w:jc w:val="both"/>
              <w:rPr>
                <w:sz w:val="20"/>
                <w:szCs w:val="20"/>
              </w:rPr>
            </w:pPr>
            <w:r w:rsidRPr="003E770A">
              <w:rPr>
                <w:sz w:val="20"/>
                <w:szCs w:val="20"/>
                <w:lang w:val="fr-CA"/>
              </w:rPr>
              <w:pict>
                <v:rect id="_x0000_i1078" style="width:108pt;height:1pt" o:hrpct="0" o:hralign="center" o:hrstd="t" o:hrnoshade="t" o:hr="t" fillcolor="black [3213]" stroked="f"/>
              </w:pict>
            </w:r>
          </w:p>
        </w:tc>
        <w:tc>
          <w:tcPr>
            <w:tcW w:w="588" w:type="pct"/>
          </w:tcPr>
          <w:p w:rsidR="00F40249" w:rsidRPr="00C50A5C" w:rsidRDefault="00F40249" w:rsidP="00F40249">
            <w:pPr>
              <w:jc w:val="center"/>
              <w:rPr>
                <w:sz w:val="20"/>
                <w:szCs w:val="20"/>
              </w:rPr>
            </w:pPr>
          </w:p>
        </w:tc>
        <w:tc>
          <w:tcPr>
            <w:tcW w:w="2206" w:type="pct"/>
          </w:tcPr>
          <w:p w:rsidR="00F40249" w:rsidRPr="00C50A5C" w:rsidRDefault="00F40249" w:rsidP="00BA116A">
            <w:pPr>
              <w:jc w:val="both"/>
              <w:rPr>
                <w:sz w:val="20"/>
                <w:szCs w:val="20"/>
              </w:rPr>
            </w:pPr>
          </w:p>
        </w:tc>
      </w:tr>
    </w:tbl>
    <w:p w:rsidR="00F40249" w:rsidRDefault="00F40249" w:rsidP="00F40249">
      <w:pPr>
        <w:rPr>
          <w:sz w:val="20"/>
          <w:szCs w:val="20"/>
        </w:rPr>
      </w:pPr>
    </w:p>
    <w:p w:rsidR="00F7302C" w:rsidRDefault="00F7302C" w:rsidP="00F40249">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B380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812521" w:rsidRPr="00451C53" w:rsidRDefault="00812521" w:rsidP="00732DB7">
      <w:pPr>
        <w:widowControl w:val="0"/>
        <w:rPr>
          <w:sz w:val="20"/>
          <w:szCs w:val="20"/>
          <w:lang w:val="fr-CA"/>
        </w:rPr>
      </w:pPr>
      <w:r w:rsidRPr="00451C53">
        <w:rPr>
          <w:sz w:val="20"/>
          <w:szCs w:val="20"/>
          <w:lang w:val="fr-CA"/>
        </w:rPr>
        <w:t>12.11.2010</w:t>
      </w:r>
    </w:p>
    <w:p w:rsidR="00812521" w:rsidRPr="00451C53" w:rsidRDefault="00812521" w:rsidP="00732DB7">
      <w:pPr>
        <w:widowControl w:val="0"/>
        <w:rPr>
          <w:sz w:val="20"/>
          <w:szCs w:val="20"/>
          <w:lang w:val="fr-CA"/>
        </w:rPr>
      </w:pPr>
    </w:p>
    <w:p w:rsidR="0079243B" w:rsidRPr="0079243B" w:rsidRDefault="0079243B" w:rsidP="0079243B">
      <w:pPr>
        <w:jc w:val="both"/>
        <w:rPr>
          <w:sz w:val="20"/>
          <w:szCs w:val="20"/>
          <w:lang w:val="fr-CA"/>
        </w:rPr>
      </w:pPr>
      <w:r w:rsidRPr="0079243B">
        <w:rPr>
          <w:sz w:val="20"/>
          <w:szCs w:val="20"/>
          <w:lang w:val="fr-CA"/>
        </w:rPr>
        <w:t xml:space="preserve">Coram: </w:t>
      </w:r>
      <w:r w:rsidRPr="0079243B">
        <w:rPr>
          <w:sz w:val="20"/>
          <w:szCs w:val="20"/>
          <w:u w:val="single"/>
          <w:lang w:val="fr-CA"/>
        </w:rPr>
        <w:t xml:space="preserve">La juge en chef </w:t>
      </w:r>
      <w:proofErr w:type="spellStart"/>
      <w:r w:rsidRPr="0079243B">
        <w:rPr>
          <w:sz w:val="20"/>
          <w:szCs w:val="20"/>
          <w:u w:val="single"/>
          <w:lang w:val="fr-CA"/>
        </w:rPr>
        <w:t>McLachlin</w:t>
      </w:r>
      <w:proofErr w:type="spellEnd"/>
      <w:r w:rsidRPr="0079243B">
        <w:rPr>
          <w:sz w:val="20"/>
          <w:szCs w:val="20"/>
          <w:u w:val="single"/>
          <w:lang w:val="fr-CA"/>
        </w:rPr>
        <w:t xml:space="preserve"> et les juges </w:t>
      </w:r>
      <w:proofErr w:type="spellStart"/>
      <w:r w:rsidRPr="0079243B">
        <w:rPr>
          <w:sz w:val="20"/>
          <w:szCs w:val="20"/>
          <w:u w:val="single"/>
          <w:lang w:val="fr-CA"/>
        </w:rPr>
        <w:t>Binnie</w:t>
      </w:r>
      <w:proofErr w:type="spellEnd"/>
      <w:r w:rsidRPr="0079243B">
        <w:rPr>
          <w:sz w:val="20"/>
          <w:szCs w:val="20"/>
          <w:u w:val="single"/>
          <w:lang w:val="fr-CA"/>
        </w:rPr>
        <w:t xml:space="preserve">, </w:t>
      </w:r>
      <w:proofErr w:type="spellStart"/>
      <w:r w:rsidRPr="0079243B">
        <w:rPr>
          <w:sz w:val="20"/>
          <w:szCs w:val="20"/>
          <w:u w:val="single"/>
          <w:lang w:val="fr-CA"/>
        </w:rPr>
        <w:t>LeBel</w:t>
      </w:r>
      <w:proofErr w:type="spellEnd"/>
      <w:r w:rsidRPr="0079243B">
        <w:rPr>
          <w:sz w:val="20"/>
          <w:szCs w:val="20"/>
          <w:u w:val="single"/>
          <w:lang w:val="fr-CA"/>
        </w:rPr>
        <w:t xml:space="preserve">, Deschamps, Fish, Abella, Charron, </w:t>
      </w:r>
      <w:proofErr w:type="spellStart"/>
      <w:r w:rsidRPr="0079243B">
        <w:rPr>
          <w:sz w:val="20"/>
          <w:szCs w:val="20"/>
          <w:u w:val="single"/>
          <w:lang w:val="fr-CA"/>
        </w:rPr>
        <w:t>Rothstein</w:t>
      </w:r>
      <w:proofErr w:type="spellEnd"/>
      <w:r w:rsidRPr="0079243B">
        <w:rPr>
          <w:sz w:val="20"/>
          <w:szCs w:val="20"/>
          <w:u w:val="single"/>
          <w:lang w:val="fr-CA"/>
        </w:rPr>
        <w:t xml:space="preserve"> et</w:t>
      </w:r>
      <w:r w:rsidRPr="0079243B">
        <w:rPr>
          <w:sz w:val="20"/>
          <w:szCs w:val="20"/>
          <w:lang w:val="fr-CA"/>
        </w:rPr>
        <w:tab/>
      </w:r>
      <w:r w:rsidRPr="0079243B">
        <w:rPr>
          <w:sz w:val="20"/>
          <w:szCs w:val="20"/>
          <w:u w:val="single"/>
          <w:lang w:val="fr-CA"/>
        </w:rPr>
        <w:t>Cromwell</w:t>
      </w:r>
    </w:p>
    <w:p w:rsidR="00812521" w:rsidRPr="0079243B" w:rsidRDefault="00812521"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3B380E" w:rsidTr="00697C62">
        <w:tc>
          <w:tcPr>
            <w:tcW w:w="4380" w:type="dxa"/>
            <w:tcMar>
              <w:left w:w="0" w:type="dxa"/>
              <w:right w:w="0" w:type="dxa"/>
            </w:tcMar>
          </w:tcPr>
          <w:p w:rsidR="00812521" w:rsidRDefault="00812521" w:rsidP="00C1697B">
            <w:pPr>
              <w:widowControl w:val="0"/>
              <w:jc w:val="both"/>
              <w:rPr>
                <w:b/>
                <w:sz w:val="20"/>
                <w:szCs w:val="20"/>
                <w:lang w:val="fr-CA"/>
              </w:rPr>
            </w:pPr>
            <w:proofErr w:type="spellStart"/>
            <w:r w:rsidRPr="00812521">
              <w:rPr>
                <w:b/>
                <w:sz w:val="20"/>
                <w:szCs w:val="20"/>
                <w:lang w:val="fr-CA"/>
              </w:rPr>
              <w:t>Merck</w:t>
            </w:r>
            <w:proofErr w:type="spellEnd"/>
            <w:r w:rsidRPr="00812521">
              <w:rPr>
                <w:b/>
                <w:sz w:val="20"/>
                <w:szCs w:val="20"/>
                <w:lang w:val="fr-CA"/>
              </w:rPr>
              <w:t xml:space="preserve"> </w:t>
            </w:r>
            <w:proofErr w:type="spellStart"/>
            <w:r w:rsidRPr="00812521">
              <w:rPr>
                <w:b/>
                <w:sz w:val="20"/>
                <w:szCs w:val="20"/>
                <w:lang w:val="fr-CA"/>
              </w:rPr>
              <w:t>Frosst</w:t>
            </w:r>
            <w:proofErr w:type="spellEnd"/>
            <w:r w:rsidRPr="00812521">
              <w:rPr>
                <w:b/>
                <w:sz w:val="20"/>
                <w:szCs w:val="20"/>
                <w:lang w:val="fr-CA"/>
              </w:rPr>
              <w:t xml:space="preserve"> Canada </w:t>
            </w:r>
            <w:proofErr w:type="spellStart"/>
            <w:r w:rsidRPr="00812521">
              <w:rPr>
                <w:b/>
                <w:sz w:val="20"/>
                <w:szCs w:val="20"/>
                <w:lang w:val="fr-CA"/>
              </w:rPr>
              <w:t>Ltée</w:t>
            </w:r>
            <w:proofErr w:type="spellEnd"/>
            <w:r w:rsidRPr="00812521">
              <w:rPr>
                <w:b/>
                <w:sz w:val="20"/>
                <w:szCs w:val="20"/>
                <w:lang w:val="fr-CA"/>
              </w:rPr>
              <w:t xml:space="preserve"> </w:t>
            </w:r>
          </w:p>
          <w:p w:rsidR="00812521" w:rsidRDefault="00812521" w:rsidP="00C1697B">
            <w:pPr>
              <w:widowControl w:val="0"/>
              <w:jc w:val="both"/>
              <w:rPr>
                <w:b/>
                <w:sz w:val="20"/>
                <w:szCs w:val="20"/>
                <w:lang w:val="fr-CA"/>
              </w:rPr>
            </w:pPr>
          </w:p>
          <w:p w:rsidR="00812521" w:rsidRPr="00451C53" w:rsidRDefault="00812521" w:rsidP="00C1697B">
            <w:pPr>
              <w:widowControl w:val="0"/>
              <w:jc w:val="both"/>
              <w:rPr>
                <w:b/>
                <w:sz w:val="20"/>
                <w:szCs w:val="20"/>
                <w:lang w:val="fr-CA"/>
              </w:rPr>
            </w:pPr>
            <w:r>
              <w:rPr>
                <w:b/>
                <w:sz w:val="20"/>
                <w:szCs w:val="20"/>
                <w:lang w:val="fr-CA"/>
              </w:rPr>
              <w:tab/>
            </w:r>
            <w:r w:rsidRPr="00451C53">
              <w:rPr>
                <w:b/>
                <w:sz w:val="20"/>
                <w:szCs w:val="20"/>
                <w:lang w:val="fr-CA"/>
              </w:rPr>
              <w:t>c. (33290)</w:t>
            </w:r>
          </w:p>
          <w:p w:rsidR="00812521" w:rsidRPr="00451C53" w:rsidRDefault="00812521" w:rsidP="00C1697B">
            <w:pPr>
              <w:widowControl w:val="0"/>
              <w:jc w:val="both"/>
              <w:rPr>
                <w:b/>
                <w:sz w:val="20"/>
                <w:szCs w:val="20"/>
                <w:lang w:val="fr-CA"/>
              </w:rPr>
            </w:pPr>
          </w:p>
          <w:p w:rsidR="00732DB7" w:rsidRPr="00451C53" w:rsidRDefault="00812521" w:rsidP="00C1697B">
            <w:pPr>
              <w:widowControl w:val="0"/>
              <w:jc w:val="both"/>
              <w:rPr>
                <w:b/>
                <w:sz w:val="20"/>
                <w:szCs w:val="20"/>
                <w:lang w:val="fr-CA"/>
              </w:rPr>
            </w:pPr>
            <w:r w:rsidRPr="0079243B">
              <w:rPr>
                <w:b/>
                <w:sz w:val="20"/>
                <w:szCs w:val="20"/>
                <w:lang w:val="fr-CA"/>
              </w:rPr>
              <w:t>Ministre de la Santé</w:t>
            </w:r>
            <w:r w:rsidR="0079243B" w:rsidRPr="0079243B">
              <w:rPr>
                <w:b/>
                <w:sz w:val="20"/>
                <w:szCs w:val="20"/>
                <w:lang w:val="fr-CA"/>
              </w:rPr>
              <w:t xml:space="preserve"> (C.F.) </w:t>
            </w:r>
            <w:r w:rsidR="0079243B" w:rsidRPr="00451C53">
              <w:rPr>
                <w:b/>
                <w:sz w:val="20"/>
                <w:szCs w:val="20"/>
                <w:lang w:val="fr-CA"/>
              </w:rPr>
              <w:t>(Civile) (Autorisation)</w:t>
            </w:r>
          </w:p>
          <w:p w:rsidR="00812521" w:rsidRPr="00451C53" w:rsidRDefault="00812521" w:rsidP="00C1697B">
            <w:pPr>
              <w:widowControl w:val="0"/>
              <w:tabs>
                <w:tab w:val="left" w:pos="736"/>
              </w:tabs>
              <w:jc w:val="both"/>
              <w:rPr>
                <w:b/>
                <w:sz w:val="20"/>
                <w:szCs w:val="20"/>
                <w:lang w:val="fr-CA"/>
              </w:rPr>
            </w:pPr>
          </w:p>
          <w:p w:rsidR="00812521" w:rsidRPr="00451C53" w:rsidRDefault="00C636E2" w:rsidP="00C1697B">
            <w:pPr>
              <w:widowControl w:val="0"/>
              <w:tabs>
                <w:tab w:val="left" w:pos="736"/>
              </w:tabs>
              <w:jc w:val="both"/>
              <w:rPr>
                <w:b/>
                <w:sz w:val="20"/>
                <w:szCs w:val="20"/>
                <w:lang w:val="fr-CA"/>
              </w:rPr>
            </w:pPr>
            <w:r w:rsidRPr="00451C53">
              <w:rPr>
                <w:b/>
                <w:sz w:val="20"/>
                <w:szCs w:val="20"/>
                <w:lang w:val="fr-CA"/>
              </w:rPr>
              <w:t xml:space="preserve">- </w:t>
            </w:r>
            <w:r w:rsidR="00812521" w:rsidRPr="00451C53">
              <w:rPr>
                <w:b/>
                <w:sz w:val="20"/>
                <w:szCs w:val="20"/>
                <w:lang w:val="fr-CA"/>
              </w:rPr>
              <w:t>et</w:t>
            </w:r>
            <w:r w:rsidRPr="00451C53">
              <w:rPr>
                <w:b/>
                <w:sz w:val="20"/>
                <w:szCs w:val="20"/>
                <w:lang w:val="fr-CA"/>
              </w:rPr>
              <w:t xml:space="preserve"> entre -</w:t>
            </w:r>
          </w:p>
          <w:p w:rsidR="00812521" w:rsidRPr="00451C53" w:rsidRDefault="00812521" w:rsidP="00C1697B">
            <w:pPr>
              <w:widowControl w:val="0"/>
              <w:tabs>
                <w:tab w:val="left" w:pos="736"/>
              </w:tabs>
              <w:jc w:val="both"/>
              <w:rPr>
                <w:b/>
                <w:sz w:val="20"/>
                <w:szCs w:val="20"/>
                <w:lang w:val="fr-CA"/>
              </w:rPr>
            </w:pPr>
          </w:p>
          <w:p w:rsidR="00812521" w:rsidRPr="00451C53" w:rsidRDefault="00812521" w:rsidP="00C1697B">
            <w:pPr>
              <w:widowControl w:val="0"/>
              <w:tabs>
                <w:tab w:val="left" w:pos="736"/>
              </w:tabs>
              <w:jc w:val="both"/>
              <w:rPr>
                <w:b/>
                <w:sz w:val="20"/>
                <w:szCs w:val="20"/>
                <w:lang w:val="fr-CA"/>
              </w:rPr>
            </w:pPr>
            <w:proofErr w:type="spellStart"/>
            <w:r w:rsidRPr="00812521">
              <w:rPr>
                <w:b/>
                <w:sz w:val="20"/>
                <w:szCs w:val="20"/>
                <w:lang w:val="fr-CA"/>
              </w:rPr>
              <w:t>Merck</w:t>
            </w:r>
            <w:proofErr w:type="spellEnd"/>
            <w:r w:rsidRPr="00812521">
              <w:rPr>
                <w:b/>
                <w:sz w:val="20"/>
                <w:szCs w:val="20"/>
                <w:lang w:val="fr-CA"/>
              </w:rPr>
              <w:t xml:space="preserve"> </w:t>
            </w:r>
            <w:proofErr w:type="spellStart"/>
            <w:r w:rsidRPr="00812521">
              <w:rPr>
                <w:b/>
                <w:sz w:val="20"/>
                <w:szCs w:val="20"/>
                <w:lang w:val="fr-CA"/>
              </w:rPr>
              <w:t>Frosst</w:t>
            </w:r>
            <w:proofErr w:type="spellEnd"/>
            <w:r w:rsidRPr="00812521">
              <w:rPr>
                <w:b/>
                <w:sz w:val="20"/>
                <w:szCs w:val="20"/>
                <w:lang w:val="fr-CA"/>
              </w:rPr>
              <w:t xml:space="preserve"> Canada </w:t>
            </w:r>
            <w:proofErr w:type="spellStart"/>
            <w:r w:rsidRPr="00812521">
              <w:rPr>
                <w:b/>
                <w:sz w:val="20"/>
                <w:szCs w:val="20"/>
                <w:lang w:val="fr-CA"/>
              </w:rPr>
              <w:t>Ltée</w:t>
            </w:r>
            <w:proofErr w:type="spellEnd"/>
          </w:p>
          <w:p w:rsidR="00812521" w:rsidRPr="00451C53" w:rsidRDefault="00812521" w:rsidP="00C1697B">
            <w:pPr>
              <w:widowControl w:val="0"/>
              <w:tabs>
                <w:tab w:val="left" w:pos="736"/>
              </w:tabs>
              <w:jc w:val="both"/>
              <w:rPr>
                <w:b/>
                <w:sz w:val="20"/>
                <w:szCs w:val="20"/>
                <w:lang w:val="fr-CA"/>
              </w:rPr>
            </w:pPr>
          </w:p>
          <w:p w:rsidR="00732DB7" w:rsidRPr="00451C53" w:rsidRDefault="00732DB7" w:rsidP="00C1697B">
            <w:pPr>
              <w:widowControl w:val="0"/>
              <w:tabs>
                <w:tab w:val="left" w:pos="736"/>
              </w:tabs>
              <w:jc w:val="both"/>
              <w:rPr>
                <w:b/>
                <w:sz w:val="20"/>
                <w:szCs w:val="20"/>
                <w:lang w:val="fr-CA"/>
              </w:rPr>
            </w:pPr>
            <w:r w:rsidRPr="00451C53">
              <w:rPr>
                <w:b/>
                <w:sz w:val="20"/>
                <w:szCs w:val="20"/>
                <w:lang w:val="fr-CA"/>
              </w:rPr>
              <w:tab/>
            </w:r>
            <w:r w:rsidR="00812521" w:rsidRPr="00451C53">
              <w:rPr>
                <w:b/>
                <w:sz w:val="20"/>
                <w:szCs w:val="20"/>
                <w:lang w:val="fr-CA"/>
              </w:rPr>
              <w:t>c</w:t>
            </w:r>
            <w:r w:rsidRPr="00451C53">
              <w:rPr>
                <w:b/>
                <w:sz w:val="20"/>
                <w:szCs w:val="20"/>
                <w:lang w:val="fr-CA"/>
              </w:rPr>
              <w:t>. (3332</w:t>
            </w:r>
            <w:r w:rsidR="00812521" w:rsidRPr="00451C53">
              <w:rPr>
                <w:b/>
                <w:sz w:val="20"/>
                <w:szCs w:val="20"/>
                <w:lang w:val="fr-CA"/>
              </w:rPr>
              <w:t>0</w:t>
            </w:r>
            <w:r w:rsidRPr="00451C53">
              <w:rPr>
                <w:b/>
                <w:sz w:val="20"/>
                <w:szCs w:val="20"/>
                <w:lang w:val="fr-CA"/>
              </w:rPr>
              <w:t>)</w:t>
            </w:r>
          </w:p>
          <w:p w:rsidR="00732DB7" w:rsidRPr="00451C53" w:rsidRDefault="00732DB7" w:rsidP="00C1697B">
            <w:pPr>
              <w:widowControl w:val="0"/>
              <w:jc w:val="both"/>
              <w:rPr>
                <w:b/>
                <w:sz w:val="20"/>
                <w:szCs w:val="20"/>
                <w:lang w:val="fr-CA"/>
              </w:rPr>
            </w:pPr>
          </w:p>
          <w:p w:rsidR="00732DB7" w:rsidRPr="00812521" w:rsidRDefault="0079243B" w:rsidP="0079243B">
            <w:pPr>
              <w:widowControl w:val="0"/>
              <w:jc w:val="both"/>
              <w:rPr>
                <w:sz w:val="20"/>
                <w:szCs w:val="20"/>
              </w:rPr>
            </w:pPr>
            <w:r w:rsidRPr="0079243B">
              <w:rPr>
                <w:b/>
                <w:sz w:val="20"/>
                <w:szCs w:val="20"/>
                <w:lang w:val="fr-CA"/>
              </w:rPr>
              <w:t>Ministre de la Santé</w:t>
            </w:r>
            <w:r w:rsidRPr="00EC0527">
              <w:rPr>
                <w:lang w:val="fr-CA"/>
              </w:rPr>
              <w:t xml:space="preserve"> </w:t>
            </w:r>
            <w:r w:rsidRPr="0079243B">
              <w:rPr>
                <w:b/>
                <w:sz w:val="20"/>
                <w:szCs w:val="20"/>
                <w:lang w:val="fr-CA"/>
              </w:rPr>
              <w:t xml:space="preserve">(C.F.) </w:t>
            </w:r>
            <w:r>
              <w:rPr>
                <w:b/>
                <w:sz w:val="20"/>
                <w:szCs w:val="20"/>
              </w:rPr>
              <w:t>(</w:t>
            </w:r>
            <w:proofErr w:type="spellStart"/>
            <w:r>
              <w:rPr>
                <w:b/>
                <w:sz w:val="20"/>
                <w:szCs w:val="20"/>
              </w:rPr>
              <w:t>Civile</w:t>
            </w:r>
            <w:proofErr w:type="spellEnd"/>
            <w:r>
              <w:rPr>
                <w:b/>
                <w:sz w:val="20"/>
                <w:szCs w:val="20"/>
              </w:rPr>
              <w:t>) (</w:t>
            </w:r>
            <w:proofErr w:type="spellStart"/>
            <w:r>
              <w:rPr>
                <w:b/>
                <w:sz w:val="20"/>
                <w:szCs w:val="20"/>
              </w:rPr>
              <w:t>Autorisation</w:t>
            </w:r>
            <w:proofErr w:type="spellEnd"/>
            <w:r>
              <w:rPr>
                <w:b/>
                <w:sz w:val="20"/>
                <w:szCs w:val="20"/>
              </w:rPr>
              <w:t>)</w:t>
            </w:r>
            <w:r w:rsidRPr="00812521">
              <w:rPr>
                <w:sz w:val="20"/>
                <w:szCs w:val="20"/>
              </w:rPr>
              <w:t xml:space="preserve"> </w:t>
            </w:r>
          </w:p>
        </w:tc>
        <w:tc>
          <w:tcPr>
            <w:tcW w:w="720" w:type="dxa"/>
            <w:tcMar>
              <w:left w:w="0" w:type="dxa"/>
              <w:right w:w="0" w:type="dxa"/>
            </w:tcMar>
          </w:tcPr>
          <w:p w:rsidR="00732DB7" w:rsidRPr="00812521" w:rsidRDefault="00732DB7" w:rsidP="00732DB7">
            <w:pPr>
              <w:widowControl w:val="0"/>
              <w:jc w:val="center"/>
              <w:rPr>
                <w:sz w:val="20"/>
                <w:szCs w:val="20"/>
              </w:rPr>
            </w:pPr>
          </w:p>
        </w:tc>
        <w:tc>
          <w:tcPr>
            <w:tcW w:w="4380" w:type="dxa"/>
            <w:tcMar>
              <w:left w:w="0" w:type="dxa"/>
              <w:right w:w="0" w:type="dxa"/>
            </w:tcMar>
          </w:tcPr>
          <w:p w:rsidR="00732DB7" w:rsidRDefault="00BD5B1F" w:rsidP="00C1697B">
            <w:pPr>
              <w:widowControl w:val="0"/>
              <w:jc w:val="both"/>
              <w:rPr>
                <w:sz w:val="20"/>
                <w:szCs w:val="20"/>
              </w:rPr>
            </w:pPr>
            <w:r w:rsidRPr="00BD5B1F">
              <w:rPr>
                <w:sz w:val="20"/>
                <w:szCs w:val="20"/>
              </w:rPr>
              <w:t xml:space="preserve">Catherine </w:t>
            </w:r>
            <w:proofErr w:type="spellStart"/>
            <w:r w:rsidRPr="00BD5B1F">
              <w:rPr>
                <w:sz w:val="20"/>
                <w:szCs w:val="20"/>
              </w:rPr>
              <w:t>Beagan</w:t>
            </w:r>
            <w:proofErr w:type="spellEnd"/>
            <w:r w:rsidRPr="00BD5B1F">
              <w:rPr>
                <w:sz w:val="20"/>
                <w:szCs w:val="20"/>
              </w:rPr>
              <w:t xml:space="preserve"> Flood</w:t>
            </w:r>
            <w:r>
              <w:rPr>
                <w:sz w:val="20"/>
                <w:szCs w:val="20"/>
              </w:rPr>
              <w:t xml:space="preserve"> and </w:t>
            </w:r>
            <w:r w:rsidRPr="00BD5B1F">
              <w:rPr>
                <w:sz w:val="20"/>
                <w:szCs w:val="20"/>
              </w:rPr>
              <w:t xml:space="preserve">Patrick </w:t>
            </w:r>
            <w:proofErr w:type="spellStart"/>
            <w:r w:rsidRPr="00BD5B1F">
              <w:rPr>
                <w:sz w:val="20"/>
                <w:szCs w:val="20"/>
              </w:rPr>
              <w:t>Kergin</w:t>
            </w:r>
            <w:proofErr w:type="spellEnd"/>
            <w:r w:rsidR="00175549">
              <w:rPr>
                <w:sz w:val="20"/>
                <w:szCs w:val="20"/>
              </w:rPr>
              <w:t xml:space="preserve"> f</w:t>
            </w:r>
            <w:r w:rsidR="00175549" w:rsidRPr="00175549">
              <w:rPr>
                <w:sz w:val="20"/>
                <w:szCs w:val="20"/>
              </w:rPr>
              <w:t xml:space="preserve">or the </w:t>
            </w:r>
            <w:r w:rsidR="00175549">
              <w:rPr>
                <w:sz w:val="20"/>
                <w:szCs w:val="20"/>
              </w:rPr>
              <w:t>a</w:t>
            </w:r>
            <w:r w:rsidR="00175549" w:rsidRPr="00175549">
              <w:rPr>
                <w:sz w:val="20"/>
                <w:szCs w:val="20"/>
              </w:rPr>
              <w:t>ppellant</w:t>
            </w:r>
            <w:r w:rsidR="00175549">
              <w:rPr>
                <w:sz w:val="20"/>
                <w:szCs w:val="20"/>
              </w:rPr>
              <w:t>.</w:t>
            </w:r>
          </w:p>
          <w:p w:rsidR="00175549" w:rsidRDefault="00175549" w:rsidP="00C1697B">
            <w:pPr>
              <w:widowControl w:val="0"/>
              <w:jc w:val="both"/>
              <w:rPr>
                <w:sz w:val="20"/>
                <w:szCs w:val="20"/>
              </w:rPr>
            </w:pPr>
          </w:p>
          <w:p w:rsidR="00175549" w:rsidRDefault="00175549" w:rsidP="00C1697B">
            <w:pPr>
              <w:widowControl w:val="0"/>
              <w:jc w:val="both"/>
              <w:rPr>
                <w:sz w:val="20"/>
                <w:szCs w:val="20"/>
              </w:rPr>
            </w:pPr>
            <w:r w:rsidRPr="00175549">
              <w:rPr>
                <w:sz w:val="20"/>
                <w:szCs w:val="20"/>
              </w:rPr>
              <w:t xml:space="preserve">Anthony G. </w:t>
            </w:r>
            <w:proofErr w:type="spellStart"/>
            <w:r w:rsidRPr="00175549">
              <w:rPr>
                <w:sz w:val="20"/>
                <w:szCs w:val="20"/>
              </w:rPr>
              <w:t>Creber</w:t>
            </w:r>
            <w:proofErr w:type="spellEnd"/>
            <w:r w:rsidRPr="00175549">
              <w:rPr>
                <w:sz w:val="20"/>
                <w:szCs w:val="20"/>
              </w:rPr>
              <w:t xml:space="preserve"> </w:t>
            </w:r>
            <w:r>
              <w:rPr>
                <w:sz w:val="20"/>
                <w:szCs w:val="20"/>
              </w:rPr>
              <w:t xml:space="preserve">and </w:t>
            </w:r>
            <w:r w:rsidRPr="00175549">
              <w:rPr>
                <w:sz w:val="20"/>
                <w:szCs w:val="20"/>
              </w:rPr>
              <w:t xml:space="preserve">John Norman for the </w:t>
            </w:r>
            <w:r>
              <w:rPr>
                <w:sz w:val="20"/>
                <w:szCs w:val="20"/>
              </w:rPr>
              <w:t>i</w:t>
            </w:r>
            <w:r w:rsidRPr="00175549">
              <w:rPr>
                <w:sz w:val="20"/>
                <w:szCs w:val="20"/>
              </w:rPr>
              <w:t>ntervener</w:t>
            </w:r>
            <w:r>
              <w:rPr>
                <w:sz w:val="20"/>
                <w:szCs w:val="20"/>
              </w:rPr>
              <w:t xml:space="preserve"> </w:t>
            </w:r>
            <w:proofErr w:type="spellStart"/>
            <w:r w:rsidRPr="00175549">
              <w:rPr>
                <w:sz w:val="20"/>
                <w:szCs w:val="20"/>
              </w:rPr>
              <w:t>BIOTECanada</w:t>
            </w:r>
            <w:proofErr w:type="spellEnd"/>
            <w:r>
              <w:rPr>
                <w:sz w:val="20"/>
                <w:szCs w:val="20"/>
              </w:rPr>
              <w:t>.</w:t>
            </w:r>
          </w:p>
          <w:p w:rsidR="00175549" w:rsidRDefault="00175549" w:rsidP="00C1697B">
            <w:pPr>
              <w:widowControl w:val="0"/>
              <w:jc w:val="both"/>
              <w:rPr>
                <w:sz w:val="20"/>
                <w:szCs w:val="20"/>
              </w:rPr>
            </w:pPr>
          </w:p>
          <w:p w:rsidR="00175549" w:rsidRPr="00175549" w:rsidRDefault="00175549" w:rsidP="00C1697B">
            <w:pPr>
              <w:widowControl w:val="0"/>
              <w:jc w:val="both"/>
              <w:rPr>
                <w:sz w:val="20"/>
                <w:szCs w:val="20"/>
                <w:lang w:val="fr-CA"/>
              </w:rPr>
            </w:pPr>
            <w:r w:rsidRPr="00175549">
              <w:rPr>
                <w:sz w:val="20"/>
                <w:szCs w:val="20"/>
                <w:lang w:val="fr-CA"/>
              </w:rPr>
              <w:t xml:space="preserve">Bernard </w:t>
            </w:r>
            <w:proofErr w:type="spellStart"/>
            <w:r w:rsidRPr="00175549">
              <w:rPr>
                <w:sz w:val="20"/>
                <w:szCs w:val="20"/>
                <w:lang w:val="fr-CA"/>
              </w:rPr>
              <w:t>Letarte</w:t>
            </w:r>
            <w:proofErr w:type="spellEnd"/>
            <w:r>
              <w:rPr>
                <w:sz w:val="20"/>
                <w:szCs w:val="20"/>
                <w:lang w:val="fr-CA"/>
              </w:rPr>
              <w:t xml:space="preserve"> et </w:t>
            </w:r>
            <w:r w:rsidRPr="00175549">
              <w:rPr>
                <w:sz w:val="20"/>
                <w:szCs w:val="20"/>
                <w:lang w:val="fr-CA"/>
              </w:rPr>
              <w:t xml:space="preserve">René </w:t>
            </w:r>
            <w:proofErr w:type="spellStart"/>
            <w:r w:rsidRPr="00175549">
              <w:rPr>
                <w:sz w:val="20"/>
                <w:szCs w:val="20"/>
                <w:lang w:val="fr-CA"/>
              </w:rPr>
              <w:t>LeBlanc</w:t>
            </w:r>
            <w:proofErr w:type="spellEnd"/>
            <w:r w:rsidRPr="00175549">
              <w:rPr>
                <w:sz w:val="20"/>
                <w:szCs w:val="20"/>
                <w:lang w:val="fr-CA"/>
              </w:rPr>
              <w:t xml:space="preserve"> </w:t>
            </w:r>
            <w:r>
              <w:rPr>
                <w:sz w:val="20"/>
                <w:szCs w:val="20"/>
                <w:lang w:val="fr-CA"/>
              </w:rPr>
              <w:t>p</w:t>
            </w:r>
            <w:r w:rsidRPr="00175549">
              <w:rPr>
                <w:sz w:val="20"/>
                <w:szCs w:val="20"/>
                <w:lang w:val="fr-CA"/>
              </w:rPr>
              <w:t>our l’intimé</w:t>
            </w:r>
            <w:r>
              <w:rPr>
                <w:sz w:val="20"/>
                <w:szCs w:val="20"/>
                <w:lang w:val="fr-CA"/>
              </w:rPr>
              <w:t>.</w:t>
            </w:r>
          </w:p>
          <w:p w:rsidR="00732DB7" w:rsidRPr="00175549" w:rsidRDefault="00732DB7" w:rsidP="00C1697B">
            <w:pPr>
              <w:widowControl w:val="0"/>
              <w:jc w:val="both"/>
              <w:rPr>
                <w:sz w:val="20"/>
                <w:szCs w:val="20"/>
                <w:lang w:val="fr-CA"/>
              </w:rPr>
            </w:pPr>
          </w:p>
        </w:tc>
      </w:tr>
    </w:tbl>
    <w:p w:rsidR="00C1697B" w:rsidRPr="00175549" w:rsidRDefault="00C1697B" w:rsidP="00C1697B">
      <w:pPr>
        <w:widowControl w:val="0"/>
        <w:rPr>
          <w:lang w:val="fr-CA"/>
        </w:rPr>
      </w:pPr>
    </w:p>
    <w:p w:rsidR="00C1697B" w:rsidRPr="0085476B" w:rsidRDefault="00C1697B" w:rsidP="00C1697B">
      <w:pPr>
        <w:widowControl w:val="0"/>
        <w:rPr>
          <w:sz w:val="20"/>
          <w:szCs w:val="20"/>
        </w:rPr>
      </w:pPr>
      <w:r w:rsidRPr="0085476B">
        <w:rPr>
          <w:b/>
          <w:sz w:val="20"/>
          <w:szCs w:val="20"/>
        </w:rPr>
        <w:t xml:space="preserve">RESERVED / </w:t>
      </w:r>
      <w:r w:rsidRPr="00812521">
        <w:rPr>
          <w:b/>
          <w:sz w:val="20"/>
          <w:szCs w:val="20"/>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3A417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r w:rsidR="00C636E2">
              <w:rPr>
                <w:b/>
                <w:sz w:val="20"/>
                <w:szCs w:val="20"/>
                <w:u w:val="single"/>
              </w:rPr>
              <w:t xml:space="preserve"> - 33290</w:t>
            </w:r>
            <w:r w:rsidRPr="00CC4D84">
              <w:rPr>
                <w:b/>
                <w:sz w:val="20"/>
                <w:szCs w:val="20"/>
                <w:u w:val="single"/>
              </w:rPr>
              <w:t>:</w:t>
            </w:r>
          </w:p>
          <w:p w:rsidR="00C1697B" w:rsidRPr="00C1697B" w:rsidRDefault="00C1697B" w:rsidP="00C1697B">
            <w:pPr>
              <w:widowControl w:val="0"/>
              <w:jc w:val="both"/>
              <w:rPr>
                <w:b/>
                <w:sz w:val="20"/>
                <w:szCs w:val="20"/>
              </w:rPr>
            </w:pPr>
          </w:p>
          <w:p w:rsidR="00965551" w:rsidRPr="00965551" w:rsidRDefault="00965551" w:rsidP="00965551">
            <w:pPr>
              <w:widowControl w:val="0"/>
              <w:jc w:val="both"/>
              <w:rPr>
                <w:rFonts w:eastAsia="Calibri" w:cs="Times New Roman"/>
                <w:smallCaps/>
                <w:sz w:val="20"/>
                <w:szCs w:val="20"/>
              </w:rPr>
            </w:pPr>
            <w:r w:rsidRPr="00965551">
              <w:rPr>
                <w:rFonts w:eastAsia="Calibri" w:cs="Times New Roman"/>
                <w:smallCaps/>
                <w:sz w:val="20"/>
                <w:szCs w:val="20"/>
              </w:rPr>
              <w:t>(publication ban and sealing order in case) (court file contains information that is not available for inspection by the public)</w:t>
            </w:r>
          </w:p>
          <w:p w:rsidR="00965551" w:rsidRDefault="00965551" w:rsidP="00965551">
            <w:pPr>
              <w:widowControl w:val="0"/>
              <w:jc w:val="both"/>
              <w:rPr>
                <w:sz w:val="20"/>
                <w:szCs w:val="20"/>
              </w:rPr>
            </w:pPr>
          </w:p>
          <w:p w:rsidR="00965551" w:rsidRPr="00965551" w:rsidRDefault="00965551" w:rsidP="00965551">
            <w:pPr>
              <w:widowControl w:val="0"/>
              <w:jc w:val="both"/>
              <w:rPr>
                <w:rFonts w:eastAsia="Calibri" w:cs="Times New Roman"/>
                <w:sz w:val="20"/>
                <w:szCs w:val="20"/>
              </w:rPr>
            </w:pPr>
          </w:p>
          <w:p w:rsidR="00892C68" w:rsidRPr="00892C68" w:rsidRDefault="00965551" w:rsidP="00965551">
            <w:pPr>
              <w:widowControl w:val="0"/>
              <w:jc w:val="both"/>
              <w:rPr>
                <w:sz w:val="20"/>
                <w:szCs w:val="20"/>
              </w:rPr>
            </w:pPr>
            <w:r w:rsidRPr="00965551">
              <w:rPr>
                <w:rFonts w:eastAsia="Calibri" w:cs="Times New Roman"/>
                <w:sz w:val="20"/>
                <w:szCs w:val="20"/>
              </w:rPr>
              <w:t xml:space="preserve">Access to information - Exemptions - Third party information - Food and drugs - Confidentiality of scientific information concerning new drugs - Interpretation of statutes and regulations - Information provided to Health Canada protected for five years - Competitor requesting access to departmental information within that time - Whether Federal Court of Appeal erred in holding that Health Canada had no obligation to give Merck notice before disclosing certain records - Whether courts below erred in holding that Health Canada had no obligation to perform thorough examination to determine </w:t>
            </w:r>
            <w:r w:rsidRPr="00965551">
              <w:rPr>
                <w:rFonts w:eastAsia="Calibri" w:cs="Times New Roman"/>
                <w:i/>
                <w:sz w:val="20"/>
                <w:szCs w:val="20"/>
              </w:rPr>
              <w:t>prima facie</w:t>
            </w:r>
            <w:r w:rsidRPr="00965551">
              <w:rPr>
                <w:rFonts w:eastAsia="Calibri" w:cs="Times New Roman"/>
                <w:sz w:val="20"/>
                <w:szCs w:val="20"/>
              </w:rPr>
              <w:t xml:space="preserve"> whether s. 20(1) applied before preparing to disclose record and thus before asking interested third party to make representations in accordance with s. 27(1) </w:t>
            </w:r>
            <w:r w:rsidRPr="00965551">
              <w:rPr>
                <w:rFonts w:eastAsia="Calibri" w:cs="Times New Roman"/>
                <w:i/>
                <w:sz w:val="20"/>
                <w:szCs w:val="20"/>
              </w:rPr>
              <w:t>AIA</w:t>
            </w:r>
            <w:r w:rsidRPr="00965551">
              <w:rPr>
                <w:rFonts w:eastAsia="Calibri" w:cs="Times New Roman"/>
                <w:sz w:val="20"/>
                <w:szCs w:val="20"/>
              </w:rPr>
              <w:t xml:space="preserve"> - Whether Federal Court of Appeal erred in setting aside lower court’s decision and concluding that Merck had not established that any of information in issue met requirements for application of at least one exemption under s. 20(1)(</w:t>
            </w:r>
            <w:r w:rsidRPr="00965551">
              <w:rPr>
                <w:rFonts w:eastAsia="Calibri" w:cs="Times New Roman"/>
                <w:i/>
                <w:sz w:val="20"/>
                <w:szCs w:val="20"/>
              </w:rPr>
              <w:t>a</w:t>
            </w:r>
            <w:r w:rsidRPr="00965551">
              <w:rPr>
                <w:rFonts w:eastAsia="Calibri" w:cs="Times New Roman"/>
                <w:sz w:val="20"/>
                <w:szCs w:val="20"/>
              </w:rPr>
              <w:t>), (</w:t>
            </w:r>
            <w:r w:rsidRPr="00965551">
              <w:rPr>
                <w:rFonts w:eastAsia="Calibri" w:cs="Times New Roman"/>
                <w:i/>
                <w:sz w:val="20"/>
                <w:szCs w:val="20"/>
              </w:rPr>
              <w:t>b</w:t>
            </w:r>
            <w:r w:rsidRPr="00965551">
              <w:rPr>
                <w:rFonts w:eastAsia="Calibri" w:cs="Times New Roman"/>
                <w:sz w:val="20"/>
                <w:szCs w:val="20"/>
              </w:rPr>
              <w:t>) or (</w:t>
            </w:r>
            <w:r w:rsidRPr="00965551">
              <w:rPr>
                <w:rFonts w:eastAsia="Calibri" w:cs="Times New Roman"/>
                <w:i/>
                <w:sz w:val="20"/>
                <w:szCs w:val="20"/>
              </w:rPr>
              <w:t>c</w:t>
            </w:r>
            <w:r w:rsidRPr="00965551">
              <w:rPr>
                <w:rFonts w:eastAsia="Calibri" w:cs="Times New Roman"/>
                <w:sz w:val="20"/>
                <w:szCs w:val="20"/>
              </w:rPr>
              <w:t xml:space="preserve">) </w:t>
            </w:r>
            <w:r w:rsidRPr="00965551">
              <w:rPr>
                <w:rFonts w:eastAsia="Calibri" w:cs="Times New Roman"/>
                <w:i/>
                <w:sz w:val="20"/>
                <w:szCs w:val="20"/>
              </w:rPr>
              <w:t>AIA</w:t>
            </w:r>
            <w:r w:rsidRPr="00965551">
              <w:rPr>
                <w:rFonts w:eastAsia="Calibri" w:cs="Times New Roman"/>
                <w:sz w:val="20"/>
                <w:szCs w:val="20"/>
              </w:rPr>
              <w:t xml:space="preserve"> - </w:t>
            </w:r>
            <w:r w:rsidRPr="00965551">
              <w:rPr>
                <w:rFonts w:eastAsia="Calibri" w:cs="Times New Roman"/>
                <w:i/>
                <w:sz w:val="20"/>
                <w:szCs w:val="20"/>
              </w:rPr>
              <w:t>Food and Drug Regulations</w:t>
            </w:r>
            <w:r w:rsidRPr="00965551">
              <w:rPr>
                <w:rFonts w:eastAsia="Calibri" w:cs="Times New Roman"/>
                <w:sz w:val="20"/>
                <w:szCs w:val="20"/>
              </w:rPr>
              <w:t xml:space="preserve">, C.R.C., c. 870, ss. C.08.002(1), (2), (3) and C.08.004.1(2), (3), (4) - </w:t>
            </w:r>
            <w:r w:rsidRPr="00965551">
              <w:rPr>
                <w:rFonts w:eastAsia="Calibri" w:cs="Times New Roman"/>
                <w:i/>
                <w:sz w:val="20"/>
                <w:szCs w:val="20"/>
              </w:rPr>
              <w:t>Access to Information Act</w:t>
            </w:r>
            <w:r w:rsidRPr="00965551">
              <w:rPr>
                <w:rFonts w:eastAsia="Calibri" w:cs="Times New Roman"/>
                <w:sz w:val="20"/>
                <w:szCs w:val="20"/>
              </w:rPr>
              <w:t>, R.S.C. 1985, c. A-1, ss. 20, 25, 27 - (See 33320 to same effect).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 xml:space="preserve">Nature de la cause </w:t>
            </w:r>
            <w:r w:rsidR="00C636E2">
              <w:rPr>
                <w:b/>
                <w:sz w:val="20"/>
                <w:szCs w:val="20"/>
                <w:u w:val="single"/>
                <w:lang w:val="fr-CA"/>
              </w:rPr>
              <w:t xml:space="preserve">- 33290 </w:t>
            </w:r>
            <w:r w:rsidRPr="00CC4D84">
              <w:rPr>
                <w:b/>
                <w:sz w:val="20"/>
                <w:szCs w:val="20"/>
                <w:u w:val="single"/>
                <w:lang w:val="fr-CA"/>
              </w:rPr>
              <w:t>:</w:t>
            </w:r>
          </w:p>
          <w:p w:rsidR="00C1697B" w:rsidRPr="00C1697B" w:rsidRDefault="00C1697B" w:rsidP="00C1697B">
            <w:pPr>
              <w:widowControl w:val="0"/>
              <w:jc w:val="both"/>
              <w:rPr>
                <w:sz w:val="20"/>
                <w:szCs w:val="20"/>
                <w:lang w:val="fr-CA"/>
              </w:rPr>
            </w:pPr>
          </w:p>
          <w:p w:rsidR="00965551" w:rsidRPr="00965551" w:rsidRDefault="003E770A" w:rsidP="00965551">
            <w:pPr>
              <w:widowControl w:val="0"/>
              <w:jc w:val="both"/>
              <w:rPr>
                <w:smallCaps/>
                <w:sz w:val="20"/>
                <w:szCs w:val="20"/>
                <w:lang w:val="fr-CA"/>
              </w:rPr>
            </w:pPr>
            <w:r w:rsidRPr="00965551">
              <w:rPr>
                <w:smallCaps/>
                <w:sz w:val="20"/>
                <w:szCs w:val="20"/>
                <w:lang w:val="fr-CA"/>
              </w:rPr>
              <w:fldChar w:fldCharType="begin"/>
            </w:r>
            <w:r w:rsidR="00965551" w:rsidRPr="00965551">
              <w:rPr>
                <w:smallCaps/>
                <w:sz w:val="20"/>
                <w:szCs w:val="20"/>
                <w:lang w:val="fr-CA"/>
              </w:rPr>
              <w:instrText xml:space="preserve"> SEQ CHAPTER \h \r 1</w:instrText>
            </w:r>
            <w:r w:rsidRPr="00965551">
              <w:rPr>
                <w:smallCaps/>
                <w:sz w:val="20"/>
                <w:szCs w:val="20"/>
                <w:lang w:val="fr-CA"/>
              </w:rPr>
              <w:fldChar w:fldCharType="end"/>
            </w:r>
            <w:r w:rsidR="00965551" w:rsidRPr="00965551">
              <w:rPr>
                <w:smallCaps/>
                <w:sz w:val="20"/>
                <w:szCs w:val="20"/>
                <w:lang w:val="fr-CA"/>
              </w:rPr>
              <w:t>(Ordonnances de non-publication et de mise sous scellé dans le dossier) (Le dossier de la Cour renferme des données que le public n’est pas autorisé à consulter)</w:t>
            </w:r>
          </w:p>
          <w:p w:rsidR="00C1697B" w:rsidRDefault="00C1697B" w:rsidP="00C1697B">
            <w:pPr>
              <w:widowControl w:val="0"/>
              <w:jc w:val="both"/>
              <w:rPr>
                <w:sz w:val="20"/>
                <w:szCs w:val="20"/>
                <w:lang w:val="fr-CA"/>
              </w:rPr>
            </w:pPr>
          </w:p>
          <w:p w:rsidR="00965551" w:rsidRPr="00C1697B" w:rsidRDefault="003E770A" w:rsidP="00965551">
            <w:pPr>
              <w:widowControl w:val="0"/>
              <w:jc w:val="both"/>
              <w:rPr>
                <w:sz w:val="20"/>
                <w:szCs w:val="20"/>
                <w:lang w:val="fr-CA"/>
              </w:rPr>
            </w:pPr>
            <w:r w:rsidRPr="00965551">
              <w:rPr>
                <w:sz w:val="20"/>
                <w:szCs w:val="20"/>
                <w:lang w:val="fr-CA"/>
              </w:rPr>
              <w:fldChar w:fldCharType="begin"/>
            </w:r>
            <w:r w:rsidR="00965551" w:rsidRPr="00965551">
              <w:rPr>
                <w:sz w:val="20"/>
                <w:szCs w:val="20"/>
                <w:lang w:val="fr-CA"/>
              </w:rPr>
              <w:instrText xml:space="preserve"> SEQ CHAPTER \h \r 1</w:instrText>
            </w:r>
            <w:r w:rsidRPr="00965551">
              <w:rPr>
                <w:sz w:val="20"/>
                <w:szCs w:val="20"/>
                <w:lang w:val="fr-CA"/>
              </w:rPr>
              <w:fldChar w:fldCharType="end"/>
            </w:r>
            <w:r w:rsidR="00965551" w:rsidRPr="00965551">
              <w:rPr>
                <w:sz w:val="20"/>
                <w:szCs w:val="20"/>
                <w:lang w:val="fr-CA"/>
              </w:rPr>
              <w:t xml:space="preserve">Accès à l’information - Exception - Renseignements appartenant à un tiers - Aliments et drogues - Confidentialité des données scientifiques relatives aux médicaments nouveaux - Interprétation législative et réglementaire - Données fournies à Santé Canada protégées pendant cinq ans - Demande d’accès aux renseignements du ministère déposée par un concurrent à l’intérieur de ce délai - La Cour d’appel fédérale a-t-elle commis une erreur en statuant que Santé Canada n’avait pas l’obligation de donner un avis à </w:t>
            </w:r>
            <w:proofErr w:type="spellStart"/>
            <w:r w:rsidR="00965551" w:rsidRPr="00965551">
              <w:rPr>
                <w:sz w:val="20"/>
                <w:szCs w:val="20"/>
                <w:lang w:val="fr-CA"/>
              </w:rPr>
              <w:t>Merck</w:t>
            </w:r>
            <w:proofErr w:type="spellEnd"/>
            <w:r w:rsidR="00965551" w:rsidRPr="00965551">
              <w:rPr>
                <w:sz w:val="20"/>
                <w:szCs w:val="20"/>
                <w:lang w:val="fr-CA"/>
              </w:rPr>
              <w:t xml:space="preserve"> avant de communiquer certains documents? - Les juridictions inférieures ont-elles commis une erreur en statuant que Santé Canada n’a pas l’obligation de procéder à un examen sérieux pour décider </w:t>
            </w:r>
            <w:r w:rsidR="00965551" w:rsidRPr="00965551">
              <w:rPr>
                <w:i/>
                <w:iCs/>
                <w:sz w:val="20"/>
                <w:szCs w:val="20"/>
                <w:lang w:val="fr-CA"/>
              </w:rPr>
              <w:t xml:space="preserve">prima </w:t>
            </w:r>
            <w:proofErr w:type="spellStart"/>
            <w:r w:rsidR="00965551" w:rsidRPr="00965551">
              <w:rPr>
                <w:i/>
                <w:iCs/>
                <w:sz w:val="20"/>
                <w:szCs w:val="20"/>
                <w:lang w:val="fr-CA"/>
              </w:rPr>
              <w:t>facie</w:t>
            </w:r>
            <w:proofErr w:type="spellEnd"/>
            <w:r w:rsidR="00965551" w:rsidRPr="00965551">
              <w:rPr>
                <w:sz w:val="20"/>
                <w:szCs w:val="20"/>
                <w:lang w:val="fr-CA"/>
              </w:rPr>
              <w:t xml:space="preserve"> si le par. 20(1) s’applique avant de se préparer à communiquer un document et, par conséquent, de demander au tiers intéressé de présenter des observations en vertu du par. 27(1</w:t>
            </w:r>
            <w:r w:rsidR="00965551" w:rsidRPr="00965551">
              <w:rPr>
                <w:i/>
                <w:iCs/>
                <w:sz w:val="20"/>
                <w:szCs w:val="20"/>
                <w:lang w:val="fr-CA"/>
              </w:rPr>
              <w:t>) LAI</w:t>
            </w:r>
            <w:r w:rsidR="00965551" w:rsidRPr="00965551">
              <w:rPr>
                <w:sz w:val="20"/>
                <w:szCs w:val="20"/>
                <w:lang w:val="fr-CA"/>
              </w:rPr>
              <w:t xml:space="preserve">? - La Cour d’appel fédérale a-t-elle commis une erreur en infirmant la décision de la juridiction inférieure et en concluant que </w:t>
            </w:r>
            <w:proofErr w:type="spellStart"/>
            <w:r w:rsidR="00965551" w:rsidRPr="00965551">
              <w:rPr>
                <w:sz w:val="20"/>
                <w:szCs w:val="20"/>
                <w:lang w:val="fr-CA"/>
              </w:rPr>
              <w:t>Merck</w:t>
            </w:r>
            <w:proofErr w:type="spellEnd"/>
            <w:r w:rsidR="00965551" w:rsidRPr="00965551">
              <w:rPr>
                <w:sz w:val="20"/>
                <w:szCs w:val="20"/>
                <w:lang w:val="fr-CA"/>
              </w:rPr>
              <w:t xml:space="preserve"> n’a pas réussi à établir que l’un ou l’autre des renseignements en cause répond aux conditions d’application d’au moins une des exceptions prévues aux al. 20(1)</w:t>
            </w:r>
            <w:r w:rsidR="00965551" w:rsidRPr="00965551">
              <w:rPr>
                <w:i/>
                <w:iCs/>
                <w:sz w:val="20"/>
                <w:szCs w:val="20"/>
                <w:lang w:val="fr-CA"/>
              </w:rPr>
              <w:t>a</w:t>
            </w:r>
            <w:r w:rsidR="00965551" w:rsidRPr="00965551">
              <w:rPr>
                <w:sz w:val="20"/>
                <w:szCs w:val="20"/>
                <w:lang w:val="fr-CA"/>
              </w:rPr>
              <w:t xml:space="preserve">), </w:t>
            </w:r>
            <w:r w:rsidR="00965551" w:rsidRPr="00965551">
              <w:rPr>
                <w:i/>
                <w:iCs/>
                <w:sz w:val="20"/>
                <w:szCs w:val="20"/>
                <w:lang w:val="fr-CA"/>
              </w:rPr>
              <w:t>b</w:t>
            </w:r>
            <w:r w:rsidR="00965551" w:rsidRPr="00965551">
              <w:rPr>
                <w:sz w:val="20"/>
                <w:szCs w:val="20"/>
                <w:lang w:val="fr-CA"/>
              </w:rPr>
              <w:t xml:space="preserve">) ou </w:t>
            </w:r>
            <w:r w:rsidR="00965551" w:rsidRPr="00965551">
              <w:rPr>
                <w:i/>
                <w:iCs/>
                <w:sz w:val="20"/>
                <w:szCs w:val="20"/>
                <w:lang w:val="fr-CA"/>
              </w:rPr>
              <w:t>c</w:t>
            </w:r>
            <w:r w:rsidR="00965551" w:rsidRPr="00965551">
              <w:rPr>
                <w:sz w:val="20"/>
                <w:szCs w:val="20"/>
                <w:lang w:val="fr-CA"/>
              </w:rPr>
              <w:t xml:space="preserve">) de la </w:t>
            </w:r>
            <w:r w:rsidR="00965551" w:rsidRPr="00965551">
              <w:rPr>
                <w:i/>
                <w:sz w:val="20"/>
                <w:szCs w:val="20"/>
                <w:lang w:val="fr-CA"/>
              </w:rPr>
              <w:t>LAI</w:t>
            </w:r>
            <w:r w:rsidR="00965551" w:rsidRPr="00965551">
              <w:rPr>
                <w:sz w:val="20"/>
                <w:szCs w:val="20"/>
                <w:lang w:val="fr-CA"/>
              </w:rPr>
              <w:t xml:space="preserve">? </w:t>
            </w:r>
            <w:r w:rsidR="00965551" w:rsidRPr="00965551">
              <w:rPr>
                <w:sz w:val="20"/>
                <w:szCs w:val="20"/>
                <w:lang w:val="fr-CA"/>
              </w:rPr>
              <w:lastRenderedPageBreak/>
              <w:t xml:space="preserve">- </w:t>
            </w:r>
            <w:r w:rsidR="00965551" w:rsidRPr="00965551">
              <w:rPr>
                <w:i/>
                <w:iCs/>
                <w:sz w:val="20"/>
                <w:szCs w:val="20"/>
                <w:lang w:val="fr-CA"/>
              </w:rPr>
              <w:t>Règlement sur les aliments et drogues</w:t>
            </w:r>
            <w:r w:rsidR="00965551" w:rsidRPr="00965551">
              <w:rPr>
                <w:sz w:val="20"/>
                <w:szCs w:val="20"/>
                <w:lang w:val="fr-CA"/>
              </w:rPr>
              <w:t xml:space="preserve">, C.R.C. ch. 870, par. C.08.002 (1), (2), (3) et C.08.004.1(2), (3), (4) - </w:t>
            </w:r>
            <w:r w:rsidR="00965551" w:rsidRPr="00965551">
              <w:rPr>
                <w:i/>
                <w:iCs/>
                <w:sz w:val="20"/>
                <w:szCs w:val="20"/>
                <w:lang w:val="fr-CA"/>
              </w:rPr>
              <w:t>Loi sur l’accès à l’information</w:t>
            </w:r>
            <w:r w:rsidR="00965551" w:rsidRPr="00965551">
              <w:rPr>
                <w:sz w:val="20"/>
                <w:szCs w:val="20"/>
                <w:lang w:val="fr-CA"/>
              </w:rPr>
              <w:t>, L.R.C. (1985) ch. A-1, art. 20, 25, 27 - (Voir 33320 au même effet).</w:t>
            </w:r>
          </w:p>
        </w:tc>
      </w:tr>
    </w:tbl>
    <w:p w:rsidR="00732DB7" w:rsidRDefault="00732DB7"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BD5B1F" w:rsidRPr="003A4175" w:rsidTr="00BD5B1F">
        <w:tc>
          <w:tcPr>
            <w:tcW w:w="4380" w:type="dxa"/>
            <w:tcMar>
              <w:left w:w="0" w:type="dxa"/>
              <w:right w:w="0" w:type="dxa"/>
            </w:tcMar>
          </w:tcPr>
          <w:p w:rsidR="00BD5B1F" w:rsidRPr="00CC4D84" w:rsidRDefault="00BD5B1F" w:rsidP="00BD5B1F">
            <w:pPr>
              <w:widowControl w:val="0"/>
              <w:jc w:val="both"/>
              <w:rPr>
                <w:b/>
                <w:sz w:val="20"/>
                <w:szCs w:val="20"/>
                <w:u w:val="single"/>
              </w:rPr>
            </w:pPr>
            <w:r w:rsidRPr="00CC4D84">
              <w:rPr>
                <w:b/>
                <w:sz w:val="20"/>
                <w:szCs w:val="20"/>
                <w:u w:val="single"/>
              </w:rPr>
              <w:t>Nature of the case</w:t>
            </w:r>
            <w:r w:rsidR="00C636E2">
              <w:rPr>
                <w:b/>
                <w:sz w:val="20"/>
                <w:szCs w:val="20"/>
                <w:u w:val="single"/>
              </w:rPr>
              <w:t xml:space="preserve"> - 33320</w:t>
            </w:r>
            <w:r w:rsidRPr="00CC4D84">
              <w:rPr>
                <w:b/>
                <w:sz w:val="20"/>
                <w:szCs w:val="20"/>
                <w:u w:val="single"/>
              </w:rPr>
              <w:t>:</w:t>
            </w:r>
          </w:p>
          <w:p w:rsidR="00BD5B1F" w:rsidRDefault="00BD5B1F" w:rsidP="00BD5B1F">
            <w:pPr>
              <w:widowControl w:val="0"/>
              <w:jc w:val="both"/>
              <w:rPr>
                <w:sz w:val="20"/>
                <w:szCs w:val="20"/>
              </w:rPr>
            </w:pPr>
          </w:p>
          <w:p w:rsidR="00965551" w:rsidRDefault="00965551" w:rsidP="00965551">
            <w:pPr>
              <w:widowControl w:val="0"/>
              <w:jc w:val="both"/>
              <w:rPr>
                <w:smallCaps/>
                <w:sz w:val="20"/>
                <w:szCs w:val="20"/>
              </w:rPr>
            </w:pPr>
            <w:r w:rsidRPr="00965551">
              <w:rPr>
                <w:rFonts w:eastAsia="Calibri" w:cs="Times New Roman"/>
                <w:smallCaps/>
                <w:sz w:val="20"/>
                <w:szCs w:val="20"/>
              </w:rPr>
              <w:t>(publication ban and sealing order in case) (court file contains information that is not available for inspection by the public)</w:t>
            </w:r>
          </w:p>
          <w:p w:rsidR="00965551" w:rsidRDefault="00965551" w:rsidP="00965551">
            <w:pPr>
              <w:widowControl w:val="0"/>
              <w:jc w:val="both"/>
              <w:rPr>
                <w:sz w:val="20"/>
                <w:szCs w:val="20"/>
              </w:rPr>
            </w:pPr>
          </w:p>
          <w:p w:rsidR="00965551" w:rsidRDefault="00965551" w:rsidP="00965551">
            <w:pPr>
              <w:widowControl w:val="0"/>
              <w:jc w:val="both"/>
              <w:rPr>
                <w:sz w:val="20"/>
                <w:szCs w:val="20"/>
              </w:rPr>
            </w:pPr>
          </w:p>
          <w:p w:rsidR="00965551" w:rsidRPr="00965551" w:rsidRDefault="00965551" w:rsidP="00965551">
            <w:pPr>
              <w:widowControl w:val="0"/>
              <w:jc w:val="both"/>
              <w:rPr>
                <w:rFonts w:eastAsia="Calibri" w:cs="Times New Roman"/>
                <w:sz w:val="20"/>
                <w:szCs w:val="20"/>
              </w:rPr>
            </w:pPr>
            <w:r w:rsidRPr="00965551">
              <w:rPr>
                <w:rFonts w:eastAsia="Calibri" w:cs="Times New Roman"/>
                <w:sz w:val="20"/>
                <w:szCs w:val="20"/>
              </w:rPr>
              <w:t xml:space="preserve">Access to information - Exemptions - Third party information - Food and drugs - Confidentiality of scientific information concerning new drugs - Interpretation of statutes and regulations - Information provided to Health Canada protected for five years - Competitor requesting access to departmental information within that time - Whether Federal Court of Appeal erred in holding that Health Canada had no obligation to give Merck notice before disclosing certain records - Whether courts below erred in holding that Health Canada had no obligation to perform thorough examination to determine </w:t>
            </w:r>
            <w:r w:rsidRPr="00965551">
              <w:rPr>
                <w:rFonts w:eastAsia="Calibri" w:cs="Times New Roman"/>
                <w:i/>
                <w:sz w:val="20"/>
                <w:szCs w:val="20"/>
              </w:rPr>
              <w:t>prima facie</w:t>
            </w:r>
            <w:r w:rsidRPr="00965551">
              <w:rPr>
                <w:rFonts w:eastAsia="Calibri" w:cs="Times New Roman"/>
                <w:sz w:val="20"/>
                <w:szCs w:val="20"/>
              </w:rPr>
              <w:t xml:space="preserve"> whether s. 20(1) applied before preparing to disclose record and thus before asking interested third party to make representations in accordance with s. 27(1) AIA - Whether Federal Court of Appeal erred in setting aside lower court’s decision and concluding that Merck had not established that any of information in issue met requirements for application of at least one exemption under s. 20(1)(</w:t>
            </w:r>
            <w:r w:rsidRPr="007118D6">
              <w:rPr>
                <w:rFonts w:eastAsia="Calibri" w:cs="Times New Roman"/>
                <w:i/>
                <w:sz w:val="20"/>
                <w:szCs w:val="20"/>
              </w:rPr>
              <w:t>a</w:t>
            </w:r>
            <w:r w:rsidRPr="00965551">
              <w:rPr>
                <w:rFonts w:eastAsia="Calibri" w:cs="Times New Roman"/>
                <w:sz w:val="20"/>
                <w:szCs w:val="20"/>
              </w:rPr>
              <w:t>), (</w:t>
            </w:r>
            <w:r w:rsidRPr="007118D6">
              <w:rPr>
                <w:rFonts w:eastAsia="Calibri" w:cs="Times New Roman"/>
                <w:i/>
                <w:sz w:val="20"/>
                <w:szCs w:val="20"/>
              </w:rPr>
              <w:t>b</w:t>
            </w:r>
            <w:r w:rsidRPr="00965551">
              <w:rPr>
                <w:rFonts w:eastAsia="Calibri" w:cs="Times New Roman"/>
                <w:sz w:val="20"/>
                <w:szCs w:val="20"/>
              </w:rPr>
              <w:t>) or (</w:t>
            </w:r>
            <w:r w:rsidRPr="007118D6">
              <w:rPr>
                <w:rFonts w:eastAsia="Calibri" w:cs="Times New Roman"/>
                <w:i/>
                <w:sz w:val="20"/>
                <w:szCs w:val="20"/>
              </w:rPr>
              <w:t>c</w:t>
            </w:r>
            <w:r w:rsidRPr="00965551">
              <w:rPr>
                <w:rFonts w:eastAsia="Calibri" w:cs="Times New Roman"/>
                <w:sz w:val="20"/>
                <w:szCs w:val="20"/>
              </w:rPr>
              <w:t xml:space="preserve">) </w:t>
            </w:r>
            <w:r w:rsidRPr="007118D6">
              <w:rPr>
                <w:rFonts w:eastAsia="Calibri" w:cs="Times New Roman"/>
                <w:i/>
                <w:sz w:val="20"/>
                <w:szCs w:val="20"/>
              </w:rPr>
              <w:t>AIA - Food and Drug Regulations</w:t>
            </w:r>
            <w:r w:rsidRPr="00965551">
              <w:rPr>
                <w:rFonts w:eastAsia="Calibri" w:cs="Times New Roman"/>
                <w:sz w:val="20"/>
                <w:szCs w:val="20"/>
              </w:rPr>
              <w:t xml:space="preserve">, C.R.C., c. 870, ss. C.08.002(1), (2), (3) and C.08.004.1(2), (3), (4) - </w:t>
            </w:r>
            <w:r w:rsidRPr="007118D6">
              <w:rPr>
                <w:rFonts w:eastAsia="Calibri" w:cs="Times New Roman"/>
                <w:i/>
                <w:sz w:val="20"/>
                <w:szCs w:val="20"/>
              </w:rPr>
              <w:t>Access to Information Act</w:t>
            </w:r>
            <w:r w:rsidRPr="00965551">
              <w:rPr>
                <w:rFonts w:eastAsia="Calibri" w:cs="Times New Roman"/>
                <w:sz w:val="20"/>
                <w:szCs w:val="20"/>
              </w:rPr>
              <w:t>, R.S.C. 1985, c. A-1, ss. 20, 25, 27 - (See 33290 to same effect).</w:t>
            </w:r>
          </w:p>
          <w:p w:rsidR="00965551" w:rsidRPr="00965551" w:rsidRDefault="00965551" w:rsidP="00965551">
            <w:pPr>
              <w:widowControl w:val="0"/>
              <w:jc w:val="both"/>
              <w:rPr>
                <w:sz w:val="20"/>
                <w:szCs w:val="20"/>
              </w:rPr>
            </w:pPr>
          </w:p>
          <w:p w:rsidR="00BD5B1F" w:rsidRPr="00C1697B" w:rsidRDefault="00BD5B1F" w:rsidP="00BD5B1F">
            <w:pPr>
              <w:widowControl w:val="0"/>
              <w:jc w:val="both"/>
              <w:rPr>
                <w:b/>
                <w:sz w:val="20"/>
                <w:szCs w:val="20"/>
              </w:rPr>
            </w:pPr>
          </w:p>
        </w:tc>
        <w:tc>
          <w:tcPr>
            <w:tcW w:w="720" w:type="dxa"/>
            <w:tcMar>
              <w:left w:w="0" w:type="dxa"/>
              <w:right w:w="0" w:type="dxa"/>
            </w:tcMar>
          </w:tcPr>
          <w:p w:rsidR="00BD5B1F" w:rsidRPr="00C1697B" w:rsidRDefault="00BD5B1F" w:rsidP="00BD5B1F">
            <w:pPr>
              <w:widowControl w:val="0"/>
              <w:jc w:val="center"/>
              <w:rPr>
                <w:sz w:val="20"/>
                <w:szCs w:val="20"/>
              </w:rPr>
            </w:pPr>
          </w:p>
        </w:tc>
        <w:tc>
          <w:tcPr>
            <w:tcW w:w="4380" w:type="dxa"/>
            <w:tcMar>
              <w:left w:w="0" w:type="dxa"/>
              <w:right w:w="0" w:type="dxa"/>
            </w:tcMar>
          </w:tcPr>
          <w:p w:rsidR="00BD5B1F" w:rsidRPr="00CC4D84" w:rsidRDefault="00BD5B1F" w:rsidP="00BD5B1F">
            <w:pPr>
              <w:widowControl w:val="0"/>
              <w:jc w:val="both"/>
              <w:rPr>
                <w:b/>
                <w:sz w:val="20"/>
                <w:szCs w:val="20"/>
                <w:u w:val="single"/>
                <w:lang w:val="fr-CA"/>
              </w:rPr>
            </w:pPr>
            <w:r w:rsidRPr="00CC4D84">
              <w:rPr>
                <w:b/>
                <w:sz w:val="20"/>
                <w:szCs w:val="20"/>
                <w:u w:val="single"/>
                <w:lang w:val="fr-CA"/>
              </w:rPr>
              <w:t xml:space="preserve">Nature de la cause </w:t>
            </w:r>
            <w:r w:rsidR="00C636E2">
              <w:rPr>
                <w:b/>
                <w:sz w:val="20"/>
                <w:szCs w:val="20"/>
                <w:u w:val="single"/>
                <w:lang w:val="fr-CA"/>
              </w:rPr>
              <w:t xml:space="preserve">-33320 </w:t>
            </w:r>
            <w:r w:rsidRPr="00CC4D84">
              <w:rPr>
                <w:b/>
                <w:sz w:val="20"/>
                <w:szCs w:val="20"/>
                <w:u w:val="single"/>
                <w:lang w:val="fr-CA"/>
              </w:rPr>
              <w:t>:</w:t>
            </w:r>
          </w:p>
          <w:p w:rsidR="00BD5B1F" w:rsidRPr="00C1697B" w:rsidRDefault="00BD5B1F" w:rsidP="00BD5B1F">
            <w:pPr>
              <w:widowControl w:val="0"/>
              <w:jc w:val="both"/>
              <w:rPr>
                <w:sz w:val="20"/>
                <w:szCs w:val="20"/>
                <w:lang w:val="fr-CA"/>
              </w:rPr>
            </w:pPr>
          </w:p>
          <w:p w:rsidR="00965551" w:rsidRPr="00965551" w:rsidRDefault="003E770A" w:rsidP="00965551">
            <w:pPr>
              <w:widowControl w:val="0"/>
              <w:jc w:val="both"/>
              <w:rPr>
                <w:smallCaps/>
                <w:sz w:val="20"/>
                <w:szCs w:val="20"/>
                <w:lang w:val="fr-CA"/>
              </w:rPr>
            </w:pPr>
            <w:r w:rsidRPr="00965551">
              <w:rPr>
                <w:smallCaps/>
                <w:sz w:val="20"/>
                <w:szCs w:val="20"/>
                <w:lang w:val="fr-CA"/>
              </w:rPr>
              <w:fldChar w:fldCharType="begin"/>
            </w:r>
            <w:r w:rsidR="00965551" w:rsidRPr="00965551">
              <w:rPr>
                <w:smallCaps/>
                <w:sz w:val="20"/>
                <w:szCs w:val="20"/>
                <w:lang w:val="fr-CA"/>
              </w:rPr>
              <w:instrText xml:space="preserve"> SEQ CHAPTER \h \r 1</w:instrText>
            </w:r>
            <w:r w:rsidRPr="00965551">
              <w:rPr>
                <w:smallCaps/>
                <w:sz w:val="20"/>
                <w:szCs w:val="20"/>
                <w:lang w:val="fr-CA"/>
              </w:rPr>
              <w:fldChar w:fldCharType="end"/>
            </w:r>
            <w:r w:rsidR="00965551" w:rsidRPr="00965551">
              <w:rPr>
                <w:smallCaps/>
                <w:sz w:val="20"/>
                <w:szCs w:val="20"/>
                <w:lang w:val="fr-CA"/>
              </w:rPr>
              <w:t>(Ordonnances de non-publication et de mise sous scellé dans le dossier) (Le dossier de la Cour renferme des données que le public n’est pas autorisé à consulter)</w:t>
            </w:r>
          </w:p>
          <w:p w:rsidR="00965551" w:rsidRPr="00965551" w:rsidRDefault="00965551" w:rsidP="00965551">
            <w:pPr>
              <w:widowControl w:val="0"/>
              <w:jc w:val="both"/>
              <w:rPr>
                <w:sz w:val="20"/>
                <w:szCs w:val="20"/>
                <w:lang w:val="fr-CA"/>
              </w:rPr>
            </w:pPr>
          </w:p>
          <w:p w:rsidR="00BD5B1F" w:rsidRPr="00C1697B" w:rsidRDefault="003E770A" w:rsidP="00965551">
            <w:pPr>
              <w:widowControl w:val="0"/>
              <w:jc w:val="both"/>
              <w:rPr>
                <w:sz w:val="20"/>
                <w:szCs w:val="20"/>
                <w:lang w:val="fr-CA"/>
              </w:rPr>
            </w:pPr>
            <w:r w:rsidRPr="00965551">
              <w:rPr>
                <w:sz w:val="20"/>
                <w:szCs w:val="20"/>
                <w:lang w:val="fr-CA"/>
              </w:rPr>
              <w:fldChar w:fldCharType="begin"/>
            </w:r>
            <w:r w:rsidR="00965551" w:rsidRPr="00965551">
              <w:rPr>
                <w:sz w:val="20"/>
                <w:szCs w:val="20"/>
                <w:lang w:val="fr-CA"/>
              </w:rPr>
              <w:instrText xml:space="preserve"> SEQ CHAPTER \h \r 1</w:instrText>
            </w:r>
            <w:r w:rsidRPr="00965551">
              <w:rPr>
                <w:sz w:val="20"/>
                <w:szCs w:val="20"/>
                <w:lang w:val="fr-CA"/>
              </w:rPr>
              <w:fldChar w:fldCharType="end"/>
            </w:r>
            <w:r w:rsidR="00965551" w:rsidRPr="00965551">
              <w:rPr>
                <w:sz w:val="20"/>
                <w:szCs w:val="20"/>
                <w:lang w:val="fr-CA"/>
              </w:rPr>
              <w:t xml:space="preserve">Accès à l’information - Exception - Renseignements appartenant à un tiers - Aliments et drogues - Confidentialité des données scientifiques relatives aux médicaments nouveaux - Interprétation législative et réglementaire - Données fournies à Santé Canada protégées pendant cinq ans - Demande d’accès aux renseignements du ministère déposée par un concurrent à l’intérieur de ce délai - La Cour d’appel fédérale a-t-elle commis une erreur en statuant que Santé Canada n’avait pas l’obligation de donner un avis à </w:t>
            </w:r>
            <w:proofErr w:type="spellStart"/>
            <w:r w:rsidR="00965551" w:rsidRPr="00965551">
              <w:rPr>
                <w:sz w:val="20"/>
                <w:szCs w:val="20"/>
                <w:lang w:val="fr-CA"/>
              </w:rPr>
              <w:t>Merck</w:t>
            </w:r>
            <w:proofErr w:type="spellEnd"/>
            <w:r w:rsidR="00965551" w:rsidRPr="00965551">
              <w:rPr>
                <w:sz w:val="20"/>
                <w:szCs w:val="20"/>
                <w:lang w:val="fr-CA"/>
              </w:rPr>
              <w:t xml:space="preserve"> avant de communiquer certains documents? - Les juridictions inférieures ont-elles commis une erreur en statuant que Santé Canada n’a pas l’obligation de procéder à un examen sérieux pour décider </w:t>
            </w:r>
            <w:r w:rsidR="00965551" w:rsidRPr="00965551">
              <w:rPr>
                <w:i/>
                <w:iCs/>
                <w:sz w:val="20"/>
                <w:szCs w:val="20"/>
                <w:lang w:val="fr-CA"/>
              </w:rPr>
              <w:t xml:space="preserve">prima </w:t>
            </w:r>
            <w:proofErr w:type="spellStart"/>
            <w:r w:rsidR="00965551" w:rsidRPr="00965551">
              <w:rPr>
                <w:i/>
                <w:iCs/>
                <w:sz w:val="20"/>
                <w:szCs w:val="20"/>
                <w:lang w:val="fr-CA"/>
              </w:rPr>
              <w:t>facie</w:t>
            </w:r>
            <w:proofErr w:type="spellEnd"/>
            <w:r w:rsidR="00965551" w:rsidRPr="00965551">
              <w:rPr>
                <w:sz w:val="20"/>
                <w:szCs w:val="20"/>
                <w:lang w:val="fr-CA"/>
              </w:rPr>
              <w:t xml:space="preserve"> si le par. 20(1) s’applique avant de se préparer à communiquer un document et, par conséquent, de demander au tiers intéressé de présenter des observations en vertu du par. 27(1</w:t>
            </w:r>
            <w:r w:rsidR="00965551" w:rsidRPr="00965551">
              <w:rPr>
                <w:i/>
                <w:iCs/>
                <w:sz w:val="20"/>
                <w:szCs w:val="20"/>
                <w:lang w:val="fr-CA"/>
              </w:rPr>
              <w:t>) LAI</w:t>
            </w:r>
            <w:r w:rsidR="00965551" w:rsidRPr="00965551">
              <w:rPr>
                <w:sz w:val="20"/>
                <w:szCs w:val="20"/>
                <w:lang w:val="fr-CA"/>
              </w:rPr>
              <w:t xml:space="preserve">? - La Cour d’appel fédérale a-t-elle commis une erreur en infirmant la décision de la juridiction inférieure et en concluant que </w:t>
            </w:r>
            <w:proofErr w:type="spellStart"/>
            <w:r w:rsidR="00965551" w:rsidRPr="00965551">
              <w:rPr>
                <w:sz w:val="20"/>
                <w:szCs w:val="20"/>
                <w:lang w:val="fr-CA"/>
              </w:rPr>
              <w:t>Merck</w:t>
            </w:r>
            <w:proofErr w:type="spellEnd"/>
            <w:r w:rsidR="00965551" w:rsidRPr="00965551">
              <w:rPr>
                <w:sz w:val="20"/>
                <w:szCs w:val="20"/>
                <w:lang w:val="fr-CA"/>
              </w:rPr>
              <w:t xml:space="preserve"> n’a pas réussi à établir que l’un ou l’autre des renseignements en cause répond aux conditions d’application d’au moins une des exceptions prévues aux al. 20(1)</w:t>
            </w:r>
            <w:r w:rsidR="00965551" w:rsidRPr="00965551">
              <w:rPr>
                <w:i/>
                <w:iCs/>
                <w:sz w:val="20"/>
                <w:szCs w:val="20"/>
                <w:lang w:val="fr-CA"/>
              </w:rPr>
              <w:t>a</w:t>
            </w:r>
            <w:r w:rsidR="00965551" w:rsidRPr="00965551">
              <w:rPr>
                <w:sz w:val="20"/>
                <w:szCs w:val="20"/>
                <w:lang w:val="fr-CA"/>
              </w:rPr>
              <w:t xml:space="preserve">), </w:t>
            </w:r>
            <w:r w:rsidR="00965551" w:rsidRPr="00965551">
              <w:rPr>
                <w:i/>
                <w:iCs/>
                <w:sz w:val="20"/>
                <w:szCs w:val="20"/>
                <w:lang w:val="fr-CA"/>
              </w:rPr>
              <w:t>b</w:t>
            </w:r>
            <w:r w:rsidR="00965551" w:rsidRPr="00965551">
              <w:rPr>
                <w:sz w:val="20"/>
                <w:szCs w:val="20"/>
                <w:lang w:val="fr-CA"/>
              </w:rPr>
              <w:t xml:space="preserve">) ou </w:t>
            </w:r>
            <w:r w:rsidR="00965551" w:rsidRPr="00965551">
              <w:rPr>
                <w:i/>
                <w:iCs/>
                <w:sz w:val="20"/>
                <w:szCs w:val="20"/>
                <w:lang w:val="fr-CA"/>
              </w:rPr>
              <w:t>c</w:t>
            </w:r>
            <w:r w:rsidR="00965551" w:rsidRPr="00965551">
              <w:rPr>
                <w:sz w:val="20"/>
                <w:szCs w:val="20"/>
                <w:lang w:val="fr-CA"/>
              </w:rPr>
              <w:t xml:space="preserve">) de la </w:t>
            </w:r>
            <w:r w:rsidR="00965551" w:rsidRPr="00965551">
              <w:rPr>
                <w:i/>
                <w:sz w:val="20"/>
                <w:szCs w:val="20"/>
                <w:lang w:val="fr-CA"/>
              </w:rPr>
              <w:t>LAI</w:t>
            </w:r>
            <w:r w:rsidR="00965551" w:rsidRPr="00965551">
              <w:rPr>
                <w:sz w:val="20"/>
                <w:szCs w:val="20"/>
                <w:lang w:val="fr-CA"/>
              </w:rPr>
              <w:t xml:space="preserve">? - </w:t>
            </w:r>
            <w:r w:rsidR="00965551" w:rsidRPr="00965551">
              <w:rPr>
                <w:i/>
                <w:iCs/>
                <w:sz w:val="20"/>
                <w:szCs w:val="20"/>
                <w:lang w:val="fr-CA"/>
              </w:rPr>
              <w:t>Règlement sur les aliments et drogues</w:t>
            </w:r>
            <w:r w:rsidR="00965551" w:rsidRPr="00965551">
              <w:rPr>
                <w:sz w:val="20"/>
                <w:szCs w:val="20"/>
                <w:lang w:val="fr-CA"/>
              </w:rPr>
              <w:t xml:space="preserve">, C.R.C. ch. 870, par. C.08.002 (1), (2), (3) et C.08.004.1(2), (3), (4) - </w:t>
            </w:r>
            <w:r w:rsidR="00965551" w:rsidRPr="00965551">
              <w:rPr>
                <w:i/>
                <w:iCs/>
                <w:sz w:val="20"/>
                <w:szCs w:val="20"/>
                <w:lang w:val="fr-CA"/>
              </w:rPr>
              <w:t>Loi sur l’accès à l’information</w:t>
            </w:r>
            <w:r w:rsidR="00965551" w:rsidRPr="00965551">
              <w:rPr>
                <w:sz w:val="20"/>
                <w:szCs w:val="20"/>
                <w:lang w:val="fr-CA"/>
              </w:rPr>
              <w:t>, L.R.C. (1985) ch. A-1, art. 20, 25, 27 - (Voir 33290 au même effet).</w:t>
            </w:r>
          </w:p>
        </w:tc>
      </w:tr>
    </w:tbl>
    <w:p w:rsidR="00BD5B1F" w:rsidRDefault="00BD5B1F" w:rsidP="00732DB7">
      <w:pPr>
        <w:widowControl w:val="0"/>
        <w:rPr>
          <w:sz w:val="20"/>
          <w:szCs w:val="20"/>
          <w:lang w:val="fr-CA"/>
        </w:rPr>
      </w:pPr>
    </w:p>
    <w:p w:rsidR="00E940EB" w:rsidRPr="00C1697B" w:rsidRDefault="003E770A" w:rsidP="00732DB7">
      <w:pPr>
        <w:widowControl w:val="0"/>
        <w:rPr>
          <w:sz w:val="20"/>
          <w:szCs w:val="20"/>
          <w:lang w:val="fr-CA"/>
        </w:rPr>
      </w:pPr>
      <w:r w:rsidRPr="003E770A">
        <w:rPr>
          <w:sz w:val="20"/>
          <w:szCs w:val="20"/>
          <w:lang w:val="fr-CA"/>
        </w:rPr>
        <w:pict>
          <v:rect id="_x0000_i1081"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B380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53BE" w:rsidRDefault="00FF6EEC" w:rsidP="00FF6EEC">
      <w:pPr>
        <w:rPr>
          <w:sz w:val="20"/>
          <w:szCs w:val="20"/>
          <w:lang w:val="fr-CA"/>
        </w:rPr>
      </w:pPr>
    </w:p>
    <w:p w:rsidR="003B53BE" w:rsidRPr="003B53BE" w:rsidRDefault="003B53BE" w:rsidP="003B53BE">
      <w:pPr>
        <w:rPr>
          <w:b/>
          <w:sz w:val="20"/>
          <w:szCs w:val="20"/>
        </w:rPr>
      </w:pPr>
      <w:r w:rsidRPr="003B53BE">
        <w:rPr>
          <w:b/>
          <w:sz w:val="20"/>
          <w:szCs w:val="20"/>
        </w:rPr>
        <w:t>NOVEMBER 1</w:t>
      </w:r>
      <w:r>
        <w:rPr>
          <w:b/>
          <w:sz w:val="20"/>
          <w:szCs w:val="20"/>
        </w:rPr>
        <w:t>9</w:t>
      </w:r>
      <w:r w:rsidRPr="003B53BE">
        <w:rPr>
          <w:b/>
          <w:sz w:val="20"/>
          <w:szCs w:val="20"/>
        </w:rPr>
        <w:t>, 2010 / LE 1</w:t>
      </w:r>
      <w:r>
        <w:rPr>
          <w:b/>
          <w:sz w:val="20"/>
          <w:szCs w:val="20"/>
        </w:rPr>
        <w:t>9</w:t>
      </w:r>
      <w:r w:rsidRPr="003B53BE">
        <w:rPr>
          <w:b/>
          <w:sz w:val="20"/>
          <w:szCs w:val="20"/>
        </w:rPr>
        <w:t xml:space="preserve"> NOVEMBRE 2010</w:t>
      </w:r>
    </w:p>
    <w:p w:rsidR="003B53BE" w:rsidRDefault="003B53BE" w:rsidP="003B53BE">
      <w:pPr>
        <w:spacing w:line="0" w:lineRule="atLeast"/>
        <w:rPr>
          <w:sz w:val="20"/>
          <w:szCs w:val="20"/>
        </w:rPr>
      </w:pP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GB"/>
        </w:rPr>
      </w:pPr>
      <w:r w:rsidRPr="00130482">
        <w:rPr>
          <w:b/>
          <w:sz w:val="20"/>
        </w:rPr>
        <w:t>32850</w:t>
      </w:r>
      <w:r w:rsidRPr="00130482">
        <w:rPr>
          <w:sz w:val="20"/>
        </w:rPr>
        <w:tab/>
      </w:r>
      <w:r w:rsidRPr="00130482">
        <w:rPr>
          <w:sz w:val="20"/>
        </w:rPr>
        <w:tab/>
      </w:r>
      <w:r w:rsidRPr="00130482">
        <w:rPr>
          <w:b/>
          <w:sz w:val="20"/>
          <w:u w:val="single"/>
        </w:rPr>
        <w:t>David Beckman, in his capacity as Director, Agriculture Branch, Department of Energy, Mines and Resources, Minister of Energy, Mines and Resources and Government of Yukon</w:t>
      </w:r>
      <w:r w:rsidRPr="00130482">
        <w:rPr>
          <w:b/>
          <w:iCs/>
          <w:sz w:val="20"/>
          <w:u w:val="single"/>
          <w:lang w:val="en-GB"/>
        </w:rPr>
        <w:t xml:space="preserve"> v.</w:t>
      </w:r>
      <w:r w:rsidRPr="00130482">
        <w:rPr>
          <w:rFonts w:eastAsia="Calibri"/>
          <w:u w:val="single"/>
        </w:rPr>
        <w:t xml:space="preserve"> </w:t>
      </w:r>
      <w:r w:rsidRPr="00130482">
        <w:rPr>
          <w:b/>
          <w:iCs/>
          <w:sz w:val="20"/>
          <w:u w:val="single"/>
        </w:rPr>
        <w:t>Little Salmon/</w:t>
      </w:r>
      <w:proofErr w:type="spellStart"/>
      <w:r w:rsidRPr="00130482">
        <w:rPr>
          <w:b/>
          <w:iCs/>
          <w:sz w:val="20"/>
          <w:u w:val="single"/>
        </w:rPr>
        <w:t>Carmacks</w:t>
      </w:r>
      <w:proofErr w:type="spellEnd"/>
      <w:r w:rsidRPr="00130482">
        <w:rPr>
          <w:b/>
          <w:iCs/>
          <w:sz w:val="20"/>
          <w:u w:val="single"/>
        </w:rPr>
        <w:t xml:space="preserve"> First Nation and Johnny Sam and Eddie </w:t>
      </w:r>
      <w:proofErr w:type="spellStart"/>
      <w:r w:rsidRPr="00130482">
        <w:rPr>
          <w:b/>
          <w:iCs/>
          <w:sz w:val="20"/>
          <w:u w:val="single"/>
        </w:rPr>
        <w:t>Skookum</w:t>
      </w:r>
      <w:proofErr w:type="spellEnd"/>
      <w:r w:rsidRPr="00130482">
        <w:rPr>
          <w:b/>
          <w:iCs/>
          <w:sz w:val="20"/>
          <w:u w:val="single"/>
        </w:rPr>
        <w:t>, on behalf of themselves and all other members of the Little Salmon/</w:t>
      </w:r>
      <w:proofErr w:type="spellStart"/>
      <w:r w:rsidRPr="00130482">
        <w:rPr>
          <w:b/>
          <w:iCs/>
          <w:sz w:val="20"/>
          <w:u w:val="single"/>
        </w:rPr>
        <w:t>Carmacks</w:t>
      </w:r>
      <w:proofErr w:type="spellEnd"/>
      <w:r w:rsidRPr="00130482">
        <w:rPr>
          <w:b/>
          <w:iCs/>
          <w:sz w:val="20"/>
          <w:u w:val="single"/>
        </w:rPr>
        <w:t xml:space="preserve"> First Nation – and – Attorney General of Canada, Attorney General of Quebec, Attorney General of Newfoundland and Labrador, </w:t>
      </w:r>
      <w:proofErr w:type="spellStart"/>
      <w:r w:rsidRPr="00130482">
        <w:rPr>
          <w:b/>
          <w:iCs/>
          <w:sz w:val="20"/>
          <w:u w:val="single"/>
        </w:rPr>
        <w:t>Gwich’in</w:t>
      </w:r>
      <w:proofErr w:type="spellEnd"/>
      <w:r w:rsidRPr="00130482">
        <w:rPr>
          <w:b/>
          <w:iCs/>
          <w:sz w:val="20"/>
          <w:u w:val="single"/>
        </w:rPr>
        <w:t xml:space="preserve"> Tribal Council, </w:t>
      </w:r>
      <w:proofErr w:type="spellStart"/>
      <w:r w:rsidRPr="00130482">
        <w:rPr>
          <w:b/>
          <w:iCs/>
          <w:sz w:val="20"/>
          <w:u w:val="single"/>
        </w:rPr>
        <w:t>Sahtu</w:t>
      </w:r>
      <w:proofErr w:type="spellEnd"/>
      <w:r w:rsidRPr="00130482">
        <w:rPr>
          <w:b/>
          <w:iCs/>
          <w:sz w:val="20"/>
          <w:u w:val="single"/>
        </w:rPr>
        <w:t xml:space="preserve"> Secretariat Incorporated, Grand Council of the </w:t>
      </w:r>
      <w:proofErr w:type="spellStart"/>
      <w:r w:rsidRPr="00130482">
        <w:rPr>
          <w:b/>
          <w:iCs/>
          <w:sz w:val="20"/>
          <w:u w:val="single"/>
        </w:rPr>
        <w:t>Crees</w:t>
      </w:r>
      <w:proofErr w:type="spellEnd"/>
      <w:r w:rsidRPr="00130482">
        <w:rPr>
          <w:b/>
          <w:iCs/>
          <w:sz w:val="20"/>
          <w:u w:val="single"/>
        </w:rPr>
        <w:t xml:space="preserve"> (</w:t>
      </w:r>
      <w:proofErr w:type="spellStart"/>
      <w:r w:rsidRPr="00130482">
        <w:rPr>
          <w:b/>
          <w:iCs/>
          <w:sz w:val="20"/>
          <w:u w:val="single"/>
        </w:rPr>
        <w:t>Eeyou</w:t>
      </w:r>
      <w:proofErr w:type="spellEnd"/>
      <w:r w:rsidRPr="00130482">
        <w:rPr>
          <w:b/>
          <w:iCs/>
          <w:sz w:val="20"/>
          <w:u w:val="single"/>
        </w:rPr>
        <w:t xml:space="preserve"> </w:t>
      </w:r>
      <w:proofErr w:type="spellStart"/>
      <w:r w:rsidRPr="00130482">
        <w:rPr>
          <w:b/>
          <w:iCs/>
          <w:sz w:val="20"/>
          <w:u w:val="single"/>
        </w:rPr>
        <w:t>Istchee</w:t>
      </w:r>
      <w:proofErr w:type="spellEnd"/>
      <w:r w:rsidRPr="00130482">
        <w:rPr>
          <w:b/>
          <w:iCs/>
          <w:sz w:val="20"/>
          <w:u w:val="single"/>
        </w:rPr>
        <w:t xml:space="preserve">)/Cree Regional Authority, Council of Yukon First Nations, </w:t>
      </w:r>
      <w:proofErr w:type="spellStart"/>
      <w:r w:rsidRPr="00130482">
        <w:rPr>
          <w:b/>
          <w:iCs/>
          <w:sz w:val="20"/>
          <w:u w:val="single"/>
        </w:rPr>
        <w:t>Kwanlin</w:t>
      </w:r>
      <w:proofErr w:type="spellEnd"/>
      <w:r w:rsidRPr="00130482">
        <w:rPr>
          <w:b/>
          <w:iCs/>
          <w:sz w:val="20"/>
          <w:u w:val="single"/>
        </w:rPr>
        <w:t xml:space="preserve"> </w:t>
      </w:r>
      <w:proofErr w:type="spellStart"/>
      <w:r w:rsidRPr="00130482">
        <w:rPr>
          <w:b/>
          <w:iCs/>
          <w:sz w:val="20"/>
          <w:u w:val="single"/>
        </w:rPr>
        <w:t>Dün</w:t>
      </w:r>
      <w:proofErr w:type="spellEnd"/>
      <w:r w:rsidRPr="00130482">
        <w:rPr>
          <w:b/>
          <w:iCs/>
          <w:sz w:val="20"/>
          <w:u w:val="single"/>
        </w:rPr>
        <w:t xml:space="preserve"> First Nation, Nunavut </w:t>
      </w:r>
      <w:proofErr w:type="spellStart"/>
      <w:r w:rsidRPr="00130482">
        <w:rPr>
          <w:b/>
          <w:iCs/>
          <w:sz w:val="20"/>
          <w:u w:val="single"/>
        </w:rPr>
        <w:t>Tunngavik</w:t>
      </w:r>
      <w:proofErr w:type="spellEnd"/>
      <w:r w:rsidRPr="00130482">
        <w:rPr>
          <w:b/>
          <w:iCs/>
          <w:sz w:val="20"/>
          <w:u w:val="single"/>
        </w:rPr>
        <w:t xml:space="preserve"> Incorporated, </w:t>
      </w:r>
      <w:proofErr w:type="spellStart"/>
      <w:r w:rsidRPr="00130482">
        <w:rPr>
          <w:b/>
          <w:iCs/>
          <w:sz w:val="20"/>
          <w:u w:val="single"/>
        </w:rPr>
        <w:t>Tlicho</w:t>
      </w:r>
      <w:proofErr w:type="spellEnd"/>
      <w:r w:rsidRPr="00130482">
        <w:rPr>
          <w:b/>
          <w:iCs/>
          <w:sz w:val="20"/>
          <w:u w:val="single"/>
        </w:rPr>
        <w:t xml:space="preserve"> Government, </w:t>
      </w:r>
      <w:proofErr w:type="spellStart"/>
      <w:r w:rsidRPr="00130482">
        <w:rPr>
          <w:b/>
          <w:iCs/>
          <w:sz w:val="20"/>
          <w:u w:val="single"/>
        </w:rPr>
        <w:t>Te’mexw</w:t>
      </w:r>
      <w:proofErr w:type="spellEnd"/>
      <w:r w:rsidRPr="00130482">
        <w:rPr>
          <w:b/>
          <w:iCs/>
          <w:sz w:val="20"/>
          <w:u w:val="single"/>
        </w:rPr>
        <w:t xml:space="preserve"> Nations and Assembly of First Nations</w:t>
      </w:r>
      <w:r w:rsidRPr="00130482">
        <w:rPr>
          <w:iCs/>
          <w:sz w:val="20"/>
          <w:lang w:val="en-GB"/>
        </w:rPr>
        <w:t xml:space="preserve"> </w:t>
      </w:r>
      <w:r w:rsidRPr="00130482">
        <w:rPr>
          <w:sz w:val="20"/>
          <w:lang w:val="en-GB"/>
        </w:rPr>
        <w:t>(Y.T.)</w:t>
      </w: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130482">
        <w:rPr>
          <w:b/>
          <w:sz w:val="20"/>
        </w:rPr>
        <w:t>2010 SCC 53 / 2010 CSC 53</w:t>
      </w: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rPr>
      </w:pP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r w:rsidRPr="00130482">
        <w:rPr>
          <w:sz w:val="20"/>
        </w:rPr>
        <w:t>Coram:</w:t>
      </w:r>
      <w:r>
        <w:rPr>
          <w:sz w:val="20"/>
        </w:rPr>
        <w:tab/>
      </w:r>
      <w:r>
        <w:rPr>
          <w:sz w:val="20"/>
        </w:rPr>
        <w:tab/>
      </w:r>
      <w:proofErr w:type="spellStart"/>
      <w:r w:rsidRPr="00130482">
        <w:rPr>
          <w:sz w:val="20"/>
          <w:u w:val="single"/>
        </w:rPr>
        <w:t>McLachlin</w:t>
      </w:r>
      <w:proofErr w:type="spellEnd"/>
      <w:r w:rsidRPr="00130482">
        <w:rPr>
          <w:sz w:val="20"/>
          <w:u w:val="single"/>
        </w:rPr>
        <w:t xml:space="preserve"> C.J. and </w:t>
      </w:r>
      <w:proofErr w:type="spellStart"/>
      <w:r w:rsidRPr="00130482">
        <w:rPr>
          <w:sz w:val="20"/>
          <w:u w:val="single"/>
        </w:rPr>
        <w:t>Binnie</w:t>
      </w:r>
      <w:proofErr w:type="spellEnd"/>
      <w:r w:rsidRPr="00130482">
        <w:rPr>
          <w:sz w:val="20"/>
          <w:u w:val="single"/>
        </w:rPr>
        <w:t xml:space="preserve">, </w:t>
      </w:r>
      <w:proofErr w:type="spellStart"/>
      <w:r w:rsidRPr="00130482">
        <w:rPr>
          <w:sz w:val="20"/>
          <w:u w:val="single"/>
        </w:rPr>
        <w:t>LeBel</w:t>
      </w:r>
      <w:proofErr w:type="spellEnd"/>
      <w:r w:rsidRPr="00130482">
        <w:rPr>
          <w:sz w:val="20"/>
          <w:u w:val="single"/>
        </w:rPr>
        <w:t xml:space="preserve">, </w:t>
      </w:r>
      <w:proofErr w:type="spellStart"/>
      <w:r w:rsidRPr="00130482">
        <w:rPr>
          <w:sz w:val="20"/>
          <w:u w:val="single"/>
        </w:rPr>
        <w:t>Deschamps</w:t>
      </w:r>
      <w:proofErr w:type="spellEnd"/>
      <w:r w:rsidRPr="00130482">
        <w:rPr>
          <w:sz w:val="20"/>
          <w:u w:val="single"/>
        </w:rPr>
        <w:t xml:space="preserve">, Fish, </w:t>
      </w:r>
      <w:proofErr w:type="spellStart"/>
      <w:r w:rsidRPr="00130482">
        <w:rPr>
          <w:sz w:val="20"/>
          <w:u w:val="single"/>
        </w:rPr>
        <w:t>Abella</w:t>
      </w:r>
      <w:proofErr w:type="spellEnd"/>
      <w:r w:rsidRPr="00130482">
        <w:rPr>
          <w:sz w:val="20"/>
          <w:u w:val="single"/>
        </w:rPr>
        <w:t xml:space="preserve">, </w:t>
      </w:r>
      <w:proofErr w:type="spellStart"/>
      <w:r w:rsidRPr="00130482">
        <w:rPr>
          <w:sz w:val="20"/>
          <w:u w:val="single"/>
        </w:rPr>
        <w:t>Charron</w:t>
      </w:r>
      <w:proofErr w:type="spellEnd"/>
      <w:r w:rsidRPr="00130482">
        <w:rPr>
          <w:sz w:val="20"/>
          <w:u w:val="single"/>
        </w:rPr>
        <w:t>, Rothstein and Cromwell JJ.</w:t>
      </w: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130482">
        <w:rPr>
          <w:sz w:val="20"/>
        </w:rPr>
        <w:t>The appeal and cross-appeal from the judgment of the Court of Appeal of the Yukon Territory, Number CA07-YU584, 2008 YKCA 13, dated August 15, 2008, heard on November 12, 2009, are dismissed with costs.</w:t>
      </w: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F7302C" w:rsidRPr="00130482" w:rsidRDefault="00F7302C" w:rsidP="00F7302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130482">
        <w:rPr>
          <w:sz w:val="20"/>
          <w:lang w:val="fr-CA"/>
        </w:rPr>
        <w:t>L’appel et l’appel incident interjetés contre l’arrêt de la Cour d’appel du territoire du Yukon, numéro CA07-YU584, 2008 YKCA 13, en date du 15 août 2008, entendu le 12 novembre 2009, sont rejetés avec dépens.</w:t>
      </w:r>
    </w:p>
    <w:p w:rsidR="003B53BE" w:rsidRPr="00F7302C" w:rsidRDefault="003B53BE" w:rsidP="003B53BE">
      <w:pPr>
        <w:spacing w:line="0" w:lineRule="atLeast"/>
        <w:rPr>
          <w:sz w:val="20"/>
          <w:szCs w:val="20"/>
          <w:lang w:val="fr-CA"/>
        </w:rPr>
      </w:pPr>
    </w:p>
    <w:p w:rsidR="003B53BE" w:rsidRDefault="003E770A" w:rsidP="003B53BE">
      <w:pPr>
        <w:rPr>
          <w:sz w:val="20"/>
          <w:szCs w:val="20"/>
        </w:rPr>
      </w:pPr>
      <w:r w:rsidRPr="003E770A">
        <w:rPr>
          <w:sz w:val="20"/>
          <w:szCs w:val="20"/>
        </w:rPr>
        <w:pict>
          <v:rect id="_x0000_i1084" style="width:2in;height:1pt" o:hrpct="0" o:hralign="center" o:hrstd="t" o:hrnoshade="t" o:hr="t" fillcolor="black [3213]" stroked="f"/>
        </w:pict>
      </w:r>
    </w:p>
    <w:p w:rsidR="003B53BE" w:rsidRDefault="003B53BE" w:rsidP="003B53BE">
      <w:pPr>
        <w:rPr>
          <w:sz w:val="20"/>
          <w:szCs w:val="20"/>
        </w:rPr>
      </w:pPr>
    </w:p>
    <w:p w:rsidR="003B53BE" w:rsidRDefault="003B53BE" w:rsidP="003B53BE">
      <w:pPr>
        <w:rPr>
          <w:sz w:val="20"/>
          <w:szCs w:val="20"/>
        </w:rPr>
      </w:pPr>
    </w:p>
    <w:p w:rsidR="00FF6EEC" w:rsidRPr="003B53BE" w:rsidRDefault="00FF6EEC" w:rsidP="00FF6EEC">
      <w:pPr>
        <w:spacing w:line="0" w:lineRule="atLeast"/>
        <w:rPr>
          <w:sz w:val="20"/>
          <w:szCs w:val="20"/>
        </w:rPr>
      </w:pPr>
    </w:p>
    <w:p w:rsidR="00FF6EEC" w:rsidRPr="003B53BE" w:rsidRDefault="00FF6EEC" w:rsidP="00FF6EEC">
      <w:pPr>
        <w:spacing w:line="360" w:lineRule="auto"/>
        <w:rPr>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782AE4" w:rsidRPr="00C50A5C" w:rsidRDefault="00782AE4" w:rsidP="00782AE4">
      <w:pPr>
        <w:rPr>
          <w:sz w:val="20"/>
          <w:szCs w:val="20"/>
        </w:rPr>
      </w:pPr>
    </w:p>
    <w:p w:rsidR="00565ADD" w:rsidRPr="00565ADD" w:rsidRDefault="00237D00" w:rsidP="00237D00">
      <w:pPr>
        <w:rPr>
          <w:sz w:val="20"/>
          <w:szCs w:val="20"/>
          <w:lang w:val="en-GB"/>
        </w:rPr>
      </w:pPr>
      <w:r w:rsidRPr="00565ADD">
        <w:rPr>
          <w:i/>
          <w:sz w:val="20"/>
          <w:szCs w:val="20"/>
          <w:lang w:val="en-GB"/>
        </w:rPr>
        <w:t xml:space="preserve">David Beckman, in his capacity as Director, Agriculture Branch, Department of Energy </w:t>
      </w:r>
      <w:r w:rsidRPr="00565ADD">
        <w:rPr>
          <w:i/>
          <w:sz w:val="20"/>
          <w:szCs w:val="20"/>
          <w:lang w:val="en-GB"/>
        </w:rPr>
        <w:tab/>
        <w:t>Mines and Resources et al. v. Little Salmon/</w:t>
      </w:r>
      <w:proofErr w:type="spellStart"/>
      <w:r w:rsidRPr="00565ADD">
        <w:rPr>
          <w:i/>
          <w:sz w:val="20"/>
          <w:szCs w:val="20"/>
          <w:lang w:val="en-GB"/>
        </w:rPr>
        <w:t>Carmacks</w:t>
      </w:r>
      <w:proofErr w:type="spellEnd"/>
      <w:r w:rsidRPr="00565ADD">
        <w:rPr>
          <w:i/>
          <w:sz w:val="20"/>
          <w:szCs w:val="20"/>
          <w:lang w:val="en-GB"/>
        </w:rPr>
        <w:t xml:space="preserve"> First Nation et al. </w:t>
      </w:r>
      <w:r w:rsidRPr="00565ADD">
        <w:rPr>
          <w:sz w:val="20"/>
          <w:szCs w:val="20"/>
          <w:lang w:val="en-GB"/>
        </w:rPr>
        <w:t>(Y.T.) (32850)</w:t>
      </w:r>
    </w:p>
    <w:p w:rsidR="00D72F1A" w:rsidRDefault="00D72F1A" w:rsidP="00D72F1A">
      <w:pPr>
        <w:jc w:val="both"/>
        <w:outlineLvl w:val="0"/>
        <w:rPr>
          <w:rStyle w:val="SCCRespondentForIndexChar"/>
          <w:rFonts w:eastAsiaTheme="minorHAnsi"/>
          <w:sz w:val="20"/>
          <w:lang w:val="en-US"/>
        </w:rPr>
      </w:pPr>
      <w:r w:rsidRPr="006F1DFA">
        <w:rPr>
          <w:rFonts w:cs="Times New Roman"/>
          <w:b/>
          <w:sz w:val="20"/>
          <w:szCs w:val="20"/>
        </w:rPr>
        <w:t>Indexed as:  </w:t>
      </w:r>
      <w:r w:rsidRPr="006F1DFA">
        <w:rPr>
          <w:rStyle w:val="SCCAppellantForIndexChar"/>
          <w:rFonts w:eastAsiaTheme="minorHAnsi"/>
          <w:sz w:val="20"/>
        </w:rPr>
        <w:t>Beckman</w:t>
      </w:r>
      <w:r w:rsidRPr="006F1DFA">
        <w:rPr>
          <w:rFonts w:cs="Times New Roman"/>
          <w:b/>
          <w:sz w:val="20"/>
          <w:szCs w:val="20"/>
          <w:lang w:val="en-US"/>
        </w:rPr>
        <w:t xml:space="preserve"> </w:t>
      </w:r>
      <w:r w:rsidRPr="006F1DFA">
        <w:rPr>
          <w:rFonts w:cs="Times New Roman"/>
          <w:b/>
          <w:i/>
          <w:sz w:val="20"/>
          <w:szCs w:val="20"/>
          <w:lang w:val="en-US"/>
        </w:rPr>
        <w:t>v.</w:t>
      </w:r>
      <w:r w:rsidRPr="006F1DFA">
        <w:rPr>
          <w:rFonts w:cs="Times New Roman"/>
          <w:b/>
          <w:sz w:val="20"/>
          <w:szCs w:val="20"/>
          <w:lang w:val="en-US"/>
        </w:rPr>
        <w:t xml:space="preserve"> </w:t>
      </w:r>
      <w:r w:rsidRPr="006F1DFA">
        <w:rPr>
          <w:rStyle w:val="SCCRespondentForIndexChar"/>
          <w:rFonts w:eastAsiaTheme="minorHAnsi"/>
          <w:sz w:val="20"/>
          <w:lang w:val="en-US"/>
        </w:rPr>
        <w:t>Little Salmon/</w:t>
      </w:r>
      <w:proofErr w:type="spellStart"/>
      <w:r w:rsidRPr="006F1DFA">
        <w:rPr>
          <w:rStyle w:val="SCCRespondentForIndexChar"/>
          <w:rFonts w:eastAsiaTheme="minorHAnsi"/>
          <w:sz w:val="20"/>
          <w:lang w:val="en-US"/>
        </w:rPr>
        <w:t>Carmacks</w:t>
      </w:r>
      <w:proofErr w:type="spellEnd"/>
      <w:r w:rsidRPr="006F1DFA">
        <w:rPr>
          <w:rStyle w:val="SCCRespondentForIndexChar"/>
          <w:rFonts w:eastAsiaTheme="minorHAnsi"/>
          <w:sz w:val="20"/>
          <w:lang w:val="en-US"/>
        </w:rPr>
        <w:t xml:space="preserve"> First Nation</w:t>
      </w:r>
      <w:r>
        <w:rPr>
          <w:rStyle w:val="SCCRespondentForIndexChar"/>
          <w:rFonts w:eastAsiaTheme="minorHAnsi"/>
          <w:sz w:val="20"/>
          <w:lang w:val="en-US"/>
        </w:rPr>
        <w:t xml:space="preserve"> / </w:t>
      </w:r>
    </w:p>
    <w:p w:rsidR="00D72F1A" w:rsidRPr="00D72F1A" w:rsidRDefault="00D72F1A" w:rsidP="00D72F1A">
      <w:pPr>
        <w:jc w:val="both"/>
        <w:outlineLvl w:val="0"/>
        <w:rPr>
          <w:rFonts w:cs="Times New Roman"/>
          <w:b/>
          <w:sz w:val="20"/>
          <w:szCs w:val="20"/>
          <w:lang w:val="fr-CA"/>
        </w:rPr>
      </w:pPr>
      <w:r w:rsidRPr="00D72F1A">
        <w:rPr>
          <w:rFonts w:cs="Times New Roman"/>
          <w:b/>
          <w:sz w:val="20"/>
          <w:szCs w:val="20"/>
          <w:lang w:val="fr-CA"/>
        </w:rPr>
        <w:t>Répertorié : </w:t>
      </w:r>
      <w:proofErr w:type="spellStart"/>
      <w:r w:rsidRPr="00D72F1A">
        <w:rPr>
          <w:rStyle w:val="SCCAppellantForIndexChar"/>
          <w:rFonts w:eastAsiaTheme="minorHAnsi"/>
          <w:sz w:val="20"/>
          <w:lang w:val="fr-CA"/>
        </w:rPr>
        <w:t>Beckman</w:t>
      </w:r>
      <w:proofErr w:type="spellEnd"/>
      <w:r w:rsidRPr="00D72F1A">
        <w:rPr>
          <w:rFonts w:cs="Times New Roman"/>
          <w:b/>
          <w:sz w:val="20"/>
          <w:szCs w:val="20"/>
          <w:lang w:val="fr-CA"/>
        </w:rPr>
        <w:t xml:space="preserve"> </w:t>
      </w:r>
      <w:r w:rsidRPr="00D72F1A">
        <w:rPr>
          <w:rFonts w:cs="Times New Roman"/>
          <w:b/>
          <w:i/>
          <w:sz w:val="20"/>
          <w:szCs w:val="20"/>
          <w:lang w:val="fr-CA"/>
        </w:rPr>
        <w:t>c.</w:t>
      </w:r>
      <w:r w:rsidRPr="00D72F1A">
        <w:rPr>
          <w:rFonts w:cs="Times New Roman"/>
          <w:b/>
          <w:sz w:val="20"/>
          <w:szCs w:val="20"/>
          <w:lang w:val="fr-CA"/>
        </w:rPr>
        <w:t xml:space="preserve"> Première nation de </w:t>
      </w:r>
      <w:proofErr w:type="spellStart"/>
      <w:r w:rsidRPr="00D72F1A">
        <w:rPr>
          <w:rStyle w:val="SCCRespondentForIndexChar"/>
          <w:rFonts w:eastAsiaTheme="minorHAnsi"/>
          <w:sz w:val="20"/>
          <w:lang w:val="fr-CA"/>
        </w:rPr>
        <w:t>Little</w:t>
      </w:r>
      <w:proofErr w:type="spellEnd"/>
      <w:r w:rsidRPr="00D72F1A">
        <w:rPr>
          <w:rStyle w:val="SCCRespondentForIndexChar"/>
          <w:rFonts w:eastAsiaTheme="minorHAnsi"/>
          <w:sz w:val="20"/>
          <w:lang w:val="fr-CA"/>
        </w:rPr>
        <w:t xml:space="preserve"> Salmon/</w:t>
      </w:r>
      <w:proofErr w:type="spellStart"/>
      <w:r w:rsidRPr="00D72F1A">
        <w:rPr>
          <w:rStyle w:val="SCCRespondentForIndexChar"/>
          <w:rFonts w:eastAsiaTheme="minorHAnsi"/>
          <w:sz w:val="20"/>
          <w:lang w:val="fr-CA"/>
        </w:rPr>
        <w:t>Carmacks</w:t>
      </w:r>
      <w:proofErr w:type="spellEnd"/>
    </w:p>
    <w:p w:rsidR="00782AE4" w:rsidRPr="00D72F1A" w:rsidRDefault="00782AE4" w:rsidP="00782AE4">
      <w:pPr>
        <w:rPr>
          <w:sz w:val="20"/>
          <w:szCs w:val="20"/>
          <w:lang w:val="fr-CA"/>
        </w:rPr>
      </w:pPr>
      <w:proofErr w:type="spellStart"/>
      <w:r w:rsidRPr="00D72F1A">
        <w:rPr>
          <w:b/>
          <w:sz w:val="20"/>
          <w:szCs w:val="20"/>
          <w:lang w:val="fr-CA"/>
        </w:rPr>
        <w:t>Neutral</w:t>
      </w:r>
      <w:proofErr w:type="spellEnd"/>
      <w:r w:rsidRPr="00D72F1A">
        <w:rPr>
          <w:b/>
          <w:sz w:val="20"/>
          <w:szCs w:val="20"/>
          <w:lang w:val="fr-CA"/>
        </w:rPr>
        <w:t xml:space="preserve"> citation</w:t>
      </w:r>
      <w:proofErr w:type="gramStart"/>
      <w:r w:rsidRPr="00D72F1A">
        <w:rPr>
          <w:b/>
          <w:sz w:val="20"/>
          <w:szCs w:val="20"/>
          <w:lang w:val="fr-CA"/>
        </w:rPr>
        <w:t>:  2010</w:t>
      </w:r>
      <w:proofErr w:type="gramEnd"/>
      <w:r w:rsidRPr="00D72F1A">
        <w:rPr>
          <w:b/>
          <w:sz w:val="20"/>
          <w:szCs w:val="20"/>
          <w:lang w:val="fr-CA"/>
        </w:rPr>
        <w:t xml:space="preserve"> SCC </w:t>
      </w:r>
      <w:r w:rsidR="00D72F1A" w:rsidRPr="00D72F1A">
        <w:rPr>
          <w:b/>
          <w:sz w:val="20"/>
          <w:szCs w:val="20"/>
          <w:lang w:val="fr-CA"/>
        </w:rPr>
        <w:t>53</w:t>
      </w:r>
      <w:r w:rsidRPr="00D72F1A">
        <w:rPr>
          <w:sz w:val="20"/>
          <w:szCs w:val="20"/>
          <w:lang w:val="fr-CA"/>
        </w:rPr>
        <w:t xml:space="preserve"> / </w:t>
      </w:r>
      <w:r w:rsidRPr="00D72F1A">
        <w:rPr>
          <w:b/>
          <w:sz w:val="20"/>
          <w:szCs w:val="20"/>
          <w:lang w:val="fr-CA"/>
        </w:rPr>
        <w:t xml:space="preserve">Référence neutre : 2010 CSC </w:t>
      </w:r>
      <w:r w:rsidR="00D72F1A">
        <w:rPr>
          <w:b/>
          <w:sz w:val="20"/>
          <w:szCs w:val="20"/>
          <w:lang w:val="fr-CA"/>
        </w:rPr>
        <w:t>53</w:t>
      </w:r>
    </w:p>
    <w:p w:rsidR="00782AE4" w:rsidRPr="00D72F1A" w:rsidRDefault="00782AE4" w:rsidP="00782AE4">
      <w:pPr>
        <w:rPr>
          <w:sz w:val="20"/>
          <w:szCs w:val="20"/>
          <w:lang w:val="fr-CA"/>
        </w:rPr>
      </w:pPr>
      <w:proofErr w:type="spellStart"/>
      <w:r w:rsidRPr="00D72F1A">
        <w:rPr>
          <w:sz w:val="20"/>
          <w:szCs w:val="20"/>
          <w:lang w:val="fr-CA"/>
        </w:rPr>
        <w:t>Hearing</w:t>
      </w:r>
      <w:proofErr w:type="spellEnd"/>
      <w:proofErr w:type="gramStart"/>
      <w:r w:rsidRPr="00D72F1A">
        <w:rPr>
          <w:sz w:val="20"/>
          <w:szCs w:val="20"/>
          <w:lang w:val="fr-CA"/>
        </w:rPr>
        <w:t xml:space="preserve">:  </w:t>
      </w:r>
      <w:proofErr w:type="spellStart"/>
      <w:r w:rsidRPr="00D72F1A">
        <w:rPr>
          <w:sz w:val="20"/>
          <w:szCs w:val="20"/>
          <w:lang w:val="fr-CA"/>
        </w:rPr>
        <w:t>November</w:t>
      </w:r>
      <w:proofErr w:type="spellEnd"/>
      <w:proofErr w:type="gramEnd"/>
      <w:r w:rsidRPr="00D72F1A">
        <w:rPr>
          <w:sz w:val="20"/>
          <w:szCs w:val="20"/>
          <w:lang w:val="fr-CA"/>
        </w:rPr>
        <w:t xml:space="preserve"> 1</w:t>
      </w:r>
      <w:r w:rsidR="00D72F1A" w:rsidRPr="00D72F1A">
        <w:rPr>
          <w:sz w:val="20"/>
          <w:szCs w:val="20"/>
          <w:lang w:val="fr-CA"/>
        </w:rPr>
        <w:t>2</w:t>
      </w:r>
      <w:r w:rsidRPr="00D72F1A">
        <w:rPr>
          <w:sz w:val="20"/>
          <w:szCs w:val="20"/>
          <w:lang w:val="fr-CA"/>
        </w:rPr>
        <w:t xml:space="preserve">, 2009 / </w:t>
      </w:r>
      <w:proofErr w:type="spellStart"/>
      <w:r w:rsidRPr="00D72F1A">
        <w:rPr>
          <w:sz w:val="20"/>
          <w:szCs w:val="20"/>
          <w:lang w:val="fr-CA"/>
        </w:rPr>
        <w:t>Judgment</w:t>
      </w:r>
      <w:proofErr w:type="spellEnd"/>
      <w:r w:rsidRPr="00D72F1A">
        <w:rPr>
          <w:sz w:val="20"/>
          <w:szCs w:val="20"/>
          <w:lang w:val="fr-CA"/>
        </w:rPr>
        <w:t xml:space="preserve">:  </w:t>
      </w:r>
      <w:proofErr w:type="spellStart"/>
      <w:r w:rsidR="00D72F1A">
        <w:rPr>
          <w:sz w:val="20"/>
          <w:szCs w:val="20"/>
          <w:lang w:val="fr-CA"/>
        </w:rPr>
        <w:t>November</w:t>
      </w:r>
      <w:proofErr w:type="spellEnd"/>
      <w:r w:rsidR="00D72F1A">
        <w:rPr>
          <w:sz w:val="20"/>
          <w:szCs w:val="20"/>
          <w:lang w:val="fr-CA"/>
        </w:rPr>
        <w:t xml:space="preserve"> 19</w:t>
      </w:r>
      <w:r w:rsidRPr="00D72F1A">
        <w:rPr>
          <w:sz w:val="20"/>
          <w:szCs w:val="20"/>
          <w:lang w:val="fr-CA"/>
        </w:rPr>
        <w:t>, 2010</w:t>
      </w:r>
    </w:p>
    <w:p w:rsidR="00782AE4" w:rsidRPr="00C50A5C" w:rsidRDefault="00782AE4" w:rsidP="00782AE4">
      <w:pPr>
        <w:rPr>
          <w:sz w:val="20"/>
          <w:szCs w:val="20"/>
          <w:lang w:val="fr-CA"/>
        </w:rPr>
      </w:pPr>
      <w:r w:rsidRPr="00C50A5C">
        <w:rPr>
          <w:sz w:val="20"/>
          <w:szCs w:val="20"/>
          <w:lang w:val="fr-CA"/>
        </w:rPr>
        <w:t>Audition : Le 1</w:t>
      </w:r>
      <w:r w:rsidR="00D72F1A">
        <w:rPr>
          <w:sz w:val="20"/>
          <w:szCs w:val="20"/>
          <w:lang w:val="fr-CA"/>
        </w:rPr>
        <w:t>2</w:t>
      </w:r>
      <w:r w:rsidRPr="00C50A5C">
        <w:rPr>
          <w:sz w:val="20"/>
          <w:szCs w:val="20"/>
          <w:lang w:val="fr-CA"/>
        </w:rPr>
        <w:t xml:space="preserve"> novembre 2009 / Jugement : Le </w:t>
      </w:r>
      <w:r w:rsidR="00D72F1A">
        <w:rPr>
          <w:sz w:val="20"/>
          <w:szCs w:val="20"/>
          <w:lang w:val="fr-CA"/>
        </w:rPr>
        <w:t>19 novembre</w:t>
      </w:r>
      <w:r w:rsidRPr="00C50A5C">
        <w:rPr>
          <w:sz w:val="20"/>
          <w:szCs w:val="20"/>
          <w:lang w:val="fr-CA"/>
        </w:rPr>
        <w:t xml:space="preserve"> 2010</w:t>
      </w:r>
    </w:p>
    <w:p w:rsidR="00782AE4" w:rsidRPr="00C50A5C" w:rsidRDefault="003E770A" w:rsidP="00782AE4">
      <w:pPr>
        <w:rPr>
          <w:sz w:val="20"/>
          <w:szCs w:val="20"/>
          <w:lang w:val="fr-CA"/>
        </w:rPr>
      </w:pPr>
      <w:r w:rsidRPr="003E770A">
        <w:rPr>
          <w:i/>
          <w:sz w:val="20"/>
          <w:szCs w:val="20"/>
        </w:rPr>
        <w:pict>
          <v:rect id="_x0000_i1087" style="width:480.95pt;height:1pt" o:hralign="center" o:hrstd="t" o:hrnoshade="t" o:hr="t" fillcolor="black [3213]" stroked="f"/>
        </w:pict>
      </w:r>
    </w:p>
    <w:p w:rsidR="00782AE4" w:rsidRDefault="00782AE4" w:rsidP="00782AE4">
      <w:pPr>
        <w:rPr>
          <w:sz w:val="20"/>
          <w:szCs w:val="20"/>
          <w:lang w:val="fr-CA"/>
        </w:rPr>
      </w:pPr>
    </w:p>
    <w:p w:rsidR="00D72F1A" w:rsidRDefault="00D72F1A" w:rsidP="00D72F1A">
      <w:pPr>
        <w:jc w:val="both"/>
        <w:rPr>
          <w:rFonts w:cs="Times New Roman"/>
          <w:sz w:val="20"/>
          <w:szCs w:val="20"/>
        </w:rPr>
      </w:pPr>
      <w:r w:rsidRPr="006F1DFA">
        <w:rPr>
          <w:rFonts w:cs="Times New Roman"/>
          <w:sz w:val="20"/>
          <w:szCs w:val="20"/>
        </w:rPr>
        <w:t>Present:  </w:t>
      </w:r>
      <w:proofErr w:type="spellStart"/>
      <w:r w:rsidRPr="006F1DFA">
        <w:rPr>
          <w:rFonts w:cs="Times New Roman"/>
          <w:sz w:val="20"/>
          <w:szCs w:val="20"/>
        </w:rPr>
        <w:t>McLachlin</w:t>
      </w:r>
      <w:proofErr w:type="spellEnd"/>
      <w:r w:rsidRPr="006F1DFA">
        <w:rPr>
          <w:rFonts w:cs="Times New Roman"/>
          <w:sz w:val="20"/>
          <w:szCs w:val="20"/>
        </w:rPr>
        <w:t xml:space="preserve"> C.J. and </w:t>
      </w:r>
      <w:proofErr w:type="spellStart"/>
      <w:r w:rsidRPr="006F1DFA">
        <w:rPr>
          <w:rFonts w:cs="Times New Roman"/>
          <w:sz w:val="20"/>
          <w:szCs w:val="20"/>
        </w:rPr>
        <w:t>Binnie</w:t>
      </w:r>
      <w:proofErr w:type="spellEnd"/>
      <w:r w:rsidRPr="006F1DFA">
        <w:rPr>
          <w:rFonts w:cs="Times New Roman"/>
          <w:sz w:val="20"/>
          <w:szCs w:val="20"/>
        </w:rPr>
        <w:t xml:space="preserve">, </w:t>
      </w:r>
      <w:proofErr w:type="spellStart"/>
      <w:r w:rsidRPr="006F1DFA">
        <w:rPr>
          <w:rFonts w:cs="Times New Roman"/>
          <w:sz w:val="20"/>
          <w:szCs w:val="20"/>
        </w:rPr>
        <w:t>LeBel</w:t>
      </w:r>
      <w:proofErr w:type="spellEnd"/>
      <w:r w:rsidRPr="006F1DFA">
        <w:rPr>
          <w:rFonts w:cs="Times New Roman"/>
          <w:sz w:val="20"/>
          <w:szCs w:val="20"/>
        </w:rPr>
        <w:t xml:space="preserve">, </w:t>
      </w:r>
      <w:proofErr w:type="spellStart"/>
      <w:r w:rsidRPr="006F1DFA">
        <w:rPr>
          <w:rFonts w:cs="Times New Roman"/>
          <w:sz w:val="20"/>
          <w:szCs w:val="20"/>
        </w:rPr>
        <w:t>Deschamps</w:t>
      </w:r>
      <w:proofErr w:type="spellEnd"/>
      <w:r w:rsidRPr="006F1DFA">
        <w:rPr>
          <w:rFonts w:cs="Times New Roman"/>
          <w:sz w:val="20"/>
          <w:szCs w:val="20"/>
        </w:rPr>
        <w:t xml:space="preserve">, Fish, </w:t>
      </w:r>
      <w:proofErr w:type="spellStart"/>
      <w:r w:rsidRPr="006F1DFA">
        <w:rPr>
          <w:rFonts w:cs="Times New Roman"/>
          <w:sz w:val="20"/>
          <w:szCs w:val="20"/>
        </w:rPr>
        <w:t>Abella</w:t>
      </w:r>
      <w:proofErr w:type="spellEnd"/>
      <w:r w:rsidRPr="006F1DFA">
        <w:rPr>
          <w:rFonts w:cs="Times New Roman"/>
          <w:sz w:val="20"/>
          <w:szCs w:val="20"/>
        </w:rPr>
        <w:t xml:space="preserve">, </w:t>
      </w:r>
      <w:proofErr w:type="spellStart"/>
      <w:r w:rsidRPr="006F1DFA">
        <w:rPr>
          <w:rFonts w:cs="Times New Roman"/>
          <w:sz w:val="20"/>
          <w:szCs w:val="20"/>
        </w:rPr>
        <w:t>Charron</w:t>
      </w:r>
      <w:proofErr w:type="spellEnd"/>
      <w:r w:rsidRPr="006F1DFA">
        <w:rPr>
          <w:rFonts w:cs="Times New Roman"/>
          <w:sz w:val="20"/>
          <w:szCs w:val="20"/>
        </w:rPr>
        <w:t>, Rothstein and Cromwell JJ.</w:t>
      </w:r>
    </w:p>
    <w:p w:rsidR="00D72F1A" w:rsidRDefault="00D72F1A" w:rsidP="00D72F1A">
      <w:pPr>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i/>
          <w:iCs/>
          <w:sz w:val="20"/>
          <w:szCs w:val="20"/>
        </w:rPr>
      </w:pPr>
      <w:r w:rsidRPr="00404E7F">
        <w:rPr>
          <w:rFonts w:cs="Times New Roman"/>
          <w:sz w:val="20"/>
          <w:szCs w:val="20"/>
        </w:rPr>
        <w:tab/>
      </w:r>
      <w:r w:rsidRPr="00404E7F">
        <w:rPr>
          <w:rFonts w:cs="Times New Roman"/>
          <w:i/>
          <w:iCs/>
          <w:sz w:val="20"/>
          <w:szCs w:val="20"/>
        </w:rPr>
        <w:t>Constitutional law — Aboriginal peoples — Aboriginal rights — Land claims — Duty of Crown to consult and accommodate</w:t>
      </w:r>
      <w:r w:rsidRPr="00404E7F">
        <w:rPr>
          <w:rFonts w:cs="Times New Roman"/>
          <w:i/>
          <w:sz w:val="20"/>
          <w:szCs w:val="20"/>
        </w:rPr>
        <w:t xml:space="preserve"> in the context of a modern comprehensive land claims treaty </w:t>
      </w:r>
      <w:r w:rsidRPr="00404E7F">
        <w:rPr>
          <w:rFonts w:cs="Times New Roman"/>
          <w:i/>
          <w:iCs/>
          <w:sz w:val="20"/>
          <w:szCs w:val="20"/>
        </w:rPr>
        <w:t xml:space="preserve">— Treaty provides Aboriginal right of access for hunting and fishing for subsistence in their traditional territory — </w:t>
      </w:r>
      <w:r w:rsidRPr="00404E7F">
        <w:rPr>
          <w:rFonts w:cs="Times New Roman"/>
          <w:i/>
          <w:sz w:val="20"/>
          <w:szCs w:val="20"/>
        </w:rPr>
        <w:t xml:space="preserve">Application by </w:t>
      </w:r>
      <w:proofErr w:type="spellStart"/>
      <w:r w:rsidRPr="00404E7F">
        <w:rPr>
          <w:rFonts w:cs="Times New Roman"/>
          <w:i/>
          <w:sz w:val="20"/>
          <w:szCs w:val="20"/>
        </w:rPr>
        <w:t>non</w:t>
      </w:r>
      <w:r w:rsidRPr="00404E7F">
        <w:rPr>
          <w:rFonts w:cs="Times New Roman"/>
          <w:i/>
          <w:sz w:val="20"/>
          <w:szCs w:val="20"/>
        </w:rPr>
        <w:noBreakHyphen/>
        <w:t>Aboriginal</w:t>
      </w:r>
      <w:proofErr w:type="spellEnd"/>
      <w:r w:rsidRPr="00404E7F">
        <w:rPr>
          <w:rFonts w:cs="Times New Roman"/>
          <w:i/>
          <w:sz w:val="20"/>
          <w:szCs w:val="20"/>
        </w:rPr>
        <w:t xml:space="preserve"> for an agricultural land grant within territory approved by Crown </w:t>
      </w:r>
      <w:r w:rsidRPr="00404E7F">
        <w:rPr>
          <w:rFonts w:cs="Times New Roman"/>
          <w:i/>
          <w:iCs/>
          <w:sz w:val="20"/>
          <w:szCs w:val="20"/>
        </w:rPr>
        <w:t xml:space="preserve">— </w:t>
      </w:r>
      <w:r w:rsidRPr="00404E7F">
        <w:rPr>
          <w:rFonts w:cs="Times New Roman"/>
          <w:i/>
          <w:sz w:val="20"/>
          <w:szCs w:val="20"/>
        </w:rPr>
        <w:t xml:space="preserve">Whether Crown had duty to consult and accommodate Aboriginal peoples </w:t>
      </w:r>
      <w:r w:rsidRPr="00404E7F">
        <w:rPr>
          <w:rFonts w:cs="Times New Roman"/>
          <w:sz w:val="20"/>
          <w:szCs w:val="20"/>
        </w:rPr>
        <w:t>—</w:t>
      </w:r>
      <w:r w:rsidRPr="00404E7F">
        <w:rPr>
          <w:rFonts w:cs="Times New Roman"/>
          <w:i/>
          <w:sz w:val="20"/>
          <w:szCs w:val="20"/>
        </w:rPr>
        <w:t xml:space="preserve"> </w:t>
      </w:r>
      <w:r w:rsidRPr="00404E7F">
        <w:rPr>
          <w:rFonts w:cs="Times New Roman"/>
          <w:i/>
          <w:iCs/>
          <w:sz w:val="20"/>
          <w:szCs w:val="20"/>
        </w:rPr>
        <w:t>If so, whether Crown discharged its duty — Constitution Act, 1982, s. 35.</w:t>
      </w:r>
    </w:p>
    <w:p w:rsidR="00D0671F" w:rsidRPr="00404E7F" w:rsidRDefault="00D0671F" w:rsidP="00D0671F">
      <w:pPr>
        <w:pStyle w:val="ListParagraph"/>
        <w:tabs>
          <w:tab w:val="left" w:pos="720"/>
        </w:tabs>
        <w:spacing w:after="480"/>
        <w:ind w:left="0"/>
        <w:jc w:val="both"/>
        <w:rPr>
          <w:rFonts w:cs="Times New Roman"/>
          <w:i/>
          <w:iCs/>
          <w:sz w:val="20"/>
          <w:szCs w:val="20"/>
        </w:rPr>
      </w:pPr>
    </w:p>
    <w:p w:rsidR="00D0671F" w:rsidRPr="00404E7F" w:rsidRDefault="00D0671F" w:rsidP="00D0671F">
      <w:pPr>
        <w:pStyle w:val="ListParagraph"/>
        <w:tabs>
          <w:tab w:val="left" w:pos="720"/>
        </w:tabs>
        <w:spacing w:after="480"/>
        <w:ind w:left="0"/>
        <w:jc w:val="both"/>
        <w:rPr>
          <w:rFonts w:cs="Times New Roman"/>
          <w:i/>
          <w:iCs/>
          <w:sz w:val="20"/>
          <w:szCs w:val="20"/>
        </w:rPr>
      </w:pPr>
      <w:r w:rsidRPr="00404E7F">
        <w:rPr>
          <w:rFonts w:cs="Times New Roman"/>
          <w:i/>
          <w:iCs/>
          <w:sz w:val="20"/>
          <w:szCs w:val="20"/>
        </w:rPr>
        <w:tab/>
        <w:t>Crown law — Honour of the Crown — Duty to consult and accommodate Aboriginal peoples — Whether Crown has duty to consult and accommodate prior to making decisions that might adversely affect Aboriginal rights and title claims.</w:t>
      </w:r>
    </w:p>
    <w:p w:rsidR="00D0671F" w:rsidRPr="00404E7F" w:rsidRDefault="00D0671F" w:rsidP="00D0671F">
      <w:pPr>
        <w:pStyle w:val="ListParagraph"/>
        <w:tabs>
          <w:tab w:val="left" w:pos="720"/>
        </w:tabs>
        <w:spacing w:after="480"/>
        <w:ind w:left="0"/>
        <w:jc w:val="both"/>
        <w:rPr>
          <w:rFonts w:cs="Times New Roman"/>
          <w:i/>
          <w:iCs/>
          <w:sz w:val="20"/>
          <w:szCs w:val="20"/>
        </w:rPr>
      </w:pPr>
    </w:p>
    <w:p w:rsidR="00D0671F" w:rsidRPr="00404E7F" w:rsidRDefault="00D0671F" w:rsidP="00D0671F">
      <w:pPr>
        <w:pStyle w:val="ListParagraph"/>
        <w:tabs>
          <w:tab w:val="left" w:pos="720"/>
        </w:tabs>
        <w:ind w:left="0"/>
        <w:jc w:val="both"/>
        <w:rPr>
          <w:rFonts w:cs="Times New Roman"/>
          <w:i/>
          <w:iCs/>
          <w:sz w:val="20"/>
          <w:szCs w:val="20"/>
        </w:rPr>
      </w:pPr>
      <w:r w:rsidRPr="00404E7F">
        <w:rPr>
          <w:rFonts w:cs="Times New Roman"/>
          <w:i/>
          <w:iCs/>
          <w:sz w:val="20"/>
          <w:szCs w:val="20"/>
        </w:rPr>
        <w:tab/>
        <w:t xml:space="preserve">Administrative law — Judicial review — Standard of review — Whether </w:t>
      </w:r>
      <w:proofErr w:type="spellStart"/>
      <w:r w:rsidRPr="00404E7F">
        <w:rPr>
          <w:rFonts w:cs="Times New Roman"/>
          <w:i/>
          <w:iCs/>
          <w:sz w:val="20"/>
          <w:szCs w:val="20"/>
        </w:rPr>
        <w:t>decision</w:t>
      </w:r>
      <w:r w:rsidRPr="00404E7F">
        <w:rPr>
          <w:rFonts w:cs="Times New Roman"/>
          <w:i/>
          <w:iCs/>
          <w:sz w:val="20"/>
          <w:szCs w:val="20"/>
        </w:rPr>
        <w:noBreakHyphen/>
        <w:t>maker</w:t>
      </w:r>
      <w:proofErr w:type="spellEnd"/>
      <w:r w:rsidRPr="00404E7F">
        <w:rPr>
          <w:rFonts w:cs="Times New Roman"/>
          <w:i/>
          <w:iCs/>
          <w:sz w:val="20"/>
          <w:szCs w:val="20"/>
        </w:rPr>
        <w:t xml:space="preserve"> had duty to consult and accommodate </w:t>
      </w:r>
      <w:r w:rsidRPr="00404E7F">
        <w:rPr>
          <w:rFonts w:cs="Times New Roman"/>
          <w:sz w:val="20"/>
          <w:szCs w:val="20"/>
        </w:rPr>
        <w:t>—</w:t>
      </w:r>
      <w:r w:rsidRPr="00404E7F">
        <w:rPr>
          <w:rFonts w:cs="Times New Roman"/>
          <w:i/>
          <w:sz w:val="20"/>
          <w:szCs w:val="20"/>
        </w:rPr>
        <w:t xml:space="preserve"> </w:t>
      </w:r>
      <w:r w:rsidRPr="00404E7F">
        <w:rPr>
          <w:rFonts w:cs="Times New Roman"/>
          <w:i/>
          <w:iCs/>
          <w:sz w:val="20"/>
          <w:szCs w:val="20"/>
        </w:rPr>
        <w:t xml:space="preserve">If so, whether </w:t>
      </w:r>
      <w:proofErr w:type="spellStart"/>
      <w:r w:rsidRPr="00404E7F">
        <w:rPr>
          <w:rFonts w:cs="Times New Roman"/>
          <w:i/>
          <w:iCs/>
          <w:sz w:val="20"/>
          <w:szCs w:val="20"/>
        </w:rPr>
        <w:t>decision</w:t>
      </w:r>
      <w:r w:rsidRPr="00404E7F">
        <w:rPr>
          <w:rFonts w:cs="Times New Roman"/>
          <w:i/>
          <w:iCs/>
          <w:sz w:val="20"/>
          <w:szCs w:val="20"/>
        </w:rPr>
        <w:noBreakHyphen/>
        <w:t>maker</w:t>
      </w:r>
      <w:proofErr w:type="spellEnd"/>
      <w:r w:rsidRPr="00404E7F">
        <w:rPr>
          <w:rFonts w:cs="Times New Roman"/>
          <w:i/>
          <w:iCs/>
          <w:sz w:val="20"/>
          <w:szCs w:val="20"/>
        </w:rPr>
        <w:t xml:space="preserve"> discharged this duty — Lands Act, R.S.Y. 2002, c. 132; Territorial Lands (Yukon) Act, S.Y. 2003, c. 17.</w:t>
      </w:r>
    </w:p>
    <w:p w:rsidR="00D0671F" w:rsidRPr="00404E7F" w:rsidRDefault="00D0671F" w:rsidP="00D0671F">
      <w:pPr>
        <w:pStyle w:val="ListParagraph"/>
        <w:tabs>
          <w:tab w:val="left" w:pos="720"/>
        </w:tabs>
        <w:ind w:left="0"/>
        <w:jc w:val="both"/>
        <w:rPr>
          <w:rFonts w:cs="Times New Roman"/>
          <w:i/>
          <w:sz w:val="20"/>
          <w:szCs w:val="20"/>
        </w:rPr>
      </w:pPr>
    </w:p>
    <w:p w:rsidR="00D0671F" w:rsidRPr="00404E7F" w:rsidRDefault="00D0671F" w:rsidP="00D0671F">
      <w:pPr>
        <w:pStyle w:val="SCCNormalDoubleSpacing"/>
        <w:spacing w:line="240" w:lineRule="auto"/>
        <w:rPr>
          <w:sz w:val="20"/>
        </w:rPr>
      </w:pPr>
      <w:r w:rsidRPr="00404E7F">
        <w:rPr>
          <w:sz w:val="20"/>
        </w:rPr>
        <w:tab/>
        <w:t>Little Salmon/</w:t>
      </w:r>
      <w:proofErr w:type="spellStart"/>
      <w:r w:rsidRPr="00404E7F">
        <w:rPr>
          <w:sz w:val="20"/>
        </w:rPr>
        <w:t>Carmacks</w:t>
      </w:r>
      <w:proofErr w:type="spellEnd"/>
      <w:r w:rsidRPr="00404E7F">
        <w:rPr>
          <w:sz w:val="20"/>
        </w:rPr>
        <w:t xml:space="preserve"> entered into a land claims agreement with the governments of Canada and the Yukon Territory in 1997, after twenty years of negotiations.  Under the treaty, Little Salmon/</w:t>
      </w:r>
      <w:proofErr w:type="spellStart"/>
      <w:r w:rsidRPr="00404E7F">
        <w:rPr>
          <w:sz w:val="20"/>
        </w:rPr>
        <w:t>Carmacks</w:t>
      </w:r>
      <w:proofErr w:type="spellEnd"/>
      <w:r w:rsidRPr="00404E7F">
        <w:rPr>
          <w:sz w:val="20"/>
        </w:rPr>
        <w:t xml:space="preserve"> members have a right of access for hunting and fishing for subsistence in their traditional territory, which includes a parcel of 65 hectares for which P submitted an application for an agricultural land grant in November 2001.  The land applied for by P is within the </w:t>
      </w:r>
      <w:proofErr w:type="spellStart"/>
      <w:r w:rsidRPr="00404E7F">
        <w:rPr>
          <w:sz w:val="20"/>
        </w:rPr>
        <w:t>trapline</w:t>
      </w:r>
      <w:proofErr w:type="spellEnd"/>
      <w:r w:rsidRPr="00404E7F">
        <w:rPr>
          <w:sz w:val="20"/>
        </w:rPr>
        <w:t xml:space="preserve"> of S, who is a member of Little Salmon/</w:t>
      </w:r>
      <w:proofErr w:type="spellStart"/>
      <w:r w:rsidRPr="00404E7F">
        <w:rPr>
          <w:sz w:val="20"/>
        </w:rPr>
        <w:t>Carmacks</w:t>
      </w:r>
      <w:proofErr w:type="spellEnd"/>
      <w:r w:rsidRPr="00404E7F">
        <w:rPr>
          <w:sz w:val="20"/>
        </w:rPr>
        <w:t xml:space="preserve">. </w:t>
      </w:r>
    </w:p>
    <w:p w:rsidR="00D0671F" w:rsidRPr="00404E7F" w:rsidRDefault="00D0671F" w:rsidP="00D0671F">
      <w:pPr>
        <w:pStyle w:val="SCCNormalDoubleSpacing"/>
        <w:spacing w:line="240" w:lineRule="auto"/>
        <w:rPr>
          <w:sz w:val="20"/>
        </w:rPr>
      </w:pPr>
    </w:p>
    <w:p w:rsidR="00D0671F" w:rsidRPr="00404E7F" w:rsidRDefault="00D0671F" w:rsidP="00D0671F">
      <w:pPr>
        <w:pStyle w:val="SCCNormalDoubleSpacing"/>
        <w:spacing w:line="240" w:lineRule="auto"/>
        <w:rPr>
          <w:sz w:val="20"/>
        </w:rPr>
      </w:pPr>
      <w:r w:rsidRPr="00404E7F">
        <w:rPr>
          <w:sz w:val="20"/>
        </w:rPr>
        <w:tab/>
        <w:t>Little Salmon/</w:t>
      </w:r>
      <w:proofErr w:type="spellStart"/>
      <w:r w:rsidRPr="00404E7F">
        <w:rPr>
          <w:sz w:val="20"/>
        </w:rPr>
        <w:t>Carmacks</w:t>
      </w:r>
      <w:proofErr w:type="spellEnd"/>
      <w:r w:rsidRPr="00404E7F">
        <w:rPr>
          <w:sz w:val="20"/>
        </w:rPr>
        <w:t xml:space="preserve"> disclaim any allegation that a grant to P would violate the treaty, which itself contemplates that surrendered land may be taken up from time to time for other purposes, including agriculture.  Nevertheless, until such taking up occurs, the members of Little Salmon/</w:t>
      </w:r>
      <w:proofErr w:type="spellStart"/>
      <w:r w:rsidRPr="00404E7F">
        <w:rPr>
          <w:sz w:val="20"/>
        </w:rPr>
        <w:t>Carmacks</w:t>
      </w:r>
      <w:proofErr w:type="spellEnd"/>
      <w:r w:rsidRPr="00404E7F">
        <w:rPr>
          <w:sz w:val="20"/>
        </w:rPr>
        <w:t xml:space="preserve"> attach importance to their ongoing treaty interest in surrendered Crown lands (of which the 65 acres forms a small part).  Little Salmon/</w:t>
      </w:r>
      <w:proofErr w:type="spellStart"/>
      <w:r w:rsidRPr="00404E7F">
        <w:rPr>
          <w:sz w:val="20"/>
        </w:rPr>
        <w:t>Carmacks</w:t>
      </w:r>
      <w:proofErr w:type="spellEnd"/>
      <w:r w:rsidRPr="00404E7F">
        <w:rPr>
          <w:sz w:val="20"/>
        </w:rPr>
        <w:t xml:space="preserve"> contend that in considering the grant to P the territorial government proceeded without proper consultation and without proper regard to relevant First Nation’s concerns.</w:t>
      </w:r>
    </w:p>
    <w:p w:rsidR="00D0671F" w:rsidRPr="00404E7F" w:rsidRDefault="00D0671F" w:rsidP="00D0671F">
      <w:pPr>
        <w:pStyle w:val="SCCNormalDoubleSpacing"/>
        <w:spacing w:line="240" w:lineRule="auto"/>
        <w:rPr>
          <w:sz w:val="20"/>
        </w:rPr>
      </w:pPr>
    </w:p>
    <w:p w:rsidR="00D0671F" w:rsidRPr="00404E7F" w:rsidRDefault="00D0671F" w:rsidP="00D0671F">
      <w:pPr>
        <w:pStyle w:val="SCCNormalDoubleSpacing"/>
        <w:spacing w:line="240" w:lineRule="auto"/>
        <w:rPr>
          <w:sz w:val="20"/>
        </w:rPr>
      </w:pPr>
      <w:r w:rsidRPr="00404E7F">
        <w:rPr>
          <w:sz w:val="20"/>
        </w:rPr>
        <w:tab/>
        <w:t>The Yukon government’s Land Application Review Committee (“LARC”) considered P’s application at a meeting to which it invited Little Salmon/</w:t>
      </w:r>
      <w:proofErr w:type="spellStart"/>
      <w:r w:rsidRPr="00404E7F">
        <w:rPr>
          <w:sz w:val="20"/>
        </w:rPr>
        <w:t>Carmacks</w:t>
      </w:r>
      <w:proofErr w:type="spellEnd"/>
      <w:r w:rsidRPr="00404E7F">
        <w:rPr>
          <w:sz w:val="20"/>
        </w:rPr>
        <w:t>.  The latter submitted a letter of opposition to P’s application prior to the meeting, but did not attend.  At the meeting, LARC recommended approval of the application and, in October 2004, the Director, Agriculture Branch, Yukon Department of Energy, Mines and Resources, approved it.  Little Salmon/</w:t>
      </w:r>
      <w:proofErr w:type="spellStart"/>
      <w:r w:rsidRPr="00404E7F">
        <w:rPr>
          <w:sz w:val="20"/>
        </w:rPr>
        <w:t>Carmacks</w:t>
      </w:r>
      <w:proofErr w:type="spellEnd"/>
      <w:r w:rsidRPr="00404E7F">
        <w:rPr>
          <w:sz w:val="20"/>
        </w:rPr>
        <w:t xml:space="preserve"> appealed the decision to the Assistant Deputy Minister, who rejected its review request.  On judicial review, however, the Director’s decision was quashed and set aside.  The chambers judge held that the Yukon failed to comply with the duty to consult and accommodate.  The Court of Appeal allowed the Yukon’s appeal.</w:t>
      </w:r>
    </w:p>
    <w:p w:rsidR="00D0671F" w:rsidRPr="00404E7F" w:rsidRDefault="00D0671F" w:rsidP="00D0671F">
      <w:pPr>
        <w:pStyle w:val="SCCNormalDoubleSpacing"/>
        <w:spacing w:line="240" w:lineRule="auto"/>
        <w:rPr>
          <w:sz w:val="20"/>
        </w:rPr>
      </w:pPr>
    </w:p>
    <w:p w:rsidR="00D0671F" w:rsidRPr="00404E7F" w:rsidRDefault="00D0671F" w:rsidP="00D0671F">
      <w:pPr>
        <w:pStyle w:val="SCCNormalDoubleSpacing"/>
        <w:spacing w:line="240" w:lineRule="auto"/>
        <w:rPr>
          <w:sz w:val="20"/>
        </w:rPr>
      </w:pPr>
      <w:r w:rsidRPr="00404E7F">
        <w:rPr>
          <w:sz w:val="20"/>
        </w:rPr>
        <w:tab/>
      </w:r>
      <w:r w:rsidRPr="00404E7F">
        <w:rPr>
          <w:i/>
          <w:iCs/>
          <w:sz w:val="20"/>
        </w:rPr>
        <w:t>Held</w:t>
      </w:r>
      <w:r w:rsidRPr="00404E7F">
        <w:rPr>
          <w:iCs/>
          <w:sz w:val="20"/>
        </w:rPr>
        <w:t>:</w:t>
      </w:r>
      <w:r w:rsidRPr="00404E7F">
        <w:rPr>
          <w:sz w:val="20"/>
        </w:rPr>
        <w:t xml:space="preserve">  The appeal and </w:t>
      </w:r>
      <w:proofErr w:type="spellStart"/>
      <w:r w:rsidRPr="00404E7F">
        <w:rPr>
          <w:sz w:val="20"/>
        </w:rPr>
        <w:t>cross</w:t>
      </w:r>
      <w:r w:rsidRPr="00404E7F">
        <w:rPr>
          <w:sz w:val="20"/>
        </w:rPr>
        <w:noBreakHyphen/>
        <w:t>appeal</w:t>
      </w:r>
      <w:proofErr w:type="spellEnd"/>
      <w:r w:rsidRPr="00404E7F">
        <w:rPr>
          <w:i/>
          <w:sz w:val="20"/>
        </w:rPr>
        <w:t xml:space="preserve"> </w:t>
      </w:r>
      <w:r w:rsidRPr="00404E7F">
        <w:rPr>
          <w:sz w:val="20"/>
        </w:rPr>
        <w:t xml:space="preserve">should be dismissed. </w:t>
      </w:r>
    </w:p>
    <w:p w:rsidR="00D0671F" w:rsidRPr="00404E7F" w:rsidRDefault="00D0671F" w:rsidP="00D0671F">
      <w:pPr>
        <w:pStyle w:val="SCCNormalDoubleSpacing"/>
        <w:spacing w:line="240" w:lineRule="auto"/>
        <w:rPr>
          <w:sz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r>
      <w:r w:rsidRPr="00404E7F">
        <w:rPr>
          <w:rFonts w:cs="Times New Roman"/>
          <w:i/>
          <w:iCs/>
          <w:sz w:val="20"/>
          <w:szCs w:val="20"/>
        </w:rPr>
        <w:t>Per</w:t>
      </w:r>
      <w:r w:rsidRPr="00404E7F">
        <w:rPr>
          <w:rFonts w:cs="Times New Roman"/>
          <w:sz w:val="20"/>
          <w:szCs w:val="20"/>
        </w:rPr>
        <w:t xml:space="preserve"> </w:t>
      </w:r>
      <w:proofErr w:type="spellStart"/>
      <w:r w:rsidRPr="00404E7F">
        <w:rPr>
          <w:rFonts w:cs="Times New Roman"/>
          <w:bCs/>
          <w:sz w:val="20"/>
          <w:szCs w:val="20"/>
        </w:rPr>
        <w:t>McLachlin</w:t>
      </w:r>
      <w:proofErr w:type="spellEnd"/>
      <w:r w:rsidRPr="00404E7F">
        <w:rPr>
          <w:rFonts w:cs="Times New Roman"/>
          <w:sz w:val="20"/>
          <w:szCs w:val="20"/>
        </w:rPr>
        <w:t> C.J. and</w:t>
      </w:r>
      <w:r w:rsidRPr="00404E7F">
        <w:rPr>
          <w:rFonts w:cs="Times New Roman"/>
          <w:i/>
          <w:iCs/>
          <w:sz w:val="20"/>
          <w:szCs w:val="20"/>
        </w:rPr>
        <w:t xml:space="preserve"> </w:t>
      </w:r>
      <w:proofErr w:type="spellStart"/>
      <w:r w:rsidRPr="00404E7F">
        <w:rPr>
          <w:rFonts w:cs="Times New Roman"/>
          <w:b/>
          <w:bCs/>
          <w:sz w:val="20"/>
          <w:szCs w:val="20"/>
        </w:rPr>
        <w:t>Binnie</w:t>
      </w:r>
      <w:proofErr w:type="spellEnd"/>
      <w:r w:rsidRPr="00404E7F">
        <w:rPr>
          <w:rFonts w:cs="Times New Roman"/>
          <w:sz w:val="20"/>
          <w:szCs w:val="20"/>
        </w:rPr>
        <w:t xml:space="preserve">, Fish, </w:t>
      </w:r>
      <w:proofErr w:type="spellStart"/>
      <w:r w:rsidRPr="00404E7F">
        <w:rPr>
          <w:rFonts w:cs="Times New Roman"/>
          <w:sz w:val="20"/>
          <w:szCs w:val="20"/>
        </w:rPr>
        <w:t>Abella</w:t>
      </w:r>
      <w:proofErr w:type="spellEnd"/>
      <w:r w:rsidRPr="00404E7F">
        <w:rPr>
          <w:rFonts w:cs="Times New Roman"/>
          <w:sz w:val="20"/>
          <w:szCs w:val="20"/>
        </w:rPr>
        <w:t xml:space="preserve">, </w:t>
      </w:r>
      <w:proofErr w:type="spellStart"/>
      <w:r w:rsidRPr="00404E7F">
        <w:rPr>
          <w:rFonts w:cs="Times New Roman"/>
          <w:sz w:val="20"/>
          <w:szCs w:val="20"/>
        </w:rPr>
        <w:t>Charron</w:t>
      </w:r>
      <w:proofErr w:type="spellEnd"/>
      <w:r w:rsidRPr="00404E7F">
        <w:rPr>
          <w:rFonts w:cs="Times New Roman"/>
          <w:sz w:val="20"/>
          <w:szCs w:val="20"/>
        </w:rPr>
        <w:t xml:space="preserve">, Rothstein and Cromwell JJ.:  When a modern land claim treaty has been concluded, the first step is to look at its provisions and try to determine the parties’ respective obligations, and whether there is some form of consultation provided for in the treaty itself.  While consultation may be shaped by agreement of the parties, the Crown cannot contract out of its duty of honourable dealing with Aboriginal </w:t>
      </w:r>
      <w:r w:rsidRPr="00404E7F">
        <w:rPr>
          <w:rFonts w:cs="Times New Roman"/>
          <w:sz w:val="20"/>
          <w:szCs w:val="20"/>
        </w:rPr>
        <w:lastRenderedPageBreak/>
        <w:t xml:space="preserve">people </w:t>
      </w:r>
      <w:r w:rsidRPr="00404E7F">
        <w:rPr>
          <w:rFonts w:cs="Times New Roman"/>
          <w:iCs/>
          <w:sz w:val="20"/>
          <w:szCs w:val="20"/>
        </w:rPr>
        <w:t>—</w:t>
      </w:r>
      <w:r w:rsidRPr="00404E7F">
        <w:rPr>
          <w:rFonts w:cs="Times New Roman"/>
          <w:sz w:val="20"/>
          <w:szCs w:val="20"/>
        </w:rPr>
        <w:t xml:space="preserve"> it is a doctrine that applies independently of the intention of the parties as expressed or implied in the treaty itself.</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In this case, a continuing duty to consult existed.  Members of Little Salmon/</w:t>
      </w:r>
      <w:proofErr w:type="spellStart"/>
      <w:r w:rsidRPr="00404E7F">
        <w:rPr>
          <w:rFonts w:cs="Times New Roman"/>
          <w:sz w:val="20"/>
          <w:szCs w:val="20"/>
        </w:rPr>
        <w:t>Carmacks</w:t>
      </w:r>
      <w:proofErr w:type="spellEnd"/>
      <w:r w:rsidRPr="00404E7F">
        <w:rPr>
          <w:rFonts w:cs="Times New Roman"/>
          <w:sz w:val="20"/>
          <w:szCs w:val="20"/>
        </w:rPr>
        <w:t xml:space="preserve"> possessed an express treaty right to hunt and fish for subsistence on their traditional lands, now surrendered and classified as Crown lands.  While the Treaty did not prevent the government from making land grants out of the Crown’s holdings, and indeed it contemplated such an eventuality, it was obvious that such grants might adversely affect the traditional economic and cultural activities of Little Salmon/</w:t>
      </w:r>
      <w:proofErr w:type="spellStart"/>
      <w:r w:rsidRPr="00404E7F">
        <w:rPr>
          <w:rFonts w:cs="Times New Roman"/>
          <w:sz w:val="20"/>
          <w:szCs w:val="20"/>
        </w:rPr>
        <w:t>Carmacks</w:t>
      </w:r>
      <w:proofErr w:type="spellEnd"/>
      <w:r w:rsidRPr="00404E7F">
        <w:rPr>
          <w:rFonts w:cs="Times New Roman"/>
          <w:sz w:val="20"/>
          <w:szCs w:val="20"/>
        </w:rPr>
        <w:t>, and the Yukon was required to consult with Little Salmon/</w:t>
      </w:r>
      <w:proofErr w:type="spellStart"/>
      <w:r w:rsidRPr="00404E7F">
        <w:rPr>
          <w:rFonts w:cs="Times New Roman"/>
          <w:sz w:val="20"/>
          <w:szCs w:val="20"/>
        </w:rPr>
        <w:t>Carmacks</w:t>
      </w:r>
      <w:proofErr w:type="spellEnd"/>
      <w:r w:rsidRPr="00404E7F">
        <w:rPr>
          <w:rFonts w:cs="Times New Roman"/>
          <w:sz w:val="20"/>
          <w:szCs w:val="20"/>
        </w:rPr>
        <w:t xml:space="preserve"> to determine the nature and extent of such adverse effects. </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The treaty itself set out the elements the parties regarded as an appropriate level of consultation (where the treaty requires consultation) including proper notice of a matter to be decided in sufficient form and detail to allow that party to prepare its view on the matter; a reasonable period of time in which the party to be consulted may prepare its views on the matter, and an opportunity to present such views to the party obliged to consult; and full and fair consideration by the party obliged to consult of any views presented.</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The actual treaty provisions themselves did not govern the process for agricultural grants at the time.  However, given the existence of the treaty surrender and the legislation in place to implement it, and the decision of the parties not to incorporate a more elaborate consultation process in the Treaty itself, the scope of the duty of consultation in this situation was at the lower end of the spectrum.</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Accordingly, the Director was required, as a matter of compliance with the legal duty to consult based on the honour of the Crown,</w:t>
      </w:r>
      <w:r w:rsidRPr="00404E7F">
        <w:rPr>
          <w:rFonts w:cs="Times New Roman"/>
          <w:i/>
          <w:sz w:val="20"/>
          <w:szCs w:val="20"/>
        </w:rPr>
        <w:t xml:space="preserve"> </w:t>
      </w:r>
      <w:r w:rsidRPr="00404E7F">
        <w:rPr>
          <w:rFonts w:cs="Times New Roman"/>
          <w:sz w:val="20"/>
          <w:szCs w:val="20"/>
        </w:rPr>
        <w:t>to be informed about and consider the nature and severity of  any adverse impact of the proposed grant before he made a decision to determine (amongst other things) whether accommodation was necessary or appropriate.  The purpose of consultation was not to re</w:t>
      </w:r>
      <w:r w:rsidRPr="00404E7F">
        <w:rPr>
          <w:rFonts w:cs="Times New Roman"/>
          <w:sz w:val="20"/>
          <w:szCs w:val="20"/>
        </w:rPr>
        <w:noBreakHyphen/>
        <w:t>open the Treaty or to re</w:t>
      </w:r>
      <w:r w:rsidRPr="00404E7F">
        <w:rPr>
          <w:rFonts w:cs="Times New Roman"/>
          <w:sz w:val="20"/>
          <w:szCs w:val="20"/>
        </w:rPr>
        <w:noBreakHyphen/>
        <w:t>negotiate the availability of the lands for an agricultural grant.  Such availability was already established in the Treaty.  Consultation was required to help manage the important ongoing relationship between the government and the Aboriginal community in a way that upheld the honour of the Crown and promoted the objective of reconciliation.</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In this case, the duty of consultation was discharged.  Little Salmon/</w:t>
      </w:r>
      <w:proofErr w:type="spellStart"/>
      <w:r w:rsidRPr="00404E7F">
        <w:rPr>
          <w:rFonts w:cs="Times New Roman"/>
          <w:sz w:val="20"/>
          <w:szCs w:val="20"/>
        </w:rPr>
        <w:t>Carmacks</w:t>
      </w:r>
      <w:proofErr w:type="spellEnd"/>
      <w:r w:rsidRPr="00404E7F">
        <w:rPr>
          <w:rFonts w:cs="Times New Roman"/>
          <w:sz w:val="20"/>
          <w:szCs w:val="20"/>
        </w:rPr>
        <w:t xml:space="preserve"> acknowledges that it received appropriate notice and information.  The Little Salmon/</w:t>
      </w:r>
      <w:proofErr w:type="spellStart"/>
      <w:r w:rsidRPr="00404E7F">
        <w:rPr>
          <w:rFonts w:cs="Times New Roman"/>
          <w:sz w:val="20"/>
          <w:szCs w:val="20"/>
        </w:rPr>
        <w:t>Carmacks</w:t>
      </w:r>
      <w:proofErr w:type="spellEnd"/>
      <w:r w:rsidRPr="00404E7F">
        <w:rPr>
          <w:rFonts w:cs="Times New Roman"/>
          <w:sz w:val="20"/>
          <w:szCs w:val="20"/>
        </w:rPr>
        <w:t xml:space="preserve"> objections were made in writing and they were dealt with at a meeting at which Little Salmon/</w:t>
      </w:r>
      <w:proofErr w:type="spellStart"/>
      <w:r w:rsidRPr="00404E7F">
        <w:rPr>
          <w:rFonts w:cs="Times New Roman"/>
          <w:sz w:val="20"/>
          <w:szCs w:val="20"/>
        </w:rPr>
        <w:t>Carmacks</w:t>
      </w:r>
      <w:proofErr w:type="spellEnd"/>
      <w:r w:rsidRPr="00404E7F">
        <w:rPr>
          <w:rFonts w:cs="Times New Roman"/>
          <w:sz w:val="20"/>
          <w:szCs w:val="20"/>
        </w:rPr>
        <w:t xml:space="preserve"> was entitled to be present (but failed to attend).  Both Little Salmon/</w:t>
      </w:r>
      <w:proofErr w:type="spellStart"/>
      <w:r w:rsidRPr="00404E7F">
        <w:rPr>
          <w:rFonts w:cs="Times New Roman"/>
          <w:sz w:val="20"/>
          <w:szCs w:val="20"/>
        </w:rPr>
        <w:t>Carmacks’s</w:t>
      </w:r>
      <w:proofErr w:type="spellEnd"/>
      <w:r w:rsidRPr="00404E7F">
        <w:rPr>
          <w:rFonts w:cs="Times New Roman"/>
          <w:sz w:val="20"/>
          <w:szCs w:val="20"/>
        </w:rPr>
        <w:t xml:space="preserve"> objections and the response of those who attended the meeting were before the Director when, in the exercise of his delegated authority, he approved P’s application.  Neither the honour of the Crown nor the duty to consult required more.</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ind w:left="0"/>
        <w:jc w:val="both"/>
        <w:rPr>
          <w:rFonts w:cs="Times New Roman"/>
          <w:sz w:val="20"/>
          <w:szCs w:val="20"/>
        </w:rPr>
      </w:pPr>
      <w:r w:rsidRPr="00404E7F">
        <w:rPr>
          <w:rFonts w:cs="Times New Roman"/>
          <w:sz w:val="20"/>
          <w:szCs w:val="20"/>
        </w:rPr>
        <w:tab/>
        <w:t xml:space="preserve">Nor was there any breach of procedural fairness.  While procedural fairness is a flexible concept, and takes into account the Aboriginal dimensions of the decision facing the Director, it is nevertheless a doctrine that applies as a matter of administrative law to regulate relations between the government decision makers and all residents of the Yukon, Aboriginal as well as </w:t>
      </w:r>
      <w:proofErr w:type="spellStart"/>
      <w:r w:rsidRPr="00404E7F">
        <w:rPr>
          <w:rFonts w:cs="Times New Roman"/>
          <w:sz w:val="20"/>
          <w:szCs w:val="20"/>
        </w:rPr>
        <w:t>non</w:t>
      </w:r>
      <w:r w:rsidRPr="00404E7F">
        <w:rPr>
          <w:rFonts w:cs="Times New Roman"/>
          <w:sz w:val="20"/>
          <w:szCs w:val="20"/>
        </w:rPr>
        <w:noBreakHyphen/>
        <w:t>Aboriginal</w:t>
      </w:r>
      <w:proofErr w:type="spellEnd"/>
      <w:r w:rsidRPr="00404E7F">
        <w:rPr>
          <w:rFonts w:cs="Times New Roman"/>
          <w:sz w:val="20"/>
          <w:szCs w:val="20"/>
        </w:rPr>
        <w:t xml:space="preserve">. </w:t>
      </w:r>
    </w:p>
    <w:p w:rsidR="00D0671F" w:rsidRPr="00404E7F" w:rsidRDefault="00D0671F" w:rsidP="00D0671F">
      <w:pPr>
        <w:pStyle w:val="ListParagraph"/>
        <w:tabs>
          <w:tab w:val="left" w:pos="720"/>
        </w:tabs>
        <w:ind w:left="0"/>
        <w:jc w:val="both"/>
        <w:rPr>
          <w:rFonts w:cs="Times New Roman"/>
          <w:sz w:val="20"/>
          <w:szCs w:val="20"/>
        </w:rPr>
      </w:pPr>
    </w:p>
    <w:p w:rsidR="00D0671F" w:rsidRPr="00404E7F" w:rsidRDefault="00D0671F" w:rsidP="00D0671F">
      <w:pPr>
        <w:tabs>
          <w:tab w:val="left" w:pos="720"/>
        </w:tabs>
        <w:jc w:val="both"/>
        <w:rPr>
          <w:rFonts w:cs="Times New Roman"/>
          <w:sz w:val="20"/>
          <w:szCs w:val="20"/>
        </w:rPr>
      </w:pPr>
      <w:r w:rsidRPr="00404E7F">
        <w:rPr>
          <w:rFonts w:cs="Times New Roman"/>
          <w:sz w:val="20"/>
          <w:szCs w:val="20"/>
        </w:rPr>
        <w:tab/>
        <w:t>While the Yukon had a duty to consult, there was no further duty of accommodation on the facts of this case.  Nothing in the treaty itself or in the surrounding circumstances gave rise to such a requirement.</w:t>
      </w:r>
    </w:p>
    <w:p w:rsidR="00D0671F" w:rsidRPr="00404E7F" w:rsidRDefault="00D0671F" w:rsidP="00D0671F">
      <w:pPr>
        <w:tabs>
          <w:tab w:val="left" w:pos="720"/>
        </w:tabs>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In exercising his discretion in this case, as in all others, the Director was required to respect legal and constitutional limits.  The constitutional limits included the honour of the Crown and its supporting doctrine of the duty to consult.  The standard of review in that respect, including the adequacy of the consultation, is correctness.  Within the limits established by the law and the Constitution, however, the Director’s decision should be reviewed on a standard of reasonableness.</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spacing w:after="480"/>
        <w:ind w:left="0"/>
        <w:jc w:val="both"/>
        <w:rPr>
          <w:rFonts w:cs="Times New Roman"/>
          <w:sz w:val="20"/>
          <w:szCs w:val="20"/>
        </w:rPr>
      </w:pPr>
      <w:r w:rsidRPr="00404E7F">
        <w:rPr>
          <w:rFonts w:cs="Times New Roman"/>
          <w:sz w:val="20"/>
          <w:szCs w:val="20"/>
        </w:rPr>
        <w:tab/>
        <w:t>In this case, the Director did not err in law in concluding that the level of consultation that had taken place was adequate.  The advice the Director received from his officials after consultation is that the impact of the grant of 65 hectares would not be significant.  There is no evidence that he failed to give full and fair consideration to the concerns of Little Salmon/</w:t>
      </w:r>
      <w:proofErr w:type="spellStart"/>
      <w:r w:rsidRPr="00404E7F">
        <w:rPr>
          <w:rFonts w:cs="Times New Roman"/>
          <w:sz w:val="20"/>
          <w:szCs w:val="20"/>
        </w:rPr>
        <w:t>Carmacks</w:t>
      </w:r>
      <w:proofErr w:type="spellEnd"/>
      <w:r w:rsidRPr="00404E7F">
        <w:rPr>
          <w:rFonts w:cs="Times New Roman"/>
          <w:sz w:val="20"/>
          <w:szCs w:val="20"/>
        </w:rPr>
        <w:t xml:space="preserve">.  The material filed by the parties on the judicial review application does not demonstrate any palpable error of fact in his conclusion.  Whether or not a court would have reached a different </w:t>
      </w:r>
      <w:r w:rsidRPr="00404E7F">
        <w:rPr>
          <w:rFonts w:cs="Times New Roman"/>
          <w:sz w:val="20"/>
          <w:szCs w:val="20"/>
        </w:rPr>
        <w:lastRenderedPageBreak/>
        <w:t>conclusion is not relevant.  The decision to approve or not to approve the grant was given by the legislature to the Minister who, in the usual way, delegated the authority to the Director.  His disposition was reasonable in the circumstances.</w:t>
      </w:r>
    </w:p>
    <w:p w:rsidR="00D0671F" w:rsidRPr="00404E7F" w:rsidRDefault="00D0671F" w:rsidP="00D0671F">
      <w:pPr>
        <w:pStyle w:val="ListParagraph"/>
        <w:tabs>
          <w:tab w:val="left" w:pos="0"/>
        </w:tabs>
        <w:spacing w:after="480"/>
        <w:ind w:left="0"/>
        <w:jc w:val="both"/>
        <w:rPr>
          <w:rFonts w:cs="Times New Roman"/>
          <w:i/>
          <w:iCs/>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i/>
          <w:iCs/>
          <w:sz w:val="20"/>
          <w:szCs w:val="20"/>
        </w:rPr>
        <w:tab/>
      </w:r>
      <w:r w:rsidRPr="00404E7F">
        <w:rPr>
          <w:rFonts w:cs="Times New Roman"/>
          <w:i/>
          <w:iCs/>
          <w:sz w:val="20"/>
          <w:szCs w:val="20"/>
          <w:lang w:val="en-US"/>
        </w:rPr>
        <w:t xml:space="preserve">Per </w:t>
      </w:r>
      <w:proofErr w:type="spellStart"/>
      <w:r w:rsidRPr="00404E7F">
        <w:rPr>
          <w:rFonts w:cs="Times New Roman"/>
          <w:iCs/>
          <w:sz w:val="20"/>
          <w:szCs w:val="20"/>
          <w:lang w:val="en-US"/>
        </w:rPr>
        <w:t>LeBel</w:t>
      </w:r>
      <w:proofErr w:type="spellEnd"/>
      <w:r w:rsidRPr="00404E7F">
        <w:rPr>
          <w:rFonts w:cs="Times New Roman"/>
          <w:iCs/>
          <w:sz w:val="20"/>
          <w:szCs w:val="20"/>
          <w:lang w:val="en-US"/>
        </w:rPr>
        <w:t xml:space="preserve"> and</w:t>
      </w:r>
      <w:r w:rsidRPr="00404E7F">
        <w:rPr>
          <w:rFonts w:cs="Times New Roman"/>
          <w:i/>
          <w:iCs/>
          <w:sz w:val="20"/>
          <w:szCs w:val="20"/>
          <w:lang w:val="en-US"/>
        </w:rPr>
        <w:t xml:space="preserve"> </w:t>
      </w:r>
      <w:proofErr w:type="spellStart"/>
      <w:r w:rsidRPr="00404E7F">
        <w:rPr>
          <w:rFonts w:cs="Times New Roman"/>
          <w:b/>
          <w:bCs/>
          <w:sz w:val="20"/>
          <w:szCs w:val="20"/>
          <w:lang w:val="en-US"/>
        </w:rPr>
        <w:t>Deschamps</w:t>
      </w:r>
      <w:proofErr w:type="spellEnd"/>
      <w:r w:rsidRPr="00404E7F">
        <w:rPr>
          <w:rFonts w:cs="Times New Roman"/>
          <w:b/>
          <w:sz w:val="20"/>
          <w:szCs w:val="20"/>
          <w:lang w:val="en-US"/>
        </w:rPr>
        <w:t> </w:t>
      </w:r>
      <w:proofErr w:type="gramStart"/>
      <w:r w:rsidRPr="00404E7F">
        <w:rPr>
          <w:rFonts w:cs="Times New Roman"/>
          <w:sz w:val="20"/>
          <w:szCs w:val="20"/>
          <w:lang w:val="en-US"/>
        </w:rPr>
        <w:t>JJ.:</w:t>
      </w:r>
      <w:proofErr w:type="gramEnd"/>
      <w:r w:rsidRPr="00404E7F">
        <w:rPr>
          <w:rFonts w:cs="Times New Roman"/>
          <w:sz w:val="20"/>
          <w:szCs w:val="20"/>
          <w:lang w:val="en-US"/>
        </w:rPr>
        <w:t xml:space="preserve">  </w:t>
      </w:r>
      <w:r w:rsidRPr="00404E7F">
        <w:rPr>
          <w:rFonts w:cs="Times New Roman"/>
          <w:sz w:val="20"/>
          <w:szCs w:val="20"/>
        </w:rPr>
        <w:t>Whereas past cases have concerned unilateral actions by the Crown that triggered a duty to consult for which the terms had not been negotiated, in the case at bar, the parties have moved on to another stage.  Formal consultation processes are now a permanent feature of treaty law, and the Little Salmon/</w:t>
      </w:r>
      <w:proofErr w:type="spellStart"/>
      <w:r w:rsidRPr="00404E7F">
        <w:rPr>
          <w:rFonts w:cs="Times New Roman"/>
          <w:sz w:val="20"/>
          <w:szCs w:val="20"/>
        </w:rPr>
        <w:t>Carmacks</w:t>
      </w:r>
      <w:proofErr w:type="spellEnd"/>
      <w:r w:rsidRPr="00404E7F">
        <w:rPr>
          <w:rFonts w:cs="Times New Roman"/>
          <w:sz w:val="20"/>
          <w:szCs w:val="20"/>
        </w:rPr>
        <w:t xml:space="preserve"> Final Agreement affords just one example of this.  To give full effect to the provisions of a treaty such as the Final Agreement is to renounce a paternalistic approach to relations with Aboriginal peoples.  It is a way to recognize that Aboriginal peoples have full legal capacity.  To disregard the provisions of such a treaty can only encourage litigation, hinder future negotiations and threaten the ultimate objective of reconciliation.</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To allow one party to renege unilaterally on its constitutional undertaking by superimposing further rights and obligations relating to matters already provided for in the treaty could result in a paternalistic legal contempt, compromise the national treaty negotiation process and frustrate the ultimate objective of reconciliation.  This is the danger of what seems to be an unfortunate attempt to take the constitutional principle of the honour of the Crown hostage together with the principle of the duty to consult Aboriginal peoples that flows from it.</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In concluding a treaty, the Crown does not act dishonourably in agreeing with an Aboriginal community on an elaborate framework involving various forms of consultation with respect to the exercise of that community’s rights.  Nor does the Crown act dishonourably if it requires the Aboriginal party to agree that no parallel mechanism relating to a matter covered by the treaty will enable that party to renege on its undertakings.  Legal certainty is the primary objective of all parties to a comprehensive land claim agreement.</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Legal certainty cannot be attained if one of the parties to a treaty can unilaterally renege on its undertakings with respect to a matter provided for in the treaty where there is no provision for its doing so in the treaty.  This does not rule out the possibility of there being matters not covered by a treaty with respect to which the Aboriginal party has not surrendered possible Aboriginal rights.  Nor does legal certainty imply that an equitable review mechanism cannot be provided for in a treaty.</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Thus, it should be obvious that the best way for a court to contribute to ensuring that a treaty fosters a positive long relationship between Aboriginal and </w:t>
      </w:r>
      <w:proofErr w:type="spellStart"/>
      <w:r w:rsidRPr="00404E7F">
        <w:rPr>
          <w:rFonts w:cs="Times New Roman"/>
          <w:sz w:val="20"/>
          <w:szCs w:val="20"/>
        </w:rPr>
        <w:t>non</w:t>
      </w:r>
      <w:r w:rsidRPr="00404E7F">
        <w:rPr>
          <w:rFonts w:cs="Times New Roman"/>
          <w:sz w:val="20"/>
          <w:szCs w:val="20"/>
        </w:rPr>
        <w:noBreakHyphen/>
        <w:t>Aboriginal</w:t>
      </w:r>
      <w:proofErr w:type="spellEnd"/>
      <w:r w:rsidRPr="00404E7F">
        <w:rPr>
          <w:rFonts w:cs="Times New Roman"/>
          <w:sz w:val="20"/>
          <w:szCs w:val="20"/>
        </w:rPr>
        <w:t xml:space="preserve"> communities consists in ensuring that the parties cannot unilaterally renege on their undertakings.  And once legal certainty has been pursued as a common objective at the negotiation stage, it cannot become a </w:t>
      </w:r>
      <w:proofErr w:type="spellStart"/>
      <w:r w:rsidRPr="00404E7F">
        <w:rPr>
          <w:rFonts w:cs="Times New Roman"/>
          <w:sz w:val="20"/>
          <w:szCs w:val="20"/>
        </w:rPr>
        <w:t>one</w:t>
      </w:r>
      <w:r w:rsidRPr="00404E7F">
        <w:rPr>
          <w:rFonts w:cs="Times New Roman"/>
          <w:sz w:val="20"/>
          <w:szCs w:val="20"/>
        </w:rPr>
        <w:noBreakHyphen/>
        <w:t>way</w:t>
      </w:r>
      <w:proofErr w:type="spellEnd"/>
      <w:r w:rsidRPr="00404E7F">
        <w:rPr>
          <w:rFonts w:cs="Times New Roman"/>
          <w:sz w:val="20"/>
          <w:szCs w:val="20"/>
        </w:rPr>
        <w:t xml:space="preserve"> proposition at the stage of implementation of the treaty.  On the contrary, certainty with respect to one party’s rights implies that the party in question must discharge its obligations and respect the other party’s rights.  Having laboured so hard, in their common interest, to substitute a </w:t>
      </w:r>
      <w:proofErr w:type="spellStart"/>
      <w:r w:rsidRPr="00404E7F">
        <w:rPr>
          <w:rFonts w:cs="Times New Roman"/>
          <w:sz w:val="20"/>
          <w:szCs w:val="20"/>
        </w:rPr>
        <w:t>well</w:t>
      </w:r>
      <w:r w:rsidRPr="00404E7F">
        <w:rPr>
          <w:rFonts w:cs="Times New Roman"/>
          <w:sz w:val="20"/>
          <w:szCs w:val="20"/>
        </w:rPr>
        <w:noBreakHyphen/>
        <w:t>defined</w:t>
      </w:r>
      <w:proofErr w:type="spellEnd"/>
      <w:r w:rsidRPr="00404E7F">
        <w:rPr>
          <w:rFonts w:cs="Times New Roman"/>
          <w:sz w:val="20"/>
          <w:szCs w:val="20"/>
        </w:rPr>
        <w:t xml:space="preserve"> legal system for an uncertain normative system, both the Aboriginal party and the Crown party have an interest in seeing their efforts bear fruit.</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It is in fact because the agreement in issue does provide that the Aboriginal party has a right to various forms of consultation with respect to the rights the Crown wishes to exercise in this case that rights and obligations foreign to the mechanism provided for in the treaty must not be superimposed on it, and not simply because this is a “modern” treaty constituting a land claims agreement.</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Even when the treaty in issue is a land claims agreement, the Court must first identify the common intention of the parties and then decide whether the common law constitutional duty to consult applies to the Aboriginal party.  Therefore, where there is a treaty, the common law duty to consult will apply only if the parties to the treaty have failed to address the issue of consultation.</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The consultation that must take place if a right of the Aboriginal party is impaired will consist in either:  (1) the measures provided for in the treaty in this regard; or (2) if no such measures are provided for in the treaty, the consultation required under the common law framework.</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lastRenderedPageBreak/>
        <w:tab/>
        <w:t>Where a treaty provides for a mechanism for consultation, what it does is to override the common law duty to consult Aboriginal peoples; it does not affect the general administrative law principle of procedural fairness, which may give rise to a duty to consult rights holders individually.</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The courts are not blind to omissions, or gaps left in the treaty, by the parties with respect to consultation, and the common law duty to consult could always be applied to fill such a gap.  But no such gap can be found in this case.</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These general considerations alone would form a sufficient basis for dismissing the appeal. </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But the provisions of the Final Agreement also confirm this conclusion.  The Final Agreement includes general and interpretive provisions that are reproduced from the Umbrella Agreement.  More precisely, this framework was first developed by the parties to the Umbrella Agreement, and was then incorporated by the parties into the various final agreements concluded under the Umbrella Agreement.  Where there is any inconsistency or conflict, the rules of this framework prevail over the common law principles on the interpretation of treaties between governments and Aboriginal peoples.</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These general and interpretive provisions also establish certain rules with respect to the relationships of the Umbrella Agreement and any final agreement concluded under it, not only the relationship between them, but also that with the law in general.  These rules can be summarized in the principle that the Final Agreement prevails over any other </w:t>
      </w:r>
      <w:proofErr w:type="spellStart"/>
      <w:r w:rsidRPr="00404E7F">
        <w:rPr>
          <w:rFonts w:cs="Times New Roman"/>
          <w:sz w:val="20"/>
          <w:szCs w:val="20"/>
        </w:rPr>
        <w:t>non</w:t>
      </w:r>
      <w:r w:rsidRPr="00404E7F">
        <w:rPr>
          <w:rFonts w:cs="Times New Roman"/>
          <w:sz w:val="20"/>
          <w:szCs w:val="20"/>
        </w:rPr>
        <w:noBreakHyphen/>
        <w:t>constitutional</w:t>
      </w:r>
      <w:proofErr w:type="spellEnd"/>
      <w:r w:rsidRPr="00404E7F">
        <w:rPr>
          <w:rFonts w:cs="Times New Roman"/>
          <w:sz w:val="20"/>
          <w:szCs w:val="20"/>
        </w:rPr>
        <w:t xml:space="preserve"> legal rule, subject to the requirement that its provisions not be so construed as to affect the rights of “Yukon Indian people” as Canadian citizens and their entitlement to all the rights, benefits and protections of other citizens.  In short, therefore, with certain exceptions, the treaty overrides Aboriginal rights related to the matters to which it applies, and in cases of conflict or inconsistency, it prevails over all other non</w:t>
      </w:r>
      <w:r w:rsidR="003E770A" w:rsidRPr="00404E7F">
        <w:rPr>
          <w:rFonts w:cs="Times New Roman"/>
          <w:sz w:val="20"/>
          <w:szCs w:val="20"/>
        </w:rPr>
        <w:fldChar w:fldCharType="begin"/>
      </w:r>
      <w:r w:rsidRPr="00404E7F">
        <w:rPr>
          <w:rFonts w:cs="Times New Roman"/>
          <w:sz w:val="20"/>
          <w:szCs w:val="20"/>
        </w:rPr>
        <w:instrText xml:space="preserve"> SEQ CHAPTER \h \r 1</w:instrText>
      </w:r>
      <w:r w:rsidR="003E770A" w:rsidRPr="00404E7F">
        <w:rPr>
          <w:rFonts w:cs="Times New Roman"/>
          <w:sz w:val="20"/>
          <w:szCs w:val="20"/>
        </w:rPr>
        <w:fldChar w:fldCharType="end"/>
      </w:r>
      <w:r w:rsidRPr="00404E7F">
        <w:rPr>
          <w:rFonts w:cs="Times New Roman"/>
          <w:sz w:val="20"/>
          <w:szCs w:val="20"/>
          <w:lang w:val="en-US"/>
        </w:rPr>
        <w:noBreakHyphen/>
      </w:r>
      <w:r w:rsidRPr="00404E7F">
        <w:rPr>
          <w:rFonts w:cs="Times New Roman"/>
          <w:sz w:val="20"/>
          <w:szCs w:val="20"/>
        </w:rPr>
        <w:t>constitutional law.</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Regarding the relationship between the treaty in issue and the rest of our constitutional law other than the case law on Aboriginal rights, such a treaty clearly cannot on its own amend the Constitution of Canada.  In other words, the Final Agreement contains no provisions that affect the general principle that the common law duty to consult will apply only where the parties have failed to address the issue of consultation.  This will depend on whether the parties have come to an agreement on this issue, and if they have, the treaty will ― unless, of course, the treaty itself provides otherwise ― override the application to the parties of any parallel framework, including the common law framework.</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In this case, the parties included provisions in the treaty that deal with consultation on the very question of the Crown’s right to transfer Crown land upon an application like the one made by P.</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P’s application constituted a project to which the assessment process provided for in Chapter 12 of the Final Agreement applied.  Although that process had not yet been implemented, Chapter 12, including the transitional legal rules it contains, had been.  Under those rules, any existing development assessment process would remain applicable.  The requirements of the processes in question included not only consultation with the First Nation concerned, but also its participation in the assessment of the project.  Any such participation would involve a more extensive consultation than would be required by the common law duty in that regard.  Therefore, nothing in this case can justify resorting to a duty other than the one provided for in the Final Agreement.</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Moreover, the provisions of Chapter 16 on fish and wildlife management establish a framework under which the First Nations are generally invited to participate in the management of those resources at the </w:t>
      </w:r>
      <w:proofErr w:type="spellStart"/>
      <w:r w:rsidRPr="00404E7F">
        <w:rPr>
          <w:rFonts w:cs="Times New Roman"/>
          <w:sz w:val="20"/>
          <w:szCs w:val="20"/>
        </w:rPr>
        <w:t>pre</w:t>
      </w:r>
      <w:r w:rsidRPr="00404E7F">
        <w:rPr>
          <w:rFonts w:cs="Times New Roman"/>
          <w:sz w:val="20"/>
          <w:szCs w:val="20"/>
        </w:rPr>
        <w:noBreakHyphen/>
        <w:t>decision</w:t>
      </w:r>
      <w:proofErr w:type="spellEnd"/>
      <w:r w:rsidRPr="00404E7F">
        <w:rPr>
          <w:rFonts w:cs="Times New Roman"/>
          <w:sz w:val="20"/>
          <w:szCs w:val="20"/>
        </w:rPr>
        <w:t xml:space="preserve"> stage.  In particular, the invitation they receive to propose fish and wildlife management plans can be regarded as consultation.</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The territorial government’s conduct raises questions in some respects.  In particular, there is the fact that the Director did not notify the First Nation of his decision of October 18, 2004 until July 27, 2005.  Under s. 81(1) of the </w:t>
      </w:r>
      <w:r w:rsidRPr="00404E7F">
        <w:rPr>
          <w:rFonts w:cs="Times New Roman"/>
          <w:i/>
          <w:sz w:val="20"/>
          <w:szCs w:val="20"/>
        </w:rPr>
        <w:t>Yukon Environmental and Socio</w:t>
      </w:r>
      <w:r w:rsidRPr="00404E7F">
        <w:rPr>
          <w:rFonts w:cs="Times New Roman"/>
          <w:i/>
          <w:sz w:val="20"/>
          <w:szCs w:val="20"/>
        </w:rPr>
        <w:noBreakHyphen/>
        <w:t>economic Assessment Act</w:t>
      </w:r>
      <w:r w:rsidRPr="00404E7F">
        <w:rPr>
          <w:rFonts w:cs="Times New Roman"/>
          <w:sz w:val="20"/>
          <w:szCs w:val="20"/>
        </w:rPr>
        <w:t>, S.C. 2003, c. 7 (“</w:t>
      </w:r>
      <w:r w:rsidRPr="00404E7F">
        <w:rPr>
          <w:rFonts w:cs="Times New Roman"/>
          <w:i/>
          <w:sz w:val="20"/>
          <w:szCs w:val="20"/>
        </w:rPr>
        <w:t>YESAA</w:t>
      </w:r>
      <w:r w:rsidRPr="00404E7F">
        <w:rPr>
          <w:rFonts w:cs="Times New Roman"/>
          <w:sz w:val="20"/>
          <w:szCs w:val="20"/>
        </w:rPr>
        <w:t>”), the “designated office” and, if applicable, the executive committee of the Yukon Development Assessment Board would have been entitled to receive copies of that decision and, one can only assume, to receive them within a reasonable time.  Here, the functional equivalent of the designated office is the Land Application Review Committee (“LARC”).  Even if representatives of the First Nation did not attend the August 13, 2004 meeting, it would be expected that the Director would inform that First Nation of his decision within a reasonable time.  Nonetheless, the time elapsed after the decision did not affect the quality of the prior consultation.</w:t>
      </w: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lastRenderedPageBreak/>
        <w:tab/>
        <w:t>The territorial government’s decision to proceed with P’s application at the “</w:t>
      </w:r>
      <w:proofErr w:type="spellStart"/>
      <w:r w:rsidRPr="00404E7F">
        <w:rPr>
          <w:rFonts w:cs="Times New Roman"/>
          <w:sz w:val="20"/>
          <w:szCs w:val="20"/>
        </w:rPr>
        <w:t>prescreening</w:t>
      </w:r>
      <w:proofErr w:type="spellEnd"/>
      <w:r w:rsidRPr="00404E7F">
        <w:rPr>
          <w:rFonts w:cs="Times New Roman"/>
          <w:sz w:val="20"/>
          <w:szCs w:val="20"/>
        </w:rPr>
        <w:t>” stage despite the requirement of consultation in the context of the First Nation’s fish and wildlife management plan was not an exemplary practice either.  However, the First Nation did not express concern about this in its letter of July 27, 2004 to Yukon’s Lands Branch.  And as can be seen from the minutes of the August 13, 2004 meeting, the concerns of the First Nation with respect to resource conservation were taken into consideration.  Also, the required consultation in the context of the fish and wildlife management plan was far more limited than the consultation to which the First Nation was entitled in participating in LARC, which was responsible for assessing the specific project in issue in this appeal.  Finally, the First Nation, the renewable resources council and the Minister had not agreed on a provisional suspension of the processing of applications for land in the area in question.</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Despite these aspects of the handling of P’s application that are open to criticism, it can be seen from the facts as a whole that the respondents received what they were entitled to receive from the appellants where consultation as a First Nation is concerned.  In fact, in some respects they were consulted to an even greater extent than they would have been under the </w:t>
      </w:r>
      <w:r w:rsidRPr="00404E7F">
        <w:rPr>
          <w:rFonts w:cs="Times New Roman"/>
          <w:i/>
          <w:sz w:val="20"/>
          <w:szCs w:val="20"/>
        </w:rPr>
        <w:t>YESAA</w:t>
      </w:r>
      <w:r w:rsidRPr="00404E7F">
        <w:rPr>
          <w:rFonts w:cs="Times New Roman"/>
          <w:sz w:val="20"/>
          <w:szCs w:val="20"/>
        </w:rPr>
        <w:t xml:space="preserve">. </w:t>
      </w:r>
    </w:p>
    <w:p w:rsidR="00D0671F" w:rsidRPr="00404E7F" w:rsidRDefault="00D0671F" w:rsidP="00D0671F">
      <w:pPr>
        <w:pStyle w:val="ListParagraph"/>
        <w:tabs>
          <w:tab w:val="left" w:pos="0"/>
        </w:tabs>
        <w:spacing w:after="480"/>
        <w:ind w:left="0"/>
        <w:jc w:val="both"/>
        <w:rPr>
          <w:rFonts w:cs="Times New Roman"/>
          <w:sz w:val="20"/>
          <w:szCs w:val="20"/>
        </w:rPr>
      </w:pPr>
    </w:p>
    <w:p w:rsidR="00D0671F" w:rsidRPr="00404E7F" w:rsidRDefault="00D0671F" w:rsidP="00D0671F">
      <w:pPr>
        <w:pStyle w:val="ListParagraph"/>
        <w:tabs>
          <w:tab w:val="left" w:pos="0"/>
        </w:tabs>
        <w:spacing w:after="480"/>
        <w:ind w:left="0"/>
        <w:jc w:val="both"/>
        <w:rPr>
          <w:rFonts w:cs="Times New Roman"/>
          <w:sz w:val="20"/>
          <w:szCs w:val="20"/>
        </w:rPr>
      </w:pPr>
      <w:r w:rsidRPr="00404E7F">
        <w:rPr>
          <w:rFonts w:cs="Times New Roman"/>
          <w:sz w:val="20"/>
          <w:szCs w:val="20"/>
        </w:rPr>
        <w:tab/>
        <w:t xml:space="preserve">The only right the First Nation would have had under the </w:t>
      </w:r>
      <w:r w:rsidRPr="00404E7F">
        <w:rPr>
          <w:rFonts w:cs="Times New Roman"/>
          <w:i/>
          <w:sz w:val="20"/>
          <w:szCs w:val="20"/>
        </w:rPr>
        <w:t>YESAA</w:t>
      </w:r>
      <w:r w:rsidRPr="00404E7F">
        <w:rPr>
          <w:rFonts w:cs="Times New Roman"/>
          <w:sz w:val="20"/>
          <w:szCs w:val="20"/>
        </w:rPr>
        <w:t xml:space="preserve"> was to be heard by the assessment district office as a stakeholder.  That consultation would have been minimal, whereas the First Nation was invited to participate directly in the assessment of P’s application as a member of LARC. </w:t>
      </w:r>
    </w:p>
    <w:p w:rsidR="00D0671F" w:rsidRPr="00404E7F" w:rsidRDefault="00D0671F" w:rsidP="00D0671F">
      <w:pPr>
        <w:pStyle w:val="ListParagraph"/>
        <w:tabs>
          <w:tab w:val="left" w:pos="720"/>
        </w:tabs>
        <w:spacing w:after="480"/>
        <w:ind w:left="0"/>
        <w:jc w:val="both"/>
        <w:rPr>
          <w:rFonts w:cs="Times New Roman"/>
          <w:sz w:val="20"/>
          <w:szCs w:val="20"/>
        </w:rPr>
      </w:pPr>
    </w:p>
    <w:p w:rsidR="00D0671F" w:rsidRPr="00404E7F" w:rsidRDefault="00D0671F" w:rsidP="00D0671F">
      <w:pPr>
        <w:pStyle w:val="ListParagraph"/>
        <w:tabs>
          <w:tab w:val="left" w:pos="720"/>
        </w:tabs>
        <w:ind w:left="0"/>
        <w:jc w:val="both"/>
        <w:rPr>
          <w:rFonts w:cs="Times New Roman"/>
          <w:sz w:val="20"/>
          <w:szCs w:val="20"/>
        </w:rPr>
      </w:pPr>
      <w:r w:rsidRPr="00404E7F">
        <w:rPr>
          <w:rFonts w:cs="Times New Roman"/>
          <w:sz w:val="20"/>
          <w:szCs w:val="20"/>
        </w:rPr>
        <w:tab/>
        <w:t>It is true that the First Nation’s representatives did not attend the August 13, 2004 meeting.  They did not notify the other members of LARC that they would be absent and did not request that the meeting be adjourned, but they had already submitted comments in a letter.</w:t>
      </w:r>
    </w:p>
    <w:p w:rsidR="00D0671F" w:rsidRPr="00404E7F" w:rsidRDefault="00D0671F" w:rsidP="00D0671F">
      <w:pPr>
        <w:pStyle w:val="ListParagraph"/>
        <w:tabs>
          <w:tab w:val="left" w:pos="720"/>
        </w:tabs>
        <w:ind w:left="0"/>
        <w:jc w:val="both"/>
        <w:rPr>
          <w:rFonts w:cs="Times New Roman"/>
          <w:sz w:val="20"/>
          <w:szCs w:val="20"/>
        </w:rPr>
      </w:pPr>
    </w:p>
    <w:p w:rsidR="00D0671F" w:rsidRPr="00404E7F" w:rsidRDefault="00D0671F" w:rsidP="00D0671F">
      <w:pPr>
        <w:tabs>
          <w:tab w:val="left" w:pos="720"/>
        </w:tabs>
        <w:jc w:val="both"/>
        <w:rPr>
          <w:rFonts w:cs="Times New Roman"/>
          <w:sz w:val="20"/>
          <w:szCs w:val="20"/>
        </w:rPr>
      </w:pPr>
      <w:r w:rsidRPr="00404E7F">
        <w:rPr>
          <w:rFonts w:cs="Times New Roman"/>
          <w:sz w:val="20"/>
          <w:szCs w:val="20"/>
        </w:rPr>
        <w:tab/>
        <w:t>Thus, the process that led to the October 18, 2004 decision on P’s application was consistent with the transitional law provisions of Chapter 12 of the Final Agreement.  There is no legal basis for finding that the Crown breached its duty to consult.</w:t>
      </w:r>
    </w:p>
    <w:p w:rsidR="00D72F1A" w:rsidRPr="00404E7F" w:rsidRDefault="00D72F1A" w:rsidP="00D72F1A">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t>APPEAL and CROSS</w:t>
      </w:r>
      <w:r w:rsidRPr="00404E7F">
        <w:rPr>
          <w:rFonts w:cs="Times New Roman"/>
          <w:sz w:val="20"/>
          <w:szCs w:val="20"/>
        </w:rPr>
        <w:noBreakHyphen/>
        <w:t xml:space="preserve">APPEAL from a judgment of the Yukon Court of Appeal (Newbury, Kirkpatrick and </w:t>
      </w:r>
      <w:proofErr w:type="spellStart"/>
      <w:r w:rsidRPr="00404E7F">
        <w:rPr>
          <w:rFonts w:cs="Times New Roman"/>
          <w:sz w:val="20"/>
          <w:szCs w:val="20"/>
        </w:rPr>
        <w:t>Tysoe</w:t>
      </w:r>
      <w:proofErr w:type="spellEnd"/>
      <w:r w:rsidRPr="00404E7F">
        <w:rPr>
          <w:rFonts w:cs="Times New Roman"/>
          <w:sz w:val="20"/>
          <w:szCs w:val="20"/>
        </w:rPr>
        <w:t xml:space="preserve"> JJ.A.), 2008 YKCA 13, 296 D.L.R. (4th) 99, 258 B.C.A.C. 160, 434 W.A.C. 160, [2008] 4 C.N.L.R. 25, 71 R.P.R. (4th) 162, [2008] Y.J. No. 55 (QL), 2008 </w:t>
      </w:r>
      <w:proofErr w:type="spellStart"/>
      <w:r w:rsidRPr="00404E7F">
        <w:rPr>
          <w:rFonts w:cs="Times New Roman"/>
          <w:sz w:val="20"/>
          <w:szCs w:val="20"/>
        </w:rPr>
        <w:t>CarswellYukon</w:t>
      </w:r>
      <w:proofErr w:type="spellEnd"/>
      <w:r w:rsidRPr="00404E7F">
        <w:rPr>
          <w:rFonts w:cs="Times New Roman"/>
          <w:sz w:val="20"/>
          <w:szCs w:val="20"/>
        </w:rPr>
        <w:t xml:space="preserve"> 62, setting aside the decision of Veale J., 2007 YKSC 28, [2007] 3 C.N.L.R. 42, [2007] Y.J. No. 24 (QL), 2007 </w:t>
      </w:r>
      <w:proofErr w:type="spellStart"/>
      <w:r w:rsidRPr="00404E7F">
        <w:rPr>
          <w:rFonts w:cs="Times New Roman"/>
          <w:sz w:val="20"/>
          <w:szCs w:val="20"/>
        </w:rPr>
        <w:t>CarswellYukon</w:t>
      </w:r>
      <w:proofErr w:type="spellEnd"/>
      <w:r w:rsidRPr="00404E7F">
        <w:rPr>
          <w:rFonts w:cs="Times New Roman"/>
          <w:sz w:val="20"/>
          <w:szCs w:val="20"/>
        </w:rPr>
        <w:t xml:space="preserve"> 18, quashing the approval of application for land grant.  Appeal and </w:t>
      </w:r>
      <w:proofErr w:type="spellStart"/>
      <w:r w:rsidRPr="00404E7F">
        <w:rPr>
          <w:rFonts w:cs="Times New Roman"/>
          <w:sz w:val="20"/>
          <w:szCs w:val="20"/>
        </w:rPr>
        <w:t>cross</w:t>
      </w:r>
      <w:r w:rsidRPr="00404E7F">
        <w:rPr>
          <w:rFonts w:cs="Times New Roman"/>
          <w:sz w:val="20"/>
          <w:szCs w:val="20"/>
        </w:rPr>
        <w:noBreakHyphen/>
        <w:t>appeal</w:t>
      </w:r>
      <w:proofErr w:type="spellEnd"/>
      <w:r w:rsidRPr="00404E7F">
        <w:rPr>
          <w:rFonts w:cs="Times New Roman"/>
          <w:sz w:val="20"/>
          <w:szCs w:val="20"/>
        </w:rPr>
        <w:t xml:space="preserve"> dismissed.</w:t>
      </w:r>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Brad</w:t>
      </w:r>
      <w:r w:rsidRPr="00404E7F">
        <w:rPr>
          <w:rFonts w:cs="Times New Roman"/>
          <w:sz w:val="20"/>
          <w:szCs w:val="20"/>
        </w:rPr>
        <w:t xml:space="preserve"> </w:t>
      </w:r>
      <w:r w:rsidRPr="00404E7F">
        <w:rPr>
          <w:rFonts w:cs="Times New Roman"/>
          <w:i/>
          <w:iCs/>
          <w:sz w:val="20"/>
          <w:szCs w:val="20"/>
        </w:rPr>
        <w:t>Armstrong</w:t>
      </w:r>
      <w:r w:rsidRPr="00404E7F">
        <w:rPr>
          <w:rFonts w:cs="Times New Roman"/>
          <w:sz w:val="20"/>
          <w:szCs w:val="20"/>
        </w:rPr>
        <w:t xml:space="preserve">, </w:t>
      </w:r>
      <w:r w:rsidRPr="00404E7F">
        <w:rPr>
          <w:rFonts w:cs="Times New Roman"/>
          <w:i/>
          <w:iCs/>
          <w:sz w:val="20"/>
          <w:szCs w:val="20"/>
        </w:rPr>
        <w:t>Q.C.</w:t>
      </w:r>
      <w:r w:rsidRPr="00404E7F">
        <w:rPr>
          <w:rFonts w:cs="Times New Roman"/>
          <w:sz w:val="20"/>
          <w:szCs w:val="20"/>
        </w:rPr>
        <w:t xml:space="preserve">, </w:t>
      </w:r>
      <w:r w:rsidRPr="00404E7F">
        <w:rPr>
          <w:rFonts w:cs="Times New Roman"/>
          <w:i/>
          <w:iCs/>
          <w:sz w:val="20"/>
          <w:szCs w:val="20"/>
        </w:rPr>
        <w:t>Keith Bergner</w:t>
      </w:r>
      <w:r w:rsidRPr="00404E7F">
        <w:rPr>
          <w:rFonts w:cs="Times New Roman"/>
          <w:sz w:val="20"/>
          <w:szCs w:val="20"/>
        </w:rPr>
        <w:t xml:space="preserve">, </w:t>
      </w:r>
      <w:r w:rsidRPr="00404E7F">
        <w:rPr>
          <w:rFonts w:cs="Times New Roman"/>
          <w:i/>
          <w:iCs/>
          <w:sz w:val="20"/>
          <w:szCs w:val="20"/>
        </w:rPr>
        <w:t xml:space="preserve">Penelope </w:t>
      </w:r>
      <w:proofErr w:type="spellStart"/>
      <w:r w:rsidRPr="00404E7F">
        <w:rPr>
          <w:rFonts w:cs="Times New Roman"/>
          <w:i/>
          <w:iCs/>
          <w:sz w:val="20"/>
          <w:szCs w:val="20"/>
        </w:rPr>
        <w:t>Gawn</w:t>
      </w:r>
      <w:proofErr w:type="spellEnd"/>
      <w:r w:rsidRPr="00404E7F">
        <w:rPr>
          <w:rFonts w:cs="Times New Roman"/>
          <w:sz w:val="20"/>
          <w:szCs w:val="20"/>
        </w:rPr>
        <w:t xml:space="preserve"> and</w:t>
      </w:r>
      <w:r w:rsidRPr="00404E7F">
        <w:rPr>
          <w:rFonts w:cs="Times New Roman"/>
          <w:i/>
          <w:iCs/>
          <w:sz w:val="20"/>
          <w:szCs w:val="20"/>
        </w:rPr>
        <w:t xml:space="preserve"> Lesley McCullough</w:t>
      </w:r>
      <w:r w:rsidRPr="00404E7F">
        <w:rPr>
          <w:rFonts w:cs="Times New Roman"/>
          <w:sz w:val="20"/>
          <w:szCs w:val="20"/>
        </w:rPr>
        <w:t xml:space="preserve">, for the appellants/respondents on </w:t>
      </w:r>
      <w:proofErr w:type="spellStart"/>
      <w:r w:rsidRPr="00404E7F">
        <w:rPr>
          <w:rFonts w:cs="Times New Roman"/>
          <w:sz w:val="20"/>
          <w:szCs w:val="20"/>
        </w:rPr>
        <w:t>cross</w:t>
      </w:r>
      <w:r w:rsidRPr="00404E7F">
        <w:rPr>
          <w:rFonts w:cs="Times New Roman"/>
          <w:sz w:val="20"/>
          <w:szCs w:val="20"/>
        </w:rPr>
        <w:noBreakHyphen/>
        <w:t>appeal</w:t>
      </w:r>
      <w:proofErr w:type="spellEnd"/>
      <w:r w:rsidRPr="00404E7F">
        <w:rPr>
          <w:rFonts w:cs="Times New Roman"/>
          <w:sz w:val="20"/>
          <w:szCs w:val="20"/>
        </w:rPr>
        <w:t>.</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 xml:space="preserve">Jean </w:t>
      </w:r>
      <w:proofErr w:type="spellStart"/>
      <w:r w:rsidRPr="00404E7F">
        <w:rPr>
          <w:rFonts w:cs="Times New Roman"/>
          <w:i/>
          <w:iCs/>
          <w:sz w:val="20"/>
          <w:szCs w:val="20"/>
        </w:rPr>
        <w:t>Teillet</w:t>
      </w:r>
      <w:proofErr w:type="spellEnd"/>
      <w:r w:rsidRPr="00404E7F">
        <w:rPr>
          <w:rFonts w:cs="Times New Roman"/>
          <w:sz w:val="20"/>
          <w:szCs w:val="20"/>
        </w:rPr>
        <w:t xml:space="preserve">, </w:t>
      </w:r>
      <w:r w:rsidRPr="00404E7F">
        <w:rPr>
          <w:rFonts w:cs="Times New Roman"/>
          <w:i/>
          <w:iCs/>
          <w:sz w:val="20"/>
          <w:szCs w:val="20"/>
        </w:rPr>
        <w:t xml:space="preserve">Arthur </w:t>
      </w:r>
      <w:proofErr w:type="spellStart"/>
      <w:r w:rsidRPr="00404E7F">
        <w:rPr>
          <w:rFonts w:cs="Times New Roman"/>
          <w:i/>
          <w:iCs/>
          <w:sz w:val="20"/>
          <w:szCs w:val="20"/>
        </w:rPr>
        <w:t>Pape</w:t>
      </w:r>
      <w:proofErr w:type="spellEnd"/>
      <w:r w:rsidRPr="00404E7F">
        <w:rPr>
          <w:rFonts w:cs="Times New Roman"/>
          <w:sz w:val="20"/>
          <w:szCs w:val="20"/>
        </w:rPr>
        <w:t xml:space="preserve"> and </w:t>
      </w:r>
      <w:r w:rsidRPr="00404E7F">
        <w:rPr>
          <w:rFonts w:cs="Times New Roman"/>
          <w:i/>
          <w:iCs/>
          <w:sz w:val="20"/>
          <w:szCs w:val="20"/>
        </w:rPr>
        <w:t>Richard B. Salter</w:t>
      </w:r>
      <w:r w:rsidRPr="00404E7F">
        <w:rPr>
          <w:rFonts w:cs="Times New Roman"/>
          <w:sz w:val="20"/>
          <w:szCs w:val="20"/>
        </w:rPr>
        <w:t xml:space="preserve">, for the respondents/appellants on </w:t>
      </w:r>
      <w:proofErr w:type="spellStart"/>
      <w:r w:rsidRPr="00404E7F">
        <w:rPr>
          <w:rFonts w:cs="Times New Roman"/>
          <w:sz w:val="20"/>
          <w:szCs w:val="20"/>
        </w:rPr>
        <w:t>cross</w:t>
      </w:r>
      <w:r w:rsidRPr="00404E7F">
        <w:rPr>
          <w:rFonts w:cs="Times New Roman"/>
          <w:sz w:val="20"/>
          <w:szCs w:val="20"/>
        </w:rPr>
        <w:noBreakHyphen/>
        <w:t>appeal</w:t>
      </w:r>
      <w:proofErr w:type="spellEnd"/>
      <w:r w:rsidRPr="00404E7F">
        <w:rPr>
          <w:rFonts w:cs="Times New Roman"/>
          <w:sz w:val="20"/>
          <w:szCs w:val="20"/>
        </w:rPr>
        <w:t>.</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r w:rsidRPr="00404E7F">
        <w:rPr>
          <w:rFonts w:cs="Times New Roman"/>
          <w:i/>
          <w:iCs/>
          <w:sz w:val="20"/>
          <w:szCs w:val="20"/>
        </w:rPr>
        <w:t>Mitchell R.</w:t>
      </w:r>
      <w:r w:rsidRPr="00404E7F">
        <w:rPr>
          <w:rFonts w:cs="Times New Roman"/>
          <w:sz w:val="20"/>
          <w:szCs w:val="20"/>
        </w:rPr>
        <w:t xml:space="preserve"> </w:t>
      </w:r>
      <w:r w:rsidRPr="00404E7F">
        <w:rPr>
          <w:rFonts w:cs="Times New Roman"/>
          <w:i/>
          <w:iCs/>
          <w:sz w:val="20"/>
          <w:szCs w:val="20"/>
        </w:rPr>
        <w:t>Taylor</w:t>
      </w:r>
      <w:r w:rsidRPr="00404E7F">
        <w:rPr>
          <w:rFonts w:cs="Times New Roman"/>
          <w:sz w:val="20"/>
          <w:szCs w:val="20"/>
        </w:rPr>
        <w:t xml:space="preserve">, </w:t>
      </w:r>
      <w:r w:rsidRPr="00404E7F">
        <w:rPr>
          <w:rFonts w:cs="Times New Roman"/>
          <w:i/>
          <w:iCs/>
          <w:sz w:val="20"/>
          <w:szCs w:val="20"/>
        </w:rPr>
        <w:t>Q.C.</w:t>
      </w:r>
      <w:r w:rsidRPr="00404E7F">
        <w:rPr>
          <w:rFonts w:cs="Times New Roman"/>
          <w:sz w:val="20"/>
          <w:szCs w:val="20"/>
        </w:rPr>
        <w:t>, for the intervener the Attorney General of Canada.</w:t>
      </w:r>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spellStart"/>
      <w:proofErr w:type="gramStart"/>
      <w:r w:rsidRPr="00404E7F">
        <w:rPr>
          <w:rFonts w:cs="Times New Roman"/>
          <w:i/>
          <w:iCs/>
          <w:sz w:val="20"/>
          <w:szCs w:val="20"/>
        </w:rPr>
        <w:t>Hugues</w:t>
      </w:r>
      <w:proofErr w:type="spellEnd"/>
      <w:r w:rsidRPr="00404E7F">
        <w:rPr>
          <w:rFonts w:cs="Times New Roman"/>
          <w:i/>
          <w:iCs/>
          <w:sz w:val="20"/>
          <w:szCs w:val="20"/>
        </w:rPr>
        <w:t xml:space="preserve"> </w:t>
      </w:r>
      <w:proofErr w:type="spellStart"/>
      <w:r w:rsidRPr="00404E7F">
        <w:rPr>
          <w:rFonts w:cs="Times New Roman"/>
          <w:i/>
          <w:iCs/>
          <w:sz w:val="20"/>
          <w:szCs w:val="20"/>
        </w:rPr>
        <w:t>Melançon</w:t>
      </w:r>
      <w:proofErr w:type="spellEnd"/>
      <w:r w:rsidRPr="00404E7F">
        <w:rPr>
          <w:rFonts w:cs="Times New Roman"/>
          <w:sz w:val="20"/>
          <w:szCs w:val="20"/>
        </w:rPr>
        <w:t xml:space="preserve"> and </w:t>
      </w:r>
      <w:proofErr w:type="spellStart"/>
      <w:r w:rsidRPr="00404E7F">
        <w:rPr>
          <w:rFonts w:cs="Times New Roman"/>
          <w:i/>
          <w:iCs/>
          <w:sz w:val="20"/>
          <w:szCs w:val="20"/>
        </w:rPr>
        <w:t>Natacha</w:t>
      </w:r>
      <w:proofErr w:type="spellEnd"/>
      <w:r w:rsidRPr="00404E7F">
        <w:rPr>
          <w:rFonts w:cs="Times New Roman"/>
          <w:sz w:val="20"/>
          <w:szCs w:val="20"/>
        </w:rPr>
        <w:t xml:space="preserve"> </w:t>
      </w:r>
      <w:r w:rsidRPr="00404E7F">
        <w:rPr>
          <w:rFonts w:cs="Times New Roman"/>
          <w:i/>
          <w:iCs/>
          <w:sz w:val="20"/>
          <w:szCs w:val="20"/>
        </w:rPr>
        <w:t>Lavoie</w:t>
      </w:r>
      <w:r w:rsidRPr="00404E7F">
        <w:rPr>
          <w:rFonts w:cs="Times New Roman"/>
          <w:sz w:val="20"/>
          <w:szCs w:val="20"/>
        </w:rPr>
        <w:t>, for the intervener the Attorney General of Quebec.</w:t>
      </w:r>
      <w:proofErr w:type="gramEnd"/>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Rolf Pritchard</w:t>
      </w:r>
      <w:r w:rsidRPr="00404E7F">
        <w:rPr>
          <w:rFonts w:cs="Times New Roman"/>
          <w:sz w:val="20"/>
          <w:szCs w:val="20"/>
        </w:rPr>
        <w:t xml:space="preserve"> and </w:t>
      </w:r>
      <w:r w:rsidRPr="00404E7F">
        <w:rPr>
          <w:rFonts w:cs="Times New Roman"/>
          <w:i/>
          <w:iCs/>
          <w:sz w:val="20"/>
          <w:szCs w:val="20"/>
        </w:rPr>
        <w:t>Justin S. C. Mellor</w:t>
      </w:r>
      <w:r w:rsidRPr="00404E7F">
        <w:rPr>
          <w:rFonts w:cs="Times New Roman"/>
          <w:sz w:val="20"/>
          <w:szCs w:val="20"/>
        </w:rPr>
        <w:t>, for the intervener the Attorney General of Newfoundland and Labrador.</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r w:rsidRPr="00404E7F">
        <w:rPr>
          <w:rFonts w:cs="Times New Roman"/>
          <w:i/>
          <w:iCs/>
          <w:sz w:val="20"/>
          <w:szCs w:val="20"/>
        </w:rPr>
        <w:t>Brian A.</w:t>
      </w:r>
      <w:r w:rsidRPr="00404E7F">
        <w:rPr>
          <w:rFonts w:cs="Times New Roman"/>
          <w:sz w:val="20"/>
          <w:szCs w:val="20"/>
        </w:rPr>
        <w:t xml:space="preserve"> </w:t>
      </w:r>
      <w:r w:rsidRPr="00404E7F">
        <w:rPr>
          <w:rFonts w:cs="Times New Roman"/>
          <w:i/>
          <w:iCs/>
          <w:sz w:val="20"/>
          <w:szCs w:val="20"/>
        </w:rPr>
        <w:t>Crane</w:t>
      </w:r>
      <w:r w:rsidRPr="00404E7F">
        <w:rPr>
          <w:rFonts w:cs="Times New Roman"/>
          <w:sz w:val="20"/>
          <w:szCs w:val="20"/>
        </w:rPr>
        <w:t xml:space="preserve">, </w:t>
      </w:r>
      <w:r w:rsidRPr="00404E7F">
        <w:rPr>
          <w:rFonts w:cs="Times New Roman"/>
          <w:i/>
          <w:iCs/>
          <w:sz w:val="20"/>
          <w:szCs w:val="20"/>
        </w:rPr>
        <w:t>Q.C.</w:t>
      </w:r>
      <w:r w:rsidRPr="00404E7F">
        <w:rPr>
          <w:rFonts w:cs="Times New Roman"/>
          <w:sz w:val="20"/>
          <w:szCs w:val="20"/>
        </w:rPr>
        <w:t xml:space="preserve">, for the interveners the </w:t>
      </w:r>
      <w:proofErr w:type="spellStart"/>
      <w:r w:rsidRPr="00404E7F">
        <w:rPr>
          <w:rFonts w:cs="Times New Roman"/>
          <w:sz w:val="20"/>
          <w:szCs w:val="20"/>
        </w:rPr>
        <w:t>Gwich’in</w:t>
      </w:r>
      <w:proofErr w:type="spellEnd"/>
      <w:r w:rsidRPr="00404E7F">
        <w:rPr>
          <w:rFonts w:cs="Times New Roman"/>
          <w:sz w:val="20"/>
          <w:szCs w:val="20"/>
        </w:rPr>
        <w:t xml:space="preserve"> Tribal Council and </w:t>
      </w:r>
      <w:proofErr w:type="spellStart"/>
      <w:r w:rsidRPr="00404E7F">
        <w:rPr>
          <w:rFonts w:cs="Times New Roman"/>
          <w:sz w:val="20"/>
          <w:szCs w:val="20"/>
        </w:rPr>
        <w:t>Sahtu</w:t>
      </w:r>
      <w:proofErr w:type="spellEnd"/>
      <w:r w:rsidRPr="00404E7F">
        <w:rPr>
          <w:rFonts w:cs="Times New Roman"/>
          <w:sz w:val="20"/>
          <w:szCs w:val="20"/>
        </w:rPr>
        <w:t xml:space="preserve"> Secretariat Inc.</w:t>
      </w:r>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spellStart"/>
      <w:proofErr w:type="gramStart"/>
      <w:r w:rsidRPr="00404E7F">
        <w:rPr>
          <w:rFonts w:cs="Times New Roman"/>
          <w:i/>
          <w:iCs/>
          <w:sz w:val="20"/>
          <w:szCs w:val="20"/>
        </w:rPr>
        <w:t>Jean</w:t>
      </w:r>
      <w:r w:rsidRPr="00404E7F">
        <w:rPr>
          <w:rFonts w:cs="Times New Roman"/>
          <w:i/>
          <w:iCs/>
          <w:sz w:val="20"/>
          <w:szCs w:val="20"/>
        </w:rPr>
        <w:noBreakHyphen/>
        <w:t>Sébastien</w:t>
      </w:r>
      <w:proofErr w:type="spellEnd"/>
      <w:r w:rsidRPr="00404E7F">
        <w:rPr>
          <w:rFonts w:cs="Times New Roman"/>
          <w:sz w:val="20"/>
          <w:szCs w:val="20"/>
        </w:rPr>
        <w:t xml:space="preserve"> </w:t>
      </w:r>
      <w:proofErr w:type="spellStart"/>
      <w:r w:rsidRPr="00404E7F">
        <w:rPr>
          <w:rFonts w:cs="Times New Roman"/>
          <w:i/>
          <w:iCs/>
          <w:sz w:val="20"/>
          <w:szCs w:val="20"/>
        </w:rPr>
        <w:t>Clément</w:t>
      </w:r>
      <w:proofErr w:type="spellEnd"/>
      <w:r w:rsidRPr="00404E7F">
        <w:rPr>
          <w:rFonts w:cs="Times New Roman"/>
          <w:sz w:val="20"/>
          <w:szCs w:val="20"/>
        </w:rPr>
        <w:t xml:space="preserve"> and </w:t>
      </w:r>
      <w:r w:rsidRPr="00404E7F">
        <w:rPr>
          <w:rFonts w:cs="Times New Roman"/>
          <w:i/>
          <w:iCs/>
          <w:sz w:val="20"/>
          <w:szCs w:val="20"/>
        </w:rPr>
        <w:t xml:space="preserve">François </w:t>
      </w:r>
      <w:proofErr w:type="spellStart"/>
      <w:r w:rsidRPr="00404E7F">
        <w:rPr>
          <w:rFonts w:cs="Times New Roman"/>
          <w:i/>
          <w:iCs/>
          <w:sz w:val="20"/>
          <w:szCs w:val="20"/>
        </w:rPr>
        <w:t>Dandonneau</w:t>
      </w:r>
      <w:proofErr w:type="spellEnd"/>
      <w:r w:rsidRPr="00404E7F">
        <w:rPr>
          <w:rFonts w:cs="Times New Roman"/>
          <w:sz w:val="20"/>
          <w:szCs w:val="20"/>
        </w:rPr>
        <w:t xml:space="preserve">, for the intervener the Grand Council of the </w:t>
      </w:r>
      <w:proofErr w:type="spellStart"/>
      <w:r w:rsidRPr="00404E7F">
        <w:rPr>
          <w:rFonts w:cs="Times New Roman"/>
          <w:sz w:val="20"/>
          <w:szCs w:val="20"/>
        </w:rPr>
        <w:t>Crees</w:t>
      </w:r>
      <w:proofErr w:type="spellEnd"/>
      <w:r w:rsidRPr="00404E7F">
        <w:rPr>
          <w:rFonts w:cs="Times New Roman"/>
          <w:sz w:val="20"/>
          <w:szCs w:val="20"/>
        </w:rPr>
        <w:t xml:space="preserve"> (</w:t>
      </w:r>
      <w:proofErr w:type="spellStart"/>
      <w:r w:rsidRPr="00404E7F">
        <w:rPr>
          <w:rFonts w:cs="Times New Roman"/>
          <w:sz w:val="20"/>
          <w:szCs w:val="20"/>
        </w:rPr>
        <w:t>Eeyou</w:t>
      </w:r>
      <w:proofErr w:type="spellEnd"/>
      <w:r w:rsidRPr="00404E7F">
        <w:rPr>
          <w:rFonts w:cs="Times New Roman"/>
          <w:sz w:val="20"/>
          <w:szCs w:val="20"/>
        </w:rPr>
        <w:t xml:space="preserve"> </w:t>
      </w:r>
      <w:proofErr w:type="spellStart"/>
      <w:r w:rsidRPr="00404E7F">
        <w:rPr>
          <w:rFonts w:cs="Times New Roman"/>
          <w:sz w:val="20"/>
          <w:szCs w:val="20"/>
        </w:rPr>
        <w:t>Istchee</w:t>
      </w:r>
      <w:proofErr w:type="spellEnd"/>
      <w:r w:rsidRPr="00404E7F">
        <w:rPr>
          <w:rFonts w:cs="Times New Roman"/>
          <w:sz w:val="20"/>
          <w:szCs w:val="20"/>
        </w:rPr>
        <w:t>)/Cree Regional Authority.</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James M.</w:t>
      </w:r>
      <w:r w:rsidRPr="00404E7F">
        <w:rPr>
          <w:rFonts w:cs="Times New Roman"/>
          <w:sz w:val="20"/>
          <w:szCs w:val="20"/>
        </w:rPr>
        <w:t xml:space="preserve"> </w:t>
      </w:r>
      <w:proofErr w:type="spellStart"/>
      <w:r w:rsidRPr="00404E7F">
        <w:rPr>
          <w:rFonts w:cs="Times New Roman"/>
          <w:i/>
          <w:iCs/>
          <w:sz w:val="20"/>
          <w:szCs w:val="20"/>
        </w:rPr>
        <w:t>Coady</w:t>
      </w:r>
      <w:proofErr w:type="spellEnd"/>
      <w:r w:rsidRPr="00404E7F">
        <w:rPr>
          <w:rFonts w:cs="Times New Roman"/>
          <w:sz w:val="20"/>
          <w:szCs w:val="20"/>
        </w:rPr>
        <w:t xml:space="preserve">, </w:t>
      </w:r>
      <w:r w:rsidRPr="00404E7F">
        <w:rPr>
          <w:rFonts w:cs="Times New Roman"/>
          <w:i/>
          <w:iCs/>
          <w:sz w:val="20"/>
          <w:szCs w:val="20"/>
        </w:rPr>
        <w:t>Dave Joe</w:t>
      </w:r>
      <w:r w:rsidRPr="00404E7F">
        <w:rPr>
          <w:rFonts w:cs="Times New Roman"/>
          <w:sz w:val="20"/>
          <w:szCs w:val="20"/>
        </w:rPr>
        <w:t xml:space="preserve"> and</w:t>
      </w:r>
      <w:r w:rsidRPr="00404E7F">
        <w:rPr>
          <w:rFonts w:cs="Times New Roman"/>
          <w:i/>
          <w:iCs/>
          <w:sz w:val="20"/>
          <w:szCs w:val="20"/>
        </w:rPr>
        <w:t xml:space="preserve"> </w:t>
      </w:r>
      <w:proofErr w:type="spellStart"/>
      <w:r w:rsidRPr="00404E7F">
        <w:rPr>
          <w:rFonts w:cs="Times New Roman"/>
          <w:i/>
          <w:iCs/>
          <w:sz w:val="20"/>
          <w:szCs w:val="20"/>
        </w:rPr>
        <w:t>Daryn</w:t>
      </w:r>
      <w:proofErr w:type="spellEnd"/>
      <w:r w:rsidRPr="00404E7F">
        <w:rPr>
          <w:rFonts w:cs="Times New Roman"/>
          <w:i/>
          <w:iCs/>
          <w:sz w:val="20"/>
          <w:szCs w:val="20"/>
        </w:rPr>
        <w:t> R. Leas</w:t>
      </w:r>
      <w:r w:rsidRPr="00404E7F">
        <w:rPr>
          <w:rFonts w:cs="Times New Roman"/>
          <w:sz w:val="20"/>
          <w:szCs w:val="20"/>
        </w:rPr>
        <w:t>, for the intervener the Council of Yukon First Nations.</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Joseph J.</w:t>
      </w:r>
      <w:r w:rsidRPr="00404E7F">
        <w:rPr>
          <w:rFonts w:cs="Times New Roman"/>
          <w:sz w:val="20"/>
          <w:szCs w:val="20"/>
        </w:rPr>
        <w:t xml:space="preserve"> </w:t>
      </w:r>
      <w:proofErr w:type="spellStart"/>
      <w:r w:rsidRPr="00404E7F">
        <w:rPr>
          <w:rFonts w:cs="Times New Roman"/>
          <w:i/>
          <w:iCs/>
          <w:sz w:val="20"/>
          <w:szCs w:val="20"/>
        </w:rPr>
        <w:t>Arvay</w:t>
      </w:r>
      <w:proofErr w:type="spellEnd"/>
      <w:r w:rsidRPr="00404E7F">
        <w:rPr>
          <w:rFonts w:cs="Times New Roman"/>
          <w:sz w:val="20"/>
          <w:szCs w:val="20"/>
        </w:rPr>
        <w:t xml:space="preserve">, </w:t>
      </w:r>
      <w:r w:rsidRPr="00404E7F">
        <w:rPr>
          <w:rFonts w:cs="Times New Roman"/>
          <w:i/>
          <w:iCs/>
          <w:sz w:val="20"/>
          <w:szCs w:val="20"/>
        </w:rPr>
        <w:t>Q.C.</w:t>
      </w:r>
      <w:r w:rsidRPr="00404E7F">
        <w:rPr>
          <w:rFonts w:cs="Times New Roman"/>
          <w:sz w:val="20"/>
          <w:szCs w:val="20"/>
        </w:rPr>
        <w:t xml:space="preserve">, and </w:t>
      </w:r>
      <w:r w:rsidRPr="00404E7F">
        <w:rPr>
          <w:rFonts w:cs="Times New Roman"/>
          <w:i/>
          <w:iCs/>
          <w:sz w:val="20"/>
          <w:szCs w:val="20"/>
        </w:rPr>
        <w:t>Bruce Elwood</w:t>
      </w:r>
      <w:r w:rsidRPr="00404E7F">
        <w:rPr>
          <w:rFonts w:cs="Times New Roman"/>
          <w:sz w:val="20"/>
          <w:szCs w:val="20"/>
        </w:rPr>
        <w:t xml:space="preserve">, for the intervener the </w:t>
      </w:r>
      <w:proofErr w:type="spellStart"/>
      <w:r w:rsidRPr="00404E7F">
        <w:rPr>
          <w:rFonts w:cs="Times New Roman"/>
          <w:sz w:val="20"/>
          <w:szCs w:val="20"/>
        </w:rPr>
        <w:t>Kwanlin</w:t>
      </w:r>
      <w:proofErr w:type="spellEnd"/>
      <w:r w:rsidRPr="00404E7F">
        <w:rPr>
          <w:rFonts w:cs="Times New Roman"/>
          <w:sz w:val="20"/>
          <w:szCs w:val="20"/>
        </w:rPr>
        <w:t xml:space="preserve"> </w:t>
      </w:r>
      <w:proofErr w:type="spellStart"/>
      <w:r w:rsidRPr="00404E7F">
        <w:rPr>
          <w:rFonts w:cs="Times New Roman"/>
          <w:sz w:val="20"/>
          <w:szCs w:val="20"/>
        </w:rPr>
        <w:t>Dün</w:t>
      </w:r>
      <w:proofErr w:type="spellEnd"/>
      <w:r w:rsidRPr="00404E7F">
        <w:rPr>
          <w:rFonts w:cs="Times New Roman"/>
          <w:sz w:val="20"/>
          <w:szCs w:val="20"/>
        </w:rPr>
        <w:t xml:space="preserve"> First Nation.</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James R.</w:t>
      </w:r>
      <w:r w:rsidRPr="00404E7F">
        <w:rPr>
          <w:rFonts w:cs="Times New Roman"/>
          <w:sz w:val="20"/>
          <w:szCs w:val="20"/>
        </w:rPr>
        <w:t xml:space="preserve"> </w:t>
      </w:r>
      <w:r w:rsidRPr="00404E7F">
        <w:rPr>
          <w:rFonts w:cs="Times New Roman"/>
          <w:i/>
          <w:iCs/>
          <w:sz w:val="20"/>
          <w:szCs w:val="20"/>
        </w:rPr>
        <w:t>Aldridge</w:t>
      </w:r>
      <w:r w:rsidRPr="00404E7F">
        <w:rPr>
          <w:rFonts w:cs="Times New Roman"/>
          <w:sz w:val="20"/>
          <w:szCs w:val="20"/>
        </w:rPr>
        <w:t xml:space="preserve">, </w:t>
      </w:r>
      <w:r w:rsidRPr="00404E7F">
        <w:rPr>
          <w:rFonts w:cs="Times New Roman"/>
          <w:i/>
          <w:iCs/>
          <w:sz w:val="20"/>
          <w:szCs w:val="20"/>
        </w:rPr>
        <w:t>Q.C.</w:t>
      </w:r>
      <w:r w:rsidRPr="00404E7F">
        <w:rPr>
          <w:rFonts w:cs="Times New Roman"/>
          <w:sz w:val="20"/>
          <w:szCs w:val="20"/>
        </w:rPr>
        <w:t xml:space="preserve">, and </w:t>
      </w:r>
      <w:r w:rsidRPr="00404E7F">
        <w:rPr>
          <w:rFonts w:cs="Times New Roman"/>
          <w:i/>
          <w:iCs/>
          <w:sz w:val="20"/>
          <w:szCs w:val="20"/>
        </w:rPr>
        <w:t xml:space="preserve">Dominique </w:t>
      </w:r>
      <w:proofErr w:type="spellStart"/>
      <w:r w:rsidRPr="00404E7F">
        <w:rPr>
          <w:rFonts w:cs="Times New Roman"/>
          <w:i/>
          <w:iCs/>
          <w:sz w:val="20"/>
          <w:szCs w:val="20"/>
        </w:rPr>
        <w:t>Nouvet</w:t>
      </w:r>
      <w:proofErr w:type="spellEnd"/>
      <w:r w:rsidRPr="00404E7F">
        <w:rPr>
          <w:rFonts w:cs="Times New Roman"/>
          <w:sz w:val="20"/>
          <w:szCs w:val="20"/>
        </w:rPr>
        <w:t xml:space="preserve">, for the intervener Nunavut </w:t>
      </w:r>
      <w:proofErr w:type="spellStart"/>
      <w:r w:rsidRPr="00404E7F">
        <w:rPr>
          <w:rFonts w:cs="Times New Roman"/>
          <w:sz w:val="20"/>
          <w:szCs w:val="20"/>
        </w:rPr>
        <w:t>Tunngavik</w:t>
      </w:r>
      <w:proofErr w:type="spellEnd"/>
      <w:r w:rsidRPr="00404E7F">
        <w:rPr>
          <w:rFonts w:cs="Times New Roman"/>
          <w:sz w:val="20"/>
          <w:szCs w:val="20"/>
        </w:rPr>
        <w:t xml:space="preserve"> Inc.</w:t>
      </w:r>
      <w:proofErr w:type="gramEnd"/>
    </w:p>
    <w:p w:rsidR="00D0671F" w:rsidRPr="00404E7F" w:rsidRDefault="00D0671F" w:rsidP="00D0671F">
      <w:pPr>
        <w:jc w:val="both"/>
        <w:rPr>
          <w:rFonts w:cs="Times New Roman"/>
          <w:sz w:val="20"/>
          <w:szCs w:val="20"/>
        </w:rPr>
      </w:pPr>
      <w:r w:rsidRPr="00404E7F">
        <w:rPr>
          <w:rFonts w:cs="Times New Roman"/>
          <w:sz w:val="20"/>
          <w:szCs w:val="20"/>
        </w:rPr>
        <w:lastRenderedPageBreak/>
        <w:tab/>
      </w:r>
      <w:proofErr w:type="gramStart"/>
      <w:r w:rsidRPr="00404E7F">
        <w:rPr>
          <w:rFonts w:cs="Times New Roman"/>
          <w:i/>
          <w:iCs/>
          <w:sz w:val="20"/>
          <w:szCs w:val="20"/>
        </w:rPr>
        <w:t>John</w:t>
      </w:r>
      <w:r w:rsidRPr="00404E7F">
        <w:rPr>
          <w:rFonts w:cs="Times New Roman"/>
          <w:sz w:val="20"/>
          <w:szCs w:val="20"/>
        </w:rPr>
        <w:t xml:space="preserve"> </w:t>
      </w:r>
      <w:proofErr w:type="spellStart"/>
      <w:r w:rsidRPr="00404E7F">
        <w:rPr>
          <w:rFonts w:cs="Times New Roman"/>
          <w:i/>
          <w:iCs/>
          <w:sz w:val="20"/>
          <w:szCs w:val="20"/>
        </w:rPr>
        <w:t>Donihee</w:t>
      </w:r>
      <w:proofErr w:type="spellEnd"/>
      <w:r w:rsidRPr="00404E7F">
        <w:rPr>
          <w:rFonts w:cs="Times New Roman"/>
          <w:sz w:val="20"/>
          <w:szCs w:val="20"/>
        </w:rPr>
        <w:t xml:space="preserve">, for the intervener the </w:t>
      </w:r>
      <w:proofErr w:type="spellStart"/>
      <w:r w:rsidRPr="00404E7F">
        <w:rPr>
          <w:rFonts w:cs="Times New Roman"/>
          <w:sz w:val="20"/>
          <w:szCs w:val="20"/>
        </w:rPr>
        <w:t>Tlicho</w:t>
      </w:r>
      <w:proofErr w:type="spellEnd"/>
      <w:r w:rsidRPr="00404E7F">
        <w:rPr>
          <w:rFonts w:cs="Times New Roman"/>
          <w:sz w:val="20"/>
          <w:szCs w:val="20"/>
        </w:rPr>
        <w:t xml:space="preserve"> Government.</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Robert J. M.</w:t>
      </w:r>
      <w:r w:rsidRPr="00404E7F">
        <w:rPr>
          <w:rFonts w:cs="Times New Roman"/>
          <w:sz w:val="20"/>
          <w:szCs w:val="20"/>
        </w:rPr>
        <w:t xml:space="preserve"> </w:t>
      </w:r>
      <w:proofErr w:type="spellStart"/>
      <w:r w:rsidRPr="00404E7F">
        <w:rPr>
          <w:rFonts w:cs="Times New Roman"/>
          <w:i/>
          <w:iCs/>
          <w:sz w:val="20"/>
          <w:szCs w:val="20"/>
        </w:rPr>
        <w:t>Janes</w:t>
      </w:r>
      <w:proofErr w:type="spellEnd"/>
      <w:r w:rsidRPr="00404E7F">
        <w:rPr>
          <w:rFonts w:cs="Times New Roman"/>
          <w:sz w:val="20"/>
          <w:szCs w:val="20"/>
        </w:rPr>
        <w:t xml:space="preserve"> and </w:t>
      </w:r>
      <w:proofErr w:type="spellStart"/>
      <w:r w:rsidRPr="00404E7F">
        <w:rPr>
          <w:rFonts w:cs="Times New Roman"/>
          <w:i/>
          <w:iCs/>
          <w:sz w:val="20"/>
          <w:szCs w:val="20"/>
        </w:rPr>
        <w:t>Karey</w:t>
      </w:r>
      <w:proofErr w:type="spellEnd"/>
      <w:r w:rsidRPr="00404E7F">
        <w:rPr>
          <w:rFonts w:cs="Times New Roman"/>
          <w:i/>
          <w:iCs/>
          <w:sz w:val="20"/>
          <w:szCs w:val="20"/>
        </w:rPr>
        <w:t> M. Brooks</w:t>
      </w:r>
      <w:r w:rsidRPr="00404E7F">
        <w:rPr>
          <w:rFonts w:cs="Times New Roman"/>
          <w:sz w:val="20"/>
          <w:szCs w:val="20"/>
        </w:rPr>
        <w:t xml:space="preserve">, for the intervener the </w:t>
      </w:r>
      <w:proofErr w:type="spellStart"/>
      <w:r w:rsidRPr="00404E7F">
        <w:rPr>
          <w:rFonts w:cs="Times New Roman"/>
          <w:sz w:val="20"/>
          <w:szCs w:val="20"/>
        </w:rPr>
        <w:t>Te’Mexw</w:t>
      </w:r>
      <w:proofErr w:type="spellEnd"/>
      <w:r w:rsidRPr="00404E7F">
        <w:rPr>
          <w:rFonts w:cs="Times New Roman"/>
          <w:sz w:val="20"/>
          <w:szCs w:val="20"/>
        </w:rPr>
        <w:t xml:space="preserve"> Nations.</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proofErr w:type="gramStart"/>
      <w:r w:rsidRPr="00404E7F">
        <w:rPr>
          <w:rFonts w:cs="Times New Roman"/>
          <w:i/>
          <w:iCs/>
          <w:sz w:val="20"/>
          <w:szCs w:val="20"/>
        </w:rPr>
        <w:t>Peter W.</w:t>
      </w:r>
      <w:r w:rsidRPr="00404E7F">
        <w:rPr>
          <w:rFonts w:cs="Times New Roman"/>
          <w:sz w:val="20"/>
          <w:szCs w:val="20"/>
        </w:rPr>
        <w:t xml:space="preserve"> </w:t>
      </w:r>
      <w:r w:rsidRPr="00404E7F">
        <w:rPr>
          <w:rFonts w:cs="Times New Roman"/>
          <w:i/>
          <w:iCs/>
          <w:sz w:val="20"/>
          <w:szCs w:val="20"/>
        </w:rPr>
        <w:t>Hutchins</w:t>
      </w:r>
      <w:r w:rsidRPr="00404E7F">
        <w:rPr>
          <w:rFonts w:cs="Times New Roman"/>
          <w:sz w:val="20"/>
          <w:szCs w:val="20"/>
        </w:rPr>
        <w:t xml:space="preserve"> and </w:t>
      </w:r>
      <w:r w:rsidRPr="00404E7F">
        <w:rPr>
          <w:rFonts w:cs="Times New Roman"/>
          <w:i/>
          <w:iCs/>
          <w:sz w:val="20"/>
          <w:szCs w:val="20"/>
        </w:rPr>
        <w:t>Julie Corry</w:t>
      </w:r>
      <w:r w:rsidRPr="00404E7F">
        <w:rPr>
          <w:rFonts w:cs="Times New Roman"/>
          <w:sz w:val="20"/>
          <w:szCs w:val="20"/>
        </w:rPr>
        <w:t>, for the intervener the Assembly of First Nations.</w:t>
      </w:r>
      <w:proofErr w:type="gramEnd"/>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sz w:val="20"/>
          <w:szCs w:val="20"/>
        </w:rPr>
      </w:pPr>
      <w:r w:rsidRPr="00404E7F">
        <w:rPr>
          <w:rFonts w:cs="Times New Roman"/>
          <w:sz w:val="20"/>
          <w:szCs w:val="20"/>
        </w:rPr>
        <w:tab/>
      </w:r>
      <w:r w:rsidRPr="00404E7F">
        <w:rPr>
          <w:rFonts w:cs="Times New Roman"/>
          <w:i/>
          <w:iCs/>
          <w:sz w:val="20"/>
          <w:szCs w:val="20"/>
        </w:rPr>
        <w:t xml:space="preserve">Solicitors for the appellants/respondents on </w:t>
      </w:r>
      <w:proofErr w:type="spellStart"/>
      <w:r w:rsidRPr="00404E7F">
        <w:rPr>
          <w:rFonts w:cs="Times New Roman"/>
          <w:i/>
          <w:iCs/>
          <w:sz w:val="20"/>
          <w:szCs w:val="20"/>
        </w:rPr>
        <w:t>cross</w:t>
      </w:r>
      <w:r w:rsidRPr="00404E7F">
        <w:rPr>
          <w:rFonts w:cs="Times New Roman"/>
          <w:i/>
          <w:iCs/>
          <w:sz w:val="20"/>
          <w:szCs w:val="20"/>
        </w:rPr>
        <w:noBreakHyphen/>
        <w:t>appeal</w:t>
      </w:r>
      <w:proofErr w:type="spellEnd"/>
      <w:r w:rsidRPr="00404E7F">
        <w:rPr>
          <w:rFonts w:cs="Times New Roman"/>
          <w:i/>
          <w:iCs/>
          <w:sz w:val="20"/>
          <w:szCs w:val="20"/>
        </w:rPr>
        <w:t xml:space="preserve">:  Lawson </w:t>
      </w:r>
      <w:proofErr w:type="spellStart"/>
      <w:r w:rsidRPr="00404E7F">
        <w:rPr>
          <w:rFonts w:cs="Times New Roman"/>
          <w:i/>
          <w:iCs/>
          <w:sz w:val="20"/>
          <w:szCs w:val="20"/>
        </w:rPr>
        <w:t>Lundell</w:t>
      </w:r>
      <w:proofErr w:type="spellEnd"/>
      <w:r w:rsidRPr="00404E7F">
        <w:rPr>
          <w:rFonts w:cs="Times New Roman"/>
          <w:i/>
          <w:iCs/>
          <w:sz w:val="20"/>
          <w:szCs w:val="20"/>
        </w:rPr>
        <w:t>, Vancouver.</w:t>
      </w:r>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i/>
          <w:iCs/>
          <w:sz w:val="20"/>
          <w:szCs w:val="20"/>
        </w:rPr>
      </w:pPr>
      <w:r w:rsidRPr="00404E7F">
        <w:rPr>
          <w:rFonts w:cs="Times New Roman"/>
          <w:sz w:val="20"/>
          <w:szCs w:val="20"/>
        </w:rPr>
        <w:tab/>
      </w:r>
      <w:r w:rsidRPr="00404E7F">
        <w:rPr>
          <w:rFonts w:cs="Times New Roman"/>
          <w:i/>
          <w:iCs/>
          <w:sz w:val="20"/>
          <w:szCs w:val="20"/>
        </w:rPr>
        <w:t xml:space="preserve">Solicitors for the respondents/appellants on </w:t>
      </w:r>
      <w:proofErr w:type="spellStart"/>
      <w:r w:rsidRPr="00404E7F">
        <w:rPr>
          <w:rFonts w:cs="Times New Roman"/>
          <w:i/>
          <w:iCs/>
          <w:sz w:val="20"/>
          <w:szCs w:val="20"/>
        </w:rPr>
        <w:t>cross</w:t>
      </w:r>
      <w:r w:rsidRPr="00404E7F">
        <w:rPr>
          <w:rFonts w:cs="Times New Roman"/>
          <w:i/>
          <w:iCs/>
          <w:sz w:val="20"/>
          <w:szCs w:val="20"/>
        </w:rPr>
        <w:noBreakHyphen/>
        <w:t>appeal</w:t>
      </w:r>
      <w:proofErr w:type="spellEnd"/>
      <w:r w:rsidRPr="00404E7F">
        <w:rPr>
          <w:rFonts w:cs="Times New Roman"/>
          <w:i/>
          <w:iCs/>
          <w:sz w:val="20"/>
          <w:szCs w:val="20"/>
        </w:rPr>
        <w:t>:  </w:t>
      </w:r>
      <w:proofErr w:type="spellStart"/>
      <w:r w:rsidRPr="00404E7F">
        <w:rPr>
          <w:rFonts w:cs="Times New Roman"/>
          <w:i/>
          <w:iCs/>
          <w:sz w:val="20"/>
          <w:szCs w:val="20"/>
        </w:rPr>
        <w:t>Pape</w:t>
      </w:r>
      <w:proofErr w:type="spellEnd"/>
      <w:r w:rsidRPr="00404E7F">
        <w:rPr>
          <w:rFonts w:cs="Times New Roman"/>
          <w:i/>
          <w:iCs/>
          <w:sz w:val="20"/>
          <w:szCs w:val="20"/>
        </w:rPr>
        <w:t xml:space="preserve"> Salter </w:t>
      </w:r>
      <w:proofErr w:type="spellStart"/>
      <w:r w:rsidRPr="00404E7F">
        <w:rPr>
          <w:rFonts w:cs="Times New Roman"/>
          <w:i/>
          <w:iCs/>
          <w:sz w:val="20"/>
          <w:szCs w:val="20"/>
        </w:rPr>
        <w:t>Teillet</w:t>
      </w:r>
      <w:proofErr w:type="spellEnd"/>
      <w:r w:rsidRPr="00404E7F">
        <w:rPr>
          <w:rFonts w:cs="Times New Roman"/>
          <w:i/>
          <w:iCs/>
          <w:sz w:val="20"/>
          <w:szCs w:val="20"/>
        </w:rPr>
        <w:t>, Vancouver.</w:t>
      </w:r>
    </w:p>
    <w:p w:rsidR="00D0671F" w:rsidRPr="00404E7F" w:rsidRDefault="00D0671F" w:rsidP="00D0671F">
      <w:pPr>
        <w:jc w:val="both"/>
        <w:rPr>
          <w:rFonts w:cs="Times New Roman"/>
          <w:sz w:val="20"/>
          <w:szCs w:val="20"/>
        </w:rPr>
      </w:pPr>
    </w:p>
    <w:p w:rsidR="00D0671F" w:rsidRPr="00404E7F" w:rsidRDefault="00D0671F" w:rsidP="00D0671F">
      <w:pPr>
        <w:jc w:val="both"/>
        <w:rPr>
          <w:rFonts w:cs="Times New Roman"/>
          <w:i/>
          <w:iCs/>
          <w:sz w:val="20"/>
          <w:szCs w:val="20"/>
        </w:rPr>
      </w:pPr>
      <w:r w:rsidRPr="00404E7F">
        <w:rPr>
          <w:rFonts w:cs="Times New Roman"/>
          <w:sz w:val="20"/>
          <w:szCs w:val="20"/>
        </w:rPr>
        <w:tab/>
      </w:r>
      <w:r w:rsidRPr="00404E7F">
        <w:rPr>
          <w:rFonts w:cs="Times New Roman"/>
          <w:i/>
          <w:iCs/>
          <w:sz w:val="20"/>
          <w:szCs w:val="20"/>
        </w:rPr>
        <w:t>Solicitor for the intervener the Attorney General of Canada:  Attorney General of Canada, Vancouver.</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Solicitor for the intervener the Attorney General of Quebec:  </w:t>
      </w:r>
      <w:proofErr w:type="spellStart"/>
      <w:r w:rsidRPr="00404E7F">
        <w:rPr>
          <w:rFonts w:cs="Times New Roman"/>
          <w:i/>
          <w:iCs/>
          <w:sz w:val="20"/>
          <w:szCs w:val="20"/>
        </w:rPr>
        <w:t>Attorney</w:t>
      </w:r>
      <w:r w:rsidRPr="00404E7F">
        <w:rPr>
          <w:rFonts w:cs="Times New Roman"/>
          <w:i/>
          <w:iCs/>
          <w:sz w:val="20"/>
          <w:szCs w:val="20"/>
        </w:rPr>
        <w:noBreakHyphen/>
        <w:t>General</w:t>
      </w:r>
      <w:proofErr w:type="spellEnd"/>
      <w:r w:rsidRPr="00404E7F">
        <w:rPr>
          <w:rFonts w:cs="Times New Roman"/>
          <w:i/>
          <w:iCs/>
          <w:sz w:val="20"/>
          <w:szCs w:val="20"/>
        </w:rPr>
        <w:t xml:space="preserve"> of Quebec, Québec.</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Solicitor for the intervener the Attorney General of Newfoundland and Labrador:  Attorney General of Newfoundland and Labrador, St. John’s.</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Solicitors for the interveners the </w:t>
      </w:r>
      <w:proofErr w:type="spellStart"/>
      <w:r w:rsidRPr="00404E7F">
        <w:rPr>
          <w:rFonts w:cs="Times New Roman"/>
          <w:i/>
          <w:iCs/>
          <w:sz w:val="20"/>
          <w:szCs w:val="20"/>
        </w:rPr>
        <w:t>Gwich’in</w:t>
      </w:r>
      <w:proofErr w:type="spellEnd"/>
      <w:r w:rsidRPr="00404E7F">
        <w:rPr>
          <w:rFonts w:cs="Times New Roman"/>
          <w:i/>
          <w:iCs/>
          <w:sz w:val="20"/>
          <w:szCs w:val="20"/>
        </w:rPr>
        <w:t xml:space="preserve"> Tribal Council and </w:t>
      </w:r>
      <w:proofErr w:type="spellStart"/>
      <w:r w:rsidRPr="00404E7F">
        <w:rPr>
          <w:rFonts w:cs="Times New Roman"/>
          <w:i/>
          <w:iCs/>
          <w:sz w:val="20"/>
          <w:szCs w:val="20"/>
        </w:rPr>
        <w:t>Sahtu</w:t>
      </w:r>
      <w:proofErr w:type="spellEnd"/>
      <w:r w:rsidRPr="00404E7F">
        <w:rPr>
          <w:rFonts w:cs="Times New Roman"/>
          <w:i/>
          <w:iCs/>
          <w:sz w:val="20"/>
          <w:szCs w:val="20"/>
        </w:rPr>
        <w:t xml:space="preserve"> Secretariat Inc.:  </w:t>
      </w:r>
      <w:proofErr w:type="spellStart"/>
      <w:r w:rsidRPr="00404E7F">
        <w:rPr>
          <w:rFonts w:cs="Times New Roman"/>
          <w:i/>
          <w:iCs/>
          <w:sz w:val="20"/>
          <w:szCs w:val="20"/>
        </w:rPr>
        <w:t>Gowling</w:t>
      </w:r>
      <w:proofErr w:type="spellEnd"/>
      <w:r w:rsidRPr="00404E7F">
        <w:rPr>
          <w:rFonts w:cs="Times New Roman"/>
          <w:i/>
          <w:iCs/>
          <w:sz w:val="20"/>
          <w:szCs w:val="20"/>
        </w:rPr>
        <w:t xml:space="preserve"> </w:t>
      </w:r>
      <w:proofErr w:type="spellStart"/>
      <w:r w:rsidRPr="00404E7F">
        <w:rPr>
          <w:rFonts w:cs="Times New Roman"/>
          <w:i/>
          <w:iCs/>
          <w:sz w:val="20"/>
          <w:szCs w:val="20"/>
        </w:rPr>
        <w:t>Lafleur</w:t>
      </w:r>
      <w:proofErr w:type="spellEnd"/>
      <w:r w:rsidRPr="00404E7F">
        <w:rPr>
          <w:rFonts w:cs="Times New Roman"/>
          <w:i/>
          <w:iCs/>
          <w:sz w:val="20"/>
          <w:szCs w:val="20"/>
        </w:rPr>
        <w:t xml:space="preserve"> Henderson, Ottawa.</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Solicitors for the intervener the Grand Council of the </w:t>
      </w:r>
      <w:proofErr w:type="spellStart"/>
      <w:r w:rsidRPr="00404E7F">
        <w:rPr>
          <w:rFonts w:cs="Times New Roman"/>
          <w:i/>
          <w:iCs/>
          <w:sz w:val="20"/>
          <w:szCs w:val="20"/>
        </w:rPr>
        <w:t>Crees</w:t>
      </w:r>
      <w:proofErr w:type="spellEnd"/>
      <w:r w:rsidRPr="00404E7F">
        <w:rPr>
          <w:rFonts w:cs="Times New Roman"/>
          <w:i/>
          <w:iCs/>
          <w:sz w:val="20"/>
          <w:szCs w:val="20"/>
        </w:rPr>
        <w:t xml:space="preserve"> (</w:t>
      </w:r>
      <w:proofErr w:type="spellStart"/>
      <w:r w:rsidRPr="00404E7F">
        <w:rPr>
          <w:rFonts w:cs="Times New Roman"/>
          <w:i/>
          <w:iCs/>
          <w:sz w:val="20"/>
          <w:szCs w:val="20"/>
        </w:rPr>
        <w:t>Eeyou</w:t>
      </w:r>
      <w:proofErr w:type="spellEnd"/>
      <w:r w:rsidRPr="00404E7F">
        <w:rPr>
          <w:rFonts w:cs="Times New Roman"/>
          <w:i/>
          <w:iCs/>
          <w:sz w:val="20"/>
          <w:szCs w:val="20"/>
        </w:rPr>
        <w:t xml:space="preserve"> </w:t>
      </w:r>
      <w:proofErr w:type="spellStart"/>
      <w:r w:rsidRPr="00404E7F">
        <w:rPr>
          <w:rFonts w:cs="Times New Roman"/>
          <w:i/>
          <w:iCs/>
          <w:sz w:val="20"/>
          <w:szCs w:val="20"/>
        </w:rPr>
        <w:t>Istchee</w:t>
      </w:r>
      <w:proofErr w:type="spellEnd"/>
      <w:r w:rsidRPr="00404E7F">
        <w:rPr>
          <w:rFonts w:cs="Times New Roman"/>
          <w:i/>
          <w:iCs/>
          <w:sz w:val="20"/>
          <w:szCs w:val="20"/>
        </w:rPr>
        <w:t>)/Cree Regional Authority:  </w:t>
      </w:r>
      <w:proofErr w:type="spellStart"/>
      <w:r w:rsidRPr="00404E7F">
        <w:rPr>
          <w:rFonts w:cs="Times New Roman"/>
          <w:i/>
          <w:iCs/>
          <w:sz w:val="20"/>
          <w:szCs w:val="20"/>
        </w:rPr>
        <w:t>Gowling</w:t>
      </w:r>
      <w:proofErr w:type="spellEnd"/>
      <w:r w:rsidRPr="00404E7F">
        <w:rPr>
          <w:rFonts w:cs="Times New Roman"/>
          <w:i/>
          <w:iCs/>
          <w:sz w:val="20"/>
          <w:szCs w:val="20"/>
        </w:rPr>
        <w:t xml:space="preserve"> </w:t>
      </w:r>
      <w:proofErr w:type="spellStart"/>
      <w:r w:rsidRPr="00404E7F">
        <w:rPr>
          <w:rFonts w:cs="Times New Roman"/>
          <w:i/>
          <w:iCs/>
          <w:sz w:val="20"/>
          <w:szCs w:val="20"/>
        </w:rPr>
        <w:t>Lafleur</w:t>
      </w:r>
      <w:proofErr w:type="spellEnd"/>
      <w:r w:rsidRPr="00404E7F">
        <w:rPr>
          <w:rFonts w:cs="Times New Roman"/>
          <w:i/>
          <w:iCs/>
          <w:sz w:val="20"/>
          <w:szCs w:val="20"/>
        </w:rPr>
        <w:t xml:space="preserve"> Henderson, Montréal.</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Solicitors for the intervener the Council of Yukon First Nations:  </w:t>
      </w:r>
      <w:proofErr w:type="spellStart"/>
      <w:r w:rsidRPr="00404E7F">
        <w:rPr>
          <w:rFonts w:cs="Times New Roman"/>
          <w:i/>
          <w:iCs/>
          <w:sz w:val="20"/>
          <w:szCs w:val="20"/>
        </w:rPr>
        <w:t>Boughton</w:t>
      </w:r>
      <w:proofErr w:type="spellEnd"/>
      <w:r w:rsidRPr="00404E7F">
        <w:rPr>
          <w:rFonts w:cs="Times New Roman"/>
          <w:i/>
          <w:iCs/>
          <w:sz w:val="20"/>
          <w:szCs w:val="20"/>
        </w:rPr>
        <w:t xml:space="preserve"> Law Corporation, Vancouver.</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Solicitors for the intervener the </w:t>
      </w:r>
      <w:proofErr w:type="spellStart"/>
      <w:r w:rsidRPr="00404E7F">
        <w:rPr>
          <w:rFonts w:cs="Times New Roman"/>
          <w:i/>
          <w:iCs/>
          <w:sz w:val="20"/>
          <w:szCs w:val="20"/>
        </w:rPr>
        <w:t>Kwanlin</w:t>
      </w:r>
      <w:proofErr w:type="spellEnd"/>
      <w:r w:rsidRPr="00404E7F">
        <w:rPr>
          <w:rFonts w:cs="Times New Roman"/>
          <w:i/>
          <w:iCs/>
          <w:sz w:val="20"/>
          <w:szCs w:val="20"/>
        </w:rPr>
        <w:t xml:space="preserve"> </w:t>
      </w:r>
      <w:proofErr w:type="spellStart"/>
      <w:r w:rsidRPr="00404E7F">
        <w:rPr>
          <w:rFonts w:cs="Times New Roman"/>
          <w:i/>
          <w:iCs/>
          <w:sz w:val="20"/>
          <w:szCs w:val="20"/>
        </w:rPr>
        <w:t>Dün</w:t>
      </w:r>
      <w:proofErr w:type="spellEnd"/>
      <w:r w:rsidRPr="00404E7F">
        <w:rPr>
          <w:rFonts w:cs="Times New Roman"/>
          <w:i/>
          <w:iCs/>
          <w:sz w:val="20"/>
          <w:szCs w:val="20"/>
        </w:rPr>
        <w:t xml:space="preserve"> First Nation:  </w:t>
      </w:r>
      <w:proofErr w:type="spellStart"/>
      <w:r w:rsidRPr="00404E7F">
        <w:rPr>
          <w:rFonts w:cs="Times New Roman"/>
          <w:i/>
          <w:iCs/>
          <w:sz w:val="20"/>
          <w:szCs w:val="20"/>
        </w:rPr>
        <w:t>Arvay</w:t>
      </w:r>
      <w:proofErr w:type="spellEnd"/>
      <w:r w:rsidRPr="00404E7F">
        <w:rPr>
          <w:rFonts w:cs="Times New Roman"/>
          <w:i/>
          <w:iCs/>
          <w:sz w:val="20"/>
          <w:szCs w:val="20"/>
        </w:rPr>
        <w:t xml:space="preserve"> Finlay, Vancouver.</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Solicitors for the intervener Nunavut </w:t>
      </w:r>
      <w:proofErr w:type="spellStart"/>
      <w:r w:rsidRPr="00404E7F">
        <w:rPr>
          <w:rFonts w:cs="Times New Roman"/>
          <w:i/>
          <w:iCs/>
          <w:sz w:val="20"/>
          <w:szCs w:val="20"/>
        </w:rPr>
        <w:t>Tunngavik</w:t>
      </w:r>
      <w:proofErr w:type="spellEnd"/>
      <w:r w:rsidRPr="00404E7F">
        <w:rPr>
          <w:rFonts w:cs="Times New Roman"/>
          <w:i/>
          <w:iCs/>
          <w:sz w:val="20"/>
          <w:szCs w:val="20"/>
        </w:rPr>
        <w:t xml:space="preserve"> Inc.:  </w:t>
      </w:r>
      <w:proofErr w:type="spellStart"/>
      <w:r w:rsidRPr="00404E7F">
        <w:rPr>
          <w:rFonts w:cs="Times New Roman"/>
          <w:i/>
          <w:iCs/>
          <w:sz w:val="20"/>
          <w:szCs w:val="20"/>
        </w:rPr>
        <w:t>Rosenbloom</w:t>
      </w:r>
      <w:proofErr w:type="spellEnd"/>
      <w:r w:rsidRPr="00404E7F">
        <w:rPr>
          <w:rFonts w:cs="Times New Roman"/>
          <w:i/>
          <w:iCs/>
          <w:sz w:val="20"/>
          <w:szCs w:val="20"/>
        </w:rPr>
        <w:t xml:space="preserve"> Aldridge Bartley &amp; </w:t>
      </w:r>
      <w:proofErr w:type="spellStart"/>
      <w:r w:rsidRPr="00404E7F">
        <w:rPr>
          <w:rFonts w:cs="Times New Roman"/>
          <w:i/>
          <w:iCs/>
          <w:sz w:val="20"/>
          <w:szCs w:val="20"/>
        </w:rPr>
        <w:t>Rosling</w:t>
      </w:r>
      <w:proofErr w:type="spellEnd"/>
      <w:r w:rsidRPr="00404E7F">
        <w:rPr>
          <w:rFonts w:cs="Times New Roman"/>
          <w:i/>
          <w:iCs/>
          <w:sz w:val="20"/>
          <w:szCs w:val="20"/>
        </w:rPr>
        <w:t>, Vancouver.</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 for the intervener the </w:t>
      </w:r>
      <w:proofErr w:type="spellStart"/>
      <w:r w:rsidRPr="00404E7F">
        <w:rPr>
          <w:rFonts w:cs="Times New Roman"/>
          <w:i/>
          <w:iCs/>
          <w:sz w:val="20"/>
          <w:szCs w:val="20"/>
        </w:rPr>
        <w:t>Tlicho</w:t>
      </w:r>
      <w:proofErr w:type="spellEnd"/>
      <w:r w:rsidRPr="00404E7F">
        <w:rPr>
          <w:rFonts w:cs="Times New Roman"/>
          <w:i/>
          <w:iCs/>
          <w:sz w:val="20"/>
          <w:szCs w:val="20"/>
        </w:rPr>
        <w:t xml:space="preserve"> Government:  John </w:t>
      </w:r>
      <w:proofErr w:type="spellStart"/>
      <w:r w:rsidRPr="00404E7F">
        <w:rPr>
          <w:rFonts w:cs="Times New Roman"/>
          <w:i/>
          <w:iCs/>
          <w:sz w:val="20"/>
          <w:szCs w:val="20"/>
        </w:rPr>
        <w:t>Donihee</w:t>
      </w:r>
      <w:proofErr w:type="spellEnd"/>
      <w:r w:rsidRPr="00404E7F">
        <w:rPr>
          <w:rFonts w:cs="Times New Roman"/>
          <w:i/>
          <w:iCs/>
          <w:sz w:val="20"/>
          <w:szCs w:val="20"/>
        </w:rPr>
        <w:t>, Calgary.</w:t>
      </w:r>
    </w:p>
    <w:p w:rsidR="00D0671F" w:rsidRPr="00404E7F" w:rsidRDefault="00D0671F" w:rsidP="00D0671F">
      <w:pPr>
        <w:jc w:val="both"/>
        <w:rPr>
          <w:rFonts w:cs="Times New Roman"/>
          <w:i/>
          <w:iCs/>
          <w:sz w:val="20"/>
          <w:szCs w:val="20"/>
        </w:rPr>
      </w:pPr>
    </w:p>
    <w:p w:rsidR="00D0671F" w:rsidRPr="00404E7F" w:rsidRDefault="00D0671F" w:rsidP="00D0671F">
      <w:pPr>
        <w:jc w:val="both"/>
        <w:rPr>
          <w:rFonts w:cs="Times New Roman"/>
          <w:i/>
          <w:iCs/>
          <w:sz w:val="20"/>
          <w:szCs w:val="20"/>
        </w:rPr>
      </w:pPr>
      <w:r w:rsidRPr="00404E7F">
        <w:rPr>
          <w:rFonts w:cs="Times New Roman"/>
          <w:i/>
          <w:iCs/>
          <w:sz w:val="20"/>
          <w:szCs w:val="20"/>
        </w:rPr>
        <w:tab/>
        <w:t xml:space="preserve">Solicitors for the intervener the </w:t>
      </w:r>
      <w:proofErr w:type="spellStart"/>
      <w:r w:rsidRPr="00404E7F">
        <w:rPr>
          <w:rFonts w:cs="Times New Roman"/>
          <w:i/>
          <w:iCs/>
          <w:sz w:val="20"/>
          <w:szCs w:val="20"/>
        </w:rPr>
        <w:t>Te’Mexw</w:t>
      </w:r>
      <w:proofErr w:type="spellEnd"/>
      <w:r w:rsidRPr="00404E7F">
        <w:rPr>
          <w:rFonts w:cs="Times New Roman"/>
          <w:i/>
          <w:iCs/>
          <w:sz w:val="20"/>
          <w:szCs w:val="20"/>
        </w:rPr>
        <w:t xml:space="preserve"> Nations:  </w:t>
      </w:r>
      <w:proofErr w:type="spellStart"/>
      <w:r w:rsidRPr="00404E7F">
        <w:rPr>
          <w:rFonts w:cs="Times New Roman"/>
          <w:i/>
          <w:iCs/>
          <w:sz w:val="20"/>
          <w:szCs w:val="20"/>
        </w:rPr>
        <w:t>Janes</w:t>
      </w:r>
      <w:proofErr w:type="spellEnd"/>
      <w:r w:rsidRPr="00404E7F">
        <w:rPr>
          <w:rFonts w:cs="Times New Roman"/>
          <w:i/>
          <w:iCs/>
          <w:sz w:val="20"/>
          <w:szCs w:val="20"/>
        </w:rPr>
        <w:t xml:space="preserve"> Freedman Kyle Law Corporation, Victoria.</w:t>
      </w:r>
    </w:p>
    <w:p w:rsidR="00D0671F" w:rsidRPr="00404E7F" w:rsidRDefault="00D0671F" w:rsidP="00D0671F">
      <w:pPr>
        <w:jc w:val="both"/>
        <w:rPr>
          <w:rFonts w:cs="Times New Roman"/>
          <w:i/>
          <w:iCs/>
          <w:sz w:val="20"/>
          <w:szCs w:val="20"/>
        </w:rPr>
      </w:pPr>
    </w:p>
    <w:p w:rsidR="00D0671F" w:rsidRPr="00404E7F" w:rsidRDefault="00D0671F" w:rsidP="00D0671F">
      <w:pPr>
        <w:pStyle w:val="SCCLawFirm"/>
        <w:spacing w:line="240" w:lineRule="auto"/>
        <w:rPr>
          <w:iCs/>
          <w:sz w:val="20"/>
        </w:rPr>
      </w:pPr>
      <w:r w:rsidRPr="00404E7F">
        <w:rPr>
          <w:iCs/>
          <w:sz w:val="20"/>
        </w:rPr>
        <w:tab/>
        <w:t xml:space="preserve">Solicitors for the intervener the Assembly of First Nations:  Hutchins Caron &amp; </w:t>
      </w:r>
      <w:proofErr w:type="spellStart"/>
      <w:r w:rsidRPr="00404E7F">
        <w:rPr>
          <w:iCs/>
          <w:sz w:val="20"/>
        </w:rPr>
        <w:t>Associés</w:t>
      </w:r>
      <w:proofErr w:type="spellEnd"/>
      <w:r w:rsidRPr="00404E7F">
        <w:rPr>
          <w:iCs/>
          <w:sz w:val="20"/>
        </w:rPr>
        <w:t>, Montréal.</w:t>
      </w:r>
    </w:p>
    <w:p w:rsidR="00565ADD" w:rsidRPr="00404E7F" w:rsidRDefault="00565ADD" w:rsidP="00565ADD">
      <w:pPr>
        <w:rPr>
          <w:sz w:val="20"/>
          <w:szCs w:val="20"/>
          <w:lang w:val="fr-CA"/>
        </w:rPr>
      </w:pPr>
      <w:r w:rsidRPr="00404E7F">
        <w:rPr>
          <w:sz w:val="20"/>
          <w:szCs w:val="20"/>
          <w:lang w:val="fr-CA"/>
        </w:rPr>
        <w:t>________________________</w:t>
      </w:r>
    </w:p>
    <w:p w:rsidR="00864F35" w:rsidRPr="00404E7F" w:rsidRDefault="00864F35" w:rsidP="00782AE4">
      <w:pPr>
        <w:rPr>
          <w:sz w:val="20"/>
          <w:szCs w:val="20"/>
          <w:lang w:val="fr-CA"/>
        </w:rPr>
      </w:pPr>
    </w:p>
    <w:p w:rsidR="00565ADD" w:rsidRPr="00404E7F" w:rsidRDefault="00565ADD" w:rsidP="00782AE4">
      <w:pPr>
        <w:rPr>
          <w:sz w:val="20"/>
          <w:szCs w:val="20"/>
          <w:lang w:val="fr-CA"/>
        </w:rPr>
      </w:pPr>
    </w:p>
    <w:p w:rsidR="00377DFF" w:rsidRPr="00404E7F" w:rsidRDefault="00377DFF" w:rsidP="00377DFF">
      <w:pPr>
        <w:jc w:val="both"/>
        <w:rPr>
          <w:rFonts w:cs="Times New Roman"/>
          <w:sz w:val="20"/>
          <w:szCs w:val="20"/>
          <w:lang w:val="fr-CA"/>
        </w:rPr>
      </w:pPr>
      <w:r w:rsidRPr="00404E7F">
        <w:rPr>
          <w:rFonts w:cs="Times New Roman"/>
          <w:sz w:val="20"/>
          <w:szCs w:val="20"/>
          <w:lang w:val="fr-CA"/>
        </w:rPr>
        <w:t xml:space="preserve">Présents : La juge en chef </w:t>
      </w:r>
      <w:proofErr w:type="spellStart"/>
      <w:r w:rsidRPr="00404E7F">
        <w:rPr>
          <w:rFonts w:cs="Times New Roman"/>
          <w:sz w:val="20"/>
          <w:szCs w:val="20"/>
          <w:lang w:val="fr-CA"/>
        </w:rPr>
        <w:t>McLachlin</w:t>
      </w:r>
      <w:proofErr w:type="spellEnd"/>
      <w:r w:rsidRPr="00404E7F">
        <w:rPr>
          <w:rFonts w:cs="Times New Roman"/>
          <w:sz w:val="20"/>
          <w:szCs w:val="20"/>
          <w:lang w:val="fr-CA"/>
        </w:rPr>
        <w:t xml:space="preserve"> et les juges </w:t>
      </w:r>
      <w:proofErr w:type="spellStart"/>
      <w:r w:rsidRPr="00404E7F">
        <w:rPr>
          <w:rFonts w:cs="Times New Roman"/>
          <w:sz w:val="20"/>
          <w:szCs w:val="20"/>
          <w:lang w:val="fr-CA"/>
        </w:rPr>
        <w:t>Binnie</w:t>
      </w:r>
      <w:proofErr w:type="spellEnd"/>
      <w:r w:rsidRPr="00404E7F">
        <w:rPr>
          <w:rFonts w:cs="Times New Roman"/>
          <w:sz w:val="20"/>
          <w:szCs w:val="20"/>
          <w:lang w:val="fr-CA"/>
        </w:rPr>
        <w:t xml:space="preserve">, </w:t>
      </w:r>
      <w:proofErr w:type="spellStart"/>
      <w:r w:rsidRPr="00404E7F">
        <w:rPr>
          <w:rFonts w:cs="Times New Roman"/>
          <w:sz w:val="20"/>
          <w:szCs w:val="20"/>
          <w:lang w:val="fr-CA"/>
        </w:rPr>
        <w:t>LeBel</w:t>
      </w:r>
      <w:proofErr w:type="spellEnd"/>
      <w:r w:rsidRPr="00404E7F">
        <w:rPr>
          <w:rFonts w:cs="Times New Roman"/>
          <w:sz w:val="20"/>
          <w:szCs w:val="20"/>
          <w:lang w:val="fr-CA"/>
        </w:rPr>
        <w:t xml:space="preserve">, Deschamps, Fish, Abella, Charron, </w:t>
      </w:r>
      <w:proofErr w:type="spellStart"/>
      <w:r w:rsidRPr="00404E7F">
        <w:rPr>
          <w:rFonts w:cs="Times New Roman"/>
          <w:sz w:val="20"/>
          <w:szCs w:val="20"/>
          <w:lang w:val="fr-CA"/>
        </w:rPr>
        <w:t>Rothstein</w:t>
      </w:r>
      <w:proofErr w:type="spellEnd"/>
      <w:r w:rsidRPr="00404E7F">
        <w:rPr>
          <w:rFonts w:cs="Times New Roman"/>
          <w:sz w:val="20"/>
          <w:szCs w:val="20"/>
          <w:lang w:val="fr-CA"/>
        </w:rPr>
        <w:t xml:space="preserve"> et Cromwell.</w:t>
      </w:r>
    </w:p>
    <w:p w:rsidR="00565ADD" w:rsidRPr="00404E7F" w:rsidRDefault="00565ADD" w:rsidP="00782AE4">
      <w:pPr>
        <w:rPr>
          <w:rFonts w:cs="Times New Roman"/>
          <w:sz w:val="20"/>
          <w:szCs w:val="20"/>
          <w:lang w:val="fr-CA"/>
        </w:rPr>
      </w:pPr>
    </w:p>
    <w:p w:rsidR="007B3A81" w:rsidRPr="00404E7F" w:rsidRDefault="007B3A81" w:rsidP="007B3A81">
      <w:pPr>
        <w:pStyle w:val="SCCNormalDoubleSpacing"/>
        <w:spacing w:line="240" w:lineRule="auto"/>
        <w:rPr>
          <w:i/>
          <w:sz w:val="20"/>
          <w:lang w:val="fr-CA"/>
        </w:rPr>
      </w:pPr>
      <w:r w:rsidRPr="00404E7F">
        <w:rPr>
          <w:sz w:val="20"/>
          <w:lang w:val="fr-CA"/>
        </w:rPr>
        <w:tab/>
      </w:r>
      <w:r w:rsidRPr="00404E7F">
        <w:rPr>
          <w:i/>
          <w:sz w:val="20"/>
          <w:lang w:val="fr-CA"/>
        </w:rPr>
        <w:t>Droit constitutionnel — Autochtones — Droits ancestraux — Revendications territoriales — Obligation de la Couronne de consulter et d’accommoder les Autochtones dans le contexte d’un traité récent relatif à des revendications territoriales globales — Traité accordant aux Autochtones l’accès à leur territoire traditionnel pour y pratiquer la chasse et la pêche de subsistance — Approbation, par la Couronne, d’une demande de concession de terres agricoles dans ce territoire présentée par un non-Autochtone — La Couronne avait-elle l’obligation de consulter et d’accommoder les Autochtones? — Si oui, la Couronne s’est-elle acquittée de cette obligation? — Loi constitutionnelle de 1982, art. 35.</w:t>
      </w:r>
    </w:p>
    <w:p w:rsidR="007B3A81" w:rsidRPr="00404E7F" w:rsidRDefault="007B3A81" w:rsidP="007B3A81">
      <w:pPr>
        <w:pStyle w:val="SCCNormalDoubleSpacing"/>
        <w:spacing w:line="240" w:lineRule="auto"/>
        <w:rPr>
          <w:i/>
          <w:sz w:val="20"/>
          <w:lang w:val="fr-CA"/>
        </w:rPr>
      </w:pPr>
    </w:p>
    <w:p w:rsidR="007B3A81" w:rsidRPr="00404E7F" w:rsidRDefault="007B3A81" w:rsidP="007B3A81">
      <w:pPr>
        <w:pStyle w:val="SCCNormalDoubleSpacing"/>
        <w:spacing w:line="240" w:lineRule="auto"/>
        <w:rPr>
          <w:i/>
          <w:sz w:val="20"/>
          <w:lang w:val="fr-CA"/>
        </w:rPr>
      </w:pPr>
      <w:r w:rsidRPr="00404E7F">
        <w:rPr>
          <w:i/>
          <w:sz w:val="20"/>
          <w:lang w:val="fr-CA"/>
        </w:rPr>
        <w:tab/>
        <w:t>Droit de la Couronne — Honneur de la Couronne — Obligation de consulter et d’accommoder les Autochtones — La Couronne a-t-elle l’obligation de consulter et d’accommoder les Autochtones avant de prendre des décisions susceptibles d’avoir des conséquences négatives sur leurs revendications de titre et de droits?</w:t>
      </w:r>
    </w:p>
    <w:p w:rsidR="007B3A81" w:rsidRPr="00404E7F" w:rsidRDefault="007B3A81" w:rsidP="007B3A81">
      <w:pPr>
        <w:pStyle w:val="SCCNormalDoubleSpacing"/>
        <w:spacing w:line="240" w:lineRule="auto"/>
        <w:rPr>
          <w:i/>
          <w:sz w:val="20"/>
          <w:lang w:val="fr-CA"/>
        </w:rPr>
      </w:pPr>
    </w:p>
    <w:p w:rsidR="007B3A81" w:rsidRPr="00404E7F" w:rsidRDefault="007B3A81" w:rsidP="007B3A81">
      <w:pPr>
        <w:pStyle w:val="SCCNormalDoubleSpacing"/>
        <w:spacing w:line="240" w:lineRule="auto"/>
        <w:rPr>
          <w:i/>
          <w:sz w:val="20"/>
          <w:lang w:val="fr-CA"/>
        </w:rPr>
      </w:pPr>
      <w:r w:rsidRPr="00404E7F">
        <w:rPr>
          <w:i/>
          <w:sz w:val="20"/>
          <w:lang w:val="fr-CA"/>
        </w:rPr>
        <w:tab/>
        <w:t>Droit administratif — Contrôle judiciaire — Norme de contrôle — Le décideur avait-il l’obligation de consulter et d’accommoder les Autochtones? — Si oui, s’est-il acquitté de cette obligation? — Loi sur les terres, L.R.Y. 2002, ch. 132; Loi du Yukon sur les terres territoriales, L.Y. 2003, ch. 17.</w:t>
      </w:r>
    </w:p>
    <w:p w:rsidR="007B3A81" w:rsidRPr="00404E7F" w:rsidRDefault="007B3A81" w:rsidP="007B3A81">
      <w:pPr>
        <w:pStyle w:val="SCCNormalDoubleSpacing"/>
        <w:spacing w:line="240" w:lineRule="auto"/>
        <w:rPr>
          <w:sz w:val="20"/>
          <w:lang w:val="fr-CA"/>
        </w:rPr>
      </w:pPr>
      <w:r w:rsidRPr="00404E7F">
        <w:rPr>
          <w:sz w:val="20"/>
          <w:lang w:val="fr-CA"/>
        </w:rPr>
        <w:lastRenderedPageBreak/>
        <w:tab/>
        <w:t xml:space="preserve">En 1997, après vingt ans de négociations, la première nation </w:t>
      </w:r>
      <w:proofErr w:type="spellStart"/>
      <w:r w:rsidRPr="00404E7F">
        <w:rPr>
          <w:sz w:val="20"/>
          <w:lang w:val="fr-CA"/>
        </w:rPr>
        <w:t>Little</w:t>
      </w:r>
      <w:proofErr w:type="spellEnd"/>
      <w:r w:rsidRPr="00404E7F">
        <w:rPr>
          <w:sz w:val="20"/>
          <w:lang w:val="fr-CA"/>
        </w:rPr>
        <w:t xml:space="preserve"> Salmon/</w:t>
      </w:r>
      <w:proofErr w:type="spellStart"/>
      <w:r w:rsidRPr="00404E7F">
        <w:rPr>
          <w:sz w:val="20"/>
          <w:lang w:val="fr-CA"/>
        </w:rPr>
        <w:t>Carmacks</w:t>
      </w:r>
      <w:proofErr w:type="spellEnd"/>
      <w:r w:rsidRPr="00404E7F">
        <w:rPr>
          <w:sz w:val="20"/>
          <w:lang w:val="fr-CA"/>
        </w:rPr>
        <w:t xml:space="preserve"> a conclu avec les gouvernements du Canada et du Territoire du Yukon un accord sur les revendications territoriales.  Aux termes du traité, les membres de la première nation possèdent, à des fins de chasse et de pêche de subsistance, un droit d’accès à leur territoire traditionnel qui englobe une parcelle de 65 hectares à l’égard de laquelle P a fait une demande de concession de terres agricoles en novembre 2001.  La parcelle visée par la demande de P se trouve dans le territoire de piégeage de S, un membre de la première nation.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La première nation rejette toute allégation que la concession d’une parcelle à P violerait le traité, qui prévoit lui-même que des terres cédées peuvent à l’occasion être prises à d’autres fins, notamment à des fins agricoles.  Mais jusqu’à ce que des terres aient été ainsi prises, les membres de la première nation accordent de l’importance à l’intérêt qu’ils conservent sur les terres cédées à la Couronne (dont les 65 hectares forment une petite partie).  La première nation soutient qu’en examinant la demande de concession de P, le gouvernement territorial a agi sans tenir la consultation requise et sans prendre en compte les préoccupations pertinentes de la première nation.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Le Comité d’examen des demandes concernant les terres (« CEDT ») du gouvernement du Yukon a examiné la demande de P lors d’une réunion à laquelle étaient invités les représentants de la première nation.  Cette dernière ne s’est pas fait représenter à la réunion mais avait présenté une lettre d’opposition à la demande de P.  À la réunion, le CDET a recommandé l’approbation de la demande, et le directeur de la Direction de l’agriculture du ministère de l’Énergie, des Mines et des Ressources du Yukon l’a approuvée au mois d’octobre 2004.  La première nation a fait appel de la décision auprès du sous-ministre adjoint, qui a rejeté la demande de révision.  À l’issue du contrôle judiciaire toutefois, la décision du directeur a été annulée.  Le juge siégeant en cabinet a conclu que le Yukon n’avait pas respecté son obligation de consulter et d’accommoder.  La Cour d’appel a accueilli l’appel du Yukon.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r>
      <w:r w:rsidRPr="00404E7F">
        <w:rPr>
          <w:i/>
          <w:sz w:val="20"/>
          <w:lang w:val="fr-CA"/>
        </w:rPr>
        <w:t>Arrêt</w:t>
      </w:r>
      <w:r w:rsidRPr="00404E7F">
        <w:rPr>
          <w:sz w:val="20"/>
          <w:lang w:val="fr-CA"/>
        </w:rPr>
        <w:t> </w:t>
      </w:r>
      <w:r w:rsidRPr="00404E7F">
        <w:rPr>
          <w:rStyle w:val="QuoteChar"/>
          <w:i w:val="0"/>
          <w:color w:val="auto"/>
          <w:sz w:val="20"/>
        </w:rPr>
        <w:t>: </w:t>
      </w:r>
      <w:r w:rsidRPr="00404E7F">
        <w:rPr>
          <w:sz w:val="20"/>
          <w:lang w:val="fr-CA"/>
        </w:rPr>
        <w:t>Le pourvoi et le pourvoi incident sont rejetés.</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r>
      <w:r w:rsidRPr="00404E7F">
        <w:rPr>
          <w:i/>
          <w:sz w:val="20"/>
          <w:lang w:val="fr-CA"/>
        </w:rPr>
        <w:t>La</w:t>
      </w:r>
      <w:r w:rsidRPr="00404E7F">
        <w:rPr>
          <w:b/>
          <w:i/>
          <w:sz w:val="20"/>
          <w:lang w:val="fr-CA"/>
        </w:rPr>
        <w:t xml:space="preserve"> </w:t>
      </w:r>
      <w:r w:rsidRPr="00404E7F">
        <w:rPr>
          <w:sz w:val="20"/>
          <w:lang w:val="fr-CA"/>
        </w:rPr>
        <w:t xml:space="preserve">juge en chef </w:t>
      </w:r>
      <w:proofErr w:type="spellStart"/>
      <w:r w:rsidRPr="00404E7F">
        <w:rPr>
          <w:sz w:val="20"/>
          <w:lang w:val="fr-CA"/>
        </w:rPr>
        <w:t>McLachlin</w:t>
      </w:r>
      <w:proofErr w:type="spellEnd"/>
      <w:r w:rsidRPr="00404E7F">
        <w:rPr>
          <w:sz w:val="20"/>
          <w:lang w:val="fr-CA"/>
        </w:rPr>
        <w:t xml:space="preserve"> et les juges</w:t>
      </w:r>
      <w:r w:rsidRPr="00404E7F">
        <w:rPr>
          <w:b/>
          <w:i/>
          <w:sz w:val="20"/>
          <w:lang w:val="fr-CA"/>
        </w:rPr>
        <w:t xml:space="preserve"> </w:t>
      </w:r>
      <w:proofErr w:type="spellStart"/>
      <w:r w:rsidRPr="00404E7F">
        <w:rPr>
          <w:b/>
          <w:sz w:val="20"/>
          <w:lang w:val="fr-CA"/>
        </w:rPr>
        <w:t>Binnie</w:t>
      </w:r>
      <w:proofErr w:type="spellEnd"/>
      <w:r w:rsidRPr="00404E7F">
        <w:rPr>
          <w:sz w:val="20"/>
          <w:lang w:val="fr-CA"/>
        </w:rPr>
        <w:t xml:space="preserve">, Fish, Abella, Charron, </w:t>
      </w:r>
      <w:proofErr w:type="spellStart"/>
      <w:r w:rsidRPr="00404E7F">
        <w:rPr>
          <w:sz w:val="20"/>
          <w:lang w:val="fr-CA"/>
        </w:rPr>
        <w:t>Rothstein</w:t>
      </w:r>
      <w:proofErr w:type="spellEnd"/>
      <w:r w:rsidRPr="00404E7F">
        <w:rPr>
          <w:sz w:val="20"/>
          <w:lang w:val="fr-CA"/>
        </w:rPr>
        <w:t xml:space="preserve"> et Cromwell : Lorsqu’un traité récent relatif aux revendications territoriales a été conclu, la première étape consiste à en examiner les dispositions et à tenter de déterminer les obligations respectives des parties et l’existence, dans le traité </w:t>
      </w:r>
      <w:proofErr w:type="spellStart"/>
      <w:r w:rsidRPr="00404E7F">
        <w:rPr>
          <w:sz w:val="20"/>
          <w:lang w:val="fr-CA"/>
        </w:rPr>
        <w:t>lui</w:t>
      </w:r>
      <w:r w:rsidRPr="00404E7F">
        <w:rPr>
          <w:sz w:val="20"/>
          <w:lang w:val="fr-CA"/>
        </w:rPr>
        <w:noBreakHyphen/>
        <w:t>même</w:t>
      </w:r>
      <w:proofErr w:type="spellEnd"/>
      <w:r w:rsidRPr="00404E7F">
        <w:rPr>
          <w:sz w:val="20"/>
          <w:lang w:val="fr-CA"/>
        </w:rPr>
        <w:t>, d’une forme quelconque de consultation.  Les parties peuvent s’entendre sur les modalités de la consultation, mais la Couronne ne peut se soustraire à son obligation de traiter honorablement avec les Autochtones ― il s’agit d’une doctrine qui s’applique indépendamment de l’intention des parties, que cette intention soit expresse ou implicite dans le traité lui-même.</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En l’espèce, l’obligation de consulter était permanente.  Les membres de la première nation possédaient un droit, prévu expressément au traité, de pratiquer la chasse et la pêche de subsistance sur leur territoire traditionnel qui a maintenant été cédé et est considéré comme des terres de la Couronne.  Même si le traité n’empêchait pas le gouvernement de concéder des terres de la Couronne, cette possibilité y était même prévue, il était évident que cela risquait d’avoir des conséquences négatives sur les activités économiques et culturelles traditionnelles de la première nation, et le Yukon était tenu de consulter cette dernière afin de déterminer la nature et l’étendue de ces conséquences négatives.</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Le traité lui-même précise les éléments considérés par les parties comme constituant une consultation appropriée (lorsqu’une consultation est nécessaire).  Ces éléments comprennent un avis suffisamment détaillé concernant la question à trancher afin de permettre à la partie consultée de préparer sa position sur la question, un délai suffisant pour permettre à la partie devant être consultée de préparer sa position sur la question ainsi que l’occasion de présenter cette position à la partie obligée de tenir la consultation, et un examen complet et équitable de toutes les positions présentées, par la partie obligée de tenir la consultation.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Le processus de concession de terres à des fins agricoles n’était pas régi à l’époque par les dispositions elles-mêmes du traité.  Cependant, étant donné l’existence de la cession opérée par le traité et les textes législatifs adoptés en vue de la mise en œuvre de celui-ci, ainsi que la décision des parties de ne pas incorporer dans le traité lui-même un processus de consultation plus élaboré, la portée de l’obligation de consultation dans une telle situation se situait au bas du continuum.</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lastRenderedPageBreak/>
        <w:tab/>
        <w:t>Par conséquent, le directeur était tenu, pour se conformer à l’obligation juridique de consulter fondée sur l’honneur de la Couronne, d’être informé de la nature et de la gravité de toute incidence négative de la concession projetée et d’en tenir compte avant de prendre une décision, pour déterminer (entre autres choses) si des accommodements étaient nécessaires ou appropriés.  La consultation n’avait pas pour objet de rouvrir le traité ou de renégocier la possibilité de concéder les terres à des fins agricoles.  Cette possibilité était déjà prévue au traité.  La consultation était requise afin de faciliter la gestion de la relation importante entre le gouvernement et la communauté autochtone en conformité avec la préservation de l’honneur de la Couronne et la réalisation de l’objectif de réconciliation.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En l’espèce, l’obligation de consultation a été respectée.  La première nation reconnaît avoir reçu un avis suffisant et l’information utile.  Elle a communiqué ses objections par écrit, et celles-ci ont été étudiées lors d’une réunion à laquelle la première nation avait le droit d’assister (mais à laquelle elle ne s’est pas fait représenter).  Le directeur avait pris connaissance des objections de la première nation et de la réponse fournie par les personnes présentes à la réunion lorsque, dans l’exercice de son pouvoir délégué, il a approuvé la demande de P.  L’honneur de la Couronne et l’obligation de consultation n’exigeaient rien de plus.</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 xml:space="preserve">Il n’y a eu non plus aucun manquement à l’équité procédurale.  Si l’équité procédurale est une notion souple et prend en compte les aspects qui, dans la décision que doit prendre le directeur, touchent directement les Autochtones, il n’en demeure pas moins que cette doctrine s’applique en droit administratif pour encadrer les relations entre les décideurs gouvernementaux et tous les habitants du Yukon, Autochtones comme </w:t>
      </w:r>
      <w:proofErr w:type="spellStart"/>
      <w:r w:rsidRPr="00404E7F">
        <w:rPr>
          <w:sz w:val="20"/>
          <w:lang w:val="fr-CA"/>
        </w:rPr>
        <w:t>non</w:t>
      </w:r>
      <w:r w:rsidRPr="00404E7F">
        <w:rPr>
          <w:sz w:val="20"/>
          <w:lang w:val="fr-CA"/>
        </w:rPr>
        <w:noBreakHyphen/>
        <w:t>Autochtones</w:t>
      </w:r>
      <w:proofErr w:type="spellEnd"/>
      <w:r w:rsidRPr="00404E7F">
        <w:rPr>
          <w:sz w:val="20"/>
          <w:lang w:val="fr-CA"/>
        </w:rPr>
        <w:t>.</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Si le Yukon avait une obligation de consultation, les faits de l’espèce ne donnent lieu à aucune autre obligation d’accommodement.  Le traité lui-même ou l’ensemble des circonstances ne donnent en aucun cas ouverture à une telle obligation.</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 xml:space="preserve">Dans l’exercice de son pouvoir discrétionnaire dans ce cas, comme dans tous les autres cas, le directeur devait respecter des limites légales et constitutionnelles.  Les limites constitutionnelles incluaient l’honneur de la Couronne et le principe de l’obligation de consulter qui l’appuie.  La norme de contrôle à cet égard, y compris à l’égard du caractère adéquat de la consultation, est celle de la décision correcte.  Dans les limites établies par le droit et la Constitution, toutefois, la décision du directeur doit être examinée selon la norme de la </w:t>
      </w:r>
      <w:proofErr w:type="spellStart"/>
      <w:r w:rsidRPr="00404E7F">
        <w:rPr>
          <w:sz w:val="20"/>
          <w:lang w:val="fr-CA"/>
        </w:rPr>
        <w:t>raisonnabilité</w:t>
      </w:r>
      <w:proofErr w:type="spellEnd"/>
      <w:r w:rsidRPr="00404E7F">
        <w:rPr>
          <w:sz w:val="20"/>
          <w:lang w:val="fr-CA"/>
        </w:rPr>
        <w:t>.</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SCCNormalDoubleSpacing"/>
        <w:spacing w:line="240" w:lineRule="auto"/>
        <w:rPr>
          <w:sz w:val="20"/>
          <w:lang w:val="fr-CA"/>
        </w:rPr>
      </w:pPr>
      <w:r w:rsidRPr="00404E7F">
        <w:rPr>
          <w:sz w:val="20"/>
          <w:lang w:val="fr-CA"/>
        </w:rPr>
        <w:tab/>
        <w:t xml:space="preserve">En l’espèce, le directeur n’a pas commis d’erreur de droit en concluant que la consultation menée était adéquate.  Selon l’avis reçu de ses fonctionnaires par le directeur après la consultation, les incidences de la concession de 65 hectares de terres ne seraient pas importantes.  Rien n’indique que les préoccupations de la première nation n’ont pas fait l’objet d’un examen complet et équitable de sa part.  Les documents déposés par les parties lors de la demande de contrôle judiciaire ne révèlent l’existence d’aucune erreur de fait manifeste dans sa conclusion.  Le fait qu’un tribunal judiciaire aurait éventuellement pu </w:t>
      </w:r>
      <w:proofErr w:type="gramStart"/>
      <w:r w:rsidRPr="00404E7F">
        <w:rPr>
          <w:sz w:val="20"/>
          <w:lang w:val="fr-CA"/>
        </w:rPr>
        <w:t>arriver</w:t>
      </w:r>
      <w:proofErr w:type="gramEnd"/>
      <w:r w:rsidRPr="00404E7F">
        <w:rPr>
          <w:sz w:val="20"/>
          <w:lang w:val="fr-CA"/>
        </w:rPr>
        <w:t xml:space="preserve"> à une conclusion différente n’est pas pertinent.  La décision d’approuver ou de ne pas approuver la concession de la parcelle de terre a été confiée par l’assemblée législative au ministre qui, de la façon habituelle, a délégué ce pouvoir au directeur.  La décision prise par ce dernier était raisonnable dans les circonstances.</w:t>
      </w:r>
    </w:p>
    <w:p w:rsidR="007B3A81" w:rsidRPr="00404E7F" w:rsidRDefault="007B3A81" w:rsidP="007B3A81">
      <w:pPr>
        <w:pStyle w:val="SCCNormalDoubleSpacing"/>
        <w:spacing w:line="240" w:lineRule="auto"/>
        <w:rPr>
          <w:sz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r>
      <w:r w:rsidRPr="00404E7F">
        <w:rPr>
          <w:rFonts w:cs="Times New Roman"/>
          <w:i/>
          <w:sz w:val="20"/>
          <w:szCs w:val="20"/>
          <w:lang w:val="fr-CA"/>
        </w:rPr>
        <w:t>Les</w:t>
      </w:r>
      <w:r w:rsidRPr="00404E7F">
        <w:rPr>
          <w:rFonts w:cs="Times New Roman"/>
          <w:sz w:val="20"/>
          <w:szCs w:val="20"/>
          <w:lang w:val="fr-CA"/>
        </w:rPr>
        <w:t xml:space="preserve"> juges </w:t>
      </w:r>
      <w:proofErr w:type="spellStart"/>
      <w:r w:rsidRPr="00404E7F">
        <w:rPr>
          <w:rFonts w:cs="Times New Roman"/>
          <w:sz w:val="20"/>
          <w:szCs w:val="20"/>
          <w:lang w:val="fr-CA"/>
        </w:rPr>
        <w:t>LeBel</w:t>
      </w:r>
      <w:proofErr w:type="spellEnd"/>
      <w:r w:rsidRPr="00404E7F">
        <w:rPr>
          <w:rFonts w:cs="Times New Roman"/>
          <w:sz w:val="20"/>
          <w:szCs w:val="20"/>
          <w:lang w:val="fr-CA"/>
        </w:rPr>
        <w:t xml:space="preserve"> et </w:t>
      </w:r>
      <w:r w:rsidRPr="00404E7F">
        <w:rPr>
          <w:rFonts w:cs="Times New Roman"/>
          <w:b/>
          <w:sz w:val="20"/>
          <w:szCs w:val="20"/>
          <w:lang w:val="fr-CA"/>
        </w:rPr>
        <w:t>Deschamps</w:t>
      </w:r>
      <w:r w:rsidRPr="00404E7F">
        <w:rPr>
          <w:rFonts w:cs="Times New Roman"/>
          <w:sz w:val="20"/>
          <w:szCs w:val="20"/>
          <w:lang w:val="fr-CA"/>
        </w:rPr>
        <w:t> : Si, jusqu’ici, les litiges ont mis en cause une action unilatérale de la Couronne qui déclenchait une obligation de consulter dont les modalités n’avaient pas été négociées, le présent dossier indique que les parties sont maintenant passées à une autre étape.  Les processus formels de consultation font maintenant résolument partie de l’univers juridique des traités.  L’Entente définitive</w:t>
      </w:r>
      <w:r w:rsidRPr="00404E7F">
        <w:rPr>
          <w:rFonts w:cs="Times New Roman"/>
          <w:i/>
          <w:sz w:val="20"/>
          <w:szCs w:val="20"/>
          <w:lang w:val="fr-CA"/>
        </w:rPr>
        <w:t xml:space="preserve"> </w:t>
      </w:r>
      <w:r w:rsidRPr="00404E7F">
        <w:rPr>
          <w:rFonts w:cs="Times New Roman"/>
          <w:sz w:val="20"/>
          <w:szCs w:val="20"/>
          <w:lang w:val="fr-CA"/>
        </w:rPr>
        <w:t xml:space="preserve">de </w:t>
      </w:r>
      <w:proofErr w:type="spellStart"/>
      <w:r w:rsidRPr="00404E7F">
        <w:rPr>
          <w:rFonts w:cs="Times New Roman"/>
          <w:sz w:val="20"/>
          <w:szCs w:val="20"/>
          <w:lang w:val="fr-CA"/>
        </w:rPr>
        <w:t>Little</w:t>
      </w:r>
      <w:proofErr w:type="spellEnd"/>
      <w:r w:rsidRPr="00404E7F">
        <w:rPr>
          <w:rFonts w:cs="Times New Roman"/>
          <w:sz w:val="20"/>
          <w:szCs w:val="20"/>
          <w:lang w:val="fr-CA"/>
        </w:rPr>
        <w:t xml:space="preserve"> Salmon/</w:t>
      </w:r>
      <w:proofErr w:type="spellStart"/>
      <w:r w:rsidRPr="00404E7F">
        <w:rPr>
          <w:rFonts w:cs="Times New Roman"/>
          <w:sz w:val="20"/>
          <w:szCs w:val="20"/>
          <w:lang w:val="fr-CA"/>
        </w:rPr>
        <w:t>Carmacks</w:t>
      </w:r>
      <w:proofErr w:type="spellEnd"/>
      <w:r w:rsidRPr="00404E7F">
        <w:rPr>
          <w:rFonts w:cs="Times New Roman"/>
          <w:i/>
          <w:sz w:val="20"/>
          <w:szCs w:val="20"/>
          <w:lang w:val="fr-CA"/>
        </w:rPr>
        <w:t xml:space="preserve"> </w:t>
      </w:r>
      <w:r w:rsidRPr="00404E7F">
        <w:rPr>
          <w:rFonts w:cs="Times New Roman"/>
          <w:sz w:val="20"/>
          <w:szCs w:val="20"/>
          <w:lang w:val="fr-CA"/>
        </w:rPr>
        <w:t>n’en est qu’un exemple.  Donner leur plein effet aux stipulations d’un traité comme l’Entente définitive</w:t>
      </w:r>
      <w:r w:rsidRPr="00404E7F">
        <w:rPr>
          <w:rFonts w:cs="Times New Roman"/>
          <w:i/>
          <w:sz w:val="20"/>
          <w:szCs w:val="20"/>
          <w:lang w:val="fr-CA"/>
        </w:rPr>
        <w:t xml:space="preserve"> </w:t>
      </w:r>
      <w:r w:rsidRPr="00404E7F">
        <w:rPr>
          <w:rFonts w:cs="Times New Roman"/>
          <w:sz w:val="20"/>
          <w:szCs w:val="20"/>
          <w:lang w:val="fr-CA"/>
        </w:rPr>
        <w:t>c’est renoncer à toute approche paternaliste à l’égard des peuples autochtones.  Il s’agit d’une façon de reconnaître leur pleine capacité juridique.  Méconnaître les stipulations d’un tel traité ne peut qu’encourager le recours aux tribunaux, nuire aux négociations futures et compromettre la réalisation de l’objectif ultime de réconciliation.</w:t>
      </w:r>
    </w:p>
    <w:p w:rsidR="007B3A81" w:rsidRPr="00404E7F" w:rsidRDefault="007B3A81"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Permettre à une partie de revenir unilatéralement sur son engagement constitutionnel en y superposant des droits et obligations additionnels portant sur des matières déjà prévues au traité risque de se traduire par un mépris juridique paternaliste, de compromettre le processus national de négociation de traités et de nuire à la poursuite de l’objectif ultime de réconciliation.  Voilà le péril auquel nous expose ce qui semble être une malheureuse prise en otage </w:t>
      </w:r>
      <w:r w:rsidRPr="00404E7F">
        <w:rPr>
          <w:rFonts w:cs="Times New Roman"/>
          <w:sz w:val="20"/>
          <w:szCs w:val="20"/>
          <w:lang w:val="fr-CA"/>
        </w:rPr>
        <w:lastRenderedPageBreak/>
        <w:t>du principe constitutionnel d’honneur de la Couronne et du principe en découlant, l’obligation de consulter les Autochtones.</w:t>
      </w:r>
    </w:p>
    <w:p w:rsidR="007B3A81" w:rsidRPr="00404E7F" w:rsidRDefault="007B3A81"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Dans le cadre de la conclusion d’un traité, il n’y a rien de déshonorant pour la Couronne à s’entendre avec une communauté autochtone sur un régime détaillé et multiforme de consultation relative à l’exercice des droits de cette communauté.  Il n’y a rien non plus de déshonorant de la part de la Couronne à exiger de la partie autochtone qu’aucun régime parallèle relatif à une matière prévue au traité ne permette à celle-ci de revenir sur ses engagements.  En effet, la sécurité juridique est l’objectif premier de toutes les parties à un accord portant règlement de revendication territoriale globale.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Il ne saurait y avoir de sécurité juridique si une des parties à un traité pouvait </w:t>
      </w:r>
      <w:r w:rsidRPr="00404E7F">
        <w:rPr>
          <w:rFonts w:cs="Times New Roman"/>
          <w:iCs/>
          <w:sz w:val="20"/>
          <w:szCs w:val="20"/>
          <w:lang w:val="fr-CA"/>
        </w:rPr>
        <w:t xml:space="preserve">— </w:t>
      </w:r>
      <w:r w:rsidRPr="00404E7F">
        <w:rPr>
          <w:rFonts w:cs="Times New Roman"/>
          <w:sz w:val="20"/>
          <w:szCs w:val="20"/>
          <w:lang w:val="fr-CA"/>
        </w:rPr>
        <w:t xml:space="preserve">unilatéralement et sans que cela ne soit prévu au traité </w:t>
      </w:r>
      <w:r w:rsidRPr="00404E7F">
        <w:rPr>
          <w:rFonts w:cs="Times New Roman"/>
          <w:iCs/>
          <w:sz w:val="20"/>
          <w:szCs w:val="20"/>
          <w:lang w:val="fr-CA"/>
        </w:rPr>
        <w:t>—</w:t>
      </w:r>
      <w:r w:rsidRPr="00404E7F">
        <w:rPr>
          <w:rFonts w:cs="Times New Roman"/>
          <w:sz w:val="20"/>
          <w:szCs w:val="20"/>
          <w:lang w:val="fr-CA"/>
        </w:rPr>
        <w:t xml:space="preserve"> revenir sur ses engagements à l’égard d’une matière prévue à ce traité.  Cela ne veut pas dire qu’il ne peut pas exister de matières dont les parties n’auront pas traité et à l’égard desquelles la partie autochtone pourra ne pas avoir renoncé à d’éventuels droits ancestraux.  La sécurité juridique n’exclut pas non plus la possibilité de prévoir, dans un traité, un mécanisme équitable de réexamen.</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En ce sens, il devrait être évident que la meilleure façon pour les tribunaux de contribuer à ce qu’un traité favorise une longue relation positive entre parties autochtone et étatique consiste à s’assurer que les parties ne puissent revenir unilatéralement sur leurs engagements.  Et il se trouve que, en aval de sa poursuite en tant qu’objectif partagé à l’étape de la négociation, la sécurité juridique ne saurait, à l’étape de la mise en œuvre d’un traité, opérer à sens unique.  Au contraire, la sécurité des droits d’une partie implique nécessairement que </w:t>
      </w:r>
      <w:proofErr w:type="spellStart"/>
      <w:r w:rsidRPr="00404E7F">
        <w:rPr>
          <w:rFonts w:cs="Times New Roman"/>
          <w:sz w:val="20"/>
          <w:szCs w:val="20"/>
          <w:lang w:val="fr-CA"/>
        </w:rPr>
        <w:t>celle</w:t>
      </w:r>
      <w:r w:rsidRPr="00404E7F">
        <w:rPr>
          <w:rFonts w:cs="Times New Roman"/>
          <w:sz w:val="20"/>
          <w:szCs w:val="20"/>
          <w:lang w:val="fr-CA"/>
        </w:rPr>
        <w:noBreakHyphen/>
        <w:t>ci</w:t>
      </w:r>
      <w:proofErr w:type="spellEnd"/>
      <w:r w:rsidRPr="00404E7F">
        <w:rPr>
          <w:rFonts w:cs="Times New Roman"/>
          <w:sz w:val="20"/>
          <w:szCs w:val="20"/>
          <w:lang w:val="fr-CA"/>
        </w:rPr>
        <w:t xml:space="preserve"> s’acquitte de ses obligations et respecte les droits de l’autre partie.  S’étant toutes deux échinées, dans leur intérêt commun, à substituer un système juridique précis à un régime normatif incertain, la partie autochtone et la partie étatique ont </w:t>
      </w:r>
      <w:proofErr w:type="gramStart"/>
      <w:r w:rsidRPr="00404E7F">
        <w:rPr>
          <w:rFonts w:cs="Times New Roman"/>
          <w:sz w:val="20"/>
          <w:szCs w:val="20"/>
          <w:lang w:val="fr-CA"/>
        </w:rPr>
        <w:t>toutes deux intérêt</w:t>
      </w:r>
      <w:proofErr w:type="gramEnd"/>
      <w:r w:rsidRPr="00404E7F">
        <w:rPr>
          <w:rFonts w:cs="Times New Roman"/>
          <w:sz w:val="20"/>
          <w:szCs w:val="20"/>
          <w:lang w:val="fr-CA"/>
        </w:rPr>
        <w:t xml:space="preserve"> à ce que leur œuvre produise ses effets.</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En l’espèce, c’est justement parce que l’accord en cause traite bel et bien des différentes formes de consultation auxquelles a droit la partie autochtone concernant les droits que la Couronne veux exercer qu’il faut se garder de superposer à ce régime des droits et obligations qui lui sont étrangers, et non pas simplement parce qu’il s’agit d’un traité « moderne » constituant un accord portant règlement de revendications territoriales.</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Même lorsque le traité en cause est un accord portant règlement de revendications territoriales, la Cour doit d’abord dégager l’intention commune des parties, elle se prononcera ensuite sur l’application, à la partie autochtone, du régime jurisprudentiel relatif à l’obligation constitutionnelle de consultation.  Par conséquent, en présence d’un traité, l’obligation jurisprudentielle de consultation ne s’appliquera qu’en cas d’omission des parties au traité d’avoir prévu cette matière.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La consultation requise lorsqu’il y a atteinte à un droit des Autochtones comportera : 1) soit les mesures prévues par le traité à cet égard; 2) soit, à défaut de telles mesures dans le traité, à un degré de consultation que le régime jurisprudentiel établit.</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Lorsqu’un traité établit des mesures de consultation, ce que le traité a pour effet d’écarter dans un tel cas est bien l’obligation jurisprudentielle de consultation des peuples autochtones, non pas toute obligation de consulter individuellement le titulaire d’un droit pouvant découler du principe général du droit administratif qu’est l’équité procédurale.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Les tribunaux ne sont pas aveugles aux omissions ou lacune des parties au traité en matière de consultation et l’obligation jurisprudentielle de consultation pourrait toujours s’appliquer pour combler cette lacune.  Mais aucune lacune de ce genre ne peut être constatée dans la présente affaire.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Il serait possible, sur la seule base de ces considérations d’ordre général, de rejeter l’appel principal. </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Cependant, les dispositions de l’Entente définitive confirment elles aussi cette conclusion. L’Entente définitive comporte des dispositions générales et interprétatives qui ont été reprises de l’Accord-cadre.  Plus exactement, ce régime a d’abord été élaboré par les parties à l’Accord-cadre, puis repris par les parties aux différentes ententes définitives conclues conformément aux stipulations de cet accord.  Advenant toute incompatibilité, ce régime l’emporte </w:t>
      </w:r>
      <w:r w:rsidRPr="00404E7F">
        <w:rPr>
          <w:rFonts w:cs="Times New Roman"/>
          <w:sz w:val="20"/>
          <w:szCs w:val="20"/>
          <w:lang w:val="fr-CA"/>
        </w:rPr>
        <w:lastRenderedPageBreak/>
        <w:t>sur les principes dégagés par la jurisprudence en matière d’interprétation de traités conclus par les gouvernements et les peuples autochtones.</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Ces dispositions interprétatives et générales posent aussi certaines normes relatives aux rapports qu’entretiennent l’Accord-cadre</w:t>
      </w:r>
      <w:r w:rsidRPr="00404E7F">
        <w:rPr>
          <w:rFonts w:cs="Times New Roman"/>
          <w:i/>
          <w:sz w:val="20"/>
          <w:szCs w:val="20"/>
          <w:lang w:val="fr-CA"/>
        </w:rPr>
        <w:t xml:space="preserve"> </w:t>
      </w:r>
      <w:r w:rsidRPr="00404E7F">
        <w:rPr>
          <w:rFonts w:cs="Times New Roman"/>
          <w:sz w:val="20"/>
          <w:szCs w:val="20"/>
          <w:lang w:val="fr-CA"/>
        </w:rPr>
        <w:t>et toute entente définitive conclue conformément à ses stipulations, non seulement entre eux, mais avec le reste du droit également.  Ces normes peuvent être résumées par le principe selon lequel l’Entente définitive</w:t>
      </w:r>
      <w:r w:rsidRPr="00404E7F">
        <w:rPr>
          <w:rFonts w:cs="Times New Roman"/>
          <w:i/>
          <w:sz w:val="20"/>
          <w:szCs w:val="20"/>
          <w:lang w:val="fr-CA"/>
        </w:rPr>
        <w:t xml:space="preserve"> </w:t>
      </w:r>
      <w:r w:rsidRPr="00404E7F">
        <w:rPr>
          <w:rFonts w:cs="Times New Roman"/>
          <w:sz w:val="20"/>
          <w:szCs w:val="20"/>
          <w:lang w:val="fr-CA"/>
        </w:rPr>
        <w:t xml:space="preserve">l’emporte sur toute autre règle de droit </w:t>
      </w:r>
      <w:proofErr w:type="spellStart"/>
      <w:r w:rsidRPr="00404E7F">
        <w:rPr>
          <w:rFonts w:cs="Times New Roman"/>
          <w:sz w:val="20"/>
          <w:szCs w:val="20"/>
          <w:lang w:val="fr-CA"/>
        </w:rPr>
        <w:t>infraconstitutionnel</w:t>
      </w:r>
      <w:proofErr w:type="spellEnd"/>
      <w:r w:rsidRPr="00404E7F">
        <w:rPr>
          <w:rFonts w:cs="Times New Roman"/>
          <w:sz w:val="20"/>
          <w:szCs w:val="20"/>
          <w:lang w:val="fr-CA"/>
        </w:rPr>
        <w:t xml:space="preserve">, sous réserve du fait que ses dispositions ne doivent pas être interprétées d’une manière portant atteinte aux droits des Indiens du Yukon en tant que citoyens canadiens ni à leur droit de jouir de tous les droits, avantages et protections reconnus aux autres citoyens.  En somme, donc, sauf exception le traité se substitue aux droits ancestraux relativement aux matières dont il dispose et il a préséance, en cas d’incompatibilité, sur le reste du droit </w:t>
      </w:r>
      <w:proofErr w:type="spellStart"/>
      <w:r w:rsidRPr="00404E7F">
        <w:rPr>
          <w:rFonts w:cs="Times New Roman"/>
          <w:sz w:val="20"/>
          <w:szCs w:val="20"/>
          <w:lang w:val="fr-CA"/>
        </w:rPr>
        <w:t>infraconstitutionnel</w:t>
      </w:r>
      <w:proofErr w:type="spellEnd"/>
      <w:r w:rsidRPr="00404E7F">
        <w:rPr>
          <w:rFonts w:cs="Times New Roman"/>
          <w:sz w:val="20"/>
          <w:szCs w:val="20"/>
          <w:lang w:val="fr-CA"/>
        </w:rPr>
        <w:t>.</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En ce qui a trait à la relation entre le traité en cause et le reste de notre droit constitutionnel au-delà du seul régime jurisprudentiel des droits ancestraux, un tel traité ne saurait évidemment à lui seul modifier la Constitution du Canada.  Autrement dit, l’Entente définitive ne contient pas de dispositions qui auraient une incidence sur le principe général selon lequel l’obligation de consultation de régime jurisprudentiel ne s’appliquera qu’en cas d’omission des parties au traité d’avoir prévue cette matière.  En effet, tout dépendra de ce que les parties auront ou non convenu sur la question, auquel cas le traité, sauf bien sûr renvoi à l’effet contraire dans celui-ci, aura écarté l’application entre les parties de tout régime parallèle, y compris le régime jurisprudentiel.</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En l’espèce, les parties ont prévu, dans le traité des dispositions concernant la consultation sur la question précise du droit de la Couronne de céder de ses terres à la suite d’une demande comme celle de P.</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La demande de P constituait un projet soumis au processus d’évaluation prévu au chapitre 12 de l’Entente définitive.  Ce processus n’avait pas été mis en œuvre, mais le chapitre 12 l’avait été, y compris les règles de droit provisoire y figurant.  En vertu de ces règles, tout processus existant d’évaluation des activités de développement demeurait en vigueur.  Ces processus prévoyaient non seulement la consultation de la nation autochtone concernée, mais aussi sa participation à l’évaluation du projet.  Une telle participation impliquait un niveau de consultation supérieur à celui qui aurait été fondé sur l’obligation faite par la jurisprudence à cet égard.  En conséquence, rien, en l’espèce, ne saurait justifier le recours à une obligation externe à celle prévue par l’Entente définitive.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De plus, les dispositions du chapitre 16 qui concernent la gestion des ressources halieutiques et fauniques instaurent un régime par lequel les premières nations sont généralement invitées à participer à la gestion de ces ressources sur une base </w:t>
      </w:r>
      <w:proofErr w:type="spellStart"/>
      <w:r w:rsidRPr="00404E7F">
        <w:rPr>
          <w:rFonts w:cs="Times New Roman"/>
          <w:sz w:val="20"/>
          <w:szCs w:val="20"/>
          <w:lang w:val="fr-CA"/>
        </w:rPr>
        <w:t>prédécisionnelle</w:t>
      </w:r>
      <w:proofErr w:type="spellEnd"/>
      <w:r w:rsidRPr="00404E7F">
        <w:rPr>
          <w:rFonts w:cs="Times New Roman"/>
          <w:sz w:val="20"/>
          <w:szCs w:val="20"/>
          <w:lang w:val="fr-CA"/>
        </w:rPr>
        <w:t>.  Notamment, l’invitation qui leur est faite de proposer des plans de gestion des ressources halieutiques et fauniques peut être considérée comme une consultation.</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À certains égards, la conduite des autorités territoriales soulève des interrogations.  C’est notamment le cas en ce qui a trait au fait que le directeur n’a signifié que le 27 juillet 2005 à la première nation sa décision du 18 octobre 2004.  En vertu du par. 81(1) de la </w:t>
      </w:r>
      <w:r w:rsidRPr="00404E7F">
        <w:rPr>
          <w:rFonts w:cs="Times New Roman"/>
          <w:i/>
          <w:sz w:val="20"/>
          <w:szCs w:val="20"/>
          <w:lang w:val="fr-CA"/>
        </w:rPr>
        <w:t>Loi sur l’évaluation environnementale et socioéconomique au Yukon</w:t>
      </w:r>
      <w:r w:rsidRPr="00404E7F">
        <w:rPr>
          <w:rFonts w:cs="Times New Roman"/>
          <w:sz w:val="20"/>
          <w:szCs w:val="20"/>
          <w:lang w:val="fr-CA"/>
        </w:rPr>
        <w:t>, L.C. 2003, ch. 7, (« </w:t>
      </w:r>
      <w:r w:rsidRPr="00404E7F">
        <w:rPr>
          <w:rFonts w:cs="Times New Roman"/>
          <w:i/>
          <w:sz w:val="20"/>
          <w:szCs w:val="20"/>
          <w:lang w:val="fr-CA"/>
        </w:rPr>
        <w:t>LÉESY</w:t>
      </w:r>
      <w:r w:rsidRPr="00404E7F">
        <w:rPr>
          <w:rFonts w:cs="Times New Roman"/>
          <w:sz w:val="20"/>
          <w:szCs w:val="20"/>
          <w:lang w:val="fr-CA"/>
        </w:rPr>
        <w:t> »), le « bureau désigné » et, le cas échéant, le comité de direction de la Commission d’évaluation des activités de développement du Yukon auraient eu droit de recevoir une copie de cette décision, et ce, on peut le supposer, à l’intérieur d’un délai raisonnable.  L’équivalent fonctionnel du bureau désigné est ici le Comité d’examen des demandes d’aliénation de terres (« CEDAT »).  Même si les représentants de la première nation ne se sont pas présentés à la réunion du 13 août 2004, on se serait attendu à ce que le directeur informe cette première nation de sa décision dans un délai raisonnable.  Ce délai, survenu après la décision, n’a cependant pas affecté la qualité de la consultation préalable.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La décision qu’a prise l’administration territoriale, au terme de l’examen préalable, de poursuivre le traitement de la demande de P malgré la consultation qui avait cours dans le cadre du plan de gestion des ressources halieutiques et fauniques de la première nation n’est pas davantage un exemple de bonne pratique.  Cependant, la première nation n’a pas exprimé cette préoccupation dans sa lettre du 27 juillet 2004 à la Direction des Terres du Yukon.  De plus, comme le démontre le procès-verbal de la réunion du 13 août 2004, les préoccupations de la première nation concernant la conservation des ressources ont été prises en considération.  Au surplus, la consultation qui avait cours dans le cadre du plan de gestion des ressources halieutiques et fauniques était beaucoup plus limitée que celle à laquelle donnait droit la participation de la première nation au CEDAT qui était chargé d’évaluer le projet spécifique faisant l’objet du présent </w:t>
      </w:r>
      <w:r w:rsidRPr="00404E7F">
        <w:rPr>
          <w:rFonts w:cs="Times New Roman"/>
          <w:sz w:val="20"/>
          <w:szCs w:val="20"/>
          <w:lang w:val="fr-CA"/>
        </w:rPr>
        <w:lastRenderedPageBreak/>
        <w:t>pourvoi.  De surcroît, la première nation, le conseil des ressources renouvelables et le ministre ne s’étaient pas entendus sur la suspension provisoire du traitement de toute demande d’aliénation de terres dans la région visée.</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Au-delà de ces aspects critiquables du cheminement de la demande de P, l’ensemble des faits révèle que les intimés ont reçu des appelants ce à quoi ils avaient droit de la part de </w:t>
      </w:r>
      <w:proofErr w:type="spellStart"/>
      <w:r w:rsidRPr="00404E7F">
        <w:rPr>
          <w:rFonts w:cs="Times New Roman"/>
          <w:sz w:val="20"/>
          <w:szCs w:val="20"/>
          <w:lang w:val="fr-CA"/>
        </w:rPr>
        <w:t>ceux</w:t>
      </w:r>
      <w:r w:rsidRPr="00404E7F">
        <w:rPr>
          <w:rFonts w:cs="Times New Roman"/>
          <w:sz w:val="20"/>
          <w:szCs w:val="20"/>
          <w:lang w:val="fr-CA"/>
        </w:rPr>
        <w:noBreakHyphen/>
        <w:t>ci</w:t>
      </w:r>
      <w:proofErr w:type="spellEnd"/>
      <w:r w:rsidRPr="00404E7F">
        <w:rPr>
          <w:rFonts w:cs="Times New Roman"/>
          <w:sz w:val="20"/>
          <w:szCs w:val="20"/>
          <w:lang w:val="fr-CA"/>
        </w:rPr>
        <w:t xml:space="preserve"> en matière de consultation à titre de première nation.  En réalité, ils ont même obtenu à certains égards davantage que ce que leur aurait procuré la </w:t>
      </w:r>
      <w:r w:rsidRPr="00404E7F">
        <w:rPr>
          <w:rFonts w:cs="Times New Roman"/>
          <w:i/>
          <w:sz w:val="20"/>
          <w:szCs w:val="20"/>
          <w:lang w:val="fr-CA"/>
        </w:rPr>
        <w:t>LÉESY</w:t>
      </w:r>
      <w:r w:rsidRPr="00404E7F">
        <w:rPr>
          <w:rFonts w:cs="Times New Roman"/>
          <w:sz w:val="20"/>
          <w:szCs w:val="20"/>
          <w:lang w:val="fr-CA"/>
        </w:rPr>
        <w:t>.</w:t>
      </w:r>
    </w:p>
    <w:p w:rsidR="00A863DD" w:rsidRPr="00404E7F" w:rsidRDefault="00A863DD" w:rsidP="007B3A81">
      <w:pPr>
        <w:pStyle w:val="ListParagraph"/>
        <w:tabs>
          <w:tab w:val="left" w:pos="0"/>
        </w:tabs>
        <w:spacing w:after="480"/>
        <w:ind w:left="0"/>
        <w:jc w:val="both"/>
        <w:rPr>
          <w:rFonts w:cs="Times New Roman"/>
          <w:sz w:val="20"/>
          <w:szCs w:val="20"/>
          <w:lang w:val="fr-CA"/>
        </w:rPr>
      </w:pPr>
    </w:p>
    <w:p w:rsidR="007B3A81" w:rsidRPr="00404E7F" w:rsidRDefault="007B3A81" w:rsidP="007B3A81">
      <w:pPr>
        <w:pStyle w:val="ListParagraph"/>
        <w:tabs>
          <w:tab w:val="left" w:pos="0"/>
        </w:tabs>
        <w:spacing w:after="480"/>
        <w:ind w:left="0"/>
        <w:jc w:val="both"/>
        <w:rPr>
          <w:rFonts w:cs="Times New Roman"/>
          <w:sz w:val="20"/>
          <w:szCs w:val="20"/>
          <w:lang w:val="fr-CA"/>
        </w:rPr>
      </w:pPr>
      <w:r w:rsidRPr="00404E7F">
        <w:rPr>
          <w:rFonts w:cs="Times New Roman"/>
          <w:sz w:val="20"/>
          <w:szCs w:val="20"/>
          <w:lang w:val="fr-CA"/>
        </w:rPr>
        <w:tab/>
        <w:t xml:space="preserve">Le seul droit qu’aurait obtenu la première nation en vertu de la </w:t>
      </w:r>
      <w:r w:rsidRPr="00404E7F">
        <w:rPr>
          <w:rFonts w:cs="Times New Roman"/>
          <w:i/>
          <w:sz w:val="20"/>
          <w:szCs w:val="20"/>
          <w:lang w:val="fr-CA"/>
        </w:rPr>
        <w:t>LÉESY</w:t>
      </w:r>
      <w:r w:rsidRPr="00404E7F">
        <w:rPr>
          <w:rFonts w:cs="Times New Roman"/>
          <w:sz w:val="20"/>
          <w:szCs w:val="20"/>
          <w:lang w:val="fr-CA"/>
        </w:rPr>
        <w:t xml:space="preserve"> est celui d’être entendue à titre de personne intéressée par le bureau de circonscription.  Il s’agissait là d’une consultation minimale, alors que, la première nation a été invitée à participer directement, à titre d’évaluateur membre du CEDAT, à l’évaluation de la demande de P.</w:t>
      </w:r>
    </w:p>
    <w:p w:rsidR="00A863DD" w:rsidRPr="00404E7F" w:rsidRDefault="00A863DD" w:rsidP="007B3A81">
      <w:pPr>
        <w:pStyle w:val="ListParagraph"/>
        <w:tabs>
          <w:tab w:val="left" w:pos="720"/>
        </w:tabs>
        <w:ind w:left="0"/>
        <w:jc w:val="both"/>
        <w:rPr>
          <w:rFonts w:cs="Times New Roman"/>
          <w:sz w:val="20"/>
          <w:szCs w:val="20"/>
          <w:lang w:val="fr-CA"/>
        </w:rPr>
      </w:pPr>
    </w:p>
    <w:p w:rsidR="007B3A81" w:rsidRPr="00404E7F" w:rsidRDefault="007B3A81" w:rsidP="007B3A81">
      <w:pPr>
        <w:pStyle w:val="ListParagraph"/>
        <w:tabs>
          <w:tab w:val="left" w:pos="720"/>
        </w:tabs>
        <w:ind w:left="0"/>
        <w:jc w:val="both"/>
        <w:rPr>
          <w:rFonts w:cs="Times New Roman"/>
          <w:sz w:val="20"/>
          <w:szCs w:val="20"/>
          <w:lang w:val="fr-CA"/>
        </w:rPr>
      </w:pPr>
      <w:r w:rsidRPr="00404E7F">
        <w:rPr>
          <w:rFonts w:cs="Times New Roman"/>
          <w:sz w:val="20"/>
          <w:szCs w:val="20"/>
          <w:lang w:val="fr-CA"/>
        </w:rPr>
        <w:tab/>
        <w:t>Il est vrai que les représentants de la première nation ne se sont pas présentés à la réunion du 13 août 2004.  Cela est survenu sans qu’ils ne préviennent au préalable les autres membres du CEDAT et sans demander l’ajournement de la réunion mais alors qu’ils avaient fait des commentaires par lettre.</w:t>
      </w:r>
    </w:p>
    <w:p w:rsidR="007B3A81" w:rsidRPr="00404E7F" w:rsidRDefault="007B3A81" w:rsidP="007B3A81">
      <w:pPr>
        <w:pStyle w:val="ListParagraph"/>
        <w:tabs>
          <w:tab w:val="left" w:pos="720"/>
        </w:tabs>
        <w:ind w:left="0"/>
        <w:jc w:val="both"/>
        <w:rPr>
          <w:rFonts w:cs="Times New Roman"/>
          <w:sz w:val="20"/>
          <w:szCs w:val="20"/>
          <w:lang w:val="fr-CA"/>
        </w:rPr>
      </w:pPr>
    </w:p>
    <w:p w:rsidR="007B3A81" w:rsidRPr="00404E7F" w:rsidRDefault="007B3A81" w:rsidP="007B3A81">
      <w:pPr>
        <w:tabs>
          <w:tab w:val="left" w:pos="720"/>
        </w:tabs>
        <w:jc w:val="both"/>
        <w:rPr>
          <w:rFonts w:cs="Times New Roman"/>
          <w:sz w:val="20"/>
          <w:szCs w:val="20"/>
          <w:lang w:val="fr-CA"/>
        </w:rPr>
      </w:pPr>
      <w:r w:rsidRPr="00404E7F">
        <w:rPr>
          <w:rFonts w:cs="Times New Roman"/>
          <w:sz w:val="20"/>
          <w:szCs w:val="20"/>
          <w:lang w:val="fr-CA"/>
        </w:rPr>
        <w:tab/>
        <w:t>Par conséquent, le processus qui a mené à la décision du 18 octobre 2004 relativement à la demande de P respectait les dispositions de droit provisoire prévues au chapitre 12 de l’Entente définitive.  Il n’existe aucun motif juridique permettant de conclure que l’obligation de consultation de la Couronne a été violée.</w:t>
      </w:r>
    </w:p>
    <w:p w:rsidR="00377DFF" w:rsidRPr="00404E7F" w:rsidRDefault="00377DFF" w:rsidP="00565ADD">
      <w:pPr>
        <w:jc w:val="both"/>
        <w:rPr>
          <w:sz w:val="20"/>
          <w:szCs w:val="20"/>
          <w:lang w:val="fr-CA"/>
        </w:rPr>
      </w:pPr>
    </w:p>
    <w:p w:rsidR="00A863DD" w:rsidRPr="00404E7F" w:rsidRDefault="00A863DD" w:rsidP="00A863DD">
      <w:pPr>
        <w:jc w:val="both"/>
        <w:rPr>
          <w:sz w:val="20"/>
          <w:lang w:val="fr-CA"/>
        </w:rPr>
      </w:pPr>
      <w:r w:rsidRPr="00404E7F">
        <w:rPr>
          <w:sz w:val="20"/>
          <w:lang w:val="fr-CA"/>
        </w:rPr>
        <w:tab/>
        <w:t xml:space="preserve">POURVOI </w:t>
      </w:r>
      <w:r w:rsidR="003E770A" w:rsidRPr="00404E7F">
        <w:rPr>
          <w:sz w:val="20"/>
        </w:rPr>
        <w:fldChar w:fldCharType="begin"/>
      </w:r>
      <w:r w:rsidRPr="00404E7F">
        <w:rPr>
          <w:sz w:val="20"/>
          <w:lang w:val="fr-CA"/>
        </w:rPr>
        <w:instrText xml:space="preserve"> SEQ CHAPTER \h \r 1</w:instrText>
      </w:r>
      <w:r w:rsidR="003E770A" w:rsidRPr="00404E7F">
        <w:rPr>
          <w:sz w:val="20"/>
        </w:rPr>
        <w:fldChar w:fldCharType="end"/>
      </w:r>
      <w:r w:rsidRPr="00404E7F">
        <w:rPr>
          <w:sz w:val="20"/>
          <w:lang w:val="fr-CA"/>
        </w:rPr>
        <w:t xml:space="preserve">et POURVOI INCIDENT contre un arrêt de la Cour d’appel du Yukon (les juges Newbury, </w:t>
      </w:r>
      <w:proofErr w:type="spellStart"/>
      <w:r w:rsidRPr="00404E7F">
        <w:rPr>
          <w:sz w:val="20"/>
          <w:lang w:val="fr-CA"/>
        </w:rPr>
        <w:t>Kirkpatrick</w:t>
      </w:r>
      <w:proofErr w:type="spellEnd"/>
      <w:r w:rsidRPr="00404E7F">
        <w:rPr>
          <w:sz w:val="20"/>
          <w:lang w:val="fr-CA"/>
        </w:rPr>
        <w:t xml:space="preserve"> et </w:t>
      </w:r>
      <w:proofErr w:type="spellStart"/>
      <w:r w:rsidRPr="00404E7F">
        <w:rPr>
          <w:sz w:val="20"/>
          <w:lang w:val="fr-CA"/>
        </w:rPr>
        <w:t>Tysoe</w:t>
      </w:r>
      <w:proofErr w:type="spellEnd"/>
      <w:r w:rsidRPr="00404E7F">
        <w:rPr>
          <w:sz w:val="20"/>
          <w:lang w:val="fr-CA"/>
        </w:rPr>
        <w:t xml:space="preserve">), 2008 YKCA 13, 296 D.L.R. (4th) 99, 258 B.C.A.C. 160, 434 W.A.C. 160, [2008] 4 C.N.L.R. 25, 71 R.P.R. (4th) 162, [2008] Y.J. No. 55 (QL), 2008 </w:t>
      </w:r>
      <w:proofErr w:type="spellStart"/>
      <w:r w:rsidRPr="00404E7F">
        <w:rPr>
          <w:sz w:val="20"/>
          <w:lang w:val="fr-CA"/>
        </w:rPr>
        <w:t>CarswellYukon</w:t>
      </w:r>
      <w:proofErr w:type="spellEnd"/>
      <w:r w:rsidRPr="00404E7F">
        <w:rPr>
          <w:sz w:val="20"/>
          <w:lang w:val="fr-CA"/>
        </w:rPr>
        <w:t xml:space="preserve"> 62, qui a infirmé une décision du juge </w:t>
      </w:r>
      <w:proofErr w:type="spellStart"/>
      <w:r w:rsidRPr="00404E7F">
        <w:rPr>
          <w:sz w:val="20"/>
          <w:lang w:val="fr-CA"/>
        </w:rPr>
        <w:t>Veale</w:t>
      </w:r>
      <w:proofErr w:type="spellEnd"/>
      <w:r w:rsidRPr="00404E7F">
        <w:rPr>
          <w:sz w:val="20"/>
          <w:lang w:val="fr-CA"/>
        </w:rPr>
        <w:t xml:space="preserve">, 2007 YKSC 28, [2007] 3 C.N.L.R. 42, [2007] Y.J. No. 24 (QL), 2007 </w:t>
      </w:r>
      <w:proofErr w:type="spellStart"/>
      <w:r w:rsidRPr="00404E7F">
        <w:rPr>
          <w:sz w:val="20"/>
          <w:lang w:val="fr-CA"/>
        </w:rPr>
        <w:t>CarswellYukon</w:t>
      </w:r>
      <w:proofErr w:type="spellEnd"/>
      <w:r w:rsidRPr="00404E7F">
        <w:rPr>
          <w:sz w:val="20"/>
          <w:lang w:val="fr-CA"/>
        </w:rPr>
        <w:t xml:space="preserve"> 18, annulant l’approbation de la demande de concession de terres. Pourvoi et pourvoi incident rejetés.</w:t>
      </w:r>
    </w:p>
    <w:p w:rsidR="00A863DD" w:rsidRPr="00404E7F" w:rsidRDefault="00A863DD" w:rsidP="00A863DD">
      <w:pPr>
        <w:pStyle w:val="SCCNormalDoubleSpacing"/>
        <w:spacing w:line="240" w:lineRule="auto"/>
        <w:rPr>
          <w:sz w:val="20"/>
          <w:lang w:val="fr-CA"/>
        </w:rPr>
      </w:pPr>
    </w:p>
    <w:p w:rsidR="00A863DD" w:rsidRPr="00404E7F" w:rsidRDefault="003E770A" w:rsidP="00A863DD">
      <w:pPr>
        <w:jc w:val="both"/>
        <w:rPr>
          <w:sz w:val="20"/>
          <w:lang w:val="fr-CA"/>
        </w:rPr>
      </w:pPr>
      <w:r w:rsidRPr="00404E7F">
        <w:rPr>
          <w:sz w:val="20"/>
        </w:rPr>
        <w:fldChar w:fldCharType="begin"/>
      </w:r>
      <w:r w:rsidR="00A863DD" w:rsidRPr="00404E7F">
        <w:rPr>
          <w:sz w:val="20"/>
          <w:lang w:val="fr-CA"/>
        </w:rPr>
        <w:instrText xml:space="preserve"> SEQ CHAPTER \h \r 1</w:instrText>
      </w:r>
      <w:r w:rsidRPr="00404E7F">
        <w:rPr>
          <w:sz w:val="20"/>
        </w:rPr>
        <w:fldChar w:fldCharType="end"/>
      </w:r>
      <w:r w:rsidR="00A863DD" w:rsidRPr="00404E7F">
        <w:rPr>
          <w:sz w:val="20"/>
          <w:lang w:val="fr-CA"/>
        </w:rPr>
        <w:tab/>
      </w:r>
      <w:r w:rsidR="00A863DD" w:rsidRPr="00404E7F">
        <w:rPr>
          <w:i/>
          <w:iCs/>
          <w:sz w:val="20"/>
          <w:lang w:val="fr-CA"/>
        </w:rPr>
        <w:t>Brad</w:t>
      </w:r>
      <w:r w:rsidR="00A863DD" w:rsidRPr="00404E7F">
        <w:rPr>
          <w:sz w:val="20"/>
          <w:lang w:val="fr-CA"/>
        </w:rPr>
        <w:t xml:space="preserve"> </w:t>
      </w:r>
      <w:r w:rsidR="00A863DD" w:rsidRPr="00404E7F">
        <w:rPr>
          <w:i/>
          <w:iCs/>
          <w:sz w:val="20"/>
          <w:lang w:val="fr-CA"/>
        </w:rPr>
        <w:t>Armstrong</w:t>
      </w:r>
      <w:r w:rsidR="00A863DD" w:rsidRPr="00404E7F">
        <w:rPr>
          <w:sz w:val="20"/>
          <w:lang w:val="fr-CA"/>
        </w:rPr>
        <w:t xml:space="preserve">, </w:t>
      </w:r>
      <w:proofErr w:type="gramStart"/>
      <w:r w:rsidR="00A863DD" w:rsidRPr="00404E7F">
        <w:rPr>
          <w:i/>
          <w:iCs/>
          <w:sz w:val="20"/>
          <w:lang w:val="fr-CA"/>
        </w:rPr>
        <w:t>c.r.</w:t>
      </w:r>
      <w:r w:rsidR="00A863DD" w:rsidRPr="00404E7F">
        <w:rPr>
          <w:sz w:val="20"/>
          <w:lang w:val="fr-CA"/>
        </w:rPr>
        <w:t>,</w:t>
      </w:r>
      <w:proofErr w:type="gramEnd"/>
      <w:r w:rsidR="00A863DD" w:rsidRPr="00404E7F">
        <w:rPr>
          <w:sz w:val="20"/>
          <w:lang w:val="fr-CA"/>
        </w:rPr>
        <w:t xml:space="preserve"> </w:t>
      </w:r>
      <w:r w:rsidR="00A863DD" w:rsidRPr="00404E7F">
        <w:rPr>
          <w:i/>
          <w:iCs/>
          <w:sz w:val="20"/>
          <w:lang w:val="fr-CA"/>
        </w:rPr>
        <w:t xml:space="preserve">Keith </w:t>
      </w:r>
      <w:proofErr w:type="spellStart"/>
      <w:r w:rsidR="00A863DD" w:rsidRPr="00404E7F">
        <w:rPr>
          <w:i/>
          <w:iCs/>
          <w:sz w:val="20"/>
          <w:lang w:val="fr-CA"/>
        </w:rPr>
        <w:t>Bergner</w:t>
      </w:r>
      <w:proofErr w:type="spellEnd"/>
      <w:r w:rsidR="00A863DD" w:rsidRPr="00404E7F">
        <w:rPr>
          <w:iCs/>
          <w:sz w:val="20"/>
          <w:lang w:val="fr-CA"/>
        </w:rPr>
        <w:t xml:space="preserve">, </w:t>
      </w:r>
      <w:r w:rsidR="00A863DD" w:rsidRPr="00404E7F">
        <w:rPr>
          <w:i/>
          <w:iCs/>
          <w:sz w:val="20"/>
          <w:lang w:val="fr-CA"/>
        </w:rPr>
        <w:t xml:space="preserve">Penelope </w:t>
      </w:r>
      <w:proofErr w:type="spellStart"/>
      <w:r w:rsidR="00A863DD" w:rsidRPr="00404E7F">
        <w:rPr>
          <w:i/>
          <w:iCs/>
          <w:sz w:val="20"/>
          <w:lang w:val="fr-CA"/>
        </w:rPr>
        <w:t>Gawn</w:t>
      </w:r>
      <w:proofErr w:type="spellEnd"/>
      <w:r w:rsidR="00A863DD" w:rsidRPr="00404E7F">
        <w:rPr>
          <w:sz w:val="20"/>
          <w:lang w:val="fr-CA"/>
        </w:rPr>
        <w:t xml:space="preserve"> et</w:t>
      </w:r>
      <w:r w:rsidR="00A863DD" w:rsidRPr="00404E7F">
        <w:rPr>
          <w:i/>
          <w:iCs/>
          <w:sz w:val="20"/>
          <w:lang w:val="fr-CA"/>
        </w:rPr>
        <w:t xml:space="preserve"> Lesley </w:t>
      </w:r>
      <w:proofErr w:type="spellStart"/>
      <w:r w:rsidR="00A863DD" w:rsidRPr="00404E7F">
        <w:rPr>
          <w:i/>
          <w:iCs/>
          <w:sz w:val="20"/>
          <w:lang w:val="fr-CA"/>
        </w:rPr>
        <w:t>McCullough</w:t>
      </w:r>
      <w:proofErr w:type="spellEnd"/>
      <w:r w:rsidR="00A863DD" w:rsidRPr="00404E7F">
        <w:rPr>
          <w:sz w:val="20"/>
          <w:lang w:val="fr-CA"/>
        </w:rPr>
        <w:t>, pour les appelants/intimés au pourvoi incident.</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 xml:space="preserve">Jean </w:t>
      </w:r>
      <w:proofErr w:type="spellStart"/>
      <w:r w:rsidRPr="00404E7F">
        <w:rPr>
          <w:i/>
          <w:iCs/>
          <w:sz w:val="20"/>
          <w:lang w:val="fr-CA"/>
        </w:rPr>
        <w:t>Teillet</w:t>
      </w:r>
      <w:proofErr w:type="spellEnd"/>
      <w:r w:rsidRPr="00404E7F">
        <w:rPr>
          <w:sz w:val="20"/>
          <w:lang w:val="fr-CA"/>
        </w:rPr>
        <w:t xml:space="preserve">, </w:t>
      </w:r>
      <w:r w:rsidRPr="00404E7F">
        <w:rPr>
          <w:i/>
          <w:iCs/>
          <w:sz w:val="20"/>
          <w:lang w:val="fr-CA"/>
        </w:rPr>
        <w:t>Arthur</w:t>
      </w:r>
      <w:r w:rsidRPr="00404E7F">
        <w:rPr>
          <w:sz w:val="20"/>
          <w:lang w:val="fr-CA"/>
        </w:rPr>
        <w:t xml:space="preserve"> </w:t>
      </w:r>
      <w:r w:rsidRPr="00404E7F">
        <w:rPr>
          <w:i/>
          <w:iCs/>
          <w:sz w:val="20"/>
          <w:lang w:val="fr-CA"/>
        </w:rPr>
        <w:t>Pape</w:t>
      </w:r>
      <w:r w:rsidRPr="00404E7F">
        <w:rPr>
          <w:sz w:val="20"/>
          <w:lang w:val="fr-CA"/>
        </w:rPr>
        <w:t xml:space="preserve"> et</w:t>
      </w:r>
      <w:r w:rsidRPr="00404E7F">
        <w:rPr>
          <w:i/>
          <w:iCs/>
          <w:sz w:val="20"/>
          <w:lang w:val="fr-CA"/>
        </w:rPr>
        <w:t xml:space="preserve"> Richard B. Salter</w:t>
      </w:r>
      <w:r w:rsidRPr="00404E7F">
        <w:rPr>
          <w:sz w:val="20"/>
          <w:lang w:val="fr-CA"/>
        </w:rPr>
        <w:t>, pour les intimés/appelants au pourvoi incident.</w:t>
      </w:r>
    </w:p>
    <w:p w:rsidR="00A863DD" w:rsidRPr="00404E7F" w:rsidRDefault="00A863DD" w:rsidP="00A863DD">
      <w:pPr>
        <w:jc w:val="both"/>
        <w:rPr>
          <w:sz w:val="20"/>
          <w:lang w:val="fr-CA"/>
        </w:rPr>
      </w:pPr>
    </w:p>
    <w:p w:rsidR="00A863DD" w:rsidRPr="00404E7F" w:rsidRDefault="00A863DD" w:rsidP="00A863DD">
      <w:pPr>
        <w:jc w:val="both"/>
        <w:outlineLvl w:val="0"/>
        <w:rPr>
          <w:sz w:val="20"/>
          <w:lang w:val="fr-CA"/>
        </w:rPr>
      </w:pPr>
      <w:r w:rsidRPr="00404E7F">
        <w:rPr>
          <w:sz w:val="20"/>
          <w:lang w:val="fr-CA"/>
        </w:rPr>
        <w:tab/>
      </w:r>
      <w:r w:rsidRPr="00404E7F">
        <w:rPr>
          <w:i/>
          <w:iCs/>
          <w:sz w:val="20"/>
          <w:lang w:val="fr-CA"/>
        </w:rPr>
        <w:t>Mitchell R.</w:t>
      </w:r>
      <w:r w:rsidRPr="00404E7F">
        <w:rPr>
          <w:sz w:val="20"/>
          <w:lang w:val="fr-CA"/>
        </w:rPr>
        <w:t xml:space="preserve"> </w:t>
      </w:r>
      <w:r w:rsidRPr="00404E7F">
        <w:rPr>
          <w:i/>
          <w:iCs/>
          <w:sz w:val="20"/>
          <w:lang w:val="fr-CA"/>
        </w:rPr>
        <w:t>Taylor</w:t>
      </w:r>
      <w:r w:rsidRPr="00404E7F">
        <w:rPr>
          <w:sz w:val="20"/>
          <w:lang w:val="fr-CA"/>
        </w:rPr>
        <w:t xml:space="preserve">, </w:t>
      </w:r>
      <w:proofErr w:type="gramStart"/>
      <w:r w:rsidRPr="00404E7F">
        <w:rPr>
          <w:i/>
          <w:iCs/>
          <w:sz w:val="20"/>
          <w:lang w:val="fr-CA"/>
        </w:rPr>
        <w:t>c.r.</w:t>
      </w:r>
      <w:r w:rsidRPr="00404E7F">
        <w:rPr>
          <w:sz w:val="20"/>
          <w:lang w:val="fr-CA"/>
        </w:rPr>
        <w:t>,</w:t>
      </w:r>
      <w:proofErr w:type="gramEnd"/>
      <w:r w:rsidRPr="00404E7F">
        <w:rPr>
          <w:sz w:val="20"/>
          <w:lang w:val="fr-CA"/>
        </w:rPr>
        <w:t xml:space="preserve"> pour l’intervenant le procureur général du Canada.</w:t>
      </w:r>
    </w:p>
    <w:p w:rsidR="00A863DD" w:rsidRPr="00404E7F" w:rsidRDefault="00A863DD" w:rsidP="00A863DD">
      <w:pPr>
        <w:jc w:val="both"/>
        <w:outlineLvl w:val="0"/>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 xml:space="preserve">Hugues </w:t>
      </w:r>
      <w:proofErr w:type="spellStart"/>
      <w:r w:rsidRPr="00404E7F">
        <w:rPr>
          <w:i/>
          <w:iCs/>
          <w:sz w:val="20"/>
          <w:lang w:val="fr-CA"/>
        </w:rPr>
        <w:t>Melançon</w:t>
      </w:r>
      <w:proofErr w:type="spellEnd"/>
      <w:r w:rsidRPr="00404E7F">
        <w:rPr>
          <w:sz w:val="20"/>
          <w:lang w:val="fr-CA"/>
        </w:rPr>
        <w:t xml:space="preserve"> et </w:t>
      </w:r>
      <w:r w:rsidRPr="00404E7F">
        <w:rPr>
          <w:i/>
          <w:iCs/>
          <w:sz w:val="20"/>
          <w:lang w:val="fr-CA"/>
        </w:rPr>
        <w:t>Natacha</w:t>
      </w:r>
      <w:r w:rsidRPr="00404E7F">
        <w:rPr>
          <w:sz w:val="20"/>
          <w:lang w:val="fr-CA"/>
        </w:rPr>
        <w:t xml:space="preserve"> </w:t>
      </w:r>
      <w:r w:rsidRPr="00404E7F">
        <w:rPr>
          <w:i/>
          <w:iCs/>
          <w:sz w:val="20"/>
          <w:lang w:val="fr-CA"/>
        </w:rPr>
        <w:t>Lavoie</w:t>
      </w:r>
      <w:r w:rsidRPr="00404E7F">
        <w:rPr>
          <w:sz w:val="20"/>
          <w:lang w:val="fr-CA"/>
        </w:rPr>
        <w:t>, pour l’intervenant le procureur général du Québec.</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Rolf Pritchard</w:t>
      </w:r>
      <w:r w:rsidRPr="00404E7F">
        <w:rPr>
          <w:sz w:val="20"/>
          <w:lang w:val="fr-CA"/>
        </w:rPr>
        <w:t xml:space="preserve"> et </w:t>
      </w:r>
      <w:r w:rsidRPr="00404E7F">
        <w:rPr>
          <w:i/>
          <w:iCs/>
          <w:sz w:val="20"/>
          <w:lang w:val="fr-CA"/>
        </w:rPr>
        <w:t>Justin</w:t>
      </w:r>
      <w:r w:rsidRPr="00404E7F">
        <w:rPr>
          <w:sz w:val="20"/>
          <w:lang w:val="fr-CA"/>
        </w:rPr>
        <w:t> </w:t>
      </w:r>
      <w:r w:rsidRPr="00404E7F">
        <w:rPr>
          <w:i/>
          <w:iCs/>
          <w:sz w:val="20"/>
          <w:lang w:val="fr-CA"/>
        </w:rPr>
        <w:t xml:space="preserve">S. C. </w:t>
      </w:r>
      <w:proofErr w:type="spellStart"/>
      <w:r w:rsidRPr="00404E7F">
        <w:rPr>
          <w:i/>
          <w:iCs/>
          <w:sz w:val="20"/>
          <w:lang w:val="fr-CA"/>
        </w:rPr>
        <w:t>Mellor</w:t>
      </w:r>
      <w:proofErr w:type="spellEnd"/>
      <w:r w:rsidRPr="00404E7F">
        <w:rPr>
          <w:sz w:val="20"/>
          <w:lang w:val="fr-CA"/>
        </w:rPr>
        <w:t xml:space="preserve">, pour l’intervenant le procureur général de </w:t>
      </w:r>
      <w:proofErr w:type="spellStart"/>
      <w:r w:rsidRPr="00404E7F">
        <w:rPr>
          <w:iCs/>
          <w:sz w:val="20"/>
          <w:lang w:val="fr-CA"/>
        </w:rPr>
        <w:t>Terre</w:t>
      </w:r>
      <w:r w:rsidRPr="00404E7F">
        <w:rPr>
          <w:iCs/>
          <w:sz w:val="20"/>
          <w:lang w:val="fr-CA"/>
        </w:rPr>
        <w:noBreakHyphen/>
        <w:t>Neuve</w:t>
      </w:r>
      <w:r w:rsidRPr="00404E7F">
        <w:rPr>
          <w:iCs/>
          <w:sz w:val="20"/>
          <w:lang w:val="fr-CA"/>
        </w:rPr>
        <w:noBreakHyphen/>
        <w:t>et</w:t>
      </w:r>
      <w:r w:rsidRPr="00404E7F">
        <w:rPr>
          <w:iCs/>
          <w:sz w:val="20"/>
          <w:lang w:val="fr-CA"/>
        </w:rPr>
        <w:noBreakHyphen/>
        <w:t>Labrador</w:t>
      </w:r>
      <w:proofErr w:type="spellEnd"/>
      <w:r w:rsidRPr="00404E7F">
        <w:rPr>
          <w:sz w:val="20"/>
          <w:lang w:val="fr-CA"/>
        </w:rPr>
        <w:t>.</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Brian A.</w:t>
      </w:r>
      <w:r w:rsidRPr="00404E7F">
        <w:rPr>
          <w:sz w:val="20"/>
          <w:lang w:val="fr-CA"/>
        </w:rPr>
        <w:t xml:space="preserve"> </w:t>
      </w:r>
      <w:r w:rsidRPr="00404E7F">
        <w:rPr>
          <w:i/>
          <w:iCs/>
          <w:sz w:val="20"/>
          <w:lang w:val="fr-CA"/>
        </w:rPr>
        <w:t>Crane</w:t>
      </w:r>
      <w:r w:rsidRPr="00404E7F">
        <w:rPr>
          <w:sz w:val="20"/>
          <w:lang w:val="fr-CA"/>
        </w:rPr>
        <w:t xml:space="preserve">, </w:t>
      </w:r>
      <w:proofErr w:type="gramStart"/>
      <w:r w:rsidRPr="00404E7F">
        <w:rPr>
          <w:i/>
          <w:iCs/>
          <w:sz w:val="20"/>
          <w:lang w:val="fr-CA"/>
        </w:rPr>
        <w:t>c.r.</w:t>
      </w:r>
      <w:r w:rsidRPr="00404E7F">
        <w:rPr>
          <w:sz w:val="20"/>
          <w:lang w:val="fr-CA"/>
        </w:rPr>
        <w:t>,</w:t>
      </w:r>
      <w:proofErr w:type="gramEnd"/>
      <w:r w:rsidRPr="00404E7F">
        <w:rPr>
          <w:sz w:val="20"/>
          <w:lang w:val="fr-CA"/>
        </w:rPr>
        <w:t xml:space="preserve"> pour les intervenants le Conseil tribal des </w:t>
      </w:r>
      <w:proofErr w:type="spellStart"/>
      <w:r w:rsidRPr="00404E7F">
        <w:rPr>
          <w:sz w:val="20"/>
          <w:lang w:val="fr-CA"/>
        </w:rPr>
        <w:t>Gwich’in</w:t>
      </w:r>
      <w:proofErr w:type="spellEnd"/>
      <w:r w:rsidRPr="00404E7F">
        <w:rPr>
          <w:sz w:val="20"/>
          <w:lang w:val="fr-CA"/>
        </w:rPr>
        <w:t xml:space="preserve"> et </w:t>
      </w:r>
      <w:proofErr w:type="spellStart"/>
      <w:r w:rsidRPr="00404E7F">
        <w:rPr>
          <w:sz w:val="20"/>
          <w:lang w:val="fr-CA"/>
        </w:rPr>
        <w:t>Sahtu</w:t>
      </w:r>
      <w:proofErr w:type="spellEnd"/>
      <w:r w:rsidRPr="00404E7F">
        <w:rPr>
          <w:sz w:val="20"/>
          <w:lang w:val="fr-CA"/>
        </w:rPr>
        <w:t xml:space="preserve"> </w:t>
      </w:r>
      <w:proofErr w:type="spellStart"/>
      <w:r w:rsidRPr="00404E7F">
        <w:rPr>
          <w:sz w:val="20"/>
          <w:lang w:val="fr-CA"/>
        </w:rPr>
        <w:t>Secretariat</w:t>
      </w:r>
      <w:proofErr w:type="spellEnd"/>
      <w:r w:rsidRPr="00404E7F">
        <w:rPr>
          <w:sz w:val="20"/>
          <w:lang w:val="fr-CA"/>
        </w:rPr>
        <w:t xml:space="preserve"> Inc.</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proofErr w:type="spellStart"/>
      <w:r w:rsidRPr="00404E7F">
        <w:rPr>
          <w:i/>
          <w:iCs/>
          <w:sz w:val="20"/>
          <w:lang w:val="fr-CA"/>
        </w:rPr>
        <w:t>Jean</w:t>
      </w:r>
      <w:r w:rsidRPr="00404E7F">
        <w:rPr>
          <w:i/>
          <w:iCs/>
          <w:sz w:val="20"/>
          <w:lang w:val="fr-CA"/>
        </w:rPr>
        <w:noBreakHyphen/>
        <w:t>Sébastien</w:t>
      </w:r>
      <w:proofErr w:type="spellEnd"/>
      <w:r w:rsidRPr="00404E7F">
        <w:rPr>
          <w:sz w:val="20"/>
          <w:lang w:val="fr-CA"/>
        </w:rPr>
        <w:t xml:space="preserve"> </w:t>
      </w:r>
      <w:r w:rsidRPr="00404E7F">
        <w:rPr>
          <w:i/>
          <w:iCs/>
          <w:sz w:val="20"/>
          <w:lang w:val="fr-CA"/>
        </w:rPr>
        <w:t>Clément</w:t>
      </w:r>
      <w:r w:rsidRPr="00404E7F">
        <w:rPr>
          <w:sz w:val="20"/>
          <w:lang w:val="fr-CA"/>
        </w:rPr>
        <w:t xml:space="preserve"> et </w:t>
      </w:r>
      <w:r w:rsidRPr="00404E7F">
        <w:rPr>
          <w:i/>
          <w:iCs/>
          <w:sz w:val="20"/>
          <w:lang w:val="fr-CA"/>
        </w:rPr>
        <w:t xml:space="preserve">François </w:t>
      </w:r>
      <w:proofErr w:type="spellStart"/>
      <w:r w:rsidRPr="00404E7F">
        <w:rPr>
          <w:i/>
          <w:iCs/>
          <w:sz w:val="20"/>
          <w:lang w:val="fr-CA"/>
        </w:rPr>
        <w:t>Dandonneau</w:t>
      </w:r>
      <w:proofErr w:type="spellEnd"/>
      <w:r w:rsidRPr="00404E7F">
        <w:rPr>
          <w:sz w:val="20"/>
          <w:lang w:val="fr-CA"/>
        </w:rPr>
        <w:t>, pour l’intervenant le Grand Conseil des Cris (</w:t>
      </w:r>
      <w:proofErr w:type="spellStart"/>
      <w:r w:rsidRPr="00404E7F">
        <w:rPr>
          <w:sz w:val="20"/>
          <w:lang w:val="fr-CA"/>
        </w:rPr>
        <w:t>Eeyou</w:t>
      </w:r>
      <w:proofErr w:type="spellEnd"/>
      <w:r w:rsidRPr="00404E7F">
        <w:rPr>
          <w:sz w:val="20"/>
          <w:lang w:val="fr-CA"/>
        </w:rPr>
        <w:t xml:space="preserve"> </w:t>
      </w:r>
      <w:proofErr w:type="spellStart"/>
      <w:r w:rsidRPr="00404E7F">
        <w:rPr>
          <w:sz w:val="20"/>
          <w:lang w:val="fr-CA"/>
        </w:rPr>
        <w:t>Istchee</w:t>
      </w:r>
      <w:proofErr w:type="spellEnd"/>
      <w:r w:rsidRPr="00404E7F">
        <w:rPr>
          <w:sz w:val="20"/>
          <w:lang w:val="fr-CA"/>
        </w:rPr>
        <w:t xml:space="preserve">) </w:t>
      </w:r>
      <w:r w:rsidR="003E770A" w:rsidRPr="00404E7F">
        <w:rPr>
          <w:sz w:val="20"/>
        </w:rPr>
        <w:fldChar w:fldCharType="begin"/>
      </w:r>
      <w:r w:rsidRPr="00404E7F">
        <w:rPr>
          <w:sz w:val="20"/>
          <w:lang w:val="fr-CA"/>
        </w:rPr>
        <w:instrText xml:space="preserve"> SEQ CHAPTER \h \r 1</w:instrText>
      </w:r>
      <w:r w:rsidR="003E770A" w:rsidRPr="00404E7F">
        <w:rPr>
          <w:sz w:val="20"/>
        </w:rPr>
        <w:fldChar w:fldCharType="end"/>
      </w:r>
      <w:r w:rsidRPr="00404E7F">
        <w:rPr>
          <w:sz w:val="20"/>
          <w:lang w:val="fr-CA"/>
        </w:rPr>
        <w:t>— Administration régionale crie.</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James M.</w:t>
      </w:r>
      <w:r w:rsidRPr="00404E7F">
        <w:rPr>
          <w:sz w:val="20"/>
          <w:lang w:val="fr-CA"/>
        </w:rPr>
        <w:t xml:space="preserve"> </w:t>
      </w:r>
      <w:proofErr w:type="spellStart"/>
      <w:r w:rsidRPr="00404E7F">
        <w:rPr>
          <w:i/>
          <w:iCs/>
          <w:sz w:val="20"/>
          <w:lang w:val="fr-CA"/>
        </w:rPr>
        <w:t>Coady</w:t>
      </w:r>
      <w:proofErr w:type="spellEnd"/>
      <w:r w:rsidRPr="00404E7F">
        <w:rPr>
          <w:sz w:val="20"/>
          <w:lang w:val="fr-CA"/>
        </w:rPr>
        <w:t xml:space="preserve">, </w:t>
      </w:r>
      <w:r w:rsidRPr="00404E7F">
        <w:rPr>
          <w:i/>
          <w:iCs/>
          <w:sz w:val="20"/>
          <w:lang w:val="fr-CA"/>
        </w:rPr>
        <w:t>Dave Joe</w:t>
      </w:r>
      <w:r w:rsidRPr="00404E7F">
        <w:rPr>
          <w:sz w:val="20"/>
          <w:lang w:val="fr-CA"/>
        </w:rPr>
        <w:t xml:space="preserve"> et</w:t>
      </w:r>
      <w:r w:rsidRPr="00404E7F">
        <w:rPr>
          <w:i/>
          <w:iCs/>
          <w:sz w:val="20"/>
          <w:lang w:val="fr-CA"/>
        </w:rPr>
        <w:t xml:space="preserve"> </w:t>
      </w:r>
      <w:proofErr w:type="spellStart"/>
      <w:r w:rsidRPr="00404E7F">
        <w:rPr>
          <w:i/>
          <w:iCs/>
          <w:sz w:val="20"/>
          <w:lang w:val="fr-CA"/>
        </w:rPr>
        <w:t>Daryn</w:t>
      </w:r>
      <w:proofErr w:type="spellEnd"/>
      <w:r w:rsidRPr="00404E7F">
        <w:rPr>
          <w:i/>
          <w:iCs/>
          <w:sz w:val="20"/>
          <w:lang w:val="fr-CA"/>
        </w:rPr>
        <w:t xml:space="preserve"> R. </w:t>
      </w:r>
      <w:proofErr w:type="spellStart"/>
      <w:r w:rsidRPr="00404E7F">
        <w:rPr>
          <w:i/>
          <w:iCs/>
          <w:sz w:val="20"/>
          <w:lang w:val="fr-CA"/>
        </w:rPr>
        <w:t>Leas</w:t>
      </w:r>
      <w:proofErr w:type="spellEnd"/>
      <w:r w:rsidRPr="00404E7F">
        <w:rPr>
          <w:sz w:val="20"/>
          <w:lang w:val="fr-CA"/>
        </w:rPr>
        <w:t>, pour l’intervenant le Conseil des Premières nations du Yukon.</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Joseph J.</w:t>
      </w:r>
      <w:r w:rsidRPr="00404E7F">
        <w:rPr>
          <w:sz w:val="20"/>
          <w:lang w:val="fr-CA"/>
        </w:rPr>
        <w:t xml:space="preserve"> </w:t>
      </w:r>
      <w:proofErr w:type="spellStart"/>
      <w:r w:rsidRPr="00404E7F">
        <w:rPr>
          <w:i/>
          <w:iCs/>
          <w:sz w:val="20"/>
          <w:lang w:val="fr-CA"/>
        </w:rPr>
        <w:t>Arvay</w:t>
      </w:r>
      <w:proofErr w:type="spellEnd"/>
      <w:r w:rsidRPr="00404E7F">
        <w:rPr>
          <w:sz w:val="20"/>
          <w:lang w:val="fr-CA"/>
        </w:rPr>
        <w:t xml:space="preserve">, </w:t>
      </w:r>
      <w:proofErr w:type="gramStart"/>
      <w:r w:rsidRPr="00404E7F">
        <w:rPr>
          <w:i/>
          <w:iCs/>
          <w:sz w:val="20"/>
          <w:lang w:val="fr-CA"/>
        </w:rPr>
        <w:t>c.r.</w:t>
      </w:r>
      <w:r w:rsidRPr="00404E7F">
        <w:rPr>
          <w:sz w:val="20"/>
          <w:lang w:val="fr-CA"/>
        </w:rPr>
        <w:t>,</w:t>
      </w:r>
      <w:proofErr w:type="gramEnd"/>
      <w:r w:rsidRPr="00404E7F">
        <w:rPr>
          <w:sz w:val="20"/>
          <w:lang w:val="fr-CA"/>
        </w:rPr>
        <w:t xml:space="preserve"> et </w:t>
      </w:r>
      <w:r w:rsidRPr="00404E7F">
        <w:rPr>
          <w:i/>
          <w:iCs/>
          <w:sz w:val="20"/>
          <w:lang w:val="fr-CA"/>
        </w:rPr>
        <w:t>Bruce Elwood</w:t>
      </w:r>
      <w:r w:rsidRPr="00404E7F">
        <w:rPr>
          <w:sz w:val="20"/>
          <w:lang w:val="fr-CA"/>
        </w:rPr>
        <w:t xml:space="preserve">, pour l’intervenante la Première nation </w:t>
      </w:r>
      <w:proofErr w:type="spellStart"/>
      <w:r w:rsidRPr="00404E7F">
        <w:rPr>
          <w:sz w:val="20"/>
          <w:lang w:val="fr-CA"/>
        </w:rPr>
        <w:t>Kwanlin</w:t>
      </w:r>
      <w:proofErr w:type="spellEnd"/>
      <w:r w:rsidRPr="00404E7F">
        <w:rPr>
          <w:sz w:val="20"/>
          <w:lang w:val="fr-CA"/>
        </w:rPr>
        <w:t xml:space="preserve"> </w:t>
      </w:r>
      <w:proofErr w:type="spellStart"/>
      <w:r w:rsidRPr="00404E7F">
        <w:rPr>
          <w:sz w:val="20"/>
          <w:lang w:val="fr-CA"/>
        </w:rPr>
        <w:t>Dün</w:t>
      </w:r>
      <w:proofErr w:type="spellEnd"/>
      <w:r w:rsidRPr="00404E7F">
        <w:rPr>
          <w:sz w:val="20"/>
          <w:lang w:val="fr-CA"/>
        </w:rPr>
        <w:t>.</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James R.</w:t>
      </w:r>
      <w:r w:rsidRPr="00404E7F">
        <w:rPr>
          <w:sz w:val="20"/>
          <w:lang w:val="fr-CA"/>
        </w:rPr>
        <w:t xml:space="preserve"> </w:t>
      </w:r>
      <w:proofErr w:type="spellStart"/>
      <w:r w:rsidRPr="00404E7F">
        <w:rPr>
          <w:i/>
          <w:iCs/>
          <w:sz w:val="20"/>
          <w:lang w:val="fr-CA"/>
        </w:rPr>
        <w:t>Aldridge</w:t>
      </w:r>
      <w:proofErr w:type="spellEnd"/>
      <w:r w:rsidRPr="00404E7F">
        <w:rPr>
          <w:sz w:val="20"/>
          <w:lang w:val="fr-CA"/>
        </w:rPr>
        <w:t xml:space="preserve">, </w:t>
      </w:r>
      <w:proofErr w:type="gramStart"/>
      <w:r w:rsidRPr="00404E7F">
        <w:rPr>
          <w:i/>
          <w:iCs/>
          <w:sz w:val="20"/>
          <w:lang w:val="fr-CA"/>
        </w:rPr>
        <w:t>c.r.</w:t>
      </w:r>
      <w:r w:rsidRPr="00404E7F">
        <w:rPr>
          <w:sz w:val="20"/>
          <w:lang w:val="fr-CA"/>
        </w:rPr>
        <w:t>,</w:t>
      </w:r>
      <w:proofErr w:type="gramEnd"/>
      <w:r w:rsidRPr="00404E7F">
        <w:rPr>
          <w:sz w:val="20"/>
          <w:lang w:val="fr-CA"/>
        </w:rPr>
        <w:t xml:space="preserve"> et </w:t>
      </w:r>
      <w:r w:rsidRPr="00404E7F">
        <w:rPr>
          <w:i/>
          <w:iCs/>
          <w:sz w:val="20"/>
          <w:lang w:val="fr-CA"/>
        </w:rPr>
        <w:t xml:space="preserve">Dominique </w:t>
      </w:r>
      <w:proofErr w:type="spellStart"/>
      <w:r w:rsidRPr="00404E7F">
        <w:rPr>
          <w:i/>
          <w:iCs/>
          <w:sz w:val="20"/>
          <w:lang w:val="fr-CA"/>
        </w:rPr>
        <w:t>Nouvet</w:t>
      </w:r>
      <w:proofErr w:type="spellEnd"/>
      <w:r w:rsidRPr="00404E7F">
        <w:rPr>
          <w:sz w:val="20"/>
          <w:lang w:val="fr-CA"/>
        </w:rPr>
        <w:t xml:space="preserve">, pour l’intervenante Nunavut </w:t>
      </w:r>
      <w:proofErr w:type="spellStart"/>
      <w:r w:rsidRPr="00404E7F">
        <w:rPr>
          <w:sz w:val="20"/>
          <w:lang w:val="fr-CA"/>
        </w:rPr>
        <w:t>Tunngavik</w:t>
      </w:r>
      <w:proofErr w:type="spellEnd"/>
      <w:r w:rsidRPr="00404E7F">
        <w:rPr>
          <w:sz w:val="20"/>
          <w:lang w:val="fr-CA"/>
        </w:rPr>
        <w:t xml:space="preserve"> Inc.</w:t>
      </w:r>
    </w:p>
    <w:p w:rsidR="00A863DD" w:rsidRPr="00404E7F" w:rsidRDefault="00A863DD" w:rsidP="00A863DD">
      <w:pPr>
        <w:jc w:val="both"/>
        <w:rPr>
          <w:sz w:val="20"/>
          <w:lang w:val="fr-CA"/>
        </w:rPr>
      </w:pPr>
    </w:p>
    <w:p w:rsidR="00A863DD" w:rsidRPr="00404E7F" w:rsidRDefault="00A863DD" w:rsidP="00A863DD">
      <w:pPr>
        <w:jc w:val="both"/>
        <w:outlineLvl w:val="0"/>
        <w:rPr>
          <w:sz w:val="20"/>
          <w:lang w:val="fr-CA"/>
        </w:rPr>
      </w:pPr>
      <w:r w:rsidRPr="00404E7F">
        <w:rPr>
          <w:sz w:val="20"/>
          <w:lang w:val="fr-CA"/>
        </w:rPr>
        <w:tab/>
      </w:r>
      <w:r w:rsidRPr="00404E7F">
        <w:rPr>
          <w:i/>
          <w:iCs/>
          <w:sz w:val="20"/>
          <w:lang w:val="fr-CA"/>
        </w:rPr>
        <w:t>John</w:t>
      </w:r>
      <w:r w:rsidRPr="00404E7F">
        <w:rPr>
          <w:sz w:val="20"/>
          <w:lang w:val="fr-CA"/>
        </w:rPr>
        <w:t xml:space="preserve"> </w:t>
      </w:r>
      <w:proofErr w:type="spellStart"/>
      <w:r w:rsidRPr="00404E7F">
        <w:rPr>
          <w:i/>
          <w:iCs/>
          <w:sz w:val="20"/>
          <w:lang w:val="fr-CA"/>
        </w:rPr>
        <w:t>Donihee</w:t>
      </w:r>
      <w:proofErr w:type="spellEnd"/>
      <w:r w:rsidRPr="00404E7F">
        <w:rPr>
          <w:sz w:val="20"/>
          <w:lang w:val="fr-CA"/>
        </w:rPr>
        <w:t xml:space="preserve">, pour l’intervenant le gouvernement </w:t>
      </w:r>
      <w:proofErr w:type="spellStart"/>
      <w:r w:rsidRPr="00404E7F">
        <w:rPr>
          <w:sz w:val="20"/>
          <w:lang w:val="fr-CA"/>
        </w:rPr>
        <w:t>tlicho</w:t>
      </w:r>
      <w:proofErr w:type="spellEnd"/>
      <w:r w:rsidRPr="00404E7F">
        <w:rPr>
          <w:sz w:val="20"/>
          <w:lang w:val="fr-CA"/>
        </w:rPr>
        <w:t>.</w:t>
      </w:r>
    </w:p>
    <w:p w:rsidR="00A863DD" w:rsidRPr="00404E7F" w:rsidRDefault="00A863DD" w:rsidP="00A863DD">
      <w:pPr>
        <w:jc w:val="both"/>
        <w:outlineLvl w:val="0"/>
        <w:rPr>
          <w:sz w:val="20"/>
          <w:lang w:val="fr-CA"/>
        </w:rPr>
      </w:pPr>
    </w:p>
    <w:p w:rsidR="00A863DD" w:rsidRPr="00404E7F" w:rsidRDefault="00A863DD" w:rsidP="00A863DD">
      <w:pPr>
        <w:jc w:val="both"/>
        <w:outlineLvl w:val="0"/>
        <w:rPr>
          <w:sz w:val="20"/>
          <w:lang w:val="fr-CA"/>
        </w:rPr>
      </w:pPr>
      <w:r w:rsidRPr="00404E7F">
        <w:rPr>
          <w:sz w:val="20"/>
          <w:lang w:val="fr-CA"/>
        </w:rPr>
        <w:tab/>
      </w:r>
      <w:r w:rsidRPr="00404E7F">
        <w:rPr>
          <w:i/>
          <w:iCs/>
          <w:sz w:val="20"/>
          <w:lang w:val="fr-CA"/>
        </w:rPr>
        <w:t>Robert J. M.</w:t>
      </w:r>
      <w:r w:rsidRPr="00404E7F">
        <w:rPr>
          <w:sz w:val="20"/>
          <w:lang w:val="fr-CA"/>
        </w:rPr>
        <w:t xml:space="preserve"> </w:t>
      </w:r>
      <w:proofErr w:type="spellStart"/>
      <w:r w:rsidRPr="00404E7F">
        <w:rPr>
          <w:i/>
          <w:iCs/>
          <w:sz w:val="20"/>
          <w:lang w:val="fr-CA"/>
        </w:rPr>
        <w:t>Janes</w:t>
      </w:r>
      <w:proofErr w:type="spellEnd"/>
      <w:r w:rsidRPr="00404E7F">
        <w:rPr>
          <w:sz w:val="20"/>
          <w:lang w:val="fr-CA"/>
        </w:rPr>
        <w:t xml:space="preserve"> et </w:t>
      </w:r>
      <w:proofErr w:type="spellStart"/>
      <w:r w:rsidRPr="00404E7F">
        <w:rPr>
          <w:i/>
          <w:iCs/>
          <w:sz w:val="20"/>
          <w:lang w:val="fr-CA"/>
        </w:rPr>
        <w:t>Karey</w:t>
      </w:r>
      <w:proofErr w:type="spellEnd"/>
      <w:r w:rsidRPr="00404E7F">
        <w:rPr>
          <w:i/>
          <w:iCs/>
          <w:sz w:val="20"/>
          <w:lang w:val="fr-CA"/>
        </w:rPr>
        <w:t> M. Brooks</w:t>
      </w:r>
      <w:r w:rsidRPr="00404E7F">
        <w:rPr>
          <w:sz w:val="20"/>
          <w:lang w:val="fr-CA"/>
        </w:rPr>
        <w:t xml:space="preserve">, pour l’intervenante Nations </w:t>
      </w:r>
      <w:proofErr w:type="spellStart"/>
      <w:r w:rsidRPr="00404E7F">
        <w:rPr>
          <w:sz w:val="20"/>
          <w:lang w:val="fr-CA"/>
        </w:rPr>
        <w:t>Te’Mexw</w:t>
      </w:r>
      <w:proofErr w:type="spellEnd"/>
      <w:r w:rsidRPr="00404E7F">
        <w:rPr>
          <w:sz w:val="20"/>
          <w:lang w:val="fr-CA"/>
        </w:rPr>
        <w:t>.</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Peter W.</w:t>
      </w:r>
      <w:r w:rsidRPr="00404E7F">
        <w:rPr>
          <w:sz w:val="20"/>
          <w:lang w:val="fr-CA"/>
        </w:rPr>
        <w:t xml:space="preserve"> </w:t>
      </w:r>
      <w:proofErr w:type="spellStart"/>
      <w:r w:rsidRPr="00404E7F">
        <w:rPr>
          <w:i/>
          <w:iCs/>
          <w:sz w:val="20"/>
          <w:lang w:val="fr-CA"/>
        </w:rPr>
        <w:t>Hutchins</w:t>
      </w:r>
      <w:proofErr w:type="spellEnd"/>
      <w:r w:rsidRPr="00404E7F">
        <w:rPr>
          <w:sz w:val="20"/>
          <w:lang w:val="fr-CA"/>
        </w:rPr>
        <w:t xml:space="preserve"> et </w:t>
      </w:r>
      <w:r w:rsidRPr="00404E7F">
        <w:rPr>
          <w:i/>
          <w:iCs/>
          <w:sz w:val="20"/>
          <w:lang w:val="fr-CA"/>
        </w:rPr>
        <w:t>Julie Corry</w:t>
      </w:r>
      <w:r w:rsidRPr="00404E7F">
        <w:rPr>
          <w:sz w:val="20"/>
          <w:lang w:val="fr-CA"/>
        </w:rPr>
        <w:t>, pour l’intervenante l’Assemblée des Premières Nations.</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tab/>
      </w:r>
      <w:r w:rsidRPr="00404E7F">
        <w:rPr>
          <w:i/>
          <w:iCs/>
          <w:sz w:val="20"/>
          <w:lang w:val="fr-CA"/>
        </w:rPr>
        <w:t xml:space="preserve">Procureurs des appelants/intimés au pourvoi incident : Lawson </w:t>
      </w:r>
      <w:proofErr w:type="spellStart"/>
      <w:r w:rsidRPr="00404E7F">
        <w:rPr>
          <w:i/>
          <w:iCs/>
          <w:sz w:val="20"/>
          <w:lang w:val="fr-CA"/>
        </w:rPr>
        <w:t>Lundell</w:t>
      </w:r>
      <w:proofErr w:type="spellEnd"/>
      <w:r w:rsidRPr="00404E7F">
        <w:rPr>
          <w:i/>
          <w:iCs/>
          <w:sz w:val="20"/>
          <w:lang w:val="fr-CA"/>
        </w:rPr>
        <w:t>, Vancouver.</w:t>
      </w:r>
    </w:p>
    <w:p w:rsidR="00A863DD" w:rsidRPr="00404E7F" w:rsidRDefault="00A863DD" w:rsidP="00A863DD">
      <w:pPr>
        <w:jc w:val="both"/>
        <w:rPr>
          <w:sz w:val="20"/>
          <w:lang w:val="fr-CA"/>
        </w:rPr>
      </w:pPr>
    </w:p>
    <w:p w:rsidR="00A863DD" w:rsidRPr="00404E7F" w:rsidRDefault="00A863DD" w:rsidP="00A863DD">
      <w:pPr>
        <w:jc w:val="both"/>
        <w:rPr>
          <w:sz w:val="20"/>
          <w:lang w:val="fr-CA"/>
        </w:rPr>
      </w:pPr>
      <w:r w:rsidRPr="00404E7F">
        <w:rPr>
          <w:sz w:val="20"/>
          <w:lang w:val="fr-CA"/>
        </w:rPr>
        <w:lastRenderedPageBreak/>
        <w:tab/>
      </w:r>
      <w:r w:rsidRPr="00404E7F">
        <w:rPr>
          <w:i/>
          <w:iCs/>
          <w:sz w:val="20"/>
          <w:lang w:val="fr-CA"/>
        </w:rPr>
        <w:t xml:space="preserve">Procureurs des intimés/appelants au pourvoi incident : Pape Salter </w:t>
      </w:r>
      <w:proofErr w:type="spellStart"/>
      <w:r w:rsidRPr="00404E7F">
        <w:rPr>
          <w:i/>
          <w:iCs/>
          <w:sz w:val="20"/>
          <w:lang w:val="fr-CA"/>
        </w:rPr>
        <w:t>Teillet</w:t>
      </w:r>
      <w:proofErr w:type="spellEnd"/>
      <w:r w:rsidRPr="00404E7F">
        <w:rPr>
          <w:i/>
          <w:iCs/>
          <w:sz w:val="20"/>
          <w:lang w:val="fr-CA"/>
        </w:rPr>
        <w:t>, Vancouver.</w:t>
      </w:r>
    </w:p>
    <w:p w:rsidR="00A863DD" w:rsidRPr="00404E7F" w:rsidRDefault="00A863DD" w:rsidP="00A863DD">
      <w:pPr>
        <w:jc w:val="both"/>
        <w:rPr>
          <w:sz w:val="20"/>
          <w:lang w:val="fr-CA"/>
        </w:rPr>
      </w:pPr>
    </w:p>
    <w:p w:rsidR="00A863DD" w:rsidRPr="00404E7F" w:rsidRDefault="00A863DD" w:rsidP="00A863DD">
      <w:pPr>
        <w:jc w:val="both"/>
        <w:rPr>
          <w:i/>
          <w:iCs/>
          <w:sz w:val="20"/>
          <w:lang w:val="fr-CA"/>
        </w:rPr>
      </w:pPr>
      <w:r w:rsidRPr="00404E7F">
        <w:rPr>
          <w:sz w:val="20"/>
          <w:lang w:val="fr-CA"/>
        </w:rPr>
        <w:tab/>
      </w:r>
      <w:r w:rsidRPr="00404E7F">
        <w:rPr>
          <w:i/>
          <w:iCs/>
          <w:sz w:val="20"/>
          <w:lang w:val="fr-CA"/>
        </w:rPr>
        <w:t>Procureur de l’intervenant le procureur général du Canada : Procureur général du Canada, Vancouver.</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Procureur de l’intervenant le procureur général du Québec : Procureur général du Québec, Québec.</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 xml:space="preserve">Procureur de l’intervenant le procureur général de </w:t>
      </w:r>
      <w:proofErr w:type="spellStart"/>
      <w:r w:rsidRPr="00404E7F">
        <w:rPr>
          <w:i/>
          <w:iCs/>
          <w:sz w:val="20"/>
          <w:lang w:val="fr-CA"/>
        </w:rPr>
        <w:t>Terre</w:t>
      </w:r>
      <w:r w:rsidRPr="00404E7F">
        <w:rPr>
          <w:i/>
          <w:iCs/>
          <w:sz w:val="20"/>
          <w:lang w:val="fr-CA"/>
        </w:rPr>
        <w:noBreakHyphen/>
        <w:t>Neuve</w:t>
      </w:r>
      <w:r w:rsidRPr="00404E7F">
        <w:rPr>
          <w:i/>
          <w:iCs/>
          <w:sz w:val="20"/>
          <w:lang w:val="fr-CA"/>
        </w:rPr>
        <w:noBreakHyphen/>
        <w:t>et</w:t>
      </w:r>
      <w:r w:rsidRPr="00404E7F">
        <w:rPr>
          <w:i/>
          <w:iCs/>
          <w:sz w:val="20"/>
          <w:lang w:val="fr-CA"/>
        </w:rPr>
        <w:noBreakHyphen/>
        <w:t>Labrador</w:t>
      </w:r>
      <w:proofErr w:type="spellEnd"/>
      <w:r w:rsidRPr="00404E7F">
        <w:rPr>
          <w:i/>
          <w:iCs/>
          <w:sz w:val="20"/>
          <w:lang w:val="fr-CA"/>
        </w:rPr>
        <w:t xml:space="preserve"> : Procureur général de </w:t>
      </w:r>
      <w:proofErr w:type="spellStart"/>
      <w:r w:rsidRPr="00404E7F">
        <w:rPr>
          <w:i/>
          <w:iCs/>
          <w:sz w:val="20"/>
          <w:lang w:val="fr-CA"/>
        </w:rPr>
        <w:t>Terre</w:t>
      </w:r>
      <w:r w:rsidRPr="00404E7F">
        <w:rPr>
          <w:i/>
          <w:iCs/>
          <w:sz w:val="20"/>
          <w:lang w:val="fr-CA"/>
        </w:rPr>
        <w:noBreakHyphen/>
        <w:t>Neuve</w:t>
      </w:r>
      <w:r w:rsidRPr="00404E7F">
        <w:rPr>
          <w:i/>
          <w:iCs/>
          <w:sz w:val="20"/>
          <w:lang w:val="fr-CA"/>
        </w:rPr>
        <w:noBreakHyphen/>
        <w:t>et</w:t>
      </w:r>
      <w:r w:rsidRPr="00404E7F">
        <w:rPr>
          <w:i/>
          <w:iCs/>
          <w:sz w:val="20"/>
          <w:lang w:val="fr-CA"/>
        </w:rPr>
        <w:noBreakHyphen/>
        <w:t>Labrador</w:t>
      </w:r>
      <w:proofErr w:type="spellEnd"/>
      <w:r w:rsidRPr="00404E7F">
        <w:rPr>
          <w:i/>
          <w:iCs/>
          <w:sz w:val="20"/>
          <w:lang w:val="fr-CA"/>
        </w:rPr>
        <w:t>, St. John’s.</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 xml:space="preserve">Procureurs des intervenants le Conseil tribal des </w:t>
      </w:r>
      <w:proofErr w:type="spellStart"/>
      <w:r w:rsidRPr="00404E7F">
        <w:rPr>
          <w:i/>
          <w:iCs/>
          <w:sz w:val="20"/>
          <w:lang w:val="fr-CA"/>
        </w:rPr>
        <w:t>Gwich’in</w:t>
      </w:r>
      <w:proofErr w:type="spellEnd"/>
      <w:r w:rsidRPr="00404E7F">
        <w:rPr>
          <w:i/>
          <w:iCs/>
          <w:sz w:val="20"/>
          <w:lang w:val="fr-CA"/>
        </w:rPr>
        <w:t xml:space="preserve"> et </w:t>
      </w:r>
      <w:proofErr w:type="spellStart"/>
      <w:r w:rsidRPr="00404E7F">
        <w:rPr>
          <w:i/>
          <w:iCs/>
          <w:sz w:val="20"/>
          <w:lang w:val="fr-CA"/>
        </w:rPr>
        <w:t>Sahtu</w:t>
      </w:r>
      <w:proofErr w:type="spellEnd"/>
      <w:r w:rsidRPr="00404E7F">
        <w:rPr>
          <w:i/>
          <w:iCs/>
          <w:sz w:val="20"/>
          <w:lang w:val="fr-CA"/>
        </w:rPr>
        <w:t xml:space="preserve"> </w:t>
      </w:r>
      <w:proofErr w:type="spellStart"/>
      <w:r w:rsidRPr="00404E7F">
        <w:rPr>
          <w:i/>
          <w:iCs/>
          <w:sz w:val="20"/>
          <w:lang w:val="fr-CA"/>
        </w:rPr>
        <w:t>Secretariat</w:t>
      </w:r>
      <w:proofErr w:type="spellEnd"/>
      <w:r w:rsidRPr="00404E7F">
        <w:rPr>
          <w:i/>
          <w:iCs/>
          <w:sz w:val="20"/>
          <w:lang w:val="fr-CA"/>
        </w:rPr>
        <w:t xml:space="preserve"> Inc. : </w:t>
      </w:r>
      <w:proofErr w:type="spellStart"/>
      <w:r w:rsidRPr="00404E7F">
        <w:rPr>
          <w:i/>
          <w:iCs/>
          <w:sz w:val="20"/>
          <w:lang w:val="fr-CA"/>
        </w:rPr>
        <w:t>Gowling</w:t>
      </w:r>
      <w:proofErr w:type="spellEnd"/>
      <w:r w:rsidRPr="00404E7F">
        <w:rPr>
          <w:i/>
          <w:iCs/>
          <w:sz w:val="20"/>
          <w:lang w:val="fr-CA"/>
        </w:rPr>
        <w:t xml:space="preserve"> Lafleur Henderson, Ottawa.</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Procureurs de l’intervenant le Grand Conseil des Cris (</w:t>
      </w:r>
      <w:proofErr w:type="spellStart"/>
      <w:r w:rsidRPr="00404E7F">
        <w:rPr>
          <w:i/>
          <w:iCs/>
          <w:sz w:val="20"/>
          <w:lang w:val="fr-CA"/>
        </w:rPr>
        <w:t>Eeyou</w:t>
      </w:r>
      <w:proofErr w:type="spellEnd"/>
      <w:r w:rsidRPr="00404E7F">
        <w:rPr>
          <w:i/>
          <w:iCs/>
          <w:sz w:val="20"/>
          <w:lang w:val="fr-CA"/>
        </w:rPr>
        <w:t xml:space="preserve"> </w:t>
      </w:r>
      <w:proofErr w:type="spellStart"/>
      <w:r w:rsidRPr="00404E7F">
        <w:rPr>
          <w:i/>
          <w:iCs/>
          <w:sz w:val="20"/>
          <w:lang w:val="fr-CA"/>
        </w:rPr>
        <w:t>Istchee</w:t>
      </w:r>
      <w:proofErr w:type="spellEnd"/>
      <w:r w:rsidRPr="00404E7F">
        <w:rPr>
          <w:i/>
          <w:iCs/>
          <w:sz w:val="20"/>
          <w:lang w:val="fr-CA"/>
        </w:rPr>
        <w:t xml:space="preserve">) </w:t>
      </w:r>
      <w:r w:rsidR="003E770A" w:rsidRPr="00404E7F">
        <w:rPr>
          <w:sz w:val="20"/>
        </w:rPr>
        <w:fldChar w:fldCharType="begin"/>
      </w:r>
      <w:r w:rsidRPr="00404E7F">
        <w:rPr>
          <w:sz w:val="20"/>
          <w:lang w:val="fr-CA"/>
        </w:rPr>
        <w:instrText xml:space="preserve"> SEQ CHAPTER \h \r 1</w:instrText>
      </w:r>
      <w:r w:rsidR="003E770A" w:rsidRPr="00404E7F">
        <w:rPr>
          <w:sz w:val="20"/>
        </w:rPr>
        <w:fldChar w:fldCharType="end"/>
      </w:r>
      <w:r w:rsidRPr="00404E7F">
        <w:rPr>
          <w:sz w:val="20"/>
          <w:lang w:val="fr-CA"/>
        </w:rPr>
        <w:t>—</w:t>
      </w:r>
      <w:r w:rsidRPr="00404E7F">
        <w:rPr>
          <w:i/>
          <w:iCs/>
          <w:sz w:val="20"/>
          <w:lang w:val="fr-CA"/>
        </w:rPr>
        <w:t xml:space="preserve"> Administration régionale crie : </w:t>
      </w:r>
      <w:proofErr w:type="spellStart"/>
      <w:r w:rsidRPr="00404E7F">
        <w:rPr>
          <w:i/>
          <w:iCs/>
          <w:sz w:val="20"/>
          <w:lang w:val="fr-CA"/>
        </w:rPr>
        <w:t>Gowling</w:t>
      </w:r>
      <w:proofErr w:type="spellEnd"/>
      <w:r w:rsidRPr="00404E7F">
        <w:rPr>
          <w:i/>
          <w:iCs/>
          <w:sz w:val="20"/>
          <w:lang w:val="fr-CA"/>
        </w:rPr>
        <w:t xml:space="preserve"> Lafleur Henderson, Montréal.</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Procureurs de l’intervenant le Conseil des Premières nations du Yukon : </w:t>
      </w:r>
      <w:proofErr w:type="spellStart"/>
      <w:r w:rsidRPr="00404E7F">
        <w:rPr>
          <w:i/>
          <w:iCs/>
          <w:sz w:val="20"/>
          <w:lang w:val="fr-CA"/>
        </w:rPr>
        <w:t>Boughton</w:t>
      </w:r>
      <w:proofErr w:type="spellEnd"/>
      <w:r w:rsidRPr="00404E7F">
        <w:rPr>
          <w:i/>
          <w:iCs/>
          <w:sz w:val="20"/>
          <w:lang w:val="fr-CA"/>
        </w:rPr>
        <w:t xml:space="preserve"> Law Corporation, Vancouver.</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 xml:space="preserve">Procureurs de l’intervenante la Première nation </w:t>
      </w:r>
      <w:proofErr w:type="spellStart"/>
      <w:r w:rsidRPr="00404E7F">
        <w:rPr>
          <w:i/>
          <w:iCs/>
          <w:sz w:val="20"/>
          <w:lang w:val="fr-CA"/>
        </w:rPr>
        <w:t>Kwanlin</w:t>
      </w:r>
      <w:proofErr w:type="spellEnd"/>
      <w:r w:rsidRPr="00404E7F">
        <w:rPr>
          <w:i/>
          <w:iCs/>
          <w:sz w:val="20"/>
          <w:lang w:val="fr-CA"/>
        </w:rPr>
        <w:t xml:space="preserve"> </w:t>
      </w:r>
      <w:proofErr w:type="spellStart"/>
      <w:r w:rsidRPr="00404E7F">
        <w:rPr>
          <w:i/>
          <w:iCs/>
          <w:sz w:val="20"/>
          <w:lang w:val="fr-CA"/>
        </w:rPr>
        <w:t>Dün</w:t>
      </w:r>
      <w:proofErr w:type="spellEnd"/>
      <w:r w:rsidRPr="00404E7F">
        <w:rPr>
          <w:i/>
          <w:iCs/>
          <w:sz w:val="20"/>
          <w:lang w:val="fr-CA"/>
        </w:rPr>
        <w:t> : </w:t>
      </w:r>
      <w:proofErr w:type="spellStart"/>
      <w:r w:rsidRPr="00404E7F">
        <w:rPr>
          <w:i/>
          <w:iCs/>
          <w:sz w:val="20"/>
          <w:lang w:val="fr-CA"/>
        </w:rPr>
        <w:t>Arvay</w:t>
      </w:r>
      <w:proofErr w:type="spellEnd"/>
      <w:r w:rsidRPr="00404E7F">
        <w:rPr>
          <w:i/>
          <w:iCs/>
          <w:sz w:val="20"/>
          <w:lang w:val="fr-CA"/>
        </w:rPr>
        <w:t xml:space="preserve"> Finlay, Vancouver.</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 xml:space="preserve">Procureurs de l’intervenante Nunavut </w:t>
      </w:r>
      <w:proofErr w:type="spellStart"/>
      <w:r w:rsidRPr="00404E7F">
        <w:rPr>
          <w:i/>
          <w:iCs/>
          <w:sz w:val="20"/>
          <w:lang w:val="fr-CA"/>
        </w:rPr>
        <w:t>Tunngavik</w:t>
      </w:r>
      <w:proofErr w:type="spellEnd"/>
      <w:r w:rsidRPr="00404E7F">
        <w:rPr>
          <w:i/>
          <w:iCs/>
          <w:sz w:val="20"/>
          <w:lang w:val="fr-CA"/>
        </w:rPr>
        <w:t xml:space="preserve"> Inc. : </w:t>
      </w:r>
      <w:proofErr w:type="spellStart"/>
      <w:r w:rsidRPr="00404E7F">
        <w:rPr>
          <w:i/>
          <w:iCs/>
          <w:sz w:val="20"/>
          <w:lang w:val="fr-CA"/>
        </w:rPr>
        <w:t>Rosenbloom</w:t>
      </w:r>
      <w:proofErr w:type="spellEnd"/>
      <w:r w:rsidRPr="00404E7F">
        <w:rPr>
          <w:i/>
          <w:iCs/>
          <w:sz w:val="20"/>
          <w:lang w:val="fr-CA"/>
        </w:rPr>
        <w:t xml:space="preserve"> </w:t>
      </w:r>
      <w:proofErr w:type="spellStart"/>
      <w:r w:rsidRPr="00404E7F">
        <w:rPr>
          <w:i/>
          <w:iCs/>
          <w:sz w:val="20"/>
          <w:lang w:val="fr-CA"/>
        </w:rPr>
        <w:t>Aldridge</w:t>
      </w:r>
      <w:proofErr w:type="spellEnd"/>
      <w:r w:rsidRPr="00404E7F">
        <w:rPr>
          <w:i/>
          <w:iCs/>
          <w:sz w:val="20"/>
          <w:lang w:val="fr-CA"/>
        </w:rPr>
        <w:t xml:space="preserve"> </w:t>
      </w:r>
      <w:proofErr w:type="spellStart"/>
      <w:r w:rsidRPr="00404E7F">
        <w:rPr>
          <w:i/>
          <w:iCs/>
          <w:sz w:val="20"/>
          <w:lang w:val="fr-CA"/>
        </w:rPr>
        <w:t>Bartley</w:t>
      </w:r>
      <w:proofErr w:type="spellEnd"/>
      <w:r w:rsidRPr="00404E7F">
        <w:rPr>
          <w:i/>
          <w:iCs/>
          <w:sz w:val="20"/>
          <w:lang w:val="fr-CA"/>
        </w:rPr>
        <w:t xml:space="preserve"> &amp; </w:t>
      </w:r>
      <w:proofErr w:type="spellStart"/>
      <w:r w:rsidRPr="00404E7F">
        <w:rPr>
          <w:i/>
          <w:iCs/>
          <w:sz w:val="20"/>
          <w:lang w:val="fr-CA"/>
        </w:rPr>
        <w:t>Rosling</w:t>
      </w:r>
      <w:proofErr w:type="spellEnd"/>
      <w:r w:rsidRPr="00404E7F">
        <w:rPr>
          <w:i/>
          <w:iCs/>
          <w:sz w:val="20"/>
          <w:lang w:val="fr-CA"/>
        </w:rPr>
        <w:t>, Vancouver.</w:t>
      </w:r>
    </w:p>
    <w:p w:rsidR="00A863DD" w:rsidRPr="00404E7F" w:rsidRDefault="00A863DD" w:rsidP="00A863DD">
      <w:pPr>
        <w:jc w:val="both"/>
        <w:rPr>
          <w:i/>
          <w:iCs/>
          <w:sz w:val="20"/>
          <w:lang w:val="fr-CA"/>
        </w:rPr>
      </w:pPr>
    </w:p>
    <w:p w:rsidR="00A863DD" w:rsidRPr="00404E7F" w:rsidRDefault="00A863DD" w:rsidP="00A863DD">
      <w:pPr>
        <w:jc w:val="both"/>
        <w:outlineLvl w:val="0"/>
        <w:rPr>
          <w:i/>
          <w:iCs/>
          <w:sz w:val="20"/>
          <w:lang w:val="fr-CA"/>
        </w:rPr>
      </w:pPr>
      <w:r w:rsidRPr="00404E7F">
        <w:rPr>
          <w:i/>
          <w:iCs/>
          <w:sz w:val="20"/>
          <w:lang w:val="fr-CA"/>
        </w:rPr>
        <w:tab/>
        <w:t xml:space="preserve">Procureur de l’intervenant le gouvernement </w:t>
      </w:r>
      <w:proofErr w:type="spellStart"/>
      <w:r w:rsidRPr="00404E7F">
        <w:rPr>
          <w:i/>
          <w:iCs/>
          <w:sz w:val="20"/>
          <w:lang w:val="fr-CA"/>
        </w:rPr>
        <w:t>tlicho</w:t>
      </w:r>
      <w:proofErr w:type="spellEnd"/>
      <w:r w:rsidRPr="00404E7F">
        <w:rPr>
          <w:i/>
          <w:iCs/>
          <w:sz w:val="20"/>
          <w:lang w:val="fr-CA"/>
        </w:rPr>
        <w:t xml:space="preserve"> : John </w:t>
      </w:r>
      <w:proofErr w:type="spellStart"/>
      <w:r w:rsidRPr="00404E7F">
        <w:rPr>
          <w:i/>
          <w:iCs/>
          <w:sz w:val="20"/>
          <w:lang w:val="fr-CA"/>
        </w:rPr>
        <w:t>Donihee</w:t>
      </w:r>
      <w:proofErr w:type="spellEnd"/>
      <w:r w:rsidRPr="00404E7F">
        <w:rPr>
          <w:i/>
          <w:iCs/>
          <w:sz w:val="20"/>
          <w:lang w:val="fr-CA"/>
        </w:rPr>
        <w:t>, Calgary.</w:t>
      </w:r>
    </w:p>
    <w:p w:rsidR="00A863DD" w:rsidRPr="00404E7F" w:rsidRDefault="00A863DD" w:rsidP="00A863DD">
      <w:pPr>
        <w:jc w:val="both"/>
        <w:rPr>
          <w:i/>
          <w:iCs/>
          <w:sz w:val="20"/>
          <w:lang w:val="fr-CA"/>
        </w:rPr>
      </w:pPr>
    </w:p>
    <w:p w:rsidR="00A863DD" w:rsidRPr="00404E7F" w:rsidRDefault="00A863DD" w:rsidP="00A863DD">
      <w:pPr>
        <w:jc w:val="both"/>
        <w:rPr>
          <w:i/>
          <w:iCs/>
          <w:sz w:val="20"/>
          <w:lang w:val="fr-CA"/>
        </w:rPr>
      </w:pPr>
      <w:r w:rsidRPr="00404E7F">
        <w:rPr>
          <w:i/>
          <w:iCs/>
          <w:sz w:val="20"/>
          <w:lang w:val="fr-CA"/>
        </w:rPr>
        <w:tab/>
        <w:t xml:space="preserve">Procureurs de l’intervenante Nations </w:t>
      </w:r>
      <w:proofErr w:type="spellStart"/>
      <w:r w:rsidRPr="00404E7F">
        <w:rPr>
          <w:i/>
          <w:iCs/>
          <w:sz w:val="20"/>
          <w:lang w:val="fr-CA"/>
        </w:rPr>
        <w:t>Te’Mexw</w:t>
      </w:r>
      <w:proofErr w:type="spellEnd"/>
      <w:r w:rsidRPr="00404E7F">
        <w:rPr>
          <w:i/>
          <w:iCs/>
          <w:sz w:val="20"/>
          <w:lang w:val="fr-CA"/>
        </w:rPr>
        <w:t> : </w:t>
      </w:r>
      <w:proofErr w:type="spellStart"/>
      <w:r w:rsidRPr="00404E7F">
        <w:rPr>
          <w:i/>
          <w:iCs/>
          <w:sz w:val="20"/>
          <w:lang w:val="fr-CA"/>
        </w:rPr>
        <w:t>Janes</w:t>
      </w:r>
      <w:proofErr w:type="spellEnd"/>
      <w:r w:rsidRPr="00404E7F">
        <w:rPr>
          <w:i/>
          <w:iCs/>
          <w:sz w:val="20"/>
          <w:lang w:val="fr-CA"/>
        </w:rPr>
        <w:t xml:space="preserve"> </w:t>
      </w:r>
      <w:proofErr w:type="spellStart"/>
      <w:r w:rsidRPr="00404E7F">
        <w:rPr>
          <w:i/>
          <w:iCs/>
          <w:sz w:val="20"/>
          <w:lang w:val="fr-CA"/>
        </w:rPr>
        <w:t>Freedman</w:t>
      </w:r>
      <w:proofErr w:type="spellEnd"/>
      <w:r w:rsidRPr="00404E7F">
        <w:rPr>
          <w:i/>
          <w:iCs/>
          <w:sz w:val="20"/>
          <w:lang w:val="fr-CA"/>
        </w:rPr>
        <w:t xml:space="preserve"> Kyle Law Corporation, Victoria.</w:t>
      </w:r>
    </w:p>
    <w:p w:rsidR="00A863DD" w:rsidRPr="00404E7F" w:rsidRDefault="00A863DD" w:rsidP="00A863DD">
      <w:pPr>
        <w:jc w:val="both"/>
        <w:rPr>
          <w:i/>
          <w:iCs/>
          <w:sz w:val="20"/>
          <w:lang w:val="fr-CA"/>
        </w:rPr>
      </w:pPr>
    </w:p>
    <w:p w:rsidR="00A863DD" w:rsidRPr="00404E7F" w:rsidRDefault="00A863DD" w:rsidP="00A863DD">
      <w:pPr>
        <w:jc w:val="both"/>
        <w:rPr>
          <w:sz w:val="20"/>
          <w:szCs w:val="20"/>
          <w:lang w:val="fr-CA"/>
        </w:rPr>
      </w:pPr>
      <w:r w:rsidRPr="00404E7F">
        <w:rPr>
          <w:i/>
          <w:iCs/>
          <w:sz w:val="20"/>
          <w:lang w:val="fr-CA"/>
        </w:rPr>
        <w:tab/>
        <w:t>Procureurs de l’intervenante l’Assemblée des Premières Nations : </w:t>
      </w:r>
      <w:proofErr w:type="spellStart"/>
      <w:r w:rsidRPr="00404E7F">
        <w:rPr>
          <w:i/>
          <w:iCs/>
          <w:sz w:val="20"/>
          <w:lang w:val="fr-CA"/>
        </w:rPr>
        <w:t>Hutchins</w:t>
      </w:r>
      <w:proofErr w:type="spellEnd"/>
      <w:r w:rsidRPr="00404E7F">
        <w:rPr>
          <w:i/>
          <w:iCs/>
          <w:sz w:val="20"/>
          <w:lang w:val="fr-CA"/>
        </w:rPr>
        <w:t xml:space="preserve"> Caron &amp; Associés, Montréal.</w:t>
      </w:r>
    </w:p>
    <w:p w:rsidR="00565ADD" w:rsidRPr="00404E7F" w:rsidRDefault="00565ADD" w:rsidP="00565ADD">
      <w:pPr>
        <w:rPr>
          <w:sz w:val="20"/>
          <w:szCs w:val="20"/>
          <w:lang w:val="fr-CA"/>
        </w:rPr>
      </w:pPr>
    </w:p>
    <w:p w:rsidR="00565ADD" w:rsidRDefault="003E770A" w:rsidP="00565ADD">
      <w:pPr>
        <w:rPr>
          <w:sz w:val="20"/>
          <w:szCs w:val="20"/>
          <w:lang w:val="fr-CA"/>
        </w:rPr>
      </w:pPr>
      <w:r w:rsidRPr="003E770A">
        <w:rPr>
          <w:b/>
        </w:rPr>
        <w:pict>
          <v:rect id="_x0000_i1088" style="width:2in;height:1pt" o:hrpct="0" o:hralign="center" o:hrstd="t" o:hrnoshade="t" o:hr="t" fillcolor="black [3213]" stroked="f"/>
        </w:pict>
      </w:r>
    </w:p>
    <w:p w:rsidR="00565ADD" w:rsidRPr="00C50A5C" w:rsidRDefault="00565ADD" w:rsidP="00565ADD">
      <w:pPr>
        <w:jc w:val="both"/>
        <w:rPr>
          <w:sz w:val="20"/>
          <w:szCs w:val="20"/>
        </w:rPr>
      </w:pPr>
    </w:p>
    <w:p w:rsidR="00782AE4" w:rsidRPr="00C50A5C" w:rsidRDefault="00782AE4" w:rsidP="00782AE4">
      <w:pPr>
        <w:jc w:val="both"/>
        <w:rPr>
          <w:sz w:val="20"/>
          <w:szCs w:val="20"/>
        </w:rPr>
      </w:pPr>
    </w:p>
    <w:p w:rsidR="00102926" w:rsidRPr="00C50A5C" w:rsidRDefault="00102926" w:rsidP="00782AE4">
      <w:pPr>
        <w:jc w:val="both"/>
        <w:rPr>
          <w:sz w:val="20"/>
          <w:szCs w:val="20"/>
        </w:rPr>
        <w:sectPr w:rsidR="00102926" w:rsidRPr="00C50A5C"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576" w:footer="960" w:gutter="0"/>
          <w:cols w:space="720"/>
          <w:titlePg/>
          <w:docGrid w:linePitch="272"/>
        </w:sectPr>
      </w:pPr>
    </w:p>
    <w:p w:rsidR="003A4175" w:rsidRPr="00DE5525" w:rsidRDefault="003E770A" w:rsidP="003A4175">
      <w:pPr>
        <w:jc w:val="center"/>
        <w:rPr>
          <w:b/>
          <w:szCs w:val="24"/>
        </w:rPr>
      </w:pPr>
      <w:r w:rsidRPr="00DE5525">
        <w:rPr>
          <w:b/>
          <w:szCs w:val="24"/>
        </w:rPr>
        <w:lastRenderedPageBreak/>
        <w:fldChar w:fldCharType="begin"/>
      </w:r>
      <w:r w:rsidR="003A4175" w:rsidRPr="00DE5525">
        <w:rPr>
          <w:b/>
          <w:szCs w:val="24"/>
        </w:rPr>
        <w:instrText xml:space="preserve"> SEQ CHAPTER \h \r 1</w:instrText>
      </w:r>
      <w:r w:rsidRPr="00DE5525">
        <w:rPr>
          <w:b/>
          <w:szCs w:val="24"/>
        </w:rPr>
        <w:fldChar w:fldCharType="end"/>
      </w:r>
      <w:r w:rsidR="003A4175" w:rsidRPr="00DE5525">
        <w:rPr>
          <w:b/>
          <w:szCs w:val="24"/>
        </w:rPr>
        <w:t>SUPREME COURT OF CANADA SCHEDULE / CALENDRIER DE LA COUR SUPREME</w:t>
      </w:r>
    </w:p>
    <w:p w:rsidR="003A4175" w:rsidRPr="00DE5525" w:rsidRDefault="003A4175" w:rsidP="003A4175">
      <w:pPr>
        <w:widowControl w:val="0"/>
        <w:spacing w:line="180" w:lineRule="auto"/>
        <w:rPr>
          <w:szCs w:val="24"/>
        </w:rPr>
      </w:pPr>
    </w:p>
    <w:p w:rsidR="003A4175" w:rsidRPr="00267AE0" w:rsidRDefault="003A4175" w:rsidP="003A417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3A4175" w:rsidRPr="00267AE0" w:rsidTr="00812521">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DECEMBER - DÉCEMBRE</w:t>
            </w:r>
          </w:p>
        </w:tc>
      </w:tr>
      <w:tr w:rsidR="003A4175" w:rsidRPr="00267AE0" w:rsidTr="00812521">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r>
      <w:tr w:rsidR="003A4175" w:rsidRPr="00267AE0" w:rsidTr="00812521">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20"/>
              </w:rPr>
            </w:pPr>
          </w:p>
          <w:p w:rsidR="003A4175" w:rsidRPr="00267AE0" w:rsidRDefault="003A4175" w:rsidP="00812521">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r>
      <w:tr w:rsidR="003A4175" w:rsidRPr="00267AE0" w:rsidTr="00812521">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r>
      <w:tr w:rsidR="003A4175" w:rsidRPr="00267AE0" w:rsidTr="00812521">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r>
      <w:tr w:rsidR="003A4175" w:rsidRPr="00267AE0" w:rsidTr="00812521">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r>
      <w:tr w:rsidR="003A4175" w:rsidRPr="00267AE0" w:rsidTr="00812521">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24</w:t>
            </w:r>
          </w:p>
          <w:p w:rsidR="003A4175" w:rsidRPr="00267AE0" w:rsidRDefault="003A4175" w:rsidP="00812521">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r>
    </w:tbl>
    <w:p w:rsidR="003A4175" w:rsidRPr="00267AE0" w:rsidRDefault="003A4175" w:rsidP="003A417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3A4175" w:rsidRPr="00267AE0" w:rsidTr="00812521">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MARCH - MARS</w:t>
            </w:r>
          </w:p>
        </w:tc>
      </w:tr>
      <w:tr w:rsidR="003A4175" w:rsidRPr="00267AE0" w:rsidTr="0081252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r>
      <w:tr w:rsidR="003A4175" w:rsidRPr="00267AE0" w:rsidTr="0081252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r>
      <w:tr w:rsidR="003A4175" w:rsidRPr="00267AE0" w:rsidTr="00812521">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 xml:space="preserve">   </w:t>
            </w: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r>
      <w:tr w:rsidR="003A4175" w:rsidRPr="00267AE0" w:rsidTr="0081252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r>
      <w:tr w:rsidR="003A4175" w:rsidRPr="00267AE0" w:rsidTr="00812521">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r>
      <w:tr w:rsidR="003A4175" w:rsidRPr="00267AE0" w:rsidTr="00812521">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23</w:t>
            </w:r>
          </w:p>
          <w:p w:rsidR="003A4175" w:rsidRPr="00267AE0" w:rsidRDefault="003A4175" w:rsidP="00812521">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24</w:t>
            </w:r>
          </w:p>
          <w:p w:rsidR="003A4175" w:rsidRPr="00267AE0" w:rsidRDefault="003A4175" w:rsidP="00812521">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r>
    </w:tbl>
    <w:p w:rsidR="003A4175" w:rsidRPr="00267AE0" w:rsidRDefault="003A4175" w:rsidP="003A4175">
      <w:pPr>
        <w:widowControl w:val="0"/>
        <w:spacing w:before="120" w:after="120"/>
        <w:rPr>
          <w:rFonts w:ascii="Arial" w:hAnsi="Arial" w:cs="Arial"/>
          <w:vanish/>
          <w:sz w:val="22"/>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3A4175" w:rsidRPr="00267AE0" w:rsidTr="00812521">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JUNE - JUIN</w:t>
            </w:r>
          </w:p>
        </w:tc>
      </w:tr>
      <w:tr w:rsidR="003A4175" w:rsidRPr="00267AE0" w:rsidTr="0081252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W</w:t>
            </w:r>
          </w:p>
          <w:p w:rsidR="003A4175" w:rsidRPr="00267AE0" w:rsidRDefault="003A4175" w:rsidP="00812521">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T</w:t>
            </w:r>
          </w:p>
          <w:p w:rsidR="003A4175" w:rsidRPr="00267AE0" w:rsidRDefault="003A4175" w:rsidP="00812521">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F</w:t>
            </w:r>
          </w:p>
          <w:p w:rsidR="003A4175" w:rsidRPr="00267AE0" w:rsidRDefault="003A4175" w:rsidP="00812521">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s</w:t>
            </w:r>
          </w:p>
          <w:p w:rsidR="003A4175" w:rsidRPr="00267AE0" w:rsidRDefault="003A4175" w:rsidP="00812521">
            <w:pPr>
              <w:widowControl w:val="0"/>
              <w:jc w:val="center"/>
              <w:rPr>
                <w:rFonts w:ascii="Arial" w:hAnsi="Arial" w:cs="Arial"/>
                <w:sz w:val="14"/>
              </w:rPr>
            </w:pPr>
            <w:r w:rsidRPr="00267AE0">
              <w:rPr>
                <w:rFonts w:ascii="Arial" w:hAnsi="Arial" w:cs="Arial"/>
                <w:sz w:val="14"/>
              </w:rPr>
              <w:t>s</w:t>
            </w:r>
          </w:p>
        </w:tc>
      </w:tr>
      <w:tr w:rsidR="003A4175" w:rsidRPr="00267AE0" w:rsidTr="0081252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sz w:val="14"/>
              </w:rPr>
              <w:t xml:space="preserve"> </w:t>
            </w: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b/>
                <w:sz w:val="14"/>
              </w:rPr>
            </w:pPr>
          </w:p>
          <w:p w:rsidR="003A4175" w:rsidRPr="00267AE0" w:rsidRDefault="003A4175" w:rsidP="00812521">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r>
      <w:tr w:rsidR="003A4175" w:rsidRPr="00267AE0" w:rsidTr="0081252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r>
      <w:tr w:rsidR="003A4175" w:rsidRPr="00267AE0" w:rsidTr="00812521">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M</w:t>
            </w:r>
          </w:p>
          <w:p w:rsidR="003A4175" w:rsidRPr="00267AE0" w:rsidRDefault="003A4175" w:rsidP="00812521">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r>
      <w:tr w:rsidR="003A4175" w:rsidRPr="00267AE0" w:rsidTr="0081252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r>
      <w:tr w:rsidR="003A4175" w:rsidRPr="00267AE0" w:rsidTr="00812521">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r w:rsidRPr="00267AE0">
              <w:rPr>
                <w:rFonts w:ascii="Arial" w:hAnsi="Arial" w:cs="Arial"/>
                <w:b/>
                <w:sz w:val="14"/>
              </w:rPr>
              <w:t>H</w:t>
            </w:r>
          </w:p>
          <w:p w:rsidR="003A4175" w:rsidRPr="00267AE0" w:rsidRDefault="003A4175" w:rsidP="00812521">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3A4175" w:rsidRPr="00267AE0" w:rsidRDefault="003A4175" w:rsidP="00812521">
            <w:pPr>
              <w:widowControl w:val="0"/>
              <w:jc w:val="center"/>
              <w:rPr>
                <w:rFonts w:ascii="Arial" w:hAnsi="Arial" w:cs="Arial"/>
                <w:sz w:val="14"/>
              </w:rPr>
            </w:pPr>
          </w:p>
          <w:p w:rsidR="003A4175" w:rsidRPr="00267AE0" w:rsidRDefault="003A4175" w:rsidP="00812521">
            <w:pPr>
              <w:widowControl w:val="0"/>
              <w:jc w:val="center"/>
              <w:rPr>
                <w:rFonts w:ascii="Arial" w:hAnsi="Arial" w:cs="Arial"/>
                <w:sz w:val="16"/>
              </w:rPr>
            </w:pPr>
          </w:p>
        </w:tc>
      </w:tr>
    </w:tbl>
    <w:p w:rsidR="003A4175" w:rsidRPr="00267AE0" w:rsidRDefault="003A4175" w:rsidP="003A417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3A4175" w:rsidRPr="00267AE0" w:rsidTr="00812521">
        <w:trPr>
          <w:cantSplit/>
          <w:trHeight w:val="368"/>
        </w:trPr>
        <w:tc>
          <w:tcPr>
            <w:tcW w:w="1710" w:type="dxa"/>
            <w:tcBorders>
              <w:top w:val="nil"/>
              <w:left w:val="nil"/>
              <w:bottom w:val="nil"/>
              <w:right w:val="nil"/>
            </w:tcBorders>
            <w:tcMar>
              <w:top w:w="43" w:type="dxa"/>
              <w:left w:w="120" w:type="dxa"/>
              <w:bottom w:w="29" w:type="dxa"/>
              <w:right w:w="120" w:type="dxa"/>
            </w:tcMar>
          </w:tcPr>
          <w:p w:rsidR="003A4175" w:rsidRPr="00267AE0" w:rsidRDefault="003A4175" w:rsidP="00812521">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3A4175" w:rsidRPr="00267AE0" w:rsidRDefault="003A4175" w:rsidP="00812521">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3A4175" w:rsidRPr="00267AE0" w:rsidRDefault="003A4175" w:rsidP="00812521">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3A4175" w:rsidRPr="00267AE0" w:rsidRDefault="003A4175" w:rsidP="00812521">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3A4175" w:rsidRPr="00267AE0" w:rsidTr="00812521">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3A4175" w:rsidRPr="00267AE0" w:rsidTr="00812521">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3A4175" w:rsidRPr="00267AE0" w:rsidRDefault="003A4175" w:rsidP="00812521">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3A4175" w:rsidRPr="00267AE0" w:rsidRDefault="003A4175" w:rsidP="008125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3A4175">
      <w:pPr>
        <w:jc w:val="both"/>
        <w:rPr>
          <w:lang w:val="fr-CA"/>
        </w:rPr>
      </w:pPr>
    </w:p>
    <w:sectPr w:rsidR="002410B8" w:rsidRPr="0022323B" w:rsidSect="003A4175">
      <w:headerReference w:type="default" r:id="rId70"/>
      <w:footerReference w:type="default" r:id="rId71"/>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C4" w:rsidRDefault="00D628C4" w:rsidP="00A87207">
      <w:r>
        <w:separator/>
      </w:r>
    </w:p>
  </w:endnote>
  <w:endnote w:type="continuationSeparator" w:id="0">
    <w:p w:rsidR="00D628C4" w:rsidRDefault="00D628C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pStyle w:val="Footer"/>
    </w:pPr>
    <w:r>
      <w:pict>
        <v:rect id="_x0000_i1040" style="width:480.95pt;height:1pt" o:hralign="center" o:hrstd="t" o:hrnoshade="t" o:hr="t" fillcolor="black [3213]" stroked="f"/>
      </w:pict>
    </w:r>
  </w:p>
  <w:p w:rsidR="00D628C4" w:rsidRPr="00D7601D" w:rsidRDefault="00D628C4" w:rsidP="00432989">
    <w:pPr>
      <w:tabs>
        <w:tab w:val="center" w:pos="4680"/>
      </w:tabs>
    </w:pPr>
    <w:r>
      <w:tab/>
      <w:t xml:space="preserve">- </w:t>
    </w:r>
    <w:fldSimple w:instr=" PAGE   \* MERGEFORMAT ">
      <w:r w:rsidR="003B380E">
        <w:rPr>
          <w:noProof/>
        </w:rPr>
        <w:t>1447</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770A">
      <w:rPr>
        <w:lang w:val="fr-CA"/>
      </w:rPr>
      <w:pict>
        <v:rect id="_x0000_i1065" style="width:480.95pt;height:1pt" o:hralign="center" o:hrstd="t" o:hrnoshade="t" o:hr="t" fillcolor="black [3213]" stroked="f"/>
      </w:pict>
    </w:r>
  </w:p>
  <w:p w:rsidR="00D628C4" w:rsidRPr="0009648D" w:rsidRDefault="00D628C4" w:rsidP="00ED7E83">
    <w:pPr>
      <w:tabs>
        <w:tab w:val="center" w:pos="4680"/>
      </w:tabs>
    </w:pPr>
    <w:r>
      <w:tab/>
    </w:r>
    <w:r w:rsidRPr="0009648D">
      <w:t xml:space="preserve">- </w:t>
    </w:r>
    <w:fldSimple w:instr=" PAGE   \* MERGEFORMAT ">
      <w:r w:rsidR="003B380E">
        <w:rPr>
          <w:noProof/>
        </w:rPr>
        <w:t>1460</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pStyle w:val="Footer"/>
      <w:rPr>
        <w:lang w:val="fr-CA"/>
      </w:rPr>
    </w:pPr>
    <w:r w:rsidRPr="003E770A">
      <w:rPr>
        <w:lang w:val="fr-CA"/>
      </w:rPr>
      <w:pict>
        <v:rect id="_x0000_i1066" style="width:480.95pt;height:1pt" o:hralign="center" o:hrstd="t" o:hrnoshade="t" o:hr="t" fillcolor="black [3213]" stroked="f"/>
      </w:pict>
    </w:r>
  </w:p>
  <w:p w:rsidR="00D628C4" w:rsidRDefault="00D628C4" w:rsidP="00245129">
    <w:pPr>
      <w:tabs>
        <w:tab w:val="center" w:pos="4680"/>
      </w:tabs>
    </w:pPr>
    <w:r>
      <w:tab/>
    </w:r>
    <w:r w:rsidRPr="0009648D">
      <w:t xml:space="preserve">- </w:t>
    </w:r>
    <w:fldSimple w:instr=" PAGE   \* MERGEFORMAT ">
      <w:r w:rsidR="003B380E">
        <w:rPr>
          <w:noProof/>
        </w:rPr>
        <w:t>1449</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EB2B90">
    <w:pPr>
      <w:tabs>
        <w:tab w:val="center" w:pos="4680"/>
      </w:tabs>
    </w:pPr>
    <w:r>
      <w:pict>
        <v:rect id="_x0000_i1068" style="width:480.95pt;height:1pt" o:hralign="center" o:hrstd="t" o:hrnoshade="t" o:hr="t" fillcolor="black" stroked="f"/>
      </w:pict>
    </w:r>
  </w:p>
  <w:p w:rsidR="00D628C4" w:rsidRPr="002864CC" w:rsidRDefault="00D628C4" w:rsidP="00EB2B90">
    <w:pPr>
      <w:tabs>
        <w:tab w:val="center" w:pos="4680"/>
      </w:tabs>
    </w:pPr>
    <w:r w:rsidRPr="002864CC">
      <w:tab/>
      <w:t xml:space="preserve">- </w:t>
    </w:r>
    <w:fldSimple w:instr=" PAGE   \* MERGEFORMAT ">
      <w:r w:rsidR="003B380E">
        <w:rPr>
          <w:noProof/>
        </w:rPr>
        <w:t>1474</w:t>
      </w:r>
    </w:fldSimple>
    <w:r w:rsidRPr="002864CC">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pStyle w:val="Footer"/>
    </w:pPr>
    <w:r>
      <w:pict>
        <v:rect id="_x0000_i1069" style="width:480.95pt;height:1pt" o:hralign="center" o:hrstd="t" o:hrnoshade="t" o:hr="t" fillcolor="black" stroked="f"/>
      </w:pict>
    </w:r>
  </w:p>
  <w:p w:rsidR="00D628C4" w:rsidRPr="002864CC" w:rsidRDefault="00D628C4" w:rsidP="00EB2B90">
    <w:pPr>
      <w:tabs>
        <w:tab w:val="center" w:pos="4680"/>
      </w:tabs>
    </w:pPr>
    <w:r>
      <w:tab/>
      <w:t xml:space="preserve">- </w:t>
    </w:r>
    <w:fldSimple w:instr=" PAGE   \* MERGEFORMAT ">
      <w:r w:rsidR="003B380E">
        <w:rPr>
          <w:noProof/>
        </w:rPr>
        <w:t>1471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755F22">
    <w:pPr>
      <w:tabs>
        <w:tab w:val="left" w:pos="-1440"/>
        <w:tab w:val="left" w:pos="-720"/>
      </w:tabs>
    </w:pPr>
    <w:r>
      <w:pict>
        <v:rect id="_x0000_i1076" style="width:480.95pt;height:1pt" o:hralign="center" o:hrstd="t" o:hrnoshade="t" o:hr="t" fillcolor="black [3213]" stroked="f"/>
      </w:pict>
    </w:r>
  </w:p>
  <w:p w:rsidR="00D628C4" w:rsidRDefault="00D628C4" w:rsidP="00EB2B90">
    <w:pPr>
      <w:tabs>
        <w:tab w:val="center" w:pos="4680"/>
      </w:tabs>
    </w:pPr>
    <w:r>
      <w:tab/>
      <w:t xml:space="preserve">- </w:t>
    </w:r>
    <w:fldSimple w:instr=" PAGE   \* MERGEFORMAT ">
      <w:r w:rsidR="003B380E">
        <w:rPr>
          <w:noProof/>
        </w:rPr>
        <w:t>1479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EB2B90">
    <w:pPr>
      <w:tabs>
        <w:tab w:val="center" w:pos="4680"/>
      </w:tabs>
    </w:pPr>
    <w:r>
      <w:pict>
        <v:rect id="_x0000_i1077" style="width:480.95pt;height:1pt" o:hralign="center" o:hrstd="t" o:hrnoshade="t" o:hr="t" fillcolor="black [3213]" stroked="f"/>
      </w:pict>
    </w:r>
  </w:p>
  <w:p w:rsidR="00D628C4" w:rsidRPr="0031432F" w:rsidRDefault="00D628C4" w:rsidP="00EB2B90">
    <w:pPr>
      <w:tabs>
        <w:tab w:val="center" w:pos="4680"/>
      </w:tabs>
    </w:pPr>
    <w:r>
      <w:tab/>
      <w:t xml:space="preserve">- </w:t>
    </w:r>
    <w:fldSimple w:instr=" PAGE   \* MERGEFORMAT ">
      <w:r w:rsidR="003B380E">
        <w:rPr>
          <w:noProof/>
        </w:rPr>
        <w:t>1475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770A">
      <w:rPr>
        <w:lang w:val="fr-CA"/>
      </w:rPr>
      <w:pict>
        <v:rect id="_x0000_i1079" style="width:480.95pt;height:1pt" o:hralign="center" o:hrstd="t" o:hrnoshade="t" o:hr="t" fillcolor="black [3213]" stroked="f"/>
      </w:pict>
    </w:r>
  </w:p>
  <w:p w:rsidR="00D628C4" w:rsidRDefault="00D628C4" w:rsidP="00697C62">
    <w:pPr>
      <w:tabs>
        <w:tab w:val="center" w:pos="4680"/>
      </w:tabs>
    </w:pPr>
    <w:r>
      <w:tab/>
      <w:t xml:space="preserve">- </w:t>
    </w:r>
    <w:r w:rsidR="003E770A" w:rsidRPr="00B74FED">
      <w:rPr>
        <w:szCs w:val="24"/>
      </w:rPr>
      <w:fldChar w:fldCharType="begin"/>
    </w:r>
    <w:r w:rsidRPr="00B74FED">
      <w:rPr>
        <w:szCs w:val="24"/>
      </w:rPr>
      <w:instrText xml:space="preserve"> PAGE   \* MERGEFORMAT </w:instrText>
    </w:r>
    <w:r w:rsidR="003E770A" w:rsidRPr="00B74FED">
      <w:rPr>
        <w:szCs w:val="24"/>
      </w:rPr>
      <w:fldChar w:fldCharType="separate"/>
    </w:r>
    <w:r>
      <w:rPr>
        <w:noProof/>
        <w:szCs w:val="24"/>
      </w:rPr>
      <w:t>1487</w:t>
    </w:r>
    <w:r w:rsidR="003E770A"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802863">
    <w:pPr>
      <w:widowControl w:val="0"/>
      <w:tabs>
        <w:tab w:val="left" w:pos="-1440"/>
        <w:tab w:val="left" w:pos="-720"/>
      </w:tabs>
    </w:pPr>
    <w:r w:rsidRPr="003E770A">
      <w:rPr>
        <w:lang w:val="fr-CA"/>
      </w:rPr>
      <w:pict>
        <v:rect id="_x0000_i1080" style="width:480.95pt;height:1pt" o:hralign="center" o:hrstd="t" o:hrnoshade="t" o:hr="t" fillcolor="black [3213]" stroked="f"/>
      </w:pict>
    </w:r>
  </w:p>
  <w:p w:rsidR="00D628C4" w:rsidRPr="00180897" w:rsidRDefault="00D628C4" w:rsidP="00697C62">
    <w:pPr>
      <w:tabs>
        <w:tab w:val="center" w:pos="4680"/>
      </w:tabs>
    </w:pPr>
    <w:r>
      <w:tab/>
      <w:t xml:space="preserve">- </w:t>
    </w:r>
    <w:r w:rsidR="003E770A" w:rsidRPr="00B74FED">
      <w:rPr>
        <w:szCs w:val="24"/>
      </w:rPr>
      <w:fldChar w:fldCharType="begin"/>
    </w:r>
    <w:r w:rsidRPr="00B74FED">
      <w:rPr>
        <w:szCs w:val="24"/>
      </w:rPr>
      <w:instrText xml:space="preserve"> PAGE   \* MERGEFORMAT </w:instrText>
    </w:r>
    <w:r w:rsidR="003E770A" w:rsidRPr="00B74FED">
      <w:rPr>
        <w:szCs w:val="24"/>
      </w:rPr>
      <w:fldChar w:fldCharType="separate"/>
    </w:r>
    <w:r w:rsidR="003B380E">
      <w:rPr>
        <w:noProof/>
        <w:szCs w:val="24"/>
      </w:rPr>
      <w:t>1481</w:t>
    </w:r>
    <w:r w:rsidR="003E770A"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732DB7">
    <w:r>
      <w:pict>
        <v:rect id="_x0000_i1082" style="width:480.95pt;height:1pt" o:hralign="center" o:hrstd="t" o:hrnoshade="t" o:hr="t" fillcolor="black" stroked="f"/>
      </w:pict>
    </w:r>
  </w:p>
  <w:p w:rsidR="00D628C4" w:rsidRDefault="00D628C4">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pStyle w:val="Footer"/>
    </w:pPr>
    <w:r>
      <w:pict>
        <v:rect id="_x0000_i1083" style="width:480.95pt;height:1pt" o:hralign="center" o:hrstd="t" o:hrnoshade="t" o:hr="t" fillcolor="black" stroked="f"/>
      </w:pict>
    </w:r>
  </w:p>
  <w:p w:rsidR="00D628C4" w:rsidRPr="00283C52" w:rsidRDefault="00D628C4">
    <w:pPr>
      <w:pStyle w:val="Footer"/>
    </w:pPr>
    <w:r>
      <w:tab/>
    </w:r>
    <w:r w:rsidRPr="00283C52">
      <w:t xml:space="preserve">- </w:t>
    </w:r>
    <w:r w:rsidRPr="00283C52">
      <w:pgNum/>
    </w:r>
    <w:r w:rsidRPr="00283C52">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732DB7">
    <w:r>
      <w:pict>
        <v:rect id="_x0000_i1085" style="width:480.95pt;height:1pt" o:hralign="center" o:hrstd="t" o:hrnoshade="t" o:hr="t" fillcolor="black" stroked="f"/>
      </w:pict>
    </w:r>
  </w:p>
  <w:p w:rsidR="00D628C4" w:rsidRDefault="00D628C4">
    <w:pPr>
      <w:tabs>
        <w:tab w:val="center" w:pos="4740"/>
      </w:tabs>
      <w:spacing w:line="0" w:lineRule="atLeast"/>
    </w:pPr>
    <w:r>
      <w:tab/>
      <w:t xml:space="preserve">- </w:t>
    </w:r>
    <w:r>
      <w:pgNum/>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pPr>
      <w:pStyle w:val="Footer"/>
    </w:pPr>
    <w:r>
      <w:pict>
        <v:rect id="_x0000_i1086" style="width:480.95pt;height:1pt" o:hralign="center" o:hrstd="t" o:hrnoshade="t" o:hr="t" fillcolor="black [3213]" stroked="f"/>
      </w:pict>
    </w:r>
  </w:p>
  <w:p w:rsidR="00D628C4" w:rsidRPr="003C2C0F" w:rsidRDefault="00D628C4" w:rsidP="00697C62">
    <w:pPr>
      <w:tabs>
        <w:tab w:val="center" w:pos="4680"/>
      </w:tabs>
    </w:pPr>
    <w:r>
      <w:tab/>
      <w:t xml:space="preserve">- </w:t>
    </w:r>
    <w:fldSimple w:instr=" PAGE   \* MERGEFORMAT ">
      <w:r w:rsidR="003B380E">
        <w:rPr>
          <w:noProof/>
        </w:rPr>
        <w:t>1484</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28C4" w:rsidRDefault="00D628C4">
    <w:pPr>
      <w:tabs>
        <w:tab w:val="center" w:pos="4740"/>
      </w:tabs>
    </w:pPr>
    <w:r>
      <w:tab/>
      <w:t xml:space="preserve">- </w:t>
    </w:r>
    <w:r>
      <w:pgNum/>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28C4" w:rsidRDefault="003E7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D628C4" w:rsidRDefault="00D628C4" w:rsidP="00782AE4">
    <w:pPr>
      <w:tabs>
        <w:tab w:val="center" w:pos="4680"/>
      </w:tabs>
    </w:pPr>
    <w:r>
      <w:tab/>
      <w:t xml:space="preserve">- </w:t>
    </w:r>
    <w:r w:rsidR="003E770A" w:rsidRPr="001775C1">
      <w:rPr>
        <w:szCs w:val="24"/>
      </w:rPr>
      <w:fldChar w:fldCharType="begin"/>
    </w:r>
    <w:r w:rsidRPr="001775C1">
      <w:rPr>
        <w:szCs w:val="24"/>
      </w:rPr>
      <w:instrText xml:space="preserve"> PAGE   \* MERGEFORMAT </w:instrText>
    </w:r>
    <w:r w:rsidR="003E770A" w:rsidRPr="001775C1">
      <w:rPr>
        <w:szCs w:val="24"/>
      </w:rPr>
      <w:fldChar w:fldCharType="separate"/>
    </w:r>
    <w:r w:rsidR="003B380E">
      <w:rPr>
        <w:noProof/>
        <w:szCs w:val="24"/>
      </w:rPr>
      <w:t>1496</w:t>
    </w:r>
    <w:r w:rsidR="003E770A" w:rsidRPr="001775C1">
      <w:rPr>
        <w:szCs w:val="24"/>
      </w:rPr>
      <w:fldChar w:fldCharType="end"/>
    </w:r>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782AE4">
    <w:pPr>
      <w:tabs>
        <w:tab w:val="center" w:pos="4680"/>
      </w:tabs>
    </w:pPr>
    <w:r>
      <w:pict>
        <v:rect id="_x0000_i1090" style="width:480.95pt;height:1pt" o:hralign="center" o:hrstd="t" o:hrnoshade="t" o:hr="t" fillcolor="black [3213]" stroked="f"/>
      </w:pict>
    </w:r>
  </w:p>
  <w:p w:rsidR="00D628C4" w:rsidRDefault="00D628C4" w:rsidP="00782AE4">
    <w:pPr>
      <w:tabs>
        <w:tab w:val="center" w:pos="4680"/>
      </w:tabs>
    </w:pPr>
    <w:r>
      <w:tab/>
      <w:t xml:space="preserve">- </w:t>
    </w:r>
    <w:r w:rsidR="003E770A" w:rsidRPr="001775C1">
      <w:rPr>
        <w:szCs w:val="24"/>
      </w:rPr>
      <w:fldChar w:fldCharType="begin"/>
    </w:r>
    <w:r w:rsidRPr="001775C1">
      <w:rPr>
        <w:szCs w:val="24"/>
      </w:rPr>
      <w:instrText xml:space="preserve"> PAGE   \* MERGEFORMAT </w:instrText>
    </w:r>
    <w:r w:rsidR="003E770A" w:rsidRPr="001775C1">
      <w:rPr>
        <w:szCs w:val="24"/>
      </w:rPr>
      <w:fldChar w:fldCharType="separate"/>
    </w:r>
    <w:r w:rsidR="003B380E">
      <w:rPr>
        <w:noProof/>
        <w:szCs w:val="24"/>
      </w:rPr>
      <w:t>1485</w:t>
    </w:r>
    <w:r w:rsidR="003E770A" w:rsidRPr="001775C1">
      <w:rPr>
        <w:szCs w:val="24"/>
      </w:rPr>
      <w:fldChar w:fldCharType="end"/>
    </w:r>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Pr="003A4175" w:rsidRDefault="00D628C4" w:rsidP="003A417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A87207">
    <w:pPr>
      <w:pStyle w:val="Footer"/>
    </w:pPr>
    <w:r>
      <w:pict>
        <v:rect id="_x0000_i1032" style="width:480.95pt;height:1pt" o:hralign="center" o:hrstd="t" o:hrnoshade="t" o:hr="t" fillcolor="black [3213]" stroked="f"/>
      </w:pict>
    </w:r>
  </w:p>
  <w:p w:rsidR="00D628C4" w:rsidRPr="00B7374B" w:rsidRDefault="00D628C4" w:rsidP="00B7374B">
    <w:pPr>
      <w:tabs>
        <w:tab w:val="center" w:pos="4680"/>
      </w:tabs>
      <w:rPr>
        <w:szCs w:val="24"/>
      </w:rPr>
    </w:pPr>
    <w:r w:rsidRPr="00954D22">
      <w:rPr>
        <w:szCs w:val="24"/>
      </w:rPr>
      <w:tab/>
      <w:t xml:space="preserve">- </w:t>
    </w:r>
    <w:r w:rsidR="003E770A" w:rsidRPr="00954D22">
      <w:rPr>
        <w:szCs w:val="24"/>
      </w:rPr>
      <w:fldChar w:fldCharType="begin"/>
    </w:r>
    <w:r w:rsidRPr="00954D22">
      <w:rPr>
        <w:szCs w:val="24"/>
      </w:rPr>
      <w:instrText xml:space="preserve"> PAGE   \* MERGEFORMAT </w:instrText>
    </w:r>
    <w:r w:rsidR="003E770A" w:rsidRPr="00954D22">
      <w:rPr>
        <w:szCs w:val="24"/>
      </w:rPr>
      <w:fldChar w:fldCharType="separate"/>
    </w:r>
    <w:r>
      <w:rPr>
        <w:noProof/>
        <w:szCs w:val="24"/>
      </w:rPr>
      <w:t>1446</w:t>
    </w:r>
    <w:r w:rsidR="003E770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755F22">
    <w:pPr>
      <w:tabs>
        <w:tab w:val="left" w:pos="-1440"/>
        <w:tab w:val="left" w:pos="-720"/>
      </w:tabs>
    </w:pPr>
    <w:r>
      <w:pict>
        <v:rect id="_x0000_i1033" style="width:480.95pt;height:1pt" o:hralign="center" o:hrstd="t" o:hrnoshade="t" o:hr="t" fillcolor="black [3213]" stroked="f"/>
      </w:pict>
    </w:r>
  </w:p>
  <w:p w:rsidR="00D628C4" w:rsidRPr="00954D22" w:rsidRDefault="00D628C4" w:rsidP="00B7374B">
    <w:pPr>
      <w:tabs>
        <w:tab w:val="center" w:pos="4680"/>
      </w:tabs>
      <w:rPr>
        <w:szCs w:val="24"/>
      </w:rPr>
    </w:pPr>
    <w:r w:rsidRPr="00954D22">
      <w:rPr>
        <w:szCs w:val="24"/>
      </w:rPr>
      <w:tab/>
      <w:t xml:space="preserve">- </w:t>
    </w:r>
    <w:r w:rsidR="003E770A">
      <w:rPr>
        <w:szCs w:val="24"/>
      </w:rPr>
      <w:fldChar w:fldCharType="begin"/>
    </w:r>
    <w:r>
      <w:rPr>
        <w:szCs w:val="24"/>
      </w:rPr>
      <w:instrText xml:space="preserve"> PAGE   \* MERGEFORMAT </w:instrText>
    </w:r>
    <w:r w:rsidR="003E770A">
      <w:rPr>
        <w:szCs w:val="24"/>
      </w:rPr>
      <w:fldChar w:fldCharType="separate"/>
    </w:r>
    <w:r w:rsidR="003B380E">
      <w:rPr>
        <w:noProof/>
        <w:szCs w:val="24"/>
      </w:rPr>
      <w:t>1445</w:t>
    </w:r>
    <w:r w:rsidR="003E770A">
      <w:rPr>
        <w:szCs w:val="24"/>
      </w:rPr>
      <w:fldChar w:fldCharType="end"/>
    </w:r>
    <w:r w:rsidRPr="00954D22">
      <w:rPr>
        <w:szCs w:val="24"/>
      </w:rPr>
      <w:t xml:space="preserve"> -</w:t>
    </w:r>
  </w:p>
  <w:p w:rsidR="00D628C4" w:rsidRDefault="00D628C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A87207">
    <w:pPr>
      <w:pStyle w:val="Footer"/>
    </w:pPr>
    <w:r>
      <w:pict>
        <v:rect id="_x0000_i1035" style="width:480.95pt;height:1pt" o:hralign="center" o:hrstd="t" o:hrnoshade="t" o:hr="t" fillcolor="black [3213]" stroked="f"/>
      </w:pict>
    </w:r>
  </w:p>
  <w:p w:rsidR="00D628C4" w:rsidRPr="00B7374B" w:rsidRDefault="00D628C4" w:rsidP="00B7374B">
    <w:pPr>
      <w:tabs>
        <w:tab w:val="center" w:pos="4680"/>
      </w:tabs>
      <w:rPr>
        <w:szCs w:val="24"/>
      </w:rPr>
    </w:pPr>
    <w:r w:rsidRPr="00954D22">
      <w:rPr>
        <w:szCs w:val="24"/>
      </w:rPr>
      <w:tab/>
      <w:t xml:space="preserve">- </w:t>
    </w:r>
    <w:r w:rsidR="003E770A" w:rsidRPr="00954D22">
      <w:rPr>
        <w:szCs w:val="24"/>
      </w:rPr>
      <w:fldChar w:fldCharType="begin"/>
    </w:r>
    <w:r w:rsidRPr="00954D22">
      <w:rPr>
        <w:szCs w:val="24"/>
      </w:rPr>
      <w:instrText xml:space="preserve"> PAGE   \* MERGEFORMAT </w:instrText>
    </w:r>
    <w:r w:rsidR="003E770A" w:rsidRPr="00954D22">
      <w:rPr>
        <w:szCs w:val="24"/>
      </w:rPr>
      <w:fldChar w:fldCharType="separate"/>
    </w:r>
    <w:r>
      <w:rPr>
        <w:noProof/>
        <w:szCs w:val="24"/>
      </w:rPr>
      <w:t>1448</w:t>
    </w:r>
    <w:r w:rsidR="003E770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3E770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D628C4" w:rsidRPr="00954D22" w:rsidRDefault="00D628C4" w:rsidP="00B7374B">
    <w:pPr>
      <w:tabs>
        <w:tab w:val="center" w:pos="4680"/>
      </w:tabs>
      <w:rPr>
        <w:szCs w:val="24"/>
      </w:rPr>
    </w:pPr>
    <w:r w:rsidRPr="00954D22">
      <w:rPr>
        <w:szCs w:val="24"/>
      </w:rPr>
      <w:tab/>
      <w:t xml:space="preserve">- </w:t>
    </w:r>
    <w:r w:rsidR="003E770A" w:rsidRPr="00954D22">
      <w:rPr>
        <w:szCs w:val="24"/>
      </w:rPr>
      <w:fldChar w:fldCharType="begin"/>
    </w:r>
    <w:r w:rsidRPr="00954D22">
      <w:rPr>
        <w:szCs w:val="24"/>
      </w:rPr>
      <w:instrText xml:space="preserve"> PAGE   \* MERGEFORMAT </w:instrText>
    </w:r>
    <w:r w:rsidR="003E770A" w:rsidRPr="00954D22">
      <w:rPr>
        <w:szCs w:val="24"/>
      </w:rPr>
      <w:fldChar w:fldCharType="separate"/>
    </w:r>
    <w:r w:rsidR="003B380E">
      <w:rPr>
        <w:noProof/>
        <w:szCs w:val="24"/>
      </w:rPr>
      <w:t>1446</w:t>
    </w:r>
    <w:r w:rsidR="003E770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D628C4"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D628C4" w:rsidRDefault="00D628C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D628C4" w:rsidRDefault="003E770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9" style="width:480.95pt;height:1pt" o:hralign="center" o:hrstd="t" o:hrnoshade="t" o:hr="t" fillcolor="black [3213]" stroked="f"/>
      </w:pict>
    </w:r>
  </w:p>
  <w:p w:rsidR="00D628C4" w:rsidRDefault="00D628C4" w:rsidP="00432989">
    <w:pPr>
      <w:tabs>
        <w:tab w:val="center" w:pos="4680"/>
      </w:tabs>
    </w:pPr>
    <w:r>
      <w:tab/>
      <w:t xml:space="preserve">- </w:t>
    </w:r>
    <w:fldSimple w:instr=" PAGE   \* MERGEFORMAT ">
      <w:r w:rsidR="003B380E">
        <w:rPr>
          <w:noProof/>
        </w:rPr>
        <w:t>1448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C4" w:rsidRDefault="00D628C4" w:rsidP="00A87207">
      <w:r>
        <w:separator/>
      </w:r>
    </w:p>
  </w:footnote>
  <w:footnote w:type="continuationSeparator" w:id="0">
    <w:p w:rsidR="00D628C4" w:rsidRDefault="00D628C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628C4"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28C4" w:rsidRPr="00FF6BA5"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628C4" w:rsidRPr="00FF6BA5"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628C4" w:rsidRPr="00FF6BA5"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628C4" w:rsidRPr="00FF6BA5"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755F22"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628C4" w:rsidRPr="00755F22"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628C4" w:rsidRPr="00755F22" w:rsidRDefault="00D628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628C4" w:rsidRPr="00755F22" w:rsidRDefault="00D628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628C4" w:rsidRPr="00755F22" w:rsidRDefault="00D628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628C4" w:rsidRPr="00755F22"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628C4" w:rsidRPr="00FF6BA5" w:rsidRDefault="00D628C4"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628C4" w:rsidRPr="000204A4"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D628C4" w:rsidRPr="000204A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628C4" w:rsidRPr="000204A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890FEB" w:rsidTr="00245129">
      <w:tc>
        <w:tcPr>
          <w:tcW w:w="4200" w:type="dxa"/>
          <w:tcMar>
            <w:left w:w="0" w:type="dxa"/>
            <w:right w:w="0" w:type="dxa"/>
          </w:tcMar>
        </w:tcPr>
        <w:p w:rsidR="00D628C4" w:rsidRPr="00890FEB" w:rsidRDefault="00D628C4" w:rsidP="00EB2B90">
          <w:pPr>
            <w:rPr>
              <w:sz w:val="20"/>
              <w:szCs w:val="20"/>
            </w:rPr>
          </w:pPr>
          <w:r w:rsidRPr="00890FEB">
            <w:rPr>
              <w:sz w:val="20"/>
              <w:szCs w:val="20"/>
            </w:rPr>
            <w:t>JUDGEMENT ON MOTION</w:t>
          </w:r>
        </w:p>
      </w:tc>
      <w:tc>
        <w:tcPr>
          <w:tcW w:w="1200" w:type="dxa"/>
          <w:tcMar>
            <w:left w:w="0" w:type="dxa"/>
            <w:right w:w="0" w:type="dxa"/>
          </w:tcMar>
        </w:tcPr>
        <w:p w:rsidR="00D628C4" w:rsidRPr="00890FEB" w:rsidRDefault="00D628C4" w:rsidP="00890FEB">
          <w:pPr>
            <w:jc w:val="center"/>
            <w:rPr>
              <w:sz w:val="20"/>
              <w:szCs w:val="20"/>
            </w:rPr>
          </w:pPr>
        </w:p>
        <w:p w:rsidR="00D628C4" w:rsidRPr="00890FEB" w:rsidRDefault="00D628C4" w:rsidP="00890FEB">
          <w:pPr>
            <w:jc w:val="center"/>
            <w:rPr>
              <w:sz w:val="20"/>
              <w:szCs w:val="20"/>
            </w:rPr>
          </w:pPr>
        </w:p>
      </w:tc>
      <w:tc>
        <w:tcPr>
          <w:tcW w:w="4080" w:type="dxa"/>
          <w:tcMar>
            <w:left w:w="0" w:type="dxa"/>
            <w:right w:w="0" w:type="dxa"/>
          </w:tcMar>
        </w:tcPr>
        <w:p w:rsidR="00D628C4" w:rsidRPr="00890FEB" w:rsidRDefault="00D628C4" w:rsidP="00890FEB">
          <w:pPr>
            <w:rPr>
              <w:sz w:val="20"/>
              <w:szCs w:val="20"/>
              <w:lang w:val="fr-CA"/>
            </w:rPr>
          </w:pPr>
          <w:r w:rsidRPr="00890FEB">
            <w:rPr>
              <w:sz w:val="20"/>
              <w:szCs w:val="20"/>
              <w:lang w:val="fr-CA"/>
            </w:rPr>
            <w:t>JUGEMENTS SUR REQUÊTES</w:t>
          </w:r>
        </w:p>
      </w:tc>
    </w:tr>
  </w:tbl>
  <w:p w:rsidR="00D628C4" w:rsidRPr="002864CC" w:rsidRDefault="00D628C4" w:rsidP="00EB2B90">
    <w:pPr>
      <w:rPr>
        <w:lang w:val="fr-CA"/>
      </w:rPr>
    </w:pPr>
  </w:p>
  <w:p w:rsidR="00D628C4" w:rsidRPr="000204A4" w:rsidRDefault="00D628C4" w:rsidP="00EB2B90">
    <w:pPr>
      <w:spacing w:line="-19" w:lineRule="auto"/>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628C4">
      <w:tc>
        <w:tcPr>
          <w:tcW w:w="423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628C4"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28C4"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628C4">
      <w:trPr>
        <w:gridAfter w:val="2"/>
        <w:wAfter w:w="5250" w:type="dxa"/>
      </w:trPr>
      <w:tc>
        <w:tcPr>
          <w:tcW w:w="4230" w:type="dxa"/>
          <w:tcMar>
            <w:left w:w="0" w:type="dxa"/>
            <w:right w:w="0" w:type="dxa"/>
          </w:tcMar>
        </w:tcPr>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628C4" w:rsidRPr="00755F22" w:rsidTr="00245129">
      <w:tc>
        <w:tcPr>
          <w:tcW w:w="4230" w:type="dxa"/>
          <w:tcMar>
            <w:left w:w="0" w:type="dxa"/>
            <w:right w:w="0" w:type="dxa"/>
          </w:tcMar>
        </w:tcPr>
        <w:p w:rsidR="00D628C4" w:rsidRPr="00755F22" w:rsidRDefault="00D628C4" w:rsidP="00831CA9">
          <w:pPr>
            <w:keepNext/>
            <w:keepLines/>
            <w:rPr>
              <w:sz w:val="20"/>
              <w:szCs w:val="20"/>
            </w:rPr>
          </w:pPr>
          <w:r w:rsidRPr="00755F22">
            <w:rPr>
              <w:sz w:val="20"/>
              <w:szCs w:val="20"/>
            </w:rPr>
            <w:t>MOTIONS</w:t>
          </w:r>
        </w:p>
      </w:tc>
      <w:tc>
        <w:tcPr>
          <w:tcW w:w="1170" w:type="dxa"/>
          <w:tcMar>
            <w:left w:w="0" w:type="dxa"/>
            <w:right w:w="0" w:type="dxa"/>
          </w:tcMar>
        </w:tcPr>
        <w:p w:rsidR="00D628C4" w:rsidRPr="00755F22" w:rsidRDefault="00D628C4" w:rsidP="00831CA9">
          <w:pPr>
            <w:keepLines/>
            <w:jc w:val="center"/>
            <w:rPr>
              <w:sz w:val="20"/>
              <w:szCs w:val="20"/>
            </w:rPr>
          </w:pPr>
        </w:p>
        <w:p w:rsidR="00D628C4" w:rsidRPr="00755F22" w:rsidRDefault="00D628C4" w:rsidP="00831CA9">
          <w:pPr>
            <w:keepLines/>
            <w:tabs>
              <w:tab w:val="left" w:pos="-1440"/>
              <w:tab w:val="left" w:pos="-720"/>
            </w:tabs>
            <w:jc w:val="center"/>
            <w:rPr>
              <w:sz w:val="20"/>
              <w:szCs w:val="20"/>
            </w:rPr>
          </w:pPr>
        </w:p>
      </w:tc>
      <w:tc>
        <w:tcPr>
          <w:tcW w:w="4080" w:type="dxa"/>
          <w:tcMar>
            <w:left w:w="0" w:type="dxa"/>
            <w:right w:w="0" w:type="dxa"/>
          </w:tcMar>
        </w:tcPr>
        <w:p w:rsidR="00D628C4" w:rsidRPr="00BA6468" w:rsidRDefault="00D628C4" w:rsidP="00BA6468">
          <w:pPr>
            <w:keepLines/>
            <w:rPr>
              <w:sz w:val="20"/>
              <w:szCs w:val="20"/>
              <w:lang w:val="fr-CA"/>
            </w:rPr>
          </w:pPr>
          <w:r w:rsidRPr="00BA6468">
            <w:rPr>
              <w:sz w:val="20"/>
              <w:szCs w:val="20"/>
              <w:lang w:val="fr-CA"/>
            </w:rPr>
            <w:t>REQUÊTES</w:t>
          </w:r>
        </w:p>
      </w:tc>
    </w:tr>
  </w:tbl>
  <w:p w:rsidR="00D628C4" w:rsidRDefault="00D628C4" w:rsidP="00831CA9">
    <w:pPr>
      <w:jc w:val="both"/>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D628C4" w:rsidRDefault="00D628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D628C4" w:rsidRDefault="00D628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28C4" w:rsidRPr="009256DC" w:rsidRDefault="00D628C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D628C4" w:rsidRPr="009256DC" w:rsidRDefault="00D628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628C4" w:rsidRPr="009256DC" w:rsidRDefault="00D628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802863" w:rsidRDefault="00D628C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D628C4" w:rsidRPr="00802863" w:rsidRDefault="00D628C4" w:rsidP="00802863">
          <w:pPr>
            <w:keepNext/>
            <w:keepLines/>
            <w:widowControl w:val="0"/>
            <w:tabs>
              <w:tab w:val="left" w:pos="-1440"/>
              <w:tab w:val="left" w:pos="-720"/>
            </w:tabs>
            <w:jc w:val="center"/>
            <w:rPr>
              <w:sz w:val="20"/>
              <w:szCs w:val="20"/>
            </w:rPr>
          </w:pPr>
        </w:p>
        <w:p w:rsidR="00D628C4" w:rsidRPr="00802863" w:rsidRDefault="00D628C4" w:rsidP="00802863">
          <w:pPr>
            <w:keepNext/>
            <w:keepLines/>
            <w:widowControl w:val="0"/>
            <w:tabs>
              <w:tab w:val="left" w:pos="-1440"/>
              <w:tab w:val="left" w:pos="-720"/>
            </w:tabs>
            <w:jc w:val="center"/>
            <w:rPr>
              <w:sz w:val="20"/>
              <w:szCs w:val="20"/>
            </w:rPr>
          </w:pPr>
        </w:p>
        <w:p w:rsidR="00D628C4" w:rsidRPr="00802863" w:rsidRDefault="00D628C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D628C4" w:rsidRPr="00802863" w:rsidRDefault="00D628C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D628C4" w:rsidRPr="009256DC" w:rsidRDefault="00D628C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28C4" w:rsidRPr="00283C52"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628C4" w:rsidRPr="00283C52"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628C4" w:rsidRPr="00283C52"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732DB7" w:rsidRDefault="00D628C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628C4" w:rsidRPr="00732DB7" w:rsidRDefault="00D628C4" w:rsidP="00732DB7">
          <w:pPr>
            <w:keepNext/>
            <w:keepLines/>
            <w:tabs>
              <w:tab w:val="left" w:pos="-1440"/>
              <w:tab w:val="left" w:pos="-720"/>
            </w:tabs>
            <w:jc w:val="center"/>
            <w:rPr>
              <w:sz w:val="20"/>
              <w:szCs w:val="20"/>
            </w:rPr>
          </w:pPr>
        </w:p>
        <w:p w:rsidR="00D628C4" w:rsidRPr="00732DB7" w:rsidRDefault="00D628C4" w:rsidP="00732DB7">
          <w:pPr>
            <w:keepNext/>
            <w:keepLines/>
            <w:tabs>
              <w:tab w:val="left" w:pos="-1440"/>
              <w:tab w:val="left" w:pos="-720"/>
            </w:tabs>
            <w:jc w:val="center"/>
            <w:rPr>
              <w:sz w:val="20"/>
              <w:szCs w:val="20"/>
            </w:rPr>
          </w:pPr>
        </w:p>
        <w:p w:rsidR="00D628C4" w:rsidRPr="00732DB7" w:rsidRDefault="00D628C4" w:rsidP="00732DB7">
          <w:pPr>
            <w:keepNext/>
            <w:keepLines/>
            <w:tabs>
              <w:tab w:val="left" w:pos="-1440"/>
              <w:tab w:val="left" w:pos="-720"/>
            </w:tabs>
            <w:jc w:val="center"/>
            <w:rPr>
              <w:sz w:val="20"/>
              <w:szCs w:val="20"/>
            </w:rPr>
          </w:pPr>
        </w:p>
      </w:tc>
      <w:tc>
        <w:tcPr>
          <w:tcW w:w="4080" w:type="dxa"/>
          <w:tcMar>
            <w:left w:w="0" w:type="dxa"/>
            <w:right w:w="0" w:type="dxa"/>
          </w:tcMar>
        </w:tcPr>
        <w:p w:rsidR="00D628C4" w:rsidRPr="00732DB7" w:rsidRDefault="00D628C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628C4" w:rsidRPr="00283C52" w:rsidRDefault="00D628C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628C4" w:rsidRPr="003C2C0F"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628C4" w:rsidRPr="003C2C0F"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628C4" w:rsidRPr="003C2C0F"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FF6EEC" w:rsidRDefault="00D628C4" w:rsidP="00FF6EEC">
          <w:pPr>
            <w:rPr>
              <w:sz w:val="20"/>
              <w:szCs w:val="20"/>
            </w:rPr>
          </w:pPr>
          <w:r w:rsidRPr="00FF6EEC">
            <w:rPr>
              <w:sz w:val="20"/>
              <w:szCs w:val="20"/>
            </w:rPr>
            <w:t>PRONOUNCEMENTS OF APPEALS RESERVED</w:t>
          </w:r>
        </w:p>
      </w:tc>
      <w:tc>
        <w:tcPr>
          <w:tcW w:w="1200" w:type="dxa"/>
          <w:tcMar>
            <w:left w:w="0" w:type="dxa"/>
            <w:right w:w="0" w:type="dxa"/>
          </w:tcMar>
        </w:tcPr>
        <w:p w:rsidR="00D628C4" w:rsidRPr="00FF6EEC" w:rsidRDefault="00D628C4" w:rsidP="00FF6EEC">
          <w:pPr>
            <w:jc w:val="center"/>
            <w:rPr>
              <w:sz w:val="20"/>
              <w:szCs w:val="20"/>
            </w:rPr>
          </w:pPr>
        </w:p>
        <w:p w:rsidR="00D628C4" w:rsidRPr="00FF6EEC" w:rsidRDefault="00D628C4" w:rsidP="00FF6EEC">
          <w:pPr>
            <w:jc w:val="center"/>
            <w:rPr>
              <w:sz w:val="20"/>
              <w:szCs w:val="20"/>
            </w:rPr>
          </w:pPr>
        </w:p>
        <w:p w:rsidR="00D628C4" w:rsidRPr="00FF6EEC" w:rsidRDefault="00D628C4" w:rsidP="00FF6EEC">
          <w:pPr>
            <w:jc w:val="center"/>
            <w:rPr>
              <w:sz w:val="20"/>
              <w:szCs w:val="20"/>
            </w:rPr>
          </w:pPr>
        </w:p>
      </w:tc>
      <w:tc>
        <w:tcPr>
          <w:tcW w:w="4080" w:type="dxa"/>
          <w:tcMar>
            <w:left w:w="0" w:type="dxa"/>
            <w:right w:w="0" w:type="dxa"/>
          </w:tcMar>
        </w:tcPr>
        <w:p w:rsidR="00D628C4" w:rsidRPr="00FF6EEC" w:rsidRDefault="00D628C4" w:rsidP="00FF6EEC">
          <w:pPr>
            <w:rPr>
              <w:sz w:val="20"/>
              <w:szCs w:val="20"/>
              <w:lang w:val="fr-CA"/>
            </w:rPr>
          </w:pPr>
          <w:r w:rsidRPr="00FF6EEC">
            <w:rPr>
              <w:sz w:val="20"/>
              <w:szCs w:val="20"/>
              <w:lang w:val="fr-CA"/>
            </w:rPr>
            <w:t>JUGEMENTS RENDUS SUR LES APPELS EN DÉLIBÉRÉ</w:t>
          </w:r>
        </w:p>
      </w:tc>
    </w:tr>
  </w:tbl>
  <w:p w:rsidR="00D628C4" w:rsidRPr="003C2C0F" w:rsidRDefault="00D628C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628C4">
      <w:tc>
        <w:tcPr>
          <w:tcW w:w="423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28C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628C4" w:rsidRDefault="00D628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628C4" w:rsidRDefault="00D6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628C4" w:rsidRPr="00782AE4" w:rsidTr="00245129">
      <w:tc>
        <w:tcPr>
          <w:tcW w:w="4230" w:type="dxa"/>
          <w:tcMar>
            <w:left w:w="0" w:type="dxa"/>
            <w:right w:w="0" w:type="dxa"/>
          </w:tcMar>
        </w:tcPr>
        <w:p w:rsidR="00D628C4" w:rsidRPr="00782AE4" w:rsidRDefault="00D628C4" w:rsidP="00102926">
          <w:pPr>
            <w:keepNext/>
            <w:keepLines/>
            <w:tabs>
              <w:tab w:val="left" w:pos="-1440"/>
              <w:tab w:val="left" w:pos="-720"/>
            </w:tabs>
            <w:rPr>
              <w:sz w:val="20"/>
              <w:szCs w:val="20"/>
            </w:rPr>
          </w:pPr>
          <w:r w:rsidRPr="00782AE4">
            <w:rPr>
              <w:sz w:val="20"/>
              <w:szCs w:val="20"/>
            </w:rPr>
            <w:t xml:space="preserve">HEADNOTES OF RECENT </w:t>
          </w:r>
        </w:p>
        <w:p w:rsidR="00D628C4" w:rsidRPr="00782AE4"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628C4" w:rsidRDefault="00D628C4" w:rsidP="00102926">
          <w:pPr>
            <w:keepNext/>
            <w:keepLines/>
            <w:tabs>
              <w:tab w:val="left" w:pos="-1440"/>
              <w:tab w:val="left" w:pos="-720"/>
            </w:tabs>
            <w:jc w:val="center"/>
            <w:rPr>
              <w:sz w:val="20"/>
              <w:szCs w:val="20"/>
            </w:rPr>
          </w:pPr>
        </w:p>
        <w:p w:rsidR="00D628C4" w:rsidRDefault="00D628C4" w:rsidP="00102926">
          <w:pPr>
            <w:keepNext/>
            <w:keepLines/>
            <w:tabs>
              <w:tab w:val="left" w:pos="-1440"/>
              <w:tab w:val="left" w:pos="-720"/>
            </w:tabs>
            <w:jc w:val="center"/>
            <w:rPr>
              <w:sz w:val="20"/>
              <w:szCs w:val="20"/>
            </w:rPr>
          </w:pPr>
        </w:p>
        <w:p w:rsidR="00D628C4" w:rsidRPr="00782AE4" w:rsidRDefault="00D628C4" w:rsidP="00102926">
          <w:pPr>
            <w:keepNext/>
            <w:keepLines/>
            <w:tabs>
              <w:tab w:val="left" w:pos="-1440"/>
              <w:tab w:val="left" w:pos="-720"/>
            </w:tabs>
            <w:jc w:val="center"/>
            <w:rPr>
              <w:sz w:val="20"/>
              <w:szCs w:val="20"/>
            </w:rPr>
          </w:pPr>
        </w:p>
      </w:tc>
      <w:tc>
        <w:tcPr>
          <w:tcW w:w="4080" w:type="dxa"/>
          <w:tcMar>
            <w:left w:w="0" w:type="dxa"/>
            <w:right w:w="0" w:type="dxa"/>
          </w:tcMar>
        </w:tcPr>
        <w:p w:rsidR="00D628C4" w:rsidRPr="00102926" w:rsidRDefault="00D628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628C4" w:rsidRPr="00782AE4" w:rsidRDefault="00D628C4" w:rsidP="00102926">
          <w:pPr>
            <w:keepLines/>
            <w:tabs>
              <w:tab w:val="left" w:pos="-1440"/>
              <w:tab w:val="left" w:pos="-720"/>
            </w:tabs>
            <w:rPr>
              <w:sz w:val="20"/>
              <w:szCs w:val="20"/>
            </w:rPr>
          </w:pPr>
          <w:r w:rsidRPr="00102926">
            <w:rPr>
              <w:sz w:val="20"/>
              <w:szCs w:val="20"/>
              <w:lang w:val="fr-CA"/>
            </w:rPr>
            <w:t>RÉCENTS</w:t>
          </w:r>
        </w:p>
      </w:tc>
    </w:tr>
  </w:tbl>
  <w:p w:rsidR="00D628C4" w:rsidRDefault="00D628C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Pr="003A4175" w:rsidRDefault="00D628C4" w:rsidP="003A41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628C4" w:rsidRPr="0044776A" w:rsidTr="00245129">
      <w:tc>
        <w:tcPr>
          <w:tcW w:w="4290" w:type="dxa"/>
          <w:tcMar>
            <w:left w:w="0" w:type="dxa"/>
            <w:right w:w="0" w:type="dxa"/>
          </w:tcMar>
        </w:tcPr>
        <w:p w:rsidR="00D628C4" w:rsidRPr="0044776A" w:rsidRDefault="00D628C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628C4" w:rsidRPr="0044776A" w:rsidRDefault="00D628C4" w:rsidP="002E2327">
          <w:pPr>
            <w:keepNext/>
            <w:keepLines/>
            <w:tabs>
              <w:tab w:val="left" w:pos="-1440"/>
              <w:tab w:val="left" w:pos="-720"/>
            </w:tabs>
            <w:jc w:val="center"/>
            <w:rPr>
              <w:sz w:val="20"/>
              <w:szCs w:val="20"/>
            </w:rPr>
          </w:pPr>
        </w:p>
        <w:p w:rsidR="00D628C4" w:rsidRPr="0044776A" w:rsidRDefault="00D628C4" w:rsidP="002E2327">
          <w:pPr>
            <w:keepNext/>
            <w:keepLines/>
            <w:tabs>
              <w:tab w:val="left" w:pos="-1440"/>
              <w:tab w:val="left" w:pos="-720"/>
            </w:tabs>
            <w:jc w:val="center"/>
            <w:rPr>
              <w:sz w:val="20"/>
              <w:szCs w:val="20"/>
            </w:rPr>
          </w:pPr>
        </w:p>
        <w:p w:rsidR="00D628C4" w:rsidRPr="0044776A" w:rsidRDefault="00D628C4" w:rsidP="002E2327">
          <w:pPr>
            <w:keepNext/>
            <w:keepLines/>
            <w:tabs>
              <w:tab w:val="left" w:pos="-1440"/>
              <w:tab w:val="left" w:pos="-720"/>
            </w:tabs>
            <w:jc w:val="center"/>
            <w:rPr>
              <w:sz w:val="20"/>
              <w:szCs w:val="20"/>
            </w:rPr>
          </w:pPr>
        </w:p>
      </w:tc>
      <w:tc>
        <w:tcPr>
          <w:tcW w:w="4320" w:type="dxa"/>
          <w:tcMar>
            <w:left w:w="0" w:type="dxa"/>
            <w:right w:w="0" w:type="dxa"/>
          </w:tcMar>
        </w:tcPr>
        <w:p w:rsidR="00D628C4" w:rsidRPr="0044776A" w:rsidRDefault="00D628C4" w:rsidP="002E2327">
          <w:pPr>
            <w:keepLines/>
            <w:rPr>
              <w:sz w:val="20"/>
              <w:szCs w:val="20"/>
              <w:lang w:val="fr-CA"/>
            </w:rPr>
          </w:pPr>
          <w:r w:rsidRPr="0044776A">
            <w:rPr>
              <w:sz w:val="20"/>
              <w:szCs w:val="20"/>
              <w:lang w:val="fr-CA"/>
            </w:rPr>
            <w:t>DEMANDES D'AUTORISATION D'APPEL DÉPOSÉES</w:t>
          </w:r>
        </w:p>
      </w:tc>
    </w:tr>
  </w:tbl>
  <w:p w:rsidR="00D628C4" w:rsidRDefault="00D628C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44776A" w:rsidRDefault="00D628C4" w:rsidP="0044776A">
          <w:pPr>
            <w:keepNext/>
            <w:keepLines/>
            <w:widowControl w:val="0"/>
            <w:rPr>
              <w:sz w:val="20"/>
              <w:szCs w:val="20"/>
            </w:rPr>
          </w:pPr>
          <w:r>
            <w:rPr>
              <w:sz w:val="20"/>
              <w:szCs w:val="20"/>
            </w:rPr>
            <w:t>APPLICATIONS FOR LEAVE</w:t>
          </w:r>
        </w:p>
        <w:p w:rsidR="00D628C4" w:rsidRPr="0044776A" w:rsidRDefault="00D628C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628C4" w:rsidRPr="0044776A" w:rsidRDefault="00D628C4" w:rsidP="0044776A">
          <w:pPr>
            <w:keepNext/>
            <w:keepLines/>
            <w:widowControl w:val="0"/>
            <w:jc w:val="center"/>
            <w:rPr>
              <w:sz w:val="20"/>
              <w:szCs w:val="20"/>
            </w:rPr>
          </w:pPr>
        </w:p>
        <w:p w:rsidR="00D628C4" w:rsidRPr="0044776A" w:rsidRDefault="00D628C4" w:rsidP="0044776A">
          <w:pPr>
            <w:keepNext/>
            <w:keepLines/>
            <w:widowControl w:val="0"/>
            <w:jc w:val="center"/>
            <w:rPr>
              <w:sz w:val="20"/>
              <w:szCs w:val="20"/>
            </w:rPr>
          </w:pPr>
        </w:p>
        <w:p w:rsidR="00D628C4" w:rsidRPr="0044776A" w:rsidRDefault="00D628C4" w:rsidP="0044776A">
          <w:pPr>
            <w:keepNext/>
            <w:keepLines/>
            <w:widowControl w:val="0"/>
            <w:jc w:val="center"/>
            <w:rPr>
              <w:sz w:val="20"/>
              <w:szCs w:val="20"/>
            </w:rPr>
          </w:pPr>
        </w:p>
      </w:tc>
      <w:tc>
        <w:tcPr>
          <w:tcW w:w="4080" w:type="dxa"/>
          <w:tcMar>
            <w:left w:w="0" w:type="dxa"/>
            <w:right w:w="0" w:type="dxa"/>
          </w:tcMar>
        </w:tcPr>
        <w:p w:rsidR="00D628C4" w:rsidRPr="0044776A" w:rsidRDefault="00D628C4" w:rsidP="0044776A">
          <w:pPr>
            <w:keepLines/>
            <w:widowControl w:val="0"/>
            <w:rPr>
              <w:sz w:val="20"/>
              <w:szCs w:val="20"/>
              <w:lang w:val="fr-CA"/>
            </w:rPr>
          </w:pPr>
          <w:r w:rsidRPr="0044776A">
            <w:rPr>
              <w:sz w:val="20"/>
              <w:szCs w:val="20"/>
              <w:lang w:val="fr-CA"/>
            </w:rPr>
            <w:t>DEMANDES SOUMISES À LA COUR DEPUIS LA DERNIÈRE PARUTION</w:t>
          </w:r>
        </w:p>
        <w:p w:rsidR="00D628C4" w:rsidRPr="0044776A" w:rsidRDefault="00D628C4" w:rsidP="0044776A">
          <w:pPr>
            <w:widowControl w:val="0"/>
            <w:rPr>
              <w:sz w:val="20"/>
              <w:szCs w:val="20"/>
              <w:lang w:val="fr-CA"/>
            </w:rPr>
          </w:pPr>
        </w:p>
      </w:tc>
    </w:tr>
  </w:tbl>
  <w:p w:rsidR="00D628C4" w:rsidRPr="002E2327" w:rsidRDefault="00D628C4">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C4" w:rsidRDefault="00D628C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628C4" w:rsidRPr="003B380E">
      <w:tc>
        <w:tcPr>
          <w:tcW w:w="4200" w:type="dxa"/>
          <w:tcMar>
            <w:left w:w="0" w:type="dxa"/>
            <w:right w:w="0" w:type="dxa"/>
          </w:tcMar>
        </w:tcPr>
        <w:p w:rsidR="00D628C4" w:rsidRDefault="00D628C4">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D628C4" w:rsidRDefault="00D628C4">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D628C4" w:rsidRPr="008D6812" w:rsidRDefault="00D628C4">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D628C4" w:rsidRPr="008D6812"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D628C4" w:rsidRPr="008D6812"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628C4" w:rsidRPr="003B380E" w:rsidTr="00245129">
      <w:tc>
        <w:tcPr>
          <w:tcW w:w="4200" w:type="dxa"/>
          <w:tcMar>
            <w:left w:w="0" w:type="dxa"/>
            <w:right w:w="0" w:type="dxa"/>
          </w:tcMar>
        </w:tcPr>
        <w:p w:rsidR="00D628C4" w:rsidRPr="00755F22" w:rsidRDefault="00D628C4" w:rsidP="00432989">
          <w:pPr>
            <w:rPr>
              <w:sz w:val="20"/>
              <w:szCs w:val="20"/>
            </w:rPr>
          </w:pPr>
          <w:r w:rsidRPr="00755F22">
            <w:rPr>
              <w:sz w:val="20"/>
              <w:szCs w:val="20"/>
            </w:rPr>
            <w:t>ORAL HEARING ON APPLICATIONS FOR LEAVE</w:t>
          </w:r>
        </w:p>
      </w:tc>
      <w:tc>
        <w:tcPr>
          <w:tcW w:w="1200" w:type="dxa"/>
          <w:tcMar>
            <w:left w:w="0" w:type="dxa"/>
            <w:right w:w="0" w:type="dxa"/>
          </w:tcMar>
        </w:tcPr>
        <w:p w:rsidR="00D628C4" w:rsidRDefault="00D628C4" w:rsidP="008D292F">
          <w:pPr>
            <w:jc w:val="center"/>
            <w:rPr>
              <w:sz w:val="20"/>
              <w:szCs w:val="20"/>
            </w:rPr>
          </w:pPr>
        </w:p>
        <w:p w:rsidR="00D628C4" w:rsidRDefault="00D628C4" w:rsidP="008D292F">
          <w:pPr>
            <w:jc w:val="center"/>
            <w:rPr>
              <w:sz w:val="20"/>
              <w:szCs w:val="20"/>
            </w:rPr>
          </w:pPr>
        </w:p>
        <w:p w:rsidR="00D628C4" w:rsidRPr="00755F22" w:rsidRDefault="00D628C4" w:rsidP="008D292F">
          <w:pPr>
            <w:jc w:val="center"/>
            <w:rPr>
              <w:sz w:val="20"/>
              <w:szCs w:val="20"/>
            </w:rPr>
          </w:pPr>
        </w:p>
      </w:tc>
      <w:tc>
        <w:tcPr>
          <w:tcW w:w="4080" w:type="dxa"/>
          <w:tcMar>
            <w:left w:w="0" w:type="dxa"/>
            <w:right w:w="0" w:type="dxa"/>
          </w:tcMar>
        </w:tcPr>
        <w:p w:rsidR="00D628C4" w:rsidRPr="00755F22" w:rsidRDefault="00D628C4" w:rsidP="00432989">
          <w:pPr>
            <w:rPr>
              <w:sz w:val="20"/>
              <w:szCs w:val="20"/>
              <w:lang w:val="fr-CA"/>
            </w:rPr>
          </w:pPr>
          <w:r w:rsidRPr="00755F22">
            <w:rPr>
              <w:sz w:val="20"/>
              <w:szCs w:val="20"/>
              <w:lang w:val="fr-CA"/>
            </w:rPr>
            <w:t xml:space="preserve">AUDIENCE SUR LES DEMANDES D’AUTORISATION </w:t>
          </w:r>
        </w:p>
      </w:tc>
    </w:tr>
  </w:tbl>
  <w:p w:rsidR="00D628C4" w:rsidRPr="008D6812"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D628C4" w:rsidRPr="008D6812" w:rsidRDefault="00D628C4">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2E0B59"/>
    <w:multiLevelType w:val="hybridMultilevel"/>
    <w:tmpl w:val="495A62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3F6ED7"/>
    <w:multiLevelType w:val="hybridMultilevel"/>
    <w:tmpl w:val="495A62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101"/>
  </w:hdrShapeDefaults>
  <w:footnotePr>
    <w:footnote w:id="-1"/>
    <w:footnote w:id="0"/>
  </w:footnotePr>
  <w:endnotePr>
    <w:endnote w:id="-1"/>
    <w:endnote w:id="0"/>
  </w:endnotePr>
  <w:compat/>
  <w:rsids>
    <w:rsidRoot w:val="003A4175"/>
    <w:rsid w:val="000419CE"/>
    <w:rsid w:val="00052196"/>
    <w:rsid w:val="00076B37"/>
    <w:rsid w:val="00096BD9"/>
    <w:rsid w:val="000C0ACD"/>
    <w:rsid w:val="000C6523"/>
    <w:rsid w:val="00102926"/>
    <w:rsid w:val="00135D98"/>
    <w:rsid w:val="001367CB"/>
    <w:rsid w:val="00153777"/>
    <w:rsid w:val="00164E6D"/>
    <w:rsid w:val="00175549"/>
    <w:rsid w:val="0017708D"/>
    <w:rsid w:val="00187438"/>
    <w:rsid w:val="00196919"/>
    <w:rsid w:val="001B5C23"/>
    <w:rsid w:val="001D0D5F"/>
    <w:rsid w:val="001D6B8C"/>
    <w:rsid w:val="001F1F83"/>
    <w:rsid w:val="001F6C26"/>
    <w:rsid w:val="002139A7"/>
    <w:rsid w:val="00215F7C"/>
    <w:rsid w:val="0022323B"/>
    <w:rsid w:val="00237D00"/>
    <w:rsid w:val="002410B8"/>
    <w:rsid w:val="00245129"/>
    <w:rsid w:val="00245879"/>
    <w:rsid w:val="002727AF"/>
    <w:rsid w:val="002B389B"/>
    <w:rsid w:val="002B516C"/>
    <w:rsid w:val="002D72EB"/>
    <w:rsid w:val="002E2327"/>
    <w:rsid w:val="002E3583"/>
    <w:rsid w:val="002E5576"/>
    <w:rsid w:val="00324BAE"/>
    <w:rsid w:val="00331157"/>
    <w:rsid w:val="00331B52"/>
    <w:rsid w:val="003458CE"/>
    <w:rsid w:val="00355967"/>
    <w:rsid w:val="00364C5F"/>
    <w:rsid w:val="00366CED"/>
    <w:rsid w:val="00377DFF"/>
    <w:rsid w:val="00382C47"/>
    <w:rsid w:val="00384384"/>
    <w:rsid w:val="00391C28"/>
    <w:rsid w:val="003A4175"/>
    <w:rsid w:val="003B380E"/>
    <w:rsid w:val="003B53BE"/>
    <w:rsid w:val="003E3797"/>
    <w:rsid w:val="003E5C2C"/>
    <w:rsid w:val="003E6FF6"/>
    <w:rsid w:val="003E770A"/>
    <w:rsid w:val="003F573C"/>
    <w:rsid w:val="00404E7F"/>
    <w:rsid w:val="004256EF"/>
    <w:rsid w:val="00426FE4"/>
    <w:rsid w:val="00432989"/>
    <w:rsid w:val="00440E24"/>
    <w:rsid w:val="00442E28"/>
    <w:rsid w:val="0044776A"/>
    <w:rsid w:val="00451C53"/>
    <w:rsid w:val="00460AFC"/>
    <w:rsid w:val="00474402"/>
    <w:rsid w:val="0047471F"/>
    <w:rsid w:val="004813BA"/>
    <w:rsid w:val="004C1AAC"/>
    <w:rsid w:val="004D2B61"/>
    <w:rsid w:val="004D595B"/>
    <w:rsid w:val="004F090E"/>
    <w:rsid w:val="004F291D"/>
    <w:rsid w:val="004F644C"/>
    <w:rsid w:val="005255F0"/>
    <w:rsid w:val="00527CC7"/>
    <w:rsid w:val="00565ADD"/>
    <w:rsid w:val="00571CA4"/>
    <w:rsid w:val="00574C4E"/>
    <w:rsid w:val="00582136"/>
    <w:rsid w:val="005A14DB"/>
    <w:rsid w:val="005B7129"/>
    <w:rsid w:val="005D32D7"/>
    <w:rsid w:val="005F263E"/>
    <w:rsid w:val="00600252"/>
    <w:rsid w:val="006074A6"/>
    <w:rsid w:val="00612A40"/>
    <w:rsid w:val="00675479"/>
    <w:rsid w:val="00697C62"/>
    <w:rsid w:val="006A329B"/>
    <w:rsid w:val="006B6926"/>
    <w:rsid w:val="006C3F47"/>
    <w:rsid w:val="006C61B1"/>
    <w:rsid w:val="006D2346"/>
    <w:rsid w:val="006F5D6D"/>
    <w:rsid w:val="007118D6"/>
    <w:rsid w:val="00732DB7"/>
    <w:rsid w:val="00747A4A"/>
    <w:rsid w:val="00755B04"/>
    <w:rsid w:val="00755F22"/>
    <w:rsid w:val="00766E4A"/>
    <w:rsid w:val="00782AE4"/>
    <w:rsid w:val="0079243B"/>
    <w:rsid w:val="0079724F"/>
    <w:rsid w:val="007A3EAE"/>
    <w:rsid w:val="007B3A81"/>
    <w:rsid w:val="007D3E0F"/>
    <w:rsid w:val="007E3F97"/>
    <w:rsid w:val="007F5FC8"/>
    <w:rsid w:val="00802863"/>
    <w:rsid w:val="00812521"/>
    <w:rsid w:val="00814152"/>
    <w:rsid w:val="00815B3C"/>
    <w:rsid w:val="0082783A"/>
    <w:rsid w:val="00831CA9"/>
    <w:rsid w:val="00850E1F"/>
    <w:rsid w:val="008517BC"/>
    <w:rsid w:val="0085476B"/>
    <w:rsid w:val="00864F35"/>
    <w:rsid w:val="0087308A"/>
    <w:rsid w:val="00890FEB"/>
    <w:rsid w:val="00892C68"/>
    <w:rsid w:val="008D292F"/>
    <w:rsid w:val="008E03DC"/>
    <w:rsid w:val="008E763A"/>
    <w:rsid w:val="00930D68"/>
    <w:rsid w:val="00932DB4"/>
    <w:rsid w:val="009460E4"/>
    <w:rsid w:val="00946242"/>
    <w:rsid w:val="0095096B"/>
    <w:rsid w:val="00965551"/>
    <w:rsid w:val="009723FA"/>
    <w:rsid w:val="00984546"/>
    <w:rsid w:val="00996510"/>
    <w:rsid w:val="009B49D4"/>
    <w:rsid w:val="009D1F15"/>
    <w:rsid w:val="009D555E"/>
    <w:rsid w:val="00A0355E"/>
    <w:rsid w:val="00A17955"/>
    <w:rsid w:val="00A375D1"/>
    <w:rsid w:val="00A51D10"/>
    <w:rsid w:val="00A52A83"/>
    <w:rsid w:val="00A863DD"/>
    <w:rsid w:val="00A87207"/>
    <w:rsid w:val="00AB2201"/>
    <w:rsid w:val="00AC7ED5"/>
    <w:rsid w:val="00AD2D4D"/>
    <w:rsid w:val="00AD6FFE"/>
    <w:rsid w:val="00AF3487"/>
    <w:rsid w:val="00AF3904"/>
    <w:rsid w:val="00AF7A86"/>
    <w:rsid w:val="00B010C0"/>
    <w:rsid w:val="00B449A2"/>
    <w:rsid w:val="00B4740D"/>
    <w:rsid w:val="00B61629"/>
    <w:rsid w:val="00B7374B"/>
    <w:rsid w:val="00BA116A"/>
    <w:rsid w:val="00BA58DB"/>
    <w:rsid w:val="00BA6468"/>
    <w:rsid w:val="00BD06DA"/>
    <w:rsid w:val="00BD4217"/>
    <w:rsid w:val="00BD5B1F"/>
    <w:rsid w:val="00BF25F3"/>
    <w:rsid w:val="00C0427B"/>
    <w:rsid w:val="00C1697B"/>
    <w:rsid w:val="00C50A5C"/>
    <w:rsid w:val="00C50FDF"/>
    <w:rsid w:val="00C62C83"/>
    <w:rsid w:val="00C636E2"/>
    <w:rsid w:val="00C73E1B"/>
    <w:rsid w:val="00C83051"/>
    <w:rsid w:val="00CC441A"/>
    <w:rsid w:val="00CC4D84"/>
    <w:rsid w:val="00CC5827"/>
    <w:rsid w:val="00CC6DBB"/>
    <w:rsid w:val="00CE303C"/>
    <w:rsid w:val="00D0671F"/>
    <w:rsid w:val="00D13B21"/>
    <w:rsid w:val="00D628C4"/>
    <w:rsid w:val="00D67826"/>
    <w:rsid w:val="00D72F1A"/>
    <w:rsid w:val="00D76BDF"/>
    <w:rsid w:val="00D862C1"/>
    <w:rsid w:val="00DA66A1"/>
    <w:rsid w:val="00DC7DEE"/>
    <w:rsid w:val="00DF7DFB"/>
    <w:rsid w:val="00E06DFA"/>
    <w:rsid w:val="00E1575E"/>
    <w:rsid w:val="00E31A02"/>
    <w:rsid w:val="00E356C7"/>
    <w:rsid w:val="00E64FA7"/>
    <w:rsid w:val="00E770CB"/>
    <w:rsid w:val="00E940EB"/>
    <w:rsid w:val="00EB2B90"/>
    <w:rsid w:val="00ED7E83"/>
    <w:rsid w:val="00EF4B63"/>
    <w:rsid w:val="00EF7D12"/>
    <w:rsid w:val="00F0068D"/>
    <w:rsid w:val="00F10F5E"/>
    <w:rsid w:val="00F16C8D"/>
    <w:rsid w:val="00F23712"/>
    <w:rsid w:val="00F32B7F"/>
    <w:rsid w:val="00F33CCE"/>
    <w:rsid w:val="00F40249"/>
    <w:rsid w:val="00F526C8"/>
    <w:rsid w:val="00F53A38"/>
    <w:rsid w:val="00F56800"/>
    <w:rsid w:val="00F57D83"/>
    <w:rsid w:val="00F7302C"/>
    <w:rsid w:val="00F94A8D"/>
    <w:rsid w:val="00F9518C"/>
    <w:rsid w:val="00FA3B73"/>
    <w:rsid w:val="00FA41D0"/>
    <w:rsid w:val="00FA59EF"/>
    <w:rsid w:val="00FE5C3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FileNumber">
    <w:name w:val="SCC.FileNumber"/>
    <w:basedOn w:val="Normal"/>
    <w:next w:val="Normal"/>
    <w:link w:val="SCCFileNumberChar"/>
    <w:rsid w:val="00331157"/>
    <w:pPr>
      <w:jc w:val="center"/>
    </w:pPr>
    <w:rPr>
      <w:b/>
      <w:szCs w:val="24"/>
      <w:lang w:val="fr-CA"/>
    </w:rPr>
  </w:style>
  <w:style w:type="character" w:customStyle="1" w:styleId="SCCFileNumberChar">
    <w:name w:val="SCC.FileNumber Char"/>
    <w:basedOn w:val="DefaultParagraphFont"/>
    <w:link w:val="SCCFileNumber"/>
    <w:rsid w:val="00331157"/>
    <w:rPr>
      <w:b/>
      <w:szCs w:val="24"/>
      <w:lang w:val="fr-CA"/>
    </w:rPr>
  </w:style>
  <w:style w:type="paragraph" w:customStyle="1" w:styleId="SCCLsoc">
    <w:name w:val="SCC.Lsoc"/>
    <w:basedOn w:val="Normal"/>
    <w:next w:val="Normal"/>
    <w:link w:val="SCCLsocChar"/>
    <w:rsid w:val="00331157"/>
    <w:pPr>
      <w:jc w:val="center"/>
    </w:pPr>
    <w:rPr>
      <w:b/>
      <w:szCs w:val="24"/>
      <w:u w:val="single"/>
      <w:lang w:val="fr-CA"/>
    </w:rPr>
  </w:style>
  <w:style w:type="character" w:customStyle="1" w:styleId="SCCLsocChar">
    <w:name w:val="SCC.Lsoc Char"/>
    <w:basedOn w:val="DefaultParagraphFont"/>
    <w:link w:val="SCCLsoc"/>
    <w:rsid w:val="00331157"/>
    <w:rPr>
      <w:b/>
      <w:szCs w:val="24"/>
      <w:u w:val="single"/>
      <w:lang w:val="fr-CA"/>
    </w:rPr>
  </w:style>
  <w:style w:type="paragraph" w:customStyle="1" w:styleId="SCCCoram">
    <w:name w:val="SCC.Coram"/>
    <w:basedOn w:val="Normal"/>
    <w:next w:val="Normal"/>
    <w:link w:val="SCCCoramChar"/>
    <w:rsid w:val="00331157"/>
    <w:pPr>
      <w:jc w:val="center"/>
    </w:pPr>
    <w:rPr>
      <w:szCs w:val="24"/>
      <w:u w:val="single"/>
      <w:lang w:val="fr-CA"/>
    </w:rPr>
  </w:style>
  <w:style w:type="character" w:customStyle="1" w:styleId="SCCCoramChar">
    <w:name w:val="SCC.Coram Char"/>
    <w:basedOn w:val="DefaultParagraphFont"/>
    <w:link w:val="SCCCoram"/>
    <w:rsid w:val="00331157"/>
    <w:rPr>
      <w:szCs w:val="24"/>
      <w:u w:val="single"/>
      <w:lang w:val="fr-CA"/>
    </w:rPr>
  </w:style>
  <w:style w:type="paragraph" w:customStyle="1" w:styleId="SCCAppellantForIndex">
    <w:name w:val="SCC.AppellantForIndex"/>
    <w:basedOn w:val="Normal"/>
    <w:next w:val="Normal"/>
    <w:link w:val="SCCAppellantForIndexChar"/>
    <w:rsid w:val="00D72F1A"/>
    <w:rPr>
      <w:rFonts w:eastAsia="Times New Roman" w:cs="Times New Roman"/>
      <w:b/>
      <w:szCs w:val="20"/>
      <w:lang w:eastAsia="en-CA"/>
    </w:rPr>
  </w:style>
  <w:style w:type="character" w:customStyle="1" w:styleId="SCCAppellantForIndexChar">
    <w:name w:val="SCC.AppellantForIndex Char"/>
    <w:basedOn w:val="DefaultParagraphFont"/>
    <w:link w:val="SCCAppellantForIndex"/>
    <w:rsid w:val="00D72F1A"/>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D72F1A"/>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D72F1A"/>
    <w:rPr>
      <w:rFonts w:eastAsia="Times New Roman" w:cs="Times New Roman"/>
      <w:b/>
      <w:szCs w:val="20"/>
      <w:lang w:val="en-CA" w:eastAsia="en-CA"/>
    </w:rPr>
  </w:style>
  <w:style w:type="paragraph" w:customStyle="1" w:styleId="SCCSystemYear">
    <w:name w:val="SCC.SystemYear"/>
    <w:basedOn w:val="Normal"/>
    <w:next w:val="Normal"/>
    <w:link w:val="SCCSystemYearChar"/>
    <w:rsid w:val="00D72F1A"/>
    <w:rPr>
      <w:rFonts w:eastAsia="Times New Roman" w:cs="Times New Roman"/>
      <w:b/>
      <w:szCs w:val="20"/>
      <w:lang w:eastAsia="en-CA"/>
    </w:rPr>
  </w:style>
  <w:style w:type="character" w:customStyle="1" w:styleId="SCCSystemYearChar">
    <w:name w:val="SCC.SystemYear Char"/>
    <w:basedOn w:val="DefaultParagraphFont"/>
    <w:link w:val="SCCSystemYear"/>
    <w:rsid w:val="00D72F1A"/>
    <w:rPr>
      <w:rFonts w:eastAsia="Times New Roman" w:cs="Times New Roman"/>
      <w:b/>
      <w:szCs w:val="20"/>
      <w:lang w:val="en-CA" w:eastAsia="en-CA"/>
    </w:rPr>
  </w:style>
  <w:style w:type="paragraph" w:customStyle="1" w:styleId="SCCNormalDoubleSpacing">
    <w:name w:val="SCC.Normal.DoubleSpacing"/>
    <w:basedOn w:val="Normal"/>
    <w:link w:val="SCCNormalDoubleSpacingChar"/>
    <w:rsid w:val="00D0671F"/>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D0671F"/>
    <w:rPr>
      <w:rFonts w:eastAsia="Times New Roman" w:cs="Times New Roman"/>
      <w:szCs w:val="20"/>
      <w:lang w:val="en-CA" w:eastAsia="en-CA"/>
    </w:rPr>
  </w:style>
  <w:style w:type="paragraph" w:customStyle="1" w:styleId="SCCLawFirm">
    <w:name w:val="SCC.LawFirm"/>
    <w:basedOn w:val="SCCNormalDoubleSpacing"/>
    <w:next w:val="SCCNormalDoubleSpacing"/>
    <w:link w:val="SCCLawFirmChar"/>
    <w:rsid w:val="00D0671F"/>
    <w:rPr>
      <w:i/>
    </w:rPr>
  </w:style>
  <w:style w:type="character" w:customStyle="1" w:styleId="SCCLawFirmChar">
    <w:name w:val="SCC.LawFirm Char"/>
    <w:basedOn w:val="SCCNormalDoubleSpacingChar"/>
    <w:link w:val="SCCLawFirm"/>
    <w:rsid w:val="00D0671F"/>
    <w:rPr>
      <w:i/>
    </w:rPr>
  </w:style>
  <w:style w:type="paragraph" w:styleId="Quote">
    <w:name w:val="Quote"/>
    <w:basedOn w:val="Normal"/>
    <w:next w:val="Normal"/>
    <w:link w:val="QuoteChar"/>
    <w:uiPriority w:val="29"/>
    <w:qFormat/>
    <w:rsid w:val="007B3A81"/>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7B3A81"/>
    <w:rPr>
      <w:rFonts w:eastAsia="Times New Roman" w:cs="Times New Roman"/>
      <w:i/>
      <w:iCs/>
      <w:color w:val="000000" w:themeColor="text1"/>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image" Target="media/image1.wmf"/><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24175</Words>
  <Characters>137798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2010-12-06T14:18:00Z</dcterms:created>
  <dcterms:modified xsi:type="dcterms:W3CDTF">2010-12-06T14:19:00Z</dcterms:modified>
</cp:coreProperties>
</file>