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E182C"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E182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E182C"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E182C"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E182C" w:rsidTr="002E5576">
        <w:tc>
          <w:tcPr>
            <w:tcW w:w="4518" w:type="dxa"/>
          </w:tcPr>
          <w:p w:rsidR="00BF25F3" w:rsidRPr="002E2327" w:rsidRDefault="008222C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8222C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E182C"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E182C"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6E182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6E182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w:t>
      </w:r>
      <w:r w:rsidR="00074BAD">
        <w:rPr>
          <w:lang w:val="fr-CA"/>
        </w:rPr>
        <w:t>u</w:t>
      </w:r>
      <w:r>
        <w:rPr>
          <w:lang w:val="fr-CA"/>
        </w:rPr>
        <w:t>n</w:t>
      </w:r>
      <w:r w:rsidR="00074BAD">
        <w:rPr>
          <w:lang w:val="fr-CA"/>
        </w:rPr>
        <w:t>e</w:t>
      </w:r>
      <w:r w:rsidR="00440E24" w:rsidRPr="00675479">
        <w:rPr>
          <w:lang w:val="fr-CA"/>
        </w:rPr>
        <w:t xml:space="preserve"> </w:t>
      </w:r>
      <w:r w:rsidR="00074BAD">
        <w:rPr>
          <w:lang w:val="fr-CA"/>
        </w:rPr>
        <w:t>1</w:t>
      </w:r>
      <w:r w:rsidR="00501F3C">
        <w:rPr>
          <w:lang w:val="fr-CA"/>
        </w:rPr>
        <w:t>3</w:t>
      </w:r>
      <w:r w:rsidR="00440E24" w:rsidRPr="00675479">
        <w:rPr>
          <w:lang w:val="fr-CA"/>
        </w:rPr>
        <w:t>, 201</w:t>
      </w:r>
      <w:r w:rsidR="00501F3C">
        <w:rPr>
          <w:lang w:val="fr-CA"/>
        </w:rPr>
        <w:t>4</w:t>
      </w:r>
      <w:r w:rsidR="00F0068D" w:rsidRPr="00675479">
        <w:rPr>
          <w:lang w:val="fr-CA"/>
        </w:rPr>
        <w:tab/>
      </w:r>
      <w:r w:rsidR="00074BAD">
        <w:rPr>
          <w:lang w:val="fr-CA"/>
        </w:rPr>
        <w:t>995</w:t>
      </w:r>
      <w:r w:rsidR="00F0068D" w:rsidRPr="00675479">
        <w:rPr>
          <w:lang w:val="fr-CA"/>
        </w:rPr>
        <w:t xml:space="preserve"> - </w:t>
      </w:r>
      <w:r w:rsidR="002D1E79">
        <w:rPr>
          <w:lang w:val="fr-CA"/>
        </w:rPr>
        <w:t>1034</w:t>
      </w:r>
      <w:r w:rsidR="00440E24" w:rsidRPr="00675479">
        <w:rPr>
          <w:lang w:val="fr-CA"/>
        </w:rPr>
        <w:tab/>
      </w:r>
      <w:r w:rsidR="00440E24" w:rsidRPr="002E2327">
        <w:rPr>
          <w:lang w:val="fr-CA"/>
        </w:rPr>
        <w:t>Le</w:t>
      </w:r>
      <w:r>
        <w:rPr>
          <w:lang w:val="fr-CA"/>
        </w:rPr>
        <w:t xml:space="preserve"> </w:t>
      </w:r>
      <w:r w:rsidR="00074BAD">
        <w:rPr>
          <w:lang w:val="fr-CA"/>
        </w:rPr>
        <w:t>1</w:t>
      </w:r>
      <w:r w:rsidR="00501F3C">
        <w:rPr>
          <w:lang w:val="fr-CA"/>
        </w:rPr>
        <w:t>3</w:t>
      </w:r>
      <w:r>
        <w:rPr>
          <w:lang w:val="fr-CA"/>
        </w:rPr>
        <w:t xml:space="preserve"> j</w:t>
      </w:r>
      <w:r w:rsidR="00074BAD">
        <w:rPr>
          <w:lang w:val="fr-CA"/>
        </w:rPr>
        <w:t>u</w:t>
      </w:r>
      <w:r w:rsidR="00440E24" w:rsidRPr="002E2327">
        <w:rPr>
          <w:lang w:val="fr-CA"/>
        </w:rPr>
        <w:t>i</w:t>
      </w:r>
      <w:r w:rsidR="00074BAD">
        <w:rPr>
          <w:lang w:val="fr-CA"/>
        </w:rPr>
        <w:t>n</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472B2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DD7512">
            <w:pPr>
              <w:tabs>
                <w:tab w:val="right" w:pos="9360"/>
              </w:tabs>
              <w:rPr>
                <w:rFonts w:cs="Times New Roman"/>
                <w:sz w:val="20"/>
                <w:szCs w:val="20"/>
              </w:rPr>
            </w:pPr>
          </w:p>
        </w:tc>
        <w:tc>
          <w:tcPr>
            <w:tcW w:w="1980" w:type="dxa"/>
          </w:tcPr>
          <w:p w:rsidR="0095096B" w:rsidRPr="002E2327" w:rsidRDefault="009D081A" w:rsidP="0095096B">
            <w:pPr>
              <w:jc w:val="center"/>
              <w:rPr>
                <w:rFonts w:cs="Times New Roman"/>
                <w:sz w:val="20"/>
                <w:szCs w:val="20"/>
              </w:rPr>
            </w:pPr>
            <w:r>
              <w:rPr>
                <w:rFonts w:cs="Times New Roman"/>
                <w:sz w:val="20"/>
                <w:szCs w:val="20"/>
              </w:rPr>
              <w:t xml:space="preserve">995 </w:t>
            </w:r>
            <w:r w:rsidR="008222C4" w:rsidRPr="002E2327">
              <w:rPr>
                <w:rFonts w:cs="Times New Roman"/>
                <w:sz w:val="20"/>
                <w:szCs w:val="20"/>
              </w:rPr>
              <w:fldChar w:fldCharType="begin"/>
            </w:r>
            <w:r w:rsidR="0095096B" w:rsidRPr="002E2327">
              <w:rPr>
                <w:rFonts w:cs="Times New Roman"/>
                <w:sz w:val="20"/>
                <w:szCs w:val="20"/>
              </w:rPr>
              <w:instrText xml:space="preserve"> SEQ CHAPTER \h \r 1</w:instrText>
            </w:r>
            <w:r w:rsidR="008222C4" w:rsidRPr="002E2327">
              <w:rPr>
                <w:rFonts w:cs="Times New Roman"/>
                <w:sz w:val="20"/>
                <w:szCs w:val="20"/>
              </w:rPr>
              <w:fldChar w:fldCharType="end"/>
            </w:r>
            <w:r w:rsidR="0095096B" w:rsidRPr="002E2327">
              <w:rPr>
                <w:rFonts w:cs="Times New Roman"/>
                <w:sz w:val="20"/>
                <w:szCs w:val="20"/>
              </w:rPr>
              <w:t>-</w:t>
            </w:r>
            <w:r w:rsidR="004442A9">
              <w:rPr>
                <w:rFonts w:cs="Times New Roman"/>
                <w:sz w:val="20"/>
                <w:szCs w:val="20"/>
              </w:rPr>
              <w:t xml:space="preserve"> 997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6D44" w:rsidP="0095096B">
            <w:pPr>
              <w:jc w:val="center"/>
              <w:rPr>
                <w:rFonts w:cs="Times New Roman"/>
                <w:sz w:val="20"/>
                <w:szCs w:val="20"/>
              </w:rPr>
            </w:pPr>
            <w:r>
              <w:rPr>
                <w:rFonts w:cs="Times New Roman"/>
                <w:sz w:val="20"/>
                <w:szCs w:val="20"/>
              </w:rPr>
              <w:t>998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6D44" w:rsidP="0095096B">
            <w:pPr>
              <w:jc w:val="center"/>
              <w:rPr>
                <w:rFonts w:cs="Times New Roman"/>
                <w:sz w:val="20"/>
                <w:szCs w:val="20"/>
              </w:rPr>
            </w:pPr>
            <w:r>
              <w:rPr>
                <w:rFonts w:cs="Times New Roman"/>
                <w:sz w:val="20"/>
                <w:szCs w:val="20"/>
              </w:rPr>
              <w:t xml:space="preserve">999 </w:t>
            </w:r>
            <w:r w:rsidR="0095096B" w:rsidRPr="002E2327">
              <w:rPr>
                <w:rFonts w:cs="Times New Roman"/>
                <w:sz w:val="20"/>
                <w:szCs w:val="20"/>
              </w:rPr>
              <w:t>-</w:t>
            </w:r>
            <w:r w:rsidR="00D27A21">
              <w:rPr>
                <w:rFonts w:cs="Times New Roman"/>
                <w:sz w:val="20"/>
                <w:szCs w:val="20"/>
              </w:rPr>
              <w:t xml:space="preserve"> 1017</w:t>
            </w:r>
          </w:p>
          <w:p w:rsidR="0095096B" w:rsidRDefault="0095096B" w:rsidP="0095096B">
            <w:pPr>
              <w:jc w:val="center"/>
              <w:rPr>
                <w:rFonts w:cs="Times New Roman"/>
                <w:sz w:val="20"/>
                <w:szCs w:val="20"/>
              </w:rPr>
            </w:pPr>
          </w:p>
          <w:p w:rsidR="00DD7512" w:rsidRPr="002E2327" w:rsidRDefault="00DD7512" w:rsidP="0095096B">
            <w:pPr>
              <w:jc w:val="center"/>
              <w:rPr>
                <w:rFonts w:cs="Times New Roman"/>
                <w:sz w:val="20"/>
                <w:szCs w:val="20"/>
              </w:rPr>
            </w:pPr>
          </w:p>
          <w:p w:rsidR="0095096B" w:rsidRPr="002E2327" w:rsidRDefault="00D27A21" w:rsidP="0095096B">
            <w:pPr>
              <w:jc w:val="center"/>
              <w:rPr>
                <w:rFonts w:cs="Times New Roman"/>
                <w:sz w:val="20"/>
                <w:szCs w:val="20"/>
              </w:rPr>
            </w:pPr>
            <w:r>
              <w:rPr>
                <w:rFonts w:cs="Times New Roman"/>
                <w:sz w:val="20"/>
                <w:szCs w:val="20"/>
              </w:rPr>
              <w:t>1018</w:t>
            </w:r>
            <w:r w:rsidR="0095096B" w:rsidRPr="002E2327">
              <w:rPr>
                <w:rFonts w:cs="Times New Roman"/>
                <w:sz w:val="20"/>
                <w:szCs w:val="20"/>
              </w:rPr>
              <w:t>-</w:t>
            </w:r>
            <w:r>
              <w:rPr>
                <w:rFonts w:cs="Times New Roman"/>
                <w:sz w:val="20"/>
                <w:szCs w:val="20"/>
              </w:rPr>
              <w:t xml:space="preserve"> 1023</w:t>
            </w:r>
          </w:p>
          <w:p w:rsidR="0095096B" w:rsidRPr="002E2327" w:rsidRDefault="0095096B" w:rsidP="0095096B">
            <w:pPr>
              <w:jc w:val="center"/>
              <w:rPr>
                <w:rFonts w:cs="Times New Roman"/>
                <w:sz w:val="20"/>
                <w:szCs w:val="20"/>
              </w:rPr>
            </w:pPr>
          </w:p>
          <w:p w:rsidR="0095096B" w:rsidRPr="002E2327" w:rsidRDefault="00D27A21" w:rsidP="0095096B">
            <w:pPr>
              <w:jc w:val="center"/>
              <w:rPr>
                <w:rFonts w:cs="Times New Roman"/>
                <w:sz w:val="20"/>
                <w:szCs w:val="20"/>
              </w:rPr>
            </w:pPr>
            <w:r>
              <w:rPr>
                <w:rFonts w:cs="Times New Roman"/>
                <w:sz w:val="20"/>
                <w:szCs w:val="20"/>
              </w:rPr>
              <w:t>1024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D1E79" w:rsidP="0095096B">
            <w:pPr>
              <w:jc w:val="center"/>
              <w:rPr>
                <w:rFonts w:cs="Times New Roman"/>
                <w:sz w:val="20"/>
                <w:szCs w:val="20"/>
              </w:rPr>
            </w:pPr>
            <w:r>
              <w:rPr>
                <w:rFonts w:cs="Times New Roman"/>
                <w:sz w:val="20"/>
                <w:szCs w:val="20"/>
              </w:rPr>
              <w:t xml:space="preserve">1025 </w:t>
            </w:r>
            <w:r w:rsidR="0095096B" w:rsidRPr="002E2327">
              <w:rPr>
                <w:rFonts w:cs="Times New Roman"/>
                <w:sz w:val="20"/>
                <w:szCs w:val="20"/>
              </w:rPr>
              <w:t>-</w:t>
            </w:r>
            <w:r>
              <w:rPr>
                <w:rFonts w:cs="Times New Roman"/>
                <w:sz w:val="20"/>
                <w:szCs w:val="20"/>
              </w:rPr>
              <w:t xml:space="preserve"> 1034</w:t>
            </w:r>
          </w:p>
          <w:p w:rsidR="00A87207" w:rsidRPr="002E2327" w:rsidRDefault="00A87207" w:rsidP="00DD7512">
            <w:pPr>
              <w:jc w:val="center"/>
              <w:rPr>
                <w:rFonts w:cs="Times New Roman"/>
                <w:sz w:val="20"/>
                <w:szCs w:val="20"/>
              </w:rPr>
            </w:pPr>
          </w:p>
        </w:tc>
        <w:tc>
          <w:tcPr>
            <w:tcW w:w="3888" w:type="dxa"/>
          </w:tcPr>
          <w:p w:rsidR="0095096B" w:rsidRPr="002E2327" w:rsidRDefault="008222C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DD7512">
            <w:pPr>
              <w:tabs>
                <w:tab w:val="right" w:pos="9360"/>
              </w:tabs>
              <w:rPr>
                <w:rFonts w:cs="Times New Roman"/>
                <w:sz w:val="20"/>
                <w:szCs w:val="20"/>
                <w:lang w:val="fr-CA"/>
              </w:rPr>
            </w:pPr>
          </w:p>
        </w:tc>
      </w:tr>
    </w:tbl>
    <w:p w:rsidR="0095096B" w:rsidRDefault="0095096B" w:rsidP="0095096B">
      <w:pPr>
        <w:tabs>
          <w:tab w:val="right" w:pos="9360"/>
        </w:tabs>
        <w:rPr>
          <w:lang w:val="fr-CA"/>
        </w:rPr>
      </w:pPr>
    </w:p>
    <w:p w:rsidR="00CD6D44" w:rsidRDefault="00CD6D44" w:rsidP="0095096B">
      <w:pPr>
        <w:tabs>
          <w:tab w:val="right" w:pos="9360"/>
        </w:tabs>
        <w:rPr>
          <w:lang w:val="fr-CA"/>
        </w:rPr>
      </w:pPr>
    </w:p>
    <w:p w:rsidR="00CD6D44" w:rsidRDefault="00CD6D44" w:rsidP="0095096B">
      <w:pPr>
        <w:tabs>
          <w:tab w:val="right" w:pos="9360"/>
        </w:tabs>
        <w:rPr>
          <w:lang w:val="fr-CA"/>
        </w:rPr>
      </w:pPr>
    </w:p>
    <w:p w:rsidR="00CD6D44" w:rsidRDefault="00CD6D44" w:rsidP="0095096B">
      <w:pPr>
        <w:tabs>
          <w:tab w:val="right" w:pos="9360"/>
        </w:tabs>
        <w:rPr>
          <w:lang w:val="fr-CA"/>
        </w:rPr>
      </w:pPr>
    </w:p>
    <w:p w:rsidR="00CD6D44" w:rsidRPr="00404923" w:rsidRDefault="00CD6D44"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6E182C"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8155AB" w:rsidTr="003B3977">
        <w:tc>
          <w:tcPr>
            <w:tcW w:w="4320" w:type="dxa"/>
            <w:shd w:val="clear" w:color="auto" w:fill="auto"/>
          </w:tcPr>
          <w:p w:rsidR="008155AB" w:rsidRPr="006E182C" w:rsidRDefault="008155AB" w:rsidP="008155AB">
            <w:pPr>
              <w:rPr>
                <w:b/>
                <w:sz w:val="20"/>
                <w:szCs w:val="20"/>
                <w:lang w:val="fr-CA"/>
              </w:rPr>
            </w:pPr>
            <w:r w:rsidRPr="006E182C">
              <w:rPr>
                <w:b/>
                <w:sz w:val="20"/>
                <w:szCs w:val="20"/>
                <w:lang w:val="fr-CA"/>
              </w:rPr>
              <w:t>N</w:t>
            </w:r>
            <w:r w:rsidR="00FE62A1" w:rsidRPr="006E182C">
              <w:rPr>
                <w:b/>
                <w:sz w:val="20"/>
                <w:szCs w:val="20"/>
                <w:lang w:val="fr-CA"/>
              </w:rPr>
              <w:t>.</w:t>
            </w:r>
            <w:r w:rsidRPr="006E182C">
              <w:rPr>
                <w:b/>
                <w:sz w:val="20"/>
                <w:szCs w:val="20"/>
                <w:lang w:val="fr-CA"/>
              </w:rPr>
              <w:t>R</w:t>
            </w:r>
            <w:r w:rsidR="00FE62A1" w:rsidRPr="006E182C">
              <w:rPr>
                <w:b/>
                <w:sz w:val="20"/>
                <w:szCs w:val="20"/>
                <w:lang w:val="fr-CA"/>
              </w:rPr>
              <w:t>.</w:t>
            </w:r>
          </w:p>
          <w:p w:rsidR="00C21644" w:rsidRPr="006E182C" w:rsidRDefault="00C21644" w:rsidP="008155AB">
            <w:pPr>
              <w:rPr>
                <w:sz w:val="20"/>
                <w:szCs w:val="20"/>
                <w:lang w:val="fr-CA"/>
              </w:rPr>
            </w:pPr>
            <w:r w:rsidRPr="006E182C">
              <w:rPr>
                <w:sz w:val="20"/>
                <w:szCs w:val="20"/>
                <w:lang w:val="fr-CA"/>
              </w:rPr>
              <w:tab/>
            </w:r>
            <w:r w:rsidR="008155AB" w:rsidRPr="006E182C">
              <w:rPr>
                <w:sz w:val="20"/>
                <w:szCs w:val="20"/>
                <w:lang w:val="fr-CA"/>
              </w:rPr>
              <w:t>N</w:t>
            </w:r>
            <w:r w:rsidR="00A656F1" w:rsidRPr="006E182C">
              <w:rPr>
                <w:sz w:val="20"/>
                <w:szCs w:val="20"/>
                <w:lang w:val="fr-CA"/>
              </w:rPr>
              <w:t>.R.</w:t>
            </w:r>
          </w:p>
          <w:p w:rsidR="00C21644" w:rsidRPr="006E182C" w:rsidRDefault="00C21644" w:rsidP="005F1ED8">
            <w:pPr>
              <w:tabs>
                <w:tab w:val="left" w:pos="-1440"/>
                <w:tab w:val="left" w:pos="-720"/>
              </w:tabs>
              <w:rPr>
                <w:sz w:val="20"/>
                <w:szCs w:val="20"/>
                <w:lang w:val="fr-CA"/>
              </w:rPr>
            </w:pPr>
          </w:p>
          <w:p w:rsidR="00C21644" w:rsidRPr="00FE62A1" w:rsidRDefault="00C21644" w:rsidP="005F1ED8">
            <w:pPr>
              <w:tabs>
                <w:tab w:val="left" w:pos="-1440"/>
                <w:tab w:val="left" w:pos="-720"/>
              </w:tabs>
              <w:rPr>
                <w:sz w:val="20"/>
                <w:szCs w:val="20"/>
                <w:lang w:val="fr-CA"/>
              </w:rPr>
            </w:pPr>
            <w:r w:rsidRPr="006E182C">
              <w:rPr>
                <w:sz w:val="20"/>
                <w:szCs w:val="20"/>
                <w:lang w:val="fr-CA"/>
              </w:rPr>
              <w:tab/>
            </w:r>
            <w:r w:rsidRPr="00FE62A1">
              <w:rPr>
                <w:sz w:val="20"/>
                <w:szCs w:val="20"/>
                <w:lang w:val="fr-CA"/>
              </w:rPr>
              <w:t>v. (35</w:t>
            </w:r>
            <w:r w:rsidR="008155AB" w:rsidRPr="00FE62A1">
              <w:rPr>
                <w:sz w:val="20"/>
                <w:szCs w:val="20"/>
                <w:lang w:val="fr-CA"/>
              </w:rPr>
              <w:t>927</w:t>
            </w:r>
            <w:r w:rsidRPr="00FE62A1">
              <w:rPr>
                <w:sz w:val="20"/>
                <w:szCs w:val="20"/>
                <w:lang w:val="fr-CA"/>
              </w:rPr>
              <w:t>)</w:t>
            </w:r>
          </w:p>
          <w:p w:rsidR="00C21644" w:rsidRPr="00FE62A1" w:rsidRDefault="00C21644" w:rsidP="005F1ED8">
            <w:pPr>
              <w:tabs>
                <w:tab w:val="left" w:pos="-1440"/>
                <w:tab w:val="left" w:pos="-720"/>
              </w:tabs>
              <w:rPr>
                <w:sz w:val="20"/>
                <w:szCs w:val="20"/>
                <w:lang w:val="fr-CA"/>
              </w:rPr>
            </w:pPr>
          </w:p>
          <w:p w:rsidR="00C21644" w:rsidRPr="008155AB" w:rsidRDefault="008155AB" w:rsidP="005F1ED8">
            <w:pPr>
              <w:tabs>
                <w:tab w:val="left" w:pos="-1440"/>
                <w:tab w:val="left" w:pos="-720"/>
              </w:tabs>
              <w:rPr>
                <w:b/>
                <w:sz w:val="20"/>
                <w:szCs w:val="20"/>
                <w:lang w:val="fr-CA"/>
              </w:rPr>
            </w:pPr>
            <w:r>
              <w:rPr>
                <w:b/>
                <w:sz w:val="20"/>
                <w:szCs w:val="20"/>
                <w:lang w:val="fr-CA"/>
              </w:rPr>
              <w:t>S</w:t>
            </w:r>
            <w:r w:rsidR="00C21644" w:rsidRPr="00E95CE4">
              <w:rPr>
                <w:b/>
                <w:sz w:val="20"/>
                <w:szCs w:val="20"/>
                <w:lang w:val="fr-CA"/>
              </w:rPr>
              <w:t>ta</w:t>
            </w:r>
            <w:r>
              <w:rPr>
                <w:b/>
                <w:sz w:val="20"/>
                <w:szCs w:val="20"/>
                <w:lang w:val="fr-CA"/>
              </w:rPr>
              <w:t>nislav (Stan) (Stas) Savra</w:t>
            </w:r>
            <w:r w:rsidR="00C21644" w:rsidRPr="00E95CE4">
              <w:rPr>
                <w:b/>
                <w:sz w:val="20"/>
                <w:szCs w:val="20"/>
                <w:lang w:val="fr-CA"/>
              </w:rPr>
              <w:t>n</w:t>
            </w:r>
            <w:r>
              <w:rPr>
                <w:b/>
                <w:sz w:val="20"/>
                <w:szCs w:val="20"/>
                <w:lang w:val="fr-CA"/>
              </w:rPr>
              <w:t>skiy</w:t>
            </w:r>
            <w:r w:rsidR="00C21644" w:rsidRPr="00E95CE4">
              <w:rPr>
                <w:sz w:val="20"/>
                <w:szCs w:val="20"/>
                <w:lang w:val="fr-CA"/>
              </w:rPr>
              <w:t xml:space="preserve"> </w:t>
            </w:r>
            <w:r w:rsidR="00C21644" w:rsidRPr="008155AB">
              <w:rPr>
                <w:b/>
                <w:sz w:val="20"/>
                <w:szCs w:val="20"/>
                <w:lang w:val="fr-CA"/>
              </w:rPr>
              <w:t>(Ont.)</w:t>
            </w:r>
          </w:p>
          <w:p w:rsidR="00C21644" w:rsidRPr="008155AB" w:rsidRDefault="00C21644" w:rsidP="005F1ED8">
            <w:pPr>
              <w:tabs>
                <w:tab w:val="left" w:pos="-1440"/>
                <w:tab w:val="left" w:pos="-720"/>
              </w:tabs>
              <w:rPr>
                <w:sz w:val="20"/>
                <w:szCs w:val="20"/>
                <w:lang w:val="fr-CA"/>
              </w:rPr>
            </w:pPr>
            <w:r w:rsidRPr="008155AB">
              <w:rPr>
                <w:sz w:val="20"/>
                <w:szCs w:val="20"/>
                <w:lang w:val="fr-CA"/>
              </w:rPr>
              <w:tab/>
            </w:r>
            <w:r w:rsidR="008155AB" w:rsidRPr="008155AB">
              <w:rPr>
                <w:sz w:val="20"/>
                <w:szCs w:val="20"/>
                <w:lang w:val="fr-CA"/>
              </w:rPr>
              <w:t>Peter T</w:t>
            </w:r>
            <w:r w:rsidRPr="008155AB">
              <w:rPr>
                <w:sz w:val="20"/>
                <w:szCs w:val="20"/>
                <w:lang w:val="fr-CA"/>
              </w:rPr>
              <w:t>.J. D</w:t>
            </w:r>
            <w:r w:rsidR="008155AB" w:rsidRPr="008155AB">
              <w:rPr>
                <w:sz w:val="20"/>
                <w:szCs w:val="20"/>
                <w:lang w:val="fr-CA"/>
              </w:rPr>
              <w:t>anson</w:t>
            </w:r>
          </w:p>
          <w:p w:rsidR="00C21644" w:rsidRPr="008155AB" w:rsidRDefault="00C21644" w:rsidP="005F1ED8">
            <w:pPr>
              <w:tabs>
                <w:tab w:val="left" w:pos="-1440"/>
                <w:tab w:val="left" w:pos="-720"/>
              </w:tabs>
              <w:rPr>
                <w:sz w:val="20"/>
                <w:szCs w:val="20"/>
                <w:lang w:val="fr-CA"/>
              </w:rPr>
            </w:pPr>
            <w:r w:rsidRPr="008155AB">
              <w:rPr>
                <w:sz w:val="20"/>
                <w:szCs w:val="20"/>
                <w:lang w:val="fr-CA"/>
              </w:rPr>
              <w:tab/>
            </w:r>
            <w:r w:rsidR="008155AB" w:rsidRPr="008155AB">
              <w:rPr>
                <w:sz w:val="20"/>
                <w:szCs w:val="20"/>
                <w:lang w:val="fr-CA"/>
              </w:rPr>
              <w:t xml:space="preserve">Danson Recht </w:t>
            </w:r>
            <w:r w:rsidRPr="008155AB">
              <w:rPr>
                <w:sz w:val="20"/>
                <w:szCs w:val="20"/>
                <w:lang w:val="fr-CA"/>
              </w:rPr>
              <w:t>LLP</w:t>
            </w:r>
          </w:p>
          <w:p w:rsidR="00C21644" w:rsidRPr="008155AB" w:rsidRDefault="00C21644" w:rsidP="005F1ED8">
            <w:pPr>
              <w:tabs>
                <w:tab w:val="left" w:pos="-1440"/>
                <w:tab w:val="left" w:pos="-720"/>
              </w:tabs>
              <w:rPr>
                <w:sz w:val="20"/>
                <w:szCs w:val="20"/>
                <w:lang w:val="fr-CA"/>
              </w:rPr>
            </w:pPr>
          </w:p>
          <w:p w:rsidR="00C21644" w:rsidRPr="00A935AA" w:rsidRDefault="00C21644" w:rsidP="005F1ED8">
            <w:pPr>
              <w:rPr>
                <w:sz w:val="20"/>
                <w:szCs w:val="20"/>
              </w:rPr>
            </w:pPr>
            <w:r w:rsidRPr="00A935AA">
              <w:rPr>
                <w:sz w:val="20"/>
                <w:szCs w:val="20"/>
              </w:rPr>
              <w:t xml:space="preserve">FILING DATE: </w:t>
            </w:r>
            <w:r w:rsidR="008155AB">
              <w:rPr>
                <w:sz w:val="20"/>
                <w:szCs w:val="20"/>
              </w:rPr>
              <w:t>15</w:t>
            </w:r>
            <w:r w:rsidRPr="00A935AA">
              <w:rPr>
                <w:sz w:val="20"/>
                <w:szCs w:val="20"/>
              </w:rPr>
              <w:t>.</w:t>
            </w:r>
            <w:r w:rsidR="008155AB">
              <w:rPr>
                <w:sz w:val="20"/>
                <w:szCs w:val="20"/>
              </w:rPr>
              <w:t>04</w:t>
            </w:r>
            <w:r w:rsidRPr="00A935AA">
              <w:rPr>
                <w:sz w:val="20"/>
                <w:szCs w:val="20"/>
              </w:rPr>
              <w:t>.201</w:t>
            </w:r>
            <w:r w:rsidR="008155AB">
              <w:rPr>
                <w:sz w:val="20"/>
                <w:szCs w:val="20"/>
              </w:rPr>
              <w:t>4</w:t>
            </w:r>
          </w:p>
          <w:p w:rsidR="00C21644" w:rsidRPr="00A935AA" w:rsidRDefault="006E182C"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155AB" w:rsidRDefault="008155AB" w:rsidP="005F1ED8">
            <w:pPr>
              <w:keepNext/>
              <w:keepLines/>
              <w:tabs>
                <w:tab w:val="left" w:pos="-1440"/>
                <w:tab w:val="left" w:pos="-720"/>
              </w:tabs>
              <w:rPr>
                <w:b/>
                <w:sz w:val="20"/>
                <w:szCs w:val="20"/>
              </w:rPr>
            </w:pPr>
            <w:r w:rsidRPr="008155AB">
              <w:rPr>
                <w:b/>
                <w:sz w:val="20"/>
                <w:szCs w:val="20"/>
              </w:rPr>
              <w:t>Cor</w:t>
            </w:r>
            <w:r w:rsidR="00C21644" w:rsidRPr="008155AB">
              <w:rPr>
                <w:b/>
                <w:sz w:val="20"/>
                <w:szCs w:val="20"/>
              </w:rPr>
              <w:t xml:space="preserve">y </w:t>
            </w:r>
            <w:r w:rsidRPr="008155AB">
              <w:rPr>
                <w:b/>
                <w:sz w:val="20"/>
                <w:szCs w:val="20"/>
              </w:rPr>
              <w:t>Fa</w:t>
            </w:r>
            <w:r w:rsidR="00C21644" w:rsidRPr="008155AB">
              <w:rPr>
                <w:b/>
                <w:sz w:val="20"/>
                <w:szCs w:val="20"/>
              </w:rPr>
              <w:t>r</w:t>
            </w:r>
            <w:r w:rsidRPr="008155AB">
              <w:rPr>
                <w:b/>
                <w:sz w:val="20"/>
                <w:szCs w:val="20"/>
              </w:rPr>
              <w:t>r</w:t>
            </w:r>
            <w:r w:rsidR="00C21644" w:rsidRPr="008155AB">
              <w:rPr>
                <w:b/>
                <w:sz w:val="20"/>
                <w:szCs w:val="20"/>
              </w:rPr>
              <w:t>e</w:t>
            </w:r>
            <w:r w:rsidRPr="008155AB">
              <w:rPr>
                <w:b/>
                <w:sz w:val="20"/>
                <w:szCs w:val="20"/>
              </w:rPr>
              <w:t>ll</w:t>
            </w:r>
          </w:p>
          <w:p w:rsidR="00C21644" w:rsidRPr="008155AB" w:rsidRDefault="00C21644" w:rsidP="005F1ED8">
            <w:pPr>
              <w:keepNext/>
              <w:keepLines/>
              <w:tabs>
                <w:tab w:val="left" w:pos="-1440"/>
                <w:tab w:val="left" w:pos="-720"/>
              </w:tabs>
              <w:rPr>
                <w:sz w:val="20"/>
                <w:szCs w:val="20"/>
              </w:rPr>
            </w:pPr>
            <w:r w:rsidRPr="008155AB">
              <w:rPr>
                <w:sz w:val="20"/>
                <w:szCs w:val="20"/>
              </w:rPr>
              <w:tab/>
            </w:r>
            <w:r w:rsidR="008155AB" w:rsidRPr="008155AB">
              <w:rPr>
                <w:sz w:val="20"/>
                <w:szCs w:val="20"/>
              </w:rPr>
              <w:t>Cory Fa</w:t>
            </w:r>
            <w:r w:rsidRPr="008155AB">
              <w:rPr>
                <w:sz w:val="20"/>
                <w:szCs w:val="20"/>
              </w:rPr>
              <w:t>rre</w:t>
            </w:r>
            <w:r w:rsidR="008155AB" w:rsidRPr="008155AB">
              <w:rPr>
                <w:sz w:val="20"/>
                <w:szCs w:val="20"/>
              </w:rPr>
              <w:t>ll</w:t>
            </w:r>
          </w:p>
          <w:p w:rsidR="00C21644" w:rsidRPr="008155AB" w:rsidRDefault="00C21644" w:rsidP="005F1ED8">
            <w:pPr>
              <w:keepNext/>
              <w:keepLines/>
              <w:tabs>
                <w:tab w:val="left" w:pos="-1440"/>
                <w:tab w:val="left" w:pos="-720"/>
              </w:tabs>
              <w:rPr>
                <w:sz w:val="20"/>
                <w:szCs w:val="20"/>
              </w:rPr>
            </w:pPr>
          </w:p>
          <w:p w:rsidR="00C21644" w:rsidRPr="008155AB" w:rsidRDefault="00C21644" w:rsidP="005F1ED8">
            <w:pPr>
              <w:keepNext/>
              <w:keepLines/>
              <w:tabs>
                <w:tab w:val="left" w:pos="-1440"/>
                <w:tab w:val="left" w:pos="-720"/>
              </w:tabs>
              <w:rPr>
                <w:sz w:val="20"/>
                <w:szCs w:val="20"/>
              </w:rPr>
            </w:pPr>
            <w:r w:rsidRPr="008155AB">
              <w:rPr>
                <w:sz w:val="20"/>
                <w:szCs w:val="20"/>
              </w:rPr>
              <w:tab/>
            </w:r>
            <w:r w:rsidR="008155AB" w:rsidRPr="008155AB">
              <w:rPr>
                <w:sz w:val="20"/>
                <w:szCs w:val="20"/>
              </w:rPr>
              <w:t>v</w:t>
            </w:r>
            <w:r w:rsidRPr="008155AB">
              <w:rPr>
                <w:sz w:val="20"/>
                <w:szCs w:val="20"/>
              </w:rPr>
              <w:t>. (35</w:t>
            </w:r>
            <w:r w:rsidR="008155AB">
              <w:rPr>
                <w:sz w:val="20"/>
                <w:szCs w:val="20"/>
              </w:rPr>
              <w:t>912</w:t>
            </w:r>
            <w:r w:rsidRPr="008155AB">
              <w:rPr>
                <w:sz w:val="20"/>
                <w:szCs w:val="20"/>
              </w:rPr>
              <w:t>)</w:t>
            </w:r>
          </w:p>
          <w:p w:rsidR="00C21644" w:rsidRPr="008155AB" w:rsidRDefault="00C21644" w:rsidP="005F1ED8">
            <w:pPr>
              <w:keepNext/>
              <w:keepLines/>
              <w:tabs>
                <w:tab w:val="left" w:pos="-1440"/>
                <w:tab w:val="left" w:pos="-720"/>
              </w:tabs>
              <w:rPr>
                <w:sz w:val="20"/>
                <w:szCs w:val="20"/>
              </w:rPr>
            </w:pPr>
          </w:p>
          <w:p w:rsidR="00C21644" w:rsidRPr="008155AB" w:rsidRDefault="008155AB" w:rsidP="005F1ED8">
            <w:pPr>
              <w:keepNext/>
              <w:keepLines/>
              <w:tabs>
                <w:tab w:val="left" w:pos="-1440"/>
                <w:tab w:val="left" w:pos="-720"/>
              </w:tabs>
              <w:rPr>
                <w:b/>
                <w:sz w:val="20"/>
                <w:szCs w:val="20"/>
              </w:rPr>
            </w:pPr>
            <w:r w:rsidRPr="008155AB">
              <w:rPr>
                <w:b/>
                <w:sz w:val="20"/>
                <w:szCs w:val="20"/>
              </w:rPr>
              <w:t>Her</w:t>
            </w:r>
            <w:r w:rsidR="00C21644" w:rsidRPr="008155AB">
              <w:rPr>
                <w:b/>
                <w:sz w:val="20"/>
                <w:szCs w:val="20"/>
              </w:rPr>
              <w:t xml:space="preserve"> Majest</w:t>
            </w:r>
            <w:r w:rsidRPr="008155AB">
              <w:rPr>
                <w:b/>
                <w:sz w:val="20"/>
                <w:szCs w:val="20"/>
              </w:rPr>
              <w:t>y the Qu</w:t>
            </w:r>
            <w:r w:rsidR="00C21644" w:rsidRPr="008155AB">
              <w:rPr>
                <w:b/>
                <w:sz w:val="20"/>
                <w:szCs w:val="20"/>
              </w:rPr>
              <w:t>ee</w:t>
            </w:r>
            <w:r w:rsidRPr="008155AB">
              <w:rPr>
                <w:b/>
                <w:sz w:val="20"/>
                <w:szCs w:val="20"/>
              </w:rPr>
              <w:t>n</w:t>
            </w:r>
            <w:r w:rsidR="00C21644" w:rsidRPr="008155AB">
              <w:rPr>
                <w:b/>
                <w:sz w:val="20"/>
                <w:szCs w:val="20"/>
              </w:rPr>
              <w:t xml:space="preserve"> (</w:t>
            </w:r>
            <w:r w:rsidRPr="008155AB">
              <w:rPr>
                <w:b/>
                <w:sz w:val="20"/>
                <w:szCs w:val="20"/>
              </w:rPr>
              <w:t>Ont.</w:t>
            </w:r>
            <w:r w:rsidR="00C21644" w:rsidRPr="008155AB">
              <w:rPr>
                <w:b/>
                <w:sz w:val="20"/>
                <w:szCs w:val="20"/>
              </w:rPr>
              <w:t>)</w:t>
            </w:r>
          </w:p>
          <w:p w:rsidR="00C21644" w:rsidRPr="00657D1D" w:rsidRDefault="00C21644" w:rsidP="005F1ED8">
            <w:pPr>
              <w:keepNext/>
              <w:keepLines/>
              <w:tabs>
                <w:tab w:val="left" w:pos="-1440"/>
                <w:tab w:val="left" w:pos="-720"/>
              </w:tabs>
              <w:rPr>
                <w:sz w:val="20"/>
                <w:szCs w:val="20"/>
              </w:rPr>
            </w:pPr>
            <w:r w:rsidRPr="008155AB">
              <w:rPr>
                <w:sz w:val="20"/>
                <w:szCs w:val="20"/>
              </w:rPr>
              <w:tab/>
            </w:r>
            <w:r w:rsidRPr="00657D1D">
              <w:rPr>
                <w:sz w:val="20"/>
                <w:szCs w:val="20"/>
              </w:rPr>
              <w:t>M</w:t>
            </w:r>
            <w:r w:rsidR="008155AB" w:rsidRPr="00657D1D">
              <w:rPr>
                <w:sz w:val="20"/>
                <w:szCs w:val="20"/>
              </w:rPr>
              <w:t>oiz Rahma</w:t>
            </w:r>
            <w:r w:rsidRPr="00657D1D">
              <w:rPr>
                <w:sz w:val="20"/>
                <w:szCs w:val="20"/>
              </w:rPr>
              <w:t>n</w:t>
            </w:r>
          </w:p>
          <w:p w:rsidR="00C21644" w:rsidRPr="008155AB" w:rsidRDefault="00C21644" w:rsidP="005F1ED8">
            <w:pPr>
              <w:keepNext/>
              <w:keepLines/>
              <w:tabs>
                <w:tab w:val="left" w:pos="-1440"/>
                <w:tab w:val="left" w:pos="-720"/>
              </w:tabs>
              <w:rPr>
                <w:sz w:val="20"/>
                <w:szCs w:val="20"/>
              </w:rPr>
            </w:pPr>
            <w:r w:rsidRPr="00657D1D">
              <w:rPr>
                <w:sz w:val="20"/>
                <w:szCs w:val="20"/>
              </w:rPr>
              <w:tab/>
            </w:r>
            <w:r w:rsidR="008155AB" w:rsidRPr="008155AB">
              <w:rPr>
                <w:sz w:val="20"/>
                <w:szCs w:val="20"/>
              </w:rPr>
              <w:t>A.G. of Ca</w:t>
            </w:r>
            <w:r w:rsidRPr="008155AB">
              <w:rPr>
                <w:sz w:val="20"/>
                <w:szCs w:val="20"/>
              </w:rPr>
              <w:t>n</w:t>
            </w:r>
            <w:r w:rsidR="008155AB" w:rsidRPr="008155AB">
              <w:rPr>
                <w:sz w:val="20"/>
                <w:szCs w:val="20"/>
              </w:rPr>
              <w:t>a</w:t>
            </w:r>
            <w:r w:rsidRPr="008155AB">
              <w:rPr>
                <w:sz w:val="20"/>
                <w:szCs w:val="20"/>
              </w:rPr>
              <w:t>d</w:t>
            </w:r>
            <w:r w:rsidR="008155AB" w:rsidRPr="008155AB">
              <w:rPr>
                <w:sz w:val="20"/>
                <w:szCs w:val="20"/>
              </w:rPr>
              <w:t>a</w:t>
            </w:r>
            <w:r w:rsidRPr="008155AB">
              <w:rPr>
                <w:sz w:val="20"/>
                <w:szCs w:val="20"/>
              </w:rPr>
              <w:t xml:space="preserve"> </w:t>
            </w:r>
          </w:p>
          <w:p w:rsidR="008155AB" w:rsidRPr="008155AB" w:rsidRDefault="008155AB" w:rsidP="005F1ED8">
            <w:pPr>
              <w:keepNext/>
              <w:keepLines/>
              <w:tabs>
                <w:tab w:val="left" w:pos="-1440"/>
                <w:tab w:val="left" w:pos="-720"/>
              </w:tabs>
              <w:rPr>
                <w:sz w:val="20"/>
                <w:szCs w:val="20"/>
              </w:rPr>
            </w:pPr>
          </w:p>
          <w:p w:rsidR="00C21644" w:rsidRPr="008155AB" w:rsidRDefault="008155AB" w:rsidP="008155AB">
            <w:pPr>
              <w:rPr>
                <w:sz w:val="20"/>
                <w:szCs w:val="20"/>
              </w:rPr>
            </w:pPr>
            <w:r w:rsidRPr="00A935AA">
              <w:rPr>
                <w:sz w:val="20"/>
                <w:szCs w:val="20"/>
              </w:rPr>
              <w:t>FILING DATE</w:t>
            </w:r>
            <w:r w:rsidR="00C21644" w:rsidRPr="008155AB">
              <w:rPr>
                <w:sz w:val="20"/>
                <w:szCs w:val="20"/>
              </w:rPr>
              <w:t>: 0</w:t>
            </w:r>
            <w:r w:rsidRPr="008155AB">
              <w:rPr>
                <w:sz w:val="20"/>
                <w:szCs w:val="20"/>
              </w:rPr>
              <w:t>6</w:t>
            </w:r>
            <w:r w:rsidR="00C21644" w:rsidRPr="008155AB">
              <w:rPr>
                <w:sz w:val="20"/>
                <w:szCs w:val="20"/>
              </w:rPr>
              <w:t>.0</w:t>
            </w:r>
            <w:r w:rsidRPr="008155AB">
              <w:rPr>
                <w:sz w:val="20"/>
                <w:szCs w:val="20"/>
              </w:rPr>
              <w:t>5</w:t>
            </w:r>
            <w:r w:rsidR="00C21644" w:rsidRPr="008155AB">
              <w:rPr>
                <w:sz w:val="20"/>
                <w:szCs w:val="20"/>
              </w:rPr>
              <w:t>.2014</w:t>
            </w:r>
            <w:r w:rsidR="006E182C">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8155AB" w:rsidRDefault="008155AB" w:rsidP="008155AB">
            <w:pPr>
              <w:jc w:val="both"/>
              <w:rPr>
                <w:b/>
                <w:sz w:val="20"/>
                <w:szCs w:val="20"/>
              </w:rPr>
            </w:pPr>
            <w:r w:rsidRPr="008155AB">
              <w:rPr>
                <w:b/>
                <w:sz w:val="20"/>
                <w:szCs w:val="20"/>
              </w:rPr>
              <w:t>Joseph Stephen Rooke</w:t>
            </w:r>
          </w:p>
          <w:p w:rsidR="00C21644" w:rsidRPr="008155AB" w:rsidRDefault="00C21644" w:rsidP="003B3977">
            <w:pPr>
              <w:tabs>
                <w:tab w:val="left" w:pos="-1440"/>
                <w:tab w:val="left" w:pos="-720"/>
              </w:tabs>
              <w:rPr>
                <w:sz w:val="20"/>
                <w:szCs w:val="20"/>
              </w:rPr>
            </w:pPr>
            <w:r w:rsidRPr="008155AB">
              <w:rPr>
                <w:sz w:val="20"/>
                <w:szCs w:val="20"/>
              </w:rPr>
              <w:tab/>
            </w:r>
            <w:r w:rsidR="008155AB" w:rsidRPr="008155AB">
              <w:rPr>
                <w:sz w:val="20"/>
                <w:szCs w:val="20"/>
              </w:rPr>
              <w:t>Joseph Stephen Rooke</w:t>
            </w:r>
          </w:p>
          <w:p w:rsidR="00C21644" w:rsidRPr="008155AB" w:rsidRDefault="00C21644" w:rsidP="003B3977">
            <w:pPr>
              <w:tabs>
                <w:tab w:val="left" w:pos="-1440"/>
                <w:tab w:val="left" w:pos="-720"/>
              </w:tabs>
              <w:rPr>
                <w:sz w:val="20"/>
                <w:szCs w:val="20"/>
              </w:rPr>
            </w:pPr>
          </w:p>
          <w:p w:rsidR="00C21644" w:rsidRPr="008155AB" w:rsidRDefault="00C21644" w:rsidP="003B3977">
            <w:pPr>
              <w:tabs>
                <w:tab w:val="left" w:pos="-1440"/>
                <w:tab w:val="left" w:pos="-720"/>
              </w:tabs>
              <w:rPr>
                <w:sz w:val="20"/>
                <w:szCs w:val="20"/>
              </w:rPr>
            </w:pPr>
            <w:r w:rsidRPr="008155AB">
              <w:rPr>
                <w:sz w:val="20"/>
                <w:szCs w:val="20"/>
              </w:rPr>
              <w:tab/>
              <w:t>v. (35</w:t>
            </w:r>
            <w:r w:rsidR="008155AB" w:rsidRPr="008155AB">
              <w:rPr>
                <w:sz w:val="20"/>
                <w:szCs w:val="20"/>
              </w:rPr>
              <w:t>922</w:t>
            </w:r>
            <w:r w:rsidRPr="008155AB">
              <w:rPr>
                <w:sz w:val="20"/>
                <w:szCs w:val="20"/>
              </w:rPr>
              <w:t>)</w:t>
            </w:r>
          </w:p>
          <w:p w:rsidR="00C21644" w:rsidRPr="008155AB" w:rsidRDefault="00C21644" w:rsidP="003B3977">
            <w:pPr>
              <w:tabs>
                <w:tab w:val="left" w:pos="-1440"/>
                <w:tab w:val="left" w:pos="-720"/>
              </w:tabs>
              <w:rPr>
                <w:sz w:val="20"/>
                <w:szCs w:val="20"/>
              </w:rPr>
            </w:pPr>
          </w:p>
          <w:p w:rsidR="00C21644" w:rsidRPr="008155AB" w:rsidRDefault="008155AB" w:rsidP="003B3977">
            <w:pPr>
              <w:tabs>
                <w:tab w:val="left" w:pos="-1440"/>
                <w:tab w:val="left" w:pos="-720"/>
              </w:tabs>
              <w:rPr>
                <w:b/>
                <w:sz w:val="20"/>
                <w:szCs w:val="20"/>
              </w:rPr>
            </w:pPr>
            <w:r w:rsidRPr="008155AB">
              <w:rPr>
                <w:b/>
                <w:sz w:val="20"/>
                <w:szCs w:val="20"/>
              </w:rPr>
              <w:t xml:space="preserve">University of Waterloo </w:t>
            </w:r>
            <w:r w:rsidR="00C21644" w:rsidRPr="008155AB">
              <w:rPr>
                <w:b/>
                <w:sz w:val="20"/>
                <w:szCs w:val="20"/>
              </w:rPr>
              <w:t>(Ont.)</w:t>
            </w:r>
          </w:p>
          <w:p w:rsidR="00C21644" w:rsidRPr="008155AB" w:rsidRDefault="00C21644" w:rsidP="003B3977">
            <w:pPr>
              <w:tabs>
                <w:tab w:val="left" w:pos="-1440"/>
                <w:tab w:val="left" w:pos="-720"/>
              </w:tabs>
              <w:rPr>
                <w:sz w:val="20"/>
                <w:szCs w:val="20"/>
              </w:rPr>
            </w:pPr>
            <w:r w:rsidRPr="008155AB">
              <w:rPr>
                <w:sz w:val="20"/>
                <w:szCs w:val="20"/>
              </w:rPr>
              <w:tab/>
            </w:r>
            <w:r w:rsidR="008155AB">
              <w:rPr>
                <w:sz w:val="20"/>
                <w:szCs w:val="20"/>
              </w:rPr>
              <w:t>Ian R. Dick</w:t>
            </w:r>
          </w:p>
          <w:p w:rsidR="00C21644" w:rsidRPr="008155AB" w:rsidRDefault="00C21644" w:rsidP="003B3977">
            <w:pPr>
              <w:tabs>
                <w:tab w:val="left" w:pos="-1440"/>
                <w:tab w:val="left" w:pos="-720"/>
              </w:tabs>
              <w:rPr>
                <w:sz w:val="20"/>
                <w:szCs w:val="20"/>
              </w:rPr>
            </w:pPr>
            <w:r w:rsidRPr="008155AB">
              <w:rPr>
                <w:sz w:val="20"/>
                <w:szCs w:val="20"/>
              </w:rPr>
              <w:tab/>
            </w:r>
            <w:r w:rsidR="008155AB">
              <w:rPr>
                <w:sz w:val="20"/>
                <w:szCs w:val="20"/>
              </w:rPr>
              <w:t>Hicks Morley LLP</w:t>
            </w:r>
          </w:p>
          <w:p w:rsidR="00C21644" w:rsidRPr="008155AB" w:rsidRDefault="00C21644" w:rsidP="003B3977">
            <w:pPr>
              <w:tabs>
                <w:tab w:val="left" w:pos="-1440"/>
                <w:tab w:val="left" w:pos="-720"/>
              </w:tabs>
              <w:rPr>
                <w:sz w:val="20"/>
                <w:szCs w:val="20"/>
              </w:rPr>
            </w:pPr>
          </w:p>
          <w:p w:rsidR="00C21644" w:rsidRPr="008155AB" w:rsidRDefault="00C21644" w:rsidP="00763CD9">
            <w:pPr>
              <w:rPr>
                <w:sz w:val="20"/>
                <w:szCs w:val="20"/>
                <w:lang w:val="fr-CA"/>
              </w:rPr>
            </w:pPr>
            <w:r w:rsidRPr="008155AB">
              <w:rPr>
                <w:sz w:val="20"/>
                <w:szCs w:val="20"/>
                <w:lang w:val="fr-CA"/>
              </w:rPr>
              <w:t xml:space="preserve">FILING DATE: </w:t>
            </w:r>
            <w:r w:rsidR="008155AB">
              <w:rPr>
                <w:sz w:val="20"/>
                <w:szCs w:val="20"/>
                <w:lang w:val="fr-CA"/>
              </w:rPr>
              <w:t>0</w:t>
            </w:r>
            <w:r w:rsidRPr="008155AB">
              <w:rPr>
                <w:sz w:val="20"/>
                <w:szCs w:val="20"/>
                <w:lang w:val="fr-CA"/>
              </w:rPr>
              <w:t>8.0</w:t>
            </w:r>
            <w:r w:rsidR="008155AB">
              <w:rPr>
                <w:sz w:val="20"/>
                <w:szCs w:val="20"/>
                <w:lang w:val="fr-CA"/>
              </w:rPr>
              <w:t>5</w:t>
            </w:r>
            <w:r w:rsidRPr="008155AB">
              <w:rPr>
                <w:sz w:val="20"/>
                <w:szCs w:val="20"/>
                <w:lang w:val="fr-CA"/>
              </w:rPr>
              <w:t>.2014</w:t>
            </w:r>
            <w:r w:rsidR="006E182C">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p w:rsidR="00C21644" w:rsidRPr="008155AB" w:rsidRDefault="00C21644" w:rsidP="00242AEE">
            <w:pPr>
              <w:jc w:val="center"/>
              <w:rPr>
                <w:sz w:val="20"/>
                <w:szCs w:val="20"/>
                <w:lang w:val="fr-CA"/>
              </w:rPr>
            </w:pPr>
          </w:p>
        </w:tc>
        <w:tc>
          <w:tcPr>
            <w:tcW w:w="4320" w:type="dxa"/>
            <w:shd w:val="clear" w:color="auto" w:fill="auto"/>
          </w:tcPr>
          <w:p w:rsidR="00C21644" w:rsidRPr="00A935AA" w:rsidRDefault="008155AB" w:rsidP="003B3977">
            <w:pPr>
              <w:keepNext/>
              <w:keepLines/>
              <w:tabs>
                <w:tab w:val="left" w:pos="-1440"/>
                <w:tab w:val="left" w:pos="-720"/>
              </w:tabs>
              <w:rPr>
                <w:b/>
                <w:sz w:val="20"/>
                <w:szCs w:val="20"/>
                <w:lang w:val="fr-CA"/>
              </w:rPr>
            </w:pPr>
            <w:r>
              <w:rPr>
                <w:b/>
                <w:sz w:val="20"/>
                <w:szCs w:val="20"/>
                <w:lang w:val="fr-CA"/>
              </w:rPr>
              <w:t>Procureur général du Canada et autre</w:t>
            </w:r>
          </w:p>
          <w:p w:rsidR="00C21644" w:rsidRPr="00A935AA" w:rsidRDefault="00C21644" w:rsidP="003B3977">
            <w:pPr>
              <w:keepNext/>
              <w:keepLines/>
              <w:tabs>
                <w:tab w:val="left" w:pos="-1440"/>
                <w:tab w:val="left" w:pos="-720"/>
              </w:tabs>
              <w:rPr>
                <w:sz w:val="20"/>
                <w:szCs w:val="20"/>
                <w:lang w:val="fr-CA"/>
              </w:rPr>
            </w:pPr>
            <w:r w:rsidRPr="00A935AA">
              <w:rPr>
                <w:sz w:val="20"/>
                <w:szCs w:val="20"/>
                <w:lang w:val="fr-CA"/>
              </w:rPr>
              <w:tab/>
            </w:r>
            <w:r w:rsidR="008155AB">
              <w:rPr>
                <w:sz w:val="20"/>
                <w:szCs w:val="20"/>
                <w:lang w:val="fr-CA"/>
              </w:rPr>
              <w:t>Chantal Comtois</w:t>
            </w:r>
          </w:p>
          <w:p w:rsidR="00C21644" w:rsidRPr="008155AB" w:rsidRDefault="00C21644" w:rsidP="003B3977">
            <w:pPr>
              <w:keepNext/>
              <w:keepLines/>
              <w:tabs>
                <w:tab w:val="left" w:pos="-1440"/>
                <w:tab w:val="left" w:pos="-720"/>
              </w:tabs>
              <w:rPr>
                <w:sz w:val="20"/>
                <w:szCs w:val="20"/>
                <w:lang w:val="fr-CA"/>
              </w:rPr>
            </w:pPr>
            <w:r w:rsidRPr="00A935AA">
              <w:rPr>
                <w:sz w:val="20"/>
                <w:szCs w:val="20"/>
                <w:lang w:val="fr-CA"/>
              </w:rPr>
              <w:tab/>
            </w:r>
            <w:r w:rsidR="008155AB">
              <w:rPr>
                <w:sz w:val="20"/>
                <w:szCs w:val="20"/>
                <w:lang w:val="fr-CA"/>
              </w:rPr>
              <w:t>P.G. du Canada</w:t>
            </w:r>
          </w:p>
          <w:p w:rsidR="00C21644" w:rsidRPr="008155AB" w:rsidRDefault="00C21644" w:rsidP="003B3977">
            <w:pPr>
              <w:keepNext/>
              <w:keepLines/>
              <w:tabs>
                <w:tab w:val="left" w:pos="-1440"/>
                <w:tab w:val="left" w:pos="-720"/>
              </w:tabs>
              <w:rPr>
                <w:sz w:val="20"/>
                <w:szCs w:val="20"/>
                <w:lang w:val="fr-CA"/>
              </w:rPr>
            </w:pPr>
          </w:p>
          <w:p w:rsidR="00C21644" w:rsidRPr="008155AB" w:rsidRDefault="00C21644" w:rsidP="003B3977">
            <w:pPr>
              <w:keepNext/>
              <w:keepLines/>
              <w:tabs>
                <w:tab w:val="left" w:pos="-1440"/>
                <w:tab w:val="left" w:pos="-720"/>
              </w:tabs>
              <w:rPr>
                <w:sz w:val="20"/>
                <w:szCs w:val="20"/>
                <w:lang w:val="fr-CA"/>
              </w:rPr>
            </w:pPr>
            <w:r w:rsidRPr="008155AB">
              <w:rPr>
                <w:sz w:val="20"/>
                <w:szCs w:val="20"/>
                <w:lang w:val="fr-CA"/>
              </w:rPr>
              <w:tab/>
            </w:r>
            <w:r w:rsidR="008155AB">
              <w:rPr>
                <w:sz w:val="20"/>
                <w:szCs w:val="20"/>
                <w:lang w:val="fr-CA"/>
              </w:rPr>
              <w:t>c</w:t>
            </w:r>
            <w:r w:rsidRPr="008155AB">
              <w:rPr>
                <w:sz w:val="20"/>
                <w:szCs w:val="20"/>
                <w:lang w:val="fr-CA"/>
              </w:rPr>
              <w:t>. (35</w:t>
            </w:r>
            <w:r w:rsidR="008155AB">
              <w:rPr>
                <w:sz w:val="20"/>
                <w:szCs w:val="20"/>
                <w:lang w:val="fr-CA"/>
              </w:rPr>
              <w:t>892</w:t>
            </w:r>
            <w:r w:rsidRPr="008155AB">
              <w:rPr>
                <w:sz w:val="20"/>
                <w:szCs w:val="20"/>
                <w:lang w:val="fr-CA"/>
              </w:rPr>
              <w:t>)</w:t>
            </w:r>
          </w:p>
          <w:p w:rsidR="00C21644" w:rsidRPr="008155AB" w:rsidRDefault="00C21644" w:rsidP="003B3977">
            <w:pPr>
              <w:keepNext/>
              <w:keepLines/>
              <w:tabs>
                <w:tab w:val="left" w:pos="-1440"/>
                <w:tab w:val="left" w:pos="-720"/>
              </w:tabs>
              <w:rPr>
                <w:sz w:val="20"/>
                <w:szCs w:val="20"/>
                <w:lang w:val="fr-CA"/>
              </w:rPr>
            </w:pPr>
          </w:p>
          <w:p w:rsidR="00C21644" w:rsidRPr="008155AB" w:rsidRDefault="008155AB" w:rsidP="003B3977">
            <w:pPr>
              <w:keepNext/>
              <w:keepLines/>
              <w:tabs>
                <w:tab w:val="left" w:pos="-1440"/>
                <w:tab w:val="left" w:pos="-720"/>
              </w:tabs>
              <w:rPr>
                <w:b/>
                <w:sz w:val="20"/>
                <w:szCs w:val="20"/>
                <w:lang w:val="fr-CA"/>
              </w:rPr>
            </w:pPr>
            <w:r>
              <w:rPr>
                <w:b/>
                <w:sz w:val="20"/>
                <w:szCs w:val="20"/>
                <w:lang w:val="fr-CA"/>
              </w:rPr>
              <w:t xml:space="preserve">Chambre des notaires du Québec et autre </w:t>
            </w:r>
            <w:r w:rsidR="00C21644" w:rsidRPr="008155AB">
              <w:rPr>
                <w:b/>
                <w:sz w:val="20"/>
                <w:szCs w:val="20"/>
                <w:lang w:val="fr-CA"/>
              </w:rPr>
              <w:t>(</w:t>
            </w:r>
            <w:r>
              <w:rPr>
                <w:b/>
                <w:sz w:val="20"/>
                <w:szCs w:val="20"/>
                <w:lang w:val="fr-CA"/>
              </w:rPr>
              <w:t>Qc</w:t>
            </w:r>
            <w:r w:rsidR="00C21644" w:rsidRPr="008155AB">
              <w:rPr>
                <w:b/>
                <w:sz w:val="20"/>
                <w:szCs w:val="20"/>
                <w:lang w:val="fr-CA"/>
              </w:rPr>
              <w:t>)</w:t>
            </w:r>
          </w:p>
          <w:p w:rsidR="00C21644" w:rsidRPr="008155AB" w:rsidRDefault="00C21644" w:rsidP="003B3977">
            <w:pPr>
              <w:keepNext/>
              <w:keepLines/>
              <w:tabs>
                <w:tab w:val="left" w:pos="-1440"/>
                <w:tab w:val="left" w:pos="-720"/>
              </w:tabs>
              <w:rPr>
                <w:sz w:val="20"/>
                <w:szCs w:val="20"/>
              </w:rPr>
            </w:pPr>
            <w:r w:rsidRPr="008155AB">
              <w:rPr>
                <w:sz w:val="20"/>
                <w:szCs w:val="20"/>
                <w:lang w:val="fr-CA"/>
              </w:rPr>
              <w:tab/>
            </w:r>
            <w:r w:rsidR="008155AB" w:rsidRPr="008155AB">
              <w:rPr>
                <w:sz w:val="20"/>
                <w:szCs w:val="20"/>
              </w:rPr>
              <w:t>Raymond Doray</w:t>
            </w:r>
          </w:p>
          <w:p w:rsidR="00C21644" w:rsidRPr="008155AB" w:rsidRDefault="00C21644" w:rsidP="003B3977">
            <w:pPr>
              <w:keepNext/>
              <w:keepLines/>
              <w:tabs>
                <w:tab w:val="left" w:pos="-1440"/>
                <w:tab w:val="left" w:pos="-720"/>
              </w:tabs>
              <w:rPr>
                <w:sz w:val="20"/>
                <w:szCs w:val="20"/>
              </w:rPr>
            </w:pPr>
            <w:r w:rsidRPr="008155AB">
              <w:rPr>
                <w:sz w:val="20"/>
                <w:szCs w:val="20"/>
              </w:rPr>
              <w:tab/>
            </w:r>
            <w:r w:rsidR="008155AB" w:rsidRPr="008155AB">
              <w:rPr>
                <w:sz w:val="20"/>
                <w:szCs w:val="20"/>
              </w:rPr>
              <w:t>Lavery, de Billy</w:t>
            </w:r>
          </w:p>
          <w:p w:rsidR="00C21644" w:rsidRPr="008155AB" w:rsidRDefault="00C21644" w:rsidP="003B3977">
            <w:pPr>
              <w:keepNext/>
              <w:keepLines/>
              <w:tabs>
                <w:tab w:val="left" w:pos="-1440"/>
                <w:tab w:val="left" w:pos="-720"/>
              </w:tabs>
              <w:rPr>
                <w:sz w:val="20"/>
                <w:szCs w:val="20"/>
              </w:rPr>
            </w:pPr>
          </w:p>
          <w:p w:rsidR="00C21644" w:rsidRPr="00A935AA" w:rsidRDefault="008155AB" w:rsidP="008155AB">
            <w:pPr>
              <w:rPr>
                <w:sz w:val="20"/>
                <w:szCs w:val="20"/>
              </w:rPr>
            </w:pPr>
            <w:r w:rsidRPr="00806A5B">
              <w:rPr>
                <w:sz w:val="20"/>
                <w:szCs w:val="20"/>
                <w:lang w:val="fr-CA"/>
              </w:rPr>
              <w:t>DATE DE PRODUCTION</w:t>
            </w:r>
            <w:r w:rsidR="00C21644" w:rsidRPr="008155AB">
              <w:rPr>
                <w:sz w:val="20"/>
                <w:szCs w:val="20"/>
              </w:rPr>
              <w:t>: 2</w:t>
            </w:r>
            <w:r w:rsidRPr="008155AB">
              <w:rPr>
                <w:sz w:val="20"/>
                <w:szCs w:val="20"/>
              </w:rPr>
              <w:t>0</w:t>
            </w:r>
            <w:r w:rsidR="00C21644" w:rsidRPr="008155AB">
              <w:rPr>
                <w:sz w:val="20"/>
                <w:szCs w:val="20"/>
              </w:rPr>
              <w:t>.0</w:t>
            </w:r>
            <w:r w:rsidRPr="008155AB">
              <w:rPr>
                <w:sz w:val="20"/>
                <w:szCs w:val="20"/>
              </w:rPr>
              <w:t>5</w:t>
            </w:r>
            <w:r w:rsidR="00C21644" w:rsidRPr="008155AB">
              <w:rPr>
                <w:sz w:val="20"/>
                <w:szCs w:val="20"/>
              </w:rPr>
              <w:t>.20</w:t>
            </w:r>
            <w:r w:rsidR="00C21644" w:rsidRPr="00A935AA">
              <w:rPr>
                <w:sz w:val="20"/>
                <w:szCs w:val="20"/>
              </w:rPr>
              <w:t>1</w:t>
            </w:r>
            <w:r w:rsidR="00C21644">
              <w:rPr>
                <w:sz w:val="20"/>
                <w:szCs w:val="20"/>
              </w:rPr>
              <w:t>4</w:t>
            </w:r>
            <w:r w:rsidR="006E182C">
              <w:rPr>
                <w:sz w:val="20"/>
                <w:szCs w:val="20"/>
                <w:lang w:val="fr-CA"/>
              </w:rPr>
              <w:pict>
                <v:rect id="_x0000_i1028" style="width:108pt;height:1pt" o:hrpct="0" o:hralign="center" o:hrstd="t" o:hrnoshade="t" o:hr="t" fillcolor="black [3213]" stroked="f"/>
              </w:pict>
            </w:r>
          </w:p>
        </w:tc>
      </w:tr>
      <w:tr w:rsidR="00C21644" w:rsidRPr="00C16BD6" w:rsidTr="003B3977">
        <w:tc>
          <w:tcPr>
            <w:tcW w:w="4320" w:type="dxa"/>
            <w:shd w:val="clear" w:color="auto" w:fill="auto"/>
          </w:tcPr>
          <w:p w:rsidR="00C21644" w:rsidRPr="00C16BD6" w:rsidRDefault="00C16BD6" w:rsidP="005F1ED8">
            <w:pPr>
              <w:rPr>
                <w:b/>
                <w:sz w:val="20"/>
                <w:szCs w:val="20"/>
                <w:lang w:val="fr-CA"/>
              </w:rPr>
            </w:pPr>
            <w:r>
              <w:rPr>
                <w:b/>
                <w:sz w:val="20"/>
                <w:szCs w:val="20"/>
                <w:lang w:val="fr-CA"/>
              </w:rPr>
              <w:t>Fédération des médecins spécialistes du Québec</w:t>
            </w:r>
          </w:p>
          <w:p w:rsidR="00C21644" w:rsidRPr="00C16BD6" w:rsidRDefault="00C21644" w:rsidP="005F1ED8">
            <w:pPr>
              <w:tabs>
                <w:tab w:val="left" w:pos="-1440"/>
                <w:tab w:val="left" w:pos="-720"/>
              </w:tabs>
              <w:rPr>
                <w:sz w:val="20"/>
                <w:szCs w:val="20"/>
                <w:lang w:val="fr-CA"/>
              </w:rPr>
            </w:pPr>
            <w:r w:rsidRPr="00C16BD6">
              <w:rPr>
                <w:sz w:val="20"/>
                <w:szCs w:val="20"/>
                <w:lang w:val="fr-CA"/>
              </w:rPr>
              <w:tab/>
            </w:r>
            <w:r w:rsidR="00C16BD6">
              <w:rPr>
                <w:sz w:val="20"/>
                <w:szCs w:val="20"/>
                <w:lang w:val="fr-CA"/>
              </w:rPr>
              <w:t>Dominique Ménard</w:t>
            </w:r>
          </w:p>
          <w:p w:rsidR="00C21644" w:rsidRPr="00C16BD6" w:rsidRDefault="00C21644" w:rsidP="005F1ED8">
            <w:pPr>
              <w:tabs>
                <w:tab w:val="left" w:pos="-1440"/>
                <w:tab w:val="left" w:pos="-720"/>
              </w:tabs>
              <w:rPr>
                <w:sz w:val="20"/>
                <w:szCs w:val="20"/>
                <w:lang w:val="fr-CA"/>
              </w:rPr>
            </w:pPr>
            <w:r w:rsidRPr="00C16BD6">
              <w:rPr>
                <w:sz w:val="20"/>
                <w:szCs w:val="20"/>
                <w:lang w:val="fr-CA"/>
              </w:rPr>
              <w:tab/>
            </w:r>
            <w:r w:rsidR="00C16BD6">
              <w:rPr>
                <w:sz w:val="20"/>
                <w:szCs w:val="20"/>
                <w:lang w:val="fr-CA"/>
              </w:rPr>
              <w:t>LCM Avocats inc.</w:t>
            </w:r>
          </w:p>
          <w:p w:rsidR="00C21644" w:rsidRPr="00C16BD6" w:rsidRDefault="00C21644" w:rsidP="005F1ED8">
            <w:pPr>
              <w:tabs>
                <w:tab w:val="left" w:pos="-1440"/>
                <w:tab w:val="left" w:pos="-720"/>
              </w:tabs>
              <w:rPr>
                <w:sz w:val="20"/>
                <w:szCs w:val="20"/>
                <w:lang w:val="fr-CA"/>
              </w:rPr>
            </w:pPr>
          </w:p>
          <w:p w:rsidR="00C21644" w:rsidRPr="00C16BD6" w:rsidRDefault="00C21644" w:rsidP="005F1ED8">
            <w:pPr>
              <w:tabs>
                <w:tab w:val="left" w:pos="-1440"/>
                <w:tab w:val="left" w:pos="-720"/>
              </w:tabs>
              <w:rPr>
                <w:sz w:val="20"/>
                <w:szCs w:val="20"/>
                <w:lang w:val="fr-CA"/>
              </w:rPr>
            </w:pPr>
            <w:r w:rsidRPr="00C16BD6">
              <w:rPr>
                <w:sz w:val="20"/>
                <w:szCs w:val="20"/>
                <w:lang w:val="fr-CA"/>
              </w:rPr>
              <w:tab/>
            </w:r>
            <w:r w:rsidR="00C16BD6">
              <w:rPr>
                <w:sz w:val="20"/>
                <w:szCs w:val="20"/>
                <w:lang w:val="fr-CA"/>
              </w:rPr>
              <w:t>c</w:t>
            </w:r>
            <w:r w:rsidRPr="00C16BD6">
              <w:rPr>
                <w:sz w:val="20"/>
                <w:szCs w:val="20"/>
                <w:lang w:val="fr-CA"/>
              </w:rPr>
              <w:t>. (35</w:t>
            </w:r>
            <w:r w:rsidR="00C16BD6">
              <w:rPr>
                <w:sz w:val="20"/>
                <w:szCs w:val="20"/>
                <w:lang w:val="fr-CA"/>
              </w:rPr>
              <w:t>872)</w:t>
            </w:r>
          </w:p>
          <w:p w:rsidR="00C21644" w:rsidRPr="00C16BD6" w:rsidRDefault="00C21644" w:rsidP="005F1ED8">
            <w:pPr>
              <w:tabs>
                <w:tab w:val="left" w:pos="-1440"/>
                <w:tab w:val="left" w:pos="-720"/>
              </w:tabs>
              <w:rPr>
                <w:sz w:val="20"/>
                <w:szCs w:val="20"/>
                <w:lang w:val="fr-CA"/>
              </w:rPr>
            </w:pPr>
          </w:p>
          <w:p w:rsidR="00C21644" w:rsidRPr="00C16BD6" w:rsidRDefault="00C16BD6" w:rsidP="005F1ED8">
            <w:pPr>
              <w:tabs>
                <w:tab w:val="left" w:pos="-1440"/>
                <w:tab w:val="left" w:pos="-720"/>
              </w:tabs>
              <w:rPr>
                <w:b/>
                <w:sz w:val="20"/>
                <w:szCs w:val="20"/>
                <w:lang w:val="fr-CA"/>
              </w:rPr>
            </w:pPr>
            <w:r>
              <w:rPr>
                <w:b/>
                <w:sz w:val="20"/>
                <w:szCs w:val="20"/>
                <w:lang w:val="fr-CA"/>
              </w:rPr>
              <w:t xml:space="preserve">Conseil pour la protection des malades, en sa qualité de représentant du groupe et autre </w:t>
            </w:r>
            <w:r w:rsidR="00C21644" w:rsidRPr="00C16BD6">
              <w:rPr>
                <w:b/>
                <w:sz w:val="20"/>
                <w:szCs w:val="20"/>
                <w:lang w:val="fr-CA"/>
              </w:rPr>
              <w:t>(</w:t>
            </w:r>
            <w:r>
              <w:rPr>
                <w:b/>
                <w:sz w:val="20"/>
                <w:szCs w:val="20"/>
                <w:lang w:val="fr-CA"/>
              </w:rPr>
              <w:t>Qc</w:t>
            </w:r>
            <w:r w:rsidR="00C21644" w:rsidRPr="00C16BD6">
              <w:rPr>
                <w:b/>
                <w:sz w:val="20"/>
                <w:szCs w:val="20"/>
                <w:lang w:val="fr-CA"/>
              </w:rPr>
              <w:t>)</w:t>
            </w:r>
          </w:p>
          <w:p w:rsidR="00C21644" w:rsidRPr="00C16BD6" w:rsidRDefault="00C21644" w:rsidP="005F1ED8">
            <w:pPr>
              <w:tabs>
                <w:tab w:val="left" w:pos="-1440"/>
                <w:tab w:val="left" w:pos="-720"/>
              </w:tabs>
              <w:rPr>
                <w:sz w:val="20"/>
                <w:szCs w:val="20"/>
                <w:lang w:val="fr-CA"/>
              </w:rPr>
            </w:pPr>
            <w:r w:rsidRPr="00C16BD6">
              <w:rPr>
                <w:sz w:val="20"/>
                <w:szCs w:val="20"/>
                <w:lang w:val="fr-CA"/>
              </w:rPr>
              <w:tab/>
            </w:r>
            <w:r w:rsidR="00C16BD6">
              <w:rPr>
                <w:sz w:val="20"/>
                <w:szCs w:val="20"/>
                <w:lang w:val="fr-CA"/>
              </w:rPr>
              <w:t>Jacques Larochelle</w:t>
            </w:r>
          </w:p>
          <w:p w:rsidR="00C21644" w:rsidRPr="00C16BD6" w:rsidRDefault="00C21644" w:rsidP="005F1ED8">
            <w:pPr>
              <w:tabs>
                <w:tab w:val="left" w:pos="-1440"/>
                <w:tab w:val="left" w:pos="-720"/>
              </w:tabs>
              <w:rPr>
                <w:sz w:val="20"/>
                <w:szCs w:val="20"/>
                <w:lang w:val="fr-CA"/>
              </w:rPr>
            </w:pPr>
            <w:r w:rsidRPr="00C16BD6">
              <w:rPr>
                <w:sz w:val="20"/>
                <w:szCs w:val="20"/>
                <w:lang w:val="fr-CA"/>
              </w:rPr>
              <w:tab/>
            </w:r>
            <w:r w:rsidR="00C16BD6">
              <w:rPr>
                <w:sz w:val="20"/>
                <w:szCs w:val="20"/>
                <w:lang w:val="fr-CA"/>
              </w:rPr>
              <w:t>Jacques Larochelle avocat inc.</w:t>
            </w:r>
          </w:p>
          <w:p w:rsidR="00C21644" w:rsidRPr="00C16BD6" w:rsidRDefault="00C21644" w:rsidP="005F1ED8">
            <w:pPr>
              <w:tabs>
                <w:tab w:val="left" w:pos="-1440"/>
                <w:tab w:val="left" w:pos="-720"/>
              </w:tabs>
              <w:rPr>
                <w:sz w:val="20"/>
                <w:szCs w:val="20"/>
                <w:lang w:val="fr-CA"/>
              </w:rPr>
            </w:pPr>
          </w:p>
          <w:p w:rsidR="00C21644" w:rsidRPr="00A935AA" w:rsidRDefault="00C16BD6" w:rsidP="00763CD9">
            <w:pPr>
              <w:rPr>
                <w:sz w:val="20"/>
                <w:szCs w:val="20"/>
              </w:rPr>
            </w:pPr>
            <w:r w:rsidRPr="00806A5B">
              <w:rPr>
                <w:sz w:val="20"/>
                <w:szCs w:val="20"/>
                <w:lang w:val="fr-CA"/>
              </w:rPr>
              <w:t>DATE DE PRODUCTION</w:t>
            </w:r>
            <w:r w:rsidR="00C21644" w:rsidRPr="00C16BD6">
              <w:rPr>
                <w:sz w:val="20"/>
                <w:szCs w:val="20"/>
                <w:lang w:val="fr-CA"/>
              </w:rPr>
              <w:t xml:space="preserve">: </w:t>
            </w:r>
            <w:r>
              <w:rPr>
                <w:sz w:val="20"/>
                <w:szCs w:val="20"/>
                <w:lang w:val="fr-CA"/>
              </w:rPr>
              <w:t>09</w:t>
            </w:r>
            <w:r w:rsidR="00C21644" w:rsidRPr="00C16BD6">
              <w:rPr>
                <w:sz w:val="20"/>
                <w:szCs w:val="20"/>
                <w:lang w:val="fr-CA"/>
              </w:rPr>
              <w:t>.0</w:t>
            </w:r>
            <w:r>
              <w:rPr>
                <w:sz w:val="20"/>
                <w:szCs w:val="20"/>
                <w:lang w:val="fr-CA"/>
              </w:rPr>
              <w:t>5</w:t>
            </w:r>
            <w:r w:rsidR="00C21644" w:rsidRPr="00C16BD6">
              <w:rPr>
                <w:sz w:val="20"/>
                <w:szCs w:val="20"/>
                <w:lang w:val="fr-CA"/>
              </w:rPr>
              <w:t>.2014</w:t>
            </w:r>
            <w:r w:rsidR="006E182C">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16BD6" w:rsidRDefault="00C16BD6"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C16BD6" w:rsidRPr="00A935AA" w:rsidRDefault="00C16BD6" w:rsidP="005F1ED8">
            <w:pPr>
              <w:rPr>
                <w:b/>
                <w:sz w:val="20"/>
                <w:szCs w:val="20"/>
              </w:rPr>
            </w:pPr>
            <w:r>
              <w:rPr>
                <w:b/>
                <w:sz w:val="20"/>
                <w:szCs w:val="20"/>
              </w:rPr>
              <w:t>West Van Inc.</w:t>
            </w:r>
          </w:p>
          <w:p w:rsidR="00C21644" w:rsidRPr="00A935AA" w:rsidRDefault="00C21644" w:rsidP="005F1ED8">
            <w:pPr>
              <w:tabs>
                <w:tab w:val="left" w:pos="-1440"/>
                <w:tab w:val="left" w:pos="-720"/>
              </w:tabs>
              <w:rPr>
                <w:sz w:val="20"/>
                <w:szCs w:val="20"/>
              </w:rPr>
            </w:pPr>
            <w:r w:rsidRPr="00A935AA">
              <w:rPr>
                <w:sz w:val="20"/>
                <w:szCs w:val="20"/>
              </w:rPr>
              <w:tab/>
            </w:r>
            <w:r w:rsidR="00C16BD6">
              <w:rPr>
                <w:sz w:val="20"/>
                <w:szCs w:val="20"/>
              </w:rPr>
              <w:t>Maurice J. Neirinck</w:t>
            </w:r>
          </w:p>
          <w:p w:rsidR="00C21644" w:rsidRPr="00657D1D" w:rsidRDefault="00C21644" w:rsidP="005F1ED8">
            <w:pPr>
              <w:tabs>
                <w:tab w:val="left" w:pos="-1440"/>
                <w:tab w:val="left" w:pos="-720"/>
              </w:tabs>
              <w:rPr>
                <w:sz w:val="20"/>
                <w:szCs w:val="20"/>
                <w:lang w:val="fr-CA"/>
              </w:rPr>
            </w:pPr>
            <w:r w:rsidRPr="00A935AA">
              <w:rPr>
                <w:sz w:val="20"/>
                <w:szCs w:val="20"/>
              </w:rPr>
              <w:tab/>
            </w:r>
            <w:r w:rsidR="00C16BD6" w:rsidRPr="00657D1D">
              <w:rPr>
                <w:sz w:val="20"/>
                <w:szCs w:val="20"/>
                <w:lang w:val="fr-CA"/>
              </w:rPr>
              <w:t>Maurice J. Neirinck &amp; Associates</w:t>
            </w:r>
          </w:p>
          <w:p w:rsidR="00C21644" w:rsidRPr="00657D1D" w:rsidRDefault="00C21644" w:rsidP="005F1ED8">
            <w:pPr>
              <w:tabs>
                <w:tab w:val="left" w:pos="-1440"/>
                <w:tab w:val="left" w:pos="-720"/>
              </w:tabs>
              <w:rPr>
                <w:sz w:val="20"/>
                <w:szCs w:val="20"/>
                <w:lang w:val="fr-CA"/>
              </w:rPr>
            </w:pPr>
          </w:p>
          <w:p w:rsidR="00C21644" w:rsidRPr="00657D1D" w:rsidRDefault="00C21644" w:rsidP="005F1ED8">
            <w:pPr>
              <w:tabs>
                <w:tab w:val="left" w:pos="-1440"/>
                <w:tab w:val="left" w:pos="-720"/>
              </w:tabs>
              <w:rPr>
                <w:sz w:val="20"/>
                <w:szCs w:val="20"/>
                <w:lang w:val="fr-CA"/>
              </w:rPr>
            </w:pPr>
            <w:r w:rsidRPr="00657D1D">
              <w:rPr>
                <w:sz w:val="20"/>
                <w:szCs w:val="20"/>
                <w:lang w:val="fr-CA"/>
              </w:rPr>
              <w:tab/>
              <w:t>v. (35</w:t>
            </w:r>
            <w:r w:rsidR="00C16BD6" w:rsidRPr="00657D1D">
              <w:rPr>
                <w:sz w:val="20"/>
                <w:szCs w:val="20"/>
                <w:lang w:val="fr-CA"/>
              </w:rPr>
              <w:t>906</w:t>
            </w:r>
            <w:r w:rsidRPr="00657D1D">
              <w:rPr>
                <w:sz w:val="20"/>
                <w:szCs w:val="20"/>
                <w:lang w:val="fr-CA"/>
              </w:rPr>
              <w:t>)</w:t>
            </w:r>
          </w:p>
          <w:p w:rsidR="00C21644" w:rsidRPr="00657D1D" w:rsidRDefault="00C21644" w:rsidP="005F1ED8">
            <w:pPr>
              <w:tabs>
                <w:tab w:val="left" w:pos="-1440"/>
                <w:tab w:val="left" w:pos="-720"/>
              </w:tabs>
              <w:rPr>
                <w:sz w:val="20"/>
                <w:szCs w:val="20"/>
                <w:lang w:val="fr-CA"/>
              </w:rPr>
            </w:pPr>
          </w:p>
          <w:p w:rsidR="00C21644" w:rsidRPr="00657D1D" w:rsidRDefault="00C16BD6" w:rsidP="005F1ED8">
            <w:pPr>
              <w:tabs>
                <w:tab w:val="left" w:pos="-1440"/>
                <w:tab w:val="left" w:pos="-720"/>
              </w:tabs>
              <w:rPr>
                <w:b/>
                <w:sz w:val="20"/>
                <w:szCs w:val="20"/>
              </w:rPr>
            </w:pPr>
            <w:r w:rsidRPr="00C16BD6">
              <w:rPr>
                <w:b/>
                <w:sz w:val="20"/>
                <w:szCs w:val="20"/>
                <w:lang w:val="fr-CA"/>
              </w:rPr>
              <w:t>Michel C. Daisley et al.</w:t>
            </w:r>
            <w:r>
              <w:rPr>
                <w:b/>
                <w:sz w:val="20"/>
                <w:szCs w:val="20"/>
                <w:lang w:val="fr-CA"/>
              </w:rPr>
              <w:t xml:space="preserve"> </w:t>
            </w:r>
            <w:r w:rsidR="00C21644" w:rsidRPr="00657D1D">
              <w:rPr>
                <w:b/>
                <w:sz w:val="20"/>
                <w:szCs w:val="20"/>
              </w:rPr>
              <w:t>(Ont.)</w:t>
            </w:r>
          </w:p>
          <w:p w:rsidR="00C21644" w:rsidRPr="00657D1D" w:rsidRDefault="00C21644" w:rsidP="005F1ED8">
            <w:pPr>
              <w:tabs>
                <w:tab w:val="left" w:pos="-1440"/>
                <w:tab w:val="left" w:pos="-720"/>
              </w:tabs>
              <w:rPr>
                <w:sz w:val="20"/>
                <w:szCs w:val="20"/>
              </w:rPr>
            </w:pPr>
            <w:r w:rsidRPr="00657D1D">
              <w:rPr>
                <w:sz w:val="20"/>
                <w:szCs w:val="20"/>
              </w:rPr>
              <w:tab/>
            </w:r>
            <w:r w:rsidR="00C16BD6" w:rsidRPr="00657D1D">
              <w:rPr>
                <w:sz w:val="20"/>
                <w:szCs w:val="20"/>
              </w:rPr>
              <w:t>Paul D. Emerson</w:t>
            </w:r>
          </w:p>
          <w:p w:rsidR="00C21644" w:rsidRPr="00306821" w:rsidRDefault="00C21644" w:rsidP="005F1ED8">
            <w:pPr>
              <w:tabs>
                <w:tab w:val="left" w:pos="-1440"/>
                <w:tab w:val="left" w:pos="-720"/>
              </w:tabs>
              <w:rPr>
                <w:sz w:val="20"/>
                <w:szCs w:val="20"/>
              </w:rPr>
            </w:pPr>
            <w:r w:rsidRPr="00657D1D">
              <w:rPr>
                <w:sz w:val="20"/>
                <w:szCs w:val="20"/>
              </w:rPr>
              <w:tab/>
            </w:r>
            <w:r w:rsidR="00C16BD6" w:rsidRPr="00306821">
              <w:rPr>
                <w:sz w:val="20"/>
                <w:szCs w:val="20"/>
              </w:rPr>
              <w:t>Clyde &amp; Company Canada LLP</w:t>
            </w:r>
          </w:p>
          <w:p w:rsidR="00C21644" w:rsidRPr="00306821" w:rsidRDefault="00C21644" w:rsidP="005F1ED8">
            <w:pPr>
              <w:tabs>
                <w:tab w:val="left" w:pos="-1440"/>
                <w:tab w:val="left" w:pos="-720"/>
              </w:tabs>
              <w:rPr>
                <w:sz w:val="20"/>
                <w:szCs w:val="20"/>
              </w:rPr>
            </w:pPr>
          </w:p>
          <w:p w:rsidR="00C21644" w:rsidRPr="00657D1D" w:rsidRDefault="00C21644" w:rsidP="00763CD9">
            <w:pPr>
              <w:rPr>
                <w:sz w:val="20"/>
                <w:szCs w:val="20"/>
              </w:rPr>
            </w:pPr>
            <w:r w:rsidRPr="00306821">
              <w:rPr>
                <w:sz w:val="20"/>
                <w:szCs w:val="20"/>
              </w:rPr>
              <w:t>FILING DATE: 2</w:t>
            </w:r>
            <w:r w:rsidR="00C16BD6" w:rsidRPr="00306821">
              <w:rPr>
                <w:sz w:val="20"/>
                <w:szCs w:val="20"/>
              </w:rPr>
              <w:t>6</w:t>
            </w:r>
            <w:r w:rsidRPr="00306821">
              <w:rPr>
                <w:sz w:val="20"/>
                <w:szCs w:val="20"/>
              </w:rPr>
              <w:t>.0</w:t>
            </w:r>
            <w:r w:rsidR="00C16BD6" w:rsidRPr="00306821">
              <w:rPr>
                <w:sz w:val="20"/>
                <w:szCs w:val="20"/>
              </w:rPr>
              <w:t>5</w:t>
            </w:r>
            <w:r w:rsidRPr="00306821">
              <w:rPr>
                <w:sz w:val="20"/>
                <w:szCs w:val="20"/>
              </w:rPr>
              <w:t>.2014</w:t>
            </w:r>
            <w:r w:rsidR="006E182C">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306821" w:rsidRDefault="00306821" w:rsidP="005F1ED8">
            <w:pPr>
              <w:rPr>
                <w:b/>
                <w:sz w:val="20"/>
                <w:szCs w:val="20"/>
              </w:rPr>
            </w:pPr>
            <w:r w:rsidRPr="00306821">
              <w:rPr>
                <w:b/>
                <w:sz w:val="20"/>
                <w:szCs w:val="20"/>
              </w:rPr>
              <w:t>Natasha Kaye Healy</w:t>
            </w:r>
          </w:p>
          <w:p w:rsidR="00C21644" w:rsidRPr="00306821" w:rsidRDefault="00C21644" w:rsidP="005F1ED8">
            <w:pPr>
              <w:tabs>
                <w:tab w:val="left" w:pos="-1440"/>
                <w:tab w:val="left" w:pos="-720"/>
              </w:tabs>
              <w:rPr>
                <w:sz w:val="20"/>
                <w:szCs w:val="20"/>
              </w:rPr>
            </w:pPr>
            <w:r w:rsidRPr="00306821">
              <w:rPr>
                <w:sz w:val="20"/>
                <w:szCs w:val="20"/>
              </w:rPr>
              <w:tab/>
            </w:r>
            <w:r w:rsidR="00306821">
              <w:rPr>
                <w:sz w:val="20"/>
                <w:szCs w:val="20"/>
              </w:rPr>
              <w:t>Daniel F.O. Henderson</w:t>
            </w:r>
          </w:p>
          <w:p w:rsidR="00C21644" w:rsidRPr="00306821" w:rsidRDefault="00C21644" w:rsidP="005F1ED8">
            <w:pPr>
              <w:tabs>
                <w:tab w:val="left" w:pos="-1440"/>
                <w:tab w:val="left" w:pos="-720"/>
              </w:tabs>
              <w:rPr>
                <w:sz w:val="20"/>
                <w:szCs w:val="20"/>
              </w:rPr>
            </w:pPr>
            <w:r w:rsidRPr="00306821">
              <w:rPr>
                <w:sz w:val="20"/>
                <w:szCs w:val="20"/>
              </w:rPr>
              <w:tab/>
            </w:r>
            <w:r w:rsidR="00306821">
              <w:rPr>
                <w:sz w:val="20"/>
                <w:szCs w:val="20"/>
              </w:rPr>
              <w:t>Henderson &amp; Lee Law Corporation</w:t>
            </w:r>
          </w:p>
          <w:p w:rsidR="00C21644" w:rsidRPr="00306821" w:rsidRDefault="00C21644" w:rsidP="005F1ED8">
            <w:pPr>
              <w:tabs>
                <w:tab w:val="left" w:pos="-1440"/>
                <w:tab w:val="left" w:pos="-720"/>
              </w:tabs>
              <w:rPr>
                <w:sz w:val="20"/>
                <w:szCs w:val="20"/>
              </w:rPr>
            </w:pPr>
          </w:p>
          <w:p w:rsidR="00C21644" w:rsidRPr="00306821" w:rsidRDefault="00C21644" w:rsidP="005F1ED8">
            <w:pPr>
              <w:tabs>
                <w:tab w:val="left" w:pos="-1440"/>
                <w:tab w:val="left" w:pos="-720"/>
              </w:tabs>
              <w:rPr>
                <w:sz w:val="20"/>
                <w:szCs w:val="20"/>
              </w:rPr>
            </w:pPr>
            <w:r w:rsidRPr="00306821">
              <w:rPr>
                <w:sz w:val="20"/>
                <w:szCs w:val="20"/>
              </w:rPr>
              <w:tab/>
              <w:t>v. (35</w:t>
            </w:r>
            <w:r w:rsidR="00306821">
              <w:rPr>
                <w:sz w:val="20"/>
                <w:szCs w:val="20"/>
              </w:rPr>
              <w:t>907</w:t>
            </w:r>
            <w:r w:rsidRPr="00306821">
              <w:rPr>
                <w:sz w:val="20"/>
                <w:szCs w:val="20"/>
              </w:rPr>
              <w:t>)</w:t>
            </w:r>
          </w:p>
          <w:p w:rsidR="00C21644" w:rsidRPr="00306821" w:rsidRDefault="00C21644" w:rsidP="005F1ED8">
            <w:pPr>
              <w:tabs>
                <w:tab w:val="left" w:pos="-1440"/>
                <w:tab w:val="left" w:pos="-720"/>
              </w:tabs>
              <w:rPr>
                <w:sz w:val="20"/>
                <w:szCs w:val="20"/>
              </w:rPr>
            </w:pPr>
          </w:p>
          <w:p w:rsidR="00C21644" w:rsidRPr="00306821" w:rsidRDefault="00306821" w:rsidP="005F1ED8">
            <w:pPr>
              <w:tabs>
                <w:tab w:val="left" w:pos="-1440"/>
                <w:tab w:val="left" w:pos="-720"/>
              </w:tabs>
              <w:rPr>
                <w:b/>
                <w:sz w:val="20"/>
                <w:szCs w:val="20"/>
              </w:rPr>
            </w:pPr>
            <w:r>
              <w:rPr>
                <w:b/>
                <w:sz w:val="20"/>
                <w:szCs w:val="20"/>
              </w:rPr>
              <w:t xml:space="preserve">Her Majesty the Queen </w:t>
            </w:r>
            <w:r w:rsidR="00C21644" w:rsidRPr="00306821">
              <w:rPr>
                <w:b/>
                <w:sz w:val="20"/>
                <w:szCs w:val="20"/>
              </w:rPr>
              <w:t>(</w:t>
            </w:r>
            <w:r>
              <w:rPr>
                <w:b/>
                <w:sz w:val="20"/>
                <w:szCs w:val="20"/>
              </w:rPr>
              <w:t>B.C</w:t>
            </w:r>
            <w:r w:rsidR="00C21644" w:rsidRPr="00306821">
              <w:rPr>
                <w:b/>
                <w:sz w:val="20"/>
                <w:szCs w:val="20"/>
              </w:rPr>
              <w:t>.)</w:t>
            </w:r>
          </w:p>
          <w:p w:rsidR="00C21644" w:rsidRPr="00306821" w:rsidRDefault="00C21644" w:rsidP="005F1ED8">
            <w:pPr>
              <w:tabs>
                <w:tab w:val="left" w:pos="-1440"/>
                <w:tab w:val="left" w:pos="-720"/>
              </w:tabs>
              <w:rPr>
                <w:sz w:val="20"/>
                <w:szCs w:val="20"/>
              </w:rPr>
            </w:pPr>
            <w:r w:rsidRPr="00306821">
              <w:rPr>
                <w:sz w:val="20"/>
                <w:szCs w:val="20"/>
              </w:rPr>
              <w:tab/>
            </w:r>
            <w:r w:rsidR="00306821">
              <w:rPr>
                <w:sz w:val="20"/>
                <w:szCs w:val="20"/>
              </w:rPr>
              <w:t>Peter A. Eccles</w:t>
            </w:r>
          </w:p>
          <w:p w:rsidR="00C21644" w:rsidRPr="00306821" w:rsidRDefault="00C21644" w:rsidP="005F1ED8">
            <w:pPr>
              <w:tabs>
                <w:tab w:val="left" w:pos="-1440"/>
                <w:tab w:val="left" w:pos="-720"/>
              </w:tabs>
              <w:rPr>
                <w:sz w:val="20"/>
                <w:szCs w:val="20"/>
              </w:rPr>
            </w:pPr>
            <w:r w:rsidRPr="00306821">
              <w:rPr>
                <w:sz w:val="20"/>
                <w:szCs w:val="20"/>
              </w:rPr>
              <w:tab/>
            </w:r>
            <w:r w:rsidR="00306821">
              <w:rPr>
                <w:sz w:val="20"/>
                <w:szCs w:val="20"/>
              </w:rPr>
              <w:t>Public Prosecution Service of Canada</w:t>
            </w:r>
          </w:p>
          <w:p w:rsidR="00C21644" w:rsidRPr="00306821" w:rsidRDefault="00C21644" w:rsidP="005F1ED8">
            <w:pPr>
              <w:tabs>
                <w:tab w:val="left" w:pos="-1440"/>
                <w:tab w:val="left" w:pos="-720"/>
              </w:tabs>
              <w:rPr>
                <w:sz w:val="20"/>
                <w:szCs w:val="20"/>
              </w:rPr>
            </w:pPr>
          </w:p>
          <w:p w:rsidR="00C21644" w:rsidRPr="00306821" w:rsidRDefault="00C21644" w:rsidP="00763CD9">
            <w:pPr>
              <w:rPr>
                <w:sz w:val="20"/>
                <w:szCs w:val="20"/>
              </w:rPr>
            </w:pPr>
            <w:r w:rsidRPr="00306821">
              <w:rPr>
                <w:sz w:val="20"/>
                <w:szCs w:val="20"/>
              </w:rPr>
              <w:t>FILING DATE: 2</w:t>
            </w:r>
            <w:r w:rsidR="00306821">
              <w:rPr>
                <w:sz w:val="20"/>
                <w:szCs w:val="20"/>
              </w:rPr>
              <w:t>7</w:t>
            </w:r>
            <w:r w:rsidRPr="00306821">
              <w:rPr>
                <w:sz w:val="20"/>
                <w:szCs w:val="20"/>
              </w:rPr>
              <w:t>.0</w:t>
            </w:r>
            <w:r w:rsidR="00306821">
              <w:rPr>
                <w:sz w:val="20"/>
                <w:szCs w:val="20"/>
              </w:rPr>
              <w:t>5</w:t>
            </w:r>
            <w:r w:rsidRPr="00306821">
              <w:rPr>
                <w:sz w:val="20"/>
                <w:szCs w:val="20"/>
              </w:rPr>
              <w:t>.2014</w:t>
            </w:r>
            <w:r w:rsidR="006E182C">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p w:rsidR="00C21644" w:rsidRPr="00306821" w:rsidRDefault="00C21644" w:rsidP="00242AEE">
            <w:pPr>
              <w:jc w:val="center"/>
              <w:rPr>
                <w:sz w:val="20"/>
                <w:szCs w:val="20"/>
              </w:rPr>
            </w:pPr>
          </w:p>
        </w:tc>
        <w:tc>
          <w:tcPr>
            <w:tcW w:w="4320" w:type="dxa"/>
            <w:shd w:val="clear" w:color="auto" w:fill="auto"/>
          </w:tcPr>
          <w:p w:rsidR="00C21644" w:rsidRPr="00306821" w:rsidRDefault="00306821" w:rsidP="005F1ED8">
            <w:pPr>
              <w:rPr>
                <w:b/>
                <w:sz w:val="20"/>
                <w:szCs w:val="20"/>
              </w:rPr>
            </w:pPr>
            <w:r>
              <w:rPr>
                <w:b/>
                <w:sz w:val="20"/>
                <w:szCs w:val="20"/>
              </w:rPr>
              <w:t>Director of the Ontario Disability Support Program</w:t>
            </w:r>
          </w:p>
          <w:p w:rsidR="00C21644" w:rsidRPr="00306821" w:rsidRDefault="00C21644" w:rsidP="005F1ED8">
            <w:pPr>
              <w:tabs>
                <w:tab w:val="left" w:pos="-1440"/>
                <w:tab w:val="left" w:pos="-720"/>
              </w:tabs>
              <w:rPr>
                <w:sz w:val="20"/>
                <w:szCs w:val="20"/>
              </w:rPr>
            </w:pPr>
            <w:r w:rsidRPr="00306821">
              <w:rPr>
                <w:sz w:val="20"/>
                <w:szCs w:val="20"/>
              </w:rPr>
              <w:tab/>
            </w:r>
            <w:r w:rsidR="00306821">
              <w:rPr>
                <w:sz w:val="20"/>
                <w:szCs w:val="20"/>
              </w:rPr>
              <w:t>Robert H. Ratcliffe</w:t>
            </w:r>
          </w:p>
          <w:p w:rsidR="00C21644" w:rsidRPr="00306821" w:rsidRDefault="00C21644" w:rsidP="005F1ED8">
            <w:pPr>
              <w:tabs>
                <w:tab w:val="left" w:pos="-1440"/>
                <w:tab w:val="left" w:pos="-720"/>
              </w:tabs>
              <w:rPr>
                <w:sz w:val="20"/>
                <w:szCs w:val="20"/>
              </w:rPr>
            </w:pPr>
            <w:r w:rsidRPr="00306821">
              <w:rPr>
                <w:sz w:val="20"/>
                <w:szCs w:val="20"/>
              </w:rPr>
              <w:tab/>
            </w:r>
            <w:r w:rsidR="00306821">
              <w:rPr>
                <w:sz w:val="20"/>
                <w:szCs w:val="20"/>
              </w:rPr>
              <w:t>A.G. of Ontario</w:t>
            </w:r>
          </w:p>
          <w:p w:rsidR="00C21644" w:rsidRPr="00306821" w:rsidRDefault="00C21644" w:rsidP="005F1ED8">
            <w:pPr>
              <w:tabs>
                <w:tab w:val="left" w:pos="-1440"/>
                <w:tab w:val="left" w:pos="-720"/>
              </w:tabs>
              <w:rPr>
                <w:sz w:val="20"/>
                <w:szCs w:val="20"/>
              </w:rPr>
            </w:pPr>
          </w:p>
          <w:p w:rsidR="00C21644" w:rsidRPr="00657D1D" w:rsidRDefault="00C21644" w:rsidP="005F1ED8">
            <w:pPr>
              <w:tabs>
                <w:tab w:val="left" w:pos="-1440"/>
                <w:tab w:val="left" w:pos="-720"/>
              </w:tabs>
              <w:rPr>
                <w:sz w:val="20"/>
                <w:szCs w:val="20"/>
                <w:lang w:val="fr-CA"/>
              </w:rPr>
            </w:pPr>
            <w:r w:rsidRPr="00306821">
              <w:rPr>
                <w:sz w:val="20"/>
                <w:szCs w:val="20"/>
              </w:rPr>
              <w:tab/>
            </w:r>
            <w:r w:rsidRPr="00657D1D">
              <w:rPr>
                <w:sz w:val="20"/>
                <w:szCs w:val="20"/>
                <w:lang w:val="fr-CA"/>
              </w:rPr>
              <w:t>v. (35</w:t>
            </w:r>
            <w:r w:rsidR="00306821" w:rsidRPr="00657D1D">
              <w:rPr>
                <w:sz w:val="20"/>
                <w:szCs w:val="20"/>
                <w:lang w:val="fr-CA"/>
              </w:rPr>
              <w:t>908</w:t>
            </w:r>
            <w:r w:rsidRPr="00657D1D">
              <w:rPr>
                <w:sz w:val="20"/>
                <w:szCs w:val="20"/>
                <w:lang w:val="fr-CA"/>
              </w:rPr>
              <w:t>)</w:t>
            </w:r>
          </w:p>
          <w:p w:rsidR="00C21644" w:rsidRPr="00657D1D" w:rsidRDefault="00C21644" w:rsidP="005F1ED8">
            <w:pPr>
              <w:tabs>
                <w:tab w:val="left" w:pos="-1440"/>
                <w:tab w:val="left" w:pos="-720"/>
              </w:tabs>
              <w:rPr>
                <w:sz w:val="20"/>
                <w:szCs w:val="20"/>
                <w:lang w:val="fr-CA"/>
              </w:rPr>
            </w:pPr>
          </w:p>
          <w:p w:rsidR="00C21644" w:rsidRPr="00657D1D" w:rsidRDefault="00306821" w:rsidP="005F1ED8">
            <w:pPr>
              <w:tabs>
                <w:tab w:val="left" w:pos="-1440"/>
                <w:tab w:val="left" w:pos="-720"/>
              </w:tabs>
              <w:rPr>
                <w:b/>
                <w:sz w:val="20"/>
                <w:szCs w:val="20"/>
                <w:lang w:val="fr-CA"/>
              </w:rPr>
            </w:pPr>
            <w:r w:rsidRPr="00657D1D">
              <w:rPr>
                <w:b/>
                <w:sz w:val="20"/>
                <w:szCs w:val="20"/>
                <w:lang w:val="fr-CA"/>
              </w:rPr>
              <w:t xml:space="preserve">Glynn Surdivall </w:t>
            </w:r>
            <w:r w:rsidR="00C21644" w:rsidRPr="00657D1D">
              <w:rPr>
                <w:b/>
                <w:sz w:val="20"/>
                <w:szCs w:val="20"/>
                <w:lang w:val="fr-CA"/>
              </w:rPr>
              <w:t>(Ont.)</w:t>
            </w:r>
          </w:p>
          <w:p w:rsidR="00C21644" w:rsidRPr="00657D1D" w:rsidRDefault="00C21644" w:rsidP="005F1ED8">
            <w:pPr>
              <w:tabs>
                <w:tab w:val="left" w:pos="-1440"/>
                <w:tab w:val="left" w:pos="-720"/>
              </w:tabs>
              <w:rPr>
                <w:sz w:val="20"/>
                <w:szCs w:val="20"/>
                <w:lang w:val="fr-CA"/>
              </w:rPr>
            </w:pPr>
            <w:r w:rsidRPr="00657D1D">
              <w:rPr>
                <w:sz w:val="20"/>
                <w:szCs w:val="20"/>
                <w:lang w:val="fr-CA"/>
              </w:rPr>
              <w:tab/>
            </w:r>
            <w:r w:rsidR="00306821" w:rsidRPr="00657D1D">
              <w:rPr>
                <w:sz w:val="20"/>
                <w:szCs w:val="20"/>
                <w:lang w:val="fr-CA"/>
              </w:rPr>
              <w:t>Jackie Esmonde</w:t>
            </w:r>
          </w:p>
          <w:p w:rsidR="00C21644" w:rsidRPr="00306821" w:rsidRDefault="00C21644" w:rsidP="005F1ED8">
            <w:pPr>
              <w:tabs>
                <w:tab w:val="left" w:pos="-1440"/>
                <w:tab w:val="left" w:pos="-720"/>
              </w:tabs>
              <w:rPr>
                <w:sz w:val="20"/>
                <w:szCs w:val="20"/>
              </w:rPr>
            </w:pPr>
            <w:r w:rsidRPr="00657D1D">
              <w:rPr>
                <w:sz w:val="20"/>
                <w:szCs w:val="20"/>
                <w:lang w:val="fr-CA"/>
              </w:rPr>
              <w:tab/>
            </w:r>
            <w:r w:rsidR="00306821">
              <w:rPr>
                <w:sz w:val="20"/>
                <w:szCs w:val="20"/>
              </w:rPr>
              <w:t xml:space="preserve">Income Security Advocacy Centre </w:t>
            </w:r>
          </w:p>
          <w:p w:rsidR="00C21644" w:rsidRPr="00306821" w:rsidRDefault="00C21644" w:rsidP="005F1ED8">
            <w:pPr>
              <w:tabs>
                <w:tab w:val="left" w:pos="-1440"/>
                <w:tab w:val="left" w:pos="-720"/>
              </w:tabs>
              <w:rPr>
                <w:sz w:val="20"/>
                <w:szCs w:val="20"/>
              </w:rPr>
            </w:pPr>
          </w:p>
          <w:p w:rsidR="00C21644" w:rsidRPr="00A935AA" w:rsidRDefault="00C21644" w:rsidP="00763CD9">
            <w:pPr>
              <w:rPr>
                <w:sz w:val="20"/>
                <w:szCs w:val="20"/>
              </w:rPr>
            </w:pPr>
            <w:r w:rsidRPr="00306821">
              <w:rPr>
                <w:sz w:val="20"/>
                <w:szCs w:val="20"/>
              </w:rPr>
              <w:t>FI</w:t>
            </w:r>
            <w:r w:rsidRPr="00A935AA">
              <w:rPr>
                <w:sz w:val="20"/>
                <w:szCs w:val="20"/>
              </w:rPr>
              <w:t>LING DATE: 2</w:t>
            </w:r>
            <w:r w:rsidR="00306821">
              <w:rPr>
                <w:sz w:val="20"/>
                <w:szCs w:val="20"/>
              </w:rPr>
              <w:t>7</w:t>
            </w:r>
            <w:r w:rsidRPr="00A935AA">
              <w:rPr>
                <w:sz w:val="20"/>
                <w:szCs w:val="20"/>
              </w:rPr>
              <w:t>.0</w:t>
            </w:r>
            <w:r w:rsidR="00306821">
              <w:rPr>
                <w:sz w:val="20"/>
                <w:szCs w:val="20"/>
              </w:rPr>
              <w:t>5</w:t>
            </w:r>
            <w:r w:rsidRPr="00A935AA">
              <w:rPr>
                <w:sz w:val="20"/>
                <w:szCs w:val="20"/>
              </w:rPr>
              <w:t>.201</w:t>
            </w:r>
            <w:r>
              <w:rPr>
                <w:sz w:val="20"/>
                <w:szCs w:val="20"/>
              </w:rPr>
              <w:t>4</w:t>
            </w:r>
            <w:r w:rsidR="006E182C">
              <w:rPr>
                <w:sz w:val="20"/>
                <w:szCs w:val="20"/>
                <w:lang w:val="fr-CA"/>
              </w:rPr>
              <w:pict>
                <v:rect id="_x0000_i1032" style="width:108pt;height:1pt" o:hrpct="0" o:hralign="center" o:hrstd="t" o:hrnoshade="t" o:hr="t" fillcolor="black [3213]" stroked="f"/>
              </w:pict>
            </w:r>
          </w:p>
        </w:tc>
      </w:tr>
      <w:tr w:rsidR="00C21644" w:rsidRPr="00631621" w:rsidTr="003B3977">
        <w:trPr>
          <w:cantSplit/>
        </w:trPr>
        <w:tc>
          <w:tcPr>
            <w:tcW w:w="4320" w:type="dxa"/>
            <w:shd w:val="clear" w:color="auto" w:fill="auto"/>
          </w:tcPr>
          <w:p w:rsidR="00C21644" w:rsidRPr="00631621" w:rsidRDefault="00631621" w:rsidP="005F1ED8">
            <w:pPr>
              <w:rPr>
                <w:b/>
                <w:sz w:val="20"/>
                <w:szCs w:val="20"/>
                <w:lang w:val="fr-CA"/>
              </w:rPr>
            </w:pPr>
            <w:r w:rsidRPr="00631621">
              <w:rPr>
                <w:b/>
                <w:sz w:val="20"/>
                <w:szCs w:val="20"/>
                <w:lang w:val="fr-CA"/>
              </w:rPr>
              <w:lastRenderedPageBreak/>
              <w:t>Roger Chrétien</w:t>
            </w: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631621" w:rsidRPr="00631621">
              <w:rPr>
                <w:sz w:val="20"/>
                <w:szCs w:val="20"/>
                <w:lang w:val="fr-CA"/>
              </w:rPr>
              <w:t>Charles Levasseur</w:t>
            </w: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631621" w:rsidRPr="00631621">
              <w:rPr>
                <w:sz w:val="20"/>
                <w:szCs w:val="20"/>
                <w:lang w:val="fr-CA"/>
              </w:rPr>
              <w:t>Charles Levasseur Avocat inc.</w:t>
            </w:r>
          </w:p>
          <w:p w:rsidR="00C21644" w:rsidRPr="00631621" w:rsidRDefault="00C21644" w:rsidP="005F1ED8">
            <w:pPr>
              <w:tabs>
                <w:tab w:val="left" w:pos="-1440"/>
                <w:tab w:val="left" w:pos="-720"/>
              </w:tabs>
              <w:rPr>
                <w:sz w:val="20"/>
                <w:szCs w:val="20"/>
                <w:lang w:val="fr-CA"/>
              </w:rPr>
            </w:pPr>
          </w:p>
          <w:p w:rsidR="00C21644" w:rsidRPr="00657D1D" w:rsidRDefault="00C21644" w:rsidP="005F1ED8">
            <w:pPr>
              <w:tabs>
                <w:tab w:val="left" w:pos="-1440"/>
                <w:tab w:val="left" w:pos="-720"/>
              </w:tabs>
              <w:rPr>
                <w:sz w:val="20"/>
                <w:szCs w:val="20"/>
                <w:lang w:val="fr-CA"/>
              </w:rPr>
            </w:pPr>
            <w:r w:rsidRPr="00631621">
              <w:rPr>
                <w:sz w:val="20"/>
                <w:szCs w:val="20"/>
                <w:lang w:val="fr-CA"/>
              </w:rPr>
              <w:tab/>
            </w:r>
            <w:r w:rsidR="004E5E7E">
              <w:rPr>
                <w:sz w:val="20"/>
                <w:szCs w:val="20"/>
                <w:lang w:val="fr-CA"/>
              </w:rPr>
              <w:t>c</w:t>
            </w:r>
            <w:r w:rsidRPr="00657D1D">
              <w:rPr>
                <w:sz w:val="20"/>
                <w:szCs w:val="20"/>
                <w:lang w:val="fr-CA"/>
              </w:rPr>
              <w:t>. (35</w:t>
            </w:r>
            <w:r w:rsidR="00631621" w:rsidRPr="00657D1D">
              <w:rPr>
                <w:sz w:val="20"/>
                <w:szCs w:val="20"/>
                <w:lang w:val="fr-CA"/>
              </w:rPr>
              <w:t>909</w:t>
            </w:r>
            <w:r w:rsidRPr="00657D1D">
              <w:rPr>
                <w:sz w:val="20"/>
                <w:szCs w:val="20"/>
                <w:lang w:val="fr-CA"/>
              </w:rPr>
              <w:t>)</w:t>
            </w:r>
          </w:p>
          <w:p w:rsidR="00C21644" w:rsidRPr="00657D1D" w:rsidRDefault="00C21644" w:rsidP="005F1ED8">
            <w:pPr>
              <w:tabs>
                <w:tab w:val="left" w:pos="-1440"/>
                <w:tab w:val="left" w:pos="-720"/>
              </w:tabs>
              <w:rPr>
                <w:sz w:val="20"/>
                <w:szCs w:val="20"/>
                <w:lang w:val="fr-CA"/>
              </w:rPr>
            </w:pPr>
          </w:p>
          <w:p w:rsidR="00C21644" w:rsidRPr="00631621" w:rsidRDefault="00631621" w:rsidP="005F1ED8">
            <w:pPr>
              <w:tabs>
                <w:tab w:val="left" w:pos="-1440"/>
                <w:tab w:val="left" w:pos="-720"/>
              </w:tabs>
              <w:rPr>
                <w:b/>
                <w:sz w:val="20"/>
                <w:szCs w:val="20"/>
                <w:lang w:val="fr-CA"/>
              </w:rPr>
            </w:pPr>
            <w:r w:rsidRPr="00631621">
              <w:rPr>
                <w:b/>
                <w:sz w:val="20"/>
                <w:szCs w:val="20"/>
                <w:lang w:val="fr-CA"/>
              </w:rPr>
              <w:t xml:space="preserve">Sa Majesté la Reine </w:t>
            </w:r>
            <w:r w:rsidR="00C21644" w:rsidRPr="00631621">
              <w:rPr>
                <w:b/>
                <w:sz w:val="20"/>
                <w:szCs w:val="20"/>
                <w:lang w:val="fr-CA"/>
              </w:rPr>
              <w:t>(</w:t>
            </w:r>
            <w:r w:rsidRPr="00631621">
              <w:rPr>
                <w:b/>
                <w:sz w:val="20"/>
                <w:szCs w:val="20"/>
                <w:lang w:val="fr-CA"/>
              </w:rPr>
              <w:t>Qc</w:t>
            </w:r>
            <w:r w:rsidR="00C21644" w:rsidRPr="00631621">
              <w:rPr>
                <w:b/>
                <w:sz w:val="20"/>
                <w:szCs w:val="20"/>
                <w:lang w:val="fr-CA"/>
              </w:rPr>
              <w:t>)</w:t>
            </w: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631621">
              <w:rPr>
                <w:sz w:val="20"/>
                <w:szCs w:val="20"/>
                <w:lang w:val="fr-CA"/>
              </w:rPr>
              <w:t>Thierry Pagé-Fortin</w:t>
            </w: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631621">
              <w:rPr>
                <w:sz w:val="20"/>
                <w:szCs w:val="20"/>
                <w:lang w:val="fr-CA"/>
              </w:rPr>
              <w:t xml:space="preserve">Directeur des poursuites criminelles et </w:t>
            </w:r>
            <w:r w:rsidR="00631621">
              <w:rPr>
                <w:sz w:val="20"/>
                <w:szCs w:val="20"/>
                <w:lang w:val="fr-CA"/>
              </w:rPr>
              <w:tab/>
              <w:t>pénales du Québec</w:t>
            </w:r>
          </w:p>
          <w:p w:rsidR="00C21644" w:rsidRPr="00631621" w:rsidRDefault="00C21644" w:rsidP="005F1ED8">
            <w:pPr>
              <w:tabs>
                <w:tab w:val="left" w:pos="-1440"/>
                <w:tab w:val="left" w:pos="-720"/>
              </w:tabs>
              <w:rPr>
                <w:sz w:val="20"/>
                <w:szCs w:val="20"/>
                <w:lang w:val="fr-CA"/>
              </w:rPr>
            </w:pPr>
          </w:p>
          <w:p w:rsidR="00C21644" w:rsidRPr="00631621" w:rsidRDefault="00631621" w:rsidP="00763CD9">
            <w:pPr>
              <w:rPr>
                <w:sz w:val="20"/>
                <w:szCs w:val="20"/>
                <w:lang w:val="fr-CA"/>
              </w:rPr>
            </w:pPr>
            <w:r w:rsidRPr="00806A5B">
              <w:rPr>
                <w:sz w:val="20"/>
                <w:szCs w:val="20"/>
                <w:lang w:val="fr-CA"/>
              </w:rPr>
              <w:t xml:space="preserve">DATE DE PRODUCTION: </w:t>
            </w:r>
            <w:r>
              <w:rPr>
                <w:sz w:val="20"/>
                <w:szCs w:val="20"/>
                <w:lang w:val="fr-CA"/>
              </w:rPr>
              <w:t>27</w:t>
            </w:r>
            <w:r w:rsidRPr="00806A5B">
              <w:rPr>
                <w:sz w:val="20"/>
                <w:szCs w:val="20"/>
                <w:lang w:val="fr-CA"/>
              </w:rPr>
              <w:t>.0</w:t>
            </w:r>
            <w:r>
              <w:rPr>
                <w:sz w:val="20"/>
                <w:szCs w:val="20"/>
                <w:lang w:val="fr-CA"/>
              </w:rPr>
              <w:t>5</w:t>
            </w:r>
            <w:r w:rsidRPr="00806A5B">
              <w:rPr>
                <w:sz w:val="20"/>
                <w:szCs w:val="20"/>
                <w:lang w:val="fr-CA"/>
              </w:rPr>
              <w:t>.2014</w:t>
            </w:r>
            <w:r w:rsidR="006E182C">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Default="00C21644" w:rsidP="00242AEE">
            <w:pPr>
              <w:jc w:val="center"/>
              <w:rPr>
                <w:sz w:val="20"/>
                <w:szCs w:val="20"/>
                <w:lang w:val="fr-CA"/>
              </w:rPr>
            </w:pPr>
          </w:p>
          <w:p w:rsidR="00631621" w:rsidRPr="00631621" w:rsidRDefault="00631621"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tc>
        <w:tc>
          <w:tcPr>
            <w:tcW w:w="4320" w:type="dxa"/>
            <w:shd w:val="clear" w:color="auto" w:fill="auto"/>
          </w:tcPr>
          <w:p w:rsidR="00C21644" w:rsidRPr="00631621" w:rsidRDefault="00631621" w:rsidP="005F1ED8">
            <w:pPr>
              <w:rPr>
                <w:b/>
                <w:sz w:val="20"/>
                <w:szCs w:val="20"/>
              </w:rPr>
            </w:pPr>
            <w:r w:rsidRPr="00631621">
              <w:rPr>
                <w:b/>
                <w:sz w:val="20"/>
                <w:szCs w:val="20"/>
              </w:rPr>
              <w:t>Delport Realty Limited et al.</w:t>
            </w:r>
          </w:p>
          <w:p w:rsidR="00C21644" w:rsidRPr="00631621" w:rsidRDefault="00C21644" w:rsidP="005F1ED8">
            <w:pPr>
              <w:tabs>
                <w:tab w:val="left" w:pos="-1440"/>
                <w:tab w:val="left" w:pos="-720"/>
              </w:tabs>
              <w:rPr>
                <w:sz w:val="20"/>
                <w:szCs w:val="20"/>
              </w:rPr>
            </w:pPr>
            <w:r w:rsidRPr="00631621">
              <w:rPr>
                <w:sz w:val="20"/>
                <w:szCs w:val="20"/>
              </w:rPr>
              <w:tab/>
            </w:r>
            <w:r w:rsidR="00631621">
              <w:rPr>
                <w:sz w:val="20"/>
                <w:szCs w:val="20"/>
              </w:rPr>
              <w:t>Matthew J.D. Moir</w:t>
            </w:r>
          </w:p>
          <w:p w:rsidR="00C21644" w:rsidRPr="00631621" w:rsidRDefault="00C21644" w:rsidP="005F1ED8">
            <w:pPr>
              <w:tabs>
                <w:tab w:val="left" w:pos="-1440"/>
                <w:tab w:val="left" w:pos="-720"/>
              </w:tabs>
              <w:rPr>
                <w:sz w:val="20"/>
                <w:szCs w:val="20"/>
              </w:rPr>
            </w:pPr>
            <w:r w:rsidRPr="00631621">
              <w:rPr>
                <w:sz w:val="20"/>
                <w:szCs w:val="20"/>
              </w:rPr>
              <w:tab/>
            </w:r>
            <w:r w:rsidR="00631621">
              <w:rPr>
                <w:sz w:val="20"/>
                <w:szCs w:val="20"/>
              </w:rPr>
              <w:t>Weldon, McInnis</w:t>
            </w:r>
          </w:p>
          <w:p w:rsidR="00C21644" w:rsidRPr="00631621" w:rsidRDefault="00C21644" w:rsidP="005F1ED8">
            <w:pPr>
              <w:tabs>
                <w:tab w:val="left" w:pos="-1440"/>
                <w:tab w:val="left" w:pos="-720"/>
              </w:tabs>
              <w:rPr>
                <w:sz w:val="20"/>
                <w:szCs w:val="20"/>
              </w:rPr>
            </w:pPr>
          </w:p>
          <w:p w:rsidR="00C21644" w:rsidRPr="00631621" w:rsidRDefault="00C21644" w:rsidP="005F1ED8">
            <w:pPr>
              <w:tabs>
                <w:tab w:val="left" w:pos="-1440"/>
                <w:tab w:val="left" w:pos="-720"/>
              </w:tabs>
              <w:rPr>
                <w:sz w:val="20"/>
                <w:szCs w:val="20"/>
              </w:rPr>
            </w:pPr>
            <w:r w:rsidRPr="00631621">
              <w:rPr>
                <w:sz w:val="20"/>
                <w:szCs w:val="20"/>
              </w:rPr>
              <w:tab/>
              <w:t>v. (35</w:t>
            </w:r>
            <w:r w:rsidR="00631621" w:rsidRPr="00631621">
              <w:rPr>
                <w:sz w:val="20"/>
                <w:szCs w:val="20"/>
              </w:rPr>
              <w:t>910</w:t>
            </w:r>
            <w:r w:rsidRPr="00631621">
              <w:rPr>
                <w:sz w:val="20"/>
                <w:szCs w:val="20"/>
              </w:rPr>
              <w:t>)</w:t>
            </w:r>
          </w:p>
          <w:p w:rsidR="00C21644" w:rsidRPr="00631621" w:rsidRDefault="00C21644" w:rsidP="005F1ED8">
            <w:pPr>
              <w:tabs>
                <w:tab w:val="left" w:pos="-1440"/>
                <w:tab w:val="left" w:pos="-720"/>
              </w:tabs>
              <w:rPr>
                <w:sz w:val="20"/>
                <w:szCs w:val="20"/>
              </w:rPr>
            </w:pPr>
          </w:p>
          <w:p w:rsidR="00C21644" w:rsidRPr="00631621" w:rsidRDefault="00631621" w:rsidP="005F1ED8">
            <w:pPr>
              <w:tabs>
                <w:tab w:val="left" w:pos="-1440"/>
                <w:tab w:val="left" w:pos="-720"/>
              </w:tabs>
              <w:rPr>
                <w:b/>
                <w:sz w:val="20"/>
                <w:szCs w:val="20"/>
              </w:rPr>
            </w:pPr>
            <w:r w:rsidRPr="00631621">
              <w:rPr>
                <w:b/>
                <w:sz w:val="20"/>
                <w:szCs w:val="20"/>
              </w:rPr>
              <w:t xml:space="preserve">Registrar General of Service of Nova Scotia and Municipal Relations </w:t>
            </w:r>
            <w:r w:rsidR="00C21644" w:rsidRPr="00631621">
              <w:rPr>
                <w:b/>
                <w:sz w:val="20"/>
                <w:szCs w:val="20"/>
              </w:rPr>
              <w:t>(</w:t>
            </w:r>
            <w:r>
              <w:rPr>
                <w:b/>
                <w:sz w:val="20"/>
                <w:szCs w:val="20"/>
              </w:rPr>
              <w:t>N.S</w:t>
            </w:r>
            <w:r w:rsidR="00C21644" w:rsidRPr="00631621">
              <w:rPr>
                <w:b/>
                <w:sz w:val="20"/>
                <w:szCs w:val="20"/>
              </w:rPr>
              <w:t>.)</w:t>
            </w:r>
          </w:p>
          <w:p w:rsidR="00C21644" w:rsidRPr="00631621" w:rsidRDefault="00C21644" w:rsidP="005F1ED8">
            <w:pPr>
              <w:tabs>
                <w:tab w:val="left" w:pos="-1440"/>
                <w:tab w:val="left" w:pos="-720"/>
              </w:tabs>
              <w:rPr>
                <w:sz w:val="20"/>
                <w:szCs w:val="20"/>
              </w:rPr>
            </w:pPr>
            <w:r w:rsidRPr="00631621">
              <w:rPr>
                <w:sz w:val="20"/>
                <w:szCs w:val="20"/>
              </w:rPr>
              <w:tab/>
            </w:r>
            <w:r w:rsidR="00631621">
              <w:rPr>
                <w:sz w:val="20"/>
                <w:szCs w:val="20"/>
              </w:rPr>
              <w:t>Darlene Willcott</w:t>
            </w:r>
          </w:p>
          <w:p w:rsidR="00C21644" w:rsidRPr="00631621" w:rsidRDefault="00C21644" w:rsidP="005F1ED8">
            <w:pPr>
              <w:tabs>
                <w:tab w:val="left" w:pos="-1440"/>
                <w:tab w:val="left" w:pos="-720"/>
              </w:tabs>
              <w:rPr>
                <w:sz w:val="20"/>
                <w:szCs w:val="20"/>
              </w:rPr>
            </w:pPr>
            <w:r w:rsidRPr="00631621">
              <w:rPr>
                <w:sz w:val="20"/>
                <w:szCs w:val="20"/>
              </w:rPr>
              <w:tab/>
            </w:r>
            <w:r w:rsidR="00631621">
              <w:rPr>
                <w:sz w:val="20"/>
                <w:szCs w:val="20"/>
              </w:rPr>
              <w:t>A.G. of Nova Scotia</w:t>
            </w:r>
          </w:p>
          <w:p w:rsidR="00C21644" w:rsidRPr="00631621" w:rsidRDefault="00C21644" w:rsidP="005F1ED8">
            <w:pPr>
              <w:tabs>
                <w:tab w:val="left" w:pos="-1440"/>
                <w:tab w:val="left" w:pos="-720"/>
              </w:tabs>
              <w:rPr>
                <w:sz w:val="20"/>
                <w:szCs w:val="20"/>
              </w:rPr>
            </w:pPr>
          </w:p>
          <w:p w:rsidR="00C21644" w:rsidRPr="00631621" w:rsidRDefault="00C21644" w:rsidP="00763CD9">
            <w:pPr>
              <w:rPr>
                <w:sz w:val="20"/>
                <w:szCs w:val="20"/>
                <w:lang w:val="fr-CA"/>
              </w:rPr>
            </w:pPr>
            <w:r w:rsidRPr="00631621">
              <w:rPr>
                <w:sz w:val="20"/>
                <w:szCs w:val="20"/>
                <w:lang w:val="fr-CA"/>
              </w:rPr>
              <w:t>FILING DATE: 2</w:t>
            </w:r>
            <w:r w:rsidR="00A81C08">
              <w:rPr>
                <w:sz w:val="20"/>
                <w:szCs w:val="20"/>
                <w:lang w:val="fr-CA"/>
              </w:rPr>
              <w:t>7</w:t>
            </w:r>
            <w:r w:rsidRPr="00631621">
              <w:rPr>
                <w:sz w:val="20"/>
                <w:szCs w:val="20"/>
                <w:lang w:val="fr-CA"/>
              </w:rPr>
              <w:t>.0</w:t>
            </w:r>
            <w:r w:rsidR="00631621">
              <w:rPr>
                <w:sz w:val="20"/>
                <w:szCs w:val="20"/>
                <w:lang w:val="fr-CA"/>
              </w:rPr>
              <w:t>5</w:t>
            </w:r>
            <w:r w:rsidRPr="00631621">
              <w:rPr>
                <w:sz w:val="20"/>
                <w:szCs w:val="20"/>
                <w:lang w:val="fr-CA"/>
              </w:rPr>
              <w:t>.2014</w:t>
            </w:r>
            <w:r w:rsidR="006E182C">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631621" w:rsidRDefault="00A81C08" w:rsidP="005F1ED8">
            <w:pPr>
              <w:rPr>
                <w:b/>
                <w:sz w:val="20"/>
                <w:szCs w:val="20"/>
                <w:lang w:val="fr-CA"/>
              </w:rPr>
            </w:pPr>
            <w:r>
              <w:rPr>
                <w:b/>
                <w:sz w:val="20"/>
                <w:szCs w:val="20"/>
                <w:lang w:val="fr-CA"/>
              </w:rPr>
              <w:t>Jean Coulombe</w:t>
            </w: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A81C08">
              <w:rPr>
                <w:sz w:val="20"/>
                <w:szCs w:val="20"/>
                <w:lang w:val="fr-CA"/>
              </w:rPr>
              <w:t>Yves Gravel</w:t>
            </w:r>
          </w:p>
          <w:p w:rsidR="00C21644" w:rsidRPr="00631621" w:rsidRDefault="00C21644" w:rsidP="005F1ED8">
            <w:pPr>
              <w:tabs>
                <w:tab w:val="left" w:pos="-1440"/>
                <w:tab w:val="left" w:pos="-720"/>
              </w:tabs>
              <w:rPr>
                <w:sz w:val="20"/>
                <w:szCs w:val="20"/>
                <w:lang w:val="fr-CA"/>
              </w:rPr>
            </w:pP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A81C08">
              <w:rPr>
                <w:sz w:val="20"/>
                <w:szCs w:val="20"/>
                <w:lang w:val="fr-CA"/>
              </w:rPr>
              <w:t>c</w:t>
            </w:r>
            <w:r w:rsidRPr="00631621">
              <w:rPr>
                <w:sz w:val="20"/>
                <w:szCs w:val="20"/>
                <w:lang w:val="fr-CA"/>
              </w:rPr>
              <w:t>. (35</w:t>
            </w:r>
            <w:r w:rsidR="00A81C08">
              <w:rPr>
                <w:sz w:val="20"/>
                <w:szCs w:val="20"/>
                <w:lang w:val="fr-CA"/>
              </w:rPr>
              <w:t>913</w:t>
            </w:r>
            <w:r w:rsidRPr="00631621">
              <w:rPr>
                <w:sz w:val="20"/>
                <w:szCs w:val="20"/>
                <w:lang w:val="fr-CA"/>
              </w:rPr>
              <w:t>)</w:t>
            </w:r>
          </w:p>
          <w:p w:rsidR="00C21644" w:rsidRPr="00631621" w:rsidRDefault="00C21644" w:rsidP="005F1ED8">
            <w:pPr>
              <w:tabs>
                <w:tab w:val="left" w:pos="-1440"/>
                <w:tab w:val="left" w:pos="-720"/>
              </w:tabs>
              <w:rPr>
                <w:sz w:val="20"/>
                <w:szCs w:val="20"/>
                <w:lang w:val="fr-CA"/>
              </w:rPr>
            </w:pPr>
          </w:p>
          <w:p w:rsidR="00C21644" w:rsidRPr="00631621" w:rsidRDefault="00A81C08" w:rsidP="005F1ED8">
            <w:pPr>
              <w:tabs>
                <w:tab w:val="left" w:pos="-1440"/>
                <w:tab w:val="left" w:pos="-720"/>
              </w:tabs>
              <w:rPr>
                <w:b/>
                <w:sz w:val="20"/>
                <w:szCs w:val="20"/>
                <w:lang w:val="fr-CA"/>
              </w:rPr>
            </w:pPr>
            <w:r>
              <w:rPr>
                <w:b/>
                <w:sz w:val="20"/>
                <w:szCs w:val="20"/>
                <w:lang w:val="fr-CA"/>
              </w:rPr>
              <w:t>Ville de Sept-</w:t>
            </w:r>
            <w:r w:rsidR="004E5E7E">
              <w:rPr>
                <w:b/>
                <w:sz w:val="20"/>
                <w:szCs w:val="20"/>
                <w:lang w:val="fr-CA"/>
              </w:rPr>
              <w:t>Î</w:t>
            </w:r>
            <w:r>
              <w:rPr>
                <w:b/>
                <w:sz w:val="20"/>
                <w:szCs w:val="20"/>
                <w:lang w:val="fr-CA"/>
              </w:rPr>
              <w:t xml:space="preserve">les </w:t>
            </w:r>
            <w:r w:rsidR="00C21644" w:rsidRPr="00631621">
              <w:rPr>
                <w:b/>
                <w:sz w:val="20"/>
                <w:szCs w:val="20"/>
                <w:lang w:val="fr-CA"/>
              </w:rPr>
              <w:t>(</w:t>
            </w:r>
            <w:r>
              <w:rPr>
                <w:b/>
                <w:sz w:val="20"/>
                <w:szCs w:val="20"/>
                <w:lang w:val="fr-CA"/>
              </w:rPr>
              <w:t>Qc</w:t>
            </w:r>
            <w:r w:rsidR="00C21644" w:rsidRPr="00631621">
              <w:rPr>
                <w:b/>
                <w:sz w:val="20"/>
                <w:szCs w:val="20"/>
                <w:lang w:val="fr-CA"/>
              </w:rPr>
              <w:t>)</w:t>
            </w: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A81C08">
              <w:rPr>
                <w:sz w:val="20"/>
                <w:szCs w:val="20"/>
                <w:lang w:val="fr-CA"/>
              </w:rPr>
              <w:t>Luc Dion</w:t>
            </w:r>
          </w:p>
          <w:p w:rsidR="00C21644" w:rsidRPr="00631621" w:rsidRDefault="00C21644" w:rsidP="005F1ED8">
            <w:pPr>
              <w:tabs>
                <w:tab w:val="left" w:pos="-1440"/>
                <w:tab w:val="left" w:pos="-720"/>
              </w:tabs>
              <w:rPr>
                <w:sz w:val="20"/>
                <w:szCs w:val="20"/>
                <w:lang w:val="fr-CA"/>
              </w:rPr>
            </w:pPr>
            <w:r w:rsidRPr="00631621">
              <w:rPr>
                <w:sz w:val="20"/>
                <w:szCs w:val="20"/>
                <w:lang w:val="fr-CA"/>
              </w:rPr>
              <w:tab/>
            </w:r>
            <w:r w:rsidR="00A81C08">
              <w:rPr>
                <w:sz w:val="20"/>
                <w:szCs w:val="20"/>
                <w:lang w:val="fr-CA"/>
              </w:rPr>
              <w:t>Besnier Dion Rondeau</w:t>
            </w:r>
          </w:p>
          <w:p w:rsidR="00C21644" w:rsidRPr="00631621" w:rsidRDefault="00C21644" w:rsidP="005F1ED8">
            <w:pPr>
              <w:tabs>
                <w:tab w:val="left" w:pos="-1440"/>
                <w:tab w:val="left" w:pos="-720"/>
              </w:tabs>
              <w:rPr>
                <w:sz w:val="20"/>
                <w:szCs w:val="20"/>
                <w:lang w:val="fr-CA"/>
              </w:rPr>
            </w:pPr>
          </w:p>
          <w:p w:rsidR="00C21644" w:rsidRPr="00631621" w:rsidRDefault="00A81C08" w:rsidP="00763CD9">
            <w:pPr>
              <w:rPr>
                <w:sz w:val="20"/>
                <w:szCs w:val="20"/>
                <w:lang w:val="fr-CA"/>
              </w:rPr>
            </w:pPr>
            <w:r w:rsidRPr="00806A5B">
              <w:rPr>
                <w:sz w:val="20"/>
                <w:szCs w:val="20"/>
                <w:lang w:val="fr-CA"/>
              </w:rPr>
              <w:t xml:space="preserve">DATE DE PRODUCTION: </w:t>
            </w:r>
            <w:r>
              <w:rPr>
                <w:sz w:val="20"/>
                <w:szCs w:val="20"/>
                <w:lang w:val="fr-CA"/>
              </w:rPr>
              <w:t>29</w:t>
            </w:r>
            <w:r w:rsidRPr="00806A5B">
              <w:rPr>
                <w:sz w:val="20"/>
                <w:szCs w:val="20"/>
                <w:lang w:val="fr-CA"/>
              </w:rPr>
              <w:t>.0</w:t>
            </w:r>
            <w:r>
              <w:rPr>
                <w:sz w:val="20"/>
                <w:szCs w:val="20"/>
                <w:lang w:val="fr-CA"/>
              </w:rPr>
              <w:t>5</w:t>
            </w:r>
            <w:r w:rsidRPr="00806A5B">
              <w:rPr>
                <w:sz w:val="20"/>
                <w:szCs w:val="20"/>
                <w:lang w:val="fr-CA"/>
              </w:rPr>
              <w:t>.2014</w:t>
            </w:r>
            <w:r w:rsidR="006E182C">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p w:rsidR="00C21644" w:rsidRPr="00631621" w:rsidRDefault="00C21644" w:rsidP="00242AEE">
            <w:pPr>
              <w:jc w:val="center"/>
              <w:rPr>
                <w:sz w:val="20"/>
                <w:szCs w:val="20"/>
                <w:lang w:val="fr-CA"/>
              </w:rPr>
            </w:pPr>
          </w:p>
        </w:tc>
        <w:tc>
          <w:tcPr>
            <w:tcW w:w="4320" w:type="dxa"/>
            <w:shd w:val="clear" w:color="auto" w:fill="auto"/>
          </w:tcPr>
          <w:p w:rsidR="00C21644" w:rsidRPr="00DE4625" w:rsidRDefault="00DE4625" w:rsidP="005F1ED8">
            <w:pPr>
              <w:rPr>
                <w:b/>
                <w:sz w:val="20"/>
                <w:szCs w:val="20"/>
              </w:rPr>
            </w:pPr>
            <w:r w:rsidRPr="00DE4625">
              <w:rPr>
                <w:b/>
                <w:sz w:val="20"/>
                <w:szCs w:val="20"/>
              </w:rPr>
              <w:t>Egg Films Inc.</w:t>
            </w:r>
          </w:p>
          <w:p w:rsidR="00C21644" w:rsidRPr="00DE4625" w:rsidRDefault="00C21644" w:rsidP="005F1ED8">
            <w:pPr>
              <w:tabs>
                <w:tab w:val="left" w:pos="-1440"/>
                <w:tab w:val="left" w:pos="-720"/>
              </w:tabs>
              <w:rPr>
                <w:sz w:val="20"/>
                <w:szCs w:val="20"/>
              </w:rPr>
            </w:pPr>
            <w:r w:rsidRPr="00DE4625">
              <w:rPr>
                <w:sz w:val="20"/>
                <w:szCs w:val="20"/>
              </w:rPr>
              <w:tab/>
            </w:r>
            <w:r w:rsidR="00DE4625" w:rsidRPr="00DE4625">
              <w:rPr>
                <w:sz w:val="20"/>
                <w:szCs w:val="20"/>
              </w:rPr>
              <w:t>Jack Graham, Q.C.</w:t>
            </w:r>
          </w:p>
          <w:p w:rsidR="00C21644" w:rsidRPr="00DE4625" w:rsidRDefault="00C21644" w:rsidP="005F1ED8">
            <w:pPr>
              <w:tabs>
                <w:tab w:val="left" w:pos="-1440"/>
                <w:tab w:val="left" w:pos="-720"/>
              </w:tabs>
              <w:rPr>
                <w:sz w:val="20"/>
                <w:szCs w:val="20"/>
              </w:rPr>
            </w:pPr>
            <w:r w:rsidRPr="00DE4625">
              <w:rPr>
                <w:sz w:val="20"/>
                <w:szCs w:val="20"/>
              </w:rPr>
              <w:tab/>
            </w:r>
            <w:r w:rsidR="00DE4625">
              <w:rPr>
                <w:sz w:val="20"/>
                <w:szCs w:val="20"/>
              </w:rPr>
              <w:t>McInnes Cooper</w:t>
            </w:r>
          </w:p>
          <w:p w:rsidR="00C21644" w:rsidRPr="00DE4625"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DE4625">
              <w:rPr>
                <w:sz w:val="20"/>
                <w:szCs w:val="20"/>
              </w:rPr>
              <w:tab/>
            </w:r>
            <w:r w:rsidRPr="00A935AA">
              <w:rPr>
                <w:sz w:val="20"/>
                <w:szCs w:val="20"/>
              </w:rPr>
              <w:t>v. (3</w:t>
            </w:r>
            <w:r>
              <w:rPr>
                <w:sz w:val="20"/>
                <w:szCs w:val="20"/>
              </w:rPr>
              <w:t>5</w:t>
            </w:r>
            <w:r w:rsidR="00DE4625">
              <w:rPr>
                <w:sz w:val="20"/>
                <w:szCs w:val="20"/>
              </w:rPr>
              <w:t>917</w:t>
            </w:r>
            <w:r w:rsidRPr="00A935AA">
              <w:rPr>
                <w:sz w:val="20"/>
                <w:szCs w:val="20"/>
              </w:rPr>
              <w:t>)</w:t>
            </w:r>
          </w:p>
          <w:p w:rsidR="00C21644" w:rsidRPr="00A935AA" w:rsidRDefault="00C21644" w:rsidP="005F1ED8">
            <w:pPr>
              <w:tabs>
                <w:tab w:val="left" w:pos="-1440"/>
                <w:tab w:val="left" w:pos="-720"/>
              </w:tabs>
              <w:rPr>
                <w:sz w:val="20"/>
                <w:szCs w:val="20"/>
              </w:rPr>
            </w:pPr>
          </w:p>
          <w:p w:rsidR="00C21644" w:rsidRPr="00DE4625" w:rsidRDefault="00DE4625" w:rsidP="005F1ED8">
            <w:pPr>
              <w:tabs>
                <w:tab w:val="left" w:pos="-1440"/>
                <w:tab w:val="left" w:pos="-720"/>
              </w:tabs>
              <w:rPr>
                <w:b/>
                <w:sz w:val="20"/>
                <w:szCs w:val="20"/>
              </w:rPr>
            </w:pPr>
            <w:r w:rsidRPr="00DE4625">
              <w:rPr>
                <w:b/>
                <w:sz w:val="20"/>
                <w:szCs w:val="20"/>
              </w:rPr>
              <w:t xml:space="preserve">Labour Board et al. </w:t>
            </w:r>
            <w:r w:rsidR="00C21644" w:rsidRPr="00DE4625">
              <w:rPr>
                <w:b/>
                <w:sz w:val="20"/>
                <w:szCs w:val="20"/>
              </w:rPr>
              <w:t>(</w:t>
            </w:r>
            <w:r w:rsidRPr="00DE4625">
              <w:rPr>
                <w:b/>
                <w:sz w:val="20"/>
                <w:szCs w:val="20"/>
              </w:rPr>
              <w:t>N.S</w:t>
            </w:r>
            <w:r w:rsidR="00C21644" w:rsidRPr="00DE4625">
              <w:rPr>
                <w:b/>
                <w:sz w:val="20"/>
                <w:szCs w:val="20"/>
              </w:rPr>
              <w:t>.)</w:t>
            </w:r>
          </w:p>
          <w:p w:rsidR="00C21644" w:rsidRPr="00DE4625" w:rsidRDefault="00C21644" w:rsidP="005F1ED8">
            <w:pPr>
              <w:tabs>
                <w:tab w:val="left" w:pos="-1440"/>
                <w:tab w:val="left" w:pos="-720"/>
              </w:tabs>
              <w:rPr>
                <w:sz w:val="20"/>
                <w:szCs w:val="20"/>
              </w:rPr>
            </w:pPr>
            <w:r w:rsidRPr="00DE4625">
              <w:rPr>
                <w:sz w:val="20"/>
                <w:szCs w:val="20"/>
              </w:rPr>
              <w:tab/>
            </w:r>
            <w:r w:rsidR="00DE4625" w:rsidRPr="00DE4625">
              <w:rPr>
                <w:sz w:val="20"/>
                <w:szCs w:val="20"/>
              </w:rPr>
              <w:t xml:space="preserve">Edward A. </w:t>
            </w:r>
            <w:r w:rsidR="00DE4625">
              <w:rPr>
                <w:sz w:val="20"/>
                <w:szCs w:val="20"/>
              </w:rPr>
              <w:t>Gores, Q.C.</w:t>
            </w:r>
          </w:p>
          <w:p w:rsidR="00C21644" w:rsidRPr="00DE4625" w:rsidRDefault="00C21644" w:rsidP="005F1ED8">
            <w:pPr>
              <w:tabs>
                <w:tab w:val="left" w:pos="-1440"/>
                <w:tab w:val="left" w:pos="-720"/>
              </w:tabs>
              <w:rPr>
                <w:sz w:val="20"/>
                <w:szCs w:val="20"/>
              </w:rPr>
            </w:pPr>
            <w:r w:rsidRPr="00DE4625">
              <w:rPr>
                <w:sz w:val="20"/>
                <w:szCs w:val="20"/>
              </w:rPr>
              <w:tab/>
            </w:r>
            <w:r w:rsidR="00DE4625">
              <w:rPr>
                <w:sz w:val="20"/>
                <w:szCs w:val="20"/>
              </w:rPr>
              <w:t>A.G. of Nova Scotia</w:t>
            </w:r>
          </w:p>
          <w:p w:rsidR="00C21644" w:rsidRPr="00DE4625" w:rsidRDefault="00C21644" w:rsidP="005F1ED8">
            <w:pPr>
              <w:tabs>
                <w:tab w:val="left" w:pos="-1440"/>
                <w:tab w:val="left" w:pos="-720"/>
              </w:tabs>
              <w:rPr>
                <w:sz w:val="20"/>
                <w:szCs w:val="20"/>
              </w:rPr>
            </w:pPr>
          </w:p>
          <w:p w:rsidR="00C21644" w:rsidRPr="00A935AA" w:rsidRDefault="00DE4625" w:rsidP="00763CD9">
            <w:pPr>
              <w:rPr>
                <w:sz w:val="20"/>
                <w:szCs w:val="20"/>
              </w:rPr>
            </w:pPr>
            <w:r>
              <w:rPr>
                <w:sz w:val="20"/>
                <w:szCs w:val="20"/>
              </w:rPr>
              <w:t>FILING DATE: 30</w:t>
            </w:r>
            <w:r w:rsidR="00C21644" w:rsidRPr="00A935AA">
              <w:rPr>
                <w:sz w:val="20"/>
                <w:szCs w:val="20"/>
              </w:rPr>
              <w:t>.0</w:t>
            </w:r>
            <w:r>
              <w:rPr>
                <w:sz w:val="20"/>
                <w:szCs w:val="20"/>
              </w:rPr>
              <w:t>5</w:t>
            </w:r>
            <w:r w:rsidR="00C21644" w:rsidRPr="00A935AA">
              <w:rPr>
                <w:sz w:val="20"/>
                <w:szCs w:val="20"/>
              </w:rPr>
              <w:t>.201</w:t>
            </w:r>
            <w:r w:rsidR="00C21644">
              <w:rPr>
                <w:sz w:val="20"/>
                <w:szCs w:val="20"/>
              </w:rPr>
              <w:t>4</w:t>
            </w:r>
            <w:r w:rsidR="006E182C">
              <w:rPr>
                <w:sz w:val="20"/>
                <w:szCs w:val="20"/>
                <w:lang w:val="fr-CA"/>
              </w:rPr>
              <w:pict>
                <v:rect id="_x0000_i1036" style="width:108pt;height:1pt" o:hrpct="0" o:hralign="center" o:hrstd="t" o:hrnoshade="t" o:hr="t" fillcolor="black [3213]" stroked="f"/>
              </w:pict>
            </w:r>
          </w:p>
        </w:tc>
      </w:tr>
      <w:tr w:rsidR="00DE4625" w:rsidRPr="00A935AA" w:rsidTr="003B3977">
        <w:trPr>
          <w:cantSplit/>
        </w:trPr>
        <w:tc>
          <w:tcPr>
            <w:tcW w:w="4320" w:type="dxa"/>
            <w:shd w:val="clear" w:color="auto" w:fill="auto"/>
          </w:tcPr>
          <w:p w:rsidR="00DE4625" w:rsidRPr="00A935AA" w:rsidRDefault="00DE4625" w:rsidP="00DE4625">
            <w:pPr>
              <w:rPr>
                <w:b/>
                <w:sz w:val="20"/>
                <w:szCs w:val="20"/>
              </w:rPr>
            </w:pPr>
            <w:r>
              <w:rPr>
                <w:b/>
                <w:sz w:val="20"/>
                <w:szCs w:val="20"/>
              </w:rPr>
              <w:t>Sundance Saloon Limited et al.</w:t>
            </w:r>
          </w:p>
          <w:p w:rsidR="00DE4625" w:rsidRPr="00A935AA" w:rsidRDefault="00DE4625" w:rsidP="00DE4625">
            <w:pPr>
              <w:tabs>
                <w:tab w:val="left" w:pos="-1440"/>
                <w:tab w:val="left" w:pos="-720"/>
              </w:tabs>
              <w:rPr>
                <w:sz w:val="20"/>
                <w:szCs w:val="20"/>
              </w:rPr>
            </w:pPr>
            <w:r>
              <w:rPr>
                <w:sz w:val="20"/>
                <w:szCs w:val="20"/>
              </w:rPr>
              <w:tab/>
              <w:t>David P. Goodland</w:t>
            </w:r>
          </w:p>
          <w:p w:rsidR="00DE4625" w:rsidRPr="00A935AA" w:rsidRDefault="00DE4625" w:rsidP="00DE4625">
            <w:pPr>
              <w:tabs>
                <w:tab w:val="left" w:pos="-1440"/>
                <w:tab w:val="left" w:pos="-720"/>
              </w:tabs>
              <w:rPr>
                <w:sz w:val="20"/>
                <w:szCs w:val="20"/>
              </w:rPr>
            </w:pPr>
            <w:r w:rsidRPr="00A935AA">
              <w:rPr>
                <w:sz w:val="20"/>
                <w:szCs w:val="20"/>
              </w:rPr>
              <w:tab/>
            </w:r>
            <w:r>
              <w:rPr>
                <w:sz w:val="20"/>
                <w:szCs w:val="20"/>
              </w:rPr>
              <w:t>Goodland O’Flaherty</w:t>
            </w:r>
          </w:p>
          <w:p w:rsidR="00DE4625" w:rsidRPr="00A935AA" w:rsidRDefault="00DE4625" w:rsidP="00DE4625">
            <w:pPr>
              <w:tabs>
                <w:tab w:val="left" w:pos="-1440"/>
                <w:tab w:val="left" w:pos="-720"/>
              </w:tabs>
              <w:rPr>
                <w:sz w:val="20"/>
                <w:szCs w:val="20"/>
              </w:rPr>
            </w:pPr>
          </w:p>
          <w:p w:rsidR="00DE4625" w:rsidRPr="00A935AA" w:rsidRDefault="00DE4625" w:rsidP="00DE4625">
            <w:pPr>
              <w:tabs>
                <w:tab w:val="left" w:pos="-1440"/>
                <w:tab w:val="left" w:pos="-720"/>
              </w:tabs>
              <w:rPr>
                <w:sz w:val="20"/>
                <w:szCs w:val="20"/>
              </w:rPr>
            </w:pPr>
            <w:r w:rsidRPr="00A935AA">
              <w:rPr>
                <w:sz w:val="20"/>
                <w:szCs w:val="20"/>
              </w:rPr>
              <w:tab/>
              <w:t>v. (3</w:t>
            </w:r>
            <w:r>
              <w:rPr>
                <w:sz w:val="20"/>
                <w:szCs w:val="20"/>
              </w:rPr>
              <w:t>5916</w:t>
            </w:r>
            <w:r w:rsidRPr="00A935AA">
              <w:rPr>
                <w:sz w:val="20"/>
                <w:szCs w:val="20"/>
              </w:rPr>
              <w:t>)</w:t>
            </w:r>
          </w:p>
          <w:p w:rsidR="00DE4625" w:rsidRPr="00A935AA" w:rsidRDefault="00DE4625" w:rsidP="00DE4625">
            <w:pPr>
              <w:tabs>
                <w:tab w:val="left" w:pos="-1440"/>
                <w:tab w:val="left" w:pos="-720"/>
              </w:tabs>
              <w:rPr>
                <w:sz w:val="20"/>
                <w:szCs w:val="20"/>
              </w:rPr>
            </w:pPr>
          </w:p>
          <w:p w:rsidR="00DE4625" w:rsidRPr="00A935AA" w:rsidRDefault="00DE4625" w:rsidP="00DE4625">
            <w:pPr>
              <w:tabs>
                <w:tab w:val="left" w:pos="-1440"/>
                <w:tab w:val="left" w:pos="-720"/>
              </w:tabs>
              <w:rPr>
                <w:b/>
                <w:sz w:val="20"/>
                <w:szCs w:val="20"/>
              </w:rPr>
            </w:pPr>
            <w:r>
              <w:rPr>
                <w:b/>
                <w:sz w:val="20"/>
                <w:szCs w:val="20"/>
              </w:rPr>
              <w:t xml:space="preserve">Her Majesty the Queen in Right of Newfoundland and Labrador as Represented by the Minister of Finance et al. </w:t>
            </w:r>
            <w:r w:rsidRPr="00A935AA">
              <w:rPr>
                <w:b/>
                <w:sz w:val="20"/>
                <w:szCs w:val="20"/>
              </w:rPr>
              <w:t>(</w:t>
            </w:r>
            <w:r>
              <w:rPr>
                <w:b/>
                <w:sz w:val="20"/>
                <w:szCs w:val="20"/>
              </w:rPr>
              <w:t>N.L</w:t>
            </w:r>
            <w:r w:rsidRPr="00A935AA">
              <w:rPr>
                <w:b/>
                <w:sz w:val="20"/>
                <w:szCs w:val="20"/>
              </w:rPr>
              <w:t>.)</w:t>
            </w:r>
          </w:p>
          <w:p w:rsidR="00DE4625" w:rsidRPr="00A935AA" w:rsidRDefault="00DE4625" w:rsidP="00DE4625">
            <w:pPr>
              <w:tabs>
                <w:tab w:val="left" w:pos="-1440"/>
                <w:tab w:val="left" w:pos="-720"/>
              </w:tabs>
              <w:rPr>
                <w:sz w:val="20"/>
                <w:szCs w:val="20"/>
              </w:rPr>
            </w:pPr>
            <w:r w:rsidRPr="00A935AA">
              <w:rPr>
                <w:sz w:val="20"/>
                <w:szCs w:val="20"/>
              </w:rPr>
              <w:tab/>
            </w:r>
            <w:r>
              <w:rPr>
                <w:sz w:val="20"/>
                <w:szCs w:val="20"/>
              </w:rPr>
              <w:t>Rolf Pritchard, Q.C.</w:t>
            </w:r>
          </w:p>
          <w:p w:rsidR="00DE4625" w:rsidRPr="00A935AA" w:rsidRDefault="00DE4625" w:rsidP="00DE4625">
            <w:pPr>
              <w:tabs>
                <w:tab w:val="left" w:pos="-1440"/>
                <w:tab w:val="left" w:pos="-720"/>
              </w:tabs>
              <w:rPr>
                <w:sz w:val="20"/>
                <w:szCs w:val="20"/>
              </w:rPr>
            </w:pPr>
            <w:r w:rsidRPr="00A935AA">
              <w:rPr>
                <w:sz w:val="20"/>
                <w:szCs w:val="20"/>
              </w:rPr>
              <w:tab/>
            </w:r>
            <w:r>
              <w:rPr>
                <w:sz w:val="20"/>
                <w:szCs w:val="20"/>
              </w:rPr>
              <w:t>A.G. of Newfoundland and Labrador</w:t>
            </w:r>
          </w:p>
          <w:p w:rsidR="00DE4625" w:rsidRPr="00A935AA" w:rsidRDefault="00DE4625" w:rsidP="00DE4625">
            <w:pPr>
              <w:tabs>
                <w:tab w:val="left" w:pos="-1440"/>
                <w:tab w:val="left" w:pos="-720"/>
              </w:tabs>
              <w:rPr>
                <w:sz w:val="20"/>
                <w:szCs w:val="20"/>
              </w:rPr>
            </w:pPr>
          </w:p>
          <w:p w:rsidR="00DE4625" w:rsidRPr="00DE4625" w:rsidRDefault="00DE4625" w:rsidP="00763CD9">
            <w:pPr>
              <w:rPr>
                <w:sz w:val="20"/>
                <w:szCs w:val="20"/>
              </w:rPr>
            </w:pPr>
            <w:r w:rsidRPr="00A935AA">
              <w:rPr>
                <w:sz w:val="20"/>
                <w:szCs w:val="20"/>
              </w:rPr>
              <w:t>FILING DATE: 2</w:t>
            </w:r>
            <w:r>
              <w:rPr>
                <w:sz w:val="20"/>
                <w:szCs w:val="20"/>
              </w:rPr>
              <w:t>9</w:t>
            </w:r>
            <w:r w:rsidRPr="00A935AA">
              <w:rPr>
                <w:sz w:val="20"/>
                <w:szCs w:val="20"/>
              </w:rPr>
              <w:t>.0</w:t>
            </w:r>
            <w:r w:rsidR="00763CD9">
              <w:rPr>
                <w:sz w:val="20"/>
                <w:szCs w:val="20"/>
              </w:rPr>
              <w:t>5</w:t>
            </w:r>
            <w:r w:rsidRPr="00A935AA">
              <w:rPr>
                <w:sz w:val="20"/>
                <w:szCs w:val="20"/>
              </w:rPr>
              <w:t>.201</w:t>
            </w:r>
            <w:r>
              <w:rPr>
                <w:sz w:val="20"/>
                <w:szCs w:val="20"/>
              </w:rPr>
              <w:t>4</w:t>
            </w:r>
            <w:r w:rsidR="006E182C">
              <w:rPr>
                <w:sz w:val="20"/>
                <w:szCs w:val="20"/>
                <w:lang w:val="fr-CA"/>
              </w:rPr>
              <w:pict>
                <v:rect id="_x0000_i1037" style="width:108pt;height:1pt" o:hrpct="0" o:hralign="center" o:hrstd="t" o:hrnoshade="t" o:hr="t" fillcolor="black [3213]" stroked="f"/>
              </w:pict>
            </w:r>
          </w:p>
        </w:tc>
        <w:tc>
          <w:tcPr>
            <w:tcW w:w="1181" w:type="dxa"/>
            <w:shd w:val="clear" w:color="auto" w:fill="auto"/>
          </w:tcPr>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p w:rsidR="00DE4625" w:rsidRDefault="00DE4625" w:rsidP="00242AEE">
            <w:pPr>
              <w:jc w:val="center"/>
              <w:rPr>
                <w:sz w:val="20"/>
                <w:szCs w:val="20"/>
              </w:rPr>
            </w:pPr>
          </w:p>
        </w:tc>
        <w:tc>
          <w:tcPr>
            <w:tcW w:w="4320" w:type="dxa"/>
            <w:shd w:val="clear" w:color="auto" w:fill="auto"/>
          </w:tcPr>
          <w:p w:rsidR="00DE4625" w:rsidRDefault="00DE4625" w:rsidP="008155AB">
            <w:pPr>
              <w:rPr>
                <w:b/>
                <w:sz w:val="20"/>
                <w:szCs w:val="20"/>
              </w:rPr>
            </w:pPr>
          </w:p>
          <w:p w:rsidR="00DE4625" w:rsidRDefault="00DE4625" w:rsidP="008155AB">
            <w:pPr>
              <w:rPr>
                <w:b/>
                <w:sz w:val="20"/>
                <w:szCs w:val="20"/>
              </w:rPr>
            </w:pPr>
            <w:r>
              <w:rPr>
                <w:b/>
                <w:sz w:val="20"/>
                <w:szCs w:val="20"/>
              </w:rPr>
              <w:t>Nezahat Aslan</w:t>
            </w:r>
          </w:p>
          <w:p w:rsidR="00DE4625" w:rsidRPr="00A935AA" w:rsidRDefault="00DE4625" w:rsidP="00DE4625">
            <w:pPr>
              <w:tabs>
                <w:tab w:val="left" w:pos="-1440"/>
                <w:tab w:val="left" w:pos="-720"/>
              </w:tabs>
              <w:rPr>
                <w:sz w:val="20"/>
                <w:szCs w:val="20"/>
              </w:rPr>
            </w:pPr>
            <w:r>
              <w:rPr>
                <w:sz w:val="20"/>
                <w:szCs w:val="20"/>
              </w:rPr>
              <w:tab/>
              <w:t>Alfred Schorr</w:t>
            </w:r>
          </w:p>
          <w:p w:rsidR="00DE4625" w:rsidRPr="00A935AA" w:rsidRDefault="00DE4625" w:rsidP="00DE4625">
            <w:pPr>
              <w:tabs>
                <w:tab w:val="left" w:pos="-1440"/>
                <w:tab w:val="left" w:pos="-720"/>
              </w:tabs>
              <w:rPr>
                <w:sz w:val="20"/>
                <w:szCs w:val="20"/>
              </w:rPr>
            </w:pPr>
          </w:p>
          <w:p w:rsidR="00DE4625" w:rsidRPr="00A935AA" w:rsidRDefault="00DE4625" w:rsidP="00DE4625">
            <w:pPr>
              <w:tabs>
                <w:tab w:val="left" w:pos="-1440"/>
                <w:tab w:val="left" w:pos="-720"/>
              </w:tabs>
              <w:rPr>
                <w:sz w:val="20"/>
                <w:szCs w:val="20"/>
              </w:rPr>
            </w:pPr>
            <w:r w:rsidRPr="00A935AA">
              <w:rPr>
                <w:sz w:val="20"/>
                <w:szCs w:val="20"/>
              </w:rPr>
              <w:tab/>
              <w:t>v. (3</w:t>
            </w:r>
            <w:r>
              <w:rPr>
                <w:sz w:val="20"/>
                <w:szCs w:val="20"/>
              </w:rPr>
              <w:t>5914</w:t>
            </w:r>
            <w:r w:rsidRPr="00A935AA">
              <w:rPr>
                <w:sz w:val="20"/>
                <w:szCs w:val="20"/>
              </w:rPr>
              <w:t>)</w:t>
            </w:r>
          </w:p>
          <w:p w:rsidR="00DE4625" w:rsidRPr="00A935AA" w:rsidRDefault="00DE4625" w:rsidP="00DE4625">
            <w:pPr>
              <w:tabs>
                <w:tab w:val="left" w:pos="-1440"/>
                <w:tab w:val="left" w:pos="-720"/>
              </w:tabs>
              <w:rPr>
                <w:sz w:val="20"/>
                <w:szCs w:val="20"/>
              </w:rPr>
            </w:pPr>
          </w:p>
          <w:p w:rsidR="00DE4625" w:rsidRPr="00A935AA" w:rsidRDefault="00DE4625" w:rsidP="00DE4625">
            <w:pPr>
              <w:tabs>
                <w:tab w:val="left" w:pos="-1440"/>
                <w:tab w:val="left" w:pos="-720"/>
              </w:tabs>
              <w:rPr>
                <w:b/>
                <w:sz w:val="20"/>
                <w:szCs w:val="20"/>
              </w:rPr>
            </w:pPr>
            <w:r>
              <w:rPr>
                <w:b/>
                <w:sz w:val="20"/>
                <w:szCs w:val="20"/>
              </w:rPr>
              <w:t xml:space="preserve">Harris &amp; Partners Inc., in its capacity of Trustees in Bankruptcy of Ibrahim Aslan </w:t>
            </w:r>
            <w:r w:rsidRPr="00A935AA">
              <w:rPr>
                <w:b/>
                <w:sz w:val="20"/>
                <w:szCs w:val="20"/>
              </w:rPr>
              <w:t>(</w:t>
            </w:r>
            <w:r>
              <w:rPr>
                <w:b/>
                <w:sz w:val="20"/>
                <w:szCs w:val="20"/>
              </w:rPr>
              <w:t>Ont</w:t>
            </w:r>
            <w:r w:rsidRPr="00A935AA">
              <w:rPr>
                <w:b/>
                <w:sz w:val="20"/>
                <w:szCs w:val="20"/>
              </w:rPr>
              <w:t>.)</w:t>
            </w:r>
          </w:p>
          <w:p w:rsidR="00DE4625" w:rsidRPr="00A935AA" w:rsidRDefault="00DE4625" w:rsidP="00DE4625">
            <w:pPr>
              <w:tabs>
                <w:tab w:val="left" w:pos="-1440"/>
                <w:tab w:val="left" w:pos="-720"/>
              </w:tabs>
              <w:rPr>
                <w:sz w:val="20"/>
                <w:szCs w:val="20"/>
              </w:rPr>
            </w:pPr>
            <w:r w:rsidRPr="00A935AA">
              <w:rPr>
                <w:sz w:val="20"/>
                <w:szCs w:val="20"/>
              </w:rPr>
              <w:tab/>
            </w:r>
            <w:r>
              <w:rPr>
                <w:sz w:val="20"/>
                <w:szCs w:val="20"/>
              </w:rPr>
              <w:t>Sean N. Zeitz</w:t>
            </w:r>
          </w:p>
          <w:p w:rsidR="00DE4625" w:rsidRPr="00A935AA" w:rsidRDefault="00DE4625" w:rsidP="00DE4625">
            <w:pPr>
              <w:tabs>
                <w:tab w:val="left" w:pos="-1440"/>
                <w:tab w:val="left" w:pos="-720"/>
              </w:tabs>
              <w:rPr>
                <w:sz w:val="20"/>
                <w:szCs w:val="20"/>
              </w:rPr>
            </w:pPr>
            <w:r w:rsidRPr="00A935AA">
              <w:rPr>
                <w:sz w:val="20"/>
                <w:szCs w:val="20"/>
              </w:rPr>
              <w:tab/>
            </w:r>
            <w:r>
              <w:rPr>
                <w:sz w:val="20"/>
                <w:szCs w:val="20"/>
              </w:rPr>
              <w:t>Lipman, Zener &amp; Waxman</w:t>
            </w:r>
          </w:p>
          <w:p w:rsidR="00DE4625" w:rsidRPr="00A935AA" w:rsidRDefault="00DE4625" w:rsidP="00DE4625">
            <w:pPr>
              <w:tabs>
                <w:tab w:val="left" w:pos="-1440"/>
                <w:tab w:val="left" w:pos="-720"/>
              </w:tabs>
              <w:rPr>
                <w:sz w:val="20"/>
                <w:szCs w:val="20"/>
              </w:rPr>
            </w:pPr>
          </w:p>
          <w:p w:rsidR="00DE4625" w:rsidRPr="00DE4625" w:rsidRDefault="00DE4625" w:rsidP="00763CD9">
            <w:pPr>
              <w:rPr>
                <w:sz w:val="20"/>
                <w:szCs w:val="20"/>
              </w:rPr>
            </w:pPr>
            <w:r w:rsidRPr="00A935AA">
              <w:rPr>
                <w:sz w:val="20"/>
                <w:szCs w:val="20"/>
              </w:rPr>
              <w:t>FILING DATE: 2</w:t>
            </w:r>
            <w:r>
              <w:rPr>
                <w:sz w:val="20"/>
                <w:szCs w:val="20"/>
              </w:rPr>
              <w:t>9</w:t>
            </w:r>
            <w:r w:rsidRPr="00A935AA">
              <w:rPr>
                <w:sz w:val="20"/>
                <w:szCs w:val="20"/>
              </w:rPr>
              <w:t>.0</w:t>
            </w:r>
            <w:r>
              <w:rPr>
                <w:sz w:val="20"/>
                <w:szCs w:val="20"/>
              </w:rPr>
              <w:t>5</w:t>
            </w:r>
            <w:r w:rsidRPr="00A935AA">
              <w:rPr>
                <w:sz w:val="20"/>
                <w:szCs w:val="20"/>
              </w:rPr>
              <w:t>.201</w:t>
            </w:r>
            <w:r>
              <w:rPr>
                <w:sz w:val="20"/>
                <w:szCs w:val="20"/>
              </w:rPr>
              <w:t>4</w:t>
            </w:r>
            <w:r w:rsidR="006E182C">
              <w:rPr>
                <w:sz w:val="20"/>
                <w:szCs w:val="20"/>
                <w:lang w:val="fr-CA"/>
              </w:rPr>
              <w:pict>
                <v:rect id="_x0000_i1038" style="width:108pt;height:1pt" o:hrpct="0" o:hralign="center" o:hrstd="t" o:hrnoshade="t" o:hr="t" fillcolor="black [3213]" stroked="f"/>
              </w:pict>
            </w:r>
          </w:p>
        </w:tc>
      </w:tr>
      <w:tr w:rsidR="00763CD9" w:rsidRPr="00A935AA" w:rsidTr="003B3977">
        <w:trPr>
          <w:cantSplit/>
        </w:trPr>
        <w:tc>
          <w:tcPr>
            <w:tcW w:w="4320" w:type="dxa"/>
            <w:shd w:val="clear" w:color="auto" w:fill="auto"/>
          </w:tcPr>
          <w:p w:rsidR="00763CD9" w:rsidRPr="00763CD9" w:rsidRDefault="00763CD9" w:rsidP="00DE4625">
            <w:pPr>
              <w:rPr>
                <w:b/>
                <w:sz w:val="20"/>
                <w:szCs w:val="20"/>
                <w:lang w:val="fr-CA"/>
              </w:rPr>
            </w:pPr>
            <w:r w:rsidRPr="00763CD9">
              <w:rPr>
                <w:b/>
                <w:sz w:val="20"/>
                <w:szCs w:val="20"/>
                <w:lang w:val="fr-CA"/>
              </w:rPr>
              <w:t>0802913 BC Ltd. et al.</w:t>
            </w:r>
          </w:p>
          <w:p w:rsidR="00763CD9" w:rsidRPr="00763CD9" w:rsidRDefault="00763CD9" w:rsidP="00DE4625">
            <w:pPr>
              <w:tabs>
                <w:tab w:val="left" w:pos="-1440"/>
                <w:tab w:val="left" w:pos="-720"/>
              </w:tabs>
              <w:rPr>
                <w:sz w:val="20"/>
                <w:szCs w:val="20"/>
                <w:lang w:val="fr-CA"/>
              </w:rPr>
            </w:pPr>
            <w:r w:rsidRPr="00763CD9">
              <w:rPr>
                <w:sz w:val="20"/>
                <w:szCs w:val="20"/>
                <w:lang w:val="fr-CA"/>
              </w:rPr>
              <w:tab/>
              <w:t>H.C. Ritchie Clark, Q.C.</w:t>
            </w:r>
          </w:p>
          <w:p w:rsidR="00763CD9" w:rsidRPr="00763CD9" w:rsidRDefault="00763CD9" w:rsidP="00DE4625">
            <w:pPr>
              <w:tabs>
                <w:tab w:val="left" w:pos="-1440"/>
                <w:tab w:val="left" w:pos="-720"/>
              </w:tabs>
              <w:rPr>
                <w:sz w:val="20"/>
                <w:szCs w:val="20"/>
              </w:rPr>
            </w:pPr>
            <w:r w:rsidRPr="00763CD9">
              <w:rPr>
                <w:sz w:val="20"/>
                <w:szCs w:val="20"/>
                <w:lang w:val="fr-CA"/>
              </w:rPr>
              <w:tab/>
            </w:r>
            <w:r w:rsidRPr="00763CD9">
              <w:rPr>
                <w:sz w:val="20"/>
                <w:szCs w:val="20"/>
              </w:rPr>
              <w:t>Boughton Law Corporation</w:t>
            </w:r>
          </w:p>
          <w:p w:rsidR="00763CD9" w:rsidRPr="00763CD9" w:rsidRDefault="00763CD9" w:rsidP="00DE4625">
            <w:pPr>
              <w:tabs>
                <w:tab w:val="left" w:pos="-1440"/>
                <w:tab w:val="left" w:pos="-720"/>
              </w:tabs>
              <w:rPr>
                <w:sz w:val="20"/>
                <w:szCs w:val="20"/>
              </w:rPr>
            </w:pPr>
          </w:p>
          <w:p w:rsidR="00763CD9" w:rsidRPr="00A935AA" w:rsidRDefault="00763CD9" w:rsidP="00DE4625">
            <w:pPr>
              <w:tabs>
                <w:tab w:val="left" w:pos="-1440"/>
                <w:tab w:val="left" w:pos="-720"/>
              </w:tabs>
              <w:rPr>
                <w:sz w:val="20"/>
                <w:szCs w:val="20"/>
              </w:rPr>
            </w:pPr>
            <w:r w:rsidRPr="00763CD9">
              <w:rPr>
                <w:sz w:val="20"/>
                <w:szCs w:val="20"/>
              </w:rPr>
              <w:tab/>
            </w:r>
            <w:r w:rsidRPr="00A935AA">
              <w:rPr>
                <w:sz w:val="20"/>
                <w:szCs w:val="20"/>
              </w:rPr>
              <w:t>v. (3</w:t>
            </w:r>
            <w:r>
              <w:rPr>
                <w:sz w:val="20"/>
                <w:szCs w:val="20"/>
              </w:rPr>
              <w:t>5919</w:t>
            </w:r>
            <w:r w:rsidRPr="00A935AA">
              <w:rPr>
                <w:sz w:val="20"/>
                <w:szCs w:val="20"/>
              </w:rPr>
              <w:t>)</w:t>
            </w:r>
          </w:p>
          <w:p w:rsidR="00763CD9" w:rsidRPr="00A935AA" w:rsidRDefault="00763CD9" w:rsidP="00DE4625">
            <w:pPr>
              <w:tabs>
                <w:tab w:val="left" w:pos="-1440"/>
                <w:tab w:val="left" w:pos="-720"/>
              </w:tabs>
              <w:rPr>
                <w:sz w:val="20"/>
                <w:szCs w:val="20"/>
              </w:rPr>
            </w:pPr>
          </w:p>
          <w:p w:rsidR="00763CD9" w:rsidRPr="00A935AA" w:rsidRDefault="00763CD9" w:rsidP="00DE4625">
            <w:pPr>
              <w:tabs>
                <w:tab w:val="left" w:pos="-1440"/>
                <w:tab w:val="left" w:pos="-720"/>
              </w:tabs>
              <w:rPr>
                <w:b/>
                <w:sz w:val="20"/>
                <w:szCs w:val="20"/>
              </w:rPr>
            </w:pPr>
            <w:r>
              <w:rPr>
                <w:b/>
                <w:sz w:val="20"/>
                <w:szCs w:val="20"/>
              </w:rPr>
              <w:t xml:space="preserve">John Roberts </w:t>
            </w:r>
            <w:r w:rsidRPr="00A935AA">
              <w:rPr>
                <w:b/>
                <w:sz w:val="20"/>
                <w:szCs w:val="20"/>
              </w:rPr>
              <w:t>(</w:t>
            </w:r>
            <w:r>
              <w:rPr>
                <w:b/>
                <w:sz w:val="20"/>
                <w:szCs w:val="20"/>
              </w:rPr>
              <w:t>B.C</w:t>
            </w:r>
            <w:r w:rsidRPr="00A935AA">
              <w:rPr>
                <w:b/>
                <w:sz w:val="20"/>
                <w:szCs w:val="20"/>
              </w:rPr>
              <w:t>.)</w:t>
            </w:r>
          </w:p>
          <w:p w:rsidR="00763CD9" w:rsidRPr="00A935AA" w:rsidRDefault="00763CD9" w:rsidP="00DE4625">
            <w:pPr>
              <w:tabs>
                <w:tab w:val="left" w:pos="-1440"/>
                <w:tab w:val="left" w:pos="-720"/>
              </w:tabs>
              <w:rPr>
                <w:sz w:val="20"/>
                <w:szCs w:val="20"/>
              </w:rPr>
            </w:pPr>
            <w:r w:rsidRPr="00A935AA">
              <w:rPr>
                <w:sz w:val="20"/>
                <w:szCs w:val="20"/>
              </w:rPr>
              <w:tab/>
            </w:r>
            <w:r>
              <w:rPr>
                <w:sz w:val="20"/>
                <w:szCs w:val="20"/>
              </w:rPr>
              <w:t>John R. Shewfelt</w:t>
            </w:r>
          </w:p>
          <w:p w:rsidR="00763CD9" w:rsidRPr="00A935AA" w:rsidRDefault="00763CD9" w:rsidP="00DE4625">
            <w:pPr>
              <w:tabs>
                <w:tab w:val="left" w:pos="-1440"/>
                <w:tab w:val="left" w:pos="-720"/>
              </w:tabs>
              <w:rPr>
                <w:sz w:val="20"/>
                <w:szCs w:val="20"/>
              </w:rPr>
            </w:pPr>
            <w:r w:rsidRPr="00A935AA">
              <w:rPr>
                <w:sz w:val="20"/>
                <w:szCs w:val="20"/>
              </w:rPr>
              <w:tab/>
            </w:r>
            <w:r>
              <w:rPr>
                <w:sz w:val="20"/>
                <w:szCs w:val="20"/>
              </w:rPr>
              <w:t>Miller Thomson LLP</w:t>
            </w:r>
          </w:p>
          <w:p w:rsidR="00763CD9" w:rsidRPr="00A935AA" w:rsidRDefault="00763CD9" w:rsidP="00DE4625">
            <w:pPr>
              <w:tabs>
                <w:tab w:val="left" w:pos="-1440"/>
                <w:tab w:val="left" w:pos="-720"/>
              </w:tabs>
              <w:rPr>
                <w:sz w:val="20"/>
                <w:szCs w:val="20"/>
              </w:rPr>
            </w:pPr>
          </w:p>
          <w:p w:rsidR="00763CD9" w:rsidRPr="00A935AA" w:rsidRDefault="00763CD9" w:rsidP="00763CD9">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5</w:t>
            </w:r>
            <w:r w:rsidRPr="00A935AA">
              <w:rPr>
                <w:sz w:val="20"/>
                <w:szCs w:val="20"/>
              </w:rPr>
              <w:t>.201</w:t>
            </w:r>
            <w:r>
              <w:rPr>
                <w:sz w:val="20"/>
                <w:szCs w:val="20"/>
              </w:rPr>
              <w:t>4</w:t>
            </w:r>
            <w:r w:rsidR="006E182C">
              <w:rPr>
                <w:sz w:val="20"/>
                <w:szCs w:val="20"/>
                <w:lang w:val="fr-CA"/>
              </w:rPr>
              <w:pict>
                <v:rect id="_x0000_i1039" style="width:108pt;height:1pt" o:hrpct="0" o:hralign="center" o:hrstd="t" o:hrnoshade="t" o:hr="t" fillcolor="black [3213]" stroked="f"/>
              </w:pict>
            </w:r>
          </w:p>
        </w:tc>
        <w:tc>
          <w:tcPr>
            <w:tcW w:w="1181" w:type="dxa"/>
            <w:shd w:val="clear" w:color="auto" w:fill="auto"/>
          </w:tcPr>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p w:rsidR="00763CD9" w:rsidRDefault="00763CD9" w:rsidP="00242AEE">
            <w:pPr>
              <w:jc w:val="center"/>
              <w:rPr>
                <w:sz w:val="20"/>
                <w:szCs w:val="20"/>
              </w:rPr>
            </w:pPr>
          </w:p>
        </w:tc>
        <w:tc>
          <w:tcPr>
            <w:tcW w:w="4320" w:type="dxa"/>
            <w:shd w:val="clear" w:color="auto" w:fill="auto"/>
          </w:tcPr>
          <w:p w:rsidR="00763CD9" w:rsidRDefault="00763CD9" w:rsidP="00763CD9">
            <w:pPr>
              <w:rPr>
                <w:b/>
                <w:sz w:val="20"/>
                <w:szCs w:val="20"/>
              </w:rPr>
            </w:pPr>
            <w:r>
              <w:rPr>
                <w:b/>
                <w:sz w:val="20"/>
                <w:szCs w:val="20"/>
              </w:rPr>
              <w:t>Merit Consultants International Ltd.</w:t>
            </w:r>
          </w:p>
          <w:p w:rsidR="00763CD9" w:rsidRPr="00A935AA" w:rsidRDefault="00763CD9" w:rsidP="00763CD9">
            <w:pPr>
              <w:tabs>
                <w:tab w:val="left" w:pos="-1440"/>
                <w:tab w:val="left" w:pos="-720"/>
              </w:tabs>
              <w:rPr>
                <w:sz w:val="20"/>
                <w:szCs w:val="20"/>
              </w:rPr>
            </w:pPr>
            <w:r>
              <w:rPr>
                <w:sz w:val="20"/>
                <w:szCs w:val="20"/>
              </w:rPr>
              <w:tab/>
              <w:t>Kevin A. McLean</w:t>
            </w:r>
          </w:p>
          <w:p w:rsidR="00763CD9" w:rsidRDefault="00763CD9" w:rsidP="00763CD9">
            <w:pPr>
              <w:tabs>
                <w:tab w:val="left" w:pos="-1440"/>
                <w:tab w:val="left" w:pos="-720"/>
              </w:tabs>
              <w:rPr>
                <w:sz w:val="20"/>
                <w:szCs w:val="20"/>
              </w:rPr>
            </w:pPr>
            <w:r>
              <w:rPr>
                <w:sz w:val="20"/>
                <w:szCs w:val="20"/>
              </w:rPr>
              <w:tab/>
              <w:t>McLean, Lo &amp; Ayling</w:t>
            </w:r>
          </w:p>
          <w:p w:rsidR="00763CD9" w:rsidRPr="00A935AA" w:rsidRDefault="00763CD9" w:rsidP="00763CD9">
            <w:pPr>
              <w:tabs>
                <w:tab w:val="left" w:pos="-1440"/>
                <w:tab w:val="left" w:pos="-720"/>
              </w:tabs>
              <w:rPr>
                <w:sz w:val="20"/>
                <w:szCs w:val="20"/>
              </w:rPr>
            </w:pPr>
          </w:p>
          <w:p w:rsidR="00763CD9" w:rsidRPr="00A935AA" w:rsidRDefault="00763CD9" w:rsidP="00763CD9">
            <w:pPr>
              <w:tabs>
                <w:tab w:val="left" w:pos="-1440"/>
                <w:tab w:val="left" w:pos="-720"/>
              </w:tabs>
              <w:rPr>
                <w:sz w:val="20"/>
                <w:szCs w:val="20"/>
              </w:rPr>
            </w:pPr>
            <w:r w:rsidRPr="00A935AA">
              <w:rPr>
                <w:sz w:val="20"/>
                <w:szCs w:val="20"/>
              </w:rPr>
              <w:tab/>
              <w:t>v. (3</w:t>
            </w:r>
            <w:r>
              <w:rPr>
                <w:sz w:val="20"/>
                <w:szCs w:val="20"/>
              </w:rPr>
              <w:t>5920</w:t>
            </w:r>
            <w:r w:rsidRPr="00A935AA">
              <w:rPr>
                <w:sz w:val="20"/>
                <w:szCs w:val="20"/>
              </w:rPr>
              <w:t>)</w:t>
            </w:r>
          </w:p>
          <w:p w:rsidR="00763CD9" w:rsidRPr="00A935AA" w:rsidRDefault="00763CD9" w:rsidP="00763CD9">
            <w:pPr>
              <w:tabs>
                <w:tab w:val="left" w:pos="-1440"/>
                <w:tab w:val="left" w:pos="-720"/>
              </w:tabs>
              <w:rPr>
                <w:sz w:val="20"/>
                <w:szCs w:val="20"/>
              </w:rPr>
            </w:pPr>
          </w:p>
          <w:p w:rsidR="00763CD9" w:rsidRPr="00A935AA" w:rsidRDefault="00763CD9" w:rsidP="00763CD9">
            <w:pPr>
              <w:tabs>
                <w:tab w:val="left" w:pos="-1440"/>
                <w:tab w:val="left" w:pos="-720"/>
              </w:tabs>
              <w:rPr>
                <w:b/>
                <w:sz w:val="20"/>
                <w:szCs w:val="20"/>
              </w:rPr>
            </w:pPr>
            <w:r>
              <w:rPr>
                <w:b/>
                <w:sz w:val="20"/>
                <w:szCs w:val="20"/>
              </w:rPr>
              <w:t xml:space="preserve">Terence Chandler et al. </w:t>
            </w:r>
            <w:r w:rsidRPr="00A935AA">
              <w:rPr>
                <w:b/>
                <w:sz w:val="20"/>
                <w:szCs w:val="20"/>
              </w:rPr>
              <w:t>(</w:t>
            </w:r>
            <w:r>
              <w:rPr>
                <w:b/>
                <w:sz w:val="20"/>
                <w:szCs w:val="20"/>
              </w:rPr>
              <w:t>B.C</w:t>
            </w:r>
            <w:r w:rsidRPr="00A935AA">
              <w:rPr>
                <w:b/>
                <w:sz w:val="20"/>
                <w:szCs w:val="20"/>
              </w:rPr>
              <w:t>.)</w:t>
            </w:r>
          </w:p>
          <w:p w:rsidR="00763CD9" w:rsidRPr="00A935AA" w:rsidRDefault="00763CD9" w:rsidP="00763CD9">
            <w:pPr>
              <w:tabs>
                <w:tab w:val="left" w:pos="-1440"/>
                <w:tab w:val="left" w:pos="-720"/>
              </w:tabs>
              <w:rPr>
                <w:sz w:val="20"/>
                <w:szCs w:val="20"/>
              </w:rPr>
            </w:pPr>
            <w:r w:rsidRPr="00A935AA">
              <w:rPr>
                <w:sz w:val="20"/>
                <w:szCs w:val="20"/>
              </w:rPr>
              <w:tab/>
            </w:r>
            <w:r>
              <w:rPr>
                <w:sz w:val="20"/>
                <w:szCs w:val="20"/>
              </w:rPr>
              <w:t>Simon B. Margolis</w:t>
            </w:r>
          </w:p>
          <w:p w:rsidR="00763CD9" w:rsidRDefault="00763CD9" w:rsidP="00763CD9">
            <w:pPr>
              <w:tabs>
                <w:tab w:val="left" w:pos="-1440"/>
                <w:tab w:val="left" w:pos="-720"/>
              </w:tabs>
              <w:rPr>
                <w:sz w:val="20"/>
                <w:szCs w:val="20"/>
              </w:rPr>
            </w:pPr>
            <w:r w:rsidRPr="00A935AA">
              <w:rPr>
                <w:sz w:val="20"/>
                <w:szCs w:val="20"/>
              </w:rPr>
              <w:tab/>
            </w:r>
            <w:r>
              <w:rPr>
                <w:sz w:val="20"/>
                <w:szCs w:val="20"/>
              </w:rPr>
              <w:t>Bull Housser &amp; Tupper LLP</w:t>
            </w:r>
          </w:p>
          <w:p w:rsidR="00763CD9" w:rsidRPr="00A935AA" w:rsidRDefault="00763CD9" w:rsidP="00763CD9">
            <w:pPr>
              <w:tabs>
                <w:tab w:val="left" w:pos="-1440"/>
                <w:tab w:val="left" w:pos="-720"/>
              </w:tabs>
              <w:rPr>
                <w:sz w:val="20"/>
                <w:szCs w:val="20"/>
              </w:rPr>
            </w:pPr>
          </w:p>
          <w:p w:rsidR="00763CD9" w:rsidRPr="00DE4625" w:rsidRDefault="00763CD9" w:rsidP="00763CD9">
            <w:pPr>
              <w:rPr>
                <w:sz w:val="20"/>
                <w:szCs w:val="20"/>
              </w:rPr>
            </w:pPr>
            <w:r w:rsidRPr="00A935AA">
              <w:rPr>
                <w:sz w:val="20"/>
                <w:szCs w:val="20"/>
              </w:rPr>
              <w:t xml:space="preserve">FILING DATE: </w:t>
            </w:r>
            <w:r>
              <w:rPr>
                <w:sz w:val="20"/>
                <w:szCs w:val="20"/>
              </w:rPr>
              <w:t>30</w:t>
            </w:r>
            <w:r w:rsidRPr="00A935AA">
              <w:rPr>
                <w:sz w:val="20"/>
                <w:szCs w:val="20"/>
              </w:rPr>
              <w:t>.0</w:t>
            </w:r>
            <w:r>
              <w:rPr>
                <w:sz w:val="20"/>
                <w:szCs w:val="20"/>
              </w:rPr>
              <w:t>5</w:t>
            </w:r>
            <w:r w:rsidRPr="00A935AA">
              <w:rPr>
                <w:sz w:val="20"/>
                <w:szCs w:val="20"/>
              </w:rPr>
              <w:t>.201</w:t>
            </w:r>
            <w:r>
              <w:rPr>
                <w:sz w:val="20"/>
                <w:szCs w:val="20"/>
              </w:rPr>
              <w:t>4</w:t>
            </w:r>
            <w:r w:rsidR="006E182C">
              <w:rPr>
                <w:sz w:val="20"/>
                <w:szCs w:val="20"/>
                <w:lang w:val="fr-CA"/>
              </w:rPr>
              <w:pict>
                <v:rect id="_x0000_i1040" style="width:108pt;height:1pt" o:hrpct="0" o:hralign="center" o:hrstd="t" o:hrnoshade="t" o:hr="t" fillcolor="black [3213]" stroked="f"/>
              </w:pict>
            </w:r>
          </w:p>
        </w:tc>
      </w:tr>
      <w:tr w:rsidR="00763CD9" w:rsidRPr="00A935AA" w:rsidTr="003B3977">
        <w:trPr>
          <w:cantSplit/>
        </w:trPr>
        <w:tc>
          <w:tcPr>
            <w:tcW w:w="4320" w:type="dxa"/>
            <w:shd w:val="clear" w:color="auto" w:fill="auto"/>
          </w:tcPr>
          <w:p w:rsidR="00763CD9" w:rsidRPr="00763CD9" w:rsidRDefault="00763CD9" w:rsidP="00DE4625">
            <w:pPr>
              <w:rPr>
                <w:b/>
                <w:sz w:val="20"/>
                <w:szCs w:val="20"/>
                <w:lang w:val="fr-CA"/>
              </w:rPr>
            </w:pPr>
            <w:r w:rsidRPr="00763CD9">
              <w:rPr>
                <w:b/>
                <w:sz w:val="20"/>
                <w:szCs w:val="20"/>
                <w:lang w:val="fr-CA"/>
              </w:rPr>
              <w:lastRenderedPageBreak/>
              <w:t>Jean Bouchard</w:t>
            </w:r>
          </w:p>
          <w:p w:rsidR="00763CD9" w:rsidRPr="00763CD9" w:rsidRDefault="00763CD9" w:rsidP="00DE4625">
            <w:pPr>
              <w:tabs>
                <w:tab w:val="left" w:pos="-1440"/>
                <w:tab w:val="left" w:pos="-720"/>
              </w:tabs>
              <w:rPr>
                <w:sz w:val="20"/>
                <w:szCs w:val="20"/>
                <w:lang w:val="fr-CA"/>
              </w:rPr>
            </w:pPr>
            <w:r w:rsidRPr="00763CD9">
              <w:rPr>
                <w:sz w:val="20"/>
                <w:szCs w:val="20"/>
                <w:lang w:val="fr-CA"/>
              </w:rPr>
              <w:tab/>
              <w:t>Simon Ruel</w:t>
            </w:r>
          </w:p>
          <w:p w:rsidR="00763CD9" w:rsidRPr="00763CD9" w:rsidRDefault="00763CD9" w:rsidP="00DE4625">
            <w:pPr>
              <w:tabs>
                <w:tab w:val="left" w:pos="-1440"/>
                <w:tab w:val="left" w:pos="-720"/>
              </w:tabs>
              <w:rPr>
                <w:sz w:val="20"/>
                <w:szCs w:val="20"/>
                <w:lang w:val="fr-CA"/>
              </w:rPr>
            </w:pPr>
            <w:r w:rsidRPr="00763CD9">
              <w:rPr>
                <w:sz w:val="20"/>
                <w:szCs w:val="20"/>
                <w:lang w:val="fr-CA"/>
              </w:rPr>
              <w:tab/>
              <w:t>BCF s.e.n.c.r.l.</w:t>
            </w:r>
          </w:p>
          <w:p w:rsidR="00763CD9" w:rsidRPr="00763CD9" w:rsidRDefault="00763CD9" w:rsidP="00DE4625">
            <w:pPr>
              <w:tabs>
                <w:tab w:val="left" w:pos="-1440"/>
                <w:tab w:val="left" w:pos="-720"/>
              </w:tabs>
              <w:rPr>
                <w:sz w:val="20"/>
                <w:szCs w:val="20"/>
                <w:lang w:val="fr-CA"/>
              </w:rPr>
            </w:pPr>
          </w:p>
          <w:p w:rsidR="00763CD9" w:rsidRPr="00763CD9" w:rsidRDefault="00763CD9" w:rsidP="00DE4625">
            <w:pPr>
              <w:tabs>
                <w:tab w:val="left" w:pos="-1440"/>
                <w:tab w:val="left" w:pos="-720"/>
              </w:tabs>
              <w:rPr>
                <w:sz w:val="20"/>
                <w:szCs w:val="20"/>
                <w:lang w:val="fr-CA"/>
              </w:rPr>
            </w:pPr>
            <w:r w:rsidRPr="00763CD9">
              <w:rPr>
                <w:sz w:val="20"/>
                <w:szCs w:val="20"/>
                <w:lang w:val="fr-CA"/>
              </w:rPr>
              <w:tab/>
              <w:t>c. (35921)</w:t>
            </w:r>
          </w:p>
          <w:p w:rsidR="00763CD9" w:rsidRPr="00763CD9" w:rsidRDefault="00763CD9" w:rsidP="00DE4625">
            <w:pPr>
              <w:tabs>
                <w:tab w:val="left" w:pos="-1440"/>
                <w:tab w:val="left" w:pos="-720"/>
              </w:tabs>
              <w:rPr>
                <w:sz w:val="20"/>
                <w:szCs w:val="20"/>
                <w:lang w:val="fr-CA"/>
              </w:rPr>
            </w:pPr>
          </w:p>
          <w:p w:rsidR="00763CD9" w:rsidRPr="00763CD9" w:rsidRDefault="00763CD9" w:rsidP="00DE4625">
            <w:pPr>
              <w:tabs>
                <w:tab w:val="left" w:pos="-1440"/>
                <w:tab w:val="left" w:pos="-720"/>
              </w:tabs>
              <w:rPr>
                <w:b/>
                <w:sz w:val="20"/>
                <w:szCs w:val="20"/>
                <w:lang w:val="fr-CA"/>
              </w:rPr>
            </w:pPr>
            <w:r w:rsidRPr="00763CD9">
              <w:rPr>
                <w:b/>
                <w:sz w:val="20"/>
                <w:szCs w:val="20"/>
                <w:lang w:val="fr-CA"/>
              </w:rPr>
              <w:t>Corporation des pilotes pour le havre de Québec et au-dessous (</w:t>
            </w:r>
            <w:r>
              <w:rPr>
                <w:b/>
                <w:sz w:val="20"/>
                <w:szCs w:val="20"/>
                <w:lang w:val="fr-CA"/>
              </w:rPr>
              <w:t>Qc</w:t>
            </w:r>
            <w:r w:rsidRPr="00763CD9">
              <w:rPr>
                <w:b/>
                <w:sz w:val="20"/>
                <w:szCs w:val="20"/>
                <w:lang w:val="fr-CA"/>
              </w:rPr>
              <w:t>)</w:t>
            </w:r>
          </w:p>
          <w:p w:rsidR="00763CD9" w:rsidRPr="00763CD9" w:rsidRDefault="00763CD9" w:rsidP="00DE4625">
            <w:pPr>
              <w:tabs>
                <w:tab w:val="left" w:pos="-1440"/>
                <w:tab w:val="left" w:pos="-720"/>
              </w:tabs>
              <w:rPr>
                <w:sz w:val="20"/>
                <w:szCs w:val="20"/>
              </w:rPr>
            </w:pPr>
            <w:r w:rsidRPr="00763CD9">
              <w:rPr>
                <w:sz w:val="20"/>
                <w:szCs w:val="20"/>
                <w:lang w:val="fr-CA"/>
              </w:rPr>
              <w:tab/>
            </w:r>
            <w:r w:rsidRPr="00763CD9">
              <w:rPr>
                <w:sz w:val="20"/>
                <w:szCs w:val="20"/>
              </w:rPr>
              <w:t>Pierre Cimon</w:t>
            </w:r>
          </w:p>
          <w:p w:rsidR="00763CD9" w:rsidRPr="00763CD9" w:rsidRDefault="00763CD9" w:rsidP="00DE4625">
            <w:pPr>
              <w:tabs>
                <w:tab w:val="left" w:pos="-1440"/>
                <w:tab w:val="left" w:pos="-720"/>
              </w:tabs>
              <w:rPr>
                <w:sz w:val="20"/>
                <w:szCs w:val="20"/>
              </w:rPr>
            </w:pPr>
            <w:r w:rsidRPr="00763CD9">
              <w:rPr>
                <w:sz w:val="20"/>
                <w:szCs w:val="20"/>
              </w:rPr>
              <w:tab/>
              <w:t>Norton Rose Fulbright Canada LLP</w:t>
            </w:r>
          </w:p>
          <w:p w:rsidR="00763CD9" w:rsidRPr="00763CD9" w:rsidRDefault="00763CD9" w:rsidP="00DE4625">
            <w:pPr>
              <w:tabs>
                <w:tab w:val="left" w:pos="-1440"/>
                <w:tab w:val="left" w:pos="-720"/>
              </w:tabs>
              <w:rPr>
                <w:sz w:val="20"/>
                <w:szCs w:val="20"/>
              </w:rPr>
            </w:pPr>
          </w:p>
          <w:p w:rsidR="00763CD9" w:rsidRPr="00A935AA" w:rsidRDefault="00763CD9" w:rsidP="00763CD9">
            <w:pPr>
              <w:rPr>
                <w:sz w:val="20"/>
                <w:szCs w:val="20"/>
              </w:rPr>
            </w:pPr>
            <w:r w:rsidRPr="00806A5B">
              <w:rPr>
                <w:sz w:val="20"/>
                <w:szCs w:val="20"/>
                <w:lang w:val="fr-CA"/>
              </w:rPr>
              <w:t xml:space="preserve">DATE DE PRODUCTION: </w:t>
            </w:r>
            <w:r>
              <w:rPr>
                <w:sz w:val="20"/>
                <w:szCs w:val="20"/>
                <w:lang w:val="fr-CA"/>
              </w:rPr>
              <w:t>30</w:t>
            </w:r>
            <w:r w:rsidRPr="00806A5B">
              <w:rPr>
                <w:sz w:val="20"/>
                <w:szCs w:val="20"/>
                <w:lang w:val="fr-CA"/>
              </w:rPr>
              <w:t>.0</w:t>
            </w:r>
            <w:r>
              <w:rPr>
                <w:sz w:val="20"/>
                <w:szCs w:val="20"/>
                <w:lang w:val="fr-CA"/>
              </w:rPr>
              <w:t>5</w:t>
            </w:r>
            <w:r w:rsidRPr="00806A5B">
              <w:rPr>
                <w:sz w:val="20"/>
                <w:szCs w:val="20"/>
                <w:lang w:val="fr-CA"/>
              </w:rPr>
              <w:t>.2014</w:t>
            </w:r>
            <w:r w:rsidR="006E182C">
              <w:rPr>
                <w:sz w:val="20"/>
                <w:szCs w:val="20"/>
                <w:lang w:val="fr-CA"/>
              </w:rPr>
              <w:pict>
                <v:rect id="_x0000_i1041" style="width:108pt;height:1pt" o:hrpct="0" o:hralign="center" o:hrstd="t" o:hrnoshade="t" o:hr="t" fillcolor="black [3213]" stroked="f"/>
              </w:pict>
            </w:r>
          </w:p>
        </w:tc>
        <w:tc>
          <w:tcPr>
            <w:tcW w:w="1181" w:type="dxa"/>
            <w:shd w:val="clear" w:color="auto" w:fill="auto"/>
          </w:tcPr>
          <w:p w:rsidR="00763CD9" w:rsidRDefault="00763CD9"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p w:rsidR="002137EF" w:rsidRDefault="002137EF" w:rsidP="00242AEE">
            <w:pPr>
              <w:jc w:val="center"/>
              <w:rPr>
                <w:sz w:val="20"/>
                <w:szCs w:val="20"/>
              </w:rPr>
            </w:pPr>
          </w:p>
        </w:tc>
        <w:tc>
          <w:tcPr>
            <w:tcW w:w="4320" w:type="dxa"/>
            <w:shd w:val="clear" w:color="auto" w:fill="auto"/>
          </w:tcPr>
          <w:p w:rsidR="00763CD9" w:rsidRDefault="00763CD9" w:rsidP="00763CD9">
            <w:pPr>
              <w:rPr>
                <w:b/>
                <w:sz w:val="20"/>
                <w:szCs w:val="20"/>
              </w:rPr>
            </w:pPr>
            <w:r>
              <w:rPr>
                <w:b/>
                <w:sz w:val="20"/>
                <w:szCs w:val="20"/>
              </w:rPr>
              <w:t>Attorney General for Saskatchewan</w:t>
            </w:r>
          </w:p>
          <w:p w:rsidR="00763CD9" w:rsidRDefault="00763CD9" w:rsidP="00763CD9">
            <w:pPr>
              <w:tabs>
                <w:tab w:val="left" w:pos="-1440"/>
                <w:tab w:val="left" w:pos="-720"/>
              </w:tabs>
              <w:rPr>
                <w:sz w:val="20"/>
                <w:szCs w:val="20"/>
              </w:rPr>
            </w:pPr>
            <w:r>
              <w:rPr>
                <w:sz w:val="20"/>
                <w:szCs w:val="20"/>
              </w:rPr>
              <w:tab/>
              <w:t>Thomson Irvine</w:t>
            </w:r>
          </w:p>
          <w:p w:rsidR="00763CD9" w:rsidRPr="00A935AA" w:rsidRDefault="00763CD9" w:rsidP="00763CD9">
            <w:pPr>
              <w:tabs>
                <w:tab w:val="left" w:pos="-1440"/>
                <w:tab w:val="left" w:pos="-720"/>
              </w:tabs>
              <w:rPr>
                <w:sz w:val="20"/>
                <w:szCs w:val="20"/>
              </w:rPr>
            </w:pPr>
            <w:r>
              <w:rPr>
                <w:sz w:val="20"/>
                <w:szCs w:val="20"/>
              </w:rPr>
              <w:tab/>
              <w:t>A.G. of Saskatchewan</w:t>
            </w:r>
          </w:p>
          <w:p w:rsidR="00763CD9" w:rsidRPr="00A935AA" w:rsidRDefault="00763CD9" w:rsidP="00763CD9">
            <w:pPr>
              <w:tabs>
                <w:tab w:val="left" w:pos="-1440"/>
                <w:tab w:val="left" w:pos="-720"/>
              </w:tabs>
              <w:rPr>
                <w:sz w:val="20"/>
                <w:szCs w:val="20"/>
              </w:rPr>
            </w:pPr>
          </w:p>
          <w:p w:rsidR="00763CD9" w:rsidRPr="00A935AA" w:rsidRDefault="00763CD9" w:rsidP="00763CD9">
            <w:pPr>
              <w:tabs>
                <w:tab w:val="left" w:pos="-1440"/>
                <w:tab w:val="left" w:pos="-720"/>
              </w:tabs>
              <w:rPr>
                <w:sz w:val="20"/>
                <w:szCs w:val="20"/>
              </w:rPr>
            </w:pPr>
            <w:r w:rsidRPr="00A935AA">
              <w:rPr>
                <w:sz w:val="20"/>
                <w:szCs w:val="20"/>
              </w:rPr>
              <w:tab/>
              <w:t>v. (3</w:t>
            </w:r>
            <w:r>
              <w:rPr>
                <w:sz w:val="20"/>
                <w:szCs w:val="20"/>
              </w:rPr>
              <w:t>59</w:t>
            </w:r>
            <w:r w:rsidR="004442A9">
              <w:rPr>
                <w:sz w:val="20"/>
                <w:szCs w:val="20"/>
              </w:rPr>
              <w:t>23</w:t>
            </w:r>
            <w:r w:rsidRPr="00A935AA">
              <w:rPr>
                <w:sz w:val="20"/>
                <w:szCs w:val="20"/>
              </w:rPr>
              <w:t>)</w:t>
            </w:r>
          </w:p>
          <w:p w:rsidR="00763CD9" w:rsidRPr="00A935AA" w:rsidRDefault="00763CD9" w:rsidP="00763CD9">
            <w:pPr>
              <w:tabs>
                <w:tab w:val="left" w:pos="-1440"/>
                <w:tab w:val="left" w:pos="-720"/>
              </w:tabs>
              <w:rPr>
                <w:sz w:val="20"/>
                <w:szCs w:val="20"/>
              </w:rPr>
            </w:pPr>
          </w:p>
          <w:p w:rsidR="00763CD9" w:rsidRPr="00A935AA" w:rsidRDefault="004442A9" w:rsidP="00763CD9">
            <w:pPr>
              <w:tabs>
                <w:tab w:val="left" w:pos="-1440"/>
                <w:tab w:val="left" w:pos="-720"/>
              </w:tabs>
              <w:rPr>
                <w:b/>
                <w:sz w:val="20"/>
                <w:szCs w:val="20"/>
              </w:rPr>
            </w:pPr>
            <w:r>
              <w:rPr>
                <w:b/>
                <w:sz w:val="20"/>
                <w:szCs w:val="20"/>
              </w:rPr>
              <w:t>Lem</w:t>
            </w:r>
            <w:r w:rsidR="00763CD9">
              <w:rPr>
                <w:b/>
                <w:sz w:val="20"/>
                <w:szCs w:val="20"/>
              </w:rPr>
              <w:t>are</w:t>
            </w:r>
            <w:r>
              <w:rPr>
                <w:b/>
                <w:sz w:val="20"/>
                <w:szCs w:val="20"/>
              </w:rPr>
              <w:t xml:space="preserve"> L</w:t>
            </w:r>
            <w:r w:rsidR="00763CD9">
              <w:rPr>
                <w:b/>
                <w:sz w:val="20"/>
                <w:szCs w:val="20"/>
              </w:rPr>
              <w:t>ak</w:t>
            </w:r>
            <w:r>
              <w:rPr>
                <w:b/>
                <w:sz w:val="20"/>
                <w:szCs w:val="20"/>
              </w:rPr>
              <w:t>e L</w:t>
            </w:r>
            <w:r w:rsidR="00763CD9">
              <w:rPr>
                <w:b/>
                <w:sz w:val="20"/>
                <w:szCs w:val="20"/>
              </w:rPr>
              <w:t>o</w:t>
            </w:r>
            <w:r>
              <w:rPr>
                <w:b/>
                <w:sz w:val="20"/>
                <w:szCs w:val="20"/>
              </w:rPr>
              <w:t>gg</w:t>
            </w:r>
            <w:r w:rsidR="00763CD9">
              <w:rPr>
                <w:b/>
                <w:sz w:val="20"/>
                <w:szCs w:val="20"/>
              </w:rPr>
              <w:t>i</w:t>
            </w:r>
            <w:r>
              <w:rPr>
                <w:b/>
                <w:sz w:val="20"/>
                <w:szCs w:val="20"/>
              </w:rPr>
              <w:t xml:space="preserve">ng Ltd. </w:t>
            </w:r>
            <w:r w:rsidR="00763CD9" w:rsidRPr="00A935AA">
              <w:rPr>
                <w:b/>
                <w:sz w:val="20"/>
                <w:szCs w:val="20"/>
              </w:rPr>
              <w:t>(</w:t>
            </w:r>
            <w:r>
              <w:rPr>
                <w:b/>
                <w:sz w:val="20"/>
                <w:szCs w:val="20"/>
              </w:rPr>
              <w:t>Sask</w:t>
            </w:r>
            <w:r w:rsidR="00763CD9" w:rsidRPr="00A935AA">
              <w:rPr>
                <w:b/>
                <w:sz w:val="20"/>
                <w:szCs w:val="20"/>
              </w:rPr>
              <w:t>.)</w:t>
            </w:r>
          </w:p>
          <w:p w:rsidR="00763CD9" w:rsidRPr="00A935AA" w:rsidRDefault="00763CD9" w:rsidP="00763CD9">
            <w:pPr>
              <w:tabs>
                <w:tab w:val="left" w:pos="-1440"/>
                <w:tab w:val="left" w:pos="-720"/>
              </w:tabs>
              <w:rPr>
                <w:sz w:val="20"/>
                <w:szCs w:val="20"/>
              </w:rPr>
            </w:pPr>
            <w:r w:rsidRPr="00A935AA">
              <w:rPr>
                <w:sz w:val="20"/>
                <w:szCs w:val="20"/>
              </w:rPr>
              <w:tab/>
            </w:r>
            <w:r w:rsidR="00404923">
              <w:rPr>
                <w:sz w:val="20"/>
                <w:szCs w:val="20"/>
              </w:rPr>
              <w:t>J</w:t>
            </w:r>
            <w:r>
              <w:rPr>
                <w:sz w:val="20"/>
                <w:szCs w:val="20"/>
              </w:rPr>
              <w:t>e</w:t>
            </w:r>
            <w:r w:rsidR="00404923">
              <w:rPr>
                <w:sz w:val="20"/>
                <w:szCs w:val="20"/>
              </w:rPr>
              <w:t>ffrey M. Le</w:t>
            </w:r>
            <w:r>
              <w:rPr>
                <w:sz w:val="20"/>
                <w:szCs w:val="20"/>
              </w:rPr>
              <w:t>e</w:t>
            </w:r>
            <w:r w:rsidR="00404923">
              <w:rPr>
                <w:sz w:val="20"/>
                <w:szCs w:val="20"/>
              </w:rPr>
              <w:t>, Q.C.</w:t>
            </w:r>
          </w:p>
          <w:p w:rsidR="00763CD9" w:rsidRPr="00A935AA" w:rsidRDefault="00763CD9" w:rsidP="00763CD9">
            <w:pPr>
              <w:tabs>
                <w:tab w:val="left" w:pos="-1440"/>
                <w:tab w:val="left" w:pos="-720"/>
              </w:tabs>
              <w:rPr>
                <w:sz w:val="20"/>
                <w:szCs w:val="20"/>
              </w:rPr>
            </w:pPr>
            <w:r w:rsidRPr="00A935AA">
              <w:rPr>
                <w:sz w:val="20"/>
                <w:szCs w:val="20"/>
              </w:rPr>
              <w:tab/>
            </w:r>
            <w:r w:rsidR="00404923">
              <w:rPr>
                <w:sz w:val="20"/>
                <w:szCs w:val="20"/>
              </w:rPr>
              <w:t>M</w:t>
            </w:r>
            <w:r>
              <w:rPr>
                <w:sz w:val="20"/>
                <w:szCs w:val="20"/>
              </w:rPr>
              <w:t>a</w:t>
            </w:r>
            <w:r w:rsidR="00404923">
              <w:rPr>
                <w:sz w:val="20"/>
                <w:szCs w:val="20"/>
              </w:rPr>
              <w:t>cPherso</w:t>
            </w:r>
            <w:r>
              <w:rPr>
                <w:sz w:val="20"/>
                <w:szCs w:val="20"/>
              </w:rPr>
              <w:t>n</w:t>
            </w:r>
            <w:r w:rsidR="00404923">
              <w:rPr>
                <w:sz w:val="20"/>
                <w:szCs w:val="20"/>
              </w:rPr>
              <w:t xml:space="preserve"> L</w:t>
            </w:r>
            <w:r>
              <w:rPr>
                <w:sz w:val="20"/>
                <w:szCs w:val="20"/>
              </w:rPr>
              <w:t>e</w:t>
            </w:r>
            <w:r w:rsidR="00404923">
              <w:rPr>
                <w:sz w:val="20"/>
                <w:szCs w:val="20"/>
              </w:rPr>
              <w:t>sli</w:t>
            </w:r>
            <w:r>
              <w:rPr>
                <w:sz w:val="20"/>
                <w:szCs w:val="20"/>
              </w:rPr>
              <w:t>e</w:t>
            </w:r>
            <w:r w:rsidR="00404923">
              <w:rPr>
                <w:sz w:val="20"/>
                <w:szCs w:val="20"/>
              </w:rPr>
              <w:t xml:space="preserve"> </w:t>
            </w:r>
            <w:r>
              <w:rPr>
                <w:sz w:val="20"/>
                <w:szCs w:val="20"/>
              </w:rPr>
              <w:t xml:space="preserve">&amp; </w:t>
            </w:r>
            <w:r w:rsidR="00404923">
              <w:rPr>
                <w:sz w:val="20"/>
                <w:szCs w:val="20"/>
              </w:rPr>
              <w:t>Tyer</w:t>
            </w:r>
            <w:r>
              <w:rPr>
                <w:sz w:val="20"/>
                <w:szCs w:val="20"/>
              </w:rPr>
              <w:t>man</w:t>
            </w:r>
            <w:r w:rsidR="00404923">
              <w:rPr>
                <w:sz w:val="20"/>
                <w:szCs w:val="20"/>
              </w:rPr>
              <w:t xml:space="preserve"> LLP</w:t>
            </w:r>
          </w:p>
          <w:p w:rsidR="00763CD9" w:rsidRPr="00A935AA" w:rsidRDefault="00763CD9" w:rsidP="00763CD9">
            <w:pPr>
              <w:tabs>
                <w:tab w:val="left" w:pos="-1440"/>
                <w:tab w:val="left" w:pos="-720"/>
              </w:tabs>
              <w:rPr>
                <w:sz w:val="20"/>
                <w:szCs w:val="20"/>
              </w:rPr>
            </w:pPr>
          </w:p>
          <w:p w:rsidR="00763CD9" w:rsidRPr="00A935AA" w:rsidRDefault="00763CD9" w:rsidP="00763CD9">
            <w:pPr>
              <w:rPr>
                <w:sz w:val="20"/>
                <w:szCs w:val="20"/>
              </w:rPr>
            </w:pPr>
            <w:r w:rsidRPr="00A935AA">
              <w:rPr>
                <w:sz w:val="20"/>
                <w:szCs w:val="20"/>
              </w:rPr>
              <w:t xml:space="preserve">FILING DATE: </w:t>
            </w:r>
            <w:r w:rsidR="004442A9">
              <w:rPr>
                <w:sz w:val="20"/>
                <w:szCs w:val="20"/>
              </w:rPr>
              <w:t>0</w:t>
            </w:r>
            <w:r w:rsidRPr="00A935AA">
              <w:rPr>
                <w:sz w:val="20"/>
                <w:szCs w:val="20"/>
              </w:rPr>
              <w:t>2.0</w:t>
            </w:r>
            <w:r w:rsidR="004442A9">
              <w:rPr>
                <w:sz w:val="20"/>
                <w:szCs w:val="20"/>
              </w:rPr>
              <w:t>6</w:t>
            </w:r>
            <w:r w:rsidRPr="00A935AA">
              <w:rPr>
                <w:sz w:val="20"/>
                <w:szCs w:val="20"/>
              </w:rPr>
              <w:t>.201</w:t>
            </w:r>
            <w:r>
              <w:rPr>
                <w:sz w:val="20"/>
                <w:szCs w:val="20"/>
              </w:rPr>
              <w:t>4</w:t>
            </w:r>
          </w:p>
          <w:p w:rsidR="00763CD9" w:rsidRPr="00DE4625" w:rsidRDefault="006E182C" w:rsidP="00763CD9">
            <w:pPr>
              <w:rPr>
                <w:sz w:val="20"/>
                <w:szCs w:val="20"/>
              </w:rPr>
            </w:pPr>
            <w:r>
              <w:rPr>
                <w:sz w:val="20"/>
                <w:szCs w:val="20"/>
                <w:lang w:val="fr-CA"/>
              </w:rPr>
              <w:pict>
                <v:rect id="_x0000_i1042" style="width:108pt;height:1pt" o:hrpct="0" o:hralign="center" o:hrstd="t" o:hrnoshade="t" o:hr="t" fillcolor="black [3213]" stroked="f"/>
              </w:pict>
            </w:r>
          </w:p>
        </w:tc>
      </w:tr>
    </w:tbl>
    <w:p w:rsidR="006C3F47" w:rsidRDefault="006C3F47"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B2481">
          <w:headerReference w:type="default" r:id="rId17"/>
          <w:footerReference w:type="default" r:id="rId18"/>
          <w:headerReference w:type="first" r:id="rId19"/>
          <w:footerReference w:type="first" r:id="rId20"/>
          <w:pgSz w:w="12240" w:h="15840"/>
          <w:pgMar w:top="720" w:right="965" w:bottom="1080" w:left="1656" w:header="706" w:footer="706" w:gutter="0"/>
          <w:pgNumType w:start="995"/>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E182C"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w:t>
      </w:r>
      <w:r w:rsidR="0046732A">
        <w:rPr>
          <w:b/>
          <w:sz w:val="20"/>
          <w:szCs w:val="20"/>
        </w:rPr>
        <w:t>U</w:t>
      </w:r>
      <w:r>
        <w:rPr>
          <w:b/>
          <w:sz w:val="20"/>
          <w:szCs w:val="20"/>
        </w:rPr>
        <w:t>N</w:t>
      </w:r>
      <w:r w:rsidR="0046732A">
        <w:rPr>
          <w:b/>
          <w:sz w:val="20"/>
          <w:szCs w:val="20"/>
        </w:rPr>
        <w:t>E 9</w:t>
      </w:r>
      <w:r w:rsidRPr="00C50A5C">
        <w:rPr>
          <w:b/>
          <w:sz w:val="20"/>
          <w:szCs w:val="20"/>
        </w:rPr>
        <w:t>, 201</w:t>
      </w:r>
      <w:r>
        <w:rPr>
          <w:b/>
          <w:sz w:val="20"/>
          <w:szCs w:val="20"/>
        </w:rPr>
        <w:t>4</w:t>
      </w:r>
      <w:r w:rsidRPr="00C50A5C">
        <w:rPr>
          <w:b/>
          <w:sz w:val="20"/>
          <w:szCs w:val="20"/>
        </w:rPr>
        <w:t xml:space="preserve"> / LE </w:t>
      </w:r>
      <w:r w:rsidR="0046732A">
        <w:rPr>
          <w:b/>
          <w:sz w:val="20"/>
          <w:szCs w:val="20"/>
        </w:rPr>
        <w:t>9 JUI</w:t>
      </w:r>
      <w:r>
        <w:rPr>
          <w:b/>
          <w:sz w:val="20"/>
          <w:szCs w:val="20"/>
        </w:rPr>
        <w:t>N</w:t>
      </w:r>
      <w:r w:rsidRPr="00C50A5C">
        <w:rPr>
          <w:b/>
          <w:sz w:val="20"/>
          <w:szCs w:val="20"/>
        </w:rPr>
        <w:t xml:space="preserve"> 201</w:t>
      </w:r>
      <w:r>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3C5717" w:rsidP="00CB3520">
      <w:pPr>
        <w:pStyle w:val="ListParagraph"/>
        <w:widowControl w:val="0"/>
        <w:numPr>
          <w:ilvl w:val="0"/>
          <w:numId w:val="1"/>
        </w:numPr>
        <w:ind w:hanging="720"/>
        <w:jc w:val="both"/>
        <w:rPr>
          <w:sz w:val="20"/>
          <w:szCs w:val="20"/>
        </w:rPr>
      </w:pPr>
      <w:r w:rsidRPr="003C5717">
        <w:rPr>
          <w:i/>
          <w:sz w:val="20"/>
          <w:szCs w:val="20"/>
        </w:rPr>
        <w:t>U.A.S. v. Attorney General of Canada on behalf of the United States of America</w:t>
      </w:r>
      <w:r w:rsidRPr="00135CEE">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5</w:t>
      </w:r>
      <w:r w:rsidR="00135CEE">
        <w:rPr>
          <w:sz w:val="20"/>
          <w:szCs w:val="20"/>
        </w:rPr>
        <w:t>8</w:t>
      </w:r>
      <w:r w:rsidR="00CB3520">
        <w:rPr>
          <w:sz w:val="20"/>
          <w:szCs w:val="20"/>
        </w:rPr>
        <w:t>2</w:t>
      </w:r>
      <w:r w:rsidR="00135CEE">
        <w:rPr>
          <w:sz w:val="20"/>
          <w:szCs w:val="20"/>
        </w:rPr>
        <w:t>4</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3C5717" w:rsidP="00CB3520">
      <w:pPr>
        <w:pStyle w:val="ListParagraph"/>
        <w:widowControl w:val="0"/>
        <w:numPr>
          <w:ilvl w:val="0"/>
          <w:numId w:val="1"/>
        </w:numPr>
        <w:ind w:hanging="720"/>
        <w:jc w:val="both"/>
        <w:rPr>
          <w:sz w:val="20"/>
          <w:szCs w:val="20"/>
        </w:rPr>
      </w:pPr>
      <w:r w:rsidRPr="003C5717">
        <w:rPr>
          <w:i/>
          <w:sz w:val="20"/>
          <w:szCs w:val="20"/>
        </w:rPr>
        <w:t>101090442 Saskatchewan Ltd. v. Douglas John Harle et al.</w:t>
      </w:r>
      <w:r w:rsidRPr="00135CEE">
        <w:rPr>
          <w:sz w:val="20"/>
          <w:szCs w:val="20"/>
        </w:rPr>
        <w:t xml:space="preserve"> (Sask.) (Civil) (By Leave)</w:t>
      </w:r>
      <w:r w:rsidRPr="00C612D0">
        <w:rPr>
          <w:sz w:val="20"/>
          <w:szCs w:val="20"/>
        </w:rPr>
        <w:t xml:space="preserve"> </w:t>
      </w:r>
      <w:r w:rsidR="00CB3520" w:rsidRPr="00C612D0">
        <w:rPr>
          <w:sz w:val="20"/>
          <w:szCs w:val="20"/>
        </w:rPr>
        <w:t>(3</w:t>
      </w:r>
      <w:r w:rsidR="00CB3520">
        <w:rPr>
          <w:sz w:val="20"/>
          <w:szCs w:val="20"/>
        </w:rPr>
        <w:t>5</w:t>
      </w:r>
      <w:r w:rsidR="00135CEE">
        <w:rPr>
          <w:sz w:val="20"/>
          <w:szCs w:val="20"/>
        </w:rPr>
        <w:t>779</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3C5717" w:rsidP="00CB3520">
      <w:pPr>
        <w:pStyle w:val="ListParagraph"/>
        <w:widowControl w:val="0"/>
        <w:numPr>
          <w:ilvl w:val="0"/>
          <w:numId w:val="1"/>
        </w:numPr>
        <w:ind w:hanging="720"/>
        <w:jc w:val="both"/>
        <w:rPr>
          <w:sz w:val="20"/>
          <w:szCs w:val="20"/>
        </w:rPr>
      </w:pPr>
      <w:r w:rsidRPr="003C5717">
        <w:rPr>
          <w:i/>
          <w:sz w:val="20"/>
          <w:szCs w:val="20"/>
        </w:rPr>
        <w:t>HOOPP Realty Inc. v. A.G. Clark Holdings Ltd. et al.</w:t>
      </w:r>
      <w:r w:rsidRPr="00135CEE">
        <w:rPr>
          <w:sz w:val="20"/>
          <w:szCs w:val="20"/>
        </w:rPr>
        <w:t xml:space="preserve"> (Alta.) (Civil) (By Leave)</w:t>
      </w:r>
      <w:r w:rsidRPr="00940CAD">
        <w:rPr>
          <w:sz w:val="20"/>
          <w:szCs w:val="20"/>
        </w:rPr>
        <w:t xml:space="preserve"> </w:t>
      </w:r>
      <w:r w:rsidR="00CB3520" w:rsidRPr="00940CAD">
        <w:rPr>
          <w:sz w:val="20"/>
          <w:szCs w:val="20"/>
        </w:rPr>
        <w:t>(3</w:t>
      </w:r>
      <w:r w:rsidR="00CB3520">
        <w:rPr>
          <w:sz w:val="20"/>
          <w:szCs w:val="20"/>
        </w:rPr>
        <w:t>5</w:t>
      </w:r>
      <w:r w:rsidR="00135CEE">
        <w:rPr>
          <w:sz w:val="20"/>
          <w:szCs w:val="20"/>
        </w:rPr>
        <w:t>7</w:t>
      </w:r>
      <w:r w:rsidR="00CB3520">
        <w:rPr>
          <w:sz w:val="20"/>
          <w:szCs w:val="20"/>
        </w:rPr>
        <w:t>5</w:t>
      </w:r>
      <w:r w:rsidR="00135CEE">
        <w:rPr>
          <w:sz w:val="20"/>
          <w:szCs w:val="20"/>
        </w:rPr>
        <w:t>7</w:t>
      </w:r>
      <w:r w:rsidR="00CB3520" w:rsidRPr="00940CAD">
        <w:rPr>
          <w:sz w:val="20"/>
          <w:szCs w:val="20"/>
        </w:rPr>
        <w:t>)</w:t>
      </w:r>
    </w:p>
    <w:p w:rsidR="00CB3520" w:rsidRDefault="00CB3520" w:rsidP="00CB3520">
      <w:pPr>
        <w:widowControl w:val="0"/>
        <w:rPr>
          <w:sz w:val="20"/>
          <w:szCs w:val="20"/>
        </w:rPr>
      </w:pPr>
    </w:p>
    <w:p w:rsidR="00135CEE" w:rsidRDefault="00135CEE" w:rsidP="00CB3520">
      <w:pPr>
        <w:widowControl w:val="0"/>
        <w:rPr>
          <w:sz w:val="20"/>
          <w:szCs w:val="20"/>
        </w:rPr>
      </w:pPr>
    </w:p>
    <w:p w:rsidR="00135CEE" w:rsidRPr="00C50A5C" w:rsidRDefault="00135CEE" w:rsidP="00135CEE">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135CEE" w:rsidRPr="00C50A5C" w:rsidRDefault="00135CEE" w:rsidP="00135CEE">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135CEE" w:rsidRPr="00135CEE" w:rsidRDefault="00135CEE" w:rsidP="00CB3520">
      <w:pPr>
        <w:widowControl w:val="0"/>
        <w:rPr>
          <w:sz w:val="20"/>
          <w:szCs w:val="20"/>
          <w:lang w:val="fr-CA"/>
        </w:rPr>
      </w:pPr>
    </w:p>
    <w:p w:rsidR="00CB3520" w:rsidRPr="00C50A5C" w:rsidRDefault="003C5717" w:rsidP="00CB3520">
      <w:pPr>
        <w:pStyle w:val="ListParagraph"/>
        <w:widowControl w:val="0"/>
        <w:numPr>
          <w:ilvl w:val="0"/>
          <w:numId w:val="1"/>
        </w:numPr>
        <w:ind w:hanging="720"/>
        <w:jc w:val="both"/>
        <w:rPr>
          <w:sz w:val="20"/>
          <w:szCs w:val="20"/>
        </w:rPr>
      </w:pPr>
      <w:r w:rsidRPr="003C5717">
        <w:rPr>
          <w:i/>
          <w:sz w:val="20"/>
          <w:szCs w:val="20"/>
        </w:rPr>
        <w:t>Robert T. Strickland et al. v. Attorney General of Canada</w:t>
      </w:r>
      <w:r w:rsidRPr="00135CEE">
        <w:rPr>
          <w:sz w:val="20"/>
          <w:szCs w:val="20"/>
        </w:rPr>
        <w:t xml:space="preserve"> (F.C.) (Civil) (By Leave)</w:t>
      </w:r>
      <w:r w:rsidRPr="00C50A5C">
        <w:rPr>
          <w:sz w:val="20"/>
          <w:szCs w:val="20"/>
        </w:rPr>
        <w:t xml:space="preserve"> </w:t>
      </w:r>
      <w:r w:rsidR="00CB3520" w:rsidRPr="00C50A5C">
        <w:rPr>
          <w:sz w:val="20"/>
          <w:szCs w:val="20"/>
        </w:rPr>
        <w:t>(3</w:t>
      </w:r>
      <w:r w:rsidR="00CB3520">
        <w:rPr>
          <w:sz w:val="20"/>
          <w:szCs w:val="20"/>
        </w:rPr>
        <w:t>5</w:t>
      </w:r>
      <w:r w:rsidR="00135CEE">
        <w:rPr>
          <w:sz w:val="20"/>
          <w:szCs w:val="20"/>
        </w:rPr>
        <w:t>808</w:t>
      </w:r>
      <w:r w:rsidR="00CB3520" w:rsidRPr="00C50A5C">
        <w:rPr>
          <w:sz w:val="20"/>
          <w:szCs w:val="20"/>
        </w:rPr>
        <w:t>)</w:t>
      </w:r>
    </w:p>
    <w:p w:rsidR="00CB3520" w:rsidRDefault="00CB3520" w:rsidP="00CB3520">
      <w:pPr>
        <w:widowControl w:val="0"/>
        <w:jc w:val="both"/>
        <w:rPr>
          <w:sz w:val="20"/>
          <w:szCs w:val="20"/>
        </w:rPr>
      </w:pPr>
    </w:p>
    <w:p w:rsidR="00CB3520" w:rsidRPr="003C5717" w:rsidRDefault="003C5717" w:rsidP="00CB3520">
      <w:pPr>
        <w:pStyle w:val="ListParagraph"/>
        <w:widowControl w:val="0"/>
        <w:numPr>
          <w:ilvl w:val="0"/>
          <w:numId w:val="1"/>
        </w:numPr>
        <w:ind w:hanging="720"/>
        <w:jc w:val="both"/>
        <w:rPr>
          <w:sz w:val="20"/>
          <w:szCs w:val="20"/>
          <w:lang w:val="fr-CA"/>
        </w:rPr>
      </w:pPr>
      <w:r w:rsidRPr="003C5717">
        <w:rPr>
          <w:i/>
          <w:sz w:val="20"/>
          <w:szCs w:val="20"/>
          <w:lang w:val="fr-CA"/>
        </w:rPr>
        <w:t>Constructions Louisbourg Ltée c. Société Radio-Canada</w:t>
      </w:r>
      <w:r w:rsidRPr="00135CEE">
        <w:rPr>
          <w:sz w:val="20"/>
          <w:szCs w:val="20"/>
          <w:lang w:val="fr-CA"/>
        </w:rPr>
        <w:t xml:space="preserve"> (Qc) (Civile) (Autorisation)</w:t>
      </w:r>
      <w:r w:rsidRPr="003C5717">
        <w:rPr>
          <w:sz w:val="20"/>
          <w:szCs w:val="20"/>
          <w:lang w:val="fr-CA"/>
        </w:rPr>
        <w:t xml:space="preserve"> </w:t>
      </w:r>
      <w:r w:rsidR="00CB3520" w:rsidRPr="003C5717">
        <w:rPr>
          <w:sz w:val="20"/>
          <w:szCs w:val="20"/>
          <w:lang w:val="fr-CA"/>
        </w:rPr>
        <w:t>(35</w:t>
      </w:r>
      <w:r w:rsidR="00135CEE" w:rsidRPr="003C5717">
        <w:rPr>
          <w:sz w:val="20"/>
          <w:szCs w:val="20"/>
          <w:lang w:val="fr-CA"/>
        </w:rPr>
        <w:t>797</w:t>
      </w:r>
      <w:r w:rsidR="00CB3520" w:rsidRPr="003C5717">
        <w:rPr>
          <w:sz w:val="20"/>
          <w:szCs w:val="20"/>
          <w:lang w:val="fr-CA"/>
        </w:rPr>
        <w:t>)</w:t>
      </w:r>
    </w:p>
    <w:p w:rsidR="00CB3520" w:rsidRPr="003C5717" w:rsidRDefault="00CB3520" w:rsidP="00CB3520">
      <w:pPr>
        <w:widowControl w:val="0"/>
        <w:rPr>
          <w:sz w:val="20"/>
          <w:szCs w:val="20"/>
          <w:lang w:val="fr-CA"/>
        </w:rPr>
      </w:pPr>
    </w:p>
    <w:p w:rsidR="00CB3520" w:rsidRPr="003C5717" w:rsidRDefault="00CB3520" w:rsidP="00CB3520">
      <w:pPr>
        <w:widowControl w:val="0"/>
        <w:rPr>
          <w:sz w:val="20"/>
          <w:szCs w:val="20"/>
          <w:lang w:val="fr-CA"/>
        </w:rPr>
      </w:pPr>
    </w:p>
    <w:p w:rsidR="00135CEE" w:rsidRPr="00C50A5C" w:rsidRDefault="00135CEE" w:rsidP="00135CEE">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135CEE" w:rsidRPr="00C50A5C" w:rsidRDefault="00135CEE" w:rsidP="00135CEE">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CB3520" w:rsidRPr="00C16CB3" w:rsidRDefault="00CB3520" w:rsidP="00CB3520">
      <w:pPr>
        <w:widowControl w:val="0"/>
        <w:jc w:val="both"/>
        <w:rPr>
          <w:sz w:val="20"/>
          <w:szCs w:val="20"/>
          <w:lang w:val="fr-CA"/>
        </w:rPr>
      </w:pPr>
    </w:p>
    <w:p w:rsidR="00CB3520" w:rsidRPr="003C5717" w:rsidRDefault="003C5717" w:rsidP="00CB3520">
      <w:pPr>
        <w:pStyle w:val="ListParagraph"/>
        <w:widowControl w:val="0"/>
        <w:numPr>
          <w:ilvl w:val="0"/>
          <w:numId w:val="1"/>
        </w:numPr>
        <w:ind w:hanging="720"/>
        <w:jc w:val="both"/>
        <w:rPr>
          <w:sz w:val="20"/>
          <w:szCs w:val="20"/>
        </w:rPr>
      </w:pPr>
      <w:r w:rsidRPr="003C5717">
        <w:rPr>
          <w:i/>
          <w:sz w:val="20"/>
          <w:szCs w:val="20"/>
        </w:rPr>
        <w:t>Jenny Tran v. Her Majesty the Queen</w:t>
      </w:r>
      <w:r w:rsidRPr="00135CEE">
        <w:rPr>
          <w:sz w:val="20"/>
          <w:szCs w:val="20"/>
        </w:rPr>
        <w:t xml:space="preserve"> (Ont.) (Crim.) (By Leave)</w:t>
      </w:r>
      <w:r w:rsidRPr="003C5717">
        <w:rPr>
          <w:sz w:val="20"/>
          <w:szCs w:val="20"/>
        </w:rPr>
        <w:t xml:space="preserve"> </w:t>
      </w:r>
      <w:r w:rsidR="00CB3520" w:rsidRPr="003C5717">
        <w:rPr>
          <w:sz w:val="20"/>
          <w:szCs w:val="20"/>
        </w:rPr>
        <w:t>(35</w:t>
      </w:r>
      <w:r w:rsidR="00135CEE" w:rsidRPr="003C5717">
        <w:rPr>
          <w:sz w:val="20"/>
          <w:szCs w:val="20"/>
        </w:rPr>
        <w:t>855</w:t>
      </w:r>
      <w:r w:rsidR="00CB3520" w:rsidRPr="003C5717">
        <w:rPr>
          <w:sz w:val="20"/>
          <w:szCs w:val="20"/>
        </w:rPr>
        <w:t>)</w:t>
      </w:r>
    </w:p>
    <w:p w:rsidR="00CB3520" w:rsidRPr="003C5717" w:rsidRDefault="00CB3520" w:rsidP="00CB3520">
      <w:pPr>
        <w:widowControl w:val="0"/>
        <w:jc w:val="both"/>
        <w:rPr>
          <w:sz w:val="20"/>
          <w:szCs w:val="20"/>
        </w:rPr>
      </w:pPr>
    </w:p>
    <w:p w:rsidR="00CB3520" w:rsidRPr="009C5D38" w:rsidRDefault="003C5717" w:rsidP="00CB3520">
      <w:pPr>
        <w:pStyle w:val="ListParagraph"/>
        <w:widowControl w:val="0"/>
        <w:numPr>
          <w:ilvl w:val="0"/>
          <w:numId w:val="1"/>
        </w:numPr>
        <w:ind w:hanging="720"/>
        <w:jc w:val="both"/>
        <w:rPr>
          <w:sz w:val="20"/>
          <w:szCs w:val="20"/>
        </w:rPr>
      </w:pPr>
      <w:r w:rsidRPr="003C5717">
        <w:rPr>
          <w:i/>
          <w:sz w:val="20"/>
          <w:szCs w:val="20"/>
        </w:rPr>
        <w:t>Her Majesty the Queen v. Jamuar Sharat Vijaya</w:t>
      </w:r>
      <w:r w:rsidRPr="00135CEE">
        <w:rPr>
          <w:sz w:val="20"/>
          <w:szCs w:val="20"/>
        </w:rPr>
        <w:t xml:space="preserve"> (Ont.) (Crim.) (By Leave)</w:t>
      </w:r>
      <w:r w:rsidRPr="009C5D38">
        <w:rPr>
          <w:sz w:val="20"/>
          <w:szCs w:val="20"/>
        </w:rPr>
        <w:t xml:space="preserve"> </w:t>
      </w:r>
      <w:r w:rsidR="00CB3520" w:rsidRPr="009C5D38">
        <w:rPr>
          <w:sz w:val="20"/>
          <w:szCs w:val="20"/>
        </w:rPr>
        <w:t>(35</w:t>
      </w:r>
      <w:r w:rsidR="00135CEE">
        <w:rPr>
          <w:sz w:val="20"/>
          <w:szCs w:val="20"/>
        </w:rPr>
        <w:t>82</w:t>
      </w:r>
      <w:r w:rsidR="00CB3520" w:rsidRPr="009C5D38">
        <w:rPr>
          <w:sz w:val="20"/>
          <w:szCs w:val="20"/>
        </w:rPr>
        <w:t>6)</w:t>
      </w:r>
    </w:p>
    <w:p w:rsidR="00CB3520" w:rsidRPr="009C5D38" w:rsidRDefault="00CB3520" w:rsidP="00CB3520">
      <w:pPr>
        <w:widowControl w:val="0"/>
        <w:jc w:val="both"/>
        <w:rPr>
          <w:sz w:val="20"/>
          <w:szCs w:val="20"/>
        </w:rPr>
      </w:pPr>
    </w:p>
    <w:p w:rsidR="00CB3520" w:rsidRPr="003C5717" w:rsidRDefault="003C5717" w:rsidP="00CB3520">
      <w:pPr>
        <w:pStyle w:val="ListParagraph"/>
        <w:widowControl w:val="0"/>
        <w:numPr>
          <w:ilvl w:val="0"/>
          <w:numId w:val="1"/>
        </w:numPr>
        <w:ind w:hanging="720"/>
        <w:jc w:val="both"/>
        <w:rPr>
          <w:sz w:val="20"/>
          <w:szCs w:val="20"/>
        </w:rPr>
      </w:pPr>
      <w:r w:rsidRPr="003C5717">
        <w:rPr>
          <w:i/>
          <w:sz w:val="20"/>
          <w:szCs w:val="20"/>
        </w:rPr>
        <w:t>Dennis Neil Hamer v. Corporation of the Township of Seguin</w:t>
      </w:r>
      <w:r w:rsidRPr="00135CEE">
        <w:rPr>
          <w:sz w:val="20"/>
          <w:szCs w:val="20"/>
        </w:rPr>
        <w:t xml:space="preserve"> (Ont.) (Civil) (By Leave)</w:t>
      </w:r>
      <w:r w:rsidRPr="003C5717">
        <w:rPr>
          <w:sz w:val="20"/>
          <w:szCs w:val="20"/>
        </w:rPr>
        <w:t xml:space="preserve"> </w:t>
      </w:r>
      <w:r w:rsidR="00CB3520" w:rsidRPr="003C5717">
        <w:rPr>
          <w:sz w:val="20"/>
          <w:szCs w:val="20"/>
        </w:rPr>
        <w:t>(35</w:t>
      </w:r>
      <w:r w:rsidR="00135CEE" w:rsidRPr="003C5717">
        <w:rPr>
          <w:sz w:val="20"/>
          <w:szCs w:val="20"/>
        </w:rPr>
        <w:t>8</w:t>
      </w:r>
      <w:r w:rsidR="00CB3520" w:rsidRPr="003C5717">
        <w:rPr>
          <w:sz w:val="20"/>
          <w:szCs w:val="20"/>
        </w:rPr>
        <w:t>29)</w:t>
      </w:r>
    </w:p>
    <w:p w:rsidR="002E2327" w:rsidRPr="00CB3520" w:rsidRDefault="002E2327" w:rsidP="002E2327">
      <w:pPr>
        <w:widowControl w:val="0"/>
        <w:rPr>
          <w:sz w:val="20"/>
          <w:szCs w:val="20"/>
        </w:rPr>
      </w:pPr>
    </w:p>
    <w:p w:rsidR="002E2327" w:rsidRDefault="006E182C" w:rsidP="002E2327">
      <w:pPr>
        <w:widowControl w:val="0"/>
        <w:rPr>
          <w:sz w:val="20"/>
          <w:szCs w:val="20"/>
        </w:rPr>
      </w:pPr>
      <w:r>
        <w:rPr>
          <w:sz w:val="20"/>
          <w:szCs w:val="20"/>
        </w:rPr>
        <w:pict>
          <v:rect id="_x0000_i104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E182C"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96800" w:rsidP="000E2959">
      <w:pPr>
        <w:rPr>
          <w:b/>
          <w:sz w:val="20"/>
          <w:szCs w:val="20"/>
        </w:rPr>
      </w:pPr>
      <w:r>
        <w:rPr>
          <w:b/>
          <w:sz w:val="20"/>
          <w:szCs w:val="20"/>
        </w:rPr>
        <w:t>JUNE 12</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w:t>
      </w:r>
      <w:r w:rsidR="000E2959" w:rsidRPr="00C50A5C">
        <w:rPr>
          <w:b/>
          <w:sz w:val="20"/>
          <w:szCs w:val="20"/>
        </w:rPr>
        <w:t xml:space="preserve">2 </w:t>
      </w:r>
      <w:r>
        <w:rPr>
          <w:b/>
          <w:sz w:val="20"/>
          <w:szCs w:val="20"/>
        </w:rPr>
        <w:t>JU</w:t>
      </w:r>
      <w:r w:rsidR="000E2959" w:rsidRPr="00C50A5C">
        <w:rPr>
          <w:b/>
          <w:sz w:val="20"/>
          <w:szCs w:val="20"/>
        </w:rPr>
        <w:t>I</w:t>
      </w:r>
      <w:r>
        <w:rPr>
          <w:b/>
          <w:sz w:val="20"/>
          <w:szCs w:val="20"/>
        </w:rPr>
        <w:t>N</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85B31" w:rsidRPr="00D85B31" w:rsidTr="00D27A21">
        <w:trPr>
          <w:cantSplit/>
        </w:trPr>
        <w:tc>
          <w:tcPr>
            <w:tcW w:w="1458" w:type="dxa"/>
          </w:tcPr>
          <w:p w:rsidR="00D85B31" w:rsidRPr="00D85B31" w:rsidRDefault="00D85B31" w:rsidP="00D85B31">
            <w:pPr>
              <w:rPr>
                <w:sz w:val="20"/>
              </w:rPr>
            </w:pPr>
            <w:r w:rsidRPr="00D85B31">
              <w:rPr>
                <w:b/>
                <w:sz w:val="20"/>
                <w:lang w:val="fr-CA"/>
              </w:rPr>
              <w:t>35604</w:t>
            </w:r>
          </w:p>
          <w:p w:rsidR="00D85B31" w:rsidRPr="00D85B31" w:rsidRDefault="00D85B31" w:rsidP="00D85B31">
            <w:pPr>
              <w:rPr>
                <w:b/>
                <w:sz w:val="20"/>
                <w:lang w:val="fr-CA"/>
              </w:rPr>
            </w:pPr>
          </w:p>
        </w:tc>
        <w:tc>
          <w:tcPr>
            <w:tcW w:w="8118" w:type="dxa"/>
          </w:tcPr>
          <w:p w:rsidR="00D85B31" w:rsidRPr="00D85B31" w:rsidRDefault="00D85B31" w:rsidP="00D85B31">
            <w:pPr>
              <w:rPr>
                <w:sz w:val="20"/>
              </w:rPr>
            </w:pPr>
            <w:r w:rsidRPr="00D85B31">
              <w:rPr>
                <w:b/>
                <w:sz w:val="20"/>
                <w:u w:val="single"/>
              </w:rPr>
              <w:t>Scott Philip Lower v. William Hay</w:t>
            </w:r>
            <w:r w:rsidRPr="00D85B31">
              <w:rPr>
                <w:sz w:val="20"/>
              </w:rPr>
              <w:t xml:space="preserve"> (B.C.) (Civil) (By Leave)</w:t>
            </w:r>
          </w:p>
          <w:p w:rsidR="00D85B31" w:rsidRPr="00D85B31" w:rsidRDefault="00D85B31" w:rsidP="00D85B31">
            <w:pPr>
              <w:rPr>
                <w:sz w:val="20"/>
              </w:rPr>
            </w:pPr>
          </w:p>
        </w:tc>
      </w:tr>
      <w:tr w:rsidR="00D85B31" w:rsidRPr="00D85B31" w:rsidTr="00D27A21">
        <w:trPr>
          <w:cantSplit/>
        </w:trPr>
        <w:tc>
          <w:tcPr>
            <w:tcW w:w="1458" w:type="dxa"/>
          </w:tcPr>
          <w:p w:rsidR="00D85B31" w:rsidRPr="00D85B31" w:rsidRDefault="00D85B31" w:rsidP="00D85B31">
            <w:pPr>
              <w:rPr>
                <w:sz w:val="20"/>
              </w:rPr>
            </w:pPr>
            <w:r w:rsidRPr="00D85B31">
              <w:rPr>
                <w:sz w:val="20"/>
              </w:rPr>
              <w:t>Coram :</w:t>
            </w:r>
          </w:p>
        </w:tc>
        <w:tc>
          <w:tcPr>
            <w:tcW w:w="8118" w:type="dxa"/>
          </w:tcPr>
          <w:p w:rsidR="00D85B31" w:rsidRPr="00D85B31" w:rsidRDefault="00D85B31" w:rsidP="00D85B31">
            <w:pPr>
              <w:rPr>
                <w:sz w:val="20"/>
              </w:rPr>
            </w:pPr>
            <w:r w:rsidRPr="00D85B31">
              <w:rPr>
                <w:sz w:val="20"/>
                <w:u w:val="single"/>
              </w:rPr>
              <w:t>McLachlin C.J. and Cromwell and Wagner JJ.</w:t>
            </w:r>
          </w:p>
          <w:p w:rsidR="00D85B31" w:rsidRPr="00D85B31" w:rsidRDefault="00D85B31" w:rsidP="00D85B31">
            <w:pPr>
              <w:rPr>
                <w:sz w:val="20"/>
                <w:u w:val="single"/>
              </w:rPr>
            </w:pPr>
          </w:p>
        </w:tc>
      </w:tr>
      <w:tr w:rsidR="00D85B31" w:rsidRPr="006E182C" w:rsidTr="00D27A21">
        <w:trPr>
          <w:cantSplit/>
        </w:trPr>
        <w:tc>
          <w:tcPr>
            <w:tcW w:w="9576" w:type="dxa"/>
            <w:gridSpan w:val="2"/>
          </w:tcPr>
          <w:p w:rsidR="00D85B31" w:rsidRPr="00D85B31" w:rsidRDefault="00D85B31" w:rsidP="00D85B31">
            <w:pPr>
              <w:ind w:firstLine="720"/>
              <w:jc w:val="both"/>
              <w:rPr>
                <w:sz w:val="20"/>
              </w:rPr>
            </w:pPr>
            <w:r w:rsidRPr="00D85B31">
              <w:rPr>
                <w:sz w:val="20"/>
              </w:rPr>
              <w:t>The application for leave to appeal from the judgment of the Court of Appeal for British Columbia (Vancouver), Number CA040145, 2013 BCCA 389, dated September 6, 2013, is dismissed without costs.</w:t>
            </w:r>
          </w:p>
          <w:p w:rsidR="00D85B31" w:rsidRPr="00D85B31" w:rsidRDefault="00D85B31" w:rsidP="00D85B31">
            <w:pPr>
              <w:jc w:val="both"/>
              <w:rPr>
                <w:sz w:val="20"/>
              </w:rPr>
            </w:pPr>
          </w:p>
          <w:p w:rsidR="00D85B31" w:rsidRPr="00D85B31" w:rsidRDefault="00D85B31" w:rsidP="00D85B31">
            <w:pPr>
              <w:ind w:firstLine="720"/>
              <w:jc w:val="both"/>
              <w:rPr>
                <w:sz w:val="20"/>
                <w:lang w:val="fr-CA"/>
              </w:rPr>
            </w:pPr>
            <w:r w:rsidRPr="00D85B31">
              <w:rPr>
                <w:sz w:val="20"/>
                <w:lang w:val="fr-CA"/>
              </w:rPr>
              <w:t>La demande d’autorisation d’appel de l’arrêt de la Cour d’appel de la Colombie-Britannique (Vancouver), numéro CA040145, 2013 BCCA 389, daté du 6 septembre 2013, est rejetée sans dépens.</w:t>
            </w:r>
          </w:p>
        </w:tc>
      </w:tr>
    </w:tbl>
    <w:p w:rsidR="00D96800" w:rsidRPr="00D85B31" w:rsidRDefault="00D96800" w:rsidP="000E2959">
      <w:pPr>
        <w:rPr>
          <w:sz w:val="20"/>
          <w:szCs w:val="20"/>
          <w:lang w:val="fr-CA"/>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F20FF" w:rsidTr="00472B2D">
        <w:tc>
          <w:tcPr>
            <w:tcW w:w="5000" w:type="pct"/>
            <w:gridSpan w:val="3"/>
          </w:tcPr>
          <w:p w:rsidR="002460DE" w:rsidRPr="006F20FF" w:rsidRDefault="002460DE" w:rsidP="00472B2D">
            <w:pPr>
              <w:jc w:val="both"/>
              <w:rPr>
                <w:rFonts w:eastAsia="Calibri"/>
                <w:sz w:val="20"/>
              </w:rPr>
            </w:pPr>
            <w:r w:rsidRPr="006F20FF">
              <w:rPr>
                <w:rFonts w:eastAsia="Calibri"/>
                <w:sz w:val="20"/>
              </w:rPr>
              <w:t>Civil procedure — Parties — Addition — Costs — Evidence — Witnesses — Witness immunity — Maintenance — Witness acting as an advocate for party — Whether the applicable law prevented appeal court from ordering of costs against a non-party — What principles guide a decision to award of costs against a non-party in a family law case — Whether appeal court misconceived and misapplied the rule of maintenance in a family law cost setting — Whether the “witness immunity rule” can block a cost award against a non-party — Whether costs are an exception to the immunity rule — If immunity is a consideration in costs, what is the scope of immunity — Whether the court set the evidentiary bar too high for a summary process on costs — Whether the lower courts erred by making findings in regards to all of the legal issues at the motion stage.</w:t>
            </w:r>
          </w:p>
        </w:tc>
      </w:tr>
      <w:tr w:rsidR="002460DE" w:rsidRPr="006F20FF" w:rsidTr="00472B2D">
        <w:tc>
          <w:tcPr>
            <w:tcW w:w="5000" w:type="pct"/>
            <w:gridSpan w:val="3"/>
          </w:tcPr>
          <w:p w:rsidR="002460DE" w:rsidRPr="006F20FF" w:rsidRDefault="002460DE" w:rsidP="00472B2D">
            <w:pPr>
              <w:jc w:val="both"/>
              <w:rPr>
                <w:rFonts w:eastAsia="Calibri"/>
                <w:sz w:val="20"/>
              </w:rPr>
            </w:pPr>
          </w:p>
        </w:tc>
      </w:tr>
      <w:tr w:rsidR="002460DE" w:rsidRPr="006F20FF" w:rsidTr="00472B2D">
        <w:tc>
          <w:tcPr>
            <w:tcW w:w="5000" w:type="pct"/>
            <w:gridSpan w:val="3"/>
          </w:tcPr>
          <w:p w:rsidR="002460DE" w:rsidRPr="006F20FF" w:rsidRDefault="002460DE" w:rsidP="00472B2D">
            <w:pPr>
              <w:jc w:val="both"/>
              <w:rPr>
                <w:rFonts w:eastAsia="Calibri"/>
                <w:sz w:val="20"/>
              </w:rPr>
            </w:pPr>
            <w:r w:rsidRPr="006F20FF">
              <w:rPr>
                <w:rFonts w:eastAsia="Calibri"/>
                <w:sz w:val="20"/>
              </w:rPr>
              <w:t>In the course of a custody battle, Dr. Hay, a psychiatrist treating the respondent was called to testify.  The trial judge was very critical of Dr. Hay’s evidence and did not accept it.  The applicant moved to have Dr. Hay added as a party for the purposes of having special costs assessed against him.</w:t>
            </w:r>
          </w:p>
          <w:p w:rsidR="002460DE" w:rsidRPr="006F20FF" w:rsidRDefault="002460DE" w:rsidP="00472B2D">
            <w:pPr>
              <w:jc w:val="both"/>
              <w:rPr>
                <w:rFonts w:eastAsia="Calibri"/>
                <w:sz w:val="20"/>
              </w:rPr>
            </w:pPr>
          </w:p>
          <w:p w:rsidR="002460DE" w:rsidRPr="006F20FF" w:rsidRDefault="002460DE" w:rsidP="00472B2D">
            <w:pPr>
              <w:jc w:val="both"/>
              <w:rPr>
                <w:rFonts w:eastAsia="Calibri"/>
                <w:sz w:val="20"/>
              </w:rPr>
            </w:pPr>
            <w:r w:rsidRPr="006F20FF">
              <w:rPr>
                <w:rFonts w:eastAsia="Calibri"/>
                <w:sz w:val="20"/>
              </w:rPr>
              <w:t>The trial judge held that the threshold for adding a party had not been met, and, without determining whether Dr. Hay had testified as a lay witness or an expert witness, concluded that Dr. Hay was protected by witness immunity.  The Court of Appeal dismissed the appeal.</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July 20, 2012</w:t>
            </w:r>
          </w:p>
          <w:p w:rsidR="002460DE" w:rsidRPr="006F20FF" w:rsidRDefault="002460DE" w:rsidP="00472B2D">
            <w:pPr>
              <w:jc w:val="both"/>
              <w:rPr>
                <w:rFonts w:eastAsia="Calibri"/>
                <w:sz w:val="20"/>
              </w:rPr>
            </w:pPr>
            <w:r w:rsidRPr="006F20FF">
              <w:rPr>
                <w:rFonts w:eastAsia="Calibri"/>
                <w:sz w:val="20"/>
              </w:rPr>
              <w:t>Supreme Court of British Columbia</w:t>
            </w:r>
          </w:p>
          <w:p w:rsidR="002460DE" w:rsidRPr="006F20FF" w:rsidRDefault="002460DE" w:rsidP="00472B2D">
            <w:pPr>
              <w:jc w:val="both"/>
              <w:rPr>
                <w:rFonts w:eastAsia="Calibri"/>
                <w:sz w:val="20"/>
              </w:rPr>
            </w:pPr>
            <w:r w:rsidRPr="006F20FF">
              <w:rPr>
                <w:rFonts w:eastAsia="Calibri"/>
                <w:sz w:val="20"/>
              </w:rPr>
              <w:t>(Cole J.)</w:t>
            </w:r>
          </w:p>
          <w:p w:rsidR="002460DE" w:rsidRPr="006F20FF" w:rsidRDefault="006E182C" w:rsidP="00472B2D">
            <w:pPr>
              <w:jc w:val="both"/>
              <w:rPr>
                <w:rFonts w:eastAsia="Calibri"/>
                <w:sz w:val="20"/>
              </w:rPr>
            </w:pPr>
            <w:hyperlink r:id="rId25" w:history="1">
              <w:r w:rsidR="002460DE" w:rsidRPr="006F20FF">
                <w:rPr>
                  <w:rFonts w:eastAsia="Calibri"/>
                  <w:color w:val="0000FF"/>
                  <w:sz w:val="20"/>
                  <w:u w:val="single"/>
                </w:rPr>
                <w:t>2012 BCSC 1087</w:t>
              </w:r>
            </w:hyperlink>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Motion to add party dismissed</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September 6, 2013</w:t>
            </w:r>
          </w:p>
          <w:p w:rsidR="002460DE" w:rsidRPr="006F20FF" w:rsidRDefault="002460DE" w:rsidP="00472B2D">
            <w:pPr>
              <w:jc w:val="both"/>
              <w:rPr>
                <w:rFonts w:eastAsia="Calibri"/>
                <w:sz w:val="20"/>
              </w:rPr>
            </w:pPr>
            <w:r w:rsidRPr="006F20FF">
              <w:rPr>
                <w:rFonts w:eastAsia="Calibri"/>
                <w:sz w:val="20"/>
              </w:rPr>
              <w:t>Court of Appeal for British Columbia</w:t>
            </w:r>
          </w:p>
          <w:p w:rsidR="002460DE" w:rsidRPr="006F20FF" w:rsidRDefault="002460DE" w:rsidP="00472B2D">
            <w:pPr>
              <w:jc w:val="both"/>
              <w:rPr>
                <w:rFonts w:eastAsia="Calibri"/>
                <w:sz w:val="20"/>
                <w:lang w:val="fr-CA"/>
              </w:rPr>
            </w:pPr>
            <w:r w:rsidRPr="006F20FF">
              <w:rPr>
                <w:rFonts w:eastAsia="Calibri"/>
                <w:sz w:val="20"/>
                <w:lang w:val="fr-CA"/>
              </w:rPr>
              <w:t>(Vancouver)</w:t>
            </w:r>
          </w:p>
          <w:p w:rsidR="002460DE" w:rsidRPr="006F20FF" w:rsidRDefault="002460DE" w:rsidP="00472B2D">
            <w:pPr>
              <w:jc w:val="both"/>
              <w:rPr>
                <w:rFonts w:eastAsia="Calibri"/>
                <w:sz w:val="20"/>
                <w:lang w:val="fr-CA"/>
              </w:rPr>
            </w:pPr>
            <w:r w:rsidRPr="006F20FF">
              <w:rPr>
                <w:rFonts w:eastAsia="Calibri"/>
                <w:sz w:val="20"/>
                <w:lang w:val="fr-CA"/>
              </w:rPr>
              <w:t>(Levine, Neilson, Groberman JJ.A.)</w:t>
            </w:r>
          </w:p>
          <w:p w:rsidR="002460DE" w:rsidRPr="006F20FF" w:rsidRDefault="006E182C" w:rsidP="00472B2D">
            <w:pPr>
              <w:jc w:val="both"/>
              <w:rPr>
                <w:rFonts w:eastAsia="Calibri"/>
                <w:sz w:val="20"/>
              </w:rPr>
            </w:pPr>
            <w:hyperlink r:id="rId26" w:history="1">
              <w:r w:rsidR="002460DE" w:rsidRPr="006F20FF">
                <w:rPr>
                  <w:rFonts w:eastAsia="Calibri"/>
                  <w:color w:val="0000FF"/>
                  <w:sz w:val="20"/>
                  <w:u w:val="single"/>
                </w:rPr>
                <w:t>2013 BCCA 389</w:t>
              </w:r>
            </w:hyperlink>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lang w:val="fr-FR"/>
              </w:rPr>
            </w:pPr>
          </w:p>
        </w:tc>
        <w:tc>
          <w:tcPr>
            <w:tcW w:w="2330" w:type="pct"/>
          </w:tcPr>
          <w:p w:rsidR="002460DE" w:rsidRPr="006F20FF" w:rsidRDefault="002460DE" w:rsidP="00472B2D">
            <w:pPr>
              <w:jc w:val="both"/>
              <w:rPr>
                <w:rFonts w:eastAsia="Calibri"/>
                <w:sz w:val="20"/>
              </w:rPr>
            </w:pPr>
            <w:r w:rsidRPr="006F20FF">
              <w:rPr>
                <w:rFonts w:eastAsia="Calibri"/>
                <w:sz w:val="20"/>
              </w:rPr>
              <w:t>Appeal dismissed</w:t>
            </w:r>
          </w:p>
          <w:p w:rsidR="002460DE" w:rsidRPr="006F20FF" w:rsidRDefault="002460DE" w:rsidP="00472B2D">
            <w:pPr>
              <w:jc w:val="both"/>
              <w:rPr>
                <w:rFonts w:eastAsia="Calibri"/>
                <w:sz w:val="20"/>
              </w:rPr>
            </w:pPr>
          </w:p>
        </w:tc>
      </w:tr>
      <w:tr w:rsidR="002460DE" w:rsidRPr="006F20FF" w:rsidTr="00D85B31">
        <w:trPr>
          <w:cantSplit/>
        </w:trPr>
        <w:tc>
          <w:tcPr>
            <w:tcW w:w="2427" w:type="pct"/>
          </w:tcPr>
          <w:p w:rsidR="002460DE" w:rsidRPr="006F20FF" w:rsidRDefault="002460DE" w:rsidP="00472B2D">
            <w:pPr>
              <w:jc w:val="both"/>
              <w:rPr>
                <w:rFonts w:eastAsia="Calibri"/>
                <w:sz w:val="20"/>
              </w:rPr>
            </w:pPr>
            <w:r w:rsidRPr="006F20FF">
              <w:rPr>
                <w:rFonts w:eastAsia="Calibri"/>
                <w:sz w:val="20"/>
              </w:rPr>
              <w:t>November 5, 2013</w:t>
            </w:r>
          </w:p>
          <w:p w:rsidR="002460DE" w:rsidRPr="006F20FF" w:rsidRDefault="002460DE" w:rsidP="00472B2D">
            <w:pPr>
              <w:jc w:val="both"/>
              <w:rPr>
                <w:rFonts w:eastAsia="Calibri"/>
                <w:sz w:val="20"/>
              </w:rPr>
            </w:pPr>
            <w:r w:rsidRPr="006F20FF">
              <w:rPr>
                <w:rFonts w:eastAsia="Calibri"/>
                <w:sz w:val="20"/>
              </w:rPr>
              <w:t>Supreme Court of Canada</w:t>
            </w: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Application for leave to appeal filed</w:t>
            </w:r>
          </w:p>
        </w:tc>
      </w:tr>
    </w:tbl>
    <w:p w:rsidR="00D96800" w:rsidRDefault="00D96800" w:rsidP="000E2959">
      <w:pPr>
        <w:rPr>
          <w:sz w:val="20"/>
          <w:szCs w:val="20"/>
        </w:rPr>
      </w:pPr>
    </w:p>
    <w:p w:rsidR="00D96800" w:rsidRPr="00C50A5C" w:rsidRDefault="006E182C" w:rsidP="00D96800">
      <w:pPr>
        <w:rPr>
          <w:sz w:val="20"/>
          <w:szCs w:val="20"/>
        </w:rPr>
      </w:pPr>
      <w:r>
        <w:rPr>
          <w:sz w:val="20"/>
          <w:szCs w:val="20"/>
          <w:lang w:val="fr-CA"/>
        </w:rPr>
        <w:pict>
          <v:rect id="_x0000_i1048" style="width:2in;height:1pt" o:hrpct="0" o:hralign="center" o:hrstd="t" o:hrnoshade="t" o:hr="t" fillcolor="black [3213]" stroked="f"/>
        </w:pict>
      </w:r>
    </w:p>
    <w:p w:rsidR="002137EF" w:rsidRDefault="002137EF">
      <w:pPr>
        <w:rPr>
          <w:sz w:val="20"/>
          <w:szCs w:val="20"/>
          <w:u w:val="single"/>
          <w:lang w:val="fr-CA"/>
        </w:rPr>
      </w:pPr>
      <w:r>
        <w:rPr>
          <w:sz w:val="20"/>
          <w:szCs w:val="20"/>
          <w:u w:val="single"/>
          <w:lang w:val="fr-CA"/>
        </w:rPr>
        <w:br w:type="page"/>
      </w:r>
    </w:p>
    <w:p w:rsidR="00D96800" w:rsidRPr="001B157C" w:rsidRDefault="00D96800" w:rsidP="00D96800">
      <w:pPr>
        <w:rPr>
          <w:sz w:val="20"/>
          <w:szCs w:val="20"/>
          <w:u w:val="single"/>
          <w:lang w:val="fr-CA"/>
        </w:rPr>
      </w:pPr>
      <w:r w:rsidRPr="001B157C">
        <w:rPr>
          <w:sz w:val="20"/>
          <w:szCs w:val="20"/>
          <w:u w:val="single"/>
          <w:lang w:val="fr-CA"/>
        </w:rPr>
        <w:lastRenderedPageBreak/>
        <w:t>RÉSUMÉ DE L’AFFAIRE</w:t>
      </w:r>
    </w:p>
    <w:p w:rsidR="00D96800" w:rsidRDefault="00D96800"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E182C" w:rsidTr="00472B2D">
        <w:tc>
          <w:tcPr>
            <w:tcW w:w="5000" w:type="pct"/>
            <w:gridSpan w:val="3"/>
          </w:tcPr>
          <w:p w:rsidR="002460DE" w:rsidRPr="006F20FF" w:rsidRDefault="002460DE" w:rsidP="00472B2D">
            <w:pPr>
              <w:jc w:val="both"/>
              <w:rPr>
                <w:rFonts w:eastAsia="Calibri"/>
                <w:sz w:val="20"/>
                <w:lang w:val="fr-CA"/>
              </w:rPr>
            </w:pPr>
            <w:r w:rsidRPr="006F20FF">
              <w:rPr>
                <w:rFonts w:eastAsia="Calibri"/>
                <w:sz w:val="20"/>
                <w:lang w:val="fr-CA"/>
              </w:rPr>
              <w:t>Procédure civile — Parties — Ajout — Dépens — Preuve — Témoins — Immunité des témoins — Soutien abusif — Témoin qui défend les intérêts d’une partie — Les règles de droit applicables empêchaient</w:t>
            </w:r>
            <w:r w:rsidRPr="006F20FF">
              <w:rPr>
                <w:rFonts w:eastAsia="Calibri"/>
                <w:sz w:val="20"/>
                <w:lang w:val="fr-CA"/>
              </w:rPr>
              <w:noBreakHyphen/>
              <w:t>elles la cour d’appel de condamner un tiers à des dépens? — Quels principes guident la décision de condamner un tiers aux dépens dans une affaire en matière familiale? — La cour d’appel a</w:t>
            </w:r>
            <w:r w:rsidRPr="006F20FF">
              <w:rPr>
                <w:rFonts w:eastAsia="Calibri"/>
                <w:sz w:val="20"/>
                <w:lang w:val="fr-CA"/>
              </w:rPr>
              <w:noBreakHyphen/>
              <w:t>t</w:t>
            </w:r>
            <w:r w:rsidRPr="006F20FF">
              <w:rPr>
                <w:rFonts w:eastAsia="Calibri"/>
                <w:sz w:val="20"/>
                <w:lang w:val="fr-CA"/>
              </w:rPr>
              <w:noBreakHyphen/>
              <w:t>elle mal interprété et mal appliqué la règle relative au soutien abusif dans le contexte de l’attribution des dépens en matière familiale? — La « règle de l’immunité des témoins » peut</w:t>
            </w:r>
            <w:r w:rsidRPr="006F20FF">
              <w:rPr>
                <w:rFonts w:eastAsia="Calibri"/>
                <w:sz w:val="20"/>
                <w:lang w:val="fr-CA"/>
              </w:rPr>
              <w:noBreakHyphen/>
              <w:t>elle faire obstacle à la condamnation d’un tiers aux dépens? — Les dépens constituent</w:t>
            </w:r>
            <w:r w:rsidRPr="006F20FF">
              <w:rPr>
                <w:rFonts w:eastAsia="Calibri"/>
                <w:sz w:val="20"/>
                <w:lang w:val="fr-CA"/>
              </w:rPr>
              <w:noBreakHyphen/>
              <w:t>ils une exception à la règle d’immunité? — Si l’immunité est une considération dans la condamnation aux dépens, quelle est la portée de cette immunité? — La cour a</w:t>
            </w:r>
            <w:r w:rsidRPr="006F20FF">
              <w:rPr>
                <w:rFonts w:eastAsia="Calibri"/>
                <w:sz w:val="20"/>
                <w:lang w:val="fr-CA"/>
              </w:rPr>
              <w:noBreakHyphen/>
              <w:t>t</w:t>
            </w:r>
            <w:r w:rsidRPr="006F20FF">
              <w:rPr>
                <w:rFonts w:eastAsia="Calibri"/>
                <w:sz w:val="20"/>
                <w:lang w:val="fr-CA"/>
              </w:rPr>
              <w:noBreakHyphen/>
              <w:t>elle imposé une norme de preuve trop rigoureuse pour un processus sommaire relatif aux dépens? — Les juridictions inférieures ont</w:t>
            </w:r>
            <w:r w:rsidRPr="006F20FF">
              <w:rPr>
                <w:rFonts w:eastAsia="Calibri"/>
                <w:sz w:val="20"/>
                <w:lang w:val="fr-CA"/>
              </w:rPr>
              <w:noBreakHyphen/>
              <w:t>elles eu tort de tirer des conclusions à l’égard de toutes les questions de droit au stade de la requête?</w:t>
            </w:r>
          </w:p>
        </w:tc>
      </w:tr>
      <w:tr w:rsidR="002460DE" w:rsidRPr="006E182C" w:rsidTr="00472B2D">
        <w:tc>
          <w:tcPr>
            <w:tcW w:w="5000" w:type="pct"/>
            <w:gridSpan w:val="3"/>
          </w:tcPr>
          <w:p w:rsidR="002460DE" w:rsidRPr="006F20FF" w:rsidRDefault="002460DE" w:rsidP="00472B2D">
            <w:pPr>
              <w:jc w:val="both"/>
              <w:rPr>
                <w:rFonts w:eastAsia="Calibri"/>
                <w:sz w:val="20"/>
                <w:lang w:val="fr-CA"/>
              </w:rPr>
            </w:pPr>
          </w:p>
        </w:tc>
      </w:tr>
      <w:tr w:rsidR="002460DE" w:rsidRPr="006F20FF" w:rsidTr="00472B2D">
        <w:tc>
          <w:tcPr>
            <w:tcW w:w="5000" w:type="pct"/>
            <w:gridSpan w:val="3"/>
          </w:tcPr>
          <w:p w:rsidR="002460DE" w:rsidRPr="006F20FF" w:rsidRDefault="002460DE" w:rsidP="00472B2D">
            <w:pPr>
              <w:jc w:val="both"/>
              <w:rPr>
                <w:rFonts w:eastAsia="Calibri"/>
                <w:sz w:val="20"/>
                <w:lang w:val="fr-CA"/>
              </w:rPr>
            </w:pPr>
            <w:r w:rsidRPr="006F20FF">
              <w:rPr>
                <w:rFonts w:eastAsia="Calibri"/>
                <w:sz w:val="20"/>
                <w:lang w:val="fr-CA"/>
              </w:rPr>
              <w:t>Dans le cadre d’un litige en matière de garde, le docteur Hay, un psychiatre qui traité l’intimée, a été appelé à témoigner.  Le juge de première instance s’est montré très critique à l’égard du témoignage du docteur Hay et ne l’a pas accepté.  Le demandeur a présenté une requête pour faire ajouter le docteur Hay comme partie afin qu’il soit condamné à des dépens spéciaux.</w:t>
            </w:r>
          </w:p>
          <w:p w:rsidR="002460DE" w:rsidRPr="006F20FF" w:rsidRDefault="002460DE" w:rsidP="00472B2D">
            <w:pPr>
              <w:jc w:val="both"/>
              <w:rPr>
                <w:rFonts w:eastAsia="Calibri"/>
                <w:sz w:val="20"/>
                <w:lang w:val="fr-CA"/>
              </w:rPr>
            </w:pPr>
          </w:p>
          <w:p w:rsidR="002460DE" w:rsidRPr="006F20FF" w:rsidRDefault="002460DE" w:rsidP="00472B2D">
            <w:pPr>
              <w:jc w:val="both"/>
              <w:rPr>
                <w:rFonts w:eastAsia="Calibri"/>
                <w:sz w:val="20"/>
                <w:lang w:val="fr-CA"/>
              </w:rPr>
            </w:pPr>
            <w:r w:rsidRPr="006F20FF">
              <w:rPr>
                <w:rFonts w:eastAsia="Calibri"/>
                <w:sz w:val="20"/>
                <w:lang w:val="fr-CA"/>
              </w:rPr>
              <w:t>Le juge du procès a statué que le critère relatif à l’ajout d’une partie n’avait pas été rempli et, sans se prononcer sur la question de savoir si le docteur Hay avait témoigné en tant que témoin ordinaire ou en tant que témoin expert, il a conclu que le docteur Hay était protégé par l’immunité des témoins.  La Cour d’appel a rejeté l’appel.</w:t>
            </w:r>
          </w:p>
          <w:p w:rsidR="002460DE" w:rsidRPr="006F20FF" w:rsidRDefault="002460DE" w:rsidP="00472B2D">
            <w:pPr>
              <w:jc w:val="both"/>
              <w:rPr>
                <w:rFonts w:eastAsia="Calibri"/>
                <w:sz w:val="20"/>
                <w:lang w:val="fr-CA"/>
              </w:rPr>
            </w:pPr>
          </w:p>
        </w:tc>
      </w:tr>
      <w:tr w:rsidR="002460DE" w:rsidRPr="006E182C"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 xml:space="preserve">20 juillet 2012 </w:t>
            </w:r>
          </w:p>
          <w:p w:rsidR="002460DE" w:rsidRPr="006F20FF" w:rsidRDefault="002460DE" w:rsidP="00472B2D">
            <w:pPr>
              <w:jc w:val="both"/>
              <w:rPr>
                <w:rFonts w:eastAsia="Calibri"/>
                <w:sz w:val="20"/>
                <w:lang w:val="fr-CA"/>
              </w:rPr>
            </w:pPr>
            <w:r w:rsidRPr="006F20FF">
              <w:rPr>
                <w:rFonts w:eastAsia="Calibri"/>
                <w:sz w:val="20"/>
                <w:lang w:val="fr-CA"/>
              </w:rPr>
              <w:t>Cour suprême de la Colombie</w:t>
            </w:r>
            <w:r w:rsidRPr="006F20FF">
              <w:rPr>
                <w:rFonts w:eastAsia="Calibri"/>
                <w:sz w:val="20"/>
                <w:lang w:val="fr-CA"/>
              </w:rPr>
              <w:noBreakHyphen/>
              <w:t>Britannique</w:t>
            </w:r>
          </w:p>
          <w:p w:rsidR="002460DE" w:rsidRPr="006F20FF" w:rsidRDefault="002460DE" w:rsidP="00472B2D">
            <w:pPr>
              <w:jc w:val="both"/>
              <w:rPr>
                <w:rFonts w:eastAsia="Calibri"/>
                <w:sz w:val="20"/>
                <w:lang w:val="fr-CA"/>
              </w:rPr>
            </w:pPr>
            <w:r w:rsidRPr="006F20FF">
              <w:rPr>
                <w:rFonts w:eastAsia="Calibri"/>
                <w:sz w:val="20"/>
                <w:lang w:val="fr-CA"/>
              </w:rPr>
              <w:t>(Juge Cole)</w:t>
            </w:r>
          </w:p>
          <w:p w:rsidR="002460DE" w:rsidRPr="006F20FF" w:rsidRDefault="006E182C" w:rsidP="00472B2D">
            <w:pPr>
              <w:jc w:val="both"/>
              <w:rPr>
                <w:rFonts w:eastAsia="Calibri"/>
                <w:sz w:val="20"/>
                <w:lang w:val="fr-CA"/>
              </w:rPr>
            </w:pPr>
            <w:hyperlink r:id="rId27" w:history="1">
              <w:r w:rsidR="002460DE" w:rsidRPr="006F20FF">
                <w:rPr>
                  <w:rFonts w:eastAsia="Calibri"/>
                  <w:color w:val="0000FF"/>
                  <w:sz w:val="20"/>
                  <w:u w:val="single"/>
                  <w:lang w:val="fr-CA"/>
                </w:rPr>
                <w:t>2012 BCSC 1087</w:t>
              </w:r>
            </w:hyperlink>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Requête en vue d’ajouter une partie, rejetée</w:t>
            </w:r>
          </w:p>
          <w:p w:rsidR="002460DE" w:rsidRPr="006F20FF" w:rsidRDefault="002460DE" w:rsidP="00472B2D">
            <w:pPr>
              <w:jc w:val="both"/>
              <w:rPr>
                <w:rFonts w:eastAsia="Calibri"/>
                <w:sz w:val="20"/>
                <w:lang w:val="fr-CA"/>
              </w:rPr>
            </w:pPr>
          </w:p>
        </w:tc>
      </w:tr>
      <w:tr w:rsidR="002460DE" w:rsidRPr="006F20FF"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6 septembre 2013</w:t>
            </w:r>
          </w:p>
          <w:p w:rsidR="002460DE" w:rsidRPr="006F20FF" w:rsidRDefault="002460DE" w:rsidP="00472B2D">
            <w:pPr>
              <w:jc w:val="both"/>
              <w:rPr>
                <w:rFonts w:eastAsia="Calibri"/>
                <w:sz w:val="20"/>
                <w:lang w:val="fr-CA"/>
              </w:rPr>
            </w:pPr>
            <w:r w:rsidRPr="006F20FF">
              <w:rPr>
                <w:rFonts w:eastAsia="Calibri"/>
                <w:sz w:val="20"/>
                <w:lang w:val="fr-CA"/>
              </w:rPr>
              <w:t>Cour d’appel de la Colombie</w:t>
            </w:r>
            <w:r w:rsidRPr="006F20FF">
              <w:rPr>
                <w:rFonts w:eastAsia="Calibri"/>
                <w:sz w:val="20"/>
                <w:lang w:val="fr-CA"/>
              </w:rPr>
              <w:noBreakHyphen/>
              <w:t>Britannique</w:t>
            </w:r>
          </w:p>
          <w:p w:rsidR="002460DE" w:rsidRPr="006F20FF" w:rsidRDefault="002460DE" w:rsidP="00472B2D">
            <w:pPr>
              <w:jc w:val="both"/>
              <w:rPr>
                <w:rFonts w:eastAsia="Calibri"/>
                <w:sz w:val="20"/>
                <w:lang w:val="fr-CA"/>
              </w:rPr>
            </w:pPr>
            <w:r w:rsidRPr="006F20FF">
              <w:rPr>
                <w:rFonts w:eastAsia="Calibri"/>
                <w:sz w:val="20"/>
                <w:lang w:val="fr-CA"/>
              </w:rPr>
              <w:t>(Vancouver)</w:t>
            </w:r>
          </w:p>
          <w:p w:rsidR="002460DE" w:rsidRPr="006F20FF" w:rsidRDefault="002460DE" w:rsidP="00472B2D">
            <w:pPr>
              <w:jc w:val="both"/>
              <w:rPr>
                <w:rFonts w:eastAsia="Calibri"/>
                <w:sz w:val="20"/>
                <w:lang w:val="fr-CA"/>
              </w:rPr>
            </w:pPr>
            <w:r w:rsidRPr="006F20FF">
              <w:rPr>
                <w:rFonts w:eastAsia="Calibri"/>
                <w:sz w:val="20"/>
                <w:lang w:val="fr-CA"/>
              </w:rPr>
              <w:t>(Juges Levine, Neilson et Groberman)</w:t>
            </w:r>
          </w:p>
          <w:p w:rsidR="002460DE" w:rsidRPr="006F20FF" w:rsidRDefault="006E182C" w:rsidP="00472B2D">
            <w:pPr>
              <w:jc w:val="both"/>
              <w:rPr>
                <w:rFonts w:eastAsia="Calibri"/>
                <w:sz w:val="20"/>
                <w:lang w:val="fr-CA"/>
              </w:rPr>
            </w:pPr>
            <w:hyperlink r:id="rId28" w:history="1">
              <w:r w:rsidR="002460DE" w:rsidRPr="006F20FF">
                <w:rPr>
                  <w:rFonts w:eastAsia="Calibri"/>
                  <w:color w:val="0000FF"/>
                  <w:sz w:val="20"/>
                  <w:u w:val="single"/>
                  <w:lang w:val="fr-CA"/>
                </w:rPr>
                <w:t>2013 BCCA 389</w:t>
              </w:r>
            </w:hyperlink>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Appel rejeté</w:t>
            </w:r>
          </w:p>
          <w:p w:rsidR="002460DE" w:rsidRPr="006F20FF" w:rsidRDefault="002460DE" w:rsidP="00472B2D">
            <w:pPr>
              <w:jc w:val="both"/>
              <w:rPr>
                <w:rFonts w:eastAsia="Calibri"/>
                <w:sz w:val="20"/>
                <w:lang w:val="fr-CA"/>
              </w:rPr>
            </w:pPr>
          </w:p>
        </w:tc>
      </w:tr>
      <w:tr w:rsidR="002460DE" w:rsidRPr="006F20FF"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5 novembre 2013</w:t>
            </w:r>
          </w:p>
          <w:p w:rsidR="002460DE" w:rsidRPr="006F20FF" w:rsidRDefault="002460DE" w:rsidP="00472B2D">
            <w:pPr>
              <w:jc w:val="both"/>
              <w:rPr>
                <w:rFonts w:eastAsia="Calibri"/>
                <w:sz w:val="20"/>
                <w:lang w:val="fr-CA"/>
              </w:rPr>
            </w:pPr>
            <w:r w:rsidRPr="006F20FF">
              <w:rPr>
                <w:rFonts w:eastAsia="Calibri"/>
                <w:sz w:val="20"/>
                <w:lang w:val="fr-CA"/>
              </w:rPr>
              <w:t>Cour suprême du Canada</w:t>
            </w: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Demande autorisation d’appel, déposée</w:t>
            </w:r>
          </w:p>
        </w:tc>
      </w:tr>
    </w:tbl>
    <w:p w:rsidR="00D96800" w:rsidRDefault="00D96800" w:rsidP="000E2959">
      <w:pPr>
        <w:rPr>
          <w:sz w:val="20"/>
          <w:szCs w:val="20"/>
        </w:rPr>
      </w:pPr>
    </w:p>
    <w:p w:rsidR="00D96800" w:rsidRDefault="006E182C" w:rsidP="000E2959">
      <w:pPr>
        <w:rPr>
          <w:sz w:val="20"/>
          <w:szCs w:val="20"/>
          <w:lang w:val="fr-CA"/>
        </w:rPr>
      </w:pPr>
      <w:r>
        <w:rPr>
          <w:sz w:val="20"/>
          <w:szCs w:val="20"/>
          <w:lang w:val="fr-CA"/>
        </w:rPr>
        <w:pict>
          <v:rect id="_x0000_i1049" style="width:2in;height:1pt" o:hrpct="0" o:hralign="center" o:hrstd="t" o:hrnoshade="t" o:hr="t" fillcolor="black [3213]" stroked="f"/>
        </w:pict>
      </w:r>
    </w:p>
    <w:p w:rsidR="00D96800" w:rsidRDefault="00D96800"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85B31" w:rsidRPr="006E182C" w:rsidTr="00D27A21">
        <w:trPr>
          <w:cantSplit/>
        </w:trPr>
        <w:tc>
          <w:tcPr>
            <w:tcW w:w="1458" w:type="dxa"/>
          </w:tcPr>
          <w:p w:rsidR="00D85B31" w:rsidRPr="00D85B31" w:rsidRDefault="00D85B31" w:rsidP="00D85B31">
            <w:pPr>
              <w:rPr>
                <w:sz w:val="20"/>
              </w:rPr>
            </w:pPr>
            <w:r w:rsidRPr="00D85B31">
              <w:rPr>
                <w:b/>
                <w:sz w:val="20"/>
                <w:lang w:val="fr-CA"/>
              </w:rPr>
              <w:t>35724</w:t>
            </w:r>
          </w:p>
          <w:p w:rsidR="00D85B31" w:rsidRPr="00D85B31" w:rsidRDefault="00D85B31" w:rsidP="00D85B31">
            <w:pPr>
              <w:rPr>
                <w:b/>
                <w:sz w:val="20"/>
                <w:lang w:val="fr-CA"/>
              </w:rPr>
            </w:pPr>
          </w:p>
        </w:tc>
        <w:tc>
          <w:tcPr>
            <w:tcW w:w="8118" w:type="dxa"/>
          </w:tcPr>
          <w:p w:rsidR="00D85B31" w:rsidRPr="00D85B31" w:rsidRDefault="00D85B31" w:rsidP="00D85B31">
            <w:pPr>
              <w:jc w:val="both"/>
              <w:rPr>
                <w:sz w:val="20"/>
                <w:lang w:val="fr-CA"/>
              </w:rPr>
            </w:pPr>
            <w:r w:rsidRPr="00D85B31">
              <w:rPr>
                <w:b/>
                <w:sz w:val="20"/>
                <w:u w:val="single"/>
                <w:lang w:val="fr-CA"/>
              </w:rPr>
              <w:t>Victor Sebastian Mendez Suarez c. Ministre de la justice du Canada représentant les États-Unis du Mexique</w:t>
            </w:r>
            <w:r w:rsidRPr="00D85B31">
              <w:rPr>
                <w:sz w:val="20"/>
                <w:lang w:val="fr-CA"/>
              </w:rPr>
              <w:t xml:space="preserve"> (Qc) (Criminelle) (Autorisation)</w:t>
            </w:r>
          </w:p>
          <w:p w:rsidR="00D85B31" w:rsidRPr="00D85B31" w:rsidRDefault="00D85B31" w:rsidP="00D85B31">
            <w:pPr>
              <w:jc w:val="both"/>
              <w:rPr>
                <w:sz w:val="20"/>
                <w:lang w:val="fr-CA"/>
              </w:rPr>
            </w:pPr>
          </w:p>
        </w:tc>
      </w:tr>
      <w:tr w:rsidR="00D85B31" w:rsidRPr="006E182C" w:rsidTr="00D27A21">
        <w:trPr>
          <w:cantSplit/>
        </w:trPr>
        <w:tc>
          <w:tcPr>
            <w:tcW w:w="1458" w:type="dxa"/>
          </w:tcPr>
          <w:p w:rsidR="00D85B31" w:rsidRPr="00D85B31" w:rsidRDefault="00D85B31" w:rsidP="00D85B31">
            <w:pPr>
              <w:rPr>
                <w:sz w:val="20"/>
              </w:rPr>
            </w:pPr>
            <w:r w:rsidRPr="00D85B31">
              <w:rPr>
                <w:sz w:val="20"/>
              </w:rPr>
              <w:t>Coram :</w:t>
            </w:r>
          </w:p>
        </w:tc>
        <w:tc>
          <w:tcPr>
            <w:tcW w:w="8118" w:type="dxa"/>
          </w:tcPr>
          <w:p w:rsidR="00D85B31" w:rsidRPr="00D85B31" w:rsidRDefault="00D85B31" w:rsidP="00D85B31">
            <w:pPr>
              <w:rPr>
                <w:sz w:val="20"/>
                <w:lang w:val="fr-CA"/>
              </w:rPr>
            </w:pPr>
            <w:r w:rsidRPr="00D85B31">
              <w:rPr>
                <w:sz w:val="20"/>
                <w:u w:val="single"/>
                <w:lang w:val="fr-CA"/>
              </w:rPr>
              <w:t>Les juges LeBel, Karakatsanis et Wagner</w:t>
            </w:r>
          </w:p>
          <w:p w:rsidR="00D85B31" w:rsidRPr="00D85B31" w:rsidRDefault="00D85B31" w:rsidP="00D85B31">
            <w:pPr>
              <w:rPr>
                <w:sz w:val="20"/>
                <w:u w:val="single"/>
                <w:lang w:val="fr-CA"/>
              </w:rPr>
            </w:pPr>
          </w:p>
        </w:tc>
      </w:tr>
      <w:tr w:rsidR="00D85B31" w:rsidRPr="00D85B31" w:rsidTr="00D27A21">
        <w:trPr>
          <w:cantSplit/>
        </w:trPr>
        <w:tc>
          <w:tcPr>
            <w:tcW w:w="9576" w:type="dxa"/>
            <w:gridSpan w:val="2"/>
          </w:tcPr>
          <w:p w:rsidR="00D85B31" w:rsidRPr="00D85B31" w:rsidRDefault="00D85B31" w:rsidP="00D85B31">
            <w:pPr>
              <w:ind w:firstLine="720"/>
              <w:jc w:val="both"/>
              <w:rPr>
                <w:sz w:val="20"/>
                <w:lang w:val="fr-CA"/>
              </w:rPr>
            </w:pPr>
            <w:r w:rsidRPr="00D85B31">
              <w:rPr>
                <w:sz w:val="20"/>
                <w:lang w:val="fr-CA"/>
              </w:rPr>
              <w:t>La demande d’autorisation d’appel de l’arrêt de la Cour d’appel du Québec (Montréal), numéro 500-10-005438-138, 2014 QCCA 281, daté du 31 janvier 2014, est rejetée sans dépens.</w:t>
            </w:r>
          </w:p>
          <w:p w:rsidR="00D85B31" w:rsidRPr="00D85B31" w:rsidRDefault="00D85B31" w:rsidP="00D85B31">
            <w:pPr>
              <w:jc w:val="both"/>
              <w:rPr>
                <w:sz w:val="20"/>
                <w:lang w:val="fr-CA"/>
              </w:rPr>
            </w:pPr>
          </w:p>
          <w:p w:rsidR="00D85B31" w:rsidRPr="00D85B31" w:rsidRDefault="00D85B31" w:rsidP="00D85B31">
            <w:pPr>
              <w:ind w:firstLine="720"/>
              <w:jc w:val="both"/>
              <w:rPr>
                <w:sz w:val="20"/>
              </w:rPr>
            </w:pPr>
            <w:r w:rsidRPr="00D85B31">
              <w:rPr>
                <w:sz w:val="20"/>
              </w:rPr>
              <w:t>The application for leave to appeal from the judgment of the Court of Appeal of Quebec (Montréal), Number 500-10-005438-138, 2014 QCCA 281, dated January 31, 2014, is dismissed without costs.</w:t>
            </w:r>
          </w:p>
        </w:tc>
      </w:tr>
    </w:tbl>
    <w:p w:rsidR="002137EF" w:rsidRDefault="002137EF" w:rsidP="000E2959">
      <w:pPr>
        <w:rPr>
          <w:sz w:val="20"/>
          <w:szCs w:val="20"/>
        </w:rPr>
      </w:pPr>
    </w:p>
    <w:p w:rsidR="002137EF" w:rsidRDefault="002137EF">
      <w:pPr>
        <w:rPr>
          <w:sz w:val="20"/>
          <w:szCs w:val="20"/>
        </w:rPr>
      </w:pPr>
      <w:r>
        <w:rPr>
          <w:sz w:val="20"/>
          <w:szCs w:val="20"/>
        </w:rPr>
        <w:br w:type="page"/>
      </w:r>
    </w:p>
    <w:p w:rsidR="00D96800" w:rsidRPr="001B157C" w:rsidRDefault="00D96800" w:rsidP="00D96800">
      <w:pPr>
        <w:rPr>
          <w:sz w:val="20"/>
          <w:szCs w:val="20"/>
          <w:u w:val="single"/>
        </w:rPr>
      </w:pPr>
      <w:r w:rsidRPr="001B157C">
        <w:rPr>
          <w:sz w:val="20"/>
          <w:szCs w:val="20"/>
          <w:u w:val="single"/>
        </w:rPr>
        <w:lastRenderedPageBreak/>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F20FF" w:rsidTr="00472B2D">
        <w:tc>
          <w:tcPr>
            <w:tcW w:w="5000" w:type="pct"/>
            <w:gridSpan w:val="3"/>
          </w:tcPr>
          <w:p w:rsidR="002460DE" w:rsidRPr="006F20FF" w:rsidRDefault="002460DE" w:rsidP="00472B2D">
            <w:pPr>
              <w:jc w:val="both"/>
              <w:rPr>
                <w:rFonts w:eastAsia="Calibri"/>
                <w:sz w:val="20"/>
              </w:rPr>
            </w:pPr>
            <w:r w:rsidRPr="006F20FF">
              <w:rPr>
                <w:rFonts w:eastAsia="Calibri"/>
                <w:i/>
                <w:iCs/>
                <w:sz w:val="20"/>
              </w:rPr>
              <w:t>Canadian Charter of Rights and Freedoms</w:t>
            </w:r>
            <w:r w:rsidRPr="006F20FF">
              <w:rPr>
                <w:rFonts w:eastAsia="Calibri"/>
                <w:sz w:val="20"/>
              </w:rPr>
              <w:t xml:space="preserve"> – Criminal law – Extradition – Whether Court of Appeal erred in law in upholding Minister of Justice’s decision to extradite applicant – Whether Minister of Justice erred in law and in fact in placing too much weight on assurances given by United Mexican States and failing to weigh assurances sought against expectation that United Mexican States would comply with them – Whether Minister of Justice erred in law and in fact in not establishing monitoring mechanism to ensure compliance with required diplomatic assurances.</w:t>
            </w:r>
          </w:p>
        </w:tc>
      </w:tr>
      <w:tr w:rsidR="002460DE" w:rsidRPr="006F20FF" w:rsidTr="00472B2D">
        <w:tc>
          <w:tcPr>
            <w:tcW w:w="5000" w:type="pct"/>
            <w:gridSpan w:val="3"/>
          </w:tcPr>
          <w:p w:rsidR="002460DE" w:rsidRPr="006F20FF" w:rsidRDefault="002460DE" w:rsidP="00472B2D">
            <w:pPr>
              <w:jc w:val="both"/>
              <w:rPr>
                <w:rFonts w:eastAsia="Calibri"/>
                <w:sz w:val="20"/>
              </w:rPr>
            </w:pPr>
          </w:p>
        </w:tc>
      </w:tr>
      <w:tr w:rsidR="002460DE" w:rsidRPr="006F20FF" w:rsidTr="00472B2D">
        <w:tc>
          <w:tcPr>
            <w:tcW w:w="5000" w:type="pct"/>
            <w:gridSpan w:val="3"/>
          </w:tcPr>
          <w:p w:rsidR="002460DE" w:rsidRPr="006F20FF" w:rsidRDefault="002460DE" w:rsidP="00472B2D">
            <w:pPr>
              <w:autoSpaceDE w:val="0"/>
              <w:autoSpaceDN w:val="0"/>
              <w:adjustRightInd w:val="0"/>
              <w:jc w:val="both"/>
              <w:rPr>
                <w:rFonts w:eastAsia="Calibri"/>
                <w:sz w:val="20"/>
              </w:rPr>
            </w:pPr>
            <w:r w:rsidRPr="006F20FF">
              <w:rPr>
                <w:rFonts w:eastAsia="Calibri"/>
                <w:sz w:val="20"/>
              </w:rPr>
              <w:t xml:space="preserve">The applicant is a Mexican citizen who was ordered to be surrendered to Mexico for prosecution on a pornography charge under the provisions of the criminal code for the federal district of Mexico.  The applicant denied the crimes alleged against him and everything certified in the record of the case concerning the offences alleged against him by the Mexican authorities.  For the purposes of the order to surrender the applicant, a number of diplomatic assurances were required and accepted by the Canadian authorities.  Resisting extradition, the applicant argued that his surrender would be unjust and oppressive and would infringe his rights under s. 7 of the </w:t>
            </w:r>
            <w:r w:rsidRPr="006F20FF">
              <w:rPr>
                <w:rFonts w:eastAsia="Calibri"/>
                <w:i/>
                <w:sz w:val="20"/>
              </w:rPr>
              <w:t>Canadian Charter of Rights and Freedoms</w:t>
            </w:r>
            <w:r w:rsidRPr="006F20FF">
              <w:rPr>
                <w:rFonts w:eastAsia="Calibri"/>
                <w:sz w:val="20"/>
              </w:rPr>
              <w:t>.</w:t>
            </w:r>
          </w:p>
          <w:p w:rsidR="002460DE" w:rsidRPr="006F20FF" w:rsidRDefault="002460DE" w:rsidP="00472B2D">
            <w:pPr>
              <w:autoSpaceDE w:val="0"/>
              <w:autoSpaceDN w:val="0"/>
              <w:adjustRightInd w:val="0"/>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April 27, 2012</w:t>
            </w:r>
          </w:p>
          <w:p w:rsidR="002460DE" w:rsidRPr="006F20FF" w:rsidRDefault="002460DE" w:rsidP="00472B2D">
            <w:pPr>
              <w:jc w:val="both"/>
              <w:rPr>
                <w:rFonts w:eastAsia="Calibri"/>
                <w:sz w:val="20"/>
              </w:rPr>
            </w:pPr>
            <w:r w:rsidRPr="006F20FF">
              <w:rPr>
                <w:rFonts w:eastAsia="Calibri"/>
                <w:sz w:val="20"/>
              </w:rPr>
              <w:t>Quebec Superior Court</w:t>
            </w:r>
          </w:p>
          <w:p w:rsidR="002460DE" w:rsidRPr="006F20FF" w:rsidRDefault="002460DE" w:rsidP="00472B2D">
            <w:pPr>
              <w:jc w:val="both"/>
              <w:rPr>
                <w:rFonts w:eastAsia="Calibri"/>
                <w:sz w:val="20"/>
              </w:rPr>
            </w:pPr>
            <w:r w:rsidRPr="006F20FF">
              <w:rPr>
                <w:rFonts w:eastAsia="Calibri"/>
                <w:sz w:val="20"/>
              </w:rPr>
              <w:t>(Champagne J.)</w:t>
            </w:r>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Applicant’s committal ordered</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June 5, 2013</w:t>
            </w:r>
          </w:p>
          <w:p w:rsidR="002460DE" w:rsidRPr="006F20FF" w:rsidRDefault="002460DE" w:rsidP="00472B2D">
            <w:pPr>
              <w:jc w:val="both"/>
              <w:rPr>
                <w:rFonts w:eastAsia="Calibri"/>
                <w:sz w:val="20"/>
              </w:rPr>
            </w:pPr>
            <w:r w:rsidRPr="006F20FF">
              <w:rPr>
                <w:rFonts w:eastAsia="Calibri"/>
                <w:sz w:val="20"/>
              </w:rPr>
              <w:t>Department of Justice Canada</w:t>
            </w:r>
          </w:p>
          <w:p w:rsidR="002460DE" w:rsidRPr="006F20FF" w:rsidRDefault="002460DE" w:rsidP="00472B2D">
            <w:pPr>
              <w:jc w:val="both"/>
              <w:rPr>
                <w:rFonts w:eastAsia="Calibri"/>
                <w:sz w:val="20"/>
              </w:rPr>
            </w:pPr>
            <w:r w:rsidRPr="006F20FF">
              <w:rPr>
                <w:rFonts w:eastAsia="Calibri"/>
                <w:sz w:val="20"/>
              </w:rPr>
              <w:t>(Minister Nicholson)</w:t>
            </w:r>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Applicant’s surrender to Mexico ordered</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January 31, 2014</w:t>
            </w:r>
          </w:p>
          <w:p w:rsidR="002460DE" w:rsidRPr="006F20FF" w:rsidRDefault="002460DE" w:rsidP="00472B2D">
            <w:pPr>
              <w:jc w:val="both"/>
              <w:rPr>
                <w:rFonts w:eastAsia="Calibri"/>
                <w:sz w:val="20"/>
              </w:rPr>
            </w:pPr>
            <w:r w:rsidRPr="006F20FF">
              <w:rPr>
                <w:rFonts w:eastAsia="Calibri"/>
                <w:sz w:val="20"/>
              </w:rPr>
              <w:t>Quebec Court of Appeal (Montréal)</w:t>
            </w:r>
          </w:p>
          <w:p w:rsidR="002460DE" w:rsidRPr="006F20FF" w:rsidRDefault="002460DE" w:rsidP="00472B2D">
            <w:pPr>
              <w:jc w:val="both"/>
              <w:rPr>
                <w:rFonts w:eastAsia="Calibri"/>
                <w:sz w:val="20"/>
                <w:lang w:val="fr-CA"/>
              </w:rPr>
            </w:pPr>
            <w:r w:rsidRPr="006F20FF">
              <w:rPr>
                <w:rFonts w:eastAsia="Calibri"/>
                <w:sz w:val="20"/>
                <w:lang w:val="fr-CA"/>
              </w:rPr>
              <w:t>(Pelletier, Kasirer and Lévesque JJ.A.)</w:t>
            </w:r>
          </w:p>
          <w:p w:rsidR="002460DE" w:rsidRPr="006F20FF" w:rsidRDefault="002460DE" w:rsidP="00472B2D">
            <w:pPr>
              <w:jc w:val="both"/>
              <w:rPr>
                <w:rFonts w:eastAsia="Calibri"/>
                <w:sz w:val="20"/>
              </w:rPr>
            </w:pPr>
            <w:bookmarkStart w:id="2" w:name="NoDossier"/>
            <w:r w:rsidRPr="006F20FF">
              <w:rPr>
                <w:rFonts w:eastAsia="Calibri"/>
                <w:sz w:val="20"/>
              </w:rPr>
              <w:t>No. 500-10-005438-138</w:t>
            </w:r>
            <w:bookmarkEnd w:id="2"/>
          </w:p>
          <w:bookmarkStart w:id="3" w:name="reflex-caselaw-24460403"/>
          <w:bookmarkEnd w:id="3"/>
          <w:p w:rsidR="002460DE" w:rsidRPr="006F20FF" w:rsidRDefault="008222C4" w:rsidP="00472B2D">
            <w:pPr>
              <w:jc w:val="both"/>
              <w:rPr>
                <w:rFonts w:eastAsia="Calibri"/>
                <w:sz w:val="20"/>
              </w:rPr>
            </w:pPr>
            <w:r w:rsidRPr="006F20FF">
              <w:rPr>
                <w:rFonts w:eastAsia="Calibri"/>
                <w:sz w:val="20"/>
              </w:rPr>
              <w:fldChar w:fldCharType="begin"/>
            </w:r>
            <w:r w:rsidR="002460DE" w:rsidRPr="006F20FF">
              <w:rPr>
                <w:rFonts w:eastAsia="Calibri"/>
                <w:sz w:val="20"/>
              </w:rPr>
              <w:instrText xml:space="preserve"> HYPERLINK "http://www.canlii.org/fr/qc/qcca/doc/2014/2014qcca281/2014qcca281.html" </w:instrText>
            </w:r>
            <w:r w:rsidR="006E182C" w:rsidRPr="006F20FF">
              <w:rPr>
                <w:rFonts w:eastAsia="Calibri"/>
                <w:sz w:val="20"/>
              </w:rPr>
            </w:r>
            <w:r w:rsidRPr="006F20FF">
              <w:rPr>
                <w:rFonts w:eastAsia="Calibri"/>
                <w:sz w:val="20"/>
              </w:rPr>
              <w:fldChar w:fldCharType="separate"/>
            </w:r>
            <w:r w:rsidR="002460DE" w:rsidRPr="006F20FF">
              <w:rPr>
                <w:rFonts w:eastAsia="Calibri"/>
                <w:color w:val="0000FF"/>
                <w:sz w:val="20"/>
                <w:u w:val="single"/>
              </w:rPr>
              <w:t>2014 QCCA 281</w:t>
            </w:r>
            <w:r w:rsidRPr="006F20FF">
              <w:rPr>
                <w:rFonts w:eastAsia="Calibri"/>
                <w:sz w:val="20"/>
              </w:rPr>
              <w:fldChar w:fldCharType="end"/>
            </w:r>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Application for judicial review dismissed</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April 1, 2014</w:t>
            </w:r>
          </w:p>
          <w:p w:rsidR="002460DE" w:rsidRPr="006F20FF" w:rsidRDefault="002460DE" w:rsidP="00472B2D">
            <w:pPr>
              <w:jc w:val="both"/>
              <w:rPr>
                <w:rFonts w:eastAsia="Calibri"/>
                <w:sz w:val="20"/>
              </w:rPr>
            </w:pPr>
            <w:r w:rsidRPr="006F20FF">
              <w:rPr>
                <w:rFonts w:eastAsia="Calibri"/>
                <w:sz w:val="20"/>
              </w:rPr>
              <w:t>Supreme Court of Canada</w:t>
            </w: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Application for leave to appeal filed</w:t>
            </w: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50"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E182C" w:rsidTr="00472B2D">
        <w:tc>
          <w:tcPr>
            <w:tcW w:w="5000" w:type="pct"/>
            <w:gridSpan w:val="3"/>
          </w:tcPr>
          <w:p w:rsidR="002460DE" w:rsidRPr="006F20FF" w:rsidRDefault="002460DE" w:rsidP="00472B2D">
            <w:pPr>
              <w:jc w:val="both"/>
              <w:rPr>
                <w:rFonts w:eastAsia="Calibri"/>
                <w:sz w:val="20"/>
                <w:lang w:val="fr-CA"/>
              </w:rPr>
            </w:pPr>
            <w:r w:rsidRPr="006F20FF">
              <w:rPr>
                <w:rFonts w:eastAsia="Calibri"/>
                <w:i/>
                <w:iCs/>
                <w:sz w:val="20"/>
                <w:lang w:val="fr-CA"/>
              </w:rPr>
              <w:t>Charte canadienne des droits et liberté</w:t>
            </w:r>
            <w:r w:rsidRPr="006F20FF">
              <w:rPr>
                <w:rFonts w:eastAsia="Calibri"/>
                <w:sz w:val="20"/>
                <w:lang w:val="fr-CA"/>
              </w:rPr>
              <w:t xml:space="preserve"> – Droit criminel – Extradition – La Cour d’appel a-t-elle erré en droit en maintenant la décision du Ministre de la justice d’extrader le demandeur? – Le Ministre de la justice a-t-il erré en droit et en faits en accordant trop de poids aux assurances données par les États-Unis du Mexique et en négligeant de faire la balance entre les assurances demandées et l’expectative de respect de ces assurances par les États-Unis du Mexique? – Le Ministre de la justice a-t-il erré en droit et en fait en ne mettant pas de place un mécanisme de surveillance afin de s’assurer que les assurances diplomatiques exigées seront respectées?</w:t>
            </w:r>
          </w:p>
        </w:tc>
      </w:tr>
      <w:tr w:rsidR="002460DE" w:rsidRPr="006E182C" w:rsidTr="00472B2D">
        <w:tc>
          <w:tcPr>
            <w:tcW w:w="5000" w:type="pct"/>
            <w:gridSpan w:val="3"/>
          </w:tcPr>
          <w:p w:rsidR="002460DE" w:rsidRPr="006F20FF" w:rsidRDefault="002460DE" w:rsidP="00472B2D">
            <w:pPr>
              <w:jc w:val="both"/>
              <w:rPr>
                <w:rFonts w:eastAsia="Calibri"/>
                <w:sz w:val="20"/>
                <w:lang w:val="fr-CA"/>
              </w:rPr>
            </w:pPr>
          </w:p>
        </w:tc>
      </w:tr>
      <w:tr w:rsidR="002460DE" w:rsidRPr="006E182C" w:rsidTr="00472B2D">
        <w:tc>
          <w:tcPr>
            <w:tcW w:w="5000" w:type="pct"/>
            <w:gridSpan w:val="3"/>
          </w:tcPr>
          <w:p w:rsidR="002460DE" w:rsidRPr="006F20FF" w:rsidRDefault="002460DE" w:rsidP="00472B2D">
            <w:pPr>
              <w:autoSpaceDE w:val="0"/>
              <w:autoSpaceDN w:val="0"/>
              <w:adjustRightInd w:val="0"/>
              <w:jc w:val="both"/>
              <w:rPr>
                <w:rFonts w:eastAsia="Calibri"/>
                <w:sz w:val="20"/>
                <w:lang w:val="fr-CA"/>
              </w:rPr>
            </w:pPr>
            <w:r w:rsidRPr="006F20FF">
              <w:rPr>
                <w:rFonts w:eastAsia="Calibri"/>
                <w:sz w:val="20"/>
                <w:lang w:val="fr-CA"/>
              </w:rPr>
              <w:t xml:space="preserve">Le demandeur est un citoyen mexicain qui fait l’objet d’un arrêté d’extradition vers le Mexique afin qu’il y soit soumis à un procès relativement à une accusation de pornographie en conformité avec les dispositions du </w:t>
            </w:r>
            <w:hyperlink r:id="rId29" w:history="1">
              <w:r w:rsidRPr="006F20FF">
                <w:rPr>
                  <w:rFonts w:eastAsia="Calibri"/>
                  <w:sz w:val="20"/>
                  <w:lang w:val="fr-CA"/>
                </w:rPr>
                <w:t>Code criminel</w:t>
              </w:r>
            </w:hyperlink>
            <w:r w:rsidRPr="006F20FF">
              <w:rPr>
                <w:rFonts w:eastAsia="Calibri"/>
                <w:sz w:val="20"/>
                <w:lang w:val="fr-CA"/>
              </w:rPr>
              <w:t xml:space="preserve"> du district fédéral du Mexique.  Le demandeur nie les crimes qu’on lui reproche et nie tout ce qui est certifié au dossier d’extradition relativement aux infractions que lui reprochent les autorités mexicaines.  Aux fins de l’arrêté d’extradition du demandeur, un certain nombre d’assurances diplomatiques ont été exigées et acceptées par les autorités canadiennes.  S’opposant à son extradition, il soutient que son extradition serait injuste et tyrannique et </w:t>
            </w:r>
            <w:r w:rsidRPr="006F20FF">
              <w:rPr>
                <w:rFonts w:eastAsia="Calibri"/>
                <w:sz w:val="20"/>
                <w:lang w:val="fr-CA"/>
              </w:rPr>
              <w:lastRenderedPageBreak/>
              <w:t>violerait ses droits en vertu de l’</w:t>
            </w:r>
            <w:hyperlink r:id="rId30" w:anchor="art7_smooth" w:history="1">
              <w:r w:rsidRPr="006F20FF">
                <w:rPr>
                  <w:rFonts w:eastAsia="Calibri"/>
                  <w:sz w:val="20"/>
                  <w:lang w:val="fr-CA"/>
                </w:rPr>
                <w:t>article 7</w:t>
              </w:r>
            </w:hyperlink>
            <w:r w:rsidRPr="006F20FF">
              <w:rPr>
                <w:rFonts w:eastAsia="Calibri"/>
                <w:sz w:val="20"/>
                <w:lang w:val="fr-CA"/>
              </w:rPr>
              <w:t xml:space="preserve"> de la </w:t>
            </w:r>
            <w:hyperlink r:id="rId31" w:history="1">
              <w:r w:rsidRPr="006F20FF">
                <w:rPr>
                  <w:rFonts w:eastAsia="Calibri"/>
                  <w:i/>
                  <w:sz w:val="20"/>
                  <w:lang w:val="fr-CA"/>
                </w:rPr>
                <w:t>Charte canadienne des droits et libertés</w:t>
              </w:r>
            </w:hyperlink>
            <w:r w:rsidRPr="006F20FF">
              <w:rPr>
                <w:rFonts w:eastAsia="Calibri"/>
                <w:i/>
                <w:sz w:val="20"/>
                <w:lang w:val="fr-CA"/>
              </w:rPr>
              <w:t xml:space="preserve"> de la personne</w:t>
            </w:r>
            <w:r w:rsidRPr="006F20FF">
              <w:rPr>
                <w:rFonts w:eastAsia="Calibri"/>
                <w:sz w:val="20"/>
                <w:lang w:val="fr-CA"/>
              </w:rPr>
              <w:t>.</w:t>
            </w:r>
          </w:p>
          <w:p w:rsidR="002460DE" w:rsidRPr="006F20FF" w:rsidRDefault="002460DE" w:rsidP="00472B2D">
            <w:pPr>
              <w:autoSpaceDE w:val="0"/>
              <w:autoSpaceDN w:val="0"/>
              <w:adjustRightInd w:val="0"/>
              <w:jc w:val="both"/>
              <w:rPr>
                <w:rFonts w:eastAsia="Calibri"/>
                <w:sz w:val="20"/>
                <w:lang w:val="fr-CA"/>
              </w:rPr>
            </w:pPr>
          </w:p>
        </w:tc>
      </w:tr>
      <w:tr w:rsidR="002460DE" w:rsidRPr="006F20FF"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lastRenderedPageBreak/>
              <w:t>Le 27 avril 2012</w:t>
            </w:r>
          </w:p>
          <w:p w:rsidR="002460DE" w:rsidRPr="006F20FF" w:rsidRDefault="002460DE" w:rsidP="00472B2D">
            <w:pPr>
              <w:jc w:val="both"/>
              <w:rPr>
                <w:rFonts w:eastAsia="Calibri"/>
                <w:sz w:val="20"/>
                <w:lang w:val="fr-CA"/>
              </w:rPr>
            </w:pPr>
            <w:r w:rsidRPr="006F20FF">
              <w:rPr>
                <w:rFonts w:eastAsia="Calibri"/>
                <w:sz w:val="20"/>
                <w:lang w:val="fr-CA"/>
              </w:rPr>
              <w:t>Cour supérieure du Québec</w:t>
            </w:r>
          </w:p>
          <w:p w:rsidR="002460DE" w:rsidRPr="006F20FF" w:rsidRDefault="002460DE" w:rsidP="00472B2D">
            <w:pPr>
              <w:jc w:val="both"/>
              <w:rPr>
                <w:rFonts w:eastAsia="Calibri"/>
                <w:sz w:val="20"/>
                <w:lang w:val="fr-CA"/>
              </w:rPr>
            </w:pPr>
            <w:r w:rsidRPr="006F20FF">
              <w:rPr>
                <w:rFonts w:eastAsia="Calibri"/>
                <w:sz w:val="20"/>
                <w:lang w:val="fr-CA"/>
              </w:rPr>
              <w:t>(Le juge Champagne)</w:t>
            </w:r>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Ordonnance d’incarcération du demandeur.</w:t>
            </w:r>
          </w:p>
          <w:p w:rsidR="002460DE" w:rsidRPr="006F20FF" w:rsidRDefault="002460DE" w:rsidP="00472B2D">
            <w:pPr>
              <w:jc w:val="both"/>
              <w:rPr>
                <w:rFonts w:eastAsia="Calibri"/>
                <w:sz w:val="20"/>
                <w:lang w:val="fr-CA"/>
              </w:rPr>
            </w:pPr>
          </w:p>
        </w:tc>
      </w:tr>
      <w:tr w:rsidR="002460DE" w:rsidRPr="006E182C"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Le 5 juin 2013</w:t>
            </w:r>
          </w:p>
          <w:p w:rsidR="002460DE" w:rsidRPr="006F20FF" w:rsidRDefault="002460DE" w:rsidP="00472B2D">
            <w:pPr>
              <w:jc w:val="both"/>
              <w:rPr>
                <w:rFonts w:eastAsia="Calibri"/>
                <w:sz w:val="20"/>
                <w:lang w:val="fr-CA"/>
              </w:rPr>
            </w:pPr>
            <w:r w:rsidRPr="006F20FF">
              <w:rPr>
                <w:rFonts w:eastAsia="Calibri"/>
                <w:sz w:val="20"/>
                <w:lang w:val="fr-CA"/>
              </w:rPr>
              <w:t>Ministère de la justice du Canada</w:t>
            </w:r>
          </w:p>
          <w:p w:rsidR="002460DE" w:rsidRPr="006F20FF" w:rsidRDefault="002460DE" w:rsidP="00472B2D">
            <w:pPr>
              <w:jc w:val="both"/>
              <w:rPr>
                <w:rFonts w:eastAsia="Calibri"/>
                <w:sz w:val="20"/>
                <w:lang w:val="fr-CA"/>
              </w:rPr>
            </w:pPr>
            <w:r w:rsidRPr="006F20FF">
              <w:rPr>
                <w:rFonts w:eastAsia="Calibri"/>
                <w:sz w:val="20"/>
                <w:lang w:val="fr-CA"/>
              </w:rPr>
              <w:t>(Le ministre Nicholson)</w:t>
            </w:r>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Arrêté d’extradition du demandeur vers le Mexique.</w:t>
            </w:r>
          </w:p>
          <w:p w:rsidR="002460DE" w:rsidRPr="006F20FF" w:rsidRDefault="002460DE" w:rsidP="00472B2D">
            <w:pPr>
              <w:jc w:val="both"/>
              <w:rPr>
                <w:rFonts w:eastAsia="Calibri"/>
                <w:sz w:val="20"/>
                <w:lang w:val="fr-CA"/>
              </w:rPr>
            </w:pPr>
          </w:p>
        </w:tc>
      </w:tr>
      <w:tr w:rsidR="002460DE" w:rsidRPr="006E182C"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Le 31 janvier 2014</w:t>
            </w:r>
          </w:p>
          <w:p w:rsidR="002460DE" w:rsidRPr="006F20FF" w:rsidRDefault="002460DE" w:rsidP="00472B2D">
            <w:pPr>
              <w:jc w:val="both"/>
              <w:rPr>
                <w:rFonts w:eastAsia="Calibri"/>
                <w:sz w:val="20"/>
                <w:lang w:val="fr-CA"/>
              </w:rPr>
            </w:pPr>
            <w:r w:rsidRPr="006F20FF">
              <w:rPr>
                <w:rFonts w:eastAsia="Calibri"/>
                <w:sz w:val="20"/>
                <w:lang w:val="fr-CA"/>
              </w:rPr>
              <w:t>Cour d’appel du Québec (Montréal)</w:t>
            </w:r>
          </w:p>
          <w:p w:rsidR="002460DE" w:rsidRPr="006F20FF" w:rsidRDefault="002460DE" w:rsidP="00472B2D">
            <w:pPr>
              <w:jc w:val="both"/>
              <w:rPr>
                <w:rFonts w:eastAsia="Calibri"/>
                <w:sz w:val="20"/>
                <w:lang w:val="fr-CA"/>
              </w:rPr>
            </w:pPr>
            <w:r w:rsidRPr="006F20FF">
              <w:rPr>
                <w:rFonts w:eastAsia="Calibri"/>
                <w:sz w:val="20"/>
                <w:lang w:val="fr-CA"/>
              </w:rPr>
              <w:t>(Les juges Pelletier, Kasirer et Lévesque)</w:t>
            </w:r>
          </w:p>
          <w:p w:rsidR="002460DE" w:rsidRPr="006F20FF" w:rsidRDefault="002460DE" w:rsidP="00472B2D">
            <w:pPr>
              <w:jc w:val="both"/>
              <w:rPr>
                <w:rFonts w:eastAsia="Calibri"/>
                <w:sz w:val="20"/>
                <w:lang w:val="fr-CA"/>
              </w:rPr>
            </w:pPr>
            <w:r w:rsidRPr="006F20FF">
              <w:rPr>
                <w:rFonts w:eastAsia="Calibri"/>
                <w:sz w:val="20"/>
                <w:lang w:val="fr-CA"/>
              </w:rPr>
              <w:t>No. 500-10-005438-138</w:t>
            </w:r>
          </w:p>
          <w:p w:rsidR="002460DE" w:rsidRPr="006F20FF" w:rsidRDefault="006E182C" w:rsidP="00472B2D">
            <w:pPr>
              <w:jc w:val="both"/>
              <w:rPr>
                <w:rFonts w:eastAsia="Calibri"/>
                <w:sz w:val="20"/>
                <w:lang w:val="fr-CA"/>
              </w:rPr>
            </w:pPr>
            <w:hyperlink r:id="rId32" w:history="1">
              <w:r w:rsidR="002460DE" w:rsidRPr="006F20FF">
                <w:rPr>
                  <w:rFonts w:eastAsia="Calibri"/>
                  <w:color w:val="0000FF"/>
                  <w:sz w:val="20"/>
                  <w:u w:val="single"/>
                  <w:lang w:val="fr-CA"/>
                </w:rPr>
                <w:t>2014 QCCA 281</w:t>
              </w:r>
            </w:hyperlink>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Demande en révision judiciaire rejetée.</w:t>
            </w:r>
          </w:p>
          <w:p w:rsidR="002460DE" w:rsidRPr="006F20FF" w:rsidRDefault="002460DE" w:rsidP="00472B2D">
            <w:pPr>
              <w:jc w:val="both"/>
              <w:rPr>
                <w:rFonts w:eastAsia="Calibri"/>
                <w:sz w:val="20"/>
                <w:lang w:val="fr-CA"/>
              </w:rPr>
            </w:pPr>
          </w:p>
        </w:tc>
      </w:tr>
      <w:tr w:rsidR="002460DE" w:rsidRPr="006F20FF"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Le 1</w:t>
            </w:r>
            <w:r>
              <w:rPr>
                <w:rFonts w:eastAsia="Calibri"/>
                <w:sz w:val="20"/>
                <w:vertAlign w:val="superscript"/>
                <w:lang w:val="fr-CA"/>
              </w:rPr>
              <w:t>er</w:t>
            </w:r>
            <w:r w:rsidRPr="006F20FF">
              <w:rPr>
                <w:rFonts w:eastAsia="Calibri"/>
                <w:sz w:val="20"/>
                <w:lang w:val="fr-CA"/>
              </w:rPr>
              <w:t xml:space="preserve"> avril 2014</w:t>
            </w:r>
          </w:p>
          <w:p w:rsidR="002460DE" w:rsidRPr="006F20FF" w:rsidRDefault="002460DE" w:rsidP="00472B2D">
            <w:pPr>
              <w:jc w:val="both"/>
              <w:rPr>
                <w:rFonts w:eastAsia="Calibri"/>
                <w:sz w:val="20"/>
                <w:lang w:val="fr-CA"/>
              </w:rPr>
            </w:pPr>
            <w:r w:rsidRPr="006F20FF">
              <w:rPr>
                <w:rFonts w:eastAsia="Calibri"/>
                <w:sz w:val="20"/>
                <w:lang w:val="fr-CA"/>
              </w:rPr>
              <w:t>Cour suprême du Canada</w:t>
            </w: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Demande d'autorisation d'appel déposée.</w:t>
            </w:r>
          </w:p>
        </w:tc>
      </w:tr>
    </w:tbl>
    <w:p w:rsidR="00D96800" w:rsidRDefault="00D96800" w:rsidP="00D96800">
      <w:pPr>
        <w:rPr>
          <w:sz w:val="20"/>
          <w:szCs w:val="20"/>
        </w:rPr>
      </w:pPr>
    </w:p>
    <w:p w:rsidR="00D96800" w:rsidRDefault="006E182C" w:rsidP="00D96800">
      <w:pPr>
        <w:rPr>
          <w:sz w:val="20"/>
          <w:szCs w:val="20"/>
          <w:lang w:val="fr-CA"/>
        </w:rPr>
      </w:pPr>
      <w:r>
        <w:rPr>
          <w:sz w:val="20"/>
          <w:szCs w:val="20"/>
          <w:lang w:val="fr-CA"/>
        </w:rPr>
        <w:pict>
          <v:rect id="_x0000_i1051" style="width:2in;height:1pt" o:hrpct="0" o:hralign="center" o:hrstd="t" o:hrnoshade="t" o:hr="t" fillcolor="black [3213]" stroked="f"/>
        </w:pict>
      </w:r>
    </w:p>
    <w:p w:rsidR="00D96800" w:rsidRDefault="00D96800" w:rsidP="00D96800">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85B31" w:rsidRPr="00D85B31" w:rsidTr="00D27A21">
        <w:trPr>
          <w:cantSplit/>
        </w:trPr>
        <w:tc>
          <w:tcPr>
            <w:tcW w:w="1458" w:type="dxa"/>
          </w:tcPr>
          <w:p w:rsidR="00D85B31" w:rsidRPr="00D85B31" w:rsidRDefault="00D85B31" w:rsidP="00D85B31">
            <w:pPr>
              <w:rPr>
                <w:sz w:val="20"/>
              </w:rPr>
            </w:pPr>
            <w:r w:rsidRPr="00D85B31">
              <w:rPr>
                <w:b/>
                <w:sz w:val="20"/>
                <w:lang w:val="fr-CA"/>
              </w:rPr>
              <w:t>35742</w:t>
            </w:r>
          </w:p>
          <w:p w:rsidR="00D85B31" w:rsidRPr="00D85B31" w:rsidRDefault="00D85B31" w:rsidP="00D85B31">
            <w:pPr>
              <w:rPr>
                <w:b/>
                <w:sz w:val="20"/>
                <w:lang w:val="fr-CA"/>
              </w:rPr>
            </w:pPr>
          </w:p>
        </w:tc>
        <w:tc>
          <w:tcPr>
            <w:tcW w:w="8118" w:type="dxa"/>
          </w:tcPr>
          <w:p w:rsidR="00D85B31" w:rsidRPr="00D85B31" w:rsidRDefault="00D85B31" w:rsidP="00D85B31">
            <w:pPr>
              <w:rPr>
                <w:sz w:val="20"/>
              </w:rPr>
            </w:pPr>
            <w:r w:rsidRPr="00D85B31">
              <w:rPr>
                <w:b/>
                <w:sz w:val="20"/>
                <w:u w:val="single"/>
              </w:rPr>
              <w:t>Peter Schober v. Tyson Creek Hydro Corporation</w:t>
            </w:r>
            <w:r w:rsidRPr="00D85B31">
              <w:rPr>
                <w:sz w:val="20"/>
              </w:rPr>
              <w:t xml:space="preserve"> (B.C.) (Civil) (By Leave)</w:t>
            </w:r>
          </w:p>
          <w:p w:rsidR="00D85B31" w:rsidRPr="00D85B31" w:rsidRDefault="00D85B31" w:rsidP="00D85B31">
            <w:pPr>
              <w:rPr>
                <w:sz w:val="20"/>
              </w:rPr>
            </w:pPr>
          </w:p>
        </w:tc>
      </w:tr>
      <w:tr w:rsidR="00D85B31" w:rsidRPr="00D85B31" w:rsidTr="00D27A21">
        <w:trPr>
          <w:cantSplit/>
        </w:trPr>
        <w:tc>
          <w:tcPr>
            <w:tcW w:w="1458" w:type="dxa"/>
          </w:tcPr>
          <w:p w:rsidR="00D85B31" w:rsidRPr="00D85B31" w:rsidRDefault="00D85B31" w:rsidP="00D85B31">
            <w:pPr>
              <w:rPr>
                <w:sz w:val="20"/>
              </w:rPr>
            </w:pPr>
            <w:r w:rsidRPr="00D85B31">
              <w:rPr>
                <w:sz w:val="20"/>
              </w:rPr>
              <w:t>Coram :</w:t>
            </w:r>
          </w:p>
        </w:tc>
        <w:tc>
          <w:tcPr>
            <w:tcW w:w="8118" w:type="dxa"/>
          </w:tcPr>
          <w:p w:rsidR="00D85B31" w:rsidRPr="00D85B31" w:rsidRDefault="00D85B31" w:rsidP="00D85B31">
            <w:pPr>
              <w:rPr>
                <w:sz w:val="20"/>
              </w:rPr>
            </w:pPr>
            <w:r w:rsidRPr="00D85B31">
              <w:rPr>
                <w:sz w:val="20"/>
                <w:u w:val="single"/>
              </w:rPr>
              <w:t>LeBel, Karakatsanis and Wagner JJ.</w:t>
            </w:r>
          </w:p>
          <w:p w:rsidR="00D85B31" w:rsidRPr="00D85B31" w:rsidRDefault="00D85B31" w:rsidP="00D85B31">
            <w:pPr>
              <w:rPr>
                <w:sz w:val="20"/>
                <w:u w:val="single"/>
              </w:rPr>
            </w:pPr>
          </w:p>
        </w:tc>
      </w:tr>
      <w:tr w:rsidR="00D85B31" w:rsidRPr="006E182C" w:rsidTr="00D27A21">
        <w:trPr>
          <w:cantSplit/>
        </w:trPr>
        <w:tc>
          <w:tcPr>
            <w:tcW w:w="9576" w:type="dxa"/>
            <w:gridSpan w:val="2"/>
          </w:tcPr>
          <w:p w:rsidR="00D85B31" w:rsidRPr="00D85B31" w:rsidRDefault="00D85B31" w:rsidP="00D85B31">
            <w:pPr>
              <w:ind w:firstLine="720"/>
              <w:jc w:val="both"/>
              <w:rPr>
                <w:sz w:val="20"/>
              </w:rPr>
            </w:pPr>
            <w:r w:rsidRPr="00D85B31">
              <w:rPr>
                <w:sz w:val="20"/>
              </w:rPr>
              <w:t>The motion for a sealing order on information included in the application for leave to appeal is dismissed. The application for leave to appeal from the judgment of the Court of Appeal for British Columbia (Vancouver), Number CA041379, 2014 BCCA 12, dated January 10, 2014, is dismissed with costs. The application for leave to appeal having been dismissed, the sealing orders in the lower courts are set aside and the materials filed with this Court are to be unsealed.</w:t>
            </w:r>
          </w:p>
          <w:p w:rsidR="00D85B31" w:rsidRPr="00D85B31" w:rsidRDefault="00D85B31" w:rsidP="00D85B31">
            <w:pPr>
              <w:jc w:val="both"/>
              <w:rPr>
                <w:sz w:val="20"/>
              </w:rPr>
            </w:pPr>
          </w:p>
          <w:p w:rsidR="00D85B31" w:rsidRPr="00D85B31" w:rsidRDefault="00D85B31" w:rsidP="00D85B31">
            <w:pPr>
              <w:ind w:firstLine="720"/>
              <w:jc w:val="both"/>
              <w:rPr>
                <w:sz w:val="20"/>
                <w:lang w:val="fr-CA"/>
              </w:rPr>
            </w:pPr>
            <w:r w:rsidRPr="00D85B31">
              <w:rPr>
                <w:sz w:val="20"/>
                <w:lang w:val="fr-CA"/>
              </w:rPr>
              <w:t>La requête visant à sceller de l’information dans la demande d’autorisation d’appel est rejetée.  La demande d’autorisation d’appel de l’arrêt de la Cour d’appel de la Colombie-Britannique (Vancouver), numéro CA041379, 2014 BCCA 12, daté du 10 janvier 2014, est rejetée avec dépens. La demande d’autorisation d’appel ayant été rejetée, les ordonnances de mise sous scellés des juridictions inférieures sont annulées et les documents déposés à la Cour doivent être descellés.</w:t>
            </w:r>
          </w:p>
        </w:tc>
      </w:tr>
    </w:tbl>
    <w:p w:rsidR="00D96800" w:rsidRPr="00D85B31" w:rsidRDefault="00D96800" w:rsidP="000E2959">
      <w:pPr>
        <w:rPr>
          <w:sz w:val="20"/>
          <w:szCs w:val="20"/>
          <w:lang w:val="fr-CA"/>
        </w:rPr>
      </w:pPr>
    </w:p>
    <w:p w:rsidR="00D96800" w:rsidRPr="001B157C" w:rsidRDefault="00D96800" w:rsidP="00D96800">
      <w:pPr>
        <w:rPr>
          <w:sz w:val="20"/>
          <w:szCs w:val="20"/>
          <w:u w:val="single"/>
        </w:rPr>
      </w:pPr>
      <w:r w:rsidRPr="001B157C">
        <w:rPr>
          <w:sz w:val="20"/>
          <w:szCs w:val="20"/>
          <w:u w:val="single"/>
        </w:rPr>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F20FF" w:rsidTr="00472B2D">
        <w:tc>
          <w:tcPr>
            <w:tcW w:w="5000" w:type="pct"/>
            <w:gridSpan w:val="3"/>
          </w:tcPr>
          <w:p w:rsidR="002460DE" w:rsidRPr="006F20FF" w:rsidRDefault="002460DE" w:rsidP="00472B2D">
            <w:pPr>
              <w:jc w:val="both"/>
              <w:rPr>
                <w:rFonts w:eastAsia="Calibri"/>
                <w:smallCaps/>
                <w:sz w:val="20"/>
              </w:rPr>
            </w:pPr>
            <w:r w:rsidRPr="006F20FF">
              <w:rPr>
                <w:rFonts w:eastAsia="Calibri"/>
                <w:smallCaps/>
                <w:sz w:val="20"/>
              </w:rPr>
              <w:t>(</w:t>
            </w:r>
            <w:r>
              <w:rPr>
                <w:rFonts w:eastAsia="Calibri"/>
                <w:smallCaps/>
                <w:sz w:val="20"/>
              </w:rPr>
              <w:t>D</w:t>
            </w:r>
            <w:r w:rsidRPr="006F20FF">
              <w:rPr>
                <w:rFonts w:eastAsia="Calibri"/>
                <w:smallCaps/>
                <w:sz w:val="20"/>
              </w:rPr>
              <w:t xml:space="preserve">etermination of a </w:t>
            </w:r>
            <w:r>
              <w:rPr>
                <w:rFonts w:eastAsia="Calibri"/>
                <w:smallCaps/>
                <w:sz w:val="20"/>
              </w:rPr>
              <w:t>M</w:t>
            </w:r>
            <w:r w:rsidRPr="006F20FF">
              <w:rPr>
                <w:rFonts w:eastAsia="Calibri"/>
                <w:smallCaps/>
                <w:sz w:val="20"/>
              </w:rPr>
              <w:t xml:space="preserve">otion for a </w:t>
            </w:r>
            <w:r>
              <w:rPr>
                <w:rFonts w:eastAsia="Calibri"/>
                <w:smallCaps/>
                <w:sz w:val="20"/>
              </w:rPr>
              <w:t>S</w:t>
            </w:r>
            <w:r w:rsidRPr="006F20FF">
              <w:rPr>
                <w:rFonts w:eastAsia="Calibri"/>
                <w:smallCaps/>
                <w:sz w:val="20"/>
              </w:rPr>
              <w:t xml:space="preserve">ealing </w:t>
            </w:r>
            <w:r>
              <w:rPr>
                <w:rFonts w:eastAsia="Calibri"/>
                <w:smallCaps/>
                <w:sz w:val="20"/>
              </w:rPr>
              <w:t>O</w:t>
            </w:r>
            <w:r w:rsidRPr="006F20FF">
              <w:rPr>
                <w:rFonts w:eastAsia="Calibri"/>
                <w:smallCaps/>
                <w:sz w:val="20"/>
              </w:rPr>
              <w:t xml:space="preserve">rder is </w:t>
            </w:r>
            <w:r>
              <w:rPr>
                <w:rFonts w:eastAsia="Calibri"/>
                <w:smallCaps/>
                <w:sz w:val="20"/>
              </w:rPr>
              <w:t>P</w:t>
            </w:r>
            <w:r w:rsidRPr="006F20FF">
              <w:rPr>
                <w:rFonts w:eastAsia="Calibri"/>
                <w:smallCaps/>
                <w:sz w:val="20"/>
              </w:rPr>
              <w:t>ending)</w:t>
            </w:r>
          </w:p>
          <w:p w:rsidR="002460DE" w:rsidRPr="006F20FF" w:rsidRDefault="002460DE" w:rsidP="00472B2D">
            <w:pPr>
              <w:jc w:val="both"/>
              <w:rPr>
                <w:rFonts w:eastAsia="Calibri"/>
                <w:sz w:val="20"/>
              </w:rPr>
            </w:pPr>
          </w:p>
          <w:p w:rsidR="002460DE" w:rsidRPr="006F20FF" w:rsidRDefault="002460DE" w:rsidP="00472B2D">
            <w:pPr>
              <w:jc w:val="both"/>
              <w:rPr>
                <w:rFonts w:eastAsia="Calibri"/>
                <w:sz w:val="20"/>
              </w:rPr>
            </w:pPr>
            <w:r w:rsidRPr="006F20FF">
              <w:rPr>
                <w:rFonts w:eastAsia="Calibri"/>
                <w:sz w:val="20"/>
              </w:rPr>
              <w:t>Civil procedure — Implied undertaking of confidentiality — Whether a witness providing oral evidence on examination for discovery as a representative of a party is entitled to protection against that same party using a transcript of that testimony for purposes outside the action — Whether an implied undertaking of confidentiality prohibits a party to an action from voluntarily disclosing to a third party what it has learned about its own affairs as a result of the examination for discovery of its representative.</w:t>
            </w:r>
          </w:p>
        </w:tc>
      </w:tr>
      <w:tr w:rsidR="002460DE" w:rsidRPr="006F20FF" w:rsidTr="00472B2D">
        <w:tc>
          <w:tcPr>
            <w:tcW w:w="5000" w:type="pct"/>
            <w:gridSpan w:val="3"/>
          </w:tcPr>
          <w:p w:rsidR="002460DE" w:rsidRPr="006F20FF" w:rsidRDefault="002460DE" w:rsidP="00472B2D">
            <w:pPr>
              <w:jc w:val="both"/>
              <w:rPr>
                <w:rFonts w:eastAsia="Calibri"/>
                <w:sz w:val="20"/>
              </w:rPr>
            </w:pPr>
          </w:p>
        </w:tc>
      </w:tr>
      <w:tr w:rsidR="002460DE" w:rsidRPr="006F20FF" w:rsidTr="00472B2D">
        <w:tc>
          <w:tcPr>
            <w:tcW w:w="5000" w:type="pct"/>
            <w:gridSpan w:val="3"/>
          </w:tcPr>
          <w:p w:rsidR="002460DE" w:rsidRPr="006F20FF" w:rsidRDefault="002460DE" w:rsidP="00472B2D">
            <w:pPr>
              <w:jc w:val="both"/>
              <w:rPr>
                <w:rFonts w:eastAsia="Calibri"/>
                <w:sz w:val="20"/>
              </w:rPr>
            </w:pPr>
            <w:r w:rsidRPr="006F20FF">
              <w:rPr>
                <w:rFonts w:eastAsia="Calibri"/>
                <w:sz w:val="20"/>
              </w:rPr>
              <w:t xml:space="preserve">The applicant was a founder and director of the respondent Tyson Creek Hydro Corporation (TCHC).  In the context of a civil action initiated by TCHC against third parties, the applicant provided oral evidence on examination for </w:t>
            </w:r>
            <w:r w:rsidRPr="006F20FF">
              <w:rPr>
                <w:rFonts w:eastAsia="Calibri"/>
                <w:sz w:val="20"/>
              </w:rPr>
              <w:lastRenderedPageBreak/>
              <w:t xml:space="preserve">discovery as a representative of TCHC.  That action has since been settled. </w:t>
            </w:r>
          </w:p>
          <w:p w:rsidR="002460DE" w:rsidRPr="006F20FF" w:rsidRDefault="002460DE" w:rsidP="00472B2D">
            <w:pPr>
              <w:jc w:val="both"/>
              <w:rPr>
                <w:rFonts w:eastAsia="Calibri"/>
                <w:sz w:val="20"/>
              </w:rPr>
            </w:pPr>
          </w:p>
          <w:p w:rsidR="002460DE" w:rsidRPr="006F20FF" w:rsidRDefault="002460DE" w:rsidP="00472B2D">
            <w:pPr>
              <w:jc w:val="both"/>
              <w:rPr>
                <w:rFonts w:eastAsia="Calibri"/>
                <w:sz w:val="20"/>
              </w:rPr>
            </w:pPr>
            <w:r w:rsidRPr="006F20FF">
              <w:rPr>
                <w:rFonts w:eastAsia="Calibri"/>
                <w:sz w:val="20"/>
              </w:rPr>
              <w:t xml:space="preserve">Concerned that the contents of his examination for discovery would be distributed or used by TCHC outside of the action and without his consent, the applicant sought a declaration that the transcript of his examination for discovery and the information contained in that transcript are subject to an implied undertaking of confidentiality by TCHC.  If that were the case, TCHC would be prohibited from disclosing the information contained in the transcript to a third party or otherwise using that information outside of the civil action.  </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lastRenderedPageBreak/>
              <w:t>November 8, 2013</w:t>
            </w:r>
          </w:p>
          <w:p w:rsidR="002460DE" w:rsidRPr="006F20FF" w:rsidRDefault="002460DE" w:rsidP="00472B2D">
            <w:pPr>
              <w:jc w:val="both"/>
              <w:rPr>
                <w:rFonts w:eastAsia="Calibri"/>
                <w:sz w:val="20"/>
              </w:rPr>
            </w:pPr>
            <w:r w:rsidRPr="006F20FF">
              <w:rPr>
                <w:rFonts w:eastAsia="Calibri"/>
                <w:sz w:val="20"/>
              </w:rPr>
              <w:t>Supreme Court of British Columbia</w:t>
            </w:r>
          </w:p>
          <w:p w:rsidR="002460DE" w:rsidRPr="006F20FF" w:rsidRDefault="002460DE" w:rsidP="00472B2D">
            <w:pPr>
              <w:jc w:val="both"/>
              <w:rPr>
                <w:rFonts w:eastAsia="Calibri"/>
                <w:sz w:val="20"/>
              </w:rPr>
            </w:pPr>
            <w:r w:rsidRPr="006F20FF">
              <w:rPr>
                <w:rFonts w:eastAsia="Calibri"/>
                <w:sz w:val="20"/>
              </w:rPr>
              <w:t>(Cohen J.)</w:t>
            </w:r>
          </w:p>
          <w:p w:rsidR="002460DE" w:rsidRPr="006F20FF" w:rsidRDefault="002460DE" w:rsidP="00472B2D">
            <w:pPr>
              <w:jc w:val="both"/>
              <w:rPr>
                <w:rFonts w:eastAsia="Calibri"/>
                <w:sz w:val="20"/>
              </w:rPr>
            </w:pPr>
            <w:r w:rsidRPr="006F20FF">
              <w:rPr>
                <w:rFonts w:eastAsia="Calibri"/>
                <w:sz w:val="20"/>
              </w:rPr>
              <w:t>2013 BCSC 2042</w:t>
            </w:r>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Application for a declaration that the respondent was bound by an implied undertaking of confidentiality, dismissed</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January 10, 2014</w:t>
            </w:r>
          </w:p>
          <w:p w:rsidR="002460DE" w:rsidRPr="006F20FF" w:rsidRDefault="002460DE" w:rsidP="00472B2D">
            <w:pPr>
              <w:jc w:val="both"/>
              <w:rPr>
                <w:rFonts w:eastAsia="Calibri"/>
                <w:sz w:val="20"/>
              </w:rPr>
            </w:pPr>
            <w:r w:rsidRPr="006F20FF">
              <w:rPr>
                <w:rFonts w:eastAsia="Calibri"/>
                <w:sz w:val="20"/>
              </w:rPr>
              <w:t>Court of Appeal for British Columbia (Vancouver)</w:t>
            </w:r>
          </w:p>
          <w:p w:rsidR="002460DE" w:rsidRPr="006F20FF" w:rsidRDefault="002460DE" w:rsidP="00472B2D">
            <w:pPr>
              <w:jc w:val="both"/>
              <w:rPr>
                <w:rFonts w:eastAsia="Calibri"/>
                <w:sz w:val="20"/>
              </w:rPr>
            </w:pPr>
            <w:r w:rsidRPr="006F20FF">
              <w:rPr>
                <w:rFonts w:eastAsia="Calibri"/>
                <w:sz w:val="20"/>
              </w:rPr>
              <w:t>(Low, Stromberg-Stein and Willcock JJ.A.)</w:t>
            </w:r>
          </w:p>
          <w:p w:rsidR="002460DE" w:rsidRPr="006F20FF" w:rsidRDefault="002460DE" w:rsidP="00472B2D">
            <w:pPr>
              <w:jc w:val="both"/>
              <w:rPr>
                <w:rFonts w:eastAsia="Calibri"/>
                <w:sz w:val="20"/>
              </w:rPr>
            </w:pPr>
            <w:r w:rsidRPr="006F20FF">
              <w:rPr>
                <w:rFonts w:eastAsia="Calibri"/>
                <w:sz w:val="20"/>
              </w:rPr>
              <w:t>2014 BCCA 12</w:t>
            </w:r>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Appeal dismissed</w:t>
            </w:r>
          </w:p>
          <w:p w:rsidR="002460DE" w:rsidRPr="006F20FF" w:rsidRDefault="002460DE" w:rsidP="00472B2D">
            <w:pPr>
              <w:jc w:val="both"/>
              <w:rPr>
                <w:rFonts w:eastAsia="Calibri"/>
                <w:sz w:val="20"/>
              </w:rPr>
            </w:pPr>
          </w:p>
        </w:tc>
      </w:tr>
      <w:tr w:rsidR="002460DE" w:rsidRPr="006F20FF" w:rsidTr="00472B2D">
        <w:tc>
          <w:tcPr>
            <w:tcW w:w="2427" w:type="pct"/>
          </w:tcPr>
          <w:p w:rsidR="002460DE" w:rsidRPr="006F20FF" w:rsidRDefault="002460DE" w:rsidP="00472B2D">
            <w:pPr>
              <w:jc w:val="both"/>
              <w:rPr>
                <w:rFonts w:eastAsia="Calibri"/>
                <w:sz w:val="20"/>
              </w:rPr>
            </w:pPr>
            <w:r w:rsidRPr="006F20FF">
              <w:rPr>
                <w:rFonts w:eastAsia="Calibri"/>
                <w:sz w:val="20"/>
              </w:rPr>
              <w:t>February 21, 2014</w:t>
            </w:r>
          </w:p>
          <w:p w:rsidR="002460DE" w:rsidRPr="006F20FF" w:rsidRDefault="002460DE" w:rsidP="00472B2D">
            <w:pPr>
              <w:jc w:val="both"/>
              <w:rPr>
                <w:rFonts w:eastAsia="Calibri"/>
                <w:sz w:val="20"/>
              </w:rPr>
            </w:pPr>
            <w:r w:rsidRPr="006F20FF">
              <w:rPr>
                <w:rFonts w:eastAsia="Calibri"/>
                <w:sz w:val="20"/>
              </w:rPr>
              <w:t>Supreme Court of Canada</w:t>
            </w:r>
          </w:p>
          <w:p w:rsidR="002460DE" w:rsidRPr="006F20FF" w:rsidRDefault="002460DE" w:rsidP="00472B2D">
            <w:pPr>
              <w:jc w:val="both"/>
              <w:rPr>
                <w:rFonts w:eastAsia="Calibri"/>
                <w:sz w:val="20"/>
              </w:rPr>
            </w:pPr>
          </w:p>
        </w:tc>
        <w:tc>
          <w:tcPr>
            <w:tcW w:w="243" w:type="pct"/>
          </w:tcPr>
          <w:p w:rsidR="002460DE" w:rsidRPr="006F20FF" w:rsidRDefault="002460DE" w:rsidP="00472B2D">
            <w:pPr>
              <w:jc w:val="both"/>
              <w:rPr>
                <w:rFonts w:eastAsia="Calibri"/>
                <w:sz w:val="20"/>
              </w:rPr>
            </w:pPr>
          </w:p>
        </w:tc>
        <w:tc>
          <w:tcPr>
            <w:tcW w:w="2330" w:type="pct"/>
          </w:tcPr>
          <w:p w:rsidR="002460DE" w:rsidRPr="006F20FF" w:rsidRDefault="002460DE" w:rsidP="00472B2D">
            <w:pPr>
              <w:jc w:val="both"/>
              <w:rPr>
                <w:rFonts w:eastAsia="Calibri"/>
                <w:sz w:val="20"/>
              </w:rPr>
            </w:pPr>
            <w:r w:rsidRPr="006F20FF">
              <w:rPr>
                <w:rFonts w:eastAsia="Calibri"/>
                <w:sz w:val="20"/>
              </w:rPr>
              <w:t xml:space="preserve">Motion for an order sealing the memoranda of arguments filed by the parties on the application for leave to appeal, pending determination of the leave application and, in the event that leave is granted, sealing the factums to be filed by the parties on appeal, filed </w:t>
            </w:r>
          </w:p>
          <w:p w:rsidR="002460DE" w:rsidRPr="006F20FF" w:rsidRDefault="002460DE" w:rsidP="00472B2D">
            <w:pPr>
              <w:jc w:val="both"/>
              <w:rPr>
                <w:rFonts w:eastAsia="Calibri"/>
                <w:sz w:val="20"/>
              </w:rPr>
            </w:pPr>
          </w:p>
          <w:p w:rsidR="002460DE" w:rsidRPr="006F20FF" w:rsidRDefault="002460DE" w:rsidP="00472B2D">
            <w:pPr>
              <w:jc w:val="both"/>
              <w:rPr>
                <w:rFonts w:eastAsia="Calibri"/>
                <w:sz w:val="20"/>
              </w:rPr>
            </w:pPr>
            <w:r w:rsidRPr="006F20FF">
              <w:rPr>
                <w:rFonts w:eastAsia="Calibri"/>
                <w:sz w:val="20"/>
              </w:rPr>
              <w:t>Application for leave to appeal, filed</w:t>
            </w: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52"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E182C" w:rsidTr="00472B2D">
        <w:tc>
          <w:tcPr>
            <w:tcW w:w="5000" w:type="pct"/>
            <w:gridSpan w:val="3"/>
          </w:tcPr>
          <w:p w:rsidR="002460DE" w:rsidRPr="006F20FF" w:rsidRDefault="002460DE" w:rsidP="00472B2D">
            <w:pPr>
              <w:jc w:val="both"/>
              <w:rPr>
                <w:rFonts w:eastAsia="Calibri"/>
                <w:smallCaps/>
                <w:sz w:val="20"/>
                <w:lang w:val="fr-CA"/>
              </w:rPr>
            </w:pPr>
            <w:r w:rsidRPr="006F20FF">
              <w:rPr>
                <w:rFonts w:eastAsia="Calibri"/>
                <w:smallCaps/>
                <w:sz w:val="20"/>
                <w:lang w:val="fr-CA"/>
              </w:rPr>
              <w:t>(Requête en instance pour obtenir une ordonnance de mise sous scellés)</w:t>
            </w:r>
          </w:p>
          <w:p w:rsidR="002460DE" w:rsidRPr="006F20FF" w:rsidRDefault="002460DE" w:rsidP="00472B2D">
            <w:pPr>
              <w:jc w:val="both"/>
              <w:rPr>
                <w:rFonts w:eastAsia="Calibri"/>
                <w:sz w:val="20"/>
                <w:lang w:val="fr-CA"/>
              </w:rPr>
            </w:pPr>
          </w:p>
          <w:p w:rsidR="002460DE" w:rsidRPr="006F20FF" w:rsidRDefault="002460DE" w:rsidP="00472B2D">
            <w:pPr>
              <w:jc w:val="both"/>
              <w:rPr>
                <w:rFonts w:eastAsia="Calibri"/>
                <w:sz w:val="20"/>
                <w:lang w:val="fr-CA"/>
              </w:rPr>
            </w:pPr>
            <w:r w:rsidRPr="006F20FF">
              <w:rPr>
                <w:rFonts w:eastAsia="Calibri"/>
                <w:sz w:val="20"/>
                <w:lang w:val="fr-CA"/>
              </w:rPr>
              <w:t>Procédure civile — Engagement implicite de confidentialité — Le témoin qui livre un témoignage oral au cours d’un interrogatoire préalable en tant que représentant d’une partie a-t-il droit à une protection contre cette même partie qui utilise une transcription de ce témoignage à des fins étrangères à l’action? — Un engagement implicite de confidentialité interdit-il a une partie à une action de divulguer volontairement à un tiers ce qu’elle a appris sur ses propres affaires à la suite de l’interrogatoire préalable de son représentant?</w:t>
            </w:r>
          </w:p>
        </w:tc>
      </w:tr>
      <w:tr w:rsidR="002460DE" w:rsidRPr="006E182C" w:rsidTr="00472B2D">
        <w:tc>
          <w:tcPr>
            <w:tcW w:w="5000" w:type="pct"/>
            <w:gridSpan w:val="3"/>
          </w:tcPr>
          <w:p w:rsidR="002460DE" w:rsidRPr="006F20FF" w:rsidRDefault="002460DE" w:rsidP="00472B2D">
            <w:pPr>
              <w:jc w:val="both"/>
              <w:rPr>
                <w:rFonts w:eastAsia="Calibri"/>
                <w:sz w:val="20"/>
                <w:lang w:val="fr-CA"/>
              </w:rPr>
            </w:pPr>
          </w:p>
        </w:tc>
      </w:tr>
      <w:tr w:rsidR="002460DE" w:rsidRPr="006E182C" w:rsidTr="00472B2D">
        <w:tc>
          <w:tcPr>
            <w:tcW w:w="5000" w:type="pct"/>
            <w:gridSpan w:val="3"/>
          </w:tcPr>
          <w:p w:rsidR="002460DE" w:rsidRPr="006F20FF" w:rsidRDefault="002460DE" w:rsidP="00472B2D">
            <w:pPr>
              <w:jc w:val="both"/>
              <w:rPr>
                <w:rFonts w:eastAsia="Calibri"/>
                <w:sz w:val="20"/>
                <w:lang w:val="fr-CA"/>
              </w:rPr>
            </w:pPr>
            <w:r w:rsidRPr="006F20FF">
              <w:rPr>
                <w:rFonts w:eastAsia="Calibri"/>
                <w:sz w:val="20"/>
                <w:lang w:val="fr-CA"/>
              </w:rPr>
              <w:t xml:space="preserve">Le demandeur était un fondateur et un administrateur de l’intimée Tyson Creek Hydro Corporation (TCHC).  Dans le cadre d’une action civile intentée par TCHC contre des tiers, le demandeur a livré un témoignage oral en interrogatoire préalable en tant que représentant de TCHC.  Cette action a été réglée à l’amiable depuis. </w:t>
            </w:r>
          </w:p>
          <w:p w:rsidR="002460DE" w:rsidRPr="006F20FF" w:rsidRDefault="002460DE" w:rsidP="00472B2D">
            <w:pPr>
              <w:jc w:val="both"/>
              <w:rPr>
                <w:rFonts w:eastAsia="Calibri"/>
                <w:sz w:val="20"/>
                <w:lang w:val="fr-CA"/>
              </w:rPr>
            </w:pPr>
          </w:p>
          <w:p w:rsidR="002460DE" w:rsidRPr="006F20FF" w:rsidRDefault="002460DE" w:rsidP="00472B2D">
            <w:pPr>
              <w:jc w:val="both"/>
              <w:rPr>
                <w:rFonts w:eastAsia="Calibri"/>
                <w:sz w:val="20"/>
                <w:lang w:val="fr-CA"/>
              </w:rPr>
            </w:pPr>
            <w:r w:rsidRPr="006F20FF">
              <w:rPr>
                <w:rFonts w:eastAsia="Calibri"/>
                <w:sz w:val="20"/>
                <w:lang w:val="fr-CA"/>
              </w:rPr>
              <w:t xml:space="preserve">Craignant que le contenu de son interrogatoire préalable soit distribué ou utilisé par TCHC en dehors du cadre de l’action et sans son consentement, le demandeur a sollicité un jugement déclarant que la transcription de son interrogatoire préalable et les renseignements que renferme cette transcription font l’objet d’un engagement implicite de confidentialité de la part de TCHC. Si tel était le cas, il serait interdit à TCHC de divulguer à un tiers les renseignements que renferme la transcription ou d’utiliser autrement ces renseignements en dehors du cadre de l’action civile.  </w:t>
            </w:r>
          </w:p>
          <w:p w:rsidR="002460DE" w:rsidRPr="006F20FF" w:rsidRDefault="002460DE" w:rsidP="00472B2D">
            <w:pPr>
              <w:jc w:val="both"/>
              <w:rPr>
                <w:rFonts w:eastAsia="Calibri"/>
                <w:sz w:val="20"/>
                <w:lang w:val="fr-CA"/>
              </w:rPr>
            </w:pPr>
          </w:p>
        </w:tc>
      </w:tr>
      <w:tr w:rsidR="002460DE" w:rsidRPr="006E182C" w:rsidTr="002137EF">
        <w:trPr>
          <w:cantSplit/>
        </w:trPr>
        <w:tc>
          <w:tcPr>
            <w:tcW w:w="2427" w:type="pct"/>
          </w:tcPr>
          <w:p w:rsidR="002460DE" w:rsidRPr="006F20FF" w:rsidRDefault="002460DE" w:rsidP="00472B2D">
            <w:pPr>
              <w:jc w:val="both"/>
              <w:rPr>
                <w:rFonts w:eastAsia="Calibri"/>
                <w:sz w:val="20"/>
                <w:lang w:val="fr-CA"/>
              </w:rPr>
            </w:pPr>
            <w:r w:rsidRPr="006F20FF">
              <w:rPr>
                <w:rFonts w:eastAsia="Calibri"/>
                <w:sz w:val="20"/>
                <w:lang w:val="fr-CA"/>
              </w:rPr>
              <w:lastRenderedPageBreak/>
              <w:t>8 novembre 2013</w:t>
            </w:r>
          </w:p>
          <w:p w:rsidR="002460DE" w:rsidRPr="006F20FF" w:rsidRDefault="002460DE" w:rsidP="00472B2D">
            <w:pPr>
              <w:jc w:val="both"/>
              <w:rPr>
                <w:rFonts w:eastAsia="Calibri"/>
                <w:sz w:val="20"/>
                <w:lang w:val="fr-CA"/>
              </w:rPr>
            </w:pPr>
            <w:r w:rsidRPr="006F20FF">
              <w:rPr>
                <w:rFonts w:eastAsia="Calibri"/>
                <w:sz w:val="20"/>
                <w:lang w:val="fr-CA"/>
              </w:rPr>
              <w:t>Cour suprême de la Colombie-Britannique</w:t>
            </w:r>
          </w:p>
          <w:p w:rsidR="002460DE" w:rsidRPr="006F20FF" w:rsidRDefault="002460DE" w:rsidP="00472B2D">
            <w:pPr>
              <w:jc w:val="both"/>
              <w:rPr>
                <w:rFonts w:eastAsia="Calibri"/>
                <w:sz w:val="20"/>
                <w:lang w:val="fr-CA"/>
              </w:rPr>
            </w:pPr>
            <w:r w:rsidRPr="006F20FF">
              <w:rPr>
                <w:rFonts w:eastAsia="Calibri"/>
                <w:sz w:val="20"/>
                <w:lang w:val="fr-CA"/>
              </w:rPr>
              <w:t>(Juge Cohen)</w:t>
            </w:r>
          </w:p>
          <w:p w:rsidR="002460DE" w:rsidRPr="006F20FF" w:rsidRDefault="002460DE" w:rsidP="00472B2D">
            <w:pPr>
              <w:jc w:val="both"/>
              <w:rPr>
                <w:rFonts w:eastAsia="Calibri"/>
                <w:sz w:val="20"/>
                <w:lang w:val="fr-CA"/>
              </w:rPr>
            </w:pPr>
            <w:r w:rsidRPr="006F20FF">
              <w:rPr>
                <w:rFonts w:eastAsia="Calibri"/>
                <w:sz w:val="20"/>
                <w:lang w:val="fr-CA"/>
              </w:rPr>
              <w:t>2013 BCSC 2042</w:t>
            </w:r>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Demande de jugement déclarant que l’intimée était liée par un engagement implicite de confidentialité, rejetée</w:t>
            </w:r>
          </w:p>
          <w:p w:rsidR="002460DE" w:rsidRPr="006F20FF" w:rsidRDefault="002460DE" w:rsidP="00472B2D">
            <w:pPr>
              <w:jc w:val="both"/>
              <w:rPr>
                <w:rFonts w:eastAsia="Calibri"/>
                <w:sz w:val="20"/>
                <w:lang w:val="fr-CA"/>
              </w:rPr>
            </w:pPr>
          </w:p>
        </w:tc>
      </w:tr>
      <w:tr w:rsidR="002460DE" w:rsidRPr="006F20FF" w:rsidTr="002137EF">
        <w:trPr>
          <w:cantSplit/>
        </w:trPr>
        <w:tc>
          <w:tcPr>
            <w:tcW w:w="2427" w:type="pct"/>
          </w:tcPr>
          <w:p w:rsidR="002460DE" w:rsidRPr="006F20FF" w:rsidRDefault="002460DE" w:rsidP="00472B2D">
            <w:pPr>
              <w:jc w:val="both"/>
              <w:rPr>
                <w:rFonts w:eastAsia="Calibri"/>
                <w:sz w:val="20"/>
                <w:lang w:val="fr-CA"/>
              </w:rPr>
            </w:pPr>
            <w:r w:rsidRPr="006F20FF">
              <w:rPr>
                <w:rFonts w:eastAsia="Calibri"/>
                <w:sz w:val="20"/>
                <w:lang w:val="fr-CA"/>
              </w:rPr>
              <w:t>10 janvier 2014</w:t>
            </w:r>
          </w:p>
          <w:p w:rsidR="002460DE" w:rsidRPr="006F20FF" w:rsidRDefault="002460DE" w:rsidP="00472B2D">
            <w:pPr>
              <w:jc w:val="both"/>
              <w:rPr>
                <w:rFonts w:eastAsia="Calibri"/>
                <w:sz w:val="20"/>
                <w:lang w:val="fr-CA"/>
              </w:rPr>
            </w:pPr>
            <w:r w:rsidRPr="006F20FF">
              <w:rPr>
                <w:rFonts w:eastAsia="Calibri"/>
                <w:sz w:val="20"/>
                <w:lang w:val="fr-CA"/>
              </w:rPr>
              <w:t>Cour d’appel de la Colombie-Britannique (Vancouver)</w:t>
            </w:r>
          </w:p>
          <w:p w:rsidR="002460DE" w:rsidRPr="006F20FF" w:rsidRDefault="002460DE" w:rsidP="00472B2D">
            <w:pPr>
              <w:jc w:val="both"/>
              <w:rPr>
                <w:rFonts w:eastAsia="Calibri"/>
                <w:sz w:val="20"/>
                <w:lang w:val="fr-CA"/>
              </w:rPr>
            </w:pPr>
            <w:r w:rsidRPr="006F20FF">
              <w:rPr>
                <w:rFonts w:eastAsia="Calibri"/>
                <w:sz w:val="20"/>
                <w:lang w:val="fr-CA"/>
              </w:rPr>
              <w:t>(Juges Low, Stromberg-Stein et Willcock)</w:t>
            </w:r>
          </w:p>
          <w:p w:rsidR="002460DE" w:rsidRPr="006F20FF" w:rsidRDefault="002460DE" w:rsidP="00472B2D">
            <w:pPr>
              <w:jc w:val="both"/>
              <w:rPr>
                <w:rFonts w:eastAsia="Calibri"/>
                <w:sz w:val="20"/>
                <w:lang w:val="fr-CA"/>
              </w:rPr>
            </w:pPr>
            <w:r w:rsidRPr="006F20FF">
              <w:rPr>
                <w:rFonts w:eastAsia="Calibri"/>
                <w:sz w:val="20"/>
                <w:lang w:val="fr-CA"/>
              </w:rPr>
              <w:t>2014 BCCA 12</w:t>
            </w:r>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Appel rejeté</w:t>
            </w:r>
          </w:p>
          <w:p w:rsidR="002460DE" w:rsidRPr="006F20FF" w:rsidRDefault="002460DE" w:rsidP="00472B2D">
            <w:pPr>
              <w:jc w:val="both"/>
              <w:rPr>
                <w:rFonts w:eastAsia="Calibri"/>
                <w:sz w:val="20"/>
                <w:lang w:val="fr-CA"/>
              </w:rPr>
            </w:pPr>
          </w:p>
        </w:tc>
      </w:tr>
      <w:tr w:rsidR="002460DE" w:rsidRPr="006F20FF" w:rsidTr="002137EF">
        <w:trPr>
          <w:cantSplit/>
        </w:trPr>
        <w:tc>
          <w:tcPr>
            <w:tcW w:w="2427" w:type="pct"/>
          </w:tcPr>
          <w:p w:rsidR="002460DE" w:rsidRPr="006F20FF" w:rsidRDefault="002460DE" w:rsidP="00472B2D">
            <w:pPr>
              <w:jc w:val="both"/>
              <w:rPr>
                <w:rFonts w:eastAsia="Calibri"/>
                <w:sz w:val="20"/>
                <w:lang w:val="fr-CA"/>
              </w:rPr>
            </w:pPr>
            <w:r w:rsidRPr="006F20FF">
              <w:rPr>
                <w:rFonts w:eastAsia="Calibri"/>
                <w:sz w:val="20"/>
                <w:lang w:val="fr-CA"/>
              </w:rPr>
              <w:t>21 février 2014</w:t>
            </w:r>
          </w:p>
          <w:p w:rsidR="002460DE" w:rsidRPr="006F20FF" w:rsidRDefault="002460DE" w:rsidP="00472B2D">
            <w:pPr>
              <w:jc w:val="both"/>
              <w:rPr>
                <w:rFonts w:eastAsia="Calibri"/>
                <w:sz w:val="20"/>
                <w:lang w:val="fr-CA"/>
              </w:rPr>
            </w:pPr>
            <w:r w:rsidRPr="006F20FF">
              <w:rPr>
                <w:rFonts w:eastAsia="Calibri"/>
                <w:sz w:val="20"/>
                <w:lang w:val="fr-CA"/>
              </w:rPr>
              <w:t>Cour suprême du Canada</w:t>
            </w:r>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 xml:space="preserve">Requête en vue d’obtenir une ordonnance de mise sous scellés des mémoires déposés par les parties à la demande d’autorisation d’appel, en attendant que soit tranchée la demande d’autorisation et, si l’autorisation est accordée, scellant les mémoires à être déposés par les parties en appel, déposée </w:t>
            </w:r>
          </w:p>
          <w:p w:rsidR="002460DE" w:rsidRPr="006F20FF" w:rsidRDefault="002460DE" w:rsidP="00472B2D">
            <w:pPr>
              <w:jc w:val="both"/>
              <w:rPr>
                <w:rFonts w:eastAsia="Calibri"/>
                <w:sz w:val="20"/>
                <w:lang w:val="fr-CA"/>
              </w:rPr>
            </w:pPr>
          </w:p>
          <w:p w:rsidR="002460DE" w:rsidRPr="006F20FF" w:rsidRDefault="002460DE" w:rsidP="00472B2D">
            <w:pPr>
              <w:jc w:val="both"/>
              <w:rPr>
                <w:rFonts w:eastAsia="Calibri"/>
                <w:sz w:val="20"/>
                <w:lang w:val="fr-CA"/>
              </w:rPr>
            </w:pPr>
            <w:r w:rsidRPr="006F20FF">
              <w:rPr>
                <w:rFonts w:eastAsia="Calibri"/>
                <w:sz w:val="20"/>
                <w:lang w:val="fr-CA"/>
              </w:rPr>
              <w:t>Demande d’autorisation d’appel, déposée</w:t>
            </w:r>
          </w:p>
        </w:tc>
      </w:tr>
    </w:tbl>
    <w:p w:rsidR="00D96800" w:rsidRDefault="00D96800" w:rsidP="00D96800">
      <w:pPr>
        <w:rPr>
          <w:sz w:val="20"/>
          <w:szCs w:val="20"/>
        </w:rPr>
      </w:pPr>
    </w:p>
    <w:p w:rsidR="00D96800" w:rsidRDefault="006E182C" w:rsidP="00D96800">
      <w:pPr>
        <w:rPr>
          <w:sz w:val="20"/>
          <w:szCs w:val="20"/>
          <w:lang w:val="fr-CA"/>
        </w:rPr>
      </w:pPr>
      <w:r>
        <w:rPr>
          <w:sz w:val="20"/>
          <w:szCs w:val="20"/>
          <w:lang w:val="fr-CA"/>
        </w:rPr>
        <w:pict>
          <v:rect id="_x0000_i1053" style="width:2in;height:1pt" o:hrpct="0" o:hralign="center" o:hrstd="t" o:hrnoshade="t" o:hr="t" fillcolor="black [3213]" stroked="f"/>
        </w:pict>
      </w:r>
    </w:p>
    <w:p w:rsidR="00D96800" w:rsidRDefault="00D96800" w:rsidP="00D96800">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932BB" w:rsidRPr="008932BB" w:rsidTr="00D27A21">
        <w:trPr>
          <w:cantSplit/>
        </w:trPr>
        <w:tc>
          <w:tcPr>
            <w:tcW w:w="1458" w:type="dxa"/>
          </w:tcPr>
          <w:p w:rsidR="008932BB" w:rsidRPr="008932BB" w:rsidRDefault="008932BB" w:rsidP="008932BB">
            <w:pPr>
              <w:rPr>
                <w:sz w:val="20"/>
              </w:rPr>
            </w:pPr>
            <w:r w:rsidRPr="008932BB">
              <w:rPr>
                <w:b/>
                <w:sz w:val="20"/>
                <w:lang w:val="fr-CA"/>
              </w:rPr>
              <w:t>35760</w:t>
            </w:r>
          </w:p>
          <w:p w:rsidR="008932BB" w:rsidRPr="008932BB" w:rsidRDefault="008932BB" w:rsidP="008932BB">
            <w:pPr>
              <w:rPr>
                <w:b/>
                <w:sz w:val="20"/>
                <w:lang w:val="fr-CA"/>
              </w:rPr>
            </w:pPr>
          </w:p>
        </w:tc>
        <w:tc>
          <w:tcPr>
            <w:tcW w:w="8118" w:type="dxa"/>
          </w:tcPr>
          <w:p w:rsidR="008932BB" w:rsidRPr="008932BB" w:rsidRDefault="008932BB" w:rsidP="008932BB">
            <w:pPr>
              <w:jc w:val="both"/>
              <w:rPr>
                <w:sz w:val="20"/>
              </w:rPr>
            </w:pPr>
            <w:r w:rsidRPr="008932BB">
              <w:rPr>
                <w:b/>
                <w:sz w:val="20"/>
                <w:u w:val="single"/>
              </w:rPr>
              <w:t>Nuwan Dilusha Jayamaha Mudalige Don v. Minister of Citizenship and Immigration</w:t>
            </w:r>
            <w:r w:rsidR="00C75B3A">
              <w:rPr>
                <w:b/>
                <w:sz w:val="20"/>
                <w:u w:val="single"/>
              </w:rPr>
              <w:t xml:space="preserve"> and</w:t>
            </w:r>
            <w:r w:rsidRPr="008932BB">
              <w:rPr>
                <w:b/>
                <w:sz w:val="20"/>
                <w:u w:val="single"/>
              </w:rPr>
              <w:t xml:space="preserve"> Minister of Public Safety and Emergency Preparedness</w:t>
            </w:r>
            <w:r w:rsidRPr="008932BB">
              <w:rPr>
                <w:sz w:val="20"/>
              </w:rPr>
              <w:t xml:space="preserve"> (F.C.) (Civil) (By Leave)</w:t>
            </w:r>
          </w:p>
          <w:p w:rsidR="008932BB" w:rsidRPr="008932BB" w:rsidRDefault="008932BB" w:rsidP="008932BB">
            <w:pPr>
              <w:jc w:val="both"/>
              <w:rPr>
                <w:sz w:val="20"/>
              </w:rPr>
            </w:pPr>
          </w:p>
        </w:tc>
      </w:tr>
      <w:tr w:rsidR="008932BB" w:rsidRPr="008932BB" w:rsidTr="00D27A21">
        <w:trPr>
          <w:cantSplit/>
        </w:trPr>
        <w:tc>
          <w:tcPr>
            <w:tcW w:w="1458" w:type="dxa"/>
          </w:tcPr>
          <w:p w:rsidR="008932BB" w:rsidRPr="008932BB" w:rsidRDefault="008932BB" w:rsidP="008932BB">
            <w:pPr>
              <w:rPr>
                <w:sz w:val="20"/>
              </w:rPr>
            </w:pPr>
            <w:r w:rsidRPr="008932BB">
              <w:rPr>
                <w:sz w:val="20"/>
              </w:rPr>
              <w:t>Coram :</w:t>
            </w:r>
          </w:p>
        </w:tc>
        <w:tc>
          <w:tcPr>
            <w:tcW w:w="8118" w:type="dxa"/>
          </w:tcPr>
          <w:p w:rsidR="008932BB" w:rsidRPr="008932BB" w:rsidRDefault="008932BB" w:rsidP="008932BB">
            <w:pPr>
              <w:rPr>
                <w:sz w:val="20"/>
              </w:rPr>
            </w:pPr>
            <w:r w:rsidRPr="008932BB">
              <w:rPr>
                <w:sz w:val="20"/>
                <w:u w:val="single"/>
              </w:rPr>
              <w:t>LeBel, Karakatsanis and Wagner JJ.</w:t>
            </w:r>
          </w:p>
          <w:p w:rsidR="008932BB" w:rsidRPr="008932BB" w:rsidRDefault="008932BB" w:rsidP="008932BB">
            <w:pPr>
              <w:rPr>
                <w:sz w:val="20"/>
                <w:u w:val="single"/>
              </w:rPr>
            </w:pPr>
          </w:p>
        </w:tc>
      </w:tr>
      <w:tr w:rsidR="008932BB" w:rsidRPr="006E182C" w:rsidTr="00D27A21">
        <w:trPr>
          <w:cantSplit/>
        </w:trPr>
        <w:tc>
          <w:tcPr>
            <w:tcW w:w="9576" w:type="dxa"/>
            <w:gridSpan w:val="2"/>
          </w:tcPr>
          <w:p w:rsidR="008932BB" w:rsidRPr="008932BB" w:rsidRDefault="008932BB" w:rsidP="008932BB">
            <w:pPr>
              <w:ind w:firstLine="720"/>
              <w:jc w:val="both"/>
              <w:rPr>
                <w:sz w:val="20"/>
              </w:rPr>
            </w:pPr>
            <w:r w:rsidRPr="008932BB">
              <w:rPr>
                <w:sz w:val="20"/>
              </w:rPr>
              <w:t>The motion for an extension of time to serve and file the application for leave to appeal is granted. The application for leave to appeal from the judgment of the Federal Court of Appeal, Number A-45-13, 2014 FCA 4, dated January 10, 2014, is dismissed with costs.</w:t>
            </w:r>
          </w:p>
          <w:p w:rsidR="008932BB" w:rsidRPr="008932BB" w:rsidRDefault="008932BB" w:rsidP="008932BB">
            <w:pPr>
              <w:jc w:val="both"/>
              <w:rPr>
                <w:sz w:val="20"/>
              </w:rPr>
            </w:pPr>
          </w:p>
          <w:p w:rsidR="008932BB" w:rsidRPr="008932BB" w:rsidRDefault="008932BB" w:rsidP="008932BB">
            <w:pPr>
              <w:ind w:firstLine="720"/>
              <w:jc w:val="both"/>
              <w:rPr>
                <w:sz w:val="20"/>
                <w:lang w:val="fr-CA"/>
              </w:rPr>
            </w:pPr>
            <w:r w:rsidRPr="008932BB">
              <w:rPr>
                <w:sz w:val="20"/>
                <w:lang w:val="fr-CA"/>
              </w:rPr>
              <w:t>La requête en prorogation du délai de signification et de dépôt de la demande d’autorisation d’appel est accueillie. La demande d’autorisation d’appel de l’arrêt de la Cour d’appel fédérale, numéro A-45-13, 2014 CAF 4, daté du 10 janvier 2014, est rejetée avec dépens.</w:t>
            </w:r>
          </w:p>
        </w:tc>
      </w:tr>
    </w:tbl>
    <w:p w:rsidR="00D96800" w:rsidRPr="008932BB" w:rsidRDefault="00D96800" w:rsidP="000E2959">
      <w:pPr>
        <w:rPr>
          <w:sz w:val="20"/>
          <w:szCs w:val="20"/>
          <w:lang w:val="fr-CA"/>
        </w:rPr>
      </w:pPr>
    </w:p>
    <w:p w:rsidR="00D96800" w:rsidRPr="001B157C" w:rsidRDefault="00D96800" w:rsidP="00D96800">
      <w:pPr>
        <w:rPr>
          <w:sz w:val="20"/>
          <w:szCs w:val="20"/>
          <w:u w:val="single"/>
        </w:rPr>
      </w:pPr>
      <w:r w:rsidRPr="001B157C">
        <w:rPr>
          <w:sz w:val="20"/>
          <w:szCs w:val="20"/>
          <w:u w:val="single"/>
        </w:rPr>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F20FF" w:rsidTr="00472B2D">
        <w:tc>
          <w:tcPr>
            <w:tcW w:w="5000" w:type="pct"/>
            <w:gridSpan w:val="3"/>
          </w:tcPr>
          <w:p w:rsidR="002460DE" w:rsidRPr="006F20FF" w:rsidRDefault="002460DE" w:rsidP="00472B2D">
            <w:pPr>
              <w:jc w:val="both"/>
              <w:rPr>
                <w:sz w:val="20"/>
              </w:rPr>
            </w:pPr>
            <w:r w:rsidRPr="006F20FF">
              <w:rPr>
                <w:sz w:val="20"/>
              </w:rPr>
              <w:t xml:space="preserve">Immigration – Inadmissibility and removal – Procedural fairness – Can a person’s conduct engender the loss of the right to be heard where the person has no knowledge of the proceedings in issue? – What is the scope of a decision-maker’s duty to notify the person concerned? – In the context of legislative silence, under what conditions can it be said that the legislative framework implicitly mandates </w:t>
            </w:r>
            <w:r w:rsidRPr="006F20FF">
              <w:rPr>
                <w:i/>
                <w:iCs/>
                <w:sz w:val="20"/>
              </w:rPr>
              <w:t xml:space="preserve">in absentia </w:t>
            </w:r>
            <w:r w:rsidRPr="006F20FF">
              <w:rPr>
                <w:sz w:val="20"/>
              </w:rPr>
              <w:t>proceedings?</w:t>
            </w:r>
          </w:p>
        </w:tc>
      </w:tr>
      <w:tr w:rsidR="002460DE" w:rsidRPr="006F20FF" w:rsidTr="00472B2D">
        <w:tc>
          <w:tcPr>
            <w:tcW w:w="5000" w:type="pct"/>
            <w:gridSpan w:val="3"/>
          </w:tcPr>
          <w:p w:rsidR="002460DE" w:rsidRPr="006F20FF" w:rsidRDefault="002460DE" w:rsidP="00472B2D">
            <w:pPr>
              <w:jc w:val="both"/>
              <w:rPr>
                <w:sz w:val="20"/>
              </w:rPr>
            </w:pPr>
          </w:p>
        </w:tc>
      </w:tr>
      <w:tr w:rsidR="002460DE" w:rsidRPr="006F20FF" w:rsidTr="00472B2D">
        <w:tc>
          <w:tcPr>
            <w:tcW w:w="5000" w:type="pct"/>
            <w:gridSpan w:val="3"/>
          </w:tcPr>
          <w:p w:rsidR="002460DE" w:rsidRPr="006F20FF" w:rsidRDefault="002460DE" w:rsidP="00472B2D">
            <w:pPr>
              <w:autoSpaceDE w:val="0"/>
              <w:autoSpaceDN w:val="0"/>
              <w:adjustRightInd w:val="0"/>
              <w:jc w:val="both"/>
              <w:rPr>
                <w:sz w:val="20"/>
              </w:rPr>
            </w:pPr>
            <w:r w:rsidRPr="006F20FF">
              <w:rPr>
                <w:sz w:val="20"/>
              </w:rPr>
              <w:t>The applicant, a foreign national from Sri Lanka, arrived in Canada as a crew member of a vessel which he deserted on 1 December 2011 with the intention of seeking refugee protection in Canada.  Twelve days later, an officer of the Canada Border Services Agency found him inadmissible to enter Canada as a result of his desertion and issued a removal order against him, at which point the applicant had not yet reported to the Canadian immigration authorities.  He attempted to make a refugee claim three days later but because the removal order had been issued, was ineligible to do so.</w:t>
            </w:r>
          </w:p>
          <w:p w:rsidR="002460DE" w:rsidRPr="006F20FF" w:rsidRDefault="002460DE" w:rsidP="00472B2D">
            <w:pPr>
              <w:autoSpaceDE w:val="0"/>
              <w:autoSpaceDN w:val="0"/>
              <w:adjustRightInd w:val="0"/>
              <w:jc w:val="both"/>
              <w:rPr>
                <w:sz w:val="20"/>
              </w:rPr>
            </w:pPr>
          </w:p>
        </w:tc>
      </w:tr>
      <w:tr w:rsidR="002460DE" w:rsidRPr="006F20FF" w:rsidTr="002137EF">
        <w:trPr>
          <w:cantSplit/>
        </w:trPr>
        <w:tc>
          <w:tcPr>
            <w:tcW w:w="2427" w:type="pct"/>
          </w:tcPr>
          <w:p w:rsidR="002460DE" w:rsidRPr="006F20FF" w:rsidRDefault="002460DE" w:rsidP="00472B2D">
            <w:pPr>
              <w:jc w:val="both"/>
              <w:rPr>
                <w:sz w:val="20"/>
              </w:rPr>
            </w:pPr>
            <w:r w:rsidRPr="006F20FF">
              <w:rPr>
                <w:sz w:val="20"/>
              </w:rPr>
              <w:lastRenderedPageBreak/>
              <w:t>January 3, 2013</w:t>
            </w:r>
          </w:p>
          <w:p w:rsidR="002460DE" w:rsidRPr="006F20FF" w:rsidRDefault="002460DE" w:rsidP="00472B2D">
            <w:pPr>
              <w:jc w:val="both"/>
              <w:rPr>
                <w:sz w:val="20"/>
              </w:rPr>
            </w:pPr>
            <w:r w:rsidRPr="006F20FF">
              <w:rPr>
                <w:sz w:val="20"/>
              </w:rPr>
              <w:t>Federal Court</w:t>
            </w:r>
          </w:p>
          <w:p w:rsidR="002460DE" w:rsidRPr="006F20FF" w:rsidRDefault="002460DE" w:rsidP="00472B2D">
            <w:pPr>
              <w:jc w:val="both"/>
              <w:rPr>
                <w:sz w:val="20"/>
              </w:rPr>
            </w:pPr>
            <w:r w:rsidRPr="006F20FF">
              <w:rPr>
                <w:sz w:val="20"/>
              </w:rPr>
              <w:t>(Tremblay-Lamer J.)</w:t>
            </w:r>
          </w:p>
          <w:p w:rsidR="002460DE" w:rsidRPr="006F20FF" w:rsidRDefault="006E182C" w:rsidP="00472B2D">
            <w:pPr>
              <w:jc w:val="both"/>
              <w:rPr>
                <w:sz w:val="20"/>
              </w:rPr>
            </w:pPr>
            <w:hyperlink r:id="rId33" w:history="1">
              <w:r w:rsidR="002460DE" w:rsidRPr="006F20FF">
                <w:rPr>
                  <w:rStyle w:val="Hyperlink"/>
                  <w:sz w:val="20"/>
                </w:rPr>
                <w:t>2013 FC 1</w:t>
              </w:r>
            </w:hyperlink>
          </w:p>
          <w:p w:rsidR="002460DE" w:rsidRPr="006F20FF" w:rsidRDefault="002460DE" w:rsidP="00472B2D">
            <w:pPr>
              <w:jc w:val="both"/>
              <w:rPr>
                <w:sz w:val="20"/>
              </w:rPr>
            </w:pPr>
          </w:p>
        </w:tc>
        <w:tc>
          <w:tcPr>
            <w:tcW w:w="243" w:type="pct"/>
          </w:tcPr>
          <w:p w:rsidR="002460DE" w:rsidRPr="006F20FF" w:rsidRDefault="002460DE" w:rsidP="00472B2D">
            <w:pPr>
              <w:jc w:val="both"/>
              <w:rPr>
                <w:sz w:val="20"/>
              </w:rPr>
            </w:pPr>
          </w:p>
        </w:tc>
        <w:tc>
          <w:tcPr>
            <w:tcW w:w="2330" w:type="pct"/>
          </w:tcPr>
          <w:p w:rsidR="002460DE" w:rsidRPr="006F20FF" w:rsidRDefault="002460DE" w:rsidP="00472B2D">
            <w:pPr>
              <w:jc w:val="both"/>
              <w:rPr>
                <w:sz w:val="20"/>
              </w:rPr>
            </w:pPr>
            <w:r w:rsidRPr="006F20FF">
              <w:rPr>
                <w:sz w:val="20"/>
              </w:rPr>
              <w:t>Application for judicial review granted.</w:t>
            </w:r>
          </w:p>
          <w:p w:rsidR="002460DE" w:rsidRPr="006F20FF" w:rsidRDefault="002460DE" w:rsidP="00472B2D">
            <w:pPr>
              <w:jc w:val="both"/>
              <w:rPr>
                <w:sz w:val="20"/>
              </w:rPr>
            </w:pPr>
          </w:p>
          <w:p w:rsidR="002460DE" w:rsidRPr="006F20FF" w:rsidRDefault="002460DE" w:rsidP="00472B2D">
            <w:pPr>
              <w:jc w:val="both"/>
              <w:rPr>
                <w:sz w:val="20"/>
              </w:rPr>
            </w:pPr>
          </w:p>
        </w:tc>
      </w:tr>
      <w:tr w:rsidR="002460DE" w:rsidRPr="006F20FF" w:rsidTr="00472B2D">
        <w:tc>
          <w:tcPr>
            <w:tcW w:w="2427" w:type="pct"/>
          </w:tcPr>
          <w:p w:rsidR="002460DE" w:rsidRPr="006F20FF" w:rsidRDefault="002460DE" w:rsidP="00472B2D">
            <w:pPr>
              <w:jc w:val="both"/>
              <w:rPr>
                <w:sz w:val="20"/>
              </w:rPr>
            </w:pPr>
            <w:r w:rsidRPr="006F20FF">
              <w:rPr>
                <w:sz w:val="20"/>
              </w:rPr>
              <w:t>January 10, 2014</w:t>
            </w:r>
          </w:p>
          <w:p w:rsidR="002460DE" w:rsidRPr="006F20FF" w:rsidRDefault="002460DE" w:rsidP="00472B2D">
            <w:pPr>
              <w:jc w:val="both"/>
              <w:rPr>
                <w:sz w:val="20"/>
              </w:rPr>
            </w:pPr>
            <w:r w:rsidRPr="006F20FF">
              <w:rPr>
                <w:sz w:val="20"/>
              </w:rPr>
              <w:t>Federal Court of Appeal</w:t>
            </w:r>
          </w:p>
          <w:p w:rsidR="002460DE" w:rsidRPr="006F20FF" w:rsidRDefault="002460DE" w:rsidP="00472B2D">
            <w:pPr>
              <w:jc w:val="both"/>
              <w:rPr>
                <w:sz w:val="20"/>
              </w:rPr>
            </w:pPr>
            <w:r w:rsidRPr="006F20FF">
              <w:rPr>
                <w:sz w:val="20"/>
              </w:rPr>
              <w:t>(Noël, Gauthier and Mainville JJ.A.)</w:t>
            </w:r>
          </w:p>
          <w:bookmarkStart w:id="4" w:name="reflex-caselaw-23488651"/>
          <w:bookmarkEnd w:id="4"/>
          <w:p w:rsidR="002460DE" w:rsidRPr="006F20FF" w:rsidRDefault="008222C4" w:rsidP="00472B2D">
            <w:pPr>
              <w:jc w:val="both"/>
              <w:rPr>
                <w:sz w:val="20"/>
              </w:rPr>
            </w:pPr>
            <w:r w:rsidRPr="006F20FF">
              <w:rPr>
                <w:sz w:val="20"/>
              </w:rPr>
              <w:fldChar w:fldCharType="begin"/>
            </w:r>
            <w:r w:rsidR="002460DE" w:rsidRPr="006F20FF">
              <w:rPr>
                <w:sz w:val="20"/>
              </w:rPr>
              <w:instrText xml:space="preserve"> HYPERLINK "http://www.canlii.org/en/ca/fca/doc/2014/2014fca4/2014fca4.html?searchUrlHash=AAAAAQAFbnV3YW4AAAAAAQ" </w:instrText>
            </w:r>
            <w:r w:rsidR="006E182C" w:rsidRPr="006F20FF">
              <w:rPr>
                <w:sz w:val="20"/>
              </w:rPr>
            </w:r>
            <w:r w:rsidRPr="006F20FF">
              <w:rPr>
                <w:sz w:val="20"/>
              </w:rPr>
              <w:fldChar w:fldCharType="separate"/>
            </w:r>
            <w:r w:rsidR="002460DE" w:rsidRPr="006F20FF">
              <w:rPr>
                <w:rStyle w:val="Hyperlink"/>
                <w:sz w:val="20"/>
              </w:rPr>
              <w:t>2014 FCA 4</w:t>
            </w:r>
            <w:r w:rsidRPr="006F20FF">
              <w:rPr>
                <w:sz w:val="20"/>
              </w:rPr>
              <w:fldChar w:fldCharType="end"/>
            </w:r>
          </w:p>
          <w:p w:rsidR="002460DE" w:rsidRPr="006F20FF" w:rsidRDefault="002460DE" w:rsidP="00472B2D">
            <w:pPr>
              <w:jc w:val="both"/>
              <w:rPr>
                <w:sz w:val="20"/>
              </w:rPr>
            </w:pPr>
          </w:p>
        </w:tc>
        <w:tc>
          <w:tcPr>
            <w:tcW w:w="243" w:type="pct"/>
          </w:tcPr>
          <w:p w:rsidR="002460DE" w:rsidRPr="006F20FF" w:rsidRDefault="002460DE" w:rsidP="00472B2D">
            <w:pPr>
              <w:jc w:val="both"/>
              <w:rPr>
                <w:sz w:val="20"/>
              </w:rPr>
            </w:pPr>
          </w:p>
        </w:tc>
        <w:tc>
          <w:tcPr>
            <w:tcW w:w="2330" w:type="pct"/>
          </w:tcPr>
          <w:p w:rsidR="002460DE" w:rsidRPr="006F20FF" w:rsidRDefault="002460DE" w:rsidP="00472B2D">
            <w:pPr>
              <w:jc w:val="both"/>
              <w:rPr>
                <w:sz w:val="20"/>
              </w:rPr>
            </w:pPr>
            <w:r w:rsidRPr="006F20FF">
              <w:rPr>
                <w:sz w:val="20"/>
              </w:rPr>
              <w:t>Appeal allowed.</w:t>
            </w:r>
          </w:p>
          <w:p w:rsidR="002460DE" w:rsidRPr="006F20FF" w:rsidRDefault="002460DE" w:rsidP="00472B2D">
            <w:pPr>
              <w:jc w:val="both"/>
              <w:rPr>
                <w:sz w:val="20"/>
              </w:rPr>
            </w:pPr>
          </w:p>
        </w:tc>
      </w:tr>
      <w:tr w:rsidR="002460DE" w:rsidRPr="006F20FF" w:rsidTr="00472B2D">
        <w:tc>
          <w:tcPr>
            <w:tcW w:w="2427" w:type="pct"/>
          </w:tcPr>
          <w:p w:rsidR="002460DE" w:rsidRPr="006F20FF" w:rsidRDefault="002460DE" w:rsidP="00472B2D">
            <w:pPr>
              <w:jc w:val="both"/>
              <w:rPr>
                <w:sz w:val="20"/>
              </w:rPr>
            </w:pPr>
            <w:r w:rsidRPr="006F20FF">
              <w:rPr>
                <w:sz w:val="20"/>
              </w:rPr>
              <w:t>March 12, 2014</w:t>
            </w:r>
          </w:p>
          <w:p w:rsidR="002460DE" w:rsidRPr="006F20FF" w:rsidRDefault="002460DE" w:rsidP="00472B2D">
            <w:pPr>
              <w:jc w:val="both"/>
              <w:rPr>
                <w:sz w:val="20"/>
              </w:rPr>
            </w:pPr>
            <w:r w:rsidRPr="006F20FF">
              <w:rPr>
                <w:sz w:val="20"/>
              </w:rPr>
              <w:t>Supreme Court of Canada</w:t>
            </w:r>
          </w:p>
          <w:p w:rsidR="002460DE" w:rsidRPr="006F20FF" w:rsidRDefault="002460DE" w:rsidP="00472B2D">
            <w:pPr>
              <w:jc w:val="both"/>
              <w:rPr>
                <w:sz w:val="20"/>
              </w:rPr>
            </w:pPr>
          </w:p>
        </w:tc>
        <w:tc>
          <w:tcPr>
            <w:tcW w:w="243" w:type="pct"/>
          </w:tcPr>
          <w:p w:rsidR="002460DE" w:rsidRPr="006F20FF" w:rsidRDefault="002460DE" w:rsidP="00472B2D">
            <w:pPr>
              <w:jc w:val="both"/>
              <w:rPr>
                <w:sz w:val="20"/>
              </w:rPr>
            </w:pPr>
          </w:p>
        </w:tc>
        <w:tc>
          <w:tcPr>
            <w:tcW w:w="2330" w:type="pct"/>
          </w:tcPr>
          <w:p w:rsidR="002460DE" w:rsidRPr="006F20FF" w:rsidRDefault="002460DE" w:rsidP="00472B2D">
            <w:pPr>
              <w:jc w:val="both"/>
              <w:rPr>
                <w:sz w:val="20"/>
              </w:rPr>
            </w:pPr>
            <w:r w:rsidRPr="006F20FF">
              <w:rPr>
                <w:sz w:val="20"/>
              </w:rPr>
              <w:t>Application for leave to appeal filed.</w:t>
            </w:r>
          </w:p>
          <w:p w:rsidR="002460DE" w:rsidRPr="006F20FF" w:rsidRDefault="002460DE" w:rsidP="00472B2D">
            <w:pPr>
              <w:jc w:val="both"/>
              <w:rPr>
                <w:sz w:val="20"/>
              </w:rPr>
            </w:pPr>
          </w:p>
        </w:tc>
      </w:tr>
      <w:tr w:rsidR="002460DE" w:rsidRPr="006F20FF" w:rsidTr="00472B2D">
        <w:tc>
          <w:tcPr>
            <w:tcW w:w="2427" w:type="pct"/>
          </w:tcPr>
          <w:p w:rsidR="002460DE" w:rsidRPr="006F20FF" w:rsidRDefault="002460DE" w:rsidP="00472B2D">
            <w:pPr>
              <w:jc w:val="both"/>
              <w:rPr>
                <w:sz w:val="20"/>
              </w:rPr>
            </w:pPr>
            <w:r w:rsidRPr="006F20FF">
              <w:rPr>
                <w:sz w:val="20"/>
              </w:rPr>
              <w:t>March 13, 2014</w:t>
            </w:r>
          </w:p>
          <w:p w:rsidR="002460DE" w:rsidRPr="006F20FF" w:rsidRDefault="002460DE" w:rsidP="00472B2D">
            <w:pPr>
              <w:jc w:val="both"/>
              <w:rPr>
                <w:sz w:val="20"/>
              </w:rPr>
            </w:pPr>
            <w:r w:rsidRPr="006F20FF">
              <w:rPr>
                <w:sz w:val="20"/>
              </w:rPr>
              <w:t>Supreme Court of Canada</w:t>
            </w:r>
          </w:p>
        </w:tc>
        <w:tc>
          <w:tcPr>
            <w:tcW w:w="243" w:type="pct"/>
          </w:tcPr>
          <w:p w:rsidR="002460DE" w:rsidRPr="006F20FF" w:rsidRDefault="002460DE" w:rsidP="00472B2D">
            <w:pPr>
              <w:jc w:val="both"/>
              <w:rPr>
                <w:sz w:val="20"/>
              </w:rPr>
            </w:pPr>
          </w:p>
        </w:tc>
        <w:tc>
          <w:tcPr>
            <w:tcW w:w="2330" w:type="pct"/>
          </w:tcPr>
          <w:p w:rsidR="002460DE" w:rsidRPr="006F20FF" w:rsidRDefault="002460DE" w:rsidP="00472B2D">
            <w:pPr>
              <w:jc w:val="both"/>
              <w:rPr>
                <w:sz w:val="20"/>
              </w:rPr>
            </w:pPr>
            <w:r w:rsidRPr="006F20FF">
              <w:rPr>
                <w:sz w:val="20"/>
              </w:rPr>
              <w:t>Motion filed by applicant to extend time to file and serve application for leave to appeal.</w:t>
            </w: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54"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460DE" w:rsidRPr="006E182C" w:rsidTr="00472B2D">
        <w:tc>
          <w:tcPr>
            <w:tcW w:w="5000" w:type="pct"/>
            <w:gridSpan w:val="3"/>
          </w:tcPr>
          <w:p w:rsidR="002460DE" w:rsidRPr="006F20FF" w:rsidRDefault="002460DE" w:rsidP="00472B2D">
            <w:pPr>
              <w:jc w:val="both"/>
              <w:rPr>
                <w:rFonts w:eastAsia="Calibri"/>
                <w:sz w:val="20"/>
                <w:lang w:val="fr-CA"/>
              </w:rPr>
            </w:pPr>
            <w:r w:rsidRPr="006F20FF">
              <w:rPr>
                <w:rFonts w:eastAsia="Calibri"/>
                <w:sz w:val="20"/>
                <w:lang w:val="fr-CA"/>
              </w:rPr>
              <w:t xml:space="preserve">Immigration – Interdiction de territoire et renvoi – Équité procédurale – Le comportement d’une personne peut-il entraîner la perte du droit d’être entendu lorsque l’intéressé n’a pas connaissance de la procédure en cause? – Quelle est la portée de l’obligation du décideur d’aviser l’intéressé? – Dans un contexte où la loi est silencieuse, dans quelles situations peut-on dire que le cadre législatif prescrit implicitement une procédure </w:t>
            </w:r>
            <w:r w:rsidRPr="006F20FF">
              <w:rPr>
                <w:rFonts w:eastAsia="Calibri"/>
                <w:i/>
                <w:sz w:val="20"/>
                <w:lang w:val="fr-CA"/>
              </w:rPr>
              <w:t>in absentia</w:t>
            </w:r>
            <w:r w:rsidRPr="006F20FF">
              <w:rPr>
                <w:rFonts w:eastAsia="Calibri"/>
                <w:sz w:val="20"/>
                <w:lang w:val="fr-CA"/>
              </w:rPr>
              <w:t>?</w:t>
            </w:r>
          </w:p>
        </w:tc>
      </w:tr>
      <w:tr w:rsidR="002460DE" w:rsidRPr="006E182C" w:rsidTr="00472B2D">
        <w:tc>
          <w:tcPr>
            <w:tcW w:w="5000" w:type="pct"/>
            <w:gridSpan w:val="3"/>
          </w:tcPr>
          <w:p w:rsidR="002460DE" w:rsidRPr="006F20FF" w:rsidRDefault="002460DE" w:rsidP="00472B2D">
            <w:pPr>
              <w:jc w:val="both"/>
              <w:rPr>
                <w:rFonts w:eastAsia="Calibri"/>
                <w:sz w:val="20"/>
                <w:lang w:val="fr-CA"/>
              </w:rPr>
            </w:pPr>
          </w:p>
        </w:tc>
      </w:tr>
      <w:tr w:rsidR="002460DE" w:rsidRPr="006E182C" w:rsidTr="00472B2D">
        <w:tc>
          <w:tcPr>
            <w:tcW w:w="5000" w:type="pct"/>
            <w:gridSpan w:val="3"/>
          </w:tcPr>
          <w:p w:rsidR="002460DE" w:rsidRPr="006F20FF" w:rsidRDefault="002460DE" w:rsidP="00472B2D">
            <w:pPr>
              <w:autoSpaceDE w:val="0"/>
              <w:autoSpaceDN w:val="0"/>
              <w:adjustRightInd w:val="0"/>
              <w:jc w:val="both"/>
              <w:rPr>
                <w:rFonts w:eastAsia="Calibri"/>
                <w:sz w:val="20"/>
                <w:lang w:val="fr-CA"/>
              </w:rPr>
            </w:pPr>
            <w:r w:rsidRPr="006F20FF">
              <w:rPr>
                <w:rFonts w:eastAsia="Calibri"/>
                <w:sz w:val="20"/>
                <w:lang w:val="fr-CA"/>
              </w:rPr>
              <w:t>Le demandeur, un ressortissant étranger du Sri Lanka, est arrivé au Canada comme membre d’équipage d’un navire qu’il a déserté le 1</w:t>
            </w:r>
            <w:r w:rsidRPr="006F20FF">
              <w:rPr>
                <w:rFonts w:eastAsia="Calibri"/>
                <w:sz w:val="20"/>
                <w:vertAlign w:val="superscript"/>
                <w:lang w:val="fr-CA"/>
              </w:rPr>
              <w:t>er</w:t>
            </w:r>
            <w:r w:rsidRPr="006F20FF">
              <w:rPr>
                <w:rFonts w:eastAsia="Calibri"/>
                <w:sz w:val="20"/>
                <w:lang w:val="fr-CA"/>
              </w:rPr>
              <w:t> décembre 2011 avec l’intention de demander l’asile au Canada.  Douze jours plus tard, un agent de l’Agence des services frontaliers du Canada a conclu qu’il était interdit de territoire au Canada en raison de sa désertion et il a pris une mesure de renvoi contre lui; à ce stade, le demandeur ne s’était pas encore présenté aux autorités canadiennes d’immigration.  Il a tenté de faire une demande d’asile trois jours plus tard, mais parce que la mesure de renvoi avait été prise, il n’avait pas le droit de le faire.</w:t>
            </w:r>
          </w:p>
          <w:p w:rsidR="002460DE" w:rsidRPr="006F20FF" w:rsidRDefault="002460DE" w:rsidP="00472B2D">
            <w:pPr>
              <w:autoSpaceDE w:val="0"/>
              <w:autoSpaceDN w:val="0"/>
              <w:adjustRightInd w:val="0"/>
              <w:jc w:val="both"/>
              <w:rPr>
                <w:rFonts w:eastAsia="Calibri"/>
                <w:sz w:val="20"/>
                <w:lang w:val="fr-CA"/>
              </w:rPr>
            </w:pPr>
          </w:p>
        </w:tc>
      </w:tr>
      <w:tr w:rsidR="002460DE" w:rsidRPr="006E182C"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3 janvier 2013</w:t>
            </w:r>
          </w:p>
          <w:p w:rsidR="002460DE" w:rsidRPr="006F20FF" w:rsidRDefault="002460DE" w:rsidP="00472B2D">
            <w:pPr>
              <w:jc w:val="both"/>
              <w:rPr>
                <w:rFonts w:eastAsia="Calibri"/>
                <w:sz w:val="20"/>
                <w:lang w:val="fr-CA"/>
              </w:rPr>
            </w:pPr>
            <w:r w:rsidRPr="006F20FF">
              <w:rPr>
                <w:rFonts w:eastAsia="Calibri"/>
                <w:sz w:val="20"/>
                <w:lang w:val="fr-CA"/>
              </w:rPr>
              <w:t>Cour fédérale</w:t>
            </w:r>
          </w:p>
          <w:p w:rsidR="002460DE" w:rsidRPr="006F20FF" w:rsidRDefault="002460DE" w:rsidP="00472B2D">
            <w:pPr>
              <w:jc w:val="both"/>
              <w:rPr>
                <w:rFonts w:eastAsia="Calibri"/>
                <w:sz w:val="20"/>
                <w:lang w:val="fr-CA"/>
              </w:rPr>
            </w:pPr>
            <w:r w:rsidRPr="006F20FF">
              <w:rPr>
                <w:rFonts w:eastAsia="Calibri"/>
                <w:sz w:val="20"/>
                <w:lang w:val="fr-CA"/>
              </w:rPr>
              <w:t>(Juge Tremblay-Lamer)</w:t>
            </w:r>
          </w:p>
          <w:p w:rsidR="002460DE" w:rsidRPr="006F20FF" w:rsidRDefault="006E182C" w:rsidP="00472B2D">
            <w:pPr>
              <w:jc w:val="both"/>
              <w:rPr>
                <w:rFonts w:eastAsia="Calibri"/>
                <w:sz w:val="20"/>
                <w:lang w:val="fr-CA"/>
              </w:rPr>
            </w:pPr>
            <w:hyperlink r:id="rId34" w:history="1">
              <w:r w:rsidR="002460DE" w:rsidRPr="006F20FF">
                <w:rPr>
                  <w:rFonts w:eastAsia="Calibri"/>
                  <w:color w:val="0000FF"/>
                  <w:sz w:val="20"/>
                  <w:u w:val="single"/>
                  <w:lang w:val="fr-CA"/>
                </w:rPr>
                <w:t>2013 FC 1</w:t>
              </w:r>
            </w:hyperlink>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Demande de contrôle judiciaire, accueillie.</w:t>
            </w:r>
          </w:p>
          <w:p w:rsidR="002460DE" w:rsidRPr="006F20FF" w:rsidRDefault="002460DE" w:rsidP="00472B2D">
            <w:pPr>
              <w:jc w:val="both"/>
              <w:rPr>
                <w:rFonts w:eastAsia="Calibri"/>
                <w:sz w:val="20"/>
                <w:lang w:val="fr-CA"/>
              </w:rPr>
            </w:pPr>
          </w:p>
          <w:p w:rsidR="002460DE" w:rsidRPr="006F20FF" w:rsidRDefault="002460DE" w:rsidP="00472B2D">
            <w:pPr>
              <w:jc w:val="both"/>
              <w:rPr>
                <w:rFonts w:eastAsia="Calibri"/>
                <w:sz w:val="20"/>
                <w:lang w:val="fr-CA"/>
              </w:rPr>
            </w:pPr>
          </w:p>
        </w:tc>
      </w:tr>
      <w:tr w:rsidR="002460DE" w:rsidRPr="006F20FF"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10 janvier 2014</w:t>
            </w:r>
          </w:p>
          <w:p w:rsidR="002460DE" w:rsidRPr="006F20FF" w:rsidRDefault="002460DE" w:rsidP="00472B2D">
            <w:pPr>
              <w:jc w:val="both"/>
              <w:rPr>
                <w:rFonts w:eastAsia="Calibri"/>
                <w:sz w:val="20"/>
                <w:lang w:val="fr-CA"/>
              </w:rPr>
            </w:pPr>
            <w:r w:rsidRPr="006F20FF">
              <w:rPr>
                <w:rFonts w:eastAsia="Calibri"/>
                <w:sz w:val="20"/>
                <w:lang w:val="fr-CA"/>
              </w:rPr>
              <w:t>Cour d’appel fédérale</w:t>
            </w:r>
          </w:p>
          <w:p w:rsidR="002460DE" w:rsidRPr="006F20FF" w:rsidRDefault="002460DE" w:rsidP="00472B2D">
            <w:pPr>
              <w:jc w:val="both"/>
              <w:rPr>
                <w:rFonts w:eastAsia="Calibri"/>
                <w:sz w:val="20"/>
                <w:lang w:val="fr-CA"/>
              </w:rPr>
            </w:pPr>
            <w:r w:rsidRPr="006F20FF">
              <w:rPr>
                <w:rFonts w:eastAsia="Calibri"/>
                <w:sz w:val="20"/>
                <w:lang w:val="fr-CA"/>
              </w:rPr>
              <w:t>(Juges Noël, Gauthier et Mainville)</w:t>
            </w:r>
          </w:p>
          <w:p w:rsidR="002460DE" w:rsidRPr="006F20FF" w:rsidRDefault="006E182C" w:rsidP="00472B2D">
            <w:pPr>
              <w:jc w:val="both"/>
              <w:rPr>
                <w:rFonts w:eastAsia="Calibri"/>
                <w:sz w:val="20"/>
                <w:lang w:val="fr-CA"/>
              </w:rPr>
            </w:pPr>
            <w:hyperlink r:id="rId35" w:history="1">
              <w:r w:rsidR="002460DE" w:rsidRPr="006F20FF">
                <w:rPr>
                  <w:rFonts w:eastAsia="Calibri"/>
                  <w:color w:val="0000FF"/>
                  <w:sz w:val="20"/>
                  <w:u w:val="single"/>
                  <w:lang w:val="fr-CA"/>
                </w:rPr>
                <w:t>2014 FCA 4</w:t>
              </w:r>
            </w:hyperlink>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Appel accueilli.</w:t>
            </w:r>
          </w:p>
          <w:p w:rsidR="002460DE" w:rsidRPr="006F20FF" w:rsidRDefault="002460DE" w:rsidP="00472B2D">
            <w:pPr>
              <w:jc w:val="both"/>
              <w:rPr>
                <w:rFonts w:eastAsia="Calibri"/>
                <w:sz w:val="20"/>
                <w:lang w:val="fr-CA"/>
              </w:rPr>
            </w:pPr>
          </w:p>
        </w:tc>
      </w:tr>
      <w:tr w:rsidR="002460DE" w:rsidRPr="006F20FF" w:rsidTr="00472B2D">
        <w:tc>
          <w:tcPr>
            <w:tcW w:w="2427" w:type="pct"/>
          </w:tcPr>
          <w:p w:rsidR="002460DE" w:rsidRPr="006F20FF" w:rsidRDefault="002460DE" w:rsidP="00472B2D">
            <w:pPr>
              <w:jc w:val="both"/>
              <w:rPr>
                <w:rFonts w:eastAsia="Calibri"/>
                <w:sz w:val="20"/>
                <w:lang w:val="fr-CA"/>
              </w:rPr>
            </w:pPr>
            <w:r w:rsidRPr="006F20FF">
              <w:rPr>
                <w:rFonts w:eastAsia="Calibri"/>
                <w:sz w:val="20"/>
                <w:lang w:val="fr-CA"/>
              </w:rPr>
              <w:t>12 mars 2014</w:t>
            </w:r>
          </w:p>
          <w:p w:rsidR="002460DE" w:rsidRPr="006F20FF" w:rsidRDefault="002460DE" w:rsidP="00472B2D">
            <w:pPr>
              <w:jc w:val="both"/>
              <w:rPr>
                <w:rFonts w:eastAsia="Calibri"/>
                <w:sz w:val="20"/>
                <w:lang w:val="fr-CA"/>
              </w:rPr>
            </w:pPr>
            <w:r w:rsidRPr="006F20FF">
              <w:rPr>
                <w:rFonts w:eastAsia="Calibri"/>
                <w:sz w:val="20"/>
                <w:lang w:val="fr-CA"/>
              </w:rPr>
              <w:t>Cour suprême du Canada</w:t>
            </w:r>
          </w:p>
          <w:p w:rsidR="002460DE" w:rsidRPr="006F20FF" w:rsidRDefault="002460DE" w:rsidP="00472B2D">
            <w:pPr>
              <w:jc w:val="both"/>
              <w:rPr>
                <w:rFonts w:eastAsia="Calibri"/>
                <w:sz w:val="20"/>
                <w:lang w:val="fr-CA"/>
              </w:rPr>
            </w:pP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Demande d’autorisation d’appel, déposée.</w:t>
            </w:r>
          </w:p>
          <w:p w:rsidR="002460DE" w:rsidRPr="006F20FF" w:rsidRDefault="002460DE" w:rsidP="00472B2D">
            <w:pPr>
              <w:jc w:val="both"/>
              <w:rPr>
                <w:rFonts w:eastAsia="Calibri"/>
                <w:sz w:val="20"/>
                <w:lang w:val="fr-CA"/>
              </w:rPr>
            </w:pPr>
          </w:p>
        </w:tc>
      </w:tr>
      <w:tr w:rsidR="002460DE" w:rsidRPr="006E182C" w:rsidTr="008932BB">
        <w:trPr>
          <w:cantSplit/>
        </w:trPr>
        <w:tc>
          <w:tcPr>
            <w:tcW w:w="2427" w:type="pct"/>
          </w:tcPr>
          <w:p w:rsidR="002460DE" w:rsidRPr="006F20FF" w:rsidRDefault="002460DE" w:rsidP="00472B2D">
            <w:pPr>
              <w:jc w:val="both"/>
              <w:rPr>
                <w:rFonts w:eastAsia="Calibri"/>
                <w:sz w:val="20"/>
                <w:lang w:val="fr-CA"/>
              </w:rPr>
            </w:pPr>
            <w:r w:rsidRPr="006F20FF">
              <w:rPr>
                <w:rFonts w:eastAsia="Calibri"/>
                <w:sz w:val="20"/>
                <w:lang w:val="fr-CA"/>
              </w:rPr>
              <w:t>13 mars 2014</w:t>
            </w:r>
          </w:p>
          <w:p w:rsidR="002460DE" w:rsidRPr="006F20FF" w:rsidRDefault="002460DE" w:rsidP="00472B2D">
            <w:pPr>
              <w:jc w:val="both"/>
              <w:rPr>
                <w:rFonts w:eastAsia="Calibri"/>
                <w:sz w:val="20"/>
                <w:lang w:val="fr-CA"/>
              </w:rPr>
            </w:pPr>
            <w:r w:rsidRPr="006F20FF">
              <w:rPr>
                <w:rFonts w:eastAsia="Calibri"/>
                <w:sz w:val="20"/>
                <w:lang w:val="fr-CA"/>
              </w:rPr>
              <w:t>Cour suprême du Canada</w:t>
            </w:r>
          </w:p>
        </w:tc>
        <w:tc>
          <w:tcPr>
            <w:tcW w:w="243" w:type="pct"/>
          </w:tcPr>
          <w:p w:rsidR="002460DE" w:rsidRPr="006F20FF" w:rsidRDefault="002460DE" w:rsidP="00472B2D">
            <w:pPr>
              <w:jc w:val="both"/>
              <w:rPr>
                <w:rFonts w:eastAsia="Calibri"/>
                <w:sz w:val="20"/>
                <w:lang w:val="fr-CA"/>
              </w:rPr>
            </w:pPr>
          </w:p>
        </w:tc>
        <w:tc>
          <w:tcPr>
            <w:tcW w:w="2330" w:type="pct"/>
          </w:tcPr>
          <w:p w:rsidR="002460DE" w:rsidRPr="006F20FF" w:rsidRDefault="002460DE" w:rsidP="00472B2D">
            <w:pPr>
              <w:jc w:val="both"/>
              <w:rPr>
                <w:rFonts w:eastAsia="Calibri"/>
                <w:sz w:val="20"/>
                <w:lang w:val="fr-CA"/>
              </w:rPr>
            </w:pPr>
            <w:r w:rsidRPr="006F20FF">
              <w:rPr>
                <w:rFonts w:eastAsia="Calibri"/>
                <w:sz w:val="20"/>
                <w:lang w:val="fr-CA"/>
              </w:rPr>
              <w:t>Requête du demandeur en prorogation du délai de dépôt et de signification de la demande d’autorisation d’appel.</w:t>
            </w:r>
          </w:p>
        </w:tc>
      </w:tr>
    </w:tbl>
    <w:p w:rsidR="00D96800" w:rsidRPr="002460DE" w:rsidRDefault="00D96800" w:rsidP="00D96800">
      <w:pPr>
        <w:rPr>
          <w:sz w:val="20"/>
          <w:szCs w:val="20"/>
          <w:lang w:val="fr-CA"/>
        </w:rPr>
      </w:pPr>
    </w:p>
    <w:p w:rsidR="00D96800" w:rsidRDefault="006E182C" w:rsidP="00D96800">
      <w:pPr>
        <w:rPr>
          <w:sz w:val="20"/>
          <w:szCs w:val="20"/>
          <w:lang w:val="fr-CA"/>
        </w:rPr>
      </w:pPr>
      <w:r>
        <w:rPr>
          <w:sz w:val="20"/>
          <w:szCs w:val="20"/>
          <w:lang w:val="fr-CA"/>
        </w:rPr>
        <w:pict>
          <v:rect id="_x0000_i1055" style="width:2in;height:1pt" o:hrpct="0" o:hralign="center" o:hrstd="t" o:hrnoshade="t" o:hr="t" fillcolor="black [3213]" stroked="f"/>
        </w:pict>
      </w:r>
    </w:p>
    <w:p w:rsidR="00D96800" w:rsidRDefault="00D96800" w:rsidP="00D96800">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932BB" w:rsidRPr="006E182C" w:rsidTr="00D27A21">
        <w:trPr>
          <w:cantSplit/>
        </w:trPr>
        <w:tc>
          <w:tcPr>
            <w:tcW w:w="1458" w:type="dxa"/>
          </w:tcPr>
          <w:p w:rsidR="008932BB" w:rsidRPr="008932BB" w:rsidRDefault="008932BB" w:rsidP="008932BB">
            <w:pPr>
              <w:rPr>
                <w:sz w:val="20"/>
              </w:rPr>
            </w:pPr>
            <w:r w:rsidRPr="008932BB">
              <w:rPr>
                <w:b/>
                <w:sz w:val="20"/>
                <w:lang w:val="fr-CA"/>
              </w:rPr>
              <w:t>35767</w:t>
            </w:r>
          </w:p>
          <w:p w:rsidR="008932BB" w:rsidRPr="008932BB" w:rsidRDefault="008932BB" w:rsidP="008932BB">
            <w:pPr>
              <w:rPr>
                <w:b/>
                <w:sz w:val="20"/>
                <w:lang w:val="fr-CA"/>
              </w:rPr>
            </w:pPr>
          </w:p>
        </w:tc>
        <w:tc>
          <w:tcPr>
            <w:tcW w:w="8118" w:type="dxa"/>
          </w:tcPr>
          <w:p w:rsidR="008932BB" w:rsidRPr="008932BB" w:rsidRDefault="008932BB" w:rsidP="008932BB">
            <w:pPr>
              <w:rPr>
                <w:sz w:val="20"/>
                <w:lang w:val="fr-CA"/>
              </w:rPr>
            </w:pPr>
            <w:r w:rsidRPr="008932BB">
              <w:rPr>
                <w:b/>
                <w:sz w:val="20"/>
                <w:u w:val="single"/>
                <w:lang w:val="fr-CA"/>
              </w:rPr>
              <w:t>I.F. c. J.Fr</w:t>
            </w:r>
            <w:r w:rsidRPr="008932BB">
              <w:rPr>
                <w:sz w:val="20"/>
                <w:lang w:val="fr-CA"/>
              </w:rPr>
              <w:t xml:space="preserve"> (Qc) (Civile) (Autorisation)</w:t>
            </w:r>
          </w:p>
          <w:p w:rsidR="008932BB" w:rsidRPr="008932BB" w:rsidRDefault="008932BB" w:rsidP="008932BB">
            <w:pPr>
              <w:rPr>
                <w:sz w:val="20"/>
                <w:lang w:val="fr-CA"/>
              </w:rPr>
            </w:pPr>
          </w:p>
        </w:tc>
      </w:tr>
      <w:tr w:rsidR="008932BB" w:rsidRPr="006E182C" w:rsidTr="00D27A21">
        <w:trPr>
          <w:cantSplit/>
        </w:trPr>
        <w:tc>
          <w:tcPr>
            <w:tcW w:w="1458" w:type="dxa"/>
          </w:tcPr>
          <w:p w:rsidR="008932BB" w:rsidRPr="008932BB" w:rsidRDefault="008932BB" w:rsidP="008932BB">
            <w:pPr>
              <w:rPr>
                <w:sz w:val="20"/>
              </w:rPr>
            </w:pPr>
            <w:r w:rsidRPr="008932BB">
              <w:rPr>
                <w:sz w:val="20"/>
              </w:rPr>
              <w:t>Coram :</w:t>
            </w:r>
          </w:p>
        </w:tc>
        <w:tc>
          <w:tcPr>
            <w:tcW w:w="8118" w:type="dxa"/>
          </w:tcPr>
          <w:p w:rsidR="008932BB" w:rsidRPr="008932BB" w:rsidRDefault="008932BB" w:rsidP="008932BB">
            <w:pPr>
              <w:rPr>
                <w:sz w:val="20"/>
                <w:lang w:val="fr-CA"/>
              </w:rPr>
            </w:pPr>
            <w:r w:rsidRPr="008932BB">
              <w:rPr>
                <w:sz w:val="20"/>
                <w:u w:val="single"/>
                <w:lang w:val="fr-CA"/>
              </w:rPr>
              <w:t>Les juges LeBel, Karakatsanis et Wagner</w:t>
            </w:r>
          </w:p>
          <w:p w:rsidR="008932BB" w:rsidRPr="008932BB" w:rsidRDefault="008932BB" w:rsidP="008932BB">
            <w:pPr>
              <w:rPr>
                <w:sz w:val="20"/>
                <w:u w:val="single"/>
                <w:lang w:val="fr-CA"/>
              </w:rPr>
            </w:pPr>
          </w:p>
        </w:tc>
      </w:tr>
      <w:tr w:rsidR="008932BB" w:rsidRPr="008932BB" w:rsidTr="00D27A21">
        <w:trPr>
          <w:cantSplit/>
        </w:trPr>
        <w:tc>
          <w:tcPr>
            <w:tcW w:w="9576" w:type="dxa"/>
            <w:gridSpan w:val="2"/>
          </w:tcPr>
          <w:p w:rsidR="008932BB" w:rsidRPr="008932BB" w:rsidRDefault="008932BB" w:rsidP="008932BB">
            <w:pPr>
              <w:ind w:firstLine="720"/>
              <w:jc w:val="both"/>
              <w:rPr>
                <w:sz w:val="20"/>
                <w:lang w:val="fr-CA"/>
              </w:rPr>
            </w:pPr>
            <w:r w:rsidRPr="008932BB">
              <w:rPr>
                <w:sz w:val="20"/>
                <w:lang w:val="fr-CA"/>
              </w:rPr>
              <w:t>La demande d’autorisation d’appel de l’arrêt de la Cour d’appel du Québec (Montréal), numéro 500-09-023748-130, 2014 QCCA 104, daté du 16 janvier 2014, est rejetée avec dépens.</w:t>
            </w:r>
          </w:p>
          <w:p w:rsidR="008932BB" w:rsidRPr="008932BB" w:rsidRDefault="008932BB" w:rsidP="008932BB">
            <w:pPr>
              <w:jc w:val="both"/>
              <w:rPr>
                <w:sz w:val="20"/>
                <w:lang w:val="fr-CA"/>
              </w:rPr>
            </w:pPr>
          </w:p>
          <w:p w:rsidR="008932BB" w:rsidRPr="008932BB" w:rsidRDefault="008932BB" w:rsidP="008932BB">
            <w:pPr>
              <w:ind w:firstLine="720"/>
              <w:jc w:val="both"/>
              <w:rPr>
                <w:sz w:val="20"/>
              </w:rPr>
            </w:pPr>
            <w:r w:rsidRPr="008932BB">
              <w:rPr>
                <w:sz w:val="20"/>
              </w:rPr>
              <w:t>The application for leave to appeal from the judgment of the Court of Appeal of Quebec (Montréal), Number 500-09-023748-130, 2014 QCCA 104, dated January 16, 2014, is dismissed with costs.</w:t>
            </w:r>
          </w:p>
        </w:tc>
      </w:tr>
    </w:tbl>
    <w:p w:rsidR="00D96800" w:rsidRDefault="00D96800" w:rsidP="000E2959">
      <w:pPr>
        <w:rPr>
          <w:sz w:val="20"/>
          <w:szCs w:val="20"/>
        </w:rPr>
      </w:pPr>
    </w:p>
    <w:p w:rsidR="00D96800" w:rsidRPr="001B157C" w:rsidRDefault="00D96800" w:rsidP="00D96800">
      <w:pPr>
        <w:rPr>
          <w:sz w:val="20"/>
          <w:szCs w:val="20"/>
          <w:u w:val="single"/>
        </w:rPr>
      </w:pPr>
      <w:r w:rsidRPr="001B157C">
        <w:rPr>
          <w:sz w:val="20"/>
          <w:szCs w:val="20"/>
          <w:u w:val="single"/>
        </w:rPr>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F20FF" w:rsidTr="00472B2D">
        <w:tc>
          <w:tcPr>
            <w:tcW w:w="5000" w:type="pct"/>
            <w:gridSpan w:val="3"/>
          </w:tcPr>
          <w:p w:rsidR="0096768C" w:rsidRPr="006F20FF" w:rsidRDefault="0096768C" w:rsidP="00472B2D">
            <w:pPr>
              <w:jc w:val="both"/>
              <w:rPr>
                <w:rFonts w:eastAsia="Calibri"/>
                <w:smallCaps/>
                <w:sz w:val="20"/>
              </w:rPr>
            </w:pPr>
            <w:r w:rsidRPr="006F20FF">
              <w:rPr>
                <w:rFonts w:eastAsia="Calibri"/>
                <w:smallCaps/>
                <w:sz w:val="20"/>
              </w:rPr>
              <w:t>(Publication Ban in Case) (Publication Ban on Party)</w:t>
            </w:r>
          </w:p>
          <w:p w:rsidR="0096768C" w:rsidRPr="006F20FF" w:rsidRDefault="0096768C" w:rsidP="00472B2D">
            <w:pPr>
              <w:jc w:val="both"/>
              <w:rPr>
                <w:rFonts w:eastAsia="Calibri"/>
                <w:sz w:val="20"/>
              </w:rPr>
            </w:pPr>
          </w:p>
          <w:p w:rsidR="0096768C" w:rsidRPr="006F20FF" w:rsidRDefault="0096768C" w:rsidP="00472B2D">
            <w:pPr>
              <w:jc w:val="both"/>
              <w:rPr>
                <w:rFonts w:eastAsia="Calibri"/>
                <w:sz w:val="20"/>
              </w:rPr>
            </w:pPr>
            <w:r w:rsidRPr="006F20FF">
              <w:rPr>
                <w:rFonts w:eastAsia="Calibri"/>
                <w:sz w:val="20"/>
              </w:rPr>
              <w:t>Family law – Divorce – Corollary relief – Whether judges below made errors warranting intervention of Supreme Court of Canada – Whether trial judge biased against applicant.</w:t>
            </w:r>
          </w:p>
        </w:tc>
      </w:tr>
      <w:tr w:rsidR="0096768C" w:rsidRPr="006F20FF" w:rsidTr="00472B2D">
        <w:tc>
          <w:tcPr>
            <w:tcW w:w="5000" w:type="pct"/>
            <w:gridSpan w:val="3"/>
          </w:tcPr>
          <w:p w:rsidR="0096768C" w:rsidRPr="006F20FF" w:rsidRDefault="0096768C" w:rsidP="00472B2D">
            <w:pPr>
              <w:jc w:val="both"/>
              <w:rPr>
                <w:rFonts w:eastAsia="Calibri"/>
                <w:sz w:val="20"/>
              </w:rPr>
            </w:pPr>
          </w:p>
        </w:tc>
      </w:tr>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The parties married in 2001 and then had a child.  They ceased living together in 2008 and began divorce proceedings in 2009.  In 2013, Lefèbvre J. of the Quebec Superior Court granted a divorce, confirmed a partial agreement on custody of the child, ordered the partition of the family patrimony and partnership of acquests, ordered the respondent to pay child support and dismissed the applicant’s claims for a compensatory allowance and support.  The judge ordered the respondent to pay interest and an additional indemnity, but only as of two years before the judgment.</w:t>
            </w:r>
          </w:p>
          <w:p w:rsidR="0096768C" w:rsidRPr="006F20FF" w:rsidRDefault="0096768C" w:rsidP="00472B2D">
            <w:pPr>
              <w:jc w:val="both"/>
              <w:rPr>
                <w:rFonts w:eastAsia="Calibri"/>
                <w:sz w:val="20"/>
              </w:rPr>
            </w:pPr>
          </w:p>
          <w:p w:rsidR="0096768C" w:rsidRPr="006F20FF" w:rsidRDefault="0096768C" w:rsidP="00472B2D">
            <w:pPr>
              <w:jc w:val="both"/>
              <w:rPr>
                <w:rFonts w:eastAsia="Calibri"/>
                <w:sz w:val="20"/>
              </w:rPr>
            </w:pPr>
            <w:r w:rsidRPr="006F20FF">
              <w:rPr>
                <w:rFonts w:eastAsia="Calibri"/>
                <w:sz w:val="20"/>
              </w:rPr>
              <w:t>On appeal, the applicant raised grounds related to the partition of the family patrimony and partnership of acquests, support and the compensatory allowance and also sought leave to adduce indispensable new evidence to establish the precarious nature of her employment and the respondent’s real income.  The Quebec Court of Appeal dismissed the motion for new evidence and the appeal.  With regard to the appeal, it found that, in light of the applicable standard for intervention, the applicant had failed to establish a palpable and overriding error warranting its intervention.  The Court of Appeal also stated that the applicant’s allegations of bias by the trial judge were unfounded.</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June 14, 2013</w:t>
            </w:r>
          </w:p>
          <w:p w:rsidR="0096768C" w:rsidRPr="006F20FF" w:rsidRDefault="0096768C" w:rsidP="00472B2D">
            <w:pPr>
              <w:jc w:val="both"/>
              <w:rPr>
                <w:rFonts w:eastAsia="Calibri"/>
                <w:sz w:val="20"/>
              </w:rPr>
            </w:pPr>
            <w:r w:rsidRPr="006F20FF">
              <w:rPr>
                <w:rFonts w:eastAsia="Calibri"/>
                <w:sz w:val="20"/>
              </w:rPr>
              <w:t>Quebec Superior Court</w:t>
            </w:r>
          </w:p>
          <w:p w:rsidR="0096768C" w:rsidRPr="006F20FF" w:rsidRDefault="0096768C" w:rsidP="00472B2D">
            <w:pPr>
              <w:jc w:val="both"/>
              <w:rPr>
                <w:rFonts w:eastAsia="Calibri"/>
                <w:sz w:val="20"/>
              </w:rPr>
            </w:pPr>
            <w:r w:rsidRPr="006F20FF">
              <w:rPr>
                <w:rFonts w:eastAsia="Calibri"/>
                <w:sz w:val="20"/>
              </w:rPr>
              <w:t>(Lefèbvre J.)</w:t>
            </w:r>
          </w:p>
          <w:p w:rsidR="0096768C" w:rsidRPr="006F20FF" w:rsidRDefault="006E182C" w:rsidP="00472B2D">
            <w:pPr>
              <w:jc w:val="both"/>
              <w:rPr>
                <w:rFonts w:eastAsia="Calibri"/>
                <w:sz w:val="20"/>
              </w:rPr>
            </w:pPr>
            <w:hyperlink r:id="rId36" w:history="1">
              <w:r w:rsidR="0096768C" w:rsidRPr="006F20FF">
                <w:rPr>
                  <w:rFonts w:eastAsia="Calibri"/>
                  <w:color w:val="0000FF"/>
                  <w:sz w:val="20"/>
                  <w:u w:val="single"/>
                </w:rPr>
                <w:t>2013 QCCS 2719</w:t>
              </w:r>
            </w:hyperlink>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 xml:space="preserve">Divorce proceeding allowed; corollary relief order made </w:t>
            </w: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January 16, 2014</w:t>
            </w:r>
          </w:p>
          <w:p w:rsidR="0096768C" w:rsidRPr="006F20FF" w:rsidRDefault="0096768C" w:rsidP="00472B2D">
            <w:pPr>
              <w:jc w:val="both"/>
              <w:rPr>
                <w:rFonts w:eastAsia="Calibri"/>
                <w:sz w:val="20"/>
              </w:rPr>
            </w:pPr>
            <w:r w:rsidRPr="006F20FF">
              <w:rPr>
                <w:rFonts w:eastAsia="Calibri"/>
                <w:sz w:val="20"/>
              </w:rPr>
              <w:t>Quebec Court of Appeal (Montréal)</w:t>
            </w:r>
          </w:p>
          <w:p w:rsidR="0096768C" w:rsidRPr="006F20FF" w:rsidRDefault="0096768C" w:rsidP="00472B2D">
            <w:pPr>
              <w:jc w:val="both"/>
              <w:rPr>
                <w:rFonts w:eastAsia="Calibri"/>
                <w:sz w:val="20"/>
              </w:rPr>
            </w:pPr>
            <w:r w:rsidRPr="006F20FF">
              <w:rPr>
                <w:rFonts w:eastAsia="Calibri"/>
                <w:sz w:val="20"/>
              </w:rPr>
              <w:t>(Doyon, Kasirer and Gagnon JJ.A.)</w:t>
            </w:r>
          </w:p>
          <w:p w:rsidR="0096768C" w:rsidRPr="006F20FF" w:rsidRDefault="006E182C" w:rsidP="00472B2D">
            <w:pPr>
              <w:jc w:val="both"/>
              <w:rPr>
                <w:rFonts w:eastAsia="Calibri"/>
                <w:sz w:val="20"/>
              </w:rPr>
            </w:pPr>
            <w:hyperlink r:id="rId37" w:history="1">
              <w:r w:rsidR="0096768C" w:rsidRPr="006F20FF">
                <w:rPr>
                  <w:rFonts w:eastAsia="Calibri"/>
                  <w:color w:val="0000FF"/>
                  <w:sz w:val="20"/>
                  <w:u w:val="single"/>
                </w:rPr>
                <w:t>2014 QCCA 104</w:t>
              </w:r>
            </w:hyperlink>
            <w:r w:rsidR="0096768C" w:rsidRPr="006F20FF">
              <w:rPr>
                <w:rFonts w:eastAsia="Calibri"/>
                <w:sz w:val="20"/>
              </w:rPr>
              <w:t>; 500-09-023748-130</w:t>
            </w:r>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Motion for leave to adduce indispensable new evidence dismissed; appeal dismissed</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March 17, 2014</w:t>
            </w:r>
          </w:p>
          <w:p w:rsidR="0096768C" w:rsidRPr="006F20FF" w:rsidRDefault="0096768C" w:rsidP="00472B2D">
            <w:pPr>
              <w:jc w:val="both"/>
              <w:rPr>
                <w:rFonts w:eastAsia="Calibri"/>
                <w:sz w:val="20"/>
              </w:rPr>
            </w:pPr>
            <w:r w:rsidRPr="006F20FF">
              <w:rPr>
                <w:rFonts w:eastAsia="Calibri"/>
                <w:sz w:val="20"/>
              </w:rPr>
              <w:t>Supreme Court of Canada</w:t>
            </w: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Application for leave to appeal filed</w:t>
            </w: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56" style="width:2in;height:1pt" o:hrpct="0" o:hralign="center" o:hrstd="t" o:hrnoshade="t" o:hr="t" fillcolor="black [3213]" stroked="f"/>
        </w:pict>
      </w:r>
    </w:p>
    <w:p w:rsidR="002137EF" w:rsidRDefault="002137EF">
      <w:pPr>
        <w:rPr>
          <w:sz w:val="20"/>
          <w:szCs w:val="20"/>
          <w:u w:val="single"/>
          <w:lang w:val="fr-CA"/>
        </w:rPr>
      </w:pPr>
      <w:r>
        <w:rPr>
          <w:sz w:val="20"/>
          <w:szCs w:val="20"/>
          <w:u w:val="single"/>
          <w:lang w:val="fr-CA"/>
        </w:rPr>
        <w:br w:type="page"/>
      </w:r>
    </w:p>
    <w:p w:rsidR="00D96800" w:rsidRPr="001B157C" w:rsidRDefault="00D96800" w:rsidP="00D96800">
      <w:pPr>
        <w:rPr>
          <w:sz w:val="20"/>
          <w:szCs w:val="20"/>
          <w:u w:val="single"/>
          <w:lang w:val="fr-CA"/>
        </w:rPr>
      </w:pPr>
      <w:r w:rsidRPr="001B157C">
        <w:rPr>
          <w:sz w:val="20"/>
          <w:szCs w:val="20"/>
          <w:u w:val="single"/>
          <w:lang w:val="fr-CA"/>
        </w:rPr>
        <w:lastRenderedPageBreak/>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E182C" w:rsidTr="00472B2D">
        <w:tc>
          <w:tcPr>
            <w:tcW w:w="5000" w:type="pct"/>
            <w:gridSpan w:val="3"/>
          </w:tcPr>
          <w:p w:rsidR="0096768C" w:rsidRPr="006F20FF" w:rsidRDefault="0096768C" w:rsidP="00472B2D">
            <w:pPr>
              <w:jc w:val="both"/>
              <w:rPr>
                <w:rFonts w:eastAsia="Calibri"/>
                <w:smallCaps/>
                <w:sz w:val="20"/>
                <w:lang w:val="fr-CA"/>
              </w:rPr>
            </w:pPr>
            <w:r w:rsidRPr="006F20FF">
              <w:rPr>
                <w:rFonts w:eastAsia="Calibri"/>
                <w:smallCaps/>
                <w:sz w:val="20"/>
                <w:lang w:val="fr-CA"/>
              </w:rPr>
              <w:t>(Ordonnance de non-publication dans le dossier) (Ordonnance de non-publication visant une partie)</w:t>
            </w:r>
          </w:p>
          <w:p w:rsidR="0096768C" w:rsidRPr="006F20FF" w:rsidRDefault="0096768C" w:rsidP="00472B2D">
            <w:pPr>
              <w:jc w:val="both"/>
              <w:rPr>
                <w:rFonts w:eastAsia="Calibri"/>
                <w:sz w:val="20"/>
                <w:lang w:val="fr-CA"/>
              </w:rPr>
            </w:pPr>
          </w:p>
          <w:p w:rsidR="0096768C" w:rsidRPr="006F20FF" w:rsidRDefault="0096768C" w:rsidP="00472B2D">
            <w:pPr>
              <w:jc w:val="both"/>
              <w:rPr>
                <w:rFonts w:eastAsia="Calibri"/>
                <w:sz w:val="20"/>
                <w:lang w:val="fr-CA"/>
              </w:rPr>
            </w:pPr>
            <w:r w:rsidRPr="006F20FF">
              <w:rPr>
                <w:rFonts w:eastAsia="Calibri"/>
                <w:sz w:val="20"/>
                <w:lang w:val="fr-CA"/>
              </w:rPr>
              <w:t>Droit de la famille – Divorce – Mesures accessoires – Les juges des instances inférieures ont-ils commis des erreurs justifiant l’intervention de la Cour suprême du Canada? – Le juge de première instance a-t-il fait preuve de partialité à l’endroit de la demanderesse?</w:t>
            </w:r>
          </w:p>
        </w:tc>
      </w:tr>
      <w:tr w:rsidR="0096768C" w:rsidRPr="006E182C" w:rsidTr="00472B2D">
        <w:tc>
          <w:tcPr>
            <w:tcW w:w="5000" w:type="pct"/>
            <w:gridSpan w:val="3"/>
          </w:tcPr>
          <w:p w:rsidR="0096768C" w:rsidRPr="006F20FF" w:rsidRDefault="0096768C" w:rsidP="00472B2D">
            <w:pPr>
              <w:jc w:val="both"/>
              <w:rPr>
                <w:rFonts w:eastAsia="Calibri"/>
                <w:sz w:val="20"/>
                <w:lang w:val="fr-CA"/>
              </w:rPr>
            </w:pPr>
          </w:p>
        </w:tc>
      </w:tr>
      <w:tr w:rsidR="0096768C" w:rsidRPr="006E182C"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Les parties se marient en 2001 puis ont un enfant.  En 2008, elles cessent de faire vie commune et, en 2009, entreprennent des procédures de divorce.  En 2013, le juge Lefèbvre de la Cour supérieure du Québec prononce le divorce, entérine une entente partielle sur la garde de l’enfant, ordonne le partage du patrimoine familial et de la société d’acquêts, ordonne à l’intimé de payer une pension alimentaire pour l’enfant, et rejette les demandes de la demanderesse pour une prestation compensatoire et pour une pension alimentaire.  Le juge condamne l’intimé au paiement des intérêts et de l’indemnité additionnelle, mais uniquement à compter des deux ans précédant le jugement. </w:t>
            </w:r>
          </w:p>
          <w:p w:rsidR="0096768C" w:rsidRPr="006F20FF" w:rsidRDefault="0096768C" w:rsidP="00472B2D">
            <w:pPr>
              <w:jc w:val="both"/>
              <w:rPr>
                <w:rFonts w:eastAsia="Calibri"/>
                <w:sz w:val="20"/>
                <w:lang w:val="fr-CA"/>
              </w:rPr>
            </w:pPr>
          </w:p>
          <w:p w:rsidR="0096768C" w:rsidRPr="006F20FF" w:rsidRDefault="0096768C" w:rsidP="00472B2D">
            <w:pPr>
              <w:jc w:val="both"/>
              <w:rPr>
                <w:rFonts w:eastAsia="Calibri"/>
                <w:sz w:val="20"/>
                <w:lang w:val="fr-CA"/>
              </w:rPr>
            </w:pPr>
            <w:r w:rsidRPr="006F20FF">
              <w:rPr>
                <w:rFonts w:eastAsia="Calibri"/>
                <w:sz w:val="20"/>
                <w:lang w:val="fr-CA"/>
              </w:rPr>
              <w:t>En appel, la demanderesse soulève des moyens concernant le partage du patrimoine familial et la société d’acquêts, les pensions alimentaires et la prestation compensatoire, et demande en outre la permission de présenter une nouvelle preuve indispensable pour établir le caractère précaire de son emploi ainsi que les véritables revenus de l’intimé.  La Cour d’appel du Québec rejette la requête pour nouvelle preuve ainsi que l’appel.  Quant à ce dernier, elle estime qu’eu égard à la norme d’intervention applicable, la demanderesse n’a pas réussi à faire la preuve d’une erreur manifeste et déterminante qui justifierait son intervention.  La Cour d’appel précise aussi que les allégations de la demanderesse selon lesquelles le juge de première instance aurait fait preuve de partialité sont sans fondement.</w:t>
            </w:r>
          </w:p>
          <w:p w:rsidR="0096768C" w:rsidRPr="006F20FF" w:rsidRDefault="0096768C" w:rsidP="00472B2D">
            <w:pPr>
              <w:jc w:val="both"/>
              <w:rPr>
                <w:rFonts w:eastAsia="Calibri"/>
                <w:sz w:val="20"/>
                <w:lang w:val="fr-CA"/>
              </w:rPr>
            </w:pPr>
          </w:p>
        </w:tc>
      </w:tr>
      <w:tr w:rsidR="0096768C" w:rsidRPr="006E182C" w:rsidTr="00472B2D">
        <w:tc>
          <w:tcPr>
            <w:tcW w:w="2427" w:type="pct"/>
          </w:tcPr>
          <w:p w:rsidR="0096768C" w:rsidRPr="006F20FF" w:rsidRDefault="0096768C" w:rsidP="00472B2D">
            <w:pPr>
              <w:jc w:val="both"/>
              <w:rPr>
                <w:rFonts w:eastAsia="Calibri"/>
                <w:sz w:val="20"/>
                <w:lang w:val="fr-CA"/>
              </w:rPr>
            </w:pPr>
            <w:r w:rsidRPr="006F20FF">
              <w:rPr>
                <w:rFonts w:eastAsia="Calibri"/>
                <w:sz w:val="20"/>
                <w:lang w:val="fr-CA"/>
              </w:rPr>
              <w:t>Le 14 juin 2013</w:t>
            </w:r>
          </w:p>
          <w:p w:rsidR="0096768C" w:rsidRPr="006F20FF" w:rsidRDefault="0096768C" w:rsidP="00472B2D">
            <w:pPr>
              <w:jc w:val="both"/>
              <w:rPr>
                <w:rFonts w:eastAsia="Calibri"/>
                <w:sz w:val="20"/>
                <w:lang w:val="fr-CA"/>
              </w:rPr>
            </w:pPr>
            <w:r w:rsidRPr="006F20FF">
              <w:rPr>
                <w:rFonts w:eastAsia="Calibri"/>
                <w:sz w:val="20"/>
                <w:lang w:val="fr-CA"/>
              </w:rPr>
              <w:t>Cour supérieure du Québec</w:t>
            </w:r>
          </w:p>
          <w:p w:rsidR="0096768C" w:rsidRPr="006F20FF" w:rsidRDefault="0096768C" w:rsidP="00472B2D">
            <w:pPr>
              <w:jc w:val="both"/>
              <w:rPr>
                <w:rFonts w:eastAsia="Calibri"/>
                <w:sz w:val="20"/>
                <w:lang w:val="fr-CA"/>
              </w:rPr>
            </w:pPr>
            <w:r w:rsidRPr="006F20FF">
              <w:rPr>
                <w:rFonts w:eastAsia="Calibri"/>
                <w:sz w:val="20"/>
                <w:lang w:val="fr-CA"/>
              </w:rPr>
              <w:t>(Le juge Lefèbvre)</w:t>
            </w:r>
          </w:p>
          <w:p w:rsidR="0096768C" w:rsidRPr="006F20FF" w:rsidRDefault="006E182C" w:rsidP="00472B2D">
            <w:pPr>
              <w:jc w:val="both"/>
              <w:rPr>
                <w:rFonts w:eastAsia="Calibri"/>
                <w:sz w:val="20"/>
                <w:lang w:val="fr-CA"/>
              </w:rPr>
            </w:pPr>
            <w:hyperlink r:id="rId38" w:history="1">
              <w:r w:rsidR="0096768C" w:rsidRPr="006F20FF">
                <w:rPr>
                  <w:rFonts w:eastAsia="Calibri"/>
                  <w:color w:val="0000FF"/>
                  <w:sz w:val="20"/>
                  <w:u w:val="single"/>
                  <w:lang w:val="fr-CA"/>
                </w:rPr>
                <w:t>2013 QCCS 2719</w:t>
              </w:r>
            </w:hyperlink>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 xml:space="preserve">Action en divorce accueillie; ordonnance concernant les mesures accessoires prononcée </w:t>
            </w:r>
          </w:p>
        </w:tc>
      </w:tr>
      <w:tr w:rsidR="0096768C" w:rsidRPr="006E182C" w:rsidTr="00472B2D">
        <w:tc>
          <w:tcPr>
            <w:tcW w:w="2427" w:type="pct"/>
          </w:tcPr>
          <w:p w:rsidR="0096768C" w:rsidRPr="006F20FF" w:rsidRDefault="0096768C" w:rsidP="00472B2D">
            <w:pPr>
              <w:jc w:val="both"/>
              <w:rPr>
                <w:rFonts w:eastAsia="Calibri"/>
                <w:sz w:val="20"/>
                <w:lang w:val="fr-CA"/>
              </w:rPr>
            </w:pPr>
            <w:r w:rsidRPr="006F20FF">
              <w:rPr>
                <w:rFonts w:eastAsia="Calibri"/>
                <w:sz w:val="20"/>
                <w:lang w:val="fr-CA"/>
              </w:rPr>
              <w:t>Le 16 janvier 2014</w:t>
            </w:r>
          </w:p>
          <w:p w:rsidR="0096768C" w:rsidRPr="006F20FF" w:rsidRDefault="0096768C" w:rsidP="00472B2D">
            <w:pPr>
              <w:jc w:val="both"/>
              <w:rPr>
                <w:rFonts w:eastAsia="Calibri"/>
                <w:sz w:val="20"/>
                <w:lang w:val="fr-CA"/>
              </w:rPr>
            </w:pPr>
            <w:r w:rsidRPr="006F20FF">
              <w:rPr>
                <w:rFonts w:eastAsia="Calibri"/>
                <w:sz w:val="20"/>
                <w:lang w:val="fr-CA"/>
              </w:rPr>
              <w:t>Cour d’appel du Québec (Montréal)</w:t>
            </w:r>
          </w:p>
          <w:p w:rsidR="0096768C" w:rsidRPr="006F20FF" w:rsidRDefault="0096768C" w:rsidP="00472B2D">
            <w:pPr>
              <w:jc w:val="both"/>
              <w:rPr>
                <w:rFonts w:eastAsia="Calibri"/>
                <w:sz w:val="20"/>
                <w:lang w:val="fr-CA"/>
              </w:rPr>
            </w:pPr>
            <w:r w:rsidRPr="006F20FF">
              <w:rPr>
                <w:rFonts w:eastAsia="Calibri"/>
                <w:sz w:val="20"/>
                <w:lang w:val="fr-CA"/>
              </w:rPr>
              <w:t>(Les juges Doyon, Kasirer et Gagnon)</w:t>
            </w:r>
          </w:p>
          <w:p w:rsidR="0096768C" w:rsidRPr="006F20FF" w:rsidRDefault="006E182C" w:rsidP="00472B2D">
            <w:pPr>
              <w:jc w:val="both"/>
              <w:rPr>
                <w:rFonts w:eastAsia="Calibri"/>
                <w:sz w:val="20"/>
                <w:lang w:val="fr-CA"/>
              </w:rPr>
            </w:pPr>
            <w:hyperlink r:id="rId39" w:history="1">
              <w:r w:rsidR="0096768C" w:rsidRPr="006F20FF">
                <w:rPr>
                  <w:rFonts w:eastAsia="Calibri"/>
                  <w:color w:val="0000FF"/>
                  <w:sz w:val="20"/>
                  <w:u w:val="single"/>
                  <w:lang w:val="fr-CA"/>
                </w:rPr>
                <w:t>2014 QCCA 104</w:t>
              </w:r>
            </w:hyperlink>
            <w:r w:rsidR="0096768C" w:rsidRPr="006F20FF">
              <w:rPr>
                <w:rFonts w:eastAsia="Calibri"/>
                <w:sz w:val="20"/>
                <w:lang w:val="fr-CA"/>
              </w:rPr>
              <w:t>; 500-09-023748-130</w:t>
            </w:r>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Requête pour permission de présenter une preuve nouvelle indispensable rejetée; appel rejeté</w:t>
            </w:r>
          </w:p>
          <w:p w:rsidR="0096768C" w:rsidRPr="006F20FF" w:rsidRDefault="0096768C" w:rsidP="00472B2D">
            <w:pPr>
              <w:jc w:val="both"/>
              <w:rPr>
                <w:rFonts w:eastAsia="Calibri"/>
                <w:sz w:val="20"/>
                <w:lang w:val="fr-CA"/>
              </w:rPr>
            </w:pPr>
          </w:p>
        </w:tc>
      </w:tr>
      <w:tr w:rsidR="0096768C" w:rsidRPr="006F20FF" w:rsidTr="00472B2D">
        <w:tc>
          <w:tcPr>
            <w:tcW w:w="2427" w:type="pct"/>
          </w:tcPr>
          <w:p w:rsidR="0096768C" w:rsidRPr="006F20FF" w:rsidRDefault="0096768C" w:rsidP="00472B2D">
            <w:pPr>
              <w:jc w:val="both"/>
              <w:rPr>
                <w:rFonts w:eastAsia="Calibri"/>
                <w:sz w:val="20"/>
                <w:lang w:val="fr-CA"/>
              </w:rPr>
            </w:pPr>
            <w:r w:rsidRPr="006F20FF">
              <w:rPr>
                <w:rFonts w:eastAsia="Calibri"/>
                <w:sz w:val="20"/>
                <w:lang w:val="fr-CA"/>
              </w:rPr>
              <w:t>Le 17 mars 2014</w:t>
            </w:r>
          </w:p>
          <w:p w:rsidR="0096768C" w:rsidRPr="006F20FF" w:rsidRDefault="0096768C" w:rsidP="00472B2D">
            <w:pPr>
              <w:jc w:val="both"/>
              <w:rPr>
                <w:rFonts w:eastAsia="Calibri"/>
                <w:sz w:val="20"/>
                <w:lang w:val="fr-CA"/>
              </w:rPr>
            </w:pPr>
            <w:r w:rsidRPr="006F20FF">
              <w:rPr>
                <w:rFonts w:eastAsia="Calibri"/>
                <w:sz w:val="20"/>
                <w:lang w:val="fr-CA"/>
              </w:rPr>
              <w:t>Cour suprême du Canada</w:t>
            </w:r>
          </w:p>
        </w:tc>
        <w:tc>
          <w:tcPr>
            <w:tcW w:w="243" w:type="pct"/>
          </w:tcPr>
          <w:p w:rsidR="0096768C" w:rsidRPr="006F20FF" w:rsidRDefault="0096768C" w:rsidP="00472B2D">
            <w:pPr>
              <w:jc w:val="both"/>
              <w:rPr>
                <w:rFonts w:eastAsia="Calibri"/>
                <w:sz w:val="20"/>
                <w:lang w:val="fr-FR"/>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Demande d'autorisation d'appel déposée</w:t>
            </w:r>
          </w:p>
          <w:p w:rsidR="0096768C" w:rsidRPr="006F20FF" w:rsidRDefault="0096768C" w:rsidP="00472B2D">
            <w:pPr>
              <w:jc w:val="both"/>
              <w:rPr>
                <w:rFonts w:eastAsia="Calibri"/>
                <w:sz w:val="20"/>
                <w:lang w:val="fr-CA"/>
              </w:rPr>
            </w:pPr>
          </w:p>
        </w:tc>
      </w:tr>
    </w:tbl>
    <w:p w:rsidR="00D96800" w:rsidRDefault="00D96800" w:rsidP="00D96800">
      <w:pPr>
        <w:rPr>
          <w:sz w:val="20"/>
          <w:szCs w:val="20"/>
        </w:rPr>
      </w:pPr>
    </w:p>
    <w:p w:rsidR="00D96800" w:rsidRDefault="006E182C" w:rsidP="00D96800">
      <w:pPr>
        <w:rPr>
          <w:sz w:val="20"/>
          <w:szCs w:val="20"/>
          <w:lang w:val="fr-CA"/>
        </w:rPr>
      </w:pPr>
      <w:r>
        <w:rPr>
          <w:sz w:val="20"/>
          <w:szCs w:val="20"/>
          <w:lang w:val="fr-CA"/>
        </w:rPr>
        <w:pict>
          <v:rect id="_x0000_i1057" style="width:2in;height:1pt" o:hrpct="0" o:hralign="center" o:hrstd="t" o:hrnoshade="t" o:hr="t" fillcolor="black [3213]" stroked="f"/>
        </w:pict>
      </w:r>
    </w:p>
    <w:p w:rsidR="00D96800" w:rsidRDefault="00D96800" w:rsidP="00D96800">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932BB" w:rsidRPr="008932BB" w:rsidTr="00D27A21">
        <w:trPr>
          <w:cantSplit/>
        </w:trPr>
        <w:tc>
          <w:tcPr>
            <w:tcW w:w="1458" w:type="dxa"/>
          </w:tcPr>
          <w:p w:rsidR="008932BB" w:rsidRPr="008932BB" w:rsidRDefault="008932BB" w:rsidP="008932BB">
            <w:pPr>
              <w:rPr>
                <w:sz w:val="20"/>
              </w:rPr>
            </w:pPr>
            <w:r w:rsidRPr="008932BB">
              <w:rPr>
                <w:b/>
                <w:sz w:val="20"/>
                <w:lang w:val="fr-CA"/>
              </w:rPr>
              <w:t>35771</w:t>
            </w:r>
          </w:p>
          <w:p w:rsidR="008932BB" w:rsidRPr="008932BB" w:rsidRDefault="008932BB" w:rsidP="008932BB">
            <w:pPr>
              <w:rPr>
                <w:b/>
                <w:sz w:val="20"/>
                <w:lang w:val="fr-CA"/>
              </w:rPr>
            </w:pPr>
          </w:p>
        </w:tc>
        <w:tc>
          <w:tcPr>
            <w:tcW w:w="8118" w:type="dxa"/>
          </w:tcPr>
          <w:p w:rsidR="008932BB" w:rsidRPr="008932BB" w:rsidRDefault="008932BB" w:rsidP="008932BB">
            <w:pPr>
              <w:rPr>
                <w:sz w:val="20"/>
              </w:rPr>
            </w:pPr>
            <w:r w:rsidRPr="008932BB">
              <w:rPr>
                <w:b/>
                <w:sz w:val="20"/>
                <w:u w:val="single"/>
              </w:rPr>
              <w:t>Salvatore C. Vivona v. Royal Bank of Canada</w:t>
            </w:r>
            <w:r w:rsidRPr="008932BB">
              <w:rPr>
                <w:sz w:val="20"/>
              </w:rPr>
              <w:t xml:space="preserve"> (Ont.) (Civil) (By Leave)</w:t>
            </w:r>
          </w:p>
          <w:p w:rsidR="008932BB" w:rsidRPr="008932BB" w:rsidRDefault="008932BB" w:rsidP="008932BB">
            <w:pPr>
              <w:rPr>
                <w:sz w:val="20"/>
              </w:rPr>
            </w:pPr>
          </w:p>
        </w:tc>
      </w:tr>
      <w:tr w:rsidR="008932BB" w:rsidRPr="008932BB" w:rsidTr="00D27A21">
        <w:trPr>
          <w:cantSplit/>
        </w:trPr>
        <w:tc>
          <w:tcPr>
            <w:tcW w:w="1458" w:type="dxa"/>
          </w:tcPr>
          <w:p w:rsidR="008932BB" w:rsidRPr="008932BB" w:rsidRDefault="008932BB" w:rsidP="008932BB">
            <w:pPr>
              <w:rPr>
                <w:sz w:val="20"/>
              </w:rPr>
            </w:pPr>
            <w:r w:rsidRPr="008932BB">
              <w:rPr>
                <w:sz w:val="20"/>
              </w:rPr>
              <w:t>Coram :</w:t>
            </w:r>
          </w:p>
        </w:tc>
        <w:tc>
          <w:tcPr>
            <w:tcW w:w="8118" w:type="dxa"/>
          </w:tcPr>
          <w:p w:rsidR="008932BB" w:rsidRPr="008932BB" w:rsidRDefault="008932BB" w:rsidP="008932BB">
            <w:pPr>
              <w:rPr>
                <w:sz w:val="20"/>
              </w:rPr>
            </w:pPr>
            <w:r w:rsidRPr="008932BB">
              <w:rPr>
                <w:sz w:val="20"/>
                <w:u w:val="single"/>
              </w:rPr>
              <w:t>LeBel, Karakatsanis and Wagner JJ.</w:t>
            </w:r>
          </w:p>
          <w:p w:rsidR="008932BB" w:rsidRPr="008932BB" w:rsidRDefault="008932BB" w:rsidP="008932BB">
            <w:pPr>
              <w:rPr>
                <w:sz w:val="20"/>
                <w:u w:val="single"/>
              </w:rPr>
            </w:pPr>
          </w:p>
        </w:tc>
      </w:tr>
      <w:tr w:rsidR="008932BB" w:rsidRPr="006E182C" w:rsidTr="00D27A21">
        <w:trPr>
          <w:cantSplit/>
        </w:trPr>
        <w:tc>
          <w:tcPr>
            <w:tcW w:w="9576" w:type="dxa"/>
            <w:gridSpan w:val="2"/>
          </w:tcPr>
          <w:p w:rsidR="008932BB" w:rsidRPr="008932BB" w:rsidRDefault="008932BB" w:rsidP="008932BB">
            <w:pPr>
              <w:ind w:firstLine="720"/>
              <w:jc w:val="both"/>
              <w:rPr>
                <w:sz w:val="20"/>
              </w:rPr>
            </w:pPr>
            <w:r w:rsidRPr="008932BB">
              <w:rPr>
                <w:sz w:val="20"/>
              </w:rPr>
              <w:t>The application for leave to appeal from the judgment of the Court of Appeal for Ontario, Number C56917, 2014 ONCA 38, dated January 17, 2014, is dismissed with costs.</w:t>
            </w:r>
          </w:p>
          <w:p w:rsidR="008932BB" w:rsidRPr="008932BB" w:rsidRDefault="008932BB" w:rsidP="008932BB">
            <w:pPr>
              <w:jc w:val="both"/>
              <w:rPr>
                <w:sz w:val="20"/>
              </w:rPr>
            </w:pPr>
          </w:p>
          <w:p w:rsidR="008932BB" w:rsidRPr="008932BB" w:rsidRDefault="008932BB" w:rsidP="008932BB">
            <w:pPr>
              <w:ind w:firstLine="720"/>
              <w:jc w:val="both"/>
              <w:rPr>
                <w:sz w:val="20"/>
                <w:lang w:val="fr-CA"/>
              </w:rPr>
            </w:pPr>
            <w:r w:rsidRPr="008932BB">
              <w:rPr>
                <w:sz w:val="20"/>
                <w:lang w:val="fr-CA"/>
              </w:rPr>
              <w:t>La demande d’autorisation d’appel de l’arrêt de la Cour d’appel de l’Ontario, numéro C56917, 2014 ONCA 38, daté du 17 janvier 2014, est rejetée avec dépens.</w:t>
            </w:r>
          </w:p>
        </w:tc>
      </w:tr>
    </w:tbl>
    <w:p w:rsidR="00D96800" w:rsidRPr="008932BB" w:rsidRDefault="00D96800" w:rsidP="000E2959">
      <w:pPr>
        <w:rPr>
          <w:sz w:val="20"/>
          <w:szCs w:val="20"/>
          <w:lang w:val="fr-CA"/>
        </w:rPr>
      </w:pPr>
    </w:p>
    <w:p w:rsidR="002137EF" w:rsidRPr="00BC5FE6" w:rsidRDefault="002137EF">
      <w:pPr>
        <w:rPr>
          <w:sz w:val="20"/>
          <w:szCs w:val="20"/>
          <w:u w:val="single"/>
          <w:lang w:val="fr-CA"/>
        </w:rPr>
      </w:pPr>
      <w:r w:rsidRPr="00BC5FE6">
        <w:rPr>
          <w:sz w:val="20"/>
          <w:szCs w:val="20"/>
          <w:u w:val="single"/>
          <w:lang w:val="fr-CA"/>
        </w:rPr>
        <w:br w:type="page"/>
      </w:r>
    </w:p>
    <w:p w:rsidR="00D96800" w:rsidRPr="001B157C" w:rsidRDefault="00D96800" w:rsidP="00D96800">
      <w:pPr>
        <w:rPr>
          <w:sz w:val="20"/>
          <w:szCs w:val="20"/>
          <w:u w:val="single"/>
        </w:rPr>
      </w:pPr>
      <w:r w:rsidRPr="001B157C">
        <w:rPr>
          <w:sz w:val="20"/>
          <w:szCs w:val="20"/>
          <w:u w:val="single"/>
        </w:rPr>
        <w:lastRenderedPageBreak/>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 xml:space="preserve">Commercial Law – Debtor and creditor – Statutory Interpretation – Enforceability of personal guarantee of loan to small business – Whether lender’s non-compliance with </w:t>
            </w:r>
            <w:r w:rsidRPr="006F20FF">
              <w:rPr>
                <w:rFonts w:eastAsia="Calibri"/>
                <w:i/>
                <w:sz w:val="20"/>
              </w:rPr>
              <w:t>Canada Small Business Financing Regulations</w:t>
            </w:r>
            <w:r w:rsidRPr="006F20FF">
              <w:rPr>
                <w:rFonts w:eastAsia="Calibri"/>
                <w:sz w:val="20"/>
              </w:rPr>
              <w:t>, SOR/99-141, invalidates or limits personal guarantee of a loan</w:t>
            </w:r>
          </w:p>
        </w:tc>
      </w:tr>
      <w:tr w:rsidR="0096768C" w:rsidRPr="006F20FF" w:rsidTr="00472B2D">
        <w:tc>
          <w:tcPr>
            <w:tcW w:w="5000" w:type="pct"/>
            <w:gridSpan w:val="3"/>
          </w:tcPr>
          <w:p w:rsidR="0096768C" w:rsidRPr="006F20FF" w:rsidRDefault="0096768C" w:rsidP="00472B2D">
            <w:pPr>
              <w:jc w:val="both"/>
              <w:rPr>
                <w:rFonts w:eastAsia="Calibri"/>
                <w:sz w:val="20"/>
              </w:rPr>
            </w:pPr>
          </w:p>
        </w:tc>
      </w:tr>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 xml:space="preserve">The applicant personally guaranteed a loan to a small business.  The loan was registered under the </w:t>
            </w:r>
            <w:r w:rsidRPr="006F20FF">
              <w:rPr>
                <w:rFonts w:eastAsia="Calibri"/>
                <w:i/>
                <w:sz w:val="20"/>
              </w:rPr>
              <w:t>Canada Small Business Financing Act</w:t>
            </w:r>
            <w:r w:rsidRPr="006F20FF">
              <w:rPr>
                <w:rFonts w:eastAsia="Calibri"/>
                <w:sz w:val="20"/>
              </w:rPr>
              <w:t xml:space="preserve">, S.C. 1998, c. 36.  The standard form personal guarantee used by the respondent does not adopt terms and wording required by the </w:t>
            </w:r>
            <w:r w:rsidRPr="006F20FF">
              <w:rPr>
                <w:rFonts w:eastAsia="Calibri"/>
                <w:i/>
                <w:sz w:val="20"/>
              </w:rPr>
              <w:t>Canada Small Business Financing Regulations</w:t>
            </w:r>
            <w:r w:rsidRPr="006F20FF">
              <w:rPr>
                <w:rFonts w:eastAsia="Calibri"/>
                <w:sz w:val="20"/>
              </w:rPr>
              <w:t xml:space="preserve">. Also, due to an error in registration, the respondent did not take a first ranking or enforceable security as required by the </w:t>
            </w:r>
            <w:r w:rsidRPr="006F20FF">
              <w:rPr>
                <w:rFonts w:eastAsia="Calibri"/>
                <w:i/>
                <w:sz w:val="20"/>
              </w:rPr>
              <w:t>Regulations</w:t>
            </w:r>
            <w:r w:rsidRPr="006F20FF">
              <w:rPr>
                <w:rFonts w:eastAsia="Calibri"/>
                <w:sz w:val="20"/>
              </w:rPr>
              <w:t xml:space="preserve">.  The loan went into default.  The respondent applied to the Ontario Superior Court of Justice to enforce the personal guarantee.  The applicant argued that the personal guarantee was void, unenforceable or limited because it was not compliant with the </w:t>
            </w:r>
            <w:r w:rsidRPr="006F20FF">
              <w:rPr>
                <w:rFonts w:eastAsia="Calibri"/>
                <w:i/>
                <w:sz w:val="20"/>
              </w:rPr>
              <w:t>Regulations</w:t>
            </w:r>
            <w:r w:rsidRPr="006F20FF">
              <w:rPr>
                <w:rFonts w:eastAsia="Calibri"/>
                <w:sz w:val="20"/>
              </w:rPr>
              <w:t>.  The motions judge granted summary judgment to the respondent.  The Court of Appeal dismissed an appeal.</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March 27, 2013</w:t>
            </w:r>
          </w:p>
          <w:p w:rsidR="0096768C" w:rsidRPr="006F20FF" w:rsidRDefault="0096768C" w:rsidP="00472B2D">
            <w:pPr>
              <w:jc w:val="both"/>
              <w:rPr>
                <w:rFonts w:eastAsia="Calibri"/>
                <w:sz w:val="20"/>
              </w:rPr>
            </w:pPr>
            <w:r w:rsidRPr="006F20FF">
              <w:rPr>
                <w:rFonts w:eastAsia="Calibri"/>
                <w:sz w:val="20"/>
              </w:rPr>
              <w:t>Ontario Superior Court of Justice</w:t>
            </w:r>
          </w:p>
          <w:p w:rsidR="0096768C" w:rsidRPr="006F20FF" w:rsidRDefault="0096768C" w:rsidP="00472B2D">
            <w:pPr>
              <w:jc w:val="both"/>
              <w:rPr>
                <w:rFonts w:eastAsia="Calibri"/>
                <w:sz w:val="20"/>
              </w:rPr>
            </w:pPr>
            <w:r w:rsidRPr="006F20FF">
              <w:rPr>
                <w:rFonts w:eastAsia="Calibri"/>
                <w:sz w:val="20"/>
              </w:rPr>
              <w:t>(Whitten J.)</w:t>
            </w:r>
          </w:p>
          <w:p w:rsidR="0096768C" w:rsidRPr="006F20FF" w:rsidRDefault="006E182C" w:rsidP="00472B2D">
            <w:pPr>
              <w:jc w:val="both"/>
              <w:rPr>
                <w:rFonts w:eastAsia="Calibri"/>
                <w:sz w:val="20"/>
              </w:rPr>
            </w:pPr>
            <w:hyperlink r:id="rId40" w:history="1">
              <w:r w:rsidR="0096768C" w:rsidRPr="006F20FF">
                <w:rPr>
                  <w:rFonts w:eastAsia="Calibri"/>
                  <w:color w:val="0000FF"/>
                  <w:sz w:val="20"/>
                  <w:u w:val="single"/>
                </w:rPr>
                <w:t>2013 ONSC 1831</w:t>
              </w:r>
            </w:hyperlink>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Summary judgment enforcing personal guarantee granted to respondent</w:t>
            </w: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January 17, 2014</w:t>
            </w:r>
          </w:p>
          <w:p w:rsidR="0096768C" w:rsidRPr="006F20FF" w:rsidRDefault="0096768C" w:rsidP="00472B2D">
            <w:pPr>
              <w:jc w:val="both"/>
              <w:rPr>
                <w:rFonts w:eastAsia="Calibri"/>
                <w:sz w:val="20"/>
              </w:rPr>
            </w:pPr>
            <w:r w:rsidRPr="006F20FF">
              <w:rPr>
                <w:rFonts w:eastAsia="Calibri"/>
                <w:sz w:val="20"/>
              </w:rPr>
              <w:t>Court of Appeal for Ontario</w:t>
            </w:r>
          </w:p>
          <w:p w:rsidR="0096768C" w:rsidRPr="006F20FF" w:rsidRDefault="0096768C" w:rsidP="00472B2D">
            <w:pPr>
              <w:jc w:val="both"/>
              <w:rPr>
                <w:rFonts w:eastAsia="Calibri"/>
                <w:sz w:val="20"/>
              </w:rPr>
            </w:pPr>
            <w:r w:rsidRPr="006F20FF">
              <w:rPr>
                <w:rFonts w:eastAsia="Calibri"/>
                <w:sz w:val="20"/>
              </w:rPr>
              <w:t>(Rosenberg, MacPherson, LaForme JJ.A.)</w:t>
            </w:r>
          </w:p>
          <w:p w:rsidR="0096768C" w:rsidRPr="006F20FF" w:rsidRDefault="006E182C" w:rsidP="00472B2D">
            <w:pPr>
              <w:jc w:val="both"/>
              <w:rPr>
                <w:rFonts w:eastAsia="Calibri"/>
                <w:sz w:val="20"/>
              </w:rPr>
            </w:pPr>
            <w:hyperlink r:id="rId41" w:history="1">
              <w:r w:rsidR="0096768C" w:rsidRPr="006F20FF">
                <w:rPr>
                  <w:rFonts w:eastAsia="Calibri"/>
                  <w:color w:val="0000FF"/>
                  <w:sz w:val="20"/>
                  <w:u w:val="single"/>
                </w:rPr>
                <w:t>2014 ONCA 38</w:t>
              </w:r>
            </w:hyperlink>
            <w:r w:rsidR="0096768C" w:rsidRPr="006F20FF">
              <w:rPr>
                <w:rFonts w:eastAsia="Calibri"/>
                <w:sz w:val="20"/>
              </w:rPr>
              <w:t>; C56917</w:t>
            </w:r>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Appeal dismissed</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March 18, 2014</w:t>
            </w:r>
          </w:p>
          <w:p w:rsidR="0096768C" w:rsidRPr="006F20FF" w:rsidRDefault="0096768C" w:rsidP="00472B2D">
            <w:pPr>
              <w:jc w:val="both"/>
              <w:rPr>
                <w:rFonts w:eastAsia="Calibri"/>
                <w:sz w:val="20"/>
              </w:rPr>
            </w:pPr>
            <w:r w:rsidRPr="006F20FF">
              <w:rPr>
                <w:rFonts w:eastAsia="Calibri"/>
                <w:sz w:val="20"/>
              </w:rPr>
              <w:t>Supreme Court of Canada</w:t>
            </w: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Application for leave to appeal filed</w:t>
            </w:r>
          </w:p>
          <w:p w:rsidR="0096768C" w:rsidRPr="006F20FF" w:rsidRDefault="0096768C" w:rsidP="00472B2D">
            <w:pPr>
              <w:jc w:val="both"/>
              <w:rPr>
                <w:rFonts w:eastAsia="Calibri"/>
                <w:sz w:val="20"/>
              </w:rPr>
            </w:pP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58"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E182C"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Droit commercial – Débiteur et créancier – Interprétation législative – Force exécutoire de la garantie de personne physique d’un prêt à une petite entreprise – Le non-respect par le prêteur du </w:t>
            </w:r>
            <w:r w:rsidRPr="006F20FF">
              <w:rPr>
                <w:rFonts w:eastAsia="Calibri"/>
                <w:i/>
                <w:sz w:val="20"/>
                <w:lang w:val="fr-CA"/>
              </w:rPr>
              <w:t>Règlement sur le financement des petites entreprises du Canada</w:t>
            </w:r>
            <w:r w:rsidRPr="006F20FF">
              <w:rPr>
                <w:rFonts w:eastAsia="Calibri"/>
                <w:sz w:val="20"/>
                <w:lang w:val="fr-CA"/>
              </w:rPr>
              <w:t xml:space="preserve">, DORS/99-141, a-t-il pour effet d’invalider ou de limiter la garantie donnée par une personne physique à l’égard d’un prêt? </w:t>
            </w:r>
          </w:p>
        </w:tc>
      </w:tr>
      <w:tr w:rsidR="0096768C" w:rsidRPr="006E182C" w:rsidTr="00472B2D">
        <w:tc>
          <w:tcPr>
            <w:tcW w:w="5000" w:type="pct"/>
            <w:gridSpan w:val="3"/>
          </w:tcPr>
          <w:p w:rsidR="0096768C" w:rsidRPr="006F20FF" w:rsidRDefault="0096768C" w:rsidP="00472B2D">
            <w:pPr>
              <w:jc w:val="both"/>
              <w:rPr>
                <w:rFonts w:eastAsia="Calibri"/>
                <w:sz w:val="20"/>
                <w:lang w:val="fr-CA"/>
              </w:rPr>
            </w:pPr>
          </w:p>
        </w:tc>
      </w:tr>
      <w:tr w:rsidR="0096768C" w:rsidRPr="006F20FF"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Le demandeur a garanti personnellement un prêt consenti à une petite entreprise.  Ce prêt a été  enregistré en vertu de la </w:t>
            </w:r>
            <w:r w:rsidRPr="006F20FF">
              <w:rPr>
                <w:rFonts w:eastAsia="Calibri"/>
                <w:i/>
                <w:sz w:val="20"/>
                <w:lang w:val="fr-CA"/>
              </w:rPr>
              <w:t>Loi sur le financement des petites entreprises du Canada</w:t>
            </w:r>
            <w:r w:rsidRPr="006F20FF">
              <w:rPr>
                <w:rFonts w:eastAsia="Calibri"/>
                <w:sz w:val="20"/>
                <w:lang w:val="fr-CA"/>
              </w:rPr>
              <w:t xml:space="preserve">, L.C. 1998, ch. 36.  Le formulaire type de garantie personnelle utilisé par l’intimée ne contient pas les conditions et la terminologie prescrites par le règlement susmentionné. De plus, en raison d’une erreur d’enregistrement, l’intimée n’a pas obtenu une sûreté de premier rang valable ou exécutoire, comme l’exige le </w:t>
            </w:r>
            <w:r w:rsidRPr="006F20FF">
              <w:rPr>
                <w:rFonts w:eastAsia="Calibri"/>
                <w:i/>
                <w:sz w:val="20"/>
                <w:lang w:val="fr-CA"/>
              </w:rPr>
              <w:t>Règlement</w:t>
            </w:r>
            <w:r w:rsidRPr="006F20FF">
              <w:rPr>
                <w:rFonts w:eastAsia="Calibri"/>
                <w:sz w:val="20"/>
                <w:lang w:val="fr-CA"/>
              </w:rPr>
              <w:t xml:space="preserve">.  Il y a eu défaut de paiement.  L’intimée a demandé à la Cour supérieure de justice de l’Ontario d’ordonner l’exécution de la garantie personnelle. Le demandeur a soutenu que cette garantie était nulle, inexécutoire ou limitée, car elle n’était pas conforme au </w:t>
            </w:r>
            <w:r w:rsidRPr="006F20FF">
              <w:rPr>
                <w:rFonts w:eastAsia="Calibri"/>
                <w:i/>
                <w:sz w:val="20"/>
                <w:lang w:val="fr-CA"/>
              </w:rPr>
              <w:t>Règlement</w:t>
            </w:r>
            <w:r w:rsidRPr="006F20FF">
              <w:rPr>
                <w:rFonts w:eastAsia="Calibri"/>
                <w:sz w:val="20"/>
                <w:lang w:val="fr-CA"/>
              </w:rPr>
              <w:t xml:space="preserve">.  Le juge des requêtes a rendu un jugement sommaire en faveur de l’intimée. La Cour d’appel a rejeté l’appel de cette décision. </w:t>
            </w:r>
          </w:p>
          <w:p w:rsidR="0096768C" w:rsidRPr="006F20FF" w:rsidRDefault="0096768C" w:rsidP="00472B2D">
            <w:pPr>
              <w:jc w:val="both"/>
              <w:rPr>
                <w:rFonts w:eastAsia="Calibri"/>
                <w:sz w:val="20"/>
                <w:lang w:val="fr-CA"/>
              </w:rPr>
            </w:pPr>
          </w:p>
        </w:tc>
      </w:tr>
      <w:tr w:rsidR="0096768C" w:rsidRPr="006E182C" w:rsidTr="00D27A21">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lastRenderedPageBreak/>
              <w:t>27 mars 2013</w:t>
            </w:r>
          </w:p>
          <w:p w:rsidR="0096768C" w:rsidRPr="006F20FF" w:rsidRDefault="0096768C" w:rsidP="00472B2D">
            <w:pPr>
              <w:jc w:val="both"/>
              <w:rPr>
                <w:rFonts w:eastAsia="Calibri"/>
                <w:sz w:val="20"/>
                <w:lang w:val="fr-CA"/>
              </w:rPr>
            </w:pPr>
            <w:r w:rsidRPr="006F20FF">
              <w:rPr>
                <w:rFonts w:eastAsia="Calibri"/>
                <w:sz w:val="20"/>
                <w:lang w:val="fr-CA"/>
              </w:rPr>
              <w:t>Cour supérieure de justice de l’Ontario</w:t>
            </w:r>
          </w:p>
          <w:p w:rsidR="0096768C" w:rsidRPr="006F20FF" w:rsidRDefault="0096768C" w:rsidP="00472B2D">
            <w:pPr>
              <w:jc w:val="both"/>
              <w:rPr>
                <w:rFonts w:eastAsia="Calibri"/>
                <w:sz w:val="20"/>
              </w:rPr>
            </w:pPr>
            <w:r w:rsidRPr="006F20FF">
              <w:rPr>
                <w:rFonts w:eastAsia="Calibri"/>
                <w:sz w:val="20"/>
              </w:rPr>
              <w:t>(Juge Whitten)</w:t>
            </w:r>
          </w:p>
          <w:p w:rsidR="0096768C" w:rsidRPr="006F20FF" w:rsidRDefault="006E182C" w:rsidP="00472B2D">
            <w:pPr>
              <w:jc w:val="both"/>
              <w:rPr>
                <w:rFonts w:eastAsia="Calibri"/>
                <w:sz w:val="20"/>
              </w:rPr>
            </w:pPr>
            <w:hyperlink r:id="rId42" w:history="1">
              <w:r w:rsidR="0096768C" w:rsidRPr="006F20FF">
                <w:rPr>
                  <w:rFonts w:eastAsia="Calibri"/>
                  <w:color w:val="0000FF"/>
                  <w:sz w:val="20"/>
                  <w:u w:val="single"/>
                </w:rPr>
                <w:t>2013 ONSC 1831</w:t>
              </w:r>
            </w:hyperlink>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 xml:space="preserve">Jugement sommaire rendu en faveur de et l’intimée ordonnant l’exécution de la garantie personnelle  </w:t>
            </w:r>
          </w:p>
        </w:tc>
      </w:tr>
      <w:tr w:rsidR="0096768C" w:rsidRPr="006F20FF" w:rsidTr="00D27A21">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t>17 janvier 2014</w:t>
            </w:r>
          </w:p>
          <w:p w:rsidR="0096768C" w:rsidRPr="006F20FF" w:rsidRDefault="0096768C" w:rsidP="00472B2D">
            <w:pPr>
              <w:jc w:val="both"/>
              <w:rPr>
                <w:rFonts w:eastAsia="Calibri"/>
                <w:sz w:val="20"/>
                <w:lang w:val="fr-CA"/>
              </w:rPr>
            </w:pPr>
            <w:r w:rsidRPr="006F20FF">
              <w:rPr>
                <w:rFonts w:eastAsia="Calibri"/>
                <w:sz w:val="20"/>
                <w:lang w:val="fr-CA"/>
              </w:rPr>
              <w:t>Cour d’appel de l’Ontario</w:t>
            </w:r>
          </w:p>
          <w:p w:rsidR="0096768C" w:rsidRPr="006F20FF" w:rsidRDefault="0096768C" w:rsidP="00472B2D">
            <w:pPr>
              <w:jc w:val="both"/>
              <w:rPr>
                <w:rFonts w:eastAsia="Calibri"/>
                <w:sz w:val="20"/>
                <w:lang w:val="fr-CA"/>
              </w:rPr>
            </w:pPr>
            <w:r w:rsidRPr="006F20FF">
              <w:rPr>
                <w:rFonts w:eastAsia="Calibri"/>
                <w:sz w:val="20"/>
                <w:lang w:val="fr-CA"/>
              </w:rPr>
              <w:t>(Juges Rosenberg, MacPherson et LaForme)</w:t>
            </w:r>
          </w:p>
          <w:p w:rsidR="0096768C" w:rsidRPr="006F20FF" w:rsidRDefault="006E182C" w:rsidP="00472B2D">
            <w:pPr>
              <w:jc w:val="both"/>
              <w:rPr>
                <w:rFonts w:eastAsia="Calibri"/>
                <w:sz w:val="20"/>
                <w:lang w:val="fr-CA"/>
              </w:rPr>
            </w:pPr>
            <w:hyperlink r:id="rId43" w:history="1">
              <w:r w:rsidR="0096768C" w:rsidRPr="006F20FF">
                <w:rPr>
                  <w:rFonts w:eastAsia="Calibri"/>
                  <w:color w:val="0000FF"/>
                  <w:sz w:val="20"/>
                  <w:u w:val="single"/>
                  <w:lang w:val="fr-CA"/>
                </w:rPr>
                <w:t>2014 ONCA 38</w:t>
              </w:r>
            </w:hyperlink>
            <w:r w:rsidR="0096768C" w:rsidRPr="006F20FF">
              <w:rPr>
                <w:rFonts w:eastAsia="Calibri"/>
                <w:sz w:val="20"/>
                <w:lang w:val="fr-CA"/>
              </w:rPr>
              <w:t>; C56917</w:t>
            </w:r>
          </w:p>
          <w:p w:rsidR="0096768C" w:rsidRPr="006F20FF" w:rsidRDefault="0096768C" w:rsidP="00472B2D">
            <w:pPr>
              <w:jc w:val="both"/>
              <w:rPr>
                <w:rFonts w:eastAsia="Calibri"/>
                <w:sz w:val="20"/>
                <w:lang w:val="fr-CA"/>
              </w:rPr>
            </w:pP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rPr>
            </w:pPr>
            <w:r w:rsidRPr="006F20FF">
              <w:rPr>
                <w:rFonts w:eastAsia="Calibri"/>
                <w:sz w:val="20"/>
              </w:rPr>
              <w:t>Appel rejeté</w:t>
            </w:r>
          </w:p>
          <w:p w:rsidR="0096768C" w:rsidRPr="006F20FF" w:rsidRDefault="0096768C" w:rsidP="00472B2D">
            <w:pPr>
              <w:jc w:val="both"/>
              <w:rPr>
                <w:rFonts w:eastAsia="Calibri"/>
                <w:sz w:val="20"/>
              </w:rPr>
            </w:pPr>
          </w:p>
        </w:tc>
      </w:tr>
      <w:tr w:rsidR="0096768C" w:rsidRPr="006F20FF" w:rsidTr="00D27A21">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t>18 mars 2014</w:t>
            </w:r>
          </w:p>
          <w:p w:rsidR="0096768C" w:rsidRPr="006F20FF" w:rsidRDefault="0096768C" w:rsidP="00472B2D">
            <w:pPr>
              <w:jc w:val="both"/>
              <w:rPr>
                <w:rFonts w:eastAsia="Calibri"/>
                <w:sz w:val="20"/>
                <w:lang w:val="fr-CA"/>
              </w:rPr>
            </w:pPr>
            <w:r w:rsidRPr="006F20FF">
              <w:rPr>
                <w:rFonts w:eastAsia="Calibri"/>
                <w:sz w:val="20"/>
                <w:lang w:val="fr-CA"/>
              </w:rPr>
              <w:t>Cour suprême du Canada</w:t>
            </w: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rPr>
            </w:pPr>
            <w:r w:rsidRPr="006F20FF">
              <w:rPr>
                <w:rFonts w:eastAsia="Calibri"/>
                <w:sz w:val="20"/>
                <w:lang w:val="fr-CA"/>
              </w:rPr>
              <w:t>Demande d’autorisation d’appel déposée</w:t>
            </w:r>
          </w:p>
          <w:p w:rsidR="0096768C" w:rsidRPr="006F20FF" w:rsidRDefault="0096768C" w:rsidP="00472B2D">
            <w:pPr>
              <w:jc w:val="both"/>
              <w:rPr>
                <w:rFonts w:eastAsia="Calibri"/>
                <w:sz w:val="20"/>
              </w:rPr>
            </w:pPr>
          </w:p>
        </w:tc>
      </w:tr>
    </w:tbl>
    <w:p w:rsidR="00D96800" w:rsidRDefault="00D96800" w:rsidP="00D96800">
      <w:pPr>
        <w:rPr>
          <w:sz w:val="20"/>
          <w:szCs w:val="20"/>
        </w:rPr>
      </w:pPr>
    </w:p>
    <w:p w:rsidR="00D96800" w:rsidRDefault="006E182C" w:rsidP="00D96800">
      <w:pPr>
        <w:rPr>
          <w:sz w:val="20"/>
          <w:szCs w:val="20"/>
          <w:lang w:val="fr-CA"/>
        </w:rPr>
      </w:pPr>
      <w:r>
        <w:rPr>
          <w:sz w:val="20"/>
          <w:szCs w:val="20"/>
          <w:lang w:val="fr-CA"/>
        </w:rPr>
        <w:pict>
          <v:rect id="_x0000_i1059" style="width:2in;height:1pt" o:hrpct="0" o:hralign="center" o:hrstd="t" o:hrnoshade="t" o:hr="t" fillcolor="black [3213]" stroked="f"/>
        </w:pict>
      </w:r>
    </w:p>
    <w:p w:rsidR="00D96800" w:rsidRDefault="00D96800" w:rsidP="00D96800">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932BB" w:rsidRPr="008932BB" w:rsidTr="00D27A21">
        <w:trPr>
          <w:cantSplit/>
        </w:trPr>
        <w:tc>
          <w:tcPr>
            <w:tcW w:w="1458" w:type="dxa"/>
          </w:tcPr>
          <w:p w:rsidR="008932BB" w:rsidRPr="008932BB" w:rsidRDefault="008932BB" w:rsidP="008932BB">
            <w:pPr>
              <w:rPr>
                <w:sz w:val="20"/>
              </w:rPr>
            </w:pPr>
            <w:r w:rsidRPr="008932BB">
              <w:rPr>
                <w:b/>
                <w:sz w:val="20"/>
                <w:lang w:val="fr-CA"/>
              </w:rPr>
              <w:t>35777</w:t>
            </w:r>
          </w:p>
          <w:p w:rsidR="008932BB" w:rsidRPr="008932BB" w:rsidRDefault="008932BB" w:rsidP="008932BB">
            <w:pPr>
              <w:rPr>
                <w:b/>
                <w:sz w:val="20"/>
                <w:lang w:val="fr-CA"/>
              </w:rPr>
            </w:pPr>
          </w:p>
        </w:tc>
        <w:tc>
          <w:tcPr>
            <w:tcW w:w="8118" w:type="dxa"/>
          </w:tcPr>
          <w:p w:rsidR="008932BB" w:rsidRPr="008932BB" w:rsidRDefault="008932BB" w:rsidP="008932BB">
            <w:pPr>
              <w:jc w:val="both"/>
              <w:rPr>
                <w:sz w:val="20"/>
              </w:rPr>
            </w:pPr>
            <w:r w:rsidRPr="008932BB">
              <w:rPr>
                <w:b/>
                <w:sz w:val="20"/>
                <w:u w:val="single"/>
              </w:rPr>
              <w:t>Stuart Olson Dominion Construction Ltd., formerly known as Dominion Construction Company Inc. v. Structal Heavy Steel, A Division of Canam Group Inc.</w:t>
            </w:r>
            <w:r w:rsidRPr="008932BB">
              <w:rPr>
                <w:sz w:val="20"/>
              </w:rPr>
              <w:t xml:space="preserve"> (Man.) (Civil) (By Leave)</w:t>
            </w:r>
          </w:p>
          <w:p w:rsidR="008932BB" w:rsidRPr="008932BB" w:rsidRDefault="008932BB" w:rsidP="008932BB">
            <w:pPr>
              <w:jc w:val="both"/>
              <w:rPr>
                <w:sz w:val="20"/>
              </w:rPr>
            </w:pPr>
          </w:p>
        </w:tc>
      </w:tr>
      <w:tr w:rsidR="008932BB" w:rsidRPr="008932BB" w:rsidTr="00D27A21">
        <w:trPr>
          <w:cantSplit/>
        </w:trPr>
        <w:tc>
          <w:tcPr>
            <w:tcW w:w="1458" w:type="dxa"/>
          </w:tcPr>
          <w:p w:rsidR="008932BB" w:rsidRPr="008932BB" w:rsidRDefault="008932BB" w:rsidP="008932BB">
            <w:pPr>
              <w:rPr>
                <w:sz w:val="20"/>
              </w:rPr>
            </w:pPr>
            <w:r w:rsidRPr="008932BB">
              <w:rPr>
                <w:sz w:val="20"/>
              </w:rPr>
              <w:t>Coram :</w:t>
            </w:r>
          </w:p>
        </w:tc>
        <w:tc>
          <w:tcPr>
            <w:tcW w:w="8118" w:type="dxa"/>
          </w:tcPr>
          <w:p w:rsidR="008932BB" w:rsidRPr="008932BB" w:rsidRDefault="008932BB" w:rsidP="008932BB">
            <w:pPr>
              <w:rPr>
                <w:sz w:val="20"/>
              </w:rPr>
            </w:pPr>
            <w:r w:rsidRPr="008932BB">
              <w:rPr>
                <w:sz w:val="20"/>
                <w:u w:val="single"/>
              </w:rPr>
              <w:t>LeBel, Karakatsanis and Wagner JJ.</w:t>
            </w:r>
          </w:p>
          <w:p w:rsidR="008932BB" w:rsidRPr="008932BB" w:rsidRDefault="008932BB" w:rsidP="008932BB">
            <w:pPr>
              <w:rPr>
                <w:sz w:val="20"/>
                <w:u w:val="single"/>
              </w:rPr>
            </w:pPr>
          </w:p>
        </w:tc>
      </w:tr>
      <w:tr w:rsidR="008932BB" w:rsidRPr="006E182C" w:rsidTr="00D27A21">
        <w:trPr>
          <w:cantSplit/>
        </w:trPr>
        <w:tc>
          <w:tcPr>
            <w:tcW w:w="9576" w:type="dxa"/>
            <w:gridSpan w:val="2"/>
          </w:tcPr>
          <w:p w:rsidR="008932BB" w:rsidRPr="008932BB" w:rsidRDefault="008932BB" w:rsidP="008932BB">
            <w:pPr>
              <w:ind w:firstLine="720"/>
              <w:jc w:val="both"/>
              <w:rPr>
                <w:sz w:val="20"/>
              </w:rPr>
            </w:pPr>
            <w:r w:rsidRPr="008932BB">
              <w:rPr>
                <w:sz w:val="20"/>
              </w:rPr>
              <w:t>The application for leave to appeal from the judgment of the Court of Appeal of Manitoba, Number AI 13-30-07942, 2014 MBCA 8, dated January 22, 2014, is granted with costs in the cause.</w:t>
            </w:r>
          </w:p>
          <w:p w:rsidR="008932BB" w:rsidRPr="008932BB" w:rsidRDefault="008932BB" w:rsidP="008932BB">
            <w:pPr>
              <w:jc w:val="both"/>
              <w:rPr>
                <w:sz w:val="20"/>
              </w:rPr>
            </w:pPr>
          </w:p>
          <w:p w:rsidR="008932BB" w:rsidRPr="008932BB" w:rsidRDefault="008932BB" w:rsidP="008932BB">
            <w:pPr>
              <w:ind w:firstLine="720"/>
              <w:jc w:val="both"/>
              <w:rPr>
                <w:sz w:val="20"/>
                <w:lang w:val="fr-CA"/>
              </w:rPr>
            </w:pPr>
            <w:r w:rsidRPr="008932BB">
              <w:rPr>
                <w:sz w:val="20"/>
                <w:lang w:val="fr-CA"/>
              </w:rPr>
              <w:t>La demande d’autorisation d’appel de l’arrêt de la Cour d’appel du Manitoba, numéro AI 13-30-07942, 2014 MBCA 8, daté du 22 janvier 2014, est accueillie avec dépens selon l’issue de la cause.</w:t>
            </w:r>
          </w:p>
        </w:tc>
      </w:tr>
    </w:tbl>
    <w:p w:rsidR="00D96800" w:rsidRPr="008932BB" w:rsidRDefault="00D96800" w:rsidP="000E2959">
      <w:pPr>
        <w:rPr>
          <w:sz w:val="20"/>
          <w:szCs w:val="20"/>
          <w:lang w:val="fr-CA"/>
        </w:rPr>
      </w:pPr>
    </w:p>
    <w:p w:rsidR="00D96800" w:rsidRPr="001B157C" w:rsidRDefault="00D96800" w:rsidP="00D96800">
      <w:pPr>
        <w:rPr>
          <w:sz w:val="20"/>
          <w:szCs w:val="20"/>
          <w:u w:val="single"/>
        </w:rPr>
      </w:pPr>
      <w:r w:rsidRPr="001B157C">
        <w:rPr>
          <w:sz w:val="20"/>
          <w:szCs w:val="20"/>
          <w:u w:val="single"/>
        </w:rPr>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 xml:space="preserve">Commercial law – Construction law – Liens – Whether the filing of a lien bond in court in the full amount of a subcontractor’s lien claim extinguishes the contractor’s obligation to that subcontractor under the trust provisions of </w:t>
            </w:r>
            <w:r w:rsidRPr="006F20FF">
              <w:rPr>
                <w:rFonts w:eastAsia="Calibri"/>
                <w:i/>
                <w:sz w:val="20"/>
              </w:rPr>
              <w:t>The Builders’ Lien Act</w:t>
            </w:r>
            <w:r w:rsidRPr="006F20FF">
              <w:rPr>
                <w:rFonts w:eastAsia="Calibri"/>
                <w:sz w:val="20"/>
              </w:rPr>
              <w:t xml:space="preserve"> – </w:t>
            </w:r>
            <w:r w:rsidRPr="006F20FF">
              <w:rPr>
                <w:rFonts w:eastAsia="Calibri"/>
                <w:i/>
                <w:sz w:val="20"/>
              </w:rPr>
              <w:t>The Builders’ Lien Act</w:t>
            </w:r>
            <w:r w:rsidRPr="006F20FF">
              <w:rPr>
                <w:rFonts w:eastAsia="Calibri"/>
                <w:sz w:val="20"/>
              </w:rPr>
              <w:t>, C.C.S.M. c. B91.</w:t>
            </w:r>
          </w:p>
        </w:tc>
      </w:tr>
      <w:tr w:rsidR="0096768C" w:rsidRPr="006F20FF" w:rsidTr="00472B2D">
        <w:tc>
          <w:tcPr>
            <w:tcW w:w="5000" w:type="pct"/>
            <w:gridSpan w:val="3"/>
          </w:tcPr>
          <w:p w:rsidR="0096768C" w:rsidRPr="006F20FF" w:rsidRDefault="0096768C" w:rsidP="00472B2D">
            <w:pPr>
              <w:jc w:val="both"/>
              <w:rPr>
                <w:rFonts w:eastAsia="Calibri"/>
                <w:sz w:val="20"/>
              </w:rPr>
            </w:pPr>
          </w:p>
        </w:tc>
      </w:tr>
      <w:tr w:rsidR="0096768C" w:rsidRPr="006F20FF" w:rsidTr="00472B2D">
        <w:tc>
          <w:tcPr>
            <w:tcW w:w="5000" w:type="pct"/>
            <w:gridSpan w:val="3"/>
          </w:tcPr>
          <w:p w:rsidR="0096768C" w:rsidRPr="006F20FF" w:rsidRDefault="0096768C" w:rsidP="00472B2D">
            <w:pPr>
              <w:tabs>
                <w:tab w:val="left" w:pos="9270"/>
              </w:tabs>
              <w:jc w:val="both"/>
              <w:rPr>
                <w:rFonts w:eastAsia="Calibri"/>
                <w:color w:val="000000"/>
                <w:sz w:val="20"/>
              </w:rPr>
            </w:pPr>
            <w:r w:rsidRPr="006F20FF">
              <w:rPr>
                <w:rFonts w:eastAsia="Calibri"/>
                <w:sz w:val="20"/>
              </w:rPr>
              <w:t xml:space="preserve">The Applicant, Stuart Olson Dominion Construction Ltd. (“Dominion”) was the general contractor and the Respondent, Structal Heavy Steel (“Structal”) its subcontractor in respect of the structural steel work required for the construction of a new stadium.  </w:t>
            </w:r>
            <w:r w:rsidRPr="006F20FF">
              <w:rPr>
                <w:rFonts w:eastAsia="Calibri"/>
                <w:color w:val="000000"/>
                <w:sz w:val="20"/>
              </w:rPr>
              <w:t>Structal filed a builder’s lien against the stadium property for the full amount of past due and future invoices, the statutory holdback and costs of delay. Dominion deposited a lien bond for the full amount of Structal’s lien claim.  Structal then discharged its lien, but continued to seek payment from Dominion for the monies owing for its subcontract work. Dominion refused payment arguing that the lien bond fully secured Structal’s claim and thus extinguished Dominion’s obligations under the trust provisions of Manitoba’s</w:t>
            </w:r>
            <w:r w:rsidRPr="006F20FF">
              <w:rPr>
                <w:rFonts w:eastAsia="Calibri"/>
                <w:i/>
                <w:color w:val="000000"/>
                <w:sz w:val="20"/>
              </w:rPr>
              <w:t xml:space="preserve"> Builders’ Lien Act</w:t>
            </w:r>
            <w:r w:rsidRPr="006F20FF">
              <w:rPr>
                <w:rFonts w:eastAsia="Calibri"/>
                <w:color w:val="000000"/>
                <w:sz w:val="20"/>
              </w:rPr>
              <w:t xml:space="preserve">, such that it was entitled to use the contract monies otherwise payable to Structal to pay other creditors. Structal had completed all work under the subcontract and all subcontractors had been paid by it in full. Structal had not been paid the outstanding invoices or the statutory holdback.  The motion judge found that the filing of the lien bond by Dominion satisfied its trust obligations to Structal under the Act and that, upon receipt of the progress payments from the owner, Dominion could disperse them to other creditors without being in breach of the trust provisions of the Act.  The motion judge dismissed Structal’s motion for payment of the progress payments finding the dispute pertaining to Structal’s delay claim, and Dominion’s claim for set-off under their contract, was a dispute that could not be decided at this stage of the proceedings and on the materials before him.  The motion judge declared that Dominion’s lien bond extinguished its trust obligations under the Act and dismissed Structal’s motion for payment.  The Court of Appeal allowed the appeal in part.  The motion judge’s order declaring that the provision of the lien bond extinguishes the </w:t>
            </w:r>
            <w:r w:rsidRPr="006F20FF">
              <w:rPr>
                <w:rFonts w:eastAsia="Calibri"/>
                <w:color w:val="000000"/>
                <w:sz w:val="20"/>
              </w:rPr>
              <w:lastRenderedPageBreak/>
              <w:t>trust obligations of Dominion was set aside. Structal’s appeal from the motion judge’s order dismissing Structal’s motion for payment was dismissed.</w:t>
            </w:r>
          </w:p>
          <w:p w:rsidR="0096768C" w:rsidRPr="006F20FF" w:rsidRDefault="0096768C" w:rsidP="00472B2D">
            <w:pPr>
              <w:jc w:val="both"/>
              <w:rPr>
                <w:rFonts w:eastAsia="Calibri"/>
                <w:sz w:val="20"/>
              </w:rPr>
            </w:pPr>
          </w:p>
        </w:tc>
      </w:tr>
      <w:tr w:rsidR="0096768C" w:rsidRPr="006F20FF" w:rsidTr="008932BB">
        <w:trPr>
          <w:cantSplit/>
        </w:trPr>
        <w:tc>
          <w:tcPr>
            <w:tcW w:w="2427" w:type="pct"/>
          </w:tcPr>
          <w:p w:rsidR="0096768C" w:rsidRPr="006F20FF" w:rsidRDefault="0096768C" w:rsidP="00472B2D">
            <w:pPr>
              <w:jc w:val="both"/>
              <w:rPr>
                <w:rFonts w:eastAsia="Calibri"/>
                <w:sz w:val="20"/>
              </w:rPr>
            </w:pPr>
            <w:r w:rsidRPr="006F20FF">
              <w:rPr>
                <w:rFonts w:eastAsia="Calibri"/>
                <w:sz w:val="20"/>
              </w:rPr>
              <w:lastRenderedPageBreak/>
              <w:t>February 28, 2013</w:t>
            </w:r>
          </w:p>
          <w:p w:rsidR="0096768C" w:rsidRPr="006F20FF" w:rsidRDefault="0096768C" w:rsidP="00472B2D">
            <w:pPr>
              <w:jc w:val="both"/>
              <w:rPr>
                <w:rFonts w:eastAsia="Calibri"/>
                <w:sz w:val="20"/>
              </w:rPr>
            </w:pPr>
            <w:r w:rsidRPr="006F20FF">
              <w:rPr>
                <w:rFonts w:eastAsia="Calibri"/>
                <w:sz w:val="20"/>
              </w:rPr>
              <w:t>Court of Queen’s Bench of Manitoba</w:t>
            </w:r>
          </w:p>
          <w:p w:rsidR="0096768C" w:rsidRPr="006F20FF" w:rsidRDefault="0096768C" w:rsidP="00472B2D">
            <w:pPr>
              <w:jc w:val="both"/>
              <w:rPr>
                <w:rFonts w:eastAsia="Calibri"/>
                <w:sz w:val="20"/>
                <w:lang w:val="fr-FR"/>
              </w:rPr>
            </w:pPr>
            <w:r w:rsidRPr="006F20FF">
              <w:rPr>
                <w:rFonts w:eastAsia="Calibri"/>
                <w:sz w:val="20"/>
                <w:lang w:val="fr-FR"/>
              </w:rPr>
              <w:t>(Schulman J.)</w:t>
            </w:r>
          </w:p>
          <w:p w:rsidR="0096768C" w:rsidRPr="006F20FF" w:rsidRDefault="0096768C" w:rsidP="00472B2D">
            <w:pPr>
              <w:jc w:val="both"/>
              <w:rPr>
                <w:rFonts w:eastAsia="Calibri"/>
                <w:sz w:val="20"/>
                <w:lang w:val="fr-FR"/>
              </w:rPr>
            </w:pPr>
            <w:r w:rsidRPr="006F20FF">
              <w:rPr>
                <w:rFonts w:eastAsia="Calibri"/>
                <w:sz w:val="20"/>
                <w:lang w:val="fr-FR"/>
              </w:rPr>
              <w:t>2013 MBQB 48; CI 12-01-80434</w:t>
            </w:r>
          </w:p>
          <w:p w:rsidR="0096768C" w:rsidRPr="006F20FF" w:rsidRDefault="006E182C" w:rsidP="00472B2D">
            <w:pPr>
              <w:jc w:val="both"/>
              <w:rPr>
                <w:rFonts w:eastAsia="Calibri"/>
                <w:sz w:val="20"/>
                <w:lang w:val="fr-FR"/>
              </w:rPr>
            </w:pPr>
            <w:hyperlink r:id="rId44" w:history="1">
              <w:r w:rsidR="0096768C" w:rsidRPr="006F20FF">
                <w:rPr>
                  <w:rFonts w:eastAsia="Calibri"/>
                  <w:color w:val="0000FF"/>
                  <w:sz w:val="20"/>
                  <w:u w:val="single"/>
                  <w:lang w:val="fr-FR"/>
                </w:rPr>
                <w:t>http://canlii.ca/t/fwjbl</w:t>
              </w:r>
            </w:hyperlink>
          </w:p>
          <w:p w:rsidR="0096768C" w:rsidRPr="006F20FF" w:rsidRDefault="0096768C" w:rsidP="00472B2D">
            <w:pPr>
              <w:jc w:val="both"/>
              <w:rPr>
                <w:rFonts w:eastAsia="Calibri"/>
                <w:sz w:val="20"/>
                <w:lang w:val="fr-FR"/>
              </w:rPr>
            </w:pPr>
          </w:p>
        </w:tc>
        <w:tc>
          <w:tcPr>
            <w:tcW w:w="243" w:type="pct"/>
          </w:tcPr>
          <w:p w:rsidR="0096768C" w:rsidRPr="006F20FF" w:rsidRDefault="0096768C" w:rsidP="00472B2D">
            <w:pPr>
              <w:jc w:val="both"/>
              <w:rPr>
                <w:rFonts w:eastAsia="Calibri"/>
                <w:sz w:val="20"/>
                <w:lang w:val="fr-FR"/>
              </w:rPr>
            </w:pPr>
          </w:p>
        </w:tc>
        <w:tc>
          <w:tcPr>
            <w:tcW w:w="2330" w:type="pct"/>
          </w:tcPr>
          <w:p w:rsidR="0096768C" w:rsidRPr="006F20FF" w:rsidRDefault="0096768C" w:rsidP="00472B2D">
            <w:pPr>
              <w:jc w:val="both"/>
              <w:rPr>
                <w:rFonts w:eastAsia="Calibri"/>
                <w:sz w:val="20"/>
              </w:rPr>
            </w:pPr>
            <w:r w:rsidRPr="006F20FF">
              <w:rPr>
                <w:rFonts w:eastAsia="Calibri"/>
                <w:sz w:val="20"/>
              </w:rPr>
              <w:t xml:space="preserve">Applicant’s filing of lien bond satisfies trust obligations; Applicant may disburse funds without being in breach of trust provisions in s. 4(3) of </w:t>
            </w:r>
            <w:r w:rsidRPr="006F20FF">
              <w:rPr>
                <w:rFonts w:eastAsia="Calibri"/>
                <w:i/>
                <w:sz w:val="20"/>
              </w:rPr>
              <w:t>The Builders’ Lien Act</w:t>
            </w:r>
            <w:r w:rsidRPr="006F20FF">
              <w:rPr>
                <w:rFonts w:eastAsia="Calibri"/>
                <w:sz w:val="20"/>
              </w:rPr>
              <w:t>; Respondent’s motion for an order for payment dismissed</w:t>
            </w:r>
          </w:p>
          <w:p w:rsidR="0096768C" w:rsidRPr="006F20FF" w:rsidRDefault="0096768C" w:rsidP="00472B2D">
            <w:pPr>
              <w:jc w:val="both"/>
              <w:rPr>
                <w:rFonts w:eastAsia="Calibri"/>
                <w:sz w:val="20"/>
              </w:rPr>
            </w:pPr>
          </w:p>
        </w:tc>
      </w:tr>
      <w:tr w:rsidR="0096768C" w:rsidRPr="006F20FF" w:rsidTr="008932BB">
        <w:trPr>
          <w:cantSplit/>
        </w:trPr>
        <w:tc>
          <w:tcPr>
            <w:tcW w:w="2427" w:type="pct"/>
          </w:tcPr>
          <w:p w:rsidR="0096768C" w:rsidRPr="006F20FF" w:rsidRDefault="0096768C" w:rsidP="00472B2D">
            <w:pPr>
              <w:jc w:val="both"/>
              <w:rPr>
                <w:rFonts w:eastAsia="Calibri"/>
                <w:sz w:val="20"/>
              </w:rPr>
            </w:pPr>
            <w:r w:rsidRPr="006F20FF">
              <w:rPr>
                <w:rFonts w:eastAsia="Calibri"/>
                <w:sz w:val="20"/>
              </w:rPr>
              <w:t>January 22, 2014</w:t>
            </w:r>
          </w:p>
          <w:p w:rsidR="0096768C" w:rsidRPr="006F20FF" w:rsidRDefault="0096768C" w:rsidP="00472B2D">
            <w:pPr>
              <w:jc w:val="both"/>
              <w:rPr>
                <w:rFonts w:eastAsia="Calibri"/>
                <w:sz w:val="20"/>
              </w:rPr>
            </w:pPr>
            <w:r w:rsidRPr="006F20FF">
              <w:rPr>
                <w:rFonts w:eastAsia="Calibri"/>
                <w:sz w:val="20"/>
              </w:rPr>
              <w:t>Court of Appeal of Manitoba</w:t>
            </w:r>
          </w:p>
          <w:p w:rsidR="0096768C" w:rsidRPr="006F20FF" w:rsidRDefault="0096768C" w:rsidP="00472B2D">
            <w:pPr>
              <w:jc w:val="both"/>
              <w:rPr>
                <w:rFonts w:eastAsia="Calibri"/>
                <w:sz w:val="20"/>
              </w:rPr>
            </w:pPr>
            <w:r w:rsidRPr="006F20FF">
              <w:rPr>
                <w:rFonts w:eastAsia="Calibri"/>
                <w:sz w:val="20"/>
              </w:rPr>
              <w:t>(MacInnes, Beard and Monnin JJ.A.)</w:t>
            </w:r>
          </w:p>
          <w:p w:rsidR="0096768C" w:rsidRPr="006F20FF" w:rsidRDefault="0096768C" w:rsidP="00472B2D">
            <w:pPr>
              <w:jc w:val="both"/>
              <w:rPr>
                <w:rFonts w:eastAsia="Calibri"/>
                <w:sz w:val="20"/>
                <w:lang w:val="fr-FR"/>
              </w:rPr>
            </w:pPr>
            <w:r w:rsidRPr="006F20FF">
              <w:rPr>
                <w:rFonts w:eastAsia="Calibri"/>
                <w:sz w:val="20"/>
                <w:lang w:val="fr-FR"/>
              </w:rPr>
              <w:t>2014 MBCA 8; AI 13-30-07942</w:t>
            </w:r>
          </w:p>
          <w:p w:rsidR="0096768C" w:rsidRPr="006F20FF" w:rsidRDefault="006E182C" w:rsidP="00472B2D">
            <w:pPr>
              <w:jc w:val="both"/>
              <w:rPr>
                <w:rFonts w:eastAsia="Calibri"/>
                <w:sz w:val="20"/>
                <w:lang w:val="fr-FR"/>
              </w:rPr>
            </w:pPr>
            <w:hyperlink r:id="rId45" w:history="1">
              <w:r w:rsidR="0096768C" w:rsidRPr="006F20FF">
                <w:rPr>
                  <w:rFonts w:eastAsia="Calibri"/>
                  <w:color w:val="0000FF"/>
                  <w:sz w:val="20"/>
                  <w:u w:val="single"/>
                  <w:lang w:val="fr-FR"/>
                </w:rPr>
                <w:t>http://canlii.ca/t/g2s8g</w:t>
              </w:r>
            </w:hyperlink>
          </w:p>
          <w:p w:rsidR="0096768C" w:rsidRPr="006F20FF" w:rsidRDefault="0096768C" w:rsidP="00472B2D">
            <w:pPr>
              <w:jc w:val="both"/>
              <w:rPr>
                <w:rFonts w:eastAsia="Calibri"/>
                <w:sz w:val="20"/>
                <w:lang w:val="fr-FR"/>
              </w:rPr>
            </w:pPr>
          </w:p>
        </w:tc>
        <w:tc>
          <w:tcPr>
            <w:tcW w:w="243" w:type="pct"/>
          </w:tcPr>
          <w:p w:rsidR="0096768C" w:rsidRPr="006F20FF" w:rsidRDefault="0096768C" w:rsidP="00472B2D">
            <w:pPr>
              <w:jc w:val="both"/>
              <w:rPr>
                <w:rFonts w:eastAsia="Calibri"/>
                <w:sz w:val="20"/>
                <w:lang w:val="fr-FR"/>
              </w:rPr>
            </w:pPr>
          </w:p>
        </w:tc>
        <w:tc>
          <w:tcPr>
            <w:tcW w:w="2330" w:type="pct"/>
          </w:tcPr>
          <w:p w:rsidR="0096768C" w:rsidRPr="006F20FF" w:rsidRDefault="0096768C" w:rsidP="00472B2D">
            <w:pPr>
              <w:jc w:val="both"/>
              <w:rPr>
                <w:rFonts w:eastAsia="Calibri"/>
                <w:sz w:val="20"/>
              </w:rPr>
            </w:pPr>
            <w:r w:rsidRPr="006F20FF">
              <w:rPr>
                <w:rFonts w:eastAsia="Calibri"/>
                <w:sz w:val="20"/>
              </w:rPr>
              <w:t>Appeal allowed in part; Respondent’s appeal for payment order dismissed</w:t>
            </w:r>
          </w:p>
        </w:tc>
      </w:tr>
      <w:tr w:rsidR="0096768C" w:rsidRPr="006F20FF" w:rsidTr="008932BB">
        <w:trPr>
          <w:cantSplit/>
          <w:trHeight w:val="20"/>
        </w:trPr>
        <w:tc>
          <w:tcPr>
            <w:tcW w:w="2427" w:type="pct"/>
          </w:tcPr>
          <w:p w:rsidR="0096768C" w:rsidRPr="006F20FF" w:rsidRDefault="0096768C" w:rsidP="00472B2D">
            <w:pPr>
              <w:jc w:val="both"/>
              <w:rPr>
                <w:rFonts w:eastAsia="Calibri"/>
                <w:sz w:val="20"/>
              </w:rPr>
            </w:pPr>
            <w:r w:rsidRPr="006F20FF">
              <w:rPr>
                <w:rFonts w:eastAsia="Calibri"/>
                <w:sz w:val="20"/>
              </w:rPr>
              <w:t>March 20, 2014</w:t>
            </w:r>
          </w:p>
          <w:p w:rsidR="0096768C" w:rsidRPr="006F20FF" w:rsidRDefault="0096768C" w:rsidP="00472B2D">
            <w:pPr>
              <w:jc w:val="both"/>
              <w:rPr>
                <w:rFonts w:eastAsia="Calibri"/>
                <w:sz w:val="20"/>
              </w:rPr>
            </w:pPr>
            <w:r w:rsidRPr="006F20FF">
              <w:rPr>
                <w:rFonts w:eastAsia="Calibri"/>
                <w:sz w:val="20"/>
              </w:rPr>
              <w:t>Supreme Court of Canada</w:t>
            </w: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Application for leave to appeal filed</w:t>
            </w: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60"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F20FF"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Droit commercial – Droit de la construction – Privilèges – Le dépôt au tribunal d’un cautionnement tenant lieu de privilège pour le plein montant de la revendication de privilège du sous-traitant a-t-il pour effet d’éteindre l’obligation de l’entrepreneur envers ce sous-traitant en application des dispositions fiduciaires de la </w:t>
            </w:r>
            <w:r w:rsidRPr="006F20FF">
              <w:rPr>
                <w:rFonts w:eastAsia="Calibri"/>
                <w:i/>
                <w:sz w:val="20"/>
                <w:lang w:val="fr-CA"/>
              </w:rPr>
              <w:t>Loi sur le privilège du constructeur</w:t>
            </w:r>
            <w:r w:rsidRPr="006F20FF">
              <w:rPr>
                <w:rFonts w:eastAsia="Calibri"/>
                <w:sz w:val="20"/>
                <w:lang w:val="fr-CA"/>
              </w:rPr>
              <w:t xml:space="preserve">? – </w:t>
            </w:r>
            <w:r w:rsidRPr="006F20FF">
              <w:rPr>
                <w:rFonts w:eastAsia="Calibri"/>
                <w:i/>
                <w:sz w:val="20"/>
                <w:lang w:val="fr-CA"/>
              </w:rPr>
              <w:t>Loi sur le privilège du constructeur</w:t>
            </w:r>
            <w:r w:rsidRPr="006F20FF">
              <w:rPr>
                <w:rFonts w:eastAsia="Calibri"/>
                <w:sz w:val="20"/>
                <w:lang w:val="fr-CA"/>
              </w:rPr>
              <w:t>, C.P.L.M. ch. B91.</w:t>
            </w:r>
          </w:p>
        </w:tc>
      </w:tr>
      <w:tr w:rsidR="0096768C" w:rsidRPr="006F20FF" w:rsidTr="00472B2D">
        <w:tc>
          <w:tcPr>
            <w:tcW w:w="5000" w:type="pct"/>
            <w:gridSpan w:val="3"/>
          </w:tcPr>
          <w:p w:rsidR="0096768C" w:rsidRPr="006F20FF" w:rsidRDefault="0096768C" w:rsidP="00472B2D">
            <w:pPr>
              <w:jc w:val="both"/>
              <w:rPr>
                <w:rFonts w:eastAsia="Calibri"/>
                <w:sz w:val="20"/>
                <w:lang w:val="fr-CA"/>
              </w:rPr>
            </w:pPr>
          </w:p>
        </w:tc>
      </w:tr>
      <w:tr w:rsidR="0096768C" w:rsidRPr="006E182C" w:rsidTr="00472B2D">
        <w:tc>
          <w:tcPr>
            <w:tcW w:w="5000" w:type="pct"/>
            <w:gridSpan w:val="3"/>
          </w:tcPr>
          <w:p w:rsidR="0096768C" w:rsidRPr="006F20FF" w:rsidRDefault="0096768C" w:rsidP="00472B2D">
            <w:pPr>
              <w:tabs>
                <w:tab w:val="left" w:pos="9270"/>
              </w:tabs>
              <w:jc w:val="both"/>
              <w:rPr>
                <w:rFonts w:eastAsia="Calibri"/>
                <w:color w:val="000000"/>
                <w:sz w:val="20"/>
                <w:lang w:val="fr-CA"/>
              </w:rPr>
            </w:pPr>
            <w:r w:rsidRPr="006F20FF">
              <w:rPr>
                <w:rFonts w:eastAsia="Calibri"/>
                <w:sz w:val="20"/>
                <w:lang w:val="fr-CA"/>
              </w:rPr>
              <w:t xml:space="preserve">La demanderesse, Stuart Olson Dominion Construction Ltd. (« Dominion ») était l’entrepreneur général et l’intimée, Structal Heavy Steel (« Structal »), son sous-traitant, relativement à des travaux de pose d’acier de charpente nécessaires à la construction d’un nouveau stade.  </w:t>
            </w:r>
            <w:r w:rsidRPr="006F20FF">
              <w:rPr>
                <w:rFonts w:eastAsia="Calibri"/>
                <w:color w:val="000000"/>
                <w:sz w:val="20"/>
                <w:lang w:val="fr-CA"/>
              </w:rPr>
              <w:t xml:space="preserve">Structal a déposé un privilège du constructeur grevant l’immeuble du stade pour le plein montant des factures en souffrance et futures, la retenue d’origine législative et les coûts de retard. Dominion a déposé un cautionnement tenant lieu de privilège pour le plein montant de la revendication de privilège de Structal.  Structal a ensuite obtenu la décharge de son privilège, mais a maintenu sa demande de paiement à Dominion pour les sommes d’argent dues pour ses travaux de sous-traitance. Dominion a refusé de payer, plaidant que le cautionnement tenant lieu de privilège garantissait pleinement la revendication de Structal et avait donc pour effet d’éteindre les obligations de Dominion aux termes des dispositions fiduciaires de la </w:t>
            </w:r>
            <w:r w:rsidRPr="006F20FF">
              <w:rPr>
                <w:rFonts w:eastAsia="Calibri"/>
                <w:i/>
                <w:color w:val="000000"/>
                <w:sz w:val="20"/>
                <w:lang w:val="fr-CA"/>
              </w:rPr>
              <w:t>Loi sur le privilège du constructeur</w:t>
            </w:r>
            <w:r w:rsidRPr="006F20FF">
              <w:rPr>
                <w:rFonts w:eastAsia="Calibri"/>
                <w:color w:val="000000"/>
                <w:sz w:val="20"/>
                <w:lang w:val="fr-CA"/>
              </w:rPr>
              <w:t xml:space="preserve"> du Manitoba, si bien qu’elle avait droit d’utiliser les sommes d’argent du contrat autrement payables à Structal pour payer d’autres créanciers. Structal avait exécuté tous les travaux en exécution du contrat de sous-traitance et elle avait payé intégralement tous les sous-traitants. Structal ne s’est pas fait payer les factures en souffrance ou la retenue d’origine législative. Le juge de première instance a conclu que le dépôt du cautionnement tenant lieu de privilège par Dominion satisfaisait à ses obligations fiduciaires envers Structal en application de la loi et que sur réception des paiements progressifs du maître de l’ouvrage, Dominion pouvait les distribuer à d’autres créanciers sans commettre de manquement aux dispositions fiduciaires de la loi. Le juge de première instance a rejeté la demande de paiement de Structal portant sur les paiements progressifs, concluant que le différend portant sur l’allégation de retard de Structal, et la demande de Dominion en compensation en exécution de leur contrat était un différend qui ne pouvait être tranché à ce stade de l’instance et sur la foi des documents devant lui. Le juge de première instance a déclaré que le cautionnement de Dominion tenant lieu de privilège avait pour effet d’éteindre les obligations fiduciaires de Structal en application de la loi et il a rejeté la demande de paiement de Structal. La Cour d’appel a accueilli l’appel en partie. L’ordonnance du juge de première instance déclarant que le dépôt du cautionnement tenant lieu de privilège avait pour effet d’éteindre les obligations fiduciaires de Dominion a été annulée. L’appel interjeté par Structal de l’ordonnance du juge de première instance rejetant la demande de paiement </w:t>
            </w:r>
            <w:r w:rsidRPr="006F20FF">
              <w:rPr>
                <w:rFonts w:eastAsia="Calibri"/>
                <w:color w:val="000000"/>
                <w:sz w:val="20"/>
                <w:lang w:val="fr-CA"/>
              </w:rPr>
              <w:lastRenderedPageBreak/>
              <w:t>de Structal été rejeté.</w:t>
            </w:r>
          </w:p>
          <w:p w:rsidR="0096768C" w:rsidRPr="006F20FF" w:rsidRDefault="0096768C" w:rsidP="00472B2D">
            <w:pPr>
              <w:jc w:val="both"/>
              <w:rPr>
                <w:rFonts w:eastAsia="Calibri"/>
                <w:sz w:val="20"/>
                <w:lang w:val="fr-CA"/>
              </w:rPr>
            </w:pPr>
          </w:p>
        </w:tc>
      </w:tr>
      <w:tr w:rsidR="0096768C" w:rsidRPr="006E182C" w:rsidTr="008932BB">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lastRenderedPageBreak/>
              <w:t>28 février 2013</w:t>
            </w:r>
          </w:p>
          <w:p w:rsidR="0096768C" w:rsidRPr="006F20FF" w:rsidRDefault="0096768C" w:rsidP="00472B2D">
            <w:pPr>
              <w:jc w:val="both"/>
              <w:rPr>
                <w:rFonts w:eastAsia="Calibri"/>
                <w:sz w:val="20"/>
                <w:lang w:val="fr-CA"/>
              </w:rPr>
            </w:pPr>
            <w:r w:rsidRPr="006F20FF">
              <w:rPr>
                <w:rFonts w:eastAsia="Calibri"/>
                <w:sz w:val="20"/>
                <w:lang w:val="fr-CA"/>
              </w:rPr>
              <w:t xml:space="preserve">Cour du Banc de la Reine du Manitoba </w:t>
            </w:r>
          </w:p>
          <w:p w:rsidR="0096768C" w:rsidRPr="006F20FF" w:rsidRDefault="0096768C" w:rsidP="00472B2D">
            <w:pPr>
              <w:jc w:val="both"/>
              <w:rPr>
                <w:rFonts w:eastAsia="Calibri"/>
                <w:sz w:val="20"/>
                <w:lang w:val="fr-CA"/>
              </w:rPr>
            </w:pPr>
            <w:r w:rsidRPr="006F20FF">
              <w:rPr>
                <w:rFonts w:eastAsia="Calibri"/>
                <w:sz w:val="20"/>
                <w:lang w:val="fr-CA"/>
              </w:rPr>
              <w:t>(Juge Schulman)</w:t>
            </w:r>
          </w:p>
          <w:p w:rsidR="0096768C" w:rsidRPr="006F20FF" w:rsidRDefault="0096768C" w:rsidP="00472B2D">
            <w:pPr>
              <w:jc w:val="both"/>
              <w:rPr>
                <w:rFonts w:eastAsia="Calibri"/>
                <w:sz w:val="20"/>
                <w:lang w:val="fr-CA"/>
              </w:rPr>
            </w:pPr>
            <w:r w:rsidRPr="006F20FF">
              <w:rPr>
                <w:rFonts w:eastAsia="Calibri"/>
                <w:sz w:val="20"/>
                <w:lang w:val="fr-CA"/>
              </w:rPr>
              <w:t>2013 MBQB 48; CI 12-01-80434</w:t>
            </w:r>
          </w:p>
          <w:p w:rsidR="0096768C" w:rsidRPr="006F20FF" w:rsidRDefault="006E182C" w:rsidP="00472B2D">
            <w:pPr>
              <w:jc w:val="both"/>
              <w:rPr>
                <w:rFonts w:eastAsia="Calibri"/>
                <w:sz w:val="20"/>
                <w:lang w:val="fr-CA"/>
              </w:rPr>
            </w:pPr>
            <w:hyperlink r:id="rId46" w:history="1">
              <w:r w:rsidR="0096768C" w:rsidRPr="006F20FF">
                <w:rPr>
                  <w:rFonts w:eastAsia="Calibri"/>
                  <w:color w:val="0000FF"/>
                  <w:sz w:val="20"/>
                  <w:u w:val="single"/>
                  <w:lang w:val="fr-CA"/>
                </w:rPr>
                <w:t>http://canlii.ca/t/fwjbl</w:t>
              </w:r>
            </w:hyperlink>
          </w:p>
          <w:p w:rsidR="0096768C" w:rsidRPr="006F20FF" w:rsidRDefault="0096768C" w:rsidP="00472B2D">
            <w:pPr>
              <w:jc w:val="both"/>
              <w:rPr>
                <w:rFonts w:eastAsia="Calibri"/>
                <w:sz w:val="20"/>
                <w:lang w:val="fr-CA"/>
              </w:rPr>
            </w:pP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Le dépôt par la demanderesse du cautionnement tenant lieu de privilège satisfait aux obligations fiduciaires; la demanderesse peut débourser les fonds sans commettre de manquement aux dispositions fiduciaires du par. 4(3) de la</w:t>
            </w:r>
            <w:r w:rsidRPr="006F20FF">
              <w:rPr>
                <w:rFonts w:eastAsia="Calibri"/>
                <w:i/>
                <w:sz w:val="20"/>
                <w:lang w:val="fr-CA"/>
              </w:rPr>
              <w:t xml:space="preserve"> Loi sur le privilège du constructeur</w:t>
            </w:r>
            <w:r w:rsidRPr="006F20FF">
              <w:rPr>
                <w:rFonts w:eastAsia="Calibri"/>
                <w:sz w:val="20"/>
                <w:lang w:val="fr-CA"/>
              </w:rPr>
              <w:t>; demande de paiement de l’intimée, rejetée</w:t>
            </w:r>
          </w:p>
          <w:p w:rsidR="0096768C" w:rsidRPr="006F20FF" w:rsidRDefault="0096768C" w:rsidP="00472B2D">
            <w:pPr>
              <w:jc w:val="both"/>
              <w:rPr>
                <w:rFonts w:eastAsia="Calibri"/>
                <w:sz w:val="20"/>
                <w:lang w:val="fr-CA"/>
              </w:rPr>
            </w:pPr>
          </w:p>
        </w:tc>
      </w:tr>
      <w:tr w:rsidR="0096768C" w:rsidRPr="006E182C" w:rsidTr="008932BB">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t>22 janvier 2014</w:t>
            </w:r>
          </w:p>
          <w:p w:rsidR="0096768C" w:rsidRPr="006F20FF" w:rsidRDefault="0096768C" w:rsidP="00472B2D">
            <w:pPr>
              <w:jc w:val="both"/>
              <w:rPr>
                <w:rFonts w:eastAsia="Calibri"/>
                <w:sz w:val="20"/>
                <w:lang w:val="fr-CA"/>
              </w:rPr>
            </w:pPr>
            <w:r w:rsidRPr="006F20FF">
              <w:rPr>
                <w:rFonts w:eastAsia="Calibri"/>
                <w:sz w:val="20"/>
                <w:lang w:val="fr-CA"/>
              </w:rPr>
              <w:t xml:space="preserve">Cour d’appel du Manitoba </w:t>
            </w:r>
          </w:p>
          <w:p w:rsidR="0096768C" w:rsidRPr="006F20FF" w:rsidRDefault="0096768C" w:rsidP="00472B2D">
            <w:pPr>
              <w:jc w:val="both"/>
              <w:rPr>
                <w:rFonts w:eastAsia="Calibri"/>
                <w:sz w:val="20"/>
                <w:lang w:val="fr-CA"/>
              </w:rPr>
            </w:pPr>
            <w:r w:rsidRPr="006F20FF">
              <w:rPr>
                <w:rFonts w:eastAsia="Calibri"/>
                <w:sz w:val="20"/>
                <w:lang w:val="fr-CA"/>
              </w:rPr>
              <w:t>(Juges MacInnes, Beard et Monnin)</w:t>
            </w:r>
          </w:p>
          <w:p w:rsidR="0096768C" w:rsidRPr="006F20FF" w:rsidRDefault="0096768C" w:rsidP="00472B2D">
            <w:pPr>
              <w:jc w:val="both"/>
              <w:rPr>
                <w:rFonts w:eastAsia="Calibri"/>
                <w:sz w:val="20"/>
                <w:lang w:val="fr-CA"/>
              </w:rPr>
            </w:pPr>
            <w:r w:rsidRPr="006F20FF">
              <w:rPr>
                <w:rFonts w:eastAsia="Calibri"/>
                <w:sz w:val="20"/>
                <w:lang w:val="fr-CA"/>
              </w:rPr>
              <w:t>2014 MBCA 8; AI 13-30-07942</w:t>
            </w:r>
          </w:p>
          <w:p w:rsidR="0096768C" w:rsidRPr="006F20FF" w:rsidRDefault="006E182C" w:rsidP="00472B2D">
            <w:pPr>
              <w:jc w:val="both"/>
              <w:rPr>
                <w:rFonts w:eastAsia="Calibri"/>
                <w:sz w:val="20"/>
                <w:lang w:val="fr-CA"/>
              </w:rPr>
            </w:pPr>
            <w:hyperlink r:id="rId47" w:history="1">
              <w:r w:rsidR="0096768C" w:rsidRPr="006F20FF">
                <w:rPr>
                  <w:rFonts w:eastAsia="Calibri"/>
                  <w:color w:val="0000FF"/>
                  <w:sz w:val="20"/>
                  <w:u w:val="single"/>
                  <w:lang w:val="fr-CA"/>
                </w:rPr>
                <w:t>http://canlii.ca/t/g2s8g</w:t>
              </w:r>
            </w:hyperlink>
          </w:p>
          <w:p w:rsidR="0096768C" w:rsidRPr="006F20FF" w:rsidRDefault="0096768C" w:rsidP="00472B2D">
            <w:pPr>
              <w:jc w:val="both"/>
              <w:rPr>
                <w:rFonts w:eastAsia="Calibri"/>
                <w:sz w:val="20"/>
                <w:lang w:val="fr-CA"/>
              </w:rPr>
            </w:pP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Appel accueilli en partie; appel de l’intimée en demande de paiement, rejeté</w:t>
            </w:r>
          </w:p>
        </w:tc>
      </w:tr>
      <w:tr w:rsidR="0096768C" w:rsidRPr="006F20FF" w:rsidTr="008932BB">
        <w:trPr>
          <w:cantSplit/>
          <w:trHeight w:val="558"/>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t>20 mars 2014</w:t>
            </w:r>
          </w:p>
          <w:p w:rsidR="0096768C" w:rsidRPr="006F20FF" w:rsidRDefault="0096768C" w:rsidP="00472B2D">
            <w:pPr>
              <w:jc w:val="both"/>
              <w:rPr>
                <w:rFonts w:eastAsia="Calibri"/>
                <w:sz w:val="20"/>
                <w:lang w:val="fr-CA"/>
              </w:rPr>
            </w:pPr>
            <w:r w:rsidRPr="006F20FF">
              <w:rPr>
                <w:rFonts w:eastAsia="Calibri"/>
                <w:sz w:val="20"/>
                <w:lang w:val="fr-CA"/>
              </w:rPr>
              <w:t>Cour suprême du Canada</w:t>
            </w: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Demande d’autorisation d’appel, déposée</w:t>
            </w:r>
          </w:p>
        </w:tc>
      </w:tr>
    </w:tbl>
    <w:p w:rsidR="00D96800" w:rsidRDefault="00D96800" w:rsidP="00D96800">
      <w:pPr>
        <w:rPr>
          <w:sz w:val="20"/>
          <w:szCs w:val="20"/>
        </w:rPr>
      </w:pPr>
    </w:p>
    <w:p w:rsidR="00D96800" w:rsidRDefault="006E182C" w:rsidP="00D96800">
      <w:pPr>
        <w:rPr>
          <w:sz w:val="20"/>
          <w:szCs w:val="20"/>
          <w:lang w:val="fr-CA"/>
        </w:rPr>
      </w:pPr>
      <w:r>
        <w:rPr>
          <w:sz w:val="20"/>
          <w:szCs w:val="20"/>
          <w:lang w:val="fr-CA"/>
        </w:rPr>
        <w:pict>
          <v:rect id="_x0000_i1061" style="width:2in;height:1pt" o:hrpct="0" o:hralign="center" o:hrstd="t" o:hrnoshade="t" o:hr="t" fillcolor="black [3213]" stroked="f"/>
        </w:pict>
      </w:r>
    </w:p>
    <w:p w:rsidR="00D96800" w:rsidRDefault="00D96800" w:rsidP="00D96800">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932BB" w:rsidRPr="008932BB" w:rsidTr="00D27A21">
        <w:trPr>
          <w:cantSplit/>
        </w:trPr>
        <w:tc>
          <w:tcPr>
            <w:tcW w:w="1458" w:type="dxa"/>
          </w:tcPr>
          <w:p w:rsidR="008932BB" w:rsidRPr="008932BB" w:rsidRDefault="008932BB" w:rsidP="008932BB">
            <w:pPr>
              <w:rPr>
                <w:sz w:val="20"/>
              </w:rPr>
            </w:pPr>
            <w:r w:rsidRPr="008932BB">
              <w:rPr>
                <w:b/>
                <w:sz w:val="20"/>
                <w:lang w:val="fr-CA"/>
              </w:rPr>
              <w:t>35783</w:t>
            </w:r>
          </w:p>
          <w:p w:rsidR="008932BB" w:rsidRPr="008932BB" w:rsidRDefault="008932BB" w:rsidP="008932BB">
            <w:pPr>
              <w:rPr>
                <w:b/>
                <w:sz w:val="20"/>
                <w:lang w:val="fr-CA"/>
              </w:rPr>
            </w:pPr>
          </w:p>
        </w:tc>
        <w:tc>
          <w:tcPr>
            <w:tcW w:w="8118" w:type="dxa"/>
          </w:tcPr>
          <w:p w:rsidR="008932BB" w:rsidRPr="008932BB" w:rsidRDefault="008932BB" w:rsidP="00C75B3A">
            <w:pPr>
              <w:jc w:val="both"/>
              <w:rPr>
                <w:sz w:val="20"/>
              </w:rPr>
            </w:pPr>
            <w:r w:rsidRPr="008932BB">
              <w:rPr>
                <w:b/>
                <w:sz w:val="20"/>
                <w:u w:val="single"/>
              </w:rPr>
              <w:t>Michael Melchior Trupei v. City of Toronto Inc.</w:t>
            </w:r>
            <w:r w:rsidR="00C75B3A">
              <w:rPr>
                <w:b/>
                <w:sz w:val="20"/>
                <w:u w:val="single"/>
              </w:rPr>
              <w:t xml:space="preserve"> and</w:t>
            </w:r>
            <w:r w:rsidRPr="008932BB">
              <w:rPr>
                <w:b/>
                <w:sz w:val="20"/>
                <w:u w:val="single"/>
              </w:rPr>
              <w:t xml:space="preserve"> 51 Police Division</w:t>
            </w:r>
            <w:r w:rsidRPr="008932BB">
              <w:rPr>
                <w:sz w:val="20"/>
              </w:rPr>
              <w:t xml:space="preserve"> (Ont.) (Civil) (By</w:t>
            </w:r>
            <w:r w:rsidR="00C75B3A">
              <w:rPr>
                <w:sz w:val="20"/>
              </w:rPr>
              <w:t> </w:t>
            </w:r>
            <w:r w:rsidRPr="008932BB">
              <w:rPr>
                <w:sz w:val="20"/>
              </w:rPr>
              <w:t>Leave)</w:t>
            </w:r>
          </w:p>
          <w:p w:rsidR="008932BB" w:rsidRPr="008932BB" w:rsidRDefault="008932BB" w:rsidP="00C75B3A">
            <w:pPr>
              <w:jc w:val="both"/>
              <w:rPr>
                <w:sz w:val="20"/>
              </w:rPr>
            </w:pPr>
          </w:p>
        </w:tc>
      </w:tr>
      <w:tr w:rsidR="008932BB" w:rsidRPr="008932BB" w:rsidTr="00D27A21">
        <w:trPr>
          <w:cantSplit/>
        </w:trPr>
        <w:tc>
          <w:tcPr>
            <w:tcW w:w="1458" w:type="dxa"/>
          </w:tcPr>
          <w:p w:rsidR="008932BB" w:rsidRPr="008932BB" w:rsidRDefault="008932BB" w:rsidP="008932BB">
            <w:pPr>
              <w:rPr>
                <w:sz w:val="20"/>
              </w:rPr>
            </w:pPr>
            <w:r w:rsidRPr="008932BB">
              <w:rPr>
                <w:sz w:val="20"/>
              </w:rPr>
              <w:t>Coram :</w:t>
            </w:r>
          </w:p>
        </w:tc>
        <w:tc>
          <w:tcPr>
            <w:tcW w:w="8118" w:type="dxa"/>
          </w:tcPr>
          <w:p w:rsidR="008932BB" w:rsidRPr="008932BB" w:rsidRDefault="008932BB" w:rsidP="008932BB">
            <w:pPr>
              <w:rPr>
                <w:sz w:val="20"/>
              </w:rPr>
            </w:pPr>
            <w:r w:rsidRPr="008932BB">
              <w:rPr>
                <w:sz w:val="20"/>
                <w:u w:val="single"/>
              </w:rPr>
              <w:t>LeBel, Karakatsanis and Wagner JJ.</w:t>
            </w:r>
          </w:p>
          <w:p w:rsidR="008932BB" w:rsidRPr="008932BB" w:rsidRDefault="008932BB" w:rsidP="008932BB">
            <w:pPr>
              <w:rPr>
                <w:sz w:val="20"/>
                <w:u w:val="single"/>
              </w:rPr>
            </w:pPr>
          </w:p>
        </w:tc>
      </w:tr>
      <w:tr w:rsidR="008932BB" w:rsidRPr="006E182C" w:rsidTr="00D27A21">
        <w:trPr>
          <w:cantSplit/>
        </w:trPr>
        <w:tc>
          <w:tcPr>
            <w:tcW w:w="9576" w:type="dxa"/>
            <w:gridSpan w:val="2"/>
          </w:tcPr>
          <w:p w:rsidR="008932BB" w:rsidRPr="008932BB" w:rsidRDefault="008932BB" w:rsidP="008932BB">
            <w:pPr>
              <w:ind w:firstLine="720"/>
              <w:jc w:val="both"/>
              <w:rPr>
                <w:sz w:val="20"/>
              </w:rPr>
            </w:pPr>
            <w:r w:rsidRPr="008932BB">
              <w:rPr>
                <w:sz w:val="20"/>
              </w:rPr>
              <w:t>The application for leave to appeal from the judgment of the Court of Appeal for Ontario, Number C57180, 2014 ONCA 46, dated January 17, 2014, is dismissed with costs.</w:t>
            </w:r>
          </w:p>
          <w:p w:rsidR="008932BB" w:rsidRPr="008932BB" w:rsidRDefault="008932BB" w:rsidP="008932BB">
            <w:pPr>
              <w:jc w:val="both"/>
              <w:rPr>
                <w:sz w:val="20"/>
              </w:rPr>
            </w:pPr>
          </w:p>
          <w:p w:rsidR="008932BB" w:rsidRPr="008932BB" w:rsidRDefault="008932BB" w:rsidP="008932BB">
            <w:pPr>
              <w:ind w:firstLine="720"/>
              <w:jc w:val="both"/>
              <w:rPr>
                <w:sz w:val="20"/>
                <w:lang w:val="fr-CA"/>
              </w:rPr>
            </w:pPr>
            <w:r w:rsidRPr="008932BB">
              <w:rPr>
                <w:sz w:val="20"/>
                <w:lang w:val="fr-CA"/>
              </w:rPr>
              <w:t>La demande d’autorisation d’appel de l’arrêt de la Cour d’appel de l’Ontario, numéro C57180, 2014 ONCA 46, daté du 17 janvier 2014, est rejetée avec dépens.</w:t>
            </w:r>
          </w:p>
        </w:tc>
      </w:tr>
    </w:tbl>
    <w:p w:rsidR="00D96800" w:rsidRPr="008932BB" w:rsidRDefault="00D96800" w:rsidP="000E2959">
      <w:pPr>
        <w:rPr>
          <w:sz w:val="20"/>
          <w:szCs w:val="20"/>
          <w:lang w:val="fr-CA"/>
        </w:rPr>
      </w:pPr>
    </w:p>
    <w:p w:rsidR="00D96800" w:rsidRPr="001B157C" w:rsidRDefault="00D96800" w:rsidP="00D96800">
      <w:pPr>
        <w:rPr>
          <w:sz w:val="20"/>
          <w:szCs w:val="20"/>
          <w:u w:val="single"/>
        </w:rPr>
      </w:pPr>
      <w:r w:rsidRPr="001B157C">
        <w:rPr>
          <w:sz w:val="20"/>
          <w:szCs w:val="20"/>
          <w:u w:val="single"/>
        </w:rPr>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Judgments and orders – Summary judgment – Respondents’ motion to strike applicant’s statement of claim and dismissing his action granted – Whether Court of Appeal erred or failed to give reasons as to why it would not give effect to applicant’s submission regarding misfeasance in public office, in finding motion judge committed no error and correctly applied the law, and why negligent investigation of theft of  backpack was not considered – Whether Court of Appeal failed to adjudicate applicant’s reserved issue that he was entitled to amend his statement of claim as of right.</w:t>
            </w:r>
          </w:p>
        </w:tc>
      </w:tr>
      <w:tr w:rsidR="0096768C" w:rsidRPr="006F20FF" w:rsidTr="00472B2D">
        <w:tc>
          <w:tcPr>
            <w:tcW w:w="5000" w:type="pct"/>
            <w:gridSpan w:val="3"/>
          </w:tcPr>
          <w:p w:rsidR="0096768C" w:rsidRPr="006F20FF" w:rsidRDefault="0096768C" w:rsidP="00472B2D">
            <w:pPr>
              <w:jc w:val="both"/>
              <w:rPr>
                <w:rFonts w:eastAsia="Calibri"/>
                <w:sz w:val="20"/>
              </w:rPr>
            </w:pPr>
          </w:p>
        </w:tc>
      </w:tr>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The applicant brought an action against the City of Toronto and 51 Police Division for the negligent investigation of the theft of his backpack in 2009 and for misfeasance in public office.  The respondents brought a motion to strike his claims and to dismiss his action.</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May 9, 2013</w:t>
            </w:r>
          </w:p>
          <w:p w:rsidR="0096768C" w:rsidRPr="006F20FF" w:rsidRDefault="0096768C" w:rsidP="00472B2D">
            <w:pPr>
              <w:jc w:val="both"/>
              <w:rPr>
                <w:rFonts w:eastAsia="Calibri"/>
                <w:sz w:val="20"/>
              </w:rPr>
            </w:pPr>
            <w:r w:rsidRPr="006F20FF">
              <w:rPr>
                <w:rFonts w:eastAsia="Calibri"/>
                <w:sz w:val="20"/>
              </w:rPr>
              <w:t>Ontario Superior Court of Justice</w:t>
            </w:r>
          </w:p>
          <w:p w:rsidR="0096768C" w:rsidRPr="006F20FF" w:rsidRDefault="0096768C" w:rsidP="00472B2D">
            <w:pPr>
              <w:jc w:val="both"/>
              <w:rPr>
                <w:rFonts w:eastAsia="Calibri"/>
                <w:sz w:val="20"/>
              </w:rPr>
            </w:pPr>
            <w:r w:rsidRPr="006F20FF">
              <w:rPr>
                <w:rFonts w:eastAsia="Calibri"/>
                <w:sz w:val="20"/>
              </w:rPr>
              <w:t>(McEwen J.)</w:t>
            </w:r>
          </w:p>
          <w:p w:rsidR="0096768C" w:rsidRPr="006F20FF" w:rsidRDefault="0096768C" w:rsidP="00472B2D">
            <w:pPr>
              <w:jc w:val="both"/>
              <w:rPr>
                <w:rFonts w:eastAsia="Calibri"/>
                <w:sz w:val="20"/>
              </w:rPr>
            </w:pPr>
            <w:r w:rsidRPr="006F20FF">
              <w:rPr>
                <w:rFonts w:eastAsia="Calibri"/>
                <w:sz w:val="20"/>
              </w:rPr>
              <w:t>Unreported</w:t>
            </w:r>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Applicant’s statement of claim struck without leave to amend</w:t>
            </w:r>
          </w:p>
          <w:p w:rsidR="0096768C" w:rsidRPr="006F20FF" w:rsidRDefault="0096768C" w:rsidP="00472B2D">
            <w:pPr>
              <w:jc w:val="both"/>
              <w:rPr>
                <w:rFonts w:eastAsia="Calibri"/>
                <w:sz w:val="20"/>
              </w:rPr>
            </w:pPr>
          </w:p>
        </w:tc>
      </w:tr>
      <w:tr w:rsidR="0096768C" w:rsidRPr="006F20FF" w:rsidTr="0008370D">
        <w:trPr>
          <w:cantSplit/>
        </w:trPr>
        <w:tc>
          <w:tcPr>
            <w:tcW w:w="2427" w:type="pct"/>
          </w:tcPr>
          <w:p w:rsidR="0096768C" w:rsidRPr="006F20FF" w:rsidRDefault="0096768C" w:rsidP="00472B2D">
            <w:pPr>
              <w:jc w:val="both"/>
              <w:rPr>
                <w:rFonts w:eastAsia="Calibri"/>
                <w:sz w:val="20"/>
              </w:rPr>
            </w:pPr>
            <w:r w:rsidRPr="006F20FF">
              <w:rPr>
                <w:rFonts w:eastAsia="Calibri"/>
                <w:sz w:val="20"/>
              </w:rPr>
              <w:lastRenderedPageBreak/>
              <w:t>January 17, 2014</w:t>
            </w:r>
          </w:p>
          <w:p w:rsidR="0096768C" w:rsidRPr="006F20FF" w:rsidRDefault="0096768C" w:rsidP="00472B2D">
            <w:pPr>
              <w:jc w:val="both"/>
              <w:rPr>
                <w:rFonts w:eastAsia="Calibri"/>
                <w:sz w:val="20"/>
              </w:rPr>
            </w:pPr>
            <w:r w:rsidRPr="006F20FF">
              <w:rPr>
                <w:rFonts w:eastAsia="Calibri"/>
                <w:sz w:val="20"/>
              </w:rPr>
              <w:t>Court of Appeal for Ontario</w:t>
            </w:r>
          </w:p>
          <w:p w:rsidR="0096768C" w:rsidRPr="006F20FF" w:rsidRDefault="0096768C" w:rsidP="00472B2D">
            <w:pPr>
              <w:jc w:val="both"/>
              <w:rPr>
                <w:rFonts w:eastAsia="Calibri"/>
                <w:sz w:val="20"/>
              </w:rPr>
            </w:pPr>
            <w:r w:rsidRPr="006F20FF">
              <w:rPr>
                <w:rFonts w:eastAsia="Calibri"/>
                <w:sz w:val="20"/>
              </w:rPr>
              <w:t>(Rouleau, Tulloch and Strathy J. (</w:t>
            </w:r>
            <w:r w:rsidRPr="006F20FF">
              <w:rPr>
                <w:rFonts w:eastAsia="Calibri"/>
                <w:i/>
                <w:sz w:val="20"/>
              </w:rPr>
              <w:t>ad hoc</w:t>
            </w:r>
            <w:r w:rsidRPr="006F20FF">
              <w:rPr>
                <w:rFonts w:eastAsia="Calibri"/>
                <w:sz w:val="20"/>
              </w:rPr>
              <w:t xml:space="preserve">) </w:t>
            </w:r>
          </w:p>
          <w:p w:rsidR="0096768C" w:rsidRPr="006F20FF" w:rsidRDefault="0096768C" w:rsidP="00472B2D">
            <w:pPr>
              <w:jc w:val="both"/>
              <w:rPr>
                <w:rFonts w:eastAsia="Calibri"/>
                <w:sz w:val="20"/>
              </w:rPr>
            </w:pPr>
            <w:r w:rsidRPr="006F20FF">
              <w:rPr>
                <w:rFonts w:eastAsia="Calibri"/>
                <w:sz w:val="20"/>
              </w:rPr>
              <w:t>JJ.A.)</w:t>
            </w:r>
          </w:p>
          <w:p w:rsidR="0096768C" w:rsidRPr="006F20FF" w:rsidRDefault="006E182C" w:rsidP="00472B2D">
            <w:pPr>
              <w:jc w:val="both"/>
              <w:rPr>
                <w:rFonts w:eastAsia="Calibri"/>
                <w:sz w:val="20"/>
              </w:rPr>
            </w:pPr>
            <w:hyperlink r:id="rId48" w:history="1">
              <w:r w:rsidR="0096768C" w:rsidRPr="006F20FF">
                <w:rPr>
                  <w:rFonts w:eastAsia="Calibri"/>
                  <w:color w:val="0000FF"/>
                  <w:sz w:val="20"/>
                  <w:u w:val="single"/>
                </w:rPr>
                <w:t>2014 ONCA 46</w:t>
              </w:r>
            </w:hyperlink>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Appeal dismissed</w:t>
            </w:r>
          </w:p>
          <w:p w:rsidR="0096768C" w:rsidRPr="006F20FF" w:rsidRDefault="0096768C" w:rsidP="00472B2D">
            <w:pPr>
              <w:jc w:val="both"/>
              <w:rPr>
                <w:rFonts w:eastAsia="Calibri"/>
                <w:sz w:val="20"/>
              </w:rPr>
            </w:pPr>
          </w:p>
        </w:tc>
      </w:tr>
      <w:tr w:rsidR="0096768C" w:rsidRPr="006F20FF" w:rsidTr="0008370D">
        <w:trPr>
          <w:cantSplit/>
        </w:trPr>
        <w:tc>
          <w:tcPr>
            <w:tcW w:w="2427" w:type="pct"/>
          </w:tcPr>
          <w:p w:rsidR="0096768C" w:rsidRPr="006F20FF" w:rsidRDefault="0096768C" w:rsidP="00472B2D">
            <w:pPr>
              <w:jc w:val="both"/>
              <w:rPr>
                <w:rFonts w:eastAsia="Calibri"/>
                <w:sz w:val="20"/>
              </w:rPr>
            </w:pPr>
            <w:r w:rsidRPr="006F20FF">
              <w:rPr>
                <w:rFonts w:eastAsia="Calibri"/>
                <w:sz w:val="20"/>
              </w:rPr>
              <w:t>March 14, 2014</w:t>
            </w:r>
          </w:p>
          <w:p w:rsidR="0096768C" w:rsidRPr="006F20FF" w:rsidRDefault="0096768C" w:rsidP="00472B2D">
            <w:pPr>
              <w:jc w:val="both"/>
              <w:rPr>
                <w:rFonts w:eastAsia="Calibri"/>
                <w:sz w:val="20"/>
              </w:rPr>
            </w:pPr>
            <w:r w:rsidRPr="006F20FF">
              <w:rPr>
                <w:rFonts w:eastAsia="Calibri"/>
                <w:sz w:val="20"/>
              </w:rPr>
              <w:t>Supreme Court of Canada</w:t>
            </w: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Application for leave to appeal filed</w:t>
            </w:r>
          </w:p>
          <w:p w:rsidR="0096768C" w:rsidRPr="006F20FF" w:rsidRDefault="0096768C" w:rsidP="00472B2D">
            <w:pPr>
              <w:jc w:val="both"/>
              <w:rPr>
                <w:rFonts w:eastAsia="Calibri"/>
                <w:sz w:val="20"/>
              </w:rPr>
            </w:pP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62"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E182C"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Jugements et ordonnances – Jugement sommaire – Motion des intimées en radiation de la déclaration du demandeur et en rejet de son action accueillie – La Cour d’appel a-t-elle fait erreur ou omis de motiver son refus de retenir l’argument du demandeur au sujet de la faute dans l’exercice d’une charge publique, en concluant que le juge saisi de la motion n’avait commis aucune erreur et avait bien appliqué le droit, et pourquoi l’enquête négligente sur le vol du sac à dos n’a-t-elle pas été prise en considération? – La Cour d’appel a-t-elle omis de se prononcer sur l’argument en réserve du demandeur selon lequel il était autorisé de plein droit à modifier sa déclaration? </w:t>
            </w:r>
          </w:p>
        </w:tc>
      </w:tr>
      <w:tr w:rsidR="0096768C" w:rsidRPr="006E182C" w:rsidTr="00472B2D">
        <w:tc>
          <w:tcPr>
            <w:tcW w:w="5000" w:type="pct"/>
            <w:gridSpan w:val="3"/>
          </w:tcPr>
          <w:p w:rsidR="0096768C" w:rsidRPr="006F20FF" w:rsidRDefault="0096768C" w:rsidP="00472B2D">
            <w:pPr>
              <w:jc w:val="both"/>
              <w:rPr>
                <w:rFonts w:eastAsia="Calibri"/>
                <w:sz w:val="20"/>
                <w:lang w:val="fr-CA"/>
              </w:rPr>
            </w:pPr>
          </w:p>
        </w:tc>
      </w:tr>
      <w:tr w:rsidR="0096768C" w:rsidRPr="006E182C"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Le demandeur a intenté une action contre la ville de Toronto et la Division de police 51 pour enquête négligente sur le vol de son sac à dos en 2009 et pour faute dans l’exercice d’une charge publique.  Les intimées ont présenté une motion en radiation de ses demandes et en rejet de son action. </w:t>
            </w:r>
          </w:p>
          <w:p w:rsidR="0096768C" w:rsidRPr="006F20FF" w:rsidRDefault="0096768C" w:rsidP="00472B2D">
            <w:pPr>
              <w:jc w:val="both"/>
              <w:rPr>
                <w:rFonts w:eastAsia="Calibri"/>
                <w:sz w:val="20"/>
                <w:lang w:val="fr-CA"/>
              </w:rPr>
            </w:pPr>
          </w:p>
        </w:tc>
      </w:tr>
      <w:tr w:rsidR="0096768C" w:rsidRPr="006E182C" w:rsidTr="00472B2D">
        <w:tc>
          <w:tcPr>
            <w:tcW w:w="2427" w:type="pct"/>
          </w:tcPr>
          <w:p w:rsidR="0096768C" w:rsidRPr="006F20FF" w:rsidRDefault="0096768C" w:rsidP="00472B2D">
            <w:pPr>
              <w:jc w:val="both"/>
              <w:rPr>
                <w:rFonts w:eastAsia="Calibri"/>
                <w:sz w:val="20"/>
                <w:lang w:val="fr-CA"/>
              </w:rPr>
            </w:pPr>
            <w:r w:rsidRPr="006F20FF">
              <w:rPr>
                <w:rFonts w:eastAsia="Calibri"/>
                <w:sz w:val="20"/>
                <w:lang w:val="fr-CA"/>
              </w:rPr>
              <w:t>9 mai 2013</w:t>
            </w:r>
          </w:p>
          <w:p w:rsidR="0096768C" w:rsidRPr="006F20FF" w:rsidRDefault="0096768C" w:rsidP="00472B2D">
            <w:pPr>
              <w:jc w:val="both"/>
              <w:rPr>
                <w:rFonts w:eastAsia="Calibri"/>
                <w:sz w:val="20"/>
                <w:lang w:val="fr-CA"/>
              </w:rPr>
            </w:pPr>
            <w:r w:rsidRPr="006F20FF">
              <w:rPr>
                <w:rFonts w:eastAsia="Calibri"/>
                <w:sz w:val="20"/>
                <w:lang w:val="fr-CA"/>
              </w:rPr>
              <w:t xml:space="preserve">Cour supérieure de justice de l’Ontario </w:t>
            </w:r>
          </w:p>
          <w:p w:rsidR="0096768C" w:rsidRPr="006F20FF" w:rsidRDefault="0096768C" w:rsidP="00472B2D">
            <w:pPr>
              <w:jc w:val="both"/>
              <w:rPr>
                <w:rFonts w:eastAsia="Calibri"/>
                <w:sz w:val="20"/>
              </w:rPr>
            </w:pPr>
            <w:r w:rsidRPr="006F20FF">
              <w:rPr>
                <w:rFonts w:eastAsia="Calibri"/>
                <w:sz w:val="20"/>
              </w:rPr>
              <w:t>(Juge McEwen)</w:t>
            </w:r>
          </w:p>
          <w:p w:rsidR="0096768C" w:rsidRPr="006F20FF" w:rsidRDefault="0096768C" w:rsidP="00472B2D">
            <w:pPr>
              <w:jc w:val="both"/>
              <w:rPr>
                <w:rFonts w:eastAsia="Calibri"/>
                <w:sz w:val="20"/>
              </w:rPr>
            </w:pPr>
            <w:r w:rsidRPr="006F20FF">
              <w:rPr>
                <w:rFonts w:eastAsia="Calibri"/>
                <w:sz w:val="20"/>
              </w:rPr>
              <w:t>Non publiée</w:t>
            </w:r>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 xml:space="preserve">Déclaration du demandeur radiée sans autorisation de la modifier </w:t>
            </w:r>
          </w:p>
          <w:p w:rsidR="0096768C" w:rsidRPr="006F20FF" w:rsidRDefault="0096768C" w:rsidP="00472B2D">
            <w:pPr>
              <w:jc w:val="both"/>
              <w:rPr>
                <w:rFonts w:eastAsia="Calibri"/>
                <w:sz w:val="20"/>
                <w:lang w:val="fr-CA"/>
              </w:rPr>
            </w:pPr>
          </w:p>
        </w:tc>
      </w:tr>
      <w:tr w:rsidR="0096768C" w:rsidRPr="006F20FF" w:rsidTr="00472B2D">
        <w:tc>
          <w:tcPr>
            <w:tcW w:w="2427" w:type="pct"/>
          </w:tcPr>
          <w:p w:rsidR="0096768C" w:rsidRPr="006F20FF" w:rsidRDefault="0096768C" w:rsidP="00472B2D">
            <w:pPr>
              <w:jc w:val="both"/>
              <w:rPr>
                <w:rFonts w:eastAsia="Calibri"/>
                <w:sz w:val="20"/>
                <w:lang w:val="fr-CA"/>
              </w:rPr>
            </w:pPr>
            <w:r w:rsidRPr="006F20FF">
              <w:rPr>
                <w:rFonts w:eastAsia="Calibri"/>
                <w:sz w:val="20"/>
                <w:lang w:val="fr-CA"/>
              </w:rPr>
              <w:t>17 janvier 2014</w:t>
            </w:r>
          </w:p>
          <w:p w:rsidR="0096768C" w:rsidRPr="006F20FF" w:rsidRDefault="0096768C" w:rsidP="00472B2D">
            <w:pPr>
              <w:jc w:val="both"/>
              <w:rPr>
                <w:rFonts w:eastAsia="Calibri"/>
                <w:sz w:val="20"/>
                <w:lang w:val="fr-CA"/>
              </w:rPr>
            </w:pPr>
            <w:r w:rsidRPr="006F20FF">
              <w:rPr>
                <w:rFonts w:eastAsia="Calibri"/>
                <w:sz w:val="20"/>
                <w:lang w:val="fr-CA"/>
              </w:rPr>
              <w:t>Cour d’appel de l’Ontario</w:t>
            </w:r>
          </w:p>
          <w:p w:rsidR="0096768C" w:rsidRPr="006F20FF" w:rsidRDefault="0096768C" w:rsidP="00472B2D">
            <w:pPr>
              <w:jc w:val="both"/>
              <w:rPr>
                <w:rFonts w:eastAsia="Calibri"/>
                <w:sz w:val="20"/>
                <w:lang w:val="fr-CA"/>
              </w:rPr>
            </w:pPr>
            <w:r w:rsidRPr="006F20FF">
              <w:rPr>
                <w:rFonts w:eastAsia="Calibri"/>
                <w:sz w:val="20"/>
                <w:lang w:val="fr-CA"/>
              </w:rPr>
              <w:t>(Juges Rouleau, Tulloch et Strathy (</w:t>
            </w:r>
            <w:r w:rsidRPr="006F20FF">
              <w:rPr>
                <w:rFonts w:eastAsia="Calibri"/>
                <w:i/>
                <w:sz w:val="20"/>
                <w:lang w:val="fr-CA"/>
              </w:rPr>
              <w:t>ad hoc</w:t>
            </w:r>
            <w:r w:rsidRPr="006F20FF">
              <w:rPr>
                <w:rFonts w:eastAsia="Calibri"/>
                <w:sz w:val="20"/>
                <w:lang w:val="fr-CA"/>
              </w:rPr>
              <w:t>))</w:t>
            </w:r>
          </w:p>
          <w:p w:rsidR="0096768C" w:rsidRPr="006F20FF" w:rsidRDefault="006E182C" w:rsidP="00472B2D">
            <w:pPr>
              <w:jc w:val="both"/>
              <w:rPr>
                <w:rFonts w:eastAsia="Calibri"/>
                <w:sz w:val="20"/>
              </w:rPr>
            </w:pPr>
            <w:hyperlink r:id="rId49" w:history="1">
              <w:r w:rsidR="0096768C" w:rsidRPr="006F20FF">
                <w:rPr>
                  <w:rFonts w:eastAsia="Calibri"/>
                  <w:color w:val="0000FF"/>
                  <w:sz w:val="20"/>
                  <w:u w:val="single"/>
                </w:rPr>
                <w:t>2014 ONCA 46</w:t>
              </w:r>
            </w:hyperlink>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Appel rejeté</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lang w:val="fr-CA"/>
              </w:rPr>
            </w:pPr>
            <w:r w:rsidRPr="006F20FF">
              <w:rPr>
                <w:rFonts w:eastAsia="Calibri"/>
                <w:sz w:val="20"/>
                <w:lang w:val="fr-CA"/>
              </w:rPr>
              <w:t>14 mars 2014</w:t>
            </w:r>
          </w:p>
          <w:p w:rsidR="0096768C" w:rsidRPr="006F20FF" w:rsidRDefault="0096768C" w:rsidP="00472B2D">
            <w:pPr>
              <w:jc w:val="both"/>
              <w:rPr>
                <w:rFonts w:eastAsia="Calibri"/>
                <w:sz w:val="20"/>
                <w:lang w:val="fr-CA"/>
              </w:rPr>
            </w:pPr>
            <w:r w:rsidRPr="006F20FF">
              <w:rPr>
                <w:rFonts w:eastAsia="Calibri"/>
                <w:sz w:val="20"/>
                <w:lang w:val="fr-CA"/>
              </w:rPr>
              <w:t>Cour suprême du Canada</w:t>
            </w: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rPr>
            </w:pPr>
            <w:r w:rsidRPr="006F20FF">
              <w:rPr>
                <w:rFonts w:eastAsia="Calibri"/>
                <w:sz w:val="20"/>
                <w:lang w:val="fr-CA"/>
              </w:rPr>
              <w:t xml:space="preserve">Demande d’autorisation d’appel déposée </w:t>
            </w:r>
          </w:p>
          <w:p w:rsidR="0096768C" w:rsidRPr="006F20FF" w:rsidRDefault="0096768C" w:rsidP="00472B2D">
            <w:pPr>
              <w:jc w:val="both"/>
              <w:rPr>
                <w:rFonts w:eastAsia="Calibri"/>
                <w:sz w:val="20"/>
              </w:rPr>
            </w:pPr>
          </w:p>
        </w:tc>
      </w:tr>
    </w:tbl>
    <w:p w:rsidR="00D96800" w:rsidRDefault="00D96800" w:rsidP="00D96800">
      <w:pPr>
        <w:rPr>
          <w:sz w:val="20"/>
          <w:szCs w:val="20"/>
        </w:rPr>
      </w:pPr>
    </w:p>
    <w:p w:rsidR="00D96800" w:rsidRDefault="006E182C" w:rsidP="00D96800">
      <w:pPr>
        <w:rPr>
          <w:sz w:val="20"/>
          <w:szCs w:val="20"/>
          <w:lang w:val="fr-CA"/>
        </w:rPr>
      </w:pPr>
      <w:r>
        <w:rPr>
          <w:sz w:val="20"/>
          <w:szCs w:val="20"/>
          <w:lang w:val="fr-CA"/>
        </w:rPr>
        <w:pict>
          <v:rect id="_x0000_i1063" style="width:2in;height:1pt" o:hrpct="0" o:hralign="center" o:hrstd="t" o:hrnoshade="t" o:hr="t" fillcolor="black [3213]" stroked="f"/>
        </w:pict>
      </w:r>
    </w:p>
    <w:p w:rsidR="00D96800" w:rsidRDefault="00D96800" w:rsidP="00D96800">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8370D" w:rsidRPr="0008370D" w:rsidTr="00D27A21">
        <w:trPr>
          <w:cantSplit/>
        </w:trPr>
        <w:tc>
          <w:tcPr>
            <w:tcW w:w="1458" w:type="dxa"/>
          </w:tcPr>
          <w:p w:rsidR="0008370D" w:rsidRPr="0008370D" w:rsidRDefault="0008370D" w:rsidP="0008370D">
            <w:pPr>
              <w:rPr>
                <w:sz w:val="20"/>
              </w:rPr>
            </w:pPr>
            <w:r w:rsidRPr="0008370D">
              <w:rPr>
                <w:b/>
                <w:sz w:val="20"/>
                <w:lang w:val="fr-CA"/>
              </w:rPr>
              <w:t>35793</w:t>
            </w:r>
          </w:p>
          <w:p w:rsidR="0008370D" w:rsidRPr="0008370D" w:rsidRDefault="0008370D" w:rsidP="0008370D">
            <w:pPr>
              <w:rPr>
                <w:b/>
                <w:sz w:val="20"/>
                <w:lang w:val="fr-CA"/>
              </w:rPr>
            </w:pPr>
          </w:p>
        </w:tc>
        <w:tc>
          <w:tcPr>
            <w:tcW w:w="8118" w:type="dxa"/>
          </w:tcPr>
          <w:p w:rsidR="0008370D" w:rsidRPr="0008370D" w:rsidRDefault="0008370D" w:rsidP="0008370D">
            <w:pPr>
              <w:rPr>
                <w:sz w:val="20"/>
              </w:rPr>
            </w:pPr>
            <w:r w:rsidRPr="0008370D">
              <w:rPr>
                <w:b/>
                <w:sz w:val="20"/>
                <w:u w:val="single"/>
              </w:rPr>
              <w:t>Larry Peter Klippenstein v. Manitoba Ombudsman</w:t>
            </w:r>
            <w:r w:rsidRPr="0008370D">
              <w:rPr>
                <w:sz w:val="20"/>
              </w:rPr>
              <w:t xml:space="preserve"> (Man.) (Civil) (By Leave)</w:t>
            </w:r>
          </w:p>
          <w:p w:rsidR="0008370D" w:rsidRPr="0008370D" w:rsidRDefault="0008370D" w:rsidP="0008370D">
            <w:pPr>
              <w:rPr>
                <w:sz w:val="20"/>
              </w:rPr>
            </w:pPr>
          </w:p>
        </w:tc>
      </w:tr>
      <w:tr w:rsidR="0008370D" w:rsidRPr="0008370D" w:rsidTr="00D27A21">
        <w:trPr>
          <w:cantSplit/>
        </w:trPr>
        <w:tc>
          <w:tcPr>
            <w:tcW w:w="1458" w:type="dxa"/>
          </w:tcPr>
          <w:p w:rsidR="0008370D" w:rsidRPr="0008370D" w:rsidRDefault="0008370D" w:rsidP="0008370D">
            <w:pPr>
              <w:rPr>
                <w:sz w:val="20"/>
              </w:rPr>
            </w:pPr>
            <w:r w:rsidRPr="0008370D">
              <w:rPr>
                <w:sz w:val="20"/>
              </w:rPr>
              <w:t>Coram :</w:t>
            </w:r>
          </w:p>
        </w:tc>
        <w:tc>
          <w:tcPr>
            <w:tcW w:w="8118" w:type="dxa"/>
          </w:tcPr>
          <w:p w:rsidR="0008370D" w:rsidRPr="0008370D" w:rsidRDefault="0008370D" w:rsidP="0008370D">
            <w:pPr>
              <w:rPr>
                <w:sz w:val="20"/>
              </w:rPr>
            </w:pPr>
            <w:r w:rsidRPr="0008370D">
              <w:rPr>
                <w:sz w:val="20"/>
                <w:u w:val="single"/>
              </w:rPr>
              <w:t>McLachlin C.J. and Cromwell and Wagner JJ.</w:t>
            </w:r>
          </w:p>
          <w:p w:rsidR="0008370D" w:rsidRPr="0008370D" w:rsidRDefault="0008370D" w:rsidP="0008370D">
            <w:pPr>
              <w:rPr>
                <w:sz w:val="20"/>
                <w:u w:val="single"/>
              </w:rPr>
            </w:pPr>
          </w:p>
        </w:tc>
      </w:tr>
      <w:tr w:rsidR="0008370D" w:rsidRPr="006E182C" w:rsidTr="00D27A21">
        <w:trPr>
          <w:cantSplit/>
        </w:trPr>
        <w:tc>
          <w:tcPr>
            <w:tcW w:w="9576" w:type="dxa"/>
            <w:gridSpan w:val="2"/>
          </w:tcPr>
          <w:p w:rsidR="0008370D" w:rsidRPr="0008370D" w:rsidRDefault="0008370D" w:rsidP="0008370D">
            <w:pPr>
              <w:ind w:firstLine="720"/>
              <w:jc w:val="both"/>
              <w:rPr>
                <w:sz w:val="20"/>
              </w:rPr>
            </w:pPr>
            <w:r w:rsidRPr="0008370D">
              <w:rPr>
                <w:sz w:val="20"/>
              </w:rPr>
              <w:t>The motion for a sealing order is dismissed.  The application for leave to appeal from the judgment of the Court of Appeal of Manitoba, Number AI 13-30-08075, dated January 30, 2014, is dismissed without costs.</w:t>
            </w:r>
          </w:p>
          <w:p w:rsidR="0008370D" w:rsidRPr="0008370D" w:rsidRDefault="0008370D" w:rsidP="0008370D">
            <w:pPr>
              <w:jc w:val="both"/>
              <w:rPr>
                <w:sz w:val="20"/>
              </w:rPr>
            </w:pPr>
          </w:p>
          <w:p w:rsidR="0008370D" w:rsidRPr="0008370D" w:rsidRDefault="0008370D" w:rsidP="0008370D">
            <w:pPr>
              <w:ind w:firstLine="720"/>
              <w:jc w:val="both"/>
              <w:rPr>
                <w:sz w:val="20"/>
                <w:lang w:val="fr-CA"/>
              </w:rPr>
            </w:pPr>
            <w:r w:rsidRPr="0008370D">
              <w:rPr>
                <w:sz w:val="20"/>
                <w:lang w:val="fr-CA"/>
              </w:rPr>
              <w:t>La requête visant à obtenir une ordonnance de mise sous scellés est rejetée.  La demande d’autorisation d’appel de l’arrêt de la Cour d’appel du Manitoba, numéro AI 13-30-08075, daté du 30 janvier 2014, est rejetée sans dépens.</w:t>
            </w:r>
          </w:p>
        </w:tc>
      </w:tr>
    </w:tbl>
    <w:p w:rsidR="00D96800" w:rsidRPr="0008370D" w:rsidRDefault="00D96800" w:rsidP="000E2959">
      <w:pPr>
        <w:rPr>
          <w:sz w:val="20"/>
          <w:szCs w:val="20"/>
          <w:lang w:val="fr-CA"/>
        </w:rPr>
      </w:pPr>
    </w:p>
    <w:p w:rsidR="00D96800" w:rsidRPr="001B157C" w:rsidRDefault="00D96800" w:rsidP="00D96800">
      <w:pPr>
        <w:rPr>
          <w:sz w:val="20"/>
          <w:szCs w:val="20"/>
          <w:u w:val="single"/>
        </w:rPr>
      </w:pPr>
      <w:r w:rsidRPr="001B157C">
        <w:rPr>
          <w:sz w:val="20"/>
          <w:szCs w:val="20"/>
          <w:u w:val="single"/>
        </w:rPr>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F20FF" w:rsidTr="00472B2D">
        <w:tc>
          <w:tcPr>
            <w:tcW w:w="5000" w:type="pct"/>
            <w:gridSpan w:val="3"/>
          </w:tcPr>
          <w:p w:rsidR="0096768C" w:rsidRPr="006F20FF" w:rsidRDefault="0096768C" w:rsidP="00472B2D">
            <w:pPr>
              <w:jc w:val="both"/>
              <w:rPr>
                <w:rFonts w:eastAsia="Calibri"/>
                <w:smallCaps/>
                <w:sz w:val="20"/>
              </w:rPr>
            </w:pPr>
            <w:r w:rsidRPr="006F20FF">
              <w:rPr>
                <w:rFonts w:eastAsia="Calibri"/>
                <w:smallCaps/>
                <w:sz w:val="20"/>
              </w:rPr>
              <w:t xml:space="preserve">(Court </w:t>
            </w:r>
            <w:r>
              <w:rPr>
                <w:rFonts w:eastAsia="Calibri"/>
                <w:smallCaps/>
                <w:sz w:val="20"/>
              </w:rPr>
              <w:t>F</w:t>
            </w:r>
            <w:r w:rsidRPr="006F20FF">
              <w:rPr>
                <w:rFonts w:eastAsia="Calibri"/>
                <w:smallCaps/>
                <w:sz w:val="20"/>
              </w:rPr>
              <w:t xml:space="preserve">ile </w:t>
            </w:r>
            <w:r>
              <w:rPr>
                <w:rFonts w:eastAsia="Calibri"/>
                <w:smallCaps/>
                <w:sz w:val="20"/>
              </w:rPr>
              <w:t>C</w:t>
            </w:r>
            <w:r w:rsidRPr="006F20FF">
              <w:rPr>
                <w:rFonts w:eastAsia="Calibri"/>
                <w:smallCaps/>
                <w:sz w:val="20"/>
              </w:rPr>
              <w:t xml:space="preserve">ontains </w:t>
            </w:r>
            <w:r>
              <w:rPr>
                <w:rFonts w:eastAsia="Calibri"/>
                <w:smallCaps/>
                <w:sz w:val="20"/>
              </w:rPr>
              <w:t>I</w:t>
            </w:r>
            <w:r w:rsidRPr="006F20FF">
              <w:rPr>
                <w:rFonts w:eastAsia="Calibri"/>
                <w:smallCaps/>
                <w:sz w:val="20"/>
              </w:rPr>
              <w:t xml:space="preserve">nformation </w:t>
            </w:r>
            <w:r>
              <w:rPr>
                <w:rFonts w:eastAsia="Calibri"/>
                <w:smallCaps/>
                <w:sz w:val="20"/>
              </w:rPr>
              <w:t>T</w:t>
            </w:r>
            <w:r w:rsidRPr="006F20FF">
              <w:rPr>
                <w:rFonts w:eastAsia="Calibri"/>
                <w:smallCaps/>
                <w:sz w:val="20"/>
              </w:rPr>
              <w:t xml:space="preserve">hat is not </w:t>
            </w:r>
            <w:r>
              <w:rPr>
                <w:rFonts w:eastAsia="Calibri"/>
                <w:smallCaps/>
                <w:sz w:val="20"/>
              </w:rPr>
              <w:t>A</w:t>
            </w:r>
            <w:r w:rsidRPr="006F20FF">
              <w:rPr>
                <w:rFonts w:eastAsia="Calibri"/>
                <w:smallCaps/>
                <w:sz w:val="20"/>
              </w:rPr>
              <w:t xml:space="preserve">vailable for </w:t>
            </w:r>
            <w:r>
              <w:rPr>
                <w:rFonts w:eastAsia="Calibri"/>
                <w:smallCaps/>
                <w:sz w:val="20"/>
              </w:rPr>
              <w:t>I</w:t>
            </w:r>
            <w:r w:rsidRPr="006F20FF">
              <w:rPr>
                <w:rFonts w:eastAsia="Calibri"/>
                <w:smallCaps/>
                <w:sz w:val="20"/>
              </w:rPr>
              <w:t xml:space="preserve">nspection by the </w:t>
            </w:r>
            <w:r>
              <w:rPr>
                <w:rFonts w:eastAsia="Calibri"/>
                <w:smallCaps/>
                <w:sz w:val="20"/>
              </w:rPr>
              <w:t>P</w:t>
            </w:r>
            <w:r w:rsidRPr="006F20FF">
              <w:rPr>
                <w:rFonts w:eastAsia="Calibri"/>
                <w:smallCaps/>
                <w:sz w:val="20"/>
              </w:rPr>
              <w:t>ublic)</w:t>
            </w:r>
          </w:p>
          <w:p w:rsidR="0096768C" w:rsidRPr="006F20FF" w:rsidRDefault="0096768C" w:rsidP="00472B2D">
            <w:pPr>
              <w:jc w:val="both"/>
              <w:rPr>
                <w:rFonts w:eastAsia="Calibri"/>
                <w:sz w:val="20"/>
              </w:rPr>
            </w:pPr>
          </w:p>
          <w:p w:rsidR="0096768C" w:rsidRDefault="0096768C" w:rsidP="00472B2D">
            <w:pPr>
              <w:jc w:val="both"/>
              <w:rPr>
                <w:rFonts w:eastAsia="Calibri"/>
                <w:sz w:val="20"/>
              </w:rPr>
            </w:pPr>
            <w:r w:rsidRPr="006F20FF">
              <w:rPr>
                <w:rFonts w:eastAsia="Calibri"/>
                <w:i/>
                <w:sz w:val="20"/>
              </w:rPr>
              <w:t>Charter</w:t>
            </w:r>
            <w:r w:rsidRPr="006F20FF">
              <w:rPr>
                <w:rFonts w:eastAsia="Calibri"/>
                <w:sz w:val="20"/>
              </w:rPr>
              <w:t xml:space="preserve"> — Discrimination on the basis of mental disability — Life, liberty and security of the person —  Freedom of religion — Applicant initiating proceedings against respondent — Respondent seeking a stay of proceedings, alleging that the applicant may lack the legal capacity to initiate proceedings on his own behalf — Whether Court of Appeal erred in law by denying applicant the right to file a motion to challenge the basis of respondent’s motion for a stay — Whether decision of Court of Appeal denies the applicant’s right under s. 7 of the </w:t>
            </w:r>
            <w:r w:rsidRPr="006F20FF">
              <w:rPr>
                <w:rFonts w:eastAsia="Calibri"/>
                <w:i/>
                <w:sz w:val="20"/>
              </w:rPr>
              <w:t>Charter</w:t>
            </w:r>
            <w:r w:rsidRPr="006F20FF">
              <w:rPr>
                <w:rFonts w:eastAsia="Calibri"/>
                <w:sz w:val="20"/>
              </w:rPr>
              <w:t xml:space="preserve"> to have equal opportunity before and under the law to pursue access to justice or whether that decision discriminates against him on the basis of mental disability insofar as it allowed respondent’s motion for a stay of proceedings on the basis of mental incapacity to proceed — Whether Court of Appeal breached applicant’s right to freedom of religion by failing to provide the applicant an “authentic” Bible upon which to swear his oath — </w:t>
            </w:r>
            <w:r w:rsidRPr="006F20FF">
              <w:rPr>
                <w:rFonts w:eastAsia="Calibri"/>
                <w:i/>
                <w:sz w:val="20"/>
              </w:rPr>
              <w:t>Canadian Charter of Rights and Freedoms</w:t>
            </w:r>
            <w:r w:rsidRPr="006F20FF">
              <w:rPr>
                <w:rFonts w:eastAsia="Calibri"/>
                <w:sz w:val="20"/>
              </w:rPr>
              <w:t>, ss. 2(a), 7 and 15.</w:t>
            </w:r>
          </w:p>
          <w:p w:rsidR="0008370D" w:rsidRPr="006F20FF" w:rsidRDefault="0008370D" w:rsidP="00472B2D">
            <w:pPr>
              <w:jc w:val="both"/>
              <w:rPr>
                <w:rFonts w:eastAsia="Calibri"/>
                <w:sz w:val="20"/>
              </w:rPr>
            </w:pPr>
          </w:p>
        </w:tc>
      </w:tr>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 xml:space="preserve">The applicant describes himself as a person under the care of another who has the authority to exercise the applicant’s rights on his behalf. </w:t>
            </w:r>
          </w:p>
          <w:p w:rsidR="0096768C" w:rsidRPr="006F20FF" w:rsidRDefault="0096768C" w:rsidP="00472B2D">
            <w:pPr>
              <w:jc w:val="both"/>
              <w:rPr>
                <w:rFonts w:eastAsia="Calibri"/>
                <w:sz w:val="20"/>
              </w:rPr>
            </w:pPr>
          </w:p>
          <w:p w:rsidR="0096768C" w:rsidRPr="006F20FF" w:rsidRDefault="0096768C" w:rsidP="00472B2D">
            <w:pPr>
              <w:jc w:val="both"/>
              <w:rPr>
                <w:rFonts w:eastAsia="Calibri"/>
                <w:sz w:val="20"/>
              </w:rPr>
            </w:pPr>
            <w:r w:rsidRPr="006F20FF">
              <w:rPr>
                <w:rFonts w:eastAsia="Calibri"/>
                <w:sz w:val="20"/>
              </w:rPr>
              <w:t xml:space="preserve">In September 2013, the applicant filed a statement of claim naming Manitoba Ombudsman as the sole defendant.  The applicant alleged that the Ombudsman acted in “bad faith” in not responding to a request made by him under the </w:t>
            </w:r>
            <w:r w:rsidRPr="006F20FF">
              <w:rPr>
                <w:rFonts w:eastAsia="Calibri"/>
                <w:i/>
                <w:sz w:val="20"/>
              </w:rPr>
              <w:t xml:space="preserve">Freedom of Information and Protection of Privacy Act, </w:t>
            </w:r>
            <w:r w:rsidRPr="006F20FF">
              <w:rPr>
                <w:rFonts w:eastAsia="Calibri"/>
                <w:sz w:val="20"/>
              </w:rPr>
              <w:t xml:space="preserve">C.C.S.M., c. F175 and in refusing to investigate allegations raised by him pertaining to “criminal conduct against his person”. </w:t>
            </w:r>
          </w:p>
          <w:p w:rsidR="0096768C" w:rsidRPr="006F20FF" w:rsidRDefault="0096768C" w:rsidP="00472B2D">
            <w:pPr>
              <w:jc w:val="both"/>
              <w:rPr>
                <w:rFonts w:eastAsia="Calibri"/>
                <w:sz w:val="20"/>
              </w:rPr>
            </w:pPr>
          </w:p>
          <w:p w:rsidR="0096768C" w:rsidRPr="006F20FF" w:rsidRDefault="0096768C" w:rsidP="00472B2D">
            <w:pPr>
              <w:jc w:val="both"/>
              <w:rPr>
                <w:rFonts w:eastAsia="Calibri"/>
                <w:sz w:val="20"/>
              </w:rPr>
            </w:pPr>
            <w:r w:rsidRPr="006F20FF">
              <w:rPr>
                <w:rFonts w:eastAsia="Calibri"/>
                <w:sz w:val="20"/>
              </w:rPr>
              <w:t xml:space="preserve">In the context of those proceedings, the applicant sought a declaration that he is competent to handle his own affairs as well as an order removing or replacing his Health Care Proxy and Enduring Power of Attorney.  The respondent, in turn, filed a motion for an order staying the applicant’s action, alleging that he lacked the capacity to initiate legal proceedings on his own behalf. </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October 15, 2013</w:t>
            </w:r>
          </w:p>
          <w:p w:rsidR="0096768C" w:rsidRPr="006F20FF" w:rsidRDefault="0096768C" w:rsidP="00472B2D">
            <w:pPr>
              <w:jc w:val="both"/>
              <w:rPr>
                <w:rFonts w:eastAsia="Calibri"/>
                <w:sz w:val="20"/>
              </w:rPr>
            </w:pPr>
            <w:r w:rsidRPr="006F20FF">
              <w:rPr>
                <w:rFonts w:eastAsia="Calibri"/>
                <w:sz w:val="20"/>
              </w:rPr>
              <w:t>Court of Queen’s Bench (Winnipeg)</w:t>
            </w:r>
          </w:p>
          <w:p w:rsidR="0096768C" w:rsidRPr="006F20FF" w:rsidRDefault="0096768C" w:rsidP="00472B2D">
            <w:pPr>
              <w:jc w:val="both"/>
              <w:rPr>
                <w:rFonts w:eastAsia="Calibri"/>
                <w:sz w:val="20"/>
              </w:rPr>
            </w:pPr>
            <w:r w:rsidRPr="006F20FF">
              <w:rPr>
                <w:rFonts w:eastAsia="Calibri"/>
                <w:sz w:val="20"/>
              </w:rPr>
              <w:t>(Chartier J.)</w:t>
            </w:r>
          </w:p>
          <w:p w:rsidR="0096768C" w:rsidRPr="006F20FF" w:rsidRDefault="0096768C" w:rsidP="00472B2D">
            <w:pPr>
              <w:jc w:val="both"/>
              <w:rPr>
                <w:rFonts w:eastAsia="Calibri"/>
                <w:sz w:val="20"/>
              </w:rPr>
            </w:pPr>
            <w:r w:rsidRPr="006F20FF">
              <w:rPr>
                <w:rFonts w:eastAsia="Calibri"/>
                <w:sz w:val="20"/>
              </w:rPr>
              <w:t>Docket CI 13-01-85585</w:t>
            </w: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 xml:space="preserve">Order granted, among other things, (i) staying the motion for a stay of proceedings filed by the respondent until a specific date, (ii) staying the proceedings initiated by the applicant and against the respondent until after the final disposition of the respondent’s motion for a stay of proceedings, and (iii) requiring the respondent’s motion for a stay to be heard before any other motion and in particular, before any motion made on behalf of the applicant. </w:t>
            </w:r>
          </w:p>
          <w:p w:rsidR="0096768C" w:rsidRPr="006F20FF" w:rsidRDefault="0096768C" w:rsidP="00472B2D">
            <w:pPr>
              <w:jc w:val="both"/>
              <w:rPr>
                <w:rFonts w:eastAsia="Calibri"/>
                <w:sz w:val="20"/>
              </w:rPr>
            </w:pPr>
          </w:p>
        </w:tc>
      </w:tr>
      <w:tr w:rsidR="0096768C" w:rsidRPr="006F20FF" w:rsidTr="00472B2D">
        <w:tc>
          <w:tcPr>
            <w:tcW w:w="2427" w:type="pct"/>
          </w:tcPr>
          <w:p w:rsidR="0096768C" w:rsidRPr="006F20FF" w:rsidRDefault="0096768C" w:rsidP="00472B2D">
            <w:pPr>
              <w:jc w:val="both"/>
              <w:rPr>
                <w:rFonts w:eastAsia="Calibri"/>
                <w:sz w:val="20"/>
              </w:rPr>
            </w:pPr>
            <w:r w:rsidRPr="006F20FF">
              <w:rPr>
                <w:rFonts w:eastAsia="Calibri"/>
                <w:sz w:val="20"/>
              </w:rPr>
              <w:t>January 30, 2014</w:t>
            </w:r>
          </w:p>
          <w:p w:rsidR="0096768C" w:rsidRPr="006F20FF" w:rsidRDefault="0096768C" w:rsidP="00472B2D">
            <w:pPr>
              <w:jc w:val="both"/>
              <w:rPr>
                <w:rFonts w:eastAsia="Calibri"/>
                <w:sz w:val="20"/>
              </w:rPr>
            </w:pPr>
            <w:r w:rsidRPr="006F20FF">
              <w:rPr>
                <w:rFonts w:eastAsia="Calibri"/>
                <w:sz w:val="20"/>
              </w:rPr>
              <w:t>Court of Appeal of Manitoba</w:t>
            </w:r>
          </w:p>
          <w:p w:rsidR="0096768C" w:rsidRPr="006F20FF" w:rsidRDefault="0096768C" w:rsidP="00472B2D">
            <w:pPr>
              <w:jc w:val="both"/>
              <w:rPr>
                <w:rFonts w:eastAsia="Calibri"/>
                <w:sz w:val="20"/>
              </w:rPr>
            </w:pPr>
            <w:r w:rsidRPr="006F20FF">
              <w:rPr>
                <w:rFonts w:eastAsia="Calibri"/>
                <w:sz w:val="20"/>
              </w:rPr>
              <w:t>(Steel J.A.)</w:t>
            </w:r>
          </w:p>
          <w:p w:rsidR="0096768C" w:rsidRPr="006F20FF" w:rsidRDefault="0096768C" w:rsidP="00472B2D">
            <w:pPr>
              <w:jc w:val="both"/>
              <w:rPr>
                <w:rFonts w:eastAsia="Calibri"/>
                <w:sz w:val="20"/>
              </w:rPr>
            </w:pPr>
            <w:r w:rsidRPr="006F20FF">
              <w:rPr>
                <w:rFonts w:eastAsia="Calibri"/>
                <w:sz w:val="20"/>
              </w:rPr>
              <w:t>Docket No. AI 13-30-08075</w:t>
            </w:r>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Order granted (i) extending the time for the filing of the respondent’s factum until after the final disposition of the motion for an order staying or dismissing the appeal, (ii) adjourning the issue of whether the appeal is moot for hearing by a panel of the Court, and (iii) in the event that a similar motion is made in another appeal filed by the applicant (in file AI 13-30-08084), adjourning that motion to a panel of this Court, to be heard at the same time as the present motion.</w:t>
            </w:r>
          </w:p>
          <w:p w:rsidR="0096768C" w:rsidRPr="006F20FF" w:rsidRDefault="0096768C" w:rsidP="00472B2D">
            <w:pPr>
              <w:jc w:val="both"/>
              <w:rPr>
                <w:rFonts w:eastAsia="Calibri"/>
                <w:sz w:val="20"/>
              </w:rPr>
            </w:pPr>
          </w:p>
        </w:tc>
      </w:tr>
      <w:tr w:rsidR="0096768C" w:rsidRPr="006F20FF" w:rsidTr="00D27A21">
        <w:trPr>
          <w:cantSplit/>
        </w:trPr>
        <w:tc>
          <w:tcPr>
            <w:tcW w:w="2427" w:type="pct"/>
          </w:tcPr>
          <w:p w:rsidR="0096768C" w:rsidRPr="006F20FF" w:rsidRDefault="00D27A21" w:rsidP="00472B2D">
            <w:pPr>
              <w:jc w:val="both"/>
              <w:rPr>
                <w:rFonts w:eastAsia="Calibri"/>
                <w:sz w:val="20"/>
              </w:rPr>
            </w:pPr>
            <w:r>
              <w:rPr>
                <w:rFonts w:eastAsia="Calibri"/>
                <w:sz w:val="20"/>
              </w:rPr>
              <w:t>M</w:t>
            </w:r>
            <w:r w:rsidR="0096768C" w:rsidRPr="006F20FF">
              <w:rPr>
                <w:rFonts w:eastAsia="Calibri"/>
                <w:sz w:val="20"/>
              </w:rPr>
              <w:t>arch 17, 2014</w:t>
            </w:r>
          </w:p>
          <w:p w:rsidR="0096768C" w:rsidRPr="006F20FF" w:rsidRDefault="0096768C" w:rsidP="00472B2D">
            <w:pPr>
              <w:jc w:val="both"/>
              <w:rPr>
                <w:rFonts w:eastAsia="Calibri"/>
                <w:sz w:val="20"/>
              </w:rPr>
            </w:pPr>
            <w:r w:rsidRPr="006F20FF">
              <w:rPr>
                <w:rFonts w:eastAsia="Calibri"/>
                <w:sz w:val="20"/>
              </w:rPr>
              <w:t>Supreme Court of Canada</w:t>
            </w:r>
          </w:p>
          <w:p w:rsidR="0096768C" w:rsidRPr="006F20FF" w:rsidRDefault="0096768C" w:rsidP="00472B2D">
            <w:pPr>
              <w:jc w:val="both"/>
              <w:rPr>
                <w:rFonts w:eastAsia="Calibri"/>
                <w:sz w:val="20"/>
              </w:rPr>
            </w:pP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Application for leave to appeal filed.</w:t>
            </w:r>
          </w:p>
        </w:tc>
      </w:tr>
      <w:tr w:rsidR="0096768C" w:rsidRPr="006F20FF" w:rsidTr="00D27A21">
        <w:trPr>
          <w:cantSplit/>
        </w:trPr>
        <w:tc>
          <w:tcPr>
            <w:tcW w:w="2427" w:type="pct"/>
          </w:tcPr>
          <w:p w:rsidR="0096768C" w:rsidRPr="006F20FF" w:rsidRDefault="0096768C" w:rsidP="00472B2D">
            <w:pPr>
              <w:jc w:val="both"/>
              <w:rPr>
                <w:rFonts w:eastAsia="Calibri"/>
                <w:sz w:val="20"/>
              </w:rPr>
            </w:pPr>
            <w:r w:rsidRPr="006F20FF">
              <w:rPr>
                <w:rFonts w:eastAsia="Calibri"/>
                <w:sz w:val="20"/>
              </w:rPr>
              <w:lastRenderedPageBreak/>
              <w:t>April 16, 2014</w:t>
            </w:r>
          </w:p>
          <w:p w:rsidR="0096768C" w:rsidRPr="006F20FF" w:rsidRDefault="0096768C" w:rsidP="00472B2D">
            <w:pPr>
              <w:jc w:val="both"/>
              <w:rPr>
                <w:rFonts w:eastAsia="Calibri"/>
                <w:sz w:val="20"/>
              </w:rPr>
            </w:pPr>
            <w:r w:rsidRPr="006F20FF">
              <w:rPr>
                <w:rFonts w:eastAsia="Calibri"/>
                <w:sz w:val="20"/>
              </w:rPr>
              <w:t>Supreme Court of Canada</w:t>
            </w:r>
          </w:p>
        </w:tc>
        <w:tc>
          <w:tcPr>
            <w:tcW w:w="243" w:type="pct"/>
          </w:tcPr>
          <w:p w:rsidR="0096768C" w:rsidRPr="006F20FF" w:rsidRDefault="0096768C" w:rsidP="00472B2D">
            <w:pPr>
              <w:jc w:val="both"/>
              <w:rPr>
                <w:rFonts w:eastAsia="Calibri"/>
                <w:sz w:val="20"/>
              </w:rPr>
            </w:pPr>
          </w:p>
        </w:tc>
        <w:tc>
          <w:tcPr>
            <w:tcW w:w="2330" w:type="pct"/>
          </w:tcPr>
          <w:p w:rsidR="0096768C" w:rsidRPr="006F20FF" w:rsidRDefault="0096768C" w:rsidP="00472B2D">
            <w:pPr>
              <w:jc w:val="both"/>
              <w:rPr>
                <w:rFonts w:eastAsia="Calibri"/>
                <w:sz w:val="20"/>
              </w:rPr>
            </w:pPr>
            <w:r w:rsidRPr="006F20FF">
              <w:rPr>
                <w:rFonts w:eastAsia="Calibri"/>
                <w:sz w:val="20"/>
              </w:rPr>
              <w:t>Motion to seal, filed.</w:t>
            </w: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64"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768C" w:rsidRPr="006E182C" w:rsidTr="00472B2D">
        <w:tc>
          <w:tcPr>
            <w:tcW w:w="5000" w:type="pct"/>
            <w:gridSpan w:val="3"/>
          </w:tcPr>
          <w:p w:rsidR="0096768C" w:rsidRPr="006F20FF" w:rsidRDefault="0096768C" w:rsidP="00472B2D">
            <w:pPr>
              <w:jc w:val="both"/>
              <w:rPr>
                <w:rFonts w:eastAsia="Calibri"/>
                <w:smallCaps/>
                <w:sz w:val="20"/>
                <w:lang w:val="fr-CA"/>
              </w:rPr>
            </w:pPr>
            <w:r w:rsidRPr="006F20FF">
              <w:rPr>
                <w:rFonts w:eastAsia="Calibri"/>
                <w:smallCaps/>
                <w:sz w:val="20"/>
                <w:lang w:val="fr-CA"/>
              </w:rPr>
              <w:t>(Le dossier de la Cour renferme des données que le public n’est pas autorisé à consulter)</w:t>
            </w:r>
          </w:p>
          <w:p w:rsidR="0096768C" w:rsidRPr="006F20FF" w:rsidRDefault="0096768C" w:rsidP="00472B2D">
            <w:pPr>
              <w:jc w:val="both"/>
              <w:rPr>
                <w:rFonts w:eastAsia="Calibri"/>
                <w:sz w:val="20"/>
                <w:lang w:val="fr-CA"/>
              </w:rPr>
            </w:pPr>
          </w:p>
          <w:p w:rsidR="0096768C" w:rsidRDefault="0096768C" w:rsidP="00472B2D">
            <w:pPr>
              <w:jc w:val="both"/>
              <w:rPr>
                <w:rFonts w:eastAsia="Calibri"/>
                <w:sz w:val="20"/>
                <w:lang w:val="fr-CA"/>
              </w:rPr>
            </w:pPr>
            <w:r w:rsidRPr="006F20FF">
              <w:rPr>
                <w:rFonts w:eastAsia="Calibri"/>
                <w:i/>
                <w:sz w:val="20"/>
                <w:lang w:val="fr-CA"/>
              </w:rPr>
              <w:t>Charte</w:t>
            </w:r>
            <w:r w:rsidRPr="006F20FF">
              <w:rPr>
                <w:rFonts w:eastAsia="Calibri"/>
                <w:sz w:val="20"/>
                <w:lang w:val="fr-CA"/>
              </w:rPr>
              <w:t xml:space="preserve"> — Discrimination fondée sur la déficience mentale — Vie, liberté et sécurité de la personne — Liberté de religion — Le demandeur a introduit une instance contre l’intimé — L’intimé demande le sursis de l’instance, alléguant que le demandeur n’a peut-être pas la capacité légale pour introduire une instance en son propre nom — La Cour d’appel a-t-elle commis une erreur de droit en refusant au demandeur de droit de déposer une motion pour contester le fondement de la motion de l’intimé en sursis de l’instance? — La décision de la Cour d’appel prive-t-elle le demandeur du droit que lui garantit l’art. 7 de la </w:t>
            </w:r>
            <w:r w:rsidRPr="006F20FF">
              <w:rPr>
                <w:rFonts w:eastAsia="Calibri"/>
                <w:i/>
                <w:sz w:val="20"/>
                <w:lang w:val="fr-CA"/>
              </w:rPr>
              <w:t>Charte</w:t>
            </w:r>
            <w:r w:rsidRPr="006F20FF">
              <w:rPr>
                <w:rFonts w:eastAsia="Calibri"/>
                <w:sz w:val="20"/>
                <w:lang w:val="fr-CA"/>
              </w:rPr>
              <w:t xml:space="preserve"> à l’égalité devant la loi pour obtenir accès à la justice ou bien est-ce que la décision est discriminatoire à son égard sur le fondement de la déficience mentale dans la mesure où elle a permis à la motion de l’intimé en sursis de l’instance sur le fondement de la déficience mentale d’aller de l’avant? — La Cour d’appel a-t-elle porté atteinte à la liberté de religion du demandeur en omettant de lui fournir une Bible « authentique » sur laquelle il pouvait prêter serment? — </w:t>
            </w:r>
            <w:r w:rsidRPr="006F20FF">
              <w:rPr>
                <w:rFonts w:eastAsia="Calibri"/>
                <w:i/>
                <w:sz w:val="20"/>
                <w:lang w:val="fr-CA"/>
              </w:rPr>
              <w:t>Charte canadienne des droits et libertés</w:t>
            </w:r>
            <w:r w:rsidRPr="006F20FF">
              <w:rPr>
                <w:rFonts w:eastAsia="Calibri"/>
                <w:sz w:val="20"/>
                <w:lang w:val="fr-CA"/>
              </w:rPr>
              <w:t>, art. 2(a), 7 et 15.</w:t>
            </w:r>
          </w:p>
          <w:p w:rsidR="0008370D" w:rsidRPr="006F20FF" w:rsidRDefault="0008370D" w:rsidP="00472B2D">
            <w:pPr>
              <w:jc w:val="both"/>
              <w:rPr>
                <w:rFonts w:eastAsia="Calibri"/>
                <w:sz w:val="20"/>
                <w:lang w:val="fr-CA"/>
              </w:rPr>
            </w:pPr>
          </w:p>
        </w:tc>
      </w:tr>
      <w:tr w:rsidR="0096768C" w:rsidRPr="006E182C"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Le demandeur se décrit comme une personne sous le soin de quelqu’un d’autre et ayant l’autorité d’exercer les droits du demandeur en son nom. </w:t>
            </w:r>
          </w:p>
          <w:p w:rsidR="0096768C" w:rsidRPr="006F20FF" w:rsidRDefault="0096768C" w:rsidP="00472B2D">
            <w:pPr>
              <w:jc w:val="both"/>
              <w:rPr>
                <w:rFonts w:eastAsia="Calibri"/>
                <w:sz w:val="20"/>
                <w:lang w:val="fr-CA"/>
              </w:rPr>
            </w:pPr>
          </w:p>
          <w:p w:rsidR="0096768C" w:rsidRPr="006F20FF" w:rsidRDefault="0096768C" w:rsidP="00472B2D">
            <w:pPr>
              <w:jc w:val="both"/>
              <w:rPr>
                <w:rFonts w:eastAsia="Calibri"/>
                <w:sz w:val="20"/>
                <w:lang w:val="fr-CA"/>
              </w:rPr>
            </w:pPr>
            <w:r w:rsidRPr="006F20FF">
              <w:rPr>
                <w:rFonts w:eastAsia="Calibri"/>
                <w:sz w:val="20"/>
                <w:lang w:val="fr-CA"/>
              </w:rPr>
              <w:t xml:space="preserve">En septembre 2013, le demandeur a déposé une déclaration dans laquelle il nommait l’Ombudsman du Manitoba seul défendeur. Le demandeur a allégué que l’Ombudsman avait agi de mauvaise foi en ne répondant pas à une demande qu’il avait faite sous le régime de la </w:t>
            </w:r>
            <w:r w:rsidRPr="006F20FF">
              <w:rPr>
                <w:rFonts w:eastAsia="Calibri"/>
                <w:i/>
                <w:sz w:val="20"/>
                <w:lang w:val="fr-CA"/>
              </w:rPr>
              <w:t xml:space="preserve">Loi sur l’accès à l’information et la protection de la vie privée, </w:t>
            </w:r>
            <w:r w:rsidRPr="006F20FF">
              <w:rPr>
                <w:rFonts w:eastAsia="Calibri"/>
                <w:sz w:val="20"/>
                <w:lang w:val="fr-CA"/>
              </w:rPr>
              <w:t>C.P.L.M., ch. F175 et en refusant d’enquêter sur des allégations qu’il avait faites relativement à [</w:t>
            </w:r>
            <w:r w:rsidRPr="006F20FF">
              <w:rPr>
                <w:rFonts w:eastAsia="Calibri"/>
                <w:smallCaps/>
                <w:sz w:val="20"/>
                <w:lang w:val="fr-CA"/>
              </w:rPr>
              <w:t>traduction</w:t>
            </w:r>
            <w:r w:rsidRPr="006F20FF">
              <w:rPr>
                <w:rFonts w:eastAsia="Calibri"/>
                <w:sz w:val="20"/>
                <w:lang w:val="fr-CA"/>
              </w:rPr>
              <w:t xml:space="preserve">] « une conduite criminelle contre sa personne ». </w:t>
            </w:r>
          </w:p>
          <w:p w:rsidR="0096768C" w:rsidRPr="006F20FF" w:rsidRDefault="0096768C" w:rsidP="00472B2D">
            <w:pPr>
              <w:jc w:val="both"/>
              <w:rPr>
                <w:rFonts w:eastAsia="Calibri"/>
                <w:sz w:val="20"/>
                <w:lang w:val="fr-CA"/>
              </w:rPr>
            </w:pPr>
          </w:p>
          <w:p w:rsidR="0096768C" w:rsidRPr="006F20FF" w:rsidRDefault="0096768C" w:rsidP="00472B2D">
            <w:pPr>
              <w:jc w:val="both"/>
              <w:rPr>
                <w:rFonts w:eastAsia="Calibri"/>
                <w:sz w:val="20"/>
                <w:lang w:val="fr-CA"/>
              </w:rPr>
            </w:pPr>
            <w:r w:rsidRPr="006F20FF">
              <w:rPr>
                <w:rFonts w:eastAsia="Calibri"/>
                <w:sz w:val="20"/>
                <w:lang w:val="fr-CA"/>
              </w:rPr>
              <w:t xml:space="preserve">Dans le cadre de cette instance, le demandeur a sollicité un jugement déclarant qu’il était apte à gérer ses propres affaires et une ordonnance en vue de destituer ou de remplacer son mandataire en matière de soins de sa santé et titulaire de procuration perpétuelle.  L’intimé, à son tour, a déposé une motion en vue d’obtenir une ordonnance en sursis de l’action du demandeur, alléguant que celui-ci n’avait pas la capacité voulue pour introduire une instance judiciaire en son propre nom. </w:t>
            </w:r>
          </w:p>
          <w:p w:rsidR="0096768C" w:rsidRPr="006F20FF" w:rsidRDefault="0096768C" w:rsidP="00472B2D">
            <w:pPr>
              <w:jc w:val="both"/>
              <w:rPr>
                <w:rFonts w:eastAsia="Calibri"/>
                <w:sz w:val="20"/>
                <w:lang w:val="fr-CA"/>
              </w:rPr>
            </w:pPr>
          </w:p>
        </w:tc>
      </w:tr>
      <w:tr w:rsidR="0096768C" w:rsidRPr="006E182C" w:rsidTr="00472B2D">
        <w:tc>
          <w:tcPr>
            <w:tcW w:w="2427" w:type="pct"/>
          </w:tcPr>
          <w:p w:rsidR="0096768C" w:rsidRPr="006F20FF" w:rsidRDefault="0096768C" w:rsidP="00472B2D">
            <w:pPr>
              <w:jc w:val="both"/>
              <w:rPr>
                <w:rFonts w:eastAsia="Calibri"/>
                <w:sz w:val="20"/>
                <w:lang w:val="fr-CA"/>
              </w:rPr>
            </w:pPr>
            <w:r w:rsidRPr="006F20FF">
              <w:rPr>
                <w:rFonts w:eastAsia="Calibri"/>
                <w:sz w:val="20"/>
                <w:lang w:val="fr-CA"/>
              </w:rPr>
              <w:t>15 octobre 2013</w:t>
            </w:r>
          </w:p>
          <w:p w:rsidR="0096768C" w:rsidRPr="006F20FF" w:rsidRDefault="0096768C" w:rsidP="00472B2D">
            <w:pPr>
              <w:jc w:val="both"/>
              <w:rPr>
                <w:rFonts w:eastAsia="Calibri"/>
                <w:sz w:val="20"/>
                <w:lang w:val="fr-CA"/>
              </w:rPr>
            </w:pPr>
            <w:r w:rsidRPr="006F20FF">
              <w:rPr>
                <w:rFonts w:eastAsia="Calibri"/>
                <w:sz w:val="20"/>
                <w:lang w:val="fr-CA"/>
              </w:rPr>
              <w:t>Cour du Banc de la Reine (Winnipeg)</w:t>
            </w:r>
          </w:p>
          <w:p w:rsidR="0096768C" w:rsidRPr="006F20FF" w:rsidRDefault="0096768C" w:rsidP="00472B2D">
            <w:pPr>
              <w:jc w:val="both"/>
              <w:rPr>
                <w:rFonts w:eastAsia="Calibri"/>
                <w:sz w:val="20"/>
                <w:lang w:val="fr-CA"/>
              </w:rPr>
            </w:pPr>
            <w:r w:rsidRPr="006F20FF">
              <w:rPr>
                <w:rFonts w:eastAsia="Calibri"/>
                <w:sz w:val="20"/>
                <w:lang w:val="fr-CA"/>
              </w:rPr>
              <w:t>(Juge Chartier)</w:t>
            </w:r>
          </w:p>
          <w:p w:rsidR="0096768C" w:rsidRPr="006F20FF" w:rsidRDefault="0096768C" w:rsidP="00472B2D">
            <w:pPr>
              <w:jc w:val="both"/>
              <w:rPr>
                <w:rFonts w:eastAsia="Calibri"/>
                <w:sz w:val="20"/>
                <w:lang w:val="fr-CA"/>
              </w:rPr>
            </w:pPr>
            <w:r w:rsidRPr="006F20FF">
              <w:rPr>
                <w:rFonts w:eastAsia="Calibri"/>
                <w:sz w:val="20"/>
                <w:lang w:val="fr-CA"/>
              </w:rPr>
              <w:t>N</w:t>
            </w:r>
            <w:r w:rsidRPr="006F20FF">
              <w:rPr>
                <w:rFonts w:eastAsia="Calibri"/>
                <w:sz w:val="20"/>
                <w:vertAlign w:val="superscript"/>
                <w:lang w:val="fr-CA"/>
              </w:rPr>
              <w:t>o</w:t>
            </w:r>
            <w:r w:rsidRPr="006F20FF">
              <w:rPr>
                <w:rFonts w:eastAsia="Calibri"/>
                <w:sz w:val="20"/>
                <w:lang w:val="fr-CA"/>
              </w:rPr>
              <w:t xml:space="preserve"> du greffe CI 13-01-85585</w:t>
            </w: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 xml:space="preserve">Ordonnance accordée, ayant notamment pour objet (i) de suspendre la motion en sursis d’instance déposée par l’intimé jusqu’à une date déterminée, (ii) de surseoir à l’instance introduite par le demandeur et contre l’intimé jusqu’à ce qu’il soit définitivement statué sur la motion de l’intimé en sursis d’instance et (iii) de faire en sorte que la motion en sursis de l’intimé soit entendue avant toute autre motion, et en particulier avant toute motion faite au nom du demandeur. </w:t>
            </w:r>
          </w:p>
          <w:p w:rsidR="0096768C" w:rsidRPr="006F20FF" w:rsidRDefault="0096768C" w:rsidP="00472B2D">
            <w:pPr>
              <w:jc w:val="both"/>
              <w:rPr>
                <w:rFonts w:eastAsia="Calibri"/>
                <w:sz w:val="20"/>
                <w:lang w:val="fr-CA"/>
              </w:rPr>
            </w:pPr>
          </w:p>
        </w:tc>
      </w:tr>
      <w:tr w:rsidR="0096768C" w:rsidRPr="006E182C" w:rsidTr="0008370D">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lastRenderedPageBreak/>
              <w:t>30 janvier 2014</w:t>
            </w:r>
          </w:p>
          <w:p w:rsidR="0096768C" w:rsidRPr="006F20FF" w:rsidRDefault="0096768C" w:rsidP="00472B2D">
            <w:pPr>
              <w:jc w:val="both"/>
              <w:rPr>
                <w:rFonts w:eastAsia="Calibri"/>
                <w:sz w:val="20"/>
                <w:lang w:val="fr-CA"/>
              </w:rPr>
            </w:pPr>
            <w:r w:rsidRPr="006F20FF">
              <w:rPr>
                <w:rFonts w:eastAsia="Calibri"/>
                <w:sz w:val="20"/>
                <w:lang w:val="fr-CA"/>
              </w:rPr>
              <w:t>Cour d’appel du Manitoba</w:t>
            </w:r>
          </w:p>
          <w:p w:rsidR="0096768C" w:rsidRPr="006F20FF" w:rsidRDefault="0096768C" w:rsidP="00472B2D">
            <w:pPr>
              <w:jc w:val="both"/>
              <w:rPr>
                <w:rFonts w:eastAsia="Calibri"/>
                <w:sz w:val="20"/>
                <w:lang w:val="fr-CA"/>
              </w:rPr>
            </w:pPr>
            <w:r w:rsidRPr="006F20FF">
              <w:rPr>
                <w:rFonts w:eastAsia="Calibri"/>
                <w:sz w:val="20"/>
                <w:lang w:val="fr-CA"/>
              </w:rPr>
              <w:t>(Juge Steel)</w:t>
            </w:r>
          </w:p>
          <w:p w:rsidR="0096768C" w:rsidRPr="006F20FF" w:rsidRDefault="0096768C" w:rsidP="00472B2D">
            <w:pPr>
              <w:jc w:val="both"/>
              <w:rPr>
                <w:rFonts w:eastAsia="Calibri"/>
                <w:sz w:val="20"/>
                <w:lang w:val="fr-CA"/>
              </w:rPr>
            </w:pPr>
            <w:r w:rsidRPr="006F20FF">
              <w:rPr>
                <w:rFonts w:eastAsia="Calibri"/>
                <w:sz w:val="20"/>
                <w:lang w:val="fr-CA"/>
              </w:rPr>
              <w:t>N</w:t>
            </w:r>
            <w:r w:rsidRPr="006F20FF">
              <w:rPr>
                <w:rFonts w:eastAsia="Calibri"/>
                <w:sz w:val="20"/>
                <w:vertAlign w:val="superscript"/>
                <w:lang w:val="fr-CA"/>
              </w:rPr>
              <w:t>o</w:t>
            </w:r>
            <w:r w:rsidRPr="006F20FF">
              <w:rPr>
                <w:rFonts w:eastAsia="Calibri"/>
                <w:sz w:val="20"/>
                <w:lang w:val="fr-CA"/>
              </w:rPr>
              <w:t xml:space="preserve"> du greffe AI 13-30-08075</w:t>
            </w:r>
          </w:p>
          <w:p w:rsidR="0096768C" w:rsidRPr="006F20FF" w:rsidRDefault="0096768C" w:rsidP="00472B2D">
            <w:pPr>
              <w:jc w:val="both"/>
              <w:rPr>
                <w:rFonts w:eastAsia="Calibri"/>
                <w:sz w:val="20"/>
                <w:lang w:val="fr-CA"/>
              </w:rPr>
            </w:pP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Ordonnance accordée ayant pour objet (i) de proroger le délai de dépôt du mémoire de l’intimé jusqu’à ce qu’il soit définitivement statué sur la motion en sursis ou en rejet de l’appel, (ii) d’ajourner la question de savoir si l’appel est théorique pour audition à une formation de la Cour et, (iii) si une motion semblable est déposée dans le cadre d’un autre appel déposé par le demandeur (dans le dossier AI 13-30-08084), d’ajourner cette motion pour qu’elle soit entendue par une formation de cette Cour en même temps que la présente motion.</w:t>
            </w:r>
          </w:p>
          <w:p w:rsidR="0096768C" w:rsidRPr="006F20FF" w:rsidRDefault="0096768C" w:rsidP="00472B2D">
            <w:pPr>
              <w:jc w:val="both"/>
              <w:rPr>
                <w:rFonts w:eastAsia="Calibri"/>
                <w:sz w:val="20"/>
                <w:lang w:val="fr-CA"/>
              </w:rPr>
            </w:pPr>
          </w:p>
        </w:tc>
      </w:tr>
      <w:tr w:rsidR="0096768C" w:rsidRPr="006F20FF" w:rsidTr="0008370D">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t>17 mars 2014</w:t>
            </w:r>
          </w:p>
          <w:p w:rsidR="0096768C" w:rsidRPr="006F20FF" w:rsidRDefault="0096768C" w:rsidP="00472B2D">
            <w:pPr>
              <w:jc w:val="both"/>
              <w:rPr>
                <w:rFonts w:eastAsia="Calibri"/>
                <w:sz w:val="20"/>
                <w:lang w:val="fr-CA"/>
              </w:rPr>
            </w:pPr>
            <w:r w:rsidRPr="006F20FF">
              <w:rPr>
                <w:rFonts w:eastAsia="Calibri"/>
                <w:sz w:val="20"/>
                <w:lang w:val="fr-CA"/>
              </w:rPr>
              <w:t>Cour suprême du Canada</w:t>
            </w:r>
          </w:p>
          <w:p w:rsidR="0096768C" w:rsidRPr="006F20FF" w:rsidRDefault="0096768C" w:rsidP="00472B2D">
            <w:pPr>
              <w:jc w:val="both"/>
              <w:rPr>
                <w:rFonts w:eastAsia="Calibri"/>
                <w:sz w:val="20"/>
                <w:lang w:val="fr-CA"/>
              </w:rPr>
            </w:pP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Demande d’autorisation d’appel, déposée.</w:t>
            </w:r>
          </w:p>
        </w:tc>
      </w:tr>
      <w:tr w:rsidR="0096768C" w:rsidRPr="006E182C" w:rsidTr="0008370D">
        <w:trPr>
          <w:cantSplit/>
        </w:trPr>
        <w:tc>
          <w:tcPr>
            <w:tcW w:w="2427" w:type="pct"/>
          </w:tcPr>
          <w:p w:rsidR="0096768C" w:rsidRPr="006F20FF" w:rsidRDefault="0096768C" w:rsidP="00472B2D">
            <w:pPr>
              <w:jc w:val="both"/>
              <w:rPr>
                <w:rFonts w:eastAsia="Calibri"/>
                <w:sz w:val="20"/>
                <w:lang w:val="fr-CA"/>
              </w:rPr>
            </w:pPr>
            <w:r w:rsidRPr="006F20FF">
              <w:rPr>
                <w:rFonts w:eastAsia="Calibri"/>
                <w:sz w:val="20"/>
                <w:lang w:val="fr-CA"/>
              </w:rPr>
              <w:t>16 avril 2014</w:t>
            </w:r>
          </w:p>
          <w:p w:rsidR="0096768C" w:rsidRPr="006F20FF" w:rsidRDefault="0096768C" w:rsidP="00472B2D">
            <w:pPr>
              <w:jc w:val="both"/>
              <w:rPr>
                <w:rFonts w:eastAsia="Calibri"/>
                <w:sz w:val="20"/>
                <w:lang w:val="fr-CA"/>
              </w:rPr>
            </w:pPr>
            <w:r w:rsidRPr="006F20FF">
              <w:rPr>
                <w:rFonts w:eastAsia="Calibri"/>
                <w:sz w:val="20"/>
                <w:lang w:val="fr-CA"/>
              </w:rPr>
              <w:t>Cour suprême du Canada</w:t>
            </w:r>
          </w:p>
        </w:tc>
        <w:tc>
          <w:tcPr>
            <w:tcW w:w="243" w:type="pct"/>
          </w:tcPr>
          <w:p w:rsidR="0096768C" w:rsidRPr="006F20FF" w:rsidRDefault="0096768C" w:rsidP="00472B2D">
            <w:pPr>
              <w:jc w:val="both"/>
              <w:rPr>
                <w:rFonts w:eastAsia="Calibri"/>
                <w:sz w:val="20"/>
                <w:lang w:val="fr-CA"/>
              </w:rPr>
            </w:pPr>
          </w:p>
        </w:tc>
        <w:tc>
          <w:tcPr>
            <w:tcW w:w="2330" w:type="pct"/>
          </w:tcPr>
          <w:p w:rsidR="0096768C" w:rsidRPr="006F20FF" w:rsidRDefault="0096768C" w:rsidP="00472B2D">
            <w:pPr>
              <w:jc w:val="both"/>
              <w:rPr>
                <w:rFonts w:eastAsia="Calibri"/>
                <w:sz w:val="20"/>
                <w:lang w:val="fr-CA"/>
              </w:rPr>
            </w:pPr>
            <w:r w:rsidRPr="006F20FF">
              <w:rPr>
                <w:rFonts w:eastAsia="Calibri"/>
                <w:sz w:val="20"/>
                <w:lang w:val="fr-CA"/>
              </w:rPr>
              <w:t>Requête visant la mise sous scellés, déposée.</w:t>
            </w:r>
          </w:p>
        </w:tc>
      </w:tr>
    </w:tbl>
    <w:p w:rsidR="00D96800" w:rsidRPr="0096768C" w:rsidRDefault="00D96800" w:rsidP="00D96800">
      <w:pPr>
        <w:rPr>
          <w:sz w:val="20"/>
          <w:szCs w:val="20"/>
          <w:lang w:val="fr-CA"/>
        </w:rPr>
      </w:pPr>
    </w:p>
    <w:p w:rsidR="00D96800" w:rsidRDefault="006E182C" w:rsidP="00D96800">
      <w:pPr>
        <w:rPr>
          <w:sz w:val="20"/>
          <w:szCs w:val="20"/>
          <w:lang w:val="fr-CA"/>
        </w:rPr>
      </w:pPr>
      <w:r>
        <w:rPr>
          <w:sz w:val="20"/>
          <w:szCs w:val="20"/>
          <w:lang w:val="fr-CA"/>
        </w:rPr>
        <w:pict>
          <v:rect id="_x0000_i1065" style="width:2in;height:1pt" o:hrpct="0" o:hralign="center" o:hrstd="t" o:hrnoshade="t" o:hr="t" fillcolor="black [3213]" stroked="f"/>
        </w:pict>
      </w:r>
    </w:p>
    <w:p w:rsidR="00D96800" w:rsidRDefault="00D96800" w:rsidP="00D96800">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8370D" w:rsidRPr="0008370D" w:rsidTr="00D27A21">
        <w:trPr>
          <w:cantSplit/>
        </w:trPr>
        <w:tc>
          <w:tcPr>
            <w:tcW w:w="1458" w:type="dxa"/>
          </w:tcPr>
          <w:p w:rsidR="0008370D" w:rsidRPr="0008370D" w:rsidRDefault="0008370D" w:rsidP="0008370D">
            <w:pPr>
              <w:rPr>
                <w:sz w:val="20"/>
              </w:rPr>
            </w:pPr>
            <w:r w:rsidRPr="0008370D">
              <w:rPr>
                <w:b/>
                <w:sz w:val="20"/>
                <w:lang w:val="fr-CA"/>
              </w:rPr>
              <w:t>35820</w:t>
            </w:r>
          </w:p>
          <w:p w:rsidR="0008370D" w:rsidRPr="0008370D" w:rsidRDefault="0008370D" w:rsidP="0008370D">
            <w:pPr>
              <w:rPr>
                <w:b/>
                <w:sz w:val="20"/>
                <w:lang w:val="fr-CA"/>
              </w:rPr>
            </w:pPr>
          </w:p>
        </w:tc>
        <w:tc>
          <w:tcPr>
            <w:tcW w:w="8118" w:type="dxa"/>
          </w:tcPr>
          <w:p w:rsidR="0008370D" w:rsidRPr="0008370D" w:rsidRDefault="0008370D" w:rsidP="0008370D">
            <w:pPr>
              <w:rPr>
                <w:sz w:val="20"/>
              </w:rPr>
            </w:pPr>
            <w:r w:rsidRPr="0008370D">
              <w:rPr>
                <w:b/>
                <w:sz w:val="20"/>
                <w:u w:val="single"/>
              </w:rPr>
              <w:t>Attorney General of Alberta v. Joseph William Moloney</w:t>
            </w:r>
            <w:r w:rsidRPr="0008370D">
              <w:rPr>
                <w:sz w:val="20"/>
              </w:rPr>
              <w:t xml:space="preserve"> (Alta.) (Civil) (By Leave)</w:t>
            </w:r>
          </w:p>
          <w:p w:rsidR="0008370D" w:rsidRPr="0008370D" w:rsidRDefault="0008370D" w:rsidP="0008370D">
            <w:pPr>
              <w:rPr>
                <w:sz w:val="20"/>
              </w:rPr>
            </w:pPr>
          </w:p>
        </w:tc>
      </w:tr>
      <w:tr w:rsidR="0008370D" w:rsidRPr="0008370D" w:rsidTr="00D27A21">
        <w:trPr>
          <w:cantSplit/>
        </w:trPr>
        <w:tc>
          <w:tcPr>
            <w:tcW w:w="1458" w:type="dxa"/>
          </w:tcPr>
          <w:p w:rsidR="0008370D" w:rsidRPr="0008370D" w:rsidRDefault="0008370D" w:rsidP="0008370D">
            <w:pPr>
              <w:rPr>
                <w:sz w:val="20"/>
              </w:rPr>
            </w:pPr>
            <w:r w:rsidRPr="0008370D">
              <w:rPr>
                <w:sz w:val="20"/>
              </w:rPr>
              <w:t>Coram :</w:t>
            </w:r>
          </w:p>
        </w:tc>
        <w:tc>
          <w:tcPr>
            <w:tcW w:w="8118" w:type="dxa"/>
          </w:tcPr>
          <w:p w:rsidR="0008370D" w:rsidRPr="0008370D" w:rsidRDefault="0008370D" w:rsidP="0008370D">
            <w:pPr>
              <w:rPr>
                <w:sz w:val="20"/>
              </w:rPr>
            </w:pPr>
            <w:r w:rsidRPr="0008370D">
              <w:rPr>
                <w:sz w:val="20"/>
                <w:u w:val="single"/>
              </w:rPr>
              <w:t>McLachlin C.J. and Cromwell and Wagner JJ.</w:t>
            </w:r>
          </w:p>
          <w:p w:rsidR="0008370D" w:rsidRPr="0008370D" w:rsidRDefault="0008370D" w:rsidP="0008370D">
            <w:pPr>
              <w:rPr>
                <w:sz w:val="20"/>
                <w:u w:val="single"/>
              </w:rPr>
            </w:pPr>
          </w:p>
        </w:tc>
      </w:tr>
      <w:tr w:rsidR="0008370D" w:rsidRPr="006E182C" w:rsidTr="00D27A21">
        <w:trPr>
          <w:cantSplit/>
        </w:trPr>
        <w:tc>
          <w:tcPr>
            <w:tcW w:w="9576" w:type="dxa"/>
            <w:gridSpan w:val="2"/>
          </w:tcPr>
          <w:p w:rsidR="0008370D" w:rsidRPr="0008370D" w:rsidRDefault="0008370D" w:rsidP="0008370D">
            <w:pPr>
              <w:ind w:firstLine="720"/>
              <w:jc w:val="both"/>
              <w:rPr>
                <w:sz w:val="20"/>
              </w:rPr>
            </w:pPr>
            <w:r w:rsidRPr="0008370D">
              <w:rPr>
                <w:sz w:val="20"/>
              </w:rPr>
              <w:t>The application for leave to appeal from the judgment of the Court of Appeal of Alberta (Edmonton), Number 1203-0293-AC, 2014 ABCA 68, dated February 13, 2014, is granted without costs.</w:t>
            </w:r>
          </w:p>
          <w:p w:rsidR="0008370D" w:rsidRPr="0008370D" w:rsidRDefault="0008370D" w:rsidP="0008370D">
            <w:pPr>
              <w:jc w:val="both"/>
              <w:rPr>
                <w:sz w:val="20"/>
              </w:rPr>
            </w:pPr>
          </w:p>
          <w:p w:rsidR="0008370D" w:rsidRPr="0008370D" w:rsidRDefault="0008370D" w:rsidP="0008370D">
            <w:pPr>
              <w:ind w:firstLine="720"/>
              <w:jc w:val="both"/>
              <w:rPr>
                <w:sz w:val="20"/>
                <w:lang w:val="fr-CA"/>
              </w:rPr>
            </w:pPr>
            <w:r w:rsidRPr="0008370D">
              <w:rPr>
                <w:sz w:val="20"/>
                <w:lang w:val="fr-CA"/>
              </w:rPr>
              <w:t>La demande d’autorisation d’appel de l’arrêt de la Cour d'appel de l’Alberta (Edmonton), numéro 1203-0293-AC, 2014 ABCA 68, daté du 13 février 2014, est accueillie sans dépens.</w:t>
            </w:r>
          </w:p>
        </w:tc>
      </w:tr>
    </w:tbl>
    <w:p w:rsidR="00D96800" w:rsidRPr="0008370D" w:rsidRDefault="00D96800" w:rsidP="000E2959">
      <w:pPr>
        <w:rPr>
          <w:sz w:val="20"/>
          <w:szCs w:val="20"/>
          <w:lang w:val="fr-CA"/>
        </w:rPr>
      </w:pPr>
    </w:p>
    <w:p w:rsidR="00D96800" w:rsidRPr="001B157C" w:rsidRDefault="00D96800" w:rsidP="00D96800">
      <w:pPr>
        <w:rPr>
          <w:sz w:val="20"/>
          <w:szCs w:val="20"/>
          <w:u w:val="single"/>
        </w:rPr>
      </w:pPr>
      <w:r w:rsidRPr="001B157C">
        <w:rPr>
          <w:sz w:val="20"/>
          <w:szCs w:val="20"/>
          <w:u w:val="single"/>
        </w:rPr>
        <w:t>CASE SUMMARY</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 xml:space="preserve">Constitutional Law – Division of Powers – Federal paramountcy – Discharge from Bankruptcy – Motor Vehicle and Driver Licensing – Whether, as a condition of motor vehicle and driver licensing, a province can require an individual who was discharged from bankruptcy under the federal </w:t>
            </w:r>
            <w:r w:rsidRPr="006F20FF">
              <w:rPr>
                <w:rFonts w:eastAsia="Calibri"/>
                <w:i/>
                <w:iCs/>
                <w:sz w:val="20"/>
              </w:rPr>
              <w:t>Bankruptcy and lnsolvency Act</w:t>
            </w:r>
            <w:r w:rsidRPr="006F20FF">
              <w:rPr>
                <w:rFonts w:eastAsia="Calibri"/>
                <w:iCs/>
                <w:sz w:val="20"/>
              </w:rPr>
              <w:t>,</w:t>
            </w:r>
            <w:r w:rsidRPr="006F20FF">
              <w:rPr>
                <w:rFonts w:eastAsia="Calibri"/>
                <w:i/>
                <w:iCs/>
                <w:sz w:val="20"/>
              </w:rPr>
              <w:t xml:space="preserve"> </w:t>
            </w:r>
            <w:r w:rsidRPr="006F20FF">
              <w:rPr>
                <w:rFonts w:eastAsia="Calibri"/>
                <w:sz w:val="20"/>
              </w:rPr>
              <w:t xml:space="preserve">R.S.C. 1985, c. B.3, to pay a judgment debt that was released in the bankruptcy proceeding or a fee equal to the amount of the debt – Whether s. 102 of </w:t>
            </w:r>
            <w:r w:rsidRPr="006F20FF">
              <w:rPr>
                <w:rFonts w:eastAsia="Calibri"/>
                <w:i/>
                <w:sz w:val="20"/>
              </w:rPr>
              <w:t>Traffic Safety Act</w:t>
            </w:r>
            <w:r w:rsidRPr="006F20FF">
              <w:rPr>
                <w:rFonts w:eastAsia="Calibri"/>
                <w:sz w:val="20"/>
              </w:rPr>
              <w:t xml:space="preserve">, R.S.A. 2000, c. T-6, conflicts with the </w:t>
            </w:r>
            <w:r w:rsidRPr="006F20FF">
              <w:rPr>
                <w:rFonts w:eastAsia="Calibri"/>
                <w:i/>
                <w:sz w:val="20"/>
              </w:rPr>
              <w:t>Bankruptcy and Insolvency Act</w:t>
            </w:r>
          </w:p>
        </w:tc>
      </w:tr>
      <w:tr w:rsidR="0096768C" w:rsidRPr="006F20FF" w:rsidTr="00472B2D">
        <w:tc>
          <w:tcPr>
            <w:tcW w:w="5000" w:type="pct"/>
            <w:gridSpan w:val="3"/>
          </w:tcPr>
          <w:p w:rsidR="0096768C" w:rsidRPr="006F20FF" w:rsidRDefault="0096768C" w:rsidP="00472B2D">
            <w:pPr>
              <w:jc w:val="both"/>
              <w:rPr>
                <w:rFonts w:eastAsia="Calibri"/>
                <w:sz w:val="20"/>
              </w:rPr>
            </w:pPr>
          </w:p>
        </w:tc>
      </w:tr>
      <w:tr w:rsidR="0096768C" w:rsidRPr="006F20FF" w:rsidTr="00472B2D">
        <w:tc>
          <w:tcPr>
            <w:tcW w:w="5000" w:type="pct"/>
            <w:gridSpan w:val="3"/>
          </w:tcPr>
          <w:p w:rsidR="0096768C" w:rsidRPr="006F20FF" w:rsidRDefault="0096768C" w:rsidP="00472B2D">
            <w:pPr>
              <w:jc w:val="both"/>
              <w:rPr>
                <w:rFonts w:eastAsia="Calibri"/>
                <w:sz w:val="20"/>
              </w:rPr>
            </w:pPr>
            <w:r w:rsidRPr="006F20FF">
              <w:rPr>
                <w:rFonts w:eastAsia="Calibri"/>
                <w:sz w:val="20"/>
              </w:rPr>
              <w:t xml:space="preserve">Mr. Moloney was an uninsured, at-fault motorist involved in a car accident in 1989.  In 1996, the Administrator of the </w:t>
            </w:r>
            <w:hyperlink r:id="rId50" w:history="1">
              <w:r w:rsidRPr="006F20FF">
                <w:rPr>
                  <w:rFonts w:eastAsia="Calibri"/>
                  <w:i/>
                  <w:sz w:val="20"/>
                </w:rPr>
                <w:t>Motor Vehicle Accident Claims Act</w:t>
              </w:r>
            </w:hyperlink>
            <w:r w:rsidRPr="006F20FF">
              <w:rPr>
                <w:rFonts w:eastAsia="Calibri"/>
                <w:sz w:val="20"/>
              </w:rPr>
              <w:t>, 2012 ABQB 644,</w:t>
            </w:r>
            <w:r w:rsidRPr="006F20FF">
              <w:rPr>
                <w:rFonts w:eastAsia="Calibri"/>
                <w:i/>
                <w:sz w:val="20"/>
              </w:rPr>
              <w:t xml:space="preserve"> </w:t>
            </w:r>
            <w:r w:rsidRPr="006F20FF">
              <w:rPr>
                <w:rFonts w:eastAsia="Calibri"/>
                <w:sz w:val="20"/>
              </w:rPr>
              <w:t>obtained a default judgment against him for $194,875.  On June 17, 2011, Mr. Moloney was granted an absolute discharge from bankruptcy.  His bankruptcy proceeding discharged the 1996 judgment debt.  Notwithstanding the discharge, the Government of Alberta suspended Mr. Moloney’s operator’s licence and vehicle registration privileges indefinitely until the judgment debt is satisfied or discharged otherwise than in bankruptcy.  Mr. Moloney applied for an order staying enforcement of the 1996 judgment and staying the suspension of his driving and motor vehicle registration privileges.</w:t>
            </w:r>
          </w:p>
          <w:p w:rsidR="0096768C" w:rsidRPr="006F20FF" w:rsidRDefault="0096768C" w:rsidP="00472B2D">
            <w:pPr>
              <w:ind w:right="432"/>
              <w:jc w:val="both"/>
              <w:rPr>
                <w:rFonts w:eastAsia="Calibri"/>
                <w:sz w:val="20"/>
              </w:rPr>
            </w:pPr>
          </w:p>
        </w:tc>
      </w:tr>
      <w:tr w:rsidR="0096768C" w:rsidRPr="006F20FF" w:rsidTr="00D27A21">
        <w:tblPrEx>
          <w:tblCellMar>
            <w:bottom w:w="0" w:type="dxa"/>
          </w:tblCellMar>
        </w:tblPrEx>
        <w:trPr>
          <w:cantSplit/>
        </w:trPr>
        <w:tc>
          <w:tcPr>
            <w:tcW w:w="2390" w:type="pct"/>
          </w:tcPr>
          <w:p w:rsidR="0096768C" w:rsidRPr="006F20FF" w:rsidRDefault="0096768C" w:rsidP="00472B2D">
            <w:pPr>
              <w:jc w:val="both"/>
              <w:rPr>
                <w:rFonts w:eastAsia="Calibri"/>
                <w:sz w:val="20"/>
              </w:rPr>
            </w:pPr>
            <w:r w:rsidRPr="006F20FF">
              <w:rPr>
                <w:rFonts w:eastAsia="Calibri"/>
                <w:sz w:val="20"/>
              </w:rPr>
              <w:lastRenderedPageBreak/>
              <w:t>October 19, 2012</w:t>
            </w:r>
          </w:p>
          <w:p w:rsidR="0096768C" w:rsidRPr="006F20FF" w:rsidRDefault="0096768C" w:rsidP="00472B2D">
            <w:pPr>
              <w:jc w:val="both"/>
              <w:rPr>
                <w:rFonts w:eastAsia="Calibri"/>
                <w:sz w:val="20"/>
              </w:rPr>
            </w:pPr>
            <w:r w:rsidRPr="006F20FF">
              <w:rPr>
                <w:rFonts w:eastAsia="Calibri"/>
                <w:sz w:val="20"/>
              </w:rPr>
              <w:t>Court of Queen’s Bench of Alberta</w:t>
            </w:r>
          </w:p>
          <w:p w:rsidR="0096768C" w:rsidRPr="006F20FF" w:rsidRDefault="0096768C" w:rsidP="00472B2D">
            <w:pPr>
              <w:jc w:val="both"/>
              <w:rPr>
                <w:rFonts w:eastAsia="Calibri"/>
                <w:sz w:val="20"/>
              </w:rPr>
            </w:pPr>
            <w:r w:rsidRPr="006F20FF">
              <w:rPr>
                <w:rFonts w:eastAsia="Calibri"/>
                <w:sz w:val="20"/>
              </w:rPr>
              <w:t>(Moen J.)</w:t>
            </w:r>
          </w:p>
          <w:p w:rsidR="0096768C" w:rsidRPr="006F20FF" w:rsidRDefault="006E182C" w:rsidP="00472B2D">
            <w:pPr>
              <w:jc w:val="both"/>
              <w:rPr>
                <w:rFonts w:eastAsia="Calibri"/>
                <w:sz w:val="20"/>
              </w:rPr>
            </w:pPr>
            <w:hyperlink r:id="rId51" w:history="1">
              <w:r w:rsidR="0096768C" w:rsidRPr="006F20FF">
                <w:rPr>
                  <w:rFonts w:eastAsia="Calibri"/>
                  <w:color w:val="0000FF"/>
                  <w:sz w:val="20"/>
                  <w:u w:val="single"/>
                </w:rPr>
                <w:t>2012 ABQB 644</w:t>
              </w:r>
            </w:hyperlink>
          </w:p>
          <w:p w:rsidR="0096768C" w:rsidRPr="006F20FF" w:rsidRDefault="0096768C" w:rsidP="00472B2D">
            <w:pPr>
              <w:jc w:val="both"/>
              <w:rPr>
                <w:rFonts w:eastAsia="Calibri"/>
                <w:sz w:val="20"/>
              </w:rPr>
            </w:pPr>
          </w:p>
        </w:tc>
        <w:tc>
          <w:tcPr>
            <w:tcW w:w="270" w:type="pct"/>
          </w:tcPr>
          <w:p w:rsidR="0096768C" w:rsidRPr="006F20FF" w:rsidRDefault="0096768C" w:rsidP="00472B2D">
            <w:pPr>
              <w:jc w:val="both"/>
              <w:rPr>
                <w:rFonts w:eastAsia="Calibri"/>
                <w:sz w:val="20"/>
              </w:rPr>
            </w:pPr>
          </w:p>
        </w:tc>
        <w:tc>
          <w:tcPr>
            <w:tcW w:w="2340" w:type="pct"/>
          </w:tcPr>
          <w:p w:rsidR="0096768C" w:rsidRPr="006F20FF" w:rsidRDefault="0096768C" w:rsidP="00472B2D">
            <w:pPr>
              <w:jc w:val="both"/>
              <w:rPr>
                <w:rFonts w:eastAsia="PMingLiU"/>
                <w:color w:val="000000"/>
                <w:sz w:val="20"/>
              </w:rPr>
            </w:pPr>
            <w:r w:rsidRPr="006F20FF">
              <w:rPr>
                <w:rFonts w:eastAsia="Calibri"/>
                <w:i/>
                <w:color w:val="000000"/>
                <w:sz w:val="20"/>
              </w:rPr>
              <w:t>Traffic Safety Act</w:t>
            </w:r>
            <w:r w:rsidRPr="006F20FF">
              <w:rPr>
                <w:rFonts w:eastAsia="Calibri"/>
                <w:color w:val="000000"/>
                <w:sz w:val="20"/>
              </w:rPr>
              <w:t xml:space="preserve">, R.S.A. 2000, c. T-6, held to be in operational conflict with </w:t>
            </w:r>
            <w:r w:rsidRPr="006F20FF">
              <w:rPr>
                <w:rFonts w:eastAsia="Calibri"/>
                <w:i/>
                <w:color w:val="000000"/>
                <w:sz w:val="20"/>
              </w:rPr>
              <w:t>Bankruptcy and Insolvency Act</w:t>
            </w:r>
            <w:r w:rsidRPr="006F20FF">
              <w:rPr>
                <w:rFonts w:eastAsia="Calibri"/>
                <w:iCs/>
                <w:sz w:val="20"/>
              </w:rPr>
              <w:t>,</w:t>
            </w:r>
            <w:r w:rsidRPr="006F20FF">
              <w:rPr>
                <w:rFonts w:eastAsia="Calibri"/>
                <w:i/>
                <w:iCs/>
                <w:sz w:val="20"/>
              </w:rPr>
              <w:t xml:space="preserve"> </w:t>
            </w:r>
            <w:r w:rsidRPr="006F20FF">
              <w:rPr>
                <w:rFonts w:eastAsia="Calibri"/>
                <w:sz w:val="20"/>
              </w:rPr>
              <w:t xml:space="preserve">R.S.C. 1985, c. B.3; </w:t>
            </w:r>
            <w:r w:rsidRPr="006F20FF">
              <w:rPr>
                <w:rFonts w:eastAsia="Calibri"/>
                <w:color w:val="000000"/>
                <w:sz w:val="20"/>
              </w:rPr>
              <w:t>Declaratory relief granted to respondent; S</w:t>
            </w:r>
            <w:r w:rsidRPr="006F20FF">
              <w:rPr>
                <w:rFonts w:eastAsia="PMingLiU"/>
                <w:color w:val="000000"/>
                <w:sz w:val="20"/>
              </w:rPr>
              <w:t>uspensions of driving privileges for non-payment of discharged judgment debt stayed</w:t>
            </w:r>
          </w:p>
          <w:p w:rsidR="0096768C" w:rsidRPr="006F20FF" w:rsidRDefault="0096768C" w:rsidP="00472B2D">
            <w:pPr>
              <w:jc w:val="both"/>
              <w:rPr>
                <w:rFonts w:eastAsia="Calibri"/>
                <w:sz w:val="20"/>
              </w:rPr>
            </w:pPr>
          </w:p>
        </w:tc>
      </w:tr>
      <w:tr w:rsidR="0096768C" w:rsidRPr="006F20FF" w:rsidTr="00D27A21">
        <w:tblPrEx>
          <w:tblCellMar>
            <w:bottom w:w="0" w:type="dxa"/>
          </w:tblCellMar>
        </w:tblPrEx>
        <w:trPr>
          <w:cantSplit/>
        </w:trPr>
        <w:tc>
          <w:tcPr>
            <w:tcW w:w="2390" w:type="pct"/>
          </w:tcPr>
          <w:p w:rsidR="0096768C" w:rsidRPr="006F20FF" w:rsidRDefault="0096768C" w:rsidP="00472B2D">
            <w:pPr>
              <w:jc w:val="both"/>
              <w:rPr>
                <w:rFonts w:eastAsia="Calibri"/>
                <w:sz w:val="20"/>
              </w:rPr>
            </w:pPr>
            <w:r w:rsidRPr="006F20FF">
              <w:rPr>
                <w:rFonts w:eastAsia="Calibri"/>
                <w:sz w:val="20"/>
              </w:rPr>
              <w:t>February 13, 2014</w:t>
            </w:r>
          </w:p>
          <w:p w:rsidR="0096768C" w:rsidRPr="006F20FF" w:rsidRDefault="0096768C" w:rsidP="00472B2D">
            <w:pPr>
              <w:jc w:val="both"/>
              <w:rPr>
                <w:rFonts w:eastAsia="Calibri"/>
                <w:sz w:val="20"/>
              </w:rPr>
            </w:pPr>
            <w:r w:rsidRPr="006F20FF">
              <w:rPr>
                <w:rFonts w:eastAsia="Calibri"/>
                <w:sz w:val="20"/>
              </w:rPr>
              <w:t>Court of Appeal of Alberta (Edmonton)</w:t>
            </w:r>
          </w:p>
          <w:p w:rsidR="0096768C" w:rsidRPr="006F20FF" w:rsidRDefault="0096768C" w:rsidP="00472B2D">
            <w:pPr>
              <w:jc w:val="both"/>
              <w:rPr>
                <w:rFonts w:eastAsia="Calibri"/>
                <w:sz w:val="20"/>
              </w:rPr>
            </w:pPr>
            <w:r w:rsidRPr="006F20FF">
              <w:rPr>
                <w:rFonts w:eastAsia="Calibri"/>
                <w:sz w:val="20"/>
              </w:rPr>
              <w:t>(Berger, Watson, Slatter JJ.A.)</w:t>
            </w:r>
          </w:p>
          <w:p w:rsidR="0096768C" w:rsidRPr="006F20FF" w:rsidRDefault="006E182C" w:rsidP="00472B2D">
            <w:pPr>
              <w:jc w:val="both"/>
              <w:rPr>
                <w:rFonts w:eastAsia="Calibri"/>
                <w:sz w:val="20"/>
              </w:rPr>
            </w:pPr>
            <w:hyperlink r:id="rId52" w:history="1">
              <w:r w:rsidR="0096768C" w:rsidRPr="006F20FF">
                <w:rPr>
                  <w:rFonts w:eastAsia="Calibri"/>
                  <w:color w:val="0000FF"/>
                  <w:sz w:val="20"/>
                  <w:u w:val="single"/>
                </w:rPr>
                <w:t>2014 ABCA 68</w:t>
              </w:r>
            </w:hyperlink>
            <w:r w:rsidR="0096768C" w:rsidRPr="006F20FF">
              <w:rPr>
                <w:rFonts w:eastAsia="Calibri"/>
                <w:sz w:val="20"/>
              </w:rPr>
              <w:t>; 1203-0293-AC</w:t>
            </w:r>
          </w:p>
          <w:p w:rsidR="0096768C" w:rsidRPr="006F20FF" w:rsidRDefault="0096768C" w:rsidP="00472B2D">
            <w:pPr>
              <w:jc w:val="both"/>
              <w:rPr>
                <w:rFonts w:eastAsia="Calibri"/>
                <w:sz w:val="20"/>
              </w:rPr>
            </w:pPr>
          </w:p>
        </w:tc>
        <w:tc>
          <w:tcPr>
            <w:tcW w:w="270" w:type="pct"/>
          </w:tcPr>
          <w:p w:rsidR="0096768C" w:rsidRPr="006F20FF" w:rsidRDefault="0096768C" w:rsidP="00472B2D">
            <w:pPr>
              <w:jc w:val="both"/>
              <w:rPr>
                <w:rFonts w:eastAsia="Calibri"/>
                <w:sz w:val="20"/>
              </w:rPr>
            </w:pPr>
          </w:p>
        </w:tc>
        <w:tc>
          <w:tcPr>
            <w:tcW w:w="2340" w:type="pct"/>
          </w:tcPr>
          <w:p w:rsidR="0096768C" w:rsidRPr="006F20FF" w:rsidRDefault="0096768C" w:rsidP="00472B2D">
            <w:pPr>
              <w:jc w:val="both"/>
              <w:rPr>
                <w:rFonts w:eastAsia="Calibri"/>
                <w:sz w:val="20"/>
              </w:rPr>
            </w:pPr>
            <w:r w:rsidRPr="006F20FF">
              <w:rPr>
                <w:rFonts w:eastAsia="Calibri"/>
                <w:sz w:val="20"/>
              </w:rPr>
              <w:t>Appeal dismissed</w:t>
            </w:r>
          </w:p>
          <w:p w:rsidR="0096768C" w:rsidRPr="006F20FF" w:rsidRDefault="0096768C" w:rsidP="00472B2D">
            <w:pPr>
              <w:jc w:val="both"/>
              <w:rPr>
                <w:rFonts w:eastAsia="Calibri"/>
                <w:sz w:val="20"/>
              </w:rPr>
            </w:pPr>
          </w:p>
        </w:tc>
      </w:tr>
      <w:tr w:rsidR="0096768C" w:rsidRPr="006F20FF" w:rsidTr="00D27A21">
        <w:tblPrEx>
          <w:tblCellMar>
            <w:bottom w:w="0" w:type="dxa"/>
          </w:tblCellMar>
        </w:tblPrEx>
        <w:trPr>
          <w:cantSplit/>
        </w:trPr>
        <w:tc>
          <w:tcPr>
            <w:tcW w:w="2390" w:type="pct"/>
          </w:tcPr>
          <w:p w:rsidR="0096768C" w:rsidRPr="006F20FF" w:rsidRDefault="0096768C" w:rsidP="00472B2D">
            <w:pPr>
              <w:jc w:val="both"/>
              <w:rPr>
                <w:rFonts w:eastAsia="Calibri"/>
                <w:sz w:val="20"/>
              </w:rPr>
            </w:pPr>
            <w:r w:rsidRPr="006F20FF">
              <w:rPr>
                <w:rFonts w:eastAsia="Calibri"/>
                <w:sz w:val="20"/>
              </w:rPr>
              <w:t>April 10, 2014</w:t>
            </w:r>
          </w:p>
          <w:p w:rsidR="0096768C" w:rsidRPr="006F20FF" w:rsidRDefault="0096768C" w:rsidP="00472B2D">
            <w:pPr>
              <w:jc w:val="both"/>
              <w:rPr>
                <w:rFonts w:eastAsia="Calibri"/>
                <w:sz w:val="20"/>
              </w:rPr>
            </w:pPr>
            <w:r w:rsidRPr="006F20FF">
              <w:rPr>
                <w:rFonts w:eastAsia="Calibri"/>
                <w:sz w:val="20"/>
              </w:rPr>
              <w:t>Supreme Court of Canada</w:t>
            </w:r>
          </w:p>
        </w:tc>
        <w:tc>
          <w:tcPr>
            <w:tcW w:w="270" w:type="pct"/>
          </w:tcPr>
          <w:p w:rsidR="0096768C" w:rsidRPr="006F20FF" w:rsidRDefault="0096768C" w:rsidP="00472B2D">
            <w:pPr>
              <w:jc w:val="both"/>
              <w:rPr>
                <w:rFonts w:eastAsia="Calibri"/>
                <w:sz w:val="20"/>
              </w:rPr>
            </w:pPr>
          </w:p>
        </w:tc>
        <w:tc>
          <w:tcPr>
            <w:tcW w:w="2340" w:type="pct"/>
          </w:tcPr>
          <w:p w:rsidR="0096768C" w:rsidRPr="006F20FF" w:rsidRDefault="0096768C" w:rsidP="00472B2D">
            <w:pPr>
              <w:jc w:val="both"/>
              <w:rPr>
                <w:rFonts w:eastAsia="Calibri"/>
                <w:sz w:val="20"/>
              </w:rPr>
            </w:pPr>
            <w:r w:rsidRPr="006F20FF">
              <w:rPr>
                <w:rFonts w:eastAsia="Calibri"/>
                <w:sz w:val="20"/>
              </w:rPr>
              <w:t>Application for leave to appeal filed</w:t>
            </w:r>
          </w:p>
          <w:p w:rsidR="0096768C" w:rsidRPr="006F20FF" w:rsidRDefault="0096768C" w:rsidP="00472B2D">
            <w:pPr>
              <w:jc w:val="both"/>
              <w:rPr>
                <w:rFonts w:eastAsia="Calibri"/>
                <w:sz w:val="20"/>
              </w:rPr>
            </w:pPr>
          </w:p>
        </w:tc>
      </w:tr>
    </w:tbl>
    <w:p w:rsidR="00D96800" w:rsidRDefault="00D96800" w:rsidP="00D96800">
      <w:pPr>
        <w:rPr>
          <w:sz w:val="20"/>
          <w:szCs w:val="20"/>
        </w:rPr>
      </w:pPr>
    </w:p>
    <w:p w:rsidR="00D96800" w:rsidRPr="00C50A5C" w:rsidRDefault="006E182C" w:rsidP="00D96800">
      <w:pPr>
        <w:rPr>
          <w:sz w:val="20"/>
          <w:szCs w:val="20"/>
        </w:rPr>
      </w:pPr>
      <w:r>
        <w:rPr>
          <w:sz w:val="20"/>
          <w:szCs w:val="20"/>
          <w:lang w:val="fr-CA"/>
        </w:rPr>
        <w:pict>
          <v:rect id="_x0000_i1066" style="width:2in;height:1pt" o:hrpct="0" o:hralign="center" o:hrstd="t" o:hrnoshade="t" o:hr="t" fillcolor="black [3213]" stroked="f"/>
        </w:pict>
      </w:r>
    </w:p>
    <w:p w:rsidR="00D96800" w:rsidRDefault="00D96800" w:rsidP="00D96800">
      <w:pPr>
        <w:rPr>
          <w:sz w:val="20"/>
          <w:szCs w:val="20"/>
        </w:rPr>
      </w:pPr>
    </w:p>
    <w:p w:rsidR="00D96800" w:rsidRPr="001B157C" w:rsidRDefault="00D96800" w:rsidP="00D96800">
      <w:pPr>
        <w:rPr>
          <w:sz w:val="20"/>
          <w:szCs w:val="20"/>
          <w:u w:val="single"/>
          <w:lang w:val="fr-CA"/>
        </w:rPr>
      </w:pPr>
      <w:r w:rsidRPr="001B157C">
        <w:rPr>
          <w:sz w:val="20"/>
          <w:szCs w:val="20"/>
          <w:u w:val="single"/>
          <w:lang w:val="fr-CA"/>
        </w:rPr>
        <w:t>RÉSUMÉ DE L’AFFAIRE</w:t>
      </w:r>
    </w:p>
    <w:p w:rsidR="00D96800" w:rsidRDefault="00D96800" w:rsidP="00D9680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54"/>
        <w:gridCol w:w="514"/>
        <w:gridCol w:w="4459"/>
      </w:tblGrid>
      <w:tr w:rsidR="0096768C" w:rsidRPr="006E182C"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Droit constitutionnel – Partage des compétences – Prépondérance fédérale – Libération de la faillite – Permis et immatriculation de véhicules automobiles et permis de conduire – Est-ce qu’une province peut exiger, à titre de condition d’obtention d’un permis de conduire et de l’immatriculation d’un véhicule, qu’une personne libérée d’une faillite conformément à la </w:t>
            </w:r>
            <w:r w:rsidRPr="006F20FF">
              <w:rPr>
                <w:rFonts w:eastAsia="Calibri"/>
                <w:i/>
                <w:sz w:val="20"/>
                <w:lang w:val="fr-CA"/>
              </w:rPr>
              <w:t>Loi sur la faillite et l’insolvabilité</w:t>
            </w:r>
            <w:r w:rsidRPr="006F20FF">
              <w:rPr>
                <w:rFonts w:eastAsia="Calibri"/>
                <w:sz w:val="20"/>
                <w:lang w:val="fr-CA"/>
              </w:rPr>
              <w:t xml:space="preserve">, L.R.C 1985, ch. B-3, paie une somme due en vertu d’un jugement mais dont elle a été libérée dans le cadre de procédures de faillite ou qu’elle paie des droits égaux au montant de la dette? – Est-ce que l’art. 102 de la </w:t>
            </w:r>
            <w:r w:rsidRPr="006F20FF">
              <w:rPr>
                <w:rFonts w:eastAsia="Calibri"/>
                <w:i/>
                <w:sz w:val="20"/>
                <w:lang w:val="fr-CA"/>
              </w:rPr>
              <w:t>Traffic Safety Act</w:t>
            </w:r>
            <w:r w:rsidRPr="006F20FF">
              <w:rPr>
                <w:rFonts w:eastAsia="Calibri"/>
                <w:sz w:val="20"/>
                <w:lang w:val="fr-CA"/>
              </w:rPr>
              <w:t xml:space="preserve">, R.S.A. 2000, ch. T-6, est en conflit avec la </w:t>
            </w:r>
            <w:r w:rsidRPr="006F20FF">
              <w:rPr>
                <w:rFonts w:eastAsia="Calibri"/>
                <w:i/>
                <w:sz w:val="20"/>
                <w:lang w:val="fr-CA"/>
              </w:rPr>
              <w:t>Loi sur la faillite et l’insolvabilité</w:t>
            </w:r>
            <w:r w:rsidRPr="006F20FF">
              <w:rPr>
                <w:rFonts w:eastAsia="Calibri"/>
                <w:sz w:val="20"/>
                <w:lang w:val="fr-CA"/>
              </w:rPr>
              <w:t>?</w:t>
            </w:r>
          </w:p>
        </w:tc>
      </w:tr>
      <w:tr w:rsidR="0096768C" w:rsidRPr="006E182C" w:rsidTr="00472B2D">
        <w:tc>
          <w:tcPr>
            <w:tcW w:w="5000" w:type="pct"/>
            <w:gridSpan w:val="3"/>
          </w:tcPr>
          <w:p w:rsidR="0096768C" w:rsidRPr="006F20FF" w:rsidRDefault="0096768C" w:rsidP="00472B2D">
            <w:pPr>
              <w:jc w:val="both"/>
              <w:rPr>
                <w:rFonts w:eastAsia="Calibri"/>
                <w:sz w:val="20"/>
                <w:lang w:val="fr-CA"/>
              </w:rPr>
            </w:pPr>
          </w:p>
        </w:tc>
      </w:tr>
      <w:tr w:rsidR="0096768C" w:rsidRPr="006E182C" w:rsidTr="00472B2D">
        <w:tc>
          <w:tcPr>
            <w:tcW w:w="5000" w:type="pct"/>
            <w:gridSpan w:val="3"/>
          </w:tcPr>
          <w:p w:rsidR="0096768C" w:rsidRPr="006F20FF" w:rsidRDefault="0096768C" w:rsidP="00472B2D">
            <w:pPr>
              <w:jc w:val="both"/>
              <w:rPr>
                <w:rFonts w:eastAsia="Calibri"/>
                <w:sz w:val="20"/>
                <w:lang w:val="fr-CA"/>
              </w:rPr>
            </w:pPr>
            <w:r w:rsidRPr="006F20FF">
              <w:rPr>
                <w:rFonts w:eastAsia="Calibri"/>
                <w:sz w:val="20"/>
                <w:lang w:val="fr-CA"/>
              </w:rPr>
              <w:t xml:space="preserve">En 1989, alors qu’il n’était pas assuré, M. Moloney a eu un accident d’automobile dans lequel il était fautif.  En 1996, l’administrateur de la </w:t>
            </w:r>
            <w:hyperlink r:id="rId53" w:history="1">
              <w:r w:rsidRPr="006F20FF">
                <w:rPr>
                  <w:rFonts w:eastAsia="Calibri"/>
                  <w:i/>
                  <w:sz w:val="20"/>
                  <w:lang w:val="fr-CA"/>
                </w:rPr>
                <w:t>Motor Vehicle Accident Claims Act</w:t>
              </w:r>
            </w:hyperlink>
            <w:r w:rsidRPr="006F20FF">
              <w:rPr>
                <w:rFonts w:eastAsia="Calibri"/>
                <w:sz w:val="20"/>
                <w:lang w:val="fr-CA"/>
              </w:rPr>
              <w:t>, 2012 ABQB 644,</w:t>
            </w:r>
            <w:r w:rsidRPr="006F20FF">
              <w:rPr>
                <w:rFonts w:eastAsia="Calibri"/>
                <w:i/>
                <w:sz w:val="20"/>
                <w:lang w:val="fr-CA"/>
              </w:rPr>
              <w:t xml:space="preserve"> </w:t>
            </w:r>
            <w:r w:rsidRPr="006F20FF">
              <w:rPr>
                <w:rFonts w:eastAsia="Calibri"/>
                <w:sz w:val="20"/>
                <w:lang w:val="fr-CA"/>
              </w:rPr>
              <w:t xml:space="preserve">a obtenu un jugement par défaut contre M. Moloney pour la somme de 194 875$.  Le 17 juin 2011, ce dernier a obtenu une ordonnance de libération absolue à l’égard de la faillite.  Il a été libéré pour la somme due en vertu du jugement de 1996. Malgré cette libération, le gouvernement de l’Alberta a suspendu indéfiniment le permis de conduire de M. Moloney ainsi que ses droits d’immatriculation automobile, jusqu’à ce que la somme due en vertu du jugement soit payée ou libérée autrement que par la faillite.  Monsieur Moloney a demandé une ordonnance sursoyant à l’exécution du jugement de 1996 et à la suspension de ses privilèges en matière de conduite et d’immatriculation automobiles. </w:t>
            </w:r>
          </w:p>
          <w:p w:rsidR="0096768C" w:rsidRPr="006F20FF" w:rsidRDefault="0096768C" w:rsidP="00472B2D">
            <w:pPr>
              <w:ind w:right="432"/>
              <w:jc w:val="both"/>
              <w:rPr>
                <w:rFonts w:eastAsia="Calibri"/>
                <w:sz w:val="20"/>
                <w:lang w:val="fr-CA"/>
              </w:rPr>
            </w:pPr>
          </w:p>
        </w:tc>
      </w:tr>
      <w:tr w:rsidR="0096768C" w:rsidRPr="006E182C" w:rsidTr="00472B2D">
        <w:tblPrEx>
          <w:tblCellMar>
            <w:bottom w:w="0" w:type="dxa"/>
          </w:tblCellMar>
        </w:tblPrEx>
        <w:tc>
          <w:tcPr>
            <w:tcW w:w="2390" w:type="pct"/>
          </w:tcPr>
          <w:p w:rsidR="0096768C" w:rsidRPr="006F20FF" w:rsidRDefault="0096768C" w:rsidP="00472B2D">
            <w:pPr>
              <w:jc w:val="both"/>
              <w:rPr>
                <w:rFonts w:eastAsia="Calibri"/>
                <w:sz w:val="20"/>
                <w:lang w:val="fr-CA"/>
              </w:rPr>
            </w:pPr>
            <w:r w:rsidRPr="006F20FF">
              <w:rPr>
                <w:rFonts w:eastAsia="Calibri"/>
                <w:sz w:val="20"/>
                <w:lang w:val="fr-CA"/>
              </w:rPr>
              <w:t>19 octobre 2012</w:t>
            </w:r>
          </w:p>
          <w:p w:rsidR="0096768C" w:rsidRPr="006F20FF" w:rsidRDefault="0096768C" w:rsidP="00472B2D">
            <w:pPr>
              <w:jc w:val="both"/>
              <w:rPr>
                <w:rFonts w:eastAsia="Calibri"/>
                <w:sz w:val="20"/>
                <w:lang w:val="fr-CA"/>
              </w:rPr>
            </w:pPr>
            <w:r w:rsidRPr="006F20FF">
              <w:rPr>
                <w:rFonts w:eastAsia="Calibri"/>
                <w:sz w:val="20"/>
                <w:lang w:val="fr-CA"/>
              </w:rPr>
              <w:t>Cour du Banc de la Reine de l’Alberta</w:t>
            </w:r>
          </w:p>
          <w:p w:rsidR="0096768C" w:rsidRPr="006F20FF" w:rsidRDefault="0096768C" w:rsidP="00472B2D">
            <w:pPr>
              <w:jc w:val="both"/>
              <w:rPr>
                <w:rFonts w:eastAsia="Calibri"/>
                <w:sz w:val="20"/>
              </w:rPr>
            </w:pPr>
            <w:r w:rsidRPr="006F20FF">
              <w:rPr>
                <w:rFonts w:eastAsia="Calibri"/>
                <w:sz w:val="20"/>
              </w:rPr>
              <w:t>(Juge Moen)</w:t>
            </w:r>
          </w:p>
          <w:p w:rsidR="0096768C" w:rsidRPr="006F20FF" w:rsidRDefault="006E182C" w:rsidP="00472B2D">
            <w:pPr>
              <w:jc w:val="both"/>
              <w:rPr>
                <w:rFonts w:eastAsia="Calibri"/>
                <w:sz w:val="20"/>
              </w:rPr>
            </w:pPr>
            <w:hyperlink r:id="rId54" w:history="1">
              <w:r w:rsidR="0096768C" w:rsidRPr="006F20FF">
                <w:rPr>
                  <w:rFonts w:eastAsia="Calibri"/>
                  <w:color w:val="0000FF"/>
                  <w:sz w:val="20"/>
                  <w:u w:val="single"/>
                </w:rPr>
                <w:t>2012 ABQB 644</w:t>
              </w:r>
            </w:hyperlink>
          </w:p>
          <w:p w:rsidR="0096768C" w:rsidRPr="006F20FF" w:rsidRDefault="0096768C" w:rsidP="00472B2D">
            <w:pPr>
              <w:jc w:val="both"/>
              <w:rPr>
                <w:rFonts w:eastAsia="Calibri"/>
                <w:sz w:val="20"/>
              </w:rPr>
            </w:pPr>
          </w:p>
        </w:tc>
        <w:tc>
          <w:tcPr>
            <w:tcW w:w="270" w:type="pct"/>
          </w:tcPr>
          <w:p w:rsidR="0096768C" w:rsidRPr="006F20FF" w:rsidRDefault="0096768C" w:rsidP="00472B2D">
            <w:pPr>
              <w:jc w:val="both"/>
              <w:rPr>
                <w:rFonts w:eastAsia="Calibri"/>
                <w:sz w:val="20"/>
              </w:rPr>
            </w:pPr>
          </w:p>
        </w:tc>
        <w:tc>
          <w:tcPr>
            <w:tcW w:w="2340" w:type="pct"/>
          </w:tcPr>
          <w:p w:rsidR="0096768C" w:rsidRPr="006F20FF" w:rsidRDefault="0096768C" w:rsidP="00472B2D">
            <w:pPr>
              <w:jc w:val="both"/>
              <w:rPr>
                <w:rFonts w:eastAsia="PMingLiU"/>
                <w:color w:val="000000"/>
                <w:sz w:val="20"/>
                <w:lang w:val="fr-CA"/>
              </w:rPr>
            </w:pPr>
            <w:r w:rsidRPr="006F20FF">
              <w:rPr>
                <w:rFonts w:eastAsia="Calibri"/>
                <w:color w:val="000000"/>
                <w:sz w:val="20"/>
                <w:lang w:val="fr-CA"/>
              </w:rPr>
              <w:t xml:space="preserve">Jugement déclarant l’existence d’un conflit d’application entre la </w:t>
            </w:r>
            <w:r w:rsidRPr="006F20FF">
              <w:rPr>
                <w:rFonts w:eastAsia="Calibri"/>
                <w:i/>
                <w:color w:val="000000"/>
                <w:sz w:val="20"/>
                <w:lang w:val="fr-CA"/>
              </w:rPr>
              <w:t>Traffic Safety Act</w:t>
            </w:r>
            <w:r w:rsidRPr="006F20FF">
              <w:rPr>
                <w:rFonts w:eastAsia="Calibri"/>
                <w:color w:val="000000"/>
                <w:sz w:val="20"/>
                <w:lang w:val="fr-CA"/>
              </w:rPr>
              <w:t xml:space="preserve">, R.S.A. 2000, c. T-6 et la </w:t>
            </w:r>
            <w:r w:rsidRPr="006F20FF">
              <w:rPr>
                <w:rFonts w:eastAsia="Calibri"/>
                <w:i/>
                <w:sz w:val="20"/>
                <w:lang w:val="fr-CA"/>
              </w:rPr>
              <w:t>Loi sur la faillite et l’insolvabilité</w:t>
            </w:r>
            <w:r w:rsidRPr="006F20FF">
              <w:rPr>
                <w:rFonts w:eastAsia="Calibri"/>
                <w:sz w:val="20"/>
                <w:lang w:val="fr-CA"/>
              </w:rPr>
              <w:t>, L.R.C 1985, ch. B-3; redressement de nature déclaratoire accordé à l’intimé</w:t>
            </w:r>
            <w:r w:rsidRPr="006F20FF">
              <w:rPr>
                <w:rFonts w:eastAsia="Calibri"/>
                <w:color w:val="000000"/>
                <w:sz w:val="20"/>
                <w:lang w:val="fr-CA"/>
              </w:rPr>
              <w:t>; sursis accordé à l’égard de la s</w:t>
            </w:r>
            <w:r w:rsidRPr="006F20FF">
              <w:rPr>
                <w:rFonts w:eastAsia="PMingLiU"/>
                <w:color w:val="000000"/>
                <w:sz w:val="20"/>
                <w:lang w:val="fr-CA"/>
              </w:rPr>
              <w:t xml:space="preserve">uspension des privilèges en matière de conduite automobile prononcée pour cause de non-paiement d’une somme due en vertu d’un jugement mais dont l’intéressé a été libérée. </w:t>
            </w:r>
          </w:p>
          <w:p w:rsidR="0096768C" w:rsidRPr="006F20FF" w:rsidRDefault="0096768C" w:rsidP="00472B2D">
            <w:pPr>
              <w:jc w:val="both"/>
              <w:rPr>
                <w:rFonts w:eastAsia="Calibri"/>
                <w:sz w:val="20"/>
                <w:lang w:val="fr-CA"/>
              </w:rPr>
            </w:pPr>
          </w:p>
        </w:tc>
      </w:tr>
      <w:tr w:rsidR="0096768C" w:rsidRPr="006F20FF" w:rsidTr="00472B2D">
        <w:tblPrEx>
          <w:tblCellMar>
            <w:bottom w:w="0" w:type="dxa"/>
          </w:tblCellMar>
        </w:tblPrEx>
        <w:tc>
          <w:tcPr>
            <w:tcW w:w="2390" w:type="pct"/>
          </w:tcPr>
          <w:p w:rsidR="0096768C" w:rsidRPr="006F20FF" w:rsidRDefault="0096768C" w:rsidP="00472B2D">
            <w:pPr>
              <w:jc w:val="both"/>
              <w:rPr>
                <w:rFonts w:eastAsia="Calibri"/>
                <w:sz w:val="20"/>
                <w:lang w:val="fr-CA"/>
              </w:rPr>
            </w:pPr>
            <w:r w:rsidRPr="006F20FF">
              <w:rPr>
                <w:rFonts w:eastAsia="Calibri"/>
                <w:sz w:val="20"/>
                <w:lang w:val="fr-CA"/>
              </w:rPr>
              <w:t>13 février 2014</w:t>
            </w:r>
          </w:p>
          <w:p w:rsidR="0096768C" w:rsidRPr="006F20FF" w:rsidRDefault="0096768C" w:rsidP="00472B2D">
            <w:pPr>
              <w:jc w:val="both"/>
              <w:rPr>
                <w:rFonts w:eastAsia="Calibri"/>
                <w:sz w:val="20"/>
                <w:lang w:val="fr-CA"/>
              </w:rPr>
            </w:pPr>
            <w:r w:rsidRPr="006F20FF">
              <w:rPr>
                <w:rFonts w:eastAsia="Calibri"/>
                <w:sz w:val="20"/>
                <w:lang w:val="fr-CA"/>
              </w:rPr>
              <w:t>Cour d’appel de l’Alberta (Edmonton)</w:t>
            </w:r>
          </w:p>
          <w:p w:rsidR="0096768C" w:rsidRPr="006F20FF" w:rsidRDefault="0096768C" w:rsidP="00472B2D">
            <w:pPr>
              <w:jc w:val="both"/>
              <w:rPr>
                <w:rFonts w:eastAsia="Calibri"/>
                <w:sz w:val="20"/>
                <w:lang w:val="fr-CA"/>
              </w:rPr>
            </w:pPr>
            <w:r w:rsidRPr="006F20FF">
              <w:rPr>
                <w:rFonts w:eastAsia="Calibri"/>
                <w:sz w:val="20"/>
                <w:lang w:val="fr-CA"/>
              </w:rPr>
              <w:t>(Juges Berger, Watson et Slatter)</w:t>
            </w:r>
          </w:p>
          <w:p w:rsidR="0096768C" w:rsidRPr="006F20FF" w:rsidRDefault="006E182C" w:rsidP="00472B2D">
            <w:pPr>
              <w:jc w:val="both"/>
              <w:rPr>
                <w:rFonts w:eastAsia="Calibri"/>
                <w:sz w:val="20"/>
              </w:rPr>
            </w:pPr>
            <w:hyperlink r:id="rId55" w:history="1">
              <w:r w:rsidR="0096768C" w:rsidRPr="006F20FF">
                <w:rPr>
                  <w:rFonts w:eastAsia="Calibri"/>
                  <w:color w:val="0000FF"/>
                  <w:sz w:val="20"/>
                  <w:u w:val="single"/>
                </w:rPr>
                <w:t>2014 ABCA 68</w:t>
              </w:r>
            </w:hyperlink>
            <w:r w:rsidR="0096768C" w:rsidRPr="006F20FF">
              <w:rPr>
                <w:rFonts w:eastAsia="Calibri"/>
                <w:sz w:val="20"/>
              </w:rPr>
              <w:t>; 1203-0293-AC</w:t>
            </w:r>
          </w:p>
          <w:p w:rsidR="0096768C" w:rsidRPr="006F20FF" w:rsidRDefault="0096768C" w:rsidP="00472B2D">
            <w:pPr>
              <w:jc w:val="both"/>
              <w:rPr>
                <w:rFonts w:eastAsia="Calibri"/>
                <w:sz w:val="20"/>
              </w:rPr>
            </w:pPr>
          </w:p>
        </w:tc>
        <w:tc>
          <w:tcPr>
            <w:tcW w:w="270" w:type="pct"/>
          </w:tcPr>
          <w:p w:rsidR="0096768C" w:rsidRPr="006F20FF" w:rsidRDefault="0096768C" w:rsidP="00472B2D">
            <w:pPr>
              <w:jc w:val="both"/>
              <w:rPr>
                <w:rFonts w:eastAsia="Calibri"/>
                <w:sz w:val="20"/>
              </w:rPr>
            </w:pPr>
          </w:p>
        </w:tc>
        <w:tc>
          <w:tcPr>
            <w:tcW w:w="2340" w:type="pct"/>
          </w:tcPr>
          <w:p w:rsidR="0096768C" w:rsidRPr="006F20FF" w:rsidRDefault="0096768C" w:rsidP="00472B2D">
            <w:pPr>
              <w:jc w:val="both"/>
              <w:rPr>
                <w:rFonts w:eastAsia="Calibri"/>
                <w:sz w:val="20"/>
              </w:rPr>
            </w:pPr>
            <w:r w:rsidRPr="006F20FF">
              <w:rPr>
                <w:rFonts w:eastAsia="Calibri"/>
                <w:sz w:val="20"/>
              </w:rPr>
              <w:t>Appel rejeté</w:t>
            </w:r>
          </w:p>
          <w:p w:rsidR="0096768C" w:rsidRPr="006F20FF" w:rsidRDefault="0096768C" w:rsidP="00472B2D">
            <w:pPr>
              <w:jc w:val="both"/>
              <w:rPr>
                <w:rFonts w:eastAsia="Calibri"/>
                <w:sz w:val="20"/>
              </w:rPr>
            </w:pPr>
          </w:p>
        </w:tc>
      </w:tr>
    </w:tbl>
    <w:p w:rsidR="00D27A21" w:rsidRDefault="00D27A21">
      <w:pPr>
        <w:rPr>
          <w:sz w:val="20"/>
          <w:szCs w:val="20"/>
        </w:rPr>
      </w:pPr>
      <w:r>
        <w:rPr>
          <w:sz w:val="20"/>
          <w:szCs w:val="20"/>
        </w:rPr>
        <w:br w:type="page"/>
      </w:r>
    </w:p>
    <w:tbl>
      <w:tblPr>
        <w:tblW w:w="4952" w:type="pct"/>
        <w:tblLayout w:type="fixed"/>
        <w:tblCellMar>
          <w:left w:w="0" w:type="dxa"/>
          <w:right w:w="0" w:type="dxa"/>
        </w:tblCellMar>
        <w:tblLook w:val="04A0" w:firstRow="1" w:lastRow="0" w:firstColumn="1" w:lastColumn="0" w:noHBand="0" w:noVBand="1"/>
      </w:tblPr>
      <w:tblGrid>
        <w:gridCol w:w="4554"/>
        <w:gridCol w:w="514"/>
        <w:gridCol w:w="4459"/>
      </w:tblGrid>
      <w:tr w:rsidR="0096768C" w:rsidRPr="006F20FF" w:rsidTr="00472B2D">
        <w:tc>
          <w:tcPr>
            <w:tcW w:w="2390" w:type="pct"/>
          </w:tcPr>
          <w:p w:rsidR="0096768C" w:rsidRPr="006F20FF" w:rsidRDefault="0096768C" w:rsidP="00472B2D">
            <w:pPr>
              <w:jc w:val="both"/>
              <w:rPr>
                <w:rFonts w:eastAsia="Calibri"/>
                <w:sz w:val="20"/>
                <w:lang w:val="fr-CA"/>
              </w:rPr>
            </w:pPr>
            <w:r w:rsidRPr="006F20FF">
              <w:rPr>
                <w:rFonts w:eastAsia="Calibri"/>
                <w:sz w:val="20"/>
                <w:lang w:val="fr-CA"/>
              </w:rPr>
              <w:lastRenderedPageBreak/>
              <w:t>10 avril 2014</w:t>
            </w:r>
          </w:p>
          <w:p w:rsidR="0096768C" w:rsidRPr="006F20FF" w:rsidRDefault="0096768C" w:rsidP="00472B2D">
            <w:pPr>
              <w:jc w:val="both"/>
              <w:rPr>
                <w:rFonts w:eastAsia="Calibri"/>
                <w:sz w:val="20"/>
                <w:lang w:val="fr-CA"/>
              </w:rPr>
            </w:pPr>
            <w:r w:rsidRPr="006F20FF">
              <w:rPr>
                <w:rFonts w:eastAsia="Calibri"/>
                <w:sz w:val="20"/>
                <w:lang w:val="fr-CA"/>
              </w:rPr>
              <w:t>Cour suprême du Canada</w:t>
            </w:r>
          </w:p>
        </w:tc>
        <w:tc>
          <w:tcPr>
            <w:tcW w:w="270" w:type="pct"/>
          </w:tcPr>
          <w:p w:rsidR="0096768C" w:rsidRPr="006F20FF" w:rsidRDefault="0096768C" w:rsidP="00472B2D">
            <w:pPr>
              <w:jc w:val="both"/>
              <w:rPr>
                <w:rFonts w:eastAsia="Calibri"/>
                <w:sz w:val="20"/>
                <w:lang w:val="fr-CA"/>
              </w:rPr>
            </w:pPr>
          </w:p>
        </w:tc>
        <w:tc>
          <w:tcPr>
            <w:tcW w:w="2340" w:type="pct"/>
          </w:tcPr>
          <w:p w:rsidR="0096768C" w:rsidRPr="006F20FF" w:rsidRDefault="0096768C" w:rsidP="00472B2D">
            <w:pPr>
              <w:jc w:val="both"/>
              <w:rPr>
                <w:rFonts w:eastAsia="Calibri"/>
                <w:sz w:val="20"/>
              </w:rPr>
            </w:pPr>
            <w:r w:rsidRPr="006F20FF">
              <w:rPr>
                <w:rFonts w:eastAsia="Calibri"/>
                <w:sz w:val="20"/>
                <w:lang w:val="fr-CA"/>
              </w:rPr>
              <w:t>Demande d’autorisation d’appel déposée</w:t>
            </w:r>
          </w:p>
        </w:tc>
      </w:tr>
    </w:tbl>
    <w:p w:rsidR="00D96800" w:rsidRDefault="00D96800" w:rsidP="00D96800">
      <w:pPr>
        <w:rPr>
          <w:sz w:val="20"/>
          <w:szCs w:val="20"/>
        </w:rPr>
      </w:pPr>
    </w:p>
    <w:p w:rsidR="00D96800" w:rsidRDefault="006E182C" w:rsidP="00D96800">
      <w:pPr>
        <w:rPr>
          <w:sz w:val="20"/>
          <w:szCs w:val="20"/>
          <w:lang w:val="fr-CA"/>
        </w:rPr>
      </w:pPr>
      <w:r>
        <w:rPr>
          <w:sz w:val="20"/>
          <w:szCs w:val="20"/>
          <w:lang w:val="fr-CA"/>
        </w:rPr>
        <w:pict>
          <v:rect id="_x0000_i1067" style="width:2in;height:1pt" o:hrpct="0" o:hralign="center" o:hrstd="t" o:hrnoshade="t" o:hr="t" fillcolor="black [3213]" stroked="f"/>
        </w:pict>
      </w:r>
    </w:p>
    <w:p w:rsidR="00D96800" w:rsidRDefault="00D96800" w:rsidP="00D96800">
      <w:pPr>
        <w:rPr>
          <w:sz w:val="20"/>
          <w:szCs w:val="20"/>
        </w:rPr>
      </w:pPr>
    </w:p>
    <w:p w:rsidR="000E2959" w:rsidRPr="00404923"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2A76AC" w:rsidRPr="002A76AC" w:rsidRDefault="002A76AC" w:rsidP="002A76AC">
      <w:pPr>
        <w:tabs>
          <w:tab w:val="left" w:pos="-1440"/>
          <w:tab w:val="left" w:pos="-720"/>
        </w:tabs>
        <w:jc w:val="both"/>
        <w:rPr>
          <w:rFonts w:eastAsia="Times New Roman" w:cs="Times New Roman"/>
          <w:sz w:val="20"/>
          <w:szCs w:val="20"/>
          <w:lang w:val="fr-CA" w:eastAsia="en-CA"/>
        </w:rPr>
      </w:pPr>
      <w:r w:rsidRPr="002A76AC">
        <w:rPr>
          <w:rFonts w:eastAsia="Times New Roman" w:cs="Times New Roman"/>
          <w:sz w:val="20"/>
          <w:szCs w:val="20"/>
          <w:lang w:val="fr-CA" w:eastAsia="en-CA"/>
        </w:rPr>
        <w:t>03.06.2014</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2A76AC" w:rsidP="002A76AC">
      <w:pPr>
        <w:tabs>
          <w:tab w:val="left" w:pos="-1440"/>
          <w:tab w:val="left" w:pos="-720"/>
        </w:tabs>
        <w:jc w:val="both"/>
        <w:rPr>
          <w:rFonts w:eastAsia="Times New Roman" w:cs="Times New Roman"/>
          <w:sz w:val="20"/>
          <w:szCs w:val="20"/>
          <w:lang w:val="fr-CA" w:eastAsia="en-CA"/>
        </w:rPr>
      </w:pPr>
      <w:r w:rsidRPr="002A76AC">
        <w:rPr>
          <w:rFonts w:eastAsia="Times New Roman" w:cs="Times New Roman"/>
          <w:sz w:val="20"/>
          <w:szCs w:val="20"/>
          <w:lang w:val="fr-CA" w:eastAsia="en-CA"/>
        </w:rPr>
        <w:t>Before / Devant :   THE CHIEF JUSTICE / LA JUGE EN CHEF</w:t>
      </w:r>
    </w:p>
    <w:p w:rsidR="002A76AC" w:rsidRPr="002A76AC" w:rsidRDefault="002A76AC" w:rsidP="002A76A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A76AC" w:rsidRPr="006E182C" w:rsidTr="008155AB">
        <w:tc>
          <w:tcPr>
            <w:tcW w:w="4338" w:type="dxa"/>
          </w:tcPr>
          <w:p w:rsidR="002A76AC" w:rsidRPr="002A76AC" w:rsidRDefault="008222C4" w:rsidP="002A76AC">
            <w:pPr>
              <w:tabs>
                <w:tab w:val="left" w:pos="-1440"/>
                <w:tab w:val="left" w:pos="-720"/>
              </w:tabs>
              <w:jc w:val="both"/>
              <w:rPr>
                <w:b/>
              </w:rPr>
            </w:pPr>
            <w:r w:rsidRPr="002A76AC">
              <w:rPr>
                <w:lang w:val="en-US"/>
              </w:rPr>
              <w:fldChar w:fldCharType="begin"/>
            </w:r>
            <w:r w:rsidR="002A76AC" w:rsidRPr="002A76AC">
              <w:rPr>
                <w:lang w:val="en-US"/>
              </w:rPr>
              <w:instrText xml:space="preserve"> SEQ CHAPTER \h \r 1</w:instrText>
            </w:r>
            <w:r w:rsidRPr="002A76AC">
              <w:rPr>
                <w:lang w:val="en-US"/>
              </w:rPr>
              <w:fldChar w:fldCharType="end"/>
            </w:r>
            <w:r w:rsidR="002A76AC" w:rsidRPr="002A76AC">
              <w:rPr>
                <w:b/>
                <w:bCs/>
                <w:lang w:val="en-US"/>
              </w:rPr>
              <w:t>Motion to state constitutional questions</w:t>
            </w:r>
          </w:p>
        </w:tc>
        <w:tc>
          <w:tcPr>
            <w:tcW w:w="1170" w:type="dxa"/>
          </w:tcPr>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p>
        </w:tc>
        <w:tc>
          <w:tcPr>
            <w:tcW w:w="4327" w:type="dxa"/>
          </w:tcPr>
          <w:p w:rsidR="002A76AC" w:rsidRPr="002A76AC" w:rsidRDefault="008222C4" w:rsidP="002A76AC">
            <w:pPr>
              <w:tabs>
                <w:tab w:val="left" w:pos="-1440"/>
                <w:tab w:val="left" w:pos="-720"/>
              </w:tabs>
              <w:jc w:val="both"/>
              <w:rPr>
                <w:b/>
                <w:bCs/>
                <w:lang w:val="fr-CA"/>
              </w:rPr>
            </w:pPr>
            <w:r w:rsidRPr="002A76AC">
              <w:rPr>
                <w:lang w:val="en-US"/>
              </w:rPr>
              <w:fldChar w:fldCharType="begin"/>
            </w:r>
            <w:r w:rsidR="002A76AC" w:rsidRPr="002A76AC">
              <w:rPr>
                <w:lang w:val="fr-CA"/>
              </w:rPr>
              <w:instrText xml:space="preserve"> SEQ CHAPTER \h \r 1</w:instrText>
            </w:r>
            <w:r w:rsidRPr="002A76AC">
              <w:rPr>
                <w:lang w:val="en-US"/>
              </w:rPr>
              <w:fldChar w:fldCharType="end"/>
            </w:r>
            <w:r w:rsidR="002A76AC" w:rsidRPr="002A76AC">
              <w:rPr>
                <w:b/>
                <w:bCs/>
                <w:lang w:val="fr-CA"/>
              </w:rPr>
              <w:t xml:space="preserve">Requête en formulation de questions </w:t>
            </w:r>
          </w:p>
          <w:p w:rsidR="002A76AC" w:rsidRPr="002A76AC" w:rsidRDefault="002A76AC" w:rsidP="002A76AC">
            <w:pPr>
              <w:tabs>
                <w:tab w:val="left" w:pos="-1440"/>
                <w:tab w:val="left" w:pos="-720"/>
              </w:tabs>
              <w:jc w:val="both"/>
              <w:rPr>
                <w:lang w:val="fr-CA"/>
              </w:rPr>
            </w:pPr>
            <w:r w:rsidRPr="002A76AC">
              <w:rPr>
                <w:b/>
                <w:bCs/>
                <w:lang w:val="fr-CA"/>
              </w:rPr>
              <w:t>constitutionnelles</w:t>
            </w:r>
            <w:r w:rsidR="008222C4" w:rsidRPr="002A76AC">
              <w:rPr>
                <w:lang w:val="en-US"/>
              </w:rPr>
              <w:fldChar w:fldCharType="begin"/>
            </w:r>
            <w:r w:rsidRPr="002A76AC">
              <w:rPr>
                <w:lang w:val="fr-CA"/>
              </w:rPr>
              <w:instrText xml:space="preserve"> SEQ CHAPTER \h \r 1</w:instrText>
            </w:r>
            <w:r w:rsidR="008222C4" w:rsidRPr="002A76AC">
              <w:rPr>
                <w:lang w:val="en-US"/>
              </w:rPr>
              <w:fldChar w:fldCharType="end"/>
            </w:r>
            <w:r w:rsidR="008222C4" w:rsidRPr="002A76AC">
              <w:rPr>
                <w:lang w:val="en-US"/>
              </w:rPr>
              <w:fldChar w:fldCharType="begin"/>
            </w:r>
            <w:r w:rsidRPr="002A76AC">
              <w:rPr>
                <w:lang w:val="fr-CA"/>
              </w:rPr>
              <w:instrText xml:space="preserve"> SEQ CHAPTER \h \r 1</w:instrText>
            </w:r>
            <w:r w:rsidR="008222C4" w:rsidRPr="002A76AC">
              <w:rPr>
                <w:lang w:val="en-US"/>
              </w:rPr>
              <w:fldChar w:fldCharType="end"/>
            </w:r>
            <w:r w:rsidR="008222C4" w:rsidRPr="002A76AC">
              <w:rPr>
                <w:lang w:val="en-US"/>
              </w:rPr>
              <w:fldChar w:fldCharType="begin"/>
            </w:r>
            <w:r w:rsidRPr="002A76AC">
              <w:rPr>
                <w:lang w:val="fr-CA"/>
              </w:rPr>
              <w:instrText xml:space="preserve"> SEQ CHAPTER \h \r 1</w:instrText>
            </w:r>
            <w:r w:rsidR="008222C4" w:rsidRPr="002A76AC">
              <w:rPr>
                <w:lang w:val="en-US"/>
              </w:rPr>
              <w:fldChar w:fldCharType="end"/>
            </w:r>
          </w:p>
        </w:tc>
      </w:tr>
      <w:tr w:rsidR="002A76AC" w:rsidRPr="002A76AC" w:rsidTr="008155AB">
        <w:tc>
          <w:tcPr>
            <w:tcW w:w="4338" w:type="dxa"/>
          </w:tcPr>
          <w:p w:rsidR="002A76AC" w:rsidRPr="002A76AC" w:rsidRDefault="002A76AC" w:rsidP="002A76AC">
            <w:pPr>
              <w:tabs>
                <w:tab w:val="left" w:pos="-1440"/>
                <w:tab w:val="left" w:pos="-720"/>
              </w:tabs>
              <w:jc w:val="both"/>
            </w:pPr>
            <w:r w:rsidRPr="002A76AC">
              <w:t>Her Majesty the Queen</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ab/>
              <w:t>v. (35678)</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rPr>
                <w:lang w:val="fr-CA"/>
              </w:rPr>
            </w:pPr>
            <w:r w:rsidRPr="002A76AC">
              <w:rPr>
                <w:lang w:val="fr-CA"/>
              </w:rPr>
              <w:t>Hussein Jama Nur (Crim.) (Ont.)</w:t>
            </w:r>
          </w:p>
          <w:p w:rsidR="002A76AC" w:rsidRPr="002A76AC" w:rsidRDefault="002A76AC" w:rsidP="002A76AC">
            <w:pPr>
              <w:tabs>
                <w:tab w:val="left" w:pos="-1440"/>
                <w:tab w:val="left" w:pos="-720"/>
              </w:tabs>
              <w:jc w:val="both"/>
              <w:rPr>
                <w:lang w:val="fr-CA"/>
              </w:rPr>
            </w:pPr>
          </w:p>
          <w:p w:rsidR="002A76AC" w:rsidRPr="002A76AC" w:rsidRDefault="002A76AC" w:rsidP="002A76AC">
            <w:pPr>
              <w:tabs>
                <w:tab w:val="left" w:pos="-1440"/>
                <w:tab w:val="left" w:pos="-720"/>
              </w:tabs>
              <w:jc w:val="both"/>
            </w:pPr>
            <w:r w:rsidRPr="002A76AC">
              <w:t>and between</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Attorney General of Canada</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rPr>
                <w:lang w:val="fr-CA"/>
              </w:rPr>
            </w:pPr>
            <w:r w:rsidRPr="002A76AC">
              <w:tab/>
            </w:r>
            <w:r w:rsidRPr="002A76AC">
              <w:rPr>
                <w:lang w:val="fr-CA"/>
              </w:rPr>
              <w:t>v. (35678)</w:t>
            </w:r>
          </w:p>
          <w:p w:rsidR="002A76AC" w:rsidRPr="002A76AC" w:rsidRDefault="002A76AC" w:rsidP="002A76AC">
            <w:pPr>
              <w:tabs>
                <w:tab w:val="left" w:pos="-1440"/>
                <w:tab w:val="left" w:pos="-720"/>
              </w:tabs>
              <w:jc w:val="both"/>
              <w:rPr>
                <w:lang w:val="fr-CA"/>
              </w:rPr>
            </w:pPr>
          </w:p>
          <w:p w:rsidR="002A76AC" w:rsidRPr="002A76AC" w:rsidRDefault="002A76AC" w:rsidP="002A76AC">
            <w:pPr>
              <w:tabs>
                <w:tab w:val="left" w:pos="-1440"/>
                <w:tab w:val="left" w:pos="-720"/>
              </w:tabs>
              <w:jc w:val="both"/>
              <w:rPr>
                <w:lang w:val="fr-CA"/>
              </w:rPr>
            </w:pPr>
            <w:r w:rsidRPr="002A76AC">
              <w:rPr>
                <w:lang w:val="fr-CA"/>
              </w:rPr>
              <w:t>Hussein Jama Nur (Crim.) (Ont.)</w:t>
            </w:r>
          </w:p>
        </w:tc>
        <w:tc>
          <w:tcPr>
            <w:tcW w:w="1170" w:type="dxa"/>
          </w:tcPr>
          <w:p w:rsidR="002A76AC" w:rsidRPr="002A76AC" w:rsidRDefault="002A76AC" w:rsidP="002A76AC">
            <w:pPr>
              <w:tabs>
                <w:tab w:val="left" w:pos="-1440"/>
                <w:tab w:val="left" w:pos="-720"/>
              </w:tabs>
              <w:jc w:val="both"/>
              <w:rPr>
                <w:lang w:val="fr-CA"/>
              </w:rPr>
            </w:pPr>
          </w:p>
        </w:tc>
        <w:tc>
          <w:tcPr>
            <w:tcW w:w="4327" w:type="dxa"/>
          </w:tcPr>
          <w:p w:rsidR="002A76AC" w:rsidRPr="002A76AC" w:rsidRDefault="002A76AC" w:rsidP="002A76AC">
            <w:pPr>
              <w:tabs>
                <w:tab w:val="left" w:pos="-1440"/>
                <w:tab w:val="left" w:pos="-720"/>
              </w:tabs>
              <w:jc w:val="both"/>
              <w:rPr>
                <w:lang w:val="fr-CA"/>
              </w:rPr>
            </w:pPr>
          </w:p>
        </w:tc>
      </w:tr>
    </w:tbl>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2A76AC" w:rsidP="002A76AC">
      <w:pPr>
        <w:tabs>
          <w:tab w:val="left" w:pos="-1440"/>
          <w:tab w:val="left" w:pos="-720"/>
        </w:tabs>
        <w:jc w:val="both"/>
        <w:rPr>
          <w:rFonts w:eastAsia="Times New Roman" w:cs="Times New Roman"/>
          <w:sz w:val="20"/>
          <w:szCs w:val="20"/>
          <w:lang w:eastAsia="en-CA"/>
        </w:rPr>
      </w:pPr>
      <w:r w:rsidRPr="002A76AC">
        <w:rPr>
          <w:rFonts w:eastAsia="Times New Roman" w:cs="Times New Roman"/>
          <w:b/>
          <w:sz w:val="20"/>
          <w:szCs w:val="20"/>
          <w:lang w:eastAsia="en-CA"/>
        </w:rPr>
        <w:t>GRANTED / ACCORDÉE</w:t>
      </w:r>
    </w:p>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b/>
          <w:bCs/>
          <w:sz w:val="20"/>
          <w:szCs w:val="20"/>
          <w:lang w:val="en-US" w:eastAsia="en-CA"/>
        </w:rPr>
        <w:t>UPON APPLICATION</w:t>
      </w:r>
      <w:r w:rsidRPr="002A76AC">
        <w:rPr>
          <w:rFonts w:eastAsia="Times New Roman" w:cs="Times New Roman"/>
          <w:sz w:val="20"/>
          <w:szCs w:val="20"/>
          <w:lang w:val="en-US" w:eastAsia="en-CA"/>
        </w:rPr>
        <w:t xml:space="preserve"> by the appellant, the Attorney General of Canada, </w:t>
      </w:r>
      <w:r w:rsidR="008222C4" w:rsidRPr="002A76AC">
        <w:rPr>
          <w:rFonts w:eastAsia="Times New Roman" w:cs="Times New Roman"/>
          <w:sz w:val="20"/>
          <w:szCs w:val="20"/>
          <w:lang w:eastAsia="en-CA"/>
        </w:rPr>
        <w:fldChar w:fldCharType="begin"/>
      </w:r>
      <w:r w:rsidRPr="002A76AC">
        <w:rPr>
          <w:rFonts w:eastAsia="Times New Roman" w:cs="Times New Roman"/>
          <w:sz w:val="20"/>
          <w:szCs w:val="20"/>
          <w:lang w:eastAsia="en-CA"/>
        </w:rPr>
        <w:instrText xml:space="preserve"> SEQ CHAPTER \h \r 1</w:instrText>
      </w:r>
      <w:r w:rsidR="008222C4" w:rsidRPr="002A76AC">
        <w:rPr>
          <w:rFonts w:eastAsia="Times New Roman" w:cs="Times New Roman"/>
          <w:sz w:val="20"/>
          <w:szCs w:val="20"/>
          <w:lang w:eastAsia="en-CA"/>
        </w:rPr>
        <w:fldChar w:fldCharType="end"/>
      </w:r>
      <w:r w:rsidRPr="002A76AC">
        <w:rPr>
          <w:rFonts w:eastAsia="Times New Roman" w:cs="Times New Roman"/>
          <w:sz w:val="20"/>
          <w:szCs w:val="20"/>
          <w:lang w:eastAsia="en-CA"/>
        </w:rPr>
        <w:t xml:space="preserve">for an order stating constitutional questions </w:t>
      </w:r>
      <w:r w:rsidRPr="002A76AC">
        <w:rPr>
          <w:rFonts w:eastAsia="Times New Roman" w:cs="Times New Roman"/>
          <w:sz w:val="20"/>
          <w:szCs w:val="20"/>
          <w:lang w:val="en-US" w:eastAsia="en-CA"/>
        </w:rPr>
        <w:t>in the above appeal;</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b/>
          <w:bCs/>
          <w:sz w:val="20"/>
          <w:szCs w:val="20"/>
          <w:lang w:val="en-US" w:eastAsia="en-CA"/>
        </w:rPr>
        <w:t>AND THE MATERIAL FILED</w:t>
      </w:r>
      <w:r w:rsidRPr="002A76AC">
        <w:rPr>
          <w:rFonts w:eastAsia="Times New Roman" w:cs="Times New Roman"/>
          <w:sz w:val="20"/>
          <w:szCs w:val="20"/>
          <w:lang w:val="en-US" w:eastAsia="en-CA"/>
        </w:rPr>
        <w:t xml:space="preserve"> having been read;</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bCs/>
          <w:sz w:val="20"/>
          <w:szCs w:val="20"/>
          <w:lang w:val="en-US" w:eastAsia="en-CA"/>
        </w:rPr>
      </w:pPr>
      <w:r w:rsidRPr="002A76AC">
        <w:rPr>
          <w:rFonts w:eastAsia="Times New Roman" w:cs="Times New Roman"/>
          <w:b/>
          <w:bCs/>
          <w:sz w:val="20"/>
          <w:szCs w:val="20"/>
          <w:lang w:val="en-US" w:eastAsia="en-CA"/>
        </w:rPr>
        <w:t>IT IS HEREBY ORDERED THAT THE CONSTITUTIONAL QUESTIONS BE STATED AS FOLLOWS:</w:t>
      </w:r>
    </w:p>
    <w:p w:rsidR="002A76AC" w:rsidRPr="002A76AC" w:rsidRDefault="002A76AC" w:rsidP="002A76AC">
      <w:pPr>
        <w:jc w:val="both"/>
        <w:rPr>
          <w:rFonts w:eastAsia="Times New Roman" w:cs="Times New Roman"/>
          <w:bCs/>
          <w:sz w:val="20"/>
          <w:szCs w:val="20"/>
          <w:lang w:val="en-US" w:eastAsia="en-CA"/>
        </w:rPr>
      </w:pPr>
    </w:p>
    <w:p w:rsidR="002A76AC" w:rsidRPr="002A76AC" w:rsidRDefault="002A76AC" w:rsidP="002A76AC">
      <w:pPr>
        <w:numPr>
          <w:ilvl w:val="0"/>
          <w:numId w:val="7"/>
        </w:numPr>
        <w:autoSpaceDN w:val="0"/>
        <w:spacing w:line="0" w:lineRule="atLeast"/>
        <w:contextualSpacing/>
        <w:jc w:val="both"/>
        <w:rPr>
          <w:rFonts w:cs="Times New Roman"/>
          <w:color w:val="191919"/>
          <w:sz w:val="20"/>
          <w:szCs w:val="20"/>
        </w:rPr>
      </w:pPr>
      <w:r w:rsidRPr="002A76AC">
        <w:rPr>
          <w:rFonts w:cs="Times New Roman"/>
          <w:color w:val="191919"/>
          <w:sz w:val="20"/>
          <w:szCs w:val="20"/>
        </w:rPr>
        <w:t xml:space="preserve">Does s. 95(2)(a)(i) of the </w:t>
      </w:r>
      <w:r w:rsidRPr="002A76AC">
        <w:rPr>
          <w:rFonts w:cs="Times New Roman"/>
          <w:i/>
          <w:iCs/>
          <w:color w:val="191919"/>
          <w:sz w:val="20"/>
          <w:szCs w:val="20"/>
        </w:rPr>
        <w:t xml:space="preserve">Criminal Code, </w:t>
      </w:r>
      <w:r w:rsidRPr="002A76AC">
        <w:rPr>
          <w:rFonts w:cs="Times New Roman"/>
          <w:color w:val="191919"/>
          <w:sz w:val="20"/>
          <w:szCs w:val="20"/>
        </w:rPr>
        <w:t>R.S.C. 1985, c. C-46, infringe s. 12 of the C</w:t>
      </w:r>
      <w:r w:rsidRPr="002A76AC">
        <w:rPr>
          <w:rFonts w:cs="Times New Roman"/>
          <w:i/>
          <w:iCs/>
          <w:color w:val="191919"/>
          <w:sz w:val="20"/>
          <w:szCs w:val="20"/>
        </w:rPr>
        <w:t>anadian Charter of Rights and Freedoms</w:t>
      </w:r>
      <w:r w:rsidRPr="002A76AC">
        <w:rPr>
          <w:rFonts w:cs="Times New Roman"/>
          <w:color w:val="191919"/>
          <w:sz w:val="20"/>
          <w:szCs w:val="20"/>
        </w:rPr>
        <w:t>?</w:t>
      </w:r>
    </w:p>
    <w:p w:rsidR="002A76AC" w:rsidRPr="002A76AC" w:rsidRDefault="002A76AC" w:rsidP="002A76AC">
      <w:pPr>
        <w:spacing w:line="0" w:lineRule="atLeast"/>
        <w:contextualSpacing/>
        <w:jc w:val="both"/>
        <w:rPr>
          <w:rFonts w:cs="Times New Roman"/>
          <w:color w:val="191919"/>
          <w:sz w:val="20"/>
          <w:szCs w:val="20"/>
        </w:rPr>
      </w:pPr>
    </w:p>
    <w:p w:rsidR="002A76AC" w:rsidRPr="002A76AC" w:rsidRDefault="002A76AC" w:rsidP="002A76AC">
      <w:pPr>
        <w:numPr>
          <w:ilvl w:val="0"/>
          <w:numId w:val="7"/>
        </w:numPr>
        <w:autoSpaceDN w:val="0"/>
        <w:spacing w:line="0" w:lineRule="atLeast"/>
        <w:contextualSpacing/>
        <w:jc w:val="both"/>
        <w:rPr>
          <w:rFonts w:cs="Times New Roman"/>
          <w:color w:val="191919"/>
          <w:sz w:val="20"/>
          <w:szCs w:val="20"/>
        </w:rPr>
      </w:pPr>
      <w:r w:rsidRPr="002A76AC">
        <w:rPr>
          <w:rFonts w:cs="Times New Roman"/>
          <w:sz w:val="20"/>
          <w:szCs w:val="20"/>
        </w:rPr>
        <w:t xml:space="preserve">If so, is the infringement a reasonable limit prescribed by law as can be demonstrably justified in a free and democratic society under s. 1 of the </w:t>
      </w:r>
      <w:r w:rsidRPr="002A76AC">
        <w:rPr>
          <w:rFonts w:cs="Times New Roman"/>
          <w:i/>
          <w:iCs/>
          <w:sz w:val="20"/>
          <w:szCs w:val="20"/>
        </w:rPr>
        <w:t>Canadian Charter of Rights and Freedoms</w:t>
      </w:r>
      <w:r w:rsidRPr="002A76AC">
        <w:rPr>
          <w:rFonts w:cs="Times New Roman"/>
          <w:sz w:val="20"/>
          <w:szCs w:val="20"/>
        </w:rPr>
        <w:t xml:space="preserve">? </w:t>
      </w:r>
    </w:p>
    <w:p w:rsidR="002A76AC" w:rsidRPr="002A76AC" w:rsidRDefault="002A76AC" w:rsidP="002A76AC">
      <w:pPr>
        <w:contextualSpacing/>
        <w:jc w:val="both"/>
        <w:rPr>
          <w:rFonts w:cs="Times New Roman"/>
          <w:sz w:val="20"/>
          <w:szCs w:val="20"/>
        </w:rPr>
      </w:pPr>
    </w:p>
    <w:p w:rsidR="002A76AC" w:rsidRPr="002A76AC" w:rsidRDefault="002A76AC" w:rsidP="002A76AC">
      <w:pPr>
        <w:numPr>
          <w:ilvl w:val="0"/>
          <w:numId w:val="7"/>
        </w:numPr>
        <w:autoSpaceDN w:val="0"/>
        <w:spacing w:line="0" w:lineRule="atLeast"/>
        <w:contextualSpacing/>
        <w:jc w:val="both"/>
        <w:rPr>
          <w:rFonts w:cs="Times New Roman"/>
          <w:sz w:val="20"/>
          <w:szCs w:val="20"/>
        </w:rPr>
      </w:pPr>
      <w:r w:rsidRPr="002A76AC">
        <w:rPr>
          <w:rFonts w:cs="Times New Roman"/>
          <w:sz w:val="20"/>
          <w:szCs w:val="20"/>
        </w:rPr>
        <w:t xml:space="preserve">Does s. 95(2) of the </w:t>
      </w:r>
      <w:r w:rsidRPr="002A76AC">
        <w:rPr>
          <w:rFonts w:cs="Times New Roman"/>
          <w:i/>
          <w:iCs/>
          <w:sz w:val="20"/>
          <w:szCs w:val="20"/>
        </w:rPr>
        <w:t>Criminal Code</w:t>
      </w:r>
      <w:r w:rsidRPr="002A76AC">
        <w:rPr>
          <w:rFonts w:cs="Times New Roman"/>
          <w:sz w:val="20"/>
          <w:szCs w:val="20"/>
        </w:rPr>
        <w:t xml:space="preserve">, R.S.C. 1985, c. C-46, infringe s. 7 of the </w:t>
      </w:r>
      <w:r w:rsidRPr="002A76AC">
        <w:rPr>
          <w:rFonts w:cs="Times New Roman"/>
          <w:i/>
          <w:iCs/>
          <w:sz w:val="20"/>
          <w:szCs w:val="20"/>
        </w:rPr>
        <w:t>Canadian Charter of Rights and Freedoms</w:t>
      </w:r>
      <w:r w:rsidRPr="002A76AC">
        <w:rPr>
          <w:rFonts w:cs="Times New Roman"/>
          <w:sz w:val="20"/>
          <w:szCs w:val="20"/>
        </w:rPr>
        <w:t>?</w:t>
      </w:r>
    </w:p>
    <w:p w:rsidR="002A76AC" w:rsidRPr="002A76AC" w:rsidRDefault="002A76AC" w:rsidP="002A76AC">
      <w:pPr>
        <w:contextualSpacing/>
        <w:jc w:val="both"/>
        <w:rPr>
          <w:rFonts w:cs="Times New Roman"/>
          <w:sz w:val="20"/>
          <w:szCs w:val="20"/>
        </w:rPr>
      </w:pPr>
    </w:p>
    <w:p w:rsidR="002A76AC" w:rsidRPr="002A76AC" w:rsidRDefault="002A76AC" w:rsidP="002A76AC">
      <w:pPr>
        <w:numPr>
          <w:ilvl w:val="0"/>
          <w:numId w:val="7"/>
        </w:numPr>
        <w:autoSpaceDN w:val="0"/>
        <w:spacing w:line="0" w:lineRule="atLeast"/>
        <w:contextualSpacing/>
        <w:jc w:val="both"/>
        <w:rPr>
          <w:rFonts w:cs="Times New Roman"/>
          <w:sz w:val="20"/>
          <w:szCs w:val="20"/>
        </w:rPr>
      </w:pPr>
      <w:r w:rsidRPr="002A76AC">
        <w:rPr>
          <w:rFonts w:cs="Times New Roman"/>
          <w:sz w:val="20"/>
          <w:szCs w:val="20"/>
        </w:rPr>
        <w:t xml:space="preserve">If so, is the infringement a reasonable limit prescribed by law as can be demonstrably justified in a free and democratic society under s. 1 of the </w:t>
      </w:r>
      <w:r w:rsidRPr="002A76AC">
        <w:rPr>
          <w:rFonts w:cs="Times New Roman"/>
          <w:i/>
          <w:iCs/>
          <w:color w:val="191919"/>
          <w:sz w:val="20"/>
          <w:szCs w:val="20"/>
        </w:rPr>
        <w:t>Canadian Charter of Rights and Freedoms</w:t>
      </w:r>
      <w:r w:rsidRPr="002A76AC">
        <w:rPr>
          <w:rFonts w:cs="Times New Roman"/>
          <w:color w:val="191919"/>
          <w:sz w:val="20"/>
          <w:szCs w:val="20"/>
        </w:rPr>
        <w:t>?</w:t>
      </w:r>
    </w:p>
    <w:p w:rsidR="002A76AC" w:rsidRPr="002A76AC" w:rsidRDefault="002A76AC" w:rsidP="002A76AC">
      <w:pPr>
        <w:contextualSpacing/>
        <w:jc w:val="both"/>
        <w:rPr>
          <w:rFonts w:cs="Times New Roman"/>
          <w:b/>
          <w:bCs/>
          <w:sz w:val="20"/>
          <w:szCs w:val="20"/>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sz w:val="20"/>
          <w:szCs w:val="20"/>
          <w:lang w:val="en-US" w:eastAsia="en-CA"/>
        </w:rPr>
        <w:t xml:space="preserve">Any attorney general who intervenes pursuant to par. 61(4) of the </w:t>
      </w:r>
      <w:r w:rsidRPr="002A76AC">
        <w:rPr>
          <w:rFonts w:eastAsia="Times New Roman" w:cs="Times New Roman"/>
          <w:i/>
          <w:sz w:val="20"/>
          <w:szCs w:val="20"/>
          <w:lang w:val="en-US" w:eastAsia="en-CA"/>
        </w:rPr>
        <w:t>Rules of the Supreme Court of Canada</w:t>
      </w:r>
      <w:r w:rsidRPr="002A76AC">
        <w:rPr>
          <w:rFonts w:eastAsia="Times New Roman" w:cs="Times New Roman"/>
          <w:sz w:val="20"/>
          <w:szCs w:val="20"/>
          <w:lang w:val="en-US" w:eastAsia="en-CA"/>
        </w:rPr>
        <w:t xml:space="preserve"> shall pay the appellants and respondent the costs of any additional disbursements they incur as a result of the intervention.</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b/>
          <w:sz w:val="20"/>
          <w:szCs w:val="20"/>
          <w:lang w:val="en-US" w:eastAsia="en-CA"/>
        </w:rPr>
      </w:pPr>
      <w:r w:rsidRPr="002A76AC">
        <w:rPr>
          <w:rFonts w:eastAsia="Times New Roman" w:cs="Times New Roman"/>
          <w:b/>
          <w:sz w:val="20"/>
          <w:szCs w:val="20"/>
          <w:lang w:val="en-US" w:eastAsia="en-CA"/>
        </w:rPr>
        <w:t>IT IS HEREBY FURTHER ORDERED THAT:</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sz w:val="20"/>
          <w:szCs w:val="20"/>
          <w:lang w:val="en-US" w:eastAsia="en-CA"/>
        </w:rPr>
        <w:t xml:space="preserve">Any attorney general wishing to intervene pursuant to par. 61(4) of the </w:t>
      </w:r>
      <w:r w:rsidRPr="002A76AC">
        <w:rPr>
          <w:rFonts w:eastAsia="Times New Roman" w:cs="Times New Roman"/>
          <w:i/>
          <w:sz w:val="20"/>
          <w:szCs w:val="20"/>
          <w:lang w:val="en-US" w:eastAsia="en-CA"/>
        </w:rPr>
        <w:t>Rules of the Supreme Court of Canada</w:t>
      </w:r>
      <w:r w:rsidRPr="002A76AC">
        <w:rPr>
          <w:rFonts w:eastAsia="Times New Roman" w:cs="Times New Roman"/>
          <w:sz w:val="20"/>
          <w:szCs w:val="20"/>
          <w:lang w:val="en-US" w:eastAsia="en-CA"/>
        </w:rPr>
        <w:t xml:space="preserve"> </w:t>
      </w:r>
      <w:r w:rsidRPr="002A76AC">
        <w:rPr>
          <w:rFonts w:eastAsia="Times New Roman" w:cs="Times New Roman"/>
          <w:sz w:val="20"/>
          <w:szCs w:val="20"/>
          <w:lang w:eastAsia="en-CA"/>
        </w:rPr>
        <w:t>shall serve and file their factum and book of authorities no later than November 27, 2014.</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bCs/>
          <w:sz w:val="20"/>
          <w:szCs w:val="20"/>
          <w:lang w:val="en-US" w:eastAsia="en-CA"/>
        </w:rPr>
      </w:pPr>
    </w:p>
    <w:p w:rsidR="002A76AC" w:rsidRPr="002A76AC" w:rsidRDefault="002A76AC" w:rsidP="002A76AC">
      <w:pPr>
        <w:jc w:val="both"/>
        <w:rPr>
          <w:rFonts w:eastAsia="Times New Roman" w:cs="Times New Roman"/>
          <w:bCs/>
          <w:sz w:val="20"/>
          <w:szCs w:val="20"/>
          <w:lang w:val="en-US"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b/>
          <w:bCs/>
          <w:sz w:val="20"/>
          <w:szCs w:val="20"/>
          <w:lang w:val="fr-CA" w:eastAsia="en-CA"/>
        </w:rPr>
        <w:t>À LA SUITE DE LA DEMANDE</w:t>
      </w:r>
      <w:r w:rsidRPr="002A76AC">
        <w:rPr>
          <w:rFonts w:eastAsia="Times New Roman" w:cs="Times New Roman"/>
          <w:sz w:val="20"/>
          <w:szCs w:val="20"/>
          <w:lang w:val="fr-CA" w:eastAsia="en-CA"/>
        </w:rPr>
        <w:t xml:space="preserve"> des l’appelant, le Procureur général du Canada, visant à obtenir la formulation de questions constitutionnelles dans l'appel susmentionné;</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b/>
          <w:bCs/>
          <w:sz w:val="20"/>
          <w:szCs w:val="20"/>
          <w:lang w:val="fr-CA" w:eastAsia="en-CA"/>
        </w:rPr>
        <w:t>ET APRÈS AVOIR LU</w:t>
      </w:r>
      <w:r w:rsidRPr="002A76AC">
        <w:rPr>
          <w:rFonts w:eastAsia="Times New Roman" w:cs="Times New Roman"/>
          <w:sz w:val="20"/>
          <w:szCs w:val="20"/>
          <w:lang w:val="fr-CA" w:eastAsia="en-CA"/>
        </w:rPr>
        <w:t xml:space="preserve"> la documentation déposée,</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b/>
          <w:bCs/>
          <w:sz w:val="20"/>
          <w:szCs w:val="20"/>
          <w:lang w:val="fr-CA" w:eastAsia="en-CA"/>
        </w:rPr>
      </w:pPr>
      <w:r w:rsidRPr="002A76AC">
        <w:rPr>
          <w:rFonts w:eastAsia="Times New Roman" w:cs="Times New Roman"/>
          <w:b/>
          <w:bCs/>
          <w:sz w:val="20"/>
          <w:szCs w:val="20"/>
          <w:lang w:val="fr-CA" w:eastAsia="en-CA"/>
        </w:rPr>
        <w:t>LES QUESTIONS CONSTITUTIONNELLES SUIVANTES SONT FORMULÉES :</w:t>
      </w:r>
    </w:p>
    <w:p w:rsidR="002A76AC" w:rsidRPr="002A76AC" w:rsidRDefault="002A76AC" w:rsidP="002A76AC">
      <w:pPr>
        <w:jc w:val="both"/>
        <w:rPr>
          <w:rFonts w:eastAsia="Times New Roman" w:cs="Times New Roman"/>
          <w:b/>
          <w:bCs/>
          <w:sz w:val="20"/>
          <w:szCs w:val="20"/>
          <w:lang w:val="fr-CA" w:eastAsia="en-CA"/>
        </w:rPr>
      </w:pPr>
    </w:p>
    <w:p w:rsidR="002A76AC" w:rsidRPr="002A76AC" w:rsidRDefault="002A76AC" w:rsidP="002A76AC">
      <w:pPr>
        <w:numPr>
          <w:ilvl w:val="0"/>
          <w:numId w:val="8"/>
        </w:numPr>
        <w:autoSpaceDN w:val="0"/>
        <w:spacing w:line="0" w:lineRule="atLeast"/>
        <w:contextualSpacing/>
        <w:jc w:val="both"/>
        <w:rPr>
          <w:rFonts w:cs="Times New Roman"/>
          <w:color w:val="191919"/>
          <w:sz w:val="20"/>
          <w:szCs w:val="20"/>
          <w:lang w:val="fr-CA"/>
        </w:rPr>
      </w:pPr>
      <w:r w:rsidRPr="002A76AC">
        <w:rPr>
          <w:rFonts w:cs="Times New Roman"/>
          <w:color w:val="1A1A1A"/>
          <w:sz w:val="20"/>
          <w:szCs w:val="20"/>
          <w:lang w:val="fr-CA"/>
        </w:rPr>
        <w:t>Le sous-alinéa 95(2)</w:t>
      </w:r>
      <w:r w:rsidRPr="002A76AC">
        <w:rPr>
          <w:rFonts w:cs="Times New Roman"/>
          <w:i/>
          <w:color w:val="1A1A1A"/>
          <w:sz w:val="20"/>
          <w:szCs w:val="20"/>
          <w:lang w:val="fr-CA"/>
        </w:rPr>
        <w:t>a</w:t>
      </w:r>
      <w:r w:rsidRPr="002A76AC">
        <w:rPr>
          <w:rFonts w:cs="Times New Roman"/>
          <w:color w:val="1A1A1A"/>
          <w:sz w:val="20"/>
          <w:szCs w:val="20"/>
          <w:lang w:val="fr-CA"/>
        </w:rPr>
        <w:t xml:space="preserve">)(ii) du </w:t>
      </w:r>
      <w:r w:rsidRPr="002A76AC">
        <w:rPr>
          <w:rFonts w:cs="Times New Roman"/>
          <w:i/>
          <w:iCs/>
          <w:color w:val="1A1A1A"/>
          <w:sz w:val="20"/>
          <w:szCs w:val="20"/>
          <w:lang w:val="fr-CA"/>
        </w:rPr>
        <w:t>Code criminel</w:t>
      </w:r>
      <w:r w:rsidRPr="002A76AC">
        <w:rPr>
          <w:rFonts w:cs="Times New Roman"/>
          <w:iCs/>
          <w:color w:val="1A1A1A"/>
          <w:sz w:val="20"/>
          <w:szCs w:val="20"/>
          <w:lang w:val="fr-CA"/>
        </w:rPr>
        <w:t>, L.R.C.</w:t>
      </w:r>
      <w:r w:rsidRPr="002A76AC">
        <w:rPr>
          <w:rFonts w:cs="Times New Roman"/>
          <w:color w:val="1A1A1A"/>
          <w:sz w:val="20"/>
          <w:szCs w:val="20"/>
          <w:lang w:val="fr-CA"/>
        </w:rPr>
        <w:t xml:space="preserve"> 1985, ch. C-46, viole-t-il les droits garantis par l’art. 12 de la </w:t>
      </w:r>
      <w:r w:rsidRPr="002A76AC">
        <w:rPr>
          <w:rFonts w:cs="Times New Roman"/>
          <w:i/>
          <w:iCs/>
          <w:color w:val="1A1A1A"/>
          <w:sz w:val="20"/>
          <w:szCs w:val="20"/>
          <w:lang w:val="fr-CA"/>
        </w:rPr>
        <w:t>Charte canadienne des droits et libertés</w:t>
      </w:r>
      <w:r w:rsidRPr="002A76AC">
        <w:rPr>
          <w:rFonts w:cs="Times New Roman"/>
          <w:color w:val="1A1A1A"/>
          <w:sz w:val="20"/>
          <w:szCs w:val="20"/>
          <w:lang w:val="fr-CA"/>
        </w:rPr>
        <w:t>?</w:t>
      </w:r>
    </w:p>
    <w:p w:rsidR="002A76AC" w:rsidRPr="002A76AC" w:rsidRDefault="002A76AC" w:rsidP="002A76AC">
      <w:pPr>
        <w:spacing w:line="0" w:lineRule="atLeast"/>
        <w:contextualSpacing/>
        <w:jc w:val="both"/>
        <w:rPr>
          <w:rFonts w:cs="Times New Roman"/>
          <w:color w:val="191919"/>
          <w:sz w:val="20"/>
          <w:szCs w:val="20"/>
          <w:lang w:val="fr-CA"/>
        </w:rPr>
      </w:pPr>
    </w:p>
    <w:p w:rsidR="002A76AC" w:rsidRPr="002A76AC" w:rsidRDefault="002A76AC" w:rsidP="002A76AC">
      <w:pPr>
        <w:numPr>
          <w:ilvl w:val="0"/>
          <w:numId w:val="8"/>
        </w:numPr>
        <w:autoSpaceDN w:val="0"/>
        <w:spacing w:line="0" w:lineRule="atLeast"/>
        <w:contextualSpacing/>
        <w:jc w:val="both"/>
        <w:rPr>
          <w:rFonts w:cs="Times New Roman"/>
          <w:color w:val="191919"/>
          <w:sz w:val="20"/>
          <w:szCs w:val="20"/>
          <w:lang w:val="fr-CA"/>
        </w:rPr>
      </w:pPr>
      <w:r w:rsidRPr="002A76AC">
        <w:rPr>
          <w:rFonts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2A76AC">
        <w:rPr>
          <w:rFonts w:cs="Times New Roman"/>
          <w:i/>
          <w:sz w:val="20"/>
          <w:szCs w:val="20"/>
          <w:lang w:val="fr-CA"/>
        </w:rPr>
        <w:t>Charte canadienne des droits et libertés</w:t>
      </w:r>
      <w:r w:rsidRPr="002A76AC">
        <w:rPr>
          <w:rFonts w:cs="Times New Roman"/>
          <w:sz w:val="20"/>
          <w:szCs w:val="20"/>
          <w:lang w:val="fr-CA"/>
        </w:rPr>
        <w:t xml:space="preserve">? </w:t>
      </w:r>
    </w:p>
    <w:p w:rsidR="002A76AC" w:rsidRPr="002A76AC" w:rsidRDefault="002A76AC" w:rsidP="002A76AC">
      <w:pPr>
        <w:contextualSpacing/>
        <w:jc w:val="both"/>
        <w:rPr>
          <w:rFonts w:cs="Times New Roman"/>
          <w:sz w:val="20"/>
          <w:szCs w:val="20"/>
          <w:lang w:val="fr-CA"/>
        </w:rPr>
      </w:pPr>
    </w:p>
    <w:p w:rsidR="002A76AC" w:rsidRPr="002A76AC" w:rsidRDefault="002A76AC" w:rsidP="002A76AC">
      <w:pPr>
        <w:numPr>
          <w:ilvl w:val="0"/>
          <w:numId w:val="8"/>
        </w:numPr>
        <w:autoSpaceDN w:val="0"/>
        <w:spacing w:line="0" w:lineRule="atLeast"/>
        <w:contextualSpacing/>
        <w:jc w:val="both"/>
        <w:rPr>
          <w:rFonts w:cs="Times New Roman"/>
          <w:sz w:val="20"/>
          <w:szCs w:val="20"/>
          <w:lang w:val="fr-CA"/>
        </w:rPr>
      </w:pPr>
      <w:r w:rsidRPr="002A76AC">
        <w:rPr>
          <w:rFonts w:cs="Times New Roman"/>
          <w:color w:val="1A1A1A"/>
          <w:sz w:val="20"/>
          <w:szCs w:val="20"/>
          <w:lang w:val="fr-CA"/>
        </w:rPr>
        <w:t xml:space="preserve">Le paragraphe 95(2) du </w:t>
      </w:r>
      <w:r w:rsidRPr="002A76AC">
        <w:rPr>
          <w:rFonts w:cs="Times New Roman"/>
          <w:i/>
          <w:iCs/>
          <w:color w:val="1A1A1A"/>
          <w:sz w:val="20"/>
          <w:szCs w:val="20"/>
          <w:lang w:val="fr-CA"/>
        </w:rPr>
        <w:t>Code criminel</w:t>
      </w:r>
      <w:r w:rsidRPr="002A76AC">
        <w:rPr>
          <w:rFonts w:cs="Times New Roman"/>
          <w:iCs/>
          <w:color w:val="1A1A1A"/>
          <w:sz w:val="20"/>
          <w:szCs w:val="20"/>
          <w:lang w:val="fr-CA"/>
        </w:rPr>
        <w:t>, L.R.C.</w:t>
      </w:r>
      <w:r w:rsidRPr="002A76AC">
        <w:rPr>
          <w:rFonts w:cs="Times New Roman"/>
          <w:color w:val="1A1A1A"/>
          <w:sz w:val="20"/>
          <w:szCs w:val="20"/>
          <w:lang w:val="fr-CA"/>
        </w:rPr>
        <w:t xml:space="preserve"> 1985, ch. C-46, viole-t-il les droits garantis par l’art. 7 de la </w:t>
      </w:r>
      <w:r w:rsidRPr="002A76AC">
        <w:rPr>
          <w:rFonts w:cs="Times New Roman"/>
          <w:i/>
          <w:iCs/>
          <w:color w:val="1A1A1A"/>
          <w:sz w:val="20"/>
          <w:szCs w:val="20"/>
          <w:lang w:val="fr-CA"/>
        </w:rPr>
        <w:t>Charte canadienne des droits et libertés</w:t>
      </w:r>
      <w:r w:rsidRPr="002A76AC">
        <w:rPr>
          <w:rFonts w:cs="Times New Roman"/>
          <w:color w:val="1A1A1A"/>
          <w:sz w:val="20"/>
          <w:szCs w:val="20"/>
          <w:lang w:val="fr-CA"/>
        </w:rPr>
        <w:t>?</w:t>
      </w:r>
    </w:p>
    <w:p w:rsidR="002A76AC" w:rsidRPr="002A76AC" w:rsidRDefault="002A76AC" w:rsidP="002A76AC">
      <w:pPr>
        <w:contextualSpacing/>
        <w:jc w:val="both"/>
        <w:rPr>
          <w:rFonts w:cs="Times New Roman"/>
          <w:sz w:val="20"/>
          <w:szCs w:val="20"/>
          <w:lang w:val="fr-CA"/>
        </w:rPr>
      </w:pPr>
    </w:p>
    <w:p w:rsidR="002A76AC" w:rsidRPr="002A76AC" w:rsidRDefault="002A76AC" w:rsidP="002A76AC">
      <w:pPr>
        <w:numPr>
          <w:ilvl w:val="0"/>
          <w:numId w:val="8"/>
        </w:numPr>
        <w:autoSpaceDN w:val="0"/>
        <w:spacing w:line="0" w:lineRule="atLeast"/>
        <w:contextualSpacing/>
        <w:jc w:val="both"/>
        <w:rPr>
          <w:rFonts w:cs="Times New Roman"/>
          <w:sz w:val="20"/>
          <w:szCs w:val="20"/>
          <w:lang w:val="fr-CA"/>
        </w:rPr>
      </w:pPr>
      <w:r w:rsidRPr="002A76AC">
        <w:rPr>
          <w:rFonts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2A76AC">
        <w:rPr>
          <w:rFonts w:cs="Times New Roman"/>
          <w:i/>
          <w:sz w:val="20"/>
          <w:szCs w:val="20"/>
          <w:lang w:val="fr-CA"/>
        </w:rPr>
        <w:t>Charte canadienne des droits et libertés</w:t>
      </w:r>
      <w:r w:rsidRPr="002A76AC">
        <w:rPr>
          <w:rFonts w:cs="Times New Roman"/>
          <w:sz w:val="20"/>
          <w:szCs w:val="20"/>
          <w:lang w:val="fr-CA"/>
        </w:rPr>
        <w:t>?</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FR" w:eastAsia="en-CA"/>
        </w:rPr>
      </w:pPr>
      <w:r w:rsidRPr="002A76AC">
        <w:rPr>
          <w:rFonts w:eastAsia="Times New Roman" w:cs="Times New Roman"/>
          <w:sz w:val="20"/>
          <w:szCs w:val="20"/>
          <w:lang w:val="fr-CA" w:eastAsia="en-CA"/>
        </w:rPr>
        <w:t>T</w:t>
      </w:r>
      <w:r w:rsidRPr="002A76AC">
        <w:rPr>
          <w:rFonts w:eastAsia="Times New Roman" w:cs="Times New Roman"/>
          <w:sz w:val="20"/>
          <w:szCs w:val="20"/>
          <w:lang w:val="fr-FR" w:eastAsia="en-CA"/>
        </w:rPr>
        <w:t xml:space="preserve">out procureur général qui interviendra en vertu du par. 61(4) des </w:t>
      </w:r>
      <w:r w:rsidRPr="002A76AC">
        <w:rPr>
          <w:rFonts w:eastAsia="Times New Roman" w:cs="Times New Roman"/>
          <w:i/>
          <w:iCs/>
          <w:sz w:val="20"/>
          <w:szCs w:val="20"/>
          <w:lang w:val="fr-FR" w:eastAsia="en-CA"/>
        </w:rPr>
        <w:t>Règles de la Cour suprême du Canada</w:t>
      </w:r>
      <w:r w:rsidRPr="002A76AC">
        <w:rPr>
          <w:rFonts w:eastAsia="Times New Roman" w:cs="Times New Roman"/>
          <w:sz w:val="20"/>
          <w:szCs w:val="20"/>
          <w:lang w:val="fr-FR" w:eastAsia="en-CA"/>
        </w:rPr>
        <w:t xml:space="preserve"> sera tenu de payer aux appelants et à l’intimé les dépens supplémentaires résultant de son intervention.</w:t>
      </w:r>
    </w:p>
    <w:p w:rsidR="002A76AC" w:rsidRPr="002A76AC" w:rsidRDefault="002A76AC" w:rsidP="002A76AC">
      <w:pPr>
        <w:jc w:val="both"/>
        <w:rPr>
          <w:rFonts w:eastAsia="Times New Roman" w:cs="Times New Roman"/>
          <w:sz w:val="20"/>
          <w:szCs w:val="20"/>
          <w:lang w:val="fr-FR"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b/>
          <w:sz w:val="20"/>
          <w:szCs w:val="20"/>
          <w:lang w:val="fr-CA" w:eastAsia="en-CA"/>
        </w:rPr>
        <w:t>IL EST EN OUTRE ORDONNÉ CE QUI SUIT :</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sz w:val="20"/>
          <w:szCs w:val="20"/>
          <w:lang w:val="fr-CA" w:eastAsia="en-CA"/>
        </w:rPr>
        <w:t xml:space="preserve">Tout procureur général qui interviendra en vertu du par. 61(4) des </w:t>
      </w:r>
      <w:r w:rsidRPr="002A76AC">
        <w:rPr>
          <w:rFonts w:eastAsia="Times New Roman" w:cs="Times New Roman"/>
          <w:i/>
          <w:sz w:val="20"/>
          <w:szCs w:val="20"/>
          <w:lang w:val="fr-CA" w:eastAsia="en-CA"/>
        </w:rPr>
        <w:t>Règles de la Cour suprême du Canada</w:t>
      </w:r>
      <w:r w:rsidRPr="002A76AC">
        <w:rPr>
          <w:rFonts w:eastAsia="Times New Roman" w:cs="Times New Roman"/>
          <w:sz w:val="20"/>
          <w:szCs w:val="20"/>
          <w:lang w:val="fr-CA" w:eastAsia="en-CA"/>
        </w:rPr>
        <w:t xml:space="preserve"> devra signifier et déposer son mémoire et son recueil de sources au plus tard le 27 novembre 2014.</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6E182C" w:rsidP="002A76A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0" style="width:2in;height:1pt" o:hrpct="0" o:hralign="center" o:hrstd="t" o:hrnoshade="t" o:hr="t" fillcolor="black [3213]" stroked="f"/>
        </w:pict>
      </w:r>
    </w:p>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tabs>
          <w:tab w:val="left" w:pos="-1440"/>
          <w:tab w:val="left" w:pos="-720"/>
        </w:tabs>
        <w:jc w:val="both"/>
        <w:rPr>
          <w:rFonts w:eastAsia="Times New Roman" w:cs="Times New Roman"/>
          <w:sz w:val="20"/>
          <w:szCs w:val="20"/>
          <w:lang w:val="fr-CA" w:eastAsia="en-CA"/>
        </w:rPr>
      </w:pPr>
      <w:r w:rsidRPr="002A76AC">
        <w:rPr>
          <w:rFonts w:eastAsia="Times New Roman" w:cs="Times New Roman"/>
          <w:sz w:val="20"/>
          <w:szCs w:val="20"/>
          <w:lang w:val="fr-CA" w:eastAsia="en-CA"/>
        </w:rPr>
        <w:t>03.06.2014</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2A76AC" w:rsidP="002A76AC">
      <w:pPr>
        <w:tabs>
          <w:tab w:val="left" w:pos="-1440"/>
          <w:tab w:val="left" w:pos="-720"/>
        </w:tabs>
        <w:jc w:val="both"/>
        <w:rPr>
          <w:rFonts w:eastAsia="Times New Roman" w:cs="Times New Roman"/>
          <w:sz w:val="20"/>
          <w:szCs w:val="20"/>
          <w:lang w:val="fr-CA" w:eastAsia="en-CA"/>
        </w:rPr>
      </w:pPr>
      <w:r w:rsidRPr="002A76AC">
        <w:rPr>
          <w:rFonts w:eastAsia="Times New Roman" w:cs="Times New Roman"/>
          <w:sz w:val="20"/>
          <w:szCs w:val="20"/>
          <w:lang w:val="fr-CA" w:eastAsia="en-CA"/>
        </w:rPr>
        <w:t>Before / Devant :   THE CHIEF JUSTICE / LA JUGE EN CHEF</w:t>
      </w:r>
    </w:p>
    <w:p w:rsidR="002A76AC" w:rsidRPr="002A76AC" w:rsidRDefault="002A76AC" w:rsidP="002A76AC">
      <w:pPr>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2A76AC" w:rsidRPr="006E182C" w:rsidTr="008155AB">
        <w:tc>
          <w:tcPr>
            <w:tcW w:w="4338" w:type="dxa"/>
          </w:tcPr>
          <w:p w:rsidR="002A76AC" w:rsidRPr="002A76AC" w:rsidRDefault="008222C4" w:rsidP="002A76AC">
            <w:pPr>
              <w:tabs>
                <w:tab w:val="left" w:pos="-1440"/>
                <w:tab w:val="left" w:pos="-720"/>
              </w:tabs>
              <w:jc w:val="both"/>
              <w:rPr>
                <w:b/>
              </w:rPr>
            </w:pPr>
            <w:r w:rsidRPr="002A76AC">
              <w:rPr>
                <w:lang w:val="en-US"/>
              </w:rPr>
              <w:fldChar w:fldCharType="begin"/>
            </w:r>
            <w:r w:rsidR="002A76AC" w:rsidRPr="002A76AC">
              <w:rPr>
                <w:lang w:val="en-US"/>
              </w:rPr>
              <w:instrText xml:space="preserve"> SEQ CHAPTER \h \r 1</w:instrText>
            </w:r>
            <w:r w:rsidRPr="002A76AC">
              <w:rPr>
                <w:lang w:val="en-US"/>
              </w:rPr>
              <w:fldChar w:fldCharType="end"/>
            </w:r>
            <w:r w:rsidR="002A76AC" w:rsidRPr="002A76AC">
              <w:rPr>
                <w:b/>
                <w:bCs/>
                <w:lang w:val="en-US"/>
              </w:rPr>
              <w:t>Motion to state constitutional questions</w:t>
            </w:r>
          </w:p>
        </w:tc>
        <w:tc>
          <w:tcPr>
            <w:tcW w:w="1170" w:type="dxa"/>
          </w:tcPr>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p>
        </w:tc>
        <w:tc>
          <w:tcPr>
            <w:tcW w:w="4327" w:type="dxa"/>
          </w:tcPr>
          <w:p w:rsidR="002A76AC" w:rsidRPr="002A76AC" w:rsidRDefault="008222C4" w:rsidP="002A76AC">
            <w:pPr>
              <w:tabs>
                <w:tab w:val="left" w:pos="-1440"/>
                <w:tab w:val="left" w:pos="-720"/>
              </w:tabs>
              <w:jc w:val="both"/>
              <w:rPr>
                <w:b/>
                <w:bCs/>
                <w:lang w:val="fr-CA"/>
              </w:rPr>
            </w:pPr>
            <w:r w:rsidRPr="002A76AC">
              <w:rPr>
                <w:lang w:val="en-US"/>
              </w:rPr>
              <w:fldChar w:fldCharType="begin"/>
            </w:r>
            <w:r w:rsidR="002A76AC" w:rsidRPr="002A76AC">
              <w:rPr>
                <w:lang w:val="fr-CA"/>
              </w:rPr>
              <w:instrText xml:space="preserve"> SEQ CHAPTER \h \r 1</w:instrText>
            </w:r>
            <w:r w:rsidRPr="002A76AC">
              <w:rPr>
                <w:lang w:val="en-US"/>
              </w:rPr>
              <w:fldChar w:fldCharType="end"/>
            </w:r>
            <w:r w:rsidR="002A76AC" w:rsidRPr="002A76AC">
              <w:rPr>
                <w:b/>
                <w:bCs/>
                <w:lang w:val="fr-CA"/>
              </w:rPr>
              <w:t xml:space="preserve">Requête en formulation de questions </w:t>
            </w:r>
          </w:p>
          <w:p w:rsidR="002A76AC" w:rsidRPr="002A76AC" w:rsidRDefault="002A76AC" w:rsidP="002A76AC">
            <w:pPr>
              <w:tabs>
                <w:tab w:val="left" w:pos="-1440"/>
                <w:tab w:val="left" w:pos="-720"/>
              </w:tabs>
              <w:jc w:val="both"/>
              <w:rPr>
                <w:lang w:val="fr-CA"/>
              </w:rPr>
            </w:pPr>
            <w:r w:rsidRPr="002A76AC">
              <w:rPr>
                <w:b/>
                <w:bCs/>
                <w:lang w:val="fr-CA"/>
              </w:rPr>
              <w:t>constitutionnelles</w:t>
            </w:r>
            <w:r w:rsidR="008222C4" w:rsidRPr="002A76AC">
              <w:rPr>
                <w:lang w:val="en-US"/>
              </w:rPr>
              <w:fldChar w:fldCharType="begin"/>
            </w:r>
            <w:r w:rsidRPr="002A76AC">
              <w:rPr>
                <w:lang w:val="fr-CA"/>
              </w:rPr>
              <w:instrText xml:space="preserve"> SEQ CHAPTER \h \r 1</w:instrText>
            </w:r>
            <w:r w:rsidR="008222C4" w:rsidRPr="002A76AC">
              <w:rPr>
                <w:lang w:val="en-US"/>
              </w:rPr>
              <w:fldChar w:fldCharType="end"/>
            </w:r>
            <w:r w:rsidR="008222C4" w:rsidRPr="002A76AC">
              <w:rPr>
                <w:lang w:val="en-US"/>
              </w:rPr>
              <w:fldChar w:fldCharType="begin"/>
            </w:r>
            <w:r w:rsidRPr="002A76AC">
              <w:rPr>
                <w:lang w:val="fr-CA"/>
              </w:rPr>
              <w:instrText xml:space="preserve"> SEQ CHAPTER \h \r 1</w:instrText>
            </w:r>
            <w:r w:rsidR="008222C4" w:rsidRPr="002A76AC">
              <w:rPr>
                <w:lang w:val="en-US"/>
              </w:rPr>
              <w:fldChar w:fldCharType="end"/>
            </w:r>
            <w:r w:rsidR="008222C4" w:rsidRPr="002A76AC">
              <w:rPr>
                <w:lang w:val="en-US"/>
              </w:rPr>
              <w:fldChar w:fldCharType="begin"/>
            </w:r>
            <w:r w:rsidRPr="002A76AC">
              <w:rPr>
                <w:lang w:val="fr-CA"/>
              </w:rPr>
              <w:instrText xml:space="preserve"> SEQ CHAPTER \h \r 1</w:instrText>
            </w:r>
            <w:r w:rsidR="008222C4" w:rsidRPr="002A76AC">
              <w:rPr>
                <w:lang w:val="en-US"/>
              </w:rPr>
              <w:fldChar w:fldCharType="end"/>
            </w:r>
          </w:p>
        </w:tc>
      </w:tr>
      <w:tr w:rsidR="002A76AC" w:rsidRPr="002A76AC" w:rsidTr="008155AB">
        <w:tc>
          <w:tcPr>
            <w:tcW w:w="4338" w:type="dxa"/>
          </w:tcPr>
          <w:p w:rsidR="002A76AC" w:rsidRPr="002A76AC" w:rsidRDefault="002A76AC" w:rsidP="002A76AC">
            <w:pPr>
              <w:tabs>
                <w:tab w:val="left" w:pos="-1440"/>
                <w:tab w:val="left" w:pos="-720"/>
              </w:tabs>
              <w:jc w:val="both"/>
            </w:pPr>
            <w:r w:rsidRPr="002A76AC">
              <w:t>Her Majesty the Queen</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ab/>
              <w:t>v. (35684)</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Sidney Charles (Crim.) (Ont.)</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and between</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Attorney General of Canada</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ab/>
              <w:t>v. (35684)</w:t>
            </w:r>
          </w:p>
          <w:p w:rsidR="002A76AC" w:rsidRPr="002A76AC" w:rsidRDefault="002A76AC" w:rsidP="002A76AC">
            <w:pPr>
              <w:tabs>
                <w:tab w:val="left" w:pos="-1440"/>
                <w:tab w:val="left" w:pos="-720"/>
              </w:tabs>
              <w:jc w:val="both"/>
            </w:pPr>
          </w:p>
          <w:p w:rsidR="002A76AC" w:rsidRPr="002A76AC" w:rsidRDefault="002A76AC" w:rsidP="002A76AC">
            <w:pPr>
              <w:tabs>
                <w:tab w:val="left" w:pos="-1440"/>
                <w:tab w:val="left" w:pos="-720"/>
              </w:tabs>
              <w:jc w:val="both"/>
            </w:pPr>
            <w:r w:rsidRPr="002A76AC">
              <w:t>Sidney Charles (Crim.) (Ont.)</w:t>
            </w:r>
          </w:p>
        </w:tc>
        <w:tc>
          <w:tcPr>
            <w:tcW w:w="1170" w:type="dxa"/>
          </w:tcPr>
          <w:p w:rsidR="002A76AC" w:rsidRPr="002A76AC" w:rsidRDefault="002A76AC" w:rsidP="002A76AC">
            <w:pPr>
              <w:tabs>
                <w:tab w:val="left" w:pos="-1440"/>
                <w:tab w:val="left" w:pos="-720"/>
              </w:tabs>
              <w:jc w:val="both"/>
            </w:pPr>
          </w:p>
        </w:tc>
        <w:tc>
          <w:tcPr>
            <w:tcW w:w="4327" w:type="dxa"/>
          </w:tcPr>
          <w:p w:rsidR="002A76AC" w:rsidRPr="002A76AC" w:rsidRDefault="002A76AC" w:rsidP="002A76AC">
            <w:pPr>
              <w:tabs>
                <w:tab w:val="left" w:pos="-1440"/>
                <w:tab w:val="left" w:pos="-720"/>
              </w:tabs>
              <w:jc w:val="both"/>
            </w:pPr>
          </w:p>
        </w:tc>
      </w:tr>
    </w:tbl>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tabs>
          <w:tab w:val="left" w:pos="-1440"/>
          <w:tab w:val="left" w:pos="-720"/>
        </w:tabs>
        <w:jc w:val="both"/>
        <w:rPr>
          <w:rFonts w:eastAsia="Times New Roman" w:cs="Times New Roman"/>
          <w:sz w:val="20"/>
          <w:szCs w:val="20"/>
          <w:lang w:eastAsia="en-CA"/>
        </w:rPr>
      </w:pPr>
      <w:r w:rsidRPr="002A76AC">
        <w:rPr>
          <w:rFonts w:eastAsia="Times New Roman" w:cs="Times New Roman"/>
          <w:b/>
          <w:sz w:val="20"/>
          <w:szCs w:val="20"/>
          <w:lang w:eastAsia="en-CA"/>
        </w:rPr>
        <w:t>GRANTED / ACCORDÉE</w:t>
      </w:r>
    </w:p>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b/>
          <w:bCs/>
          <w:sz w:val="20"/>
          <w:szCs w:val="20"/>
          <w:lang w:val="en-US" w:eastAsia="en-CA"/>
        </w:rPr>
        <w:t>UPON APPLICATION</w:t>
      </w:r>
      <w:r w:rsidRPr="002A76AC">
        <w:rPr>
          <w:rFonts w:eastAsia="Times New Roman" w:cs="Times New Roman"/>
          <w:sz w:val="20"/>
          <w:szCs w:val="20"/>
          <w:lang w:val="en-US" w:eastAsia="en-CA"/>
        </w:rPr>
        <w:t xml:space="preserve"> by the appellant, Her Majesty the Queen, </w:t>
      </w:r>
      <w:r w:rsidR="008222C4" w:rsidRPr="002A76AC">
        <w:rPr>
          <w:rFonts w:eastAsia="Times New Roman" w:cs="Times New Roman"/>
          <w:sz w:val="20"/>
          <w:szCs w:val="20"/>
          <w:lang w:eastAsia="en-CA"/>
        </w:rPr>
        <w:fldChar w:fldCharType="begin"/>
      </w:r>
      <w:r w:rsidRPr="002A76AC">
        <w:rPr>
          <w:rFonts w:eastAsia="Times New Roman" w:cs="Times New Roman"/>
          <w:sz w:val="20"/>
          <w:szCs w:val="20"/>
          <w:lang w:eastAsia="en-CA"/>
        </w:rPr>
        <w:instrText xml:space="preserve"> SEQ CHAPTER \h \r 1</w:instrText>
      </w:r>
      <w:r w:rsidR="008222C4" w:rsidRPr="002A76AC">
        <w:rPr>
          <w:rFonts w:eastAsia="Times New Roman" w:cs="Times New Roman"/>
          <w:sz w:val="20"/>
          <w:szCs w:val="20"/>
          <w:lang w:eastAsia="en-CA"/>
        </w:rPr>
        <w:fldChar w:fldCharType="end"/>
      </w:r>
      <w:r w:rsidRPr="002A76AC">
        <w:rPr>
          <w:rFonts w:eastAsia="Times New Roman" w:cs="Times New Roman"/>
          <w:sz w:val="20"/>
          <w:szCs w:val="20"/>
          <w:lang w:eastAsia="en-CA"/>
        </w:rPr>
        <w:t xml:space="preserve">for an order stating constitutional questions </w:t>
      </w:r>
      <w:r w:rsidRPr="002A76AC">
        <w:rPr>
          <w:rFonts w:eastAsia="Times New Roman" w:cs="Times New Roman"/>
          <w:sz w:val="20"/>
          <w:szCs w:val="20"/>
          <w:lang w:val="en-US" w:eastAsia="en-CA"/>
        </w:rPr>
        <w:t>in the above appeal;</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b/>
          <w:bCs/>
          <w:sz w:val="20"/>
          <w:szCs w:val="20"/>
          <w:lang w:val="en-US" w:eastAsia="en-CA"/>
        </w:rPr>
        <w:lastRenderedPageBreak/>
        <w:t>AND THE MATERIAL FILED</w:t>
      </w:r>
      <w:r w:rsidRPr="002A76AC">
        <w:rPr>
          <w:rFonts w:eastAsia="Times New Roman" w:cs="Times New Roman"/>
          <w:sz w:val="20"/>
          <w:szCs w:val="20"/>
          <w:lang w:val="en-US" w:eastAsia="en-CA"/>
        </w:rPr>
        <w:t xml:space="preserve"> having been read;</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bCs/>
          <w:sz w:val="20"/>
          <w:szCs w:val="20"/>
          <w:lang w:val="en-US" w:eastAsia="en-CA"/>
        </w:rPr>
      </w:pPr>
      <w:r w:rsidRPr="002A76AC">
        <w:rPr>
          <w:rFonts w:eastAsia="Times New Roman" w:cs="Times New Roman"/>
          <w:b/>
          <w:bCs/>
          <w:sz w:val="20"/>
          <w:szCs w:val="20"/>
          <w:lang w:val="en-US" w:eastAsia="en-CA"/>
        </w:rPr>
        <w:t>IT IS HEREBY ORDERED THAT THE CONSTITUTIONAL QUESTIONS BE STATED AS FOLLOWS:</w:t>
      </w:r>
    </w:p>
    <w:p w:rsidR="002A76AC" w:rsidRPr="002A76AC" w:rsidRDefault="002A76AC" w:rsidP="002A76AC">
      <w:pPr>
        <w:jc w:val="both"/>
        <w:rPr>
          <w:rFonts w:eastAsia="Times New Roman" w:cs="Times New Roman"/>
          <w:bCs/>
          <w:sz w:val="20"/>
          <w:szCs w:val="20"/>
          <w:lang w:val="en-US" w:eastAsia="en-CA"/>
        </w:rPr>
      </w:pPr>
    </w:p>
    <w:p w:rsidR="002A76AC" w:rsidRPr="002A76AC" w:rsidRDefault="002A76AC" w:rsidP="002A76AC">
      <w:pPr>
        <w:numPr>
          <w:ilvl w:val="0"/>
          <w:numId w:val="9"/>
        </w:numPr>
        <w:tabs>
          <w:tab w:val="left" w:pos="9360"/>
        </w:tabs>
        <w:autoSpaceDN w:val="0"/>
        <w:spacing w:line="0" w:lineRule="atLeast"/>
        <w:contextualSpacing/>
        <w:jc w:val="both"/>
        <w:rPr>
          <w:rFonts w:cs="Times New Roman"/>
          <w:color w:val="1A1A1A"/>
          <w:sz w:val="20"/>
          <w:szCs w:val="20"/>
        </w:rPr>
      </w:pPr>
      <w:r w:rsidRPr="002A76AC">
        <w:rPr>
          <w:rFonts w:cs="Times New Roman"/>
          <w:color w:val="1A1A1A"/>
          <w:sz w:val="20"/>
          <w:szCs w:val="20"/>
        </w:rPr>
        <w:t xml:space="preserve">Does s. 95(2)(a)(ii) of the </w:t>
      </w:r>
      <w:r w:rsidRPr="002A76AC">
        <w:rPr>
          <w:rFonts w:cs="Times New Roman"/>
          <w:i/>
          <w:iCs/>
          <w:color w:val="1A1A1A"/>
          <w:sz w:val="20"/>
          <w:szCs w:val="20"/>
        </w:rPr>
        <w:t xml:space="preserve">Criminal Code, </w:t>
      </w:r>
      <w:r w:rsidRPr="002A76AC">
        <w:rPr>
          <w:rFonts w:cs="Times New Roman"/>
          <w:color w:val="1A1A1A"/>
          <w:sz w:val="20"/>
          <w:szCs w:val="20"/>
        </w:rPr>
        <w:t xml:space="preserve">R.S.C. 1985, c. C-46, infringe s. 12 of the </w:t>
      </w:r>
      <w:r w:rsidRPr="002A76AC">
        <w:rPr>
          <w:rFonts w:cs="Times New Roman"/>
          <w:i/>
          <w:iCs/>
          <w:color w:val="1A1A1A"/>
          <w:sz w:val="20"/>
          <w:szCs w:val="20"/>
        </w:rPr>
        <w:t>Canadian Charter of Rights and Freedoms</w:t>
      </w:r>
      <w:r w:rsidRPr="002A76AC">
        <w:rPr>
          <w:rFonts w:cs="Times New Roman"/>
          <w:color w:val="1A1A1A"/>
          <w:sz w:val="20"/>
          <w:szCs w:val="20"/>
        </w:rPr>
        <w:t>?</w:t>
      </w:r>
    </w:p>
    <w:p w:rsidR="002A76AC" w:rsidRPr="002A76AC" w:rsidRDefault="002A76AC" w:rsidP="002A76AC">
      <w:pPr>
        <w:tabs>
          <w:tab w:val="left" w:pos="9360"/>
        </w:tabs>
        <w:spacing w:line="0" w:lineRule="atLeast"/>
        <w:contextualSpacing/>
        <w:jc w:val="both"/>
        <w:rPr>
          <w:rFonts w:cs="Times New Roman"/>
          <w:color w:val="1A1A1A"/>
          <w:sz w:val="20"/>
          <w:szCs w:val="20"/>
        </w:rPr>
      </w:pPr>
    </w:p>
    <w:p w:rsidR="002A76AC" w:rsidRPr="002A76AC" w:rsidRDefault="002A76AC" w:rsidP="002A76AC">
      <w:pPr>
        <w:numPr>
          <w:ilvl w:val="0"/>
          <w:numId w:val="9"/>
        </w:numPr>
        <w:tabs>
          <w:tab w:val="left" w:pos="9360"/>
        </w:tabs>
        <w:autoSpaceDN w:val="0"/>
        <w:spacing w:line="0" w:lineRule="atLeast"/>
        <w:contextualSpacing/>
        <w:jc w:val="both"/>
        <w:rPr>
          <w:rFonts w:cs="Times New Roman"/>
          <w:sz w:val="20"/>
          <w:szCs w:val="20"/>
        </w:rPr>
      </w:pPr>
      <w:r w:rsidRPr="002A76AC">
        <w:rPr>
          <w:rFonts w:cs="Times New Roman"/>
          <w:color w:val="1A1A1A"/>
          <w:sz w:val="20"/>
          <w:szCs w:val="20"/>
        </w:rPr>
        <w:t xml:space="preserve">If so, is the infringement a reasonable limit prescribed by law as can be demonstrably justified in a free and democratic society under s. 1 of the </w:t>
      </w:r>
      <w:r w:rsidRPr="002A76AC">
        <w:rPr>
          <w:rFonts w:cs="Times New Roman"/>
          <w:i/>
          <w:iCs/>
          <w:color w:val="1A1A1A"/>
          <w:sz w:val="20"/>
          <w:szCs w:val="20"/>
        </w:rPr>
        <w:t>Canadian Charter of Rights and Freedoms</w:t>
      </w:r>
      <w:r w:rsidRPr="002A76AC">
        <w:rPr>
          <w:rFonts w:cs="Times New Roman"/>
          <w:color w:val="1A1A1A"/>
          <w:sz w:val="20"/>
          <w:szCs w:val="20"/>
        </w:rPr>
        <w:t>?</w:t>
      </w:r>
    </w:p>
    <w:p w:rsidR="002A76AC" w:rsidRPr="002A76AC" w:rsidRDefault="002A76AC" w:rsidP="002A76AC">
      <w:pPr>
        <w:tabs>
          <w:tab w:val="left" w:pos="9360"/>
        </w:tabs>
        <w:contextualSpacing/>
        <w:jc w:val="both"/>
        <w:rPr>
          <w:rFonts w:cs="Times New Roman"/>
          <w:sz w:val="20"/>
          <w:szCs w:val="20"/>
        </w:rPr>
      </w:pPr>
    </w:p>
    <w:p w:rsidR="002A76AC" w:rsidRPr="002A76AC" w:rsidRDefault="002A76AC" w:rsidP="002A76AC">
      <w:pPr>
        <w:numPr>
          <w:ilvl w:val="0"/>
          <w:numId w:val="9"/>
        </w:numPr>
        <w:tabs>
          <w:tab w:val="left" w:pos="9360"/>
        </w:tabs>
        <w:autoSpaceDN w:val="0"/>
        <w:spacing w:line="0" w:lineRule="atLeast"/>
        <w:contextualSpacing/>
        <w:jc w:val="both"/>
        <w:rPr>
          <w:rFonts w:cs="Times New Roman"/>
          <w:sz w:val="20"/>
          <w:szCs w:val="20"/>
        </w:rPr>
      </w:pPr>
      <w:r w:rsidRPr="002A76AC">
        <w:rPr>
          <w:rFonts w:cs="Times New Roman"/>
          <w:sz w:val="20"/>
          <w:szCs w:val="20"/>
        </w:rPr>
        <w:t xml:space="preserve">Does s. 95(2)(a)(ii) of the </w:t>
      </w:r>
      <w:r w:rsidRPr="002A76AC">
        <w:rPr>
          <w:rFonts w:cs="Times New Roman"/>
          <w:i/>
          <w:iCs/>
          <w:sz w:val="20"/>
          <w:szCs w:val="20"/>
        </w:rPr>
        <w:t xml:space="preserve">Criminal Code, </w:t>
      </w:r>
      <w:r w:rsidRPr="002A76AC">
        <w:rPr>
          <w:rFonts w:cs="Times New Roman"/>
          <w:sz w:val="20"/>
          <w:szCs w:val="20"/>
        </w:rPr>
        <w:t xml:space="preserve">R.S.C. 1985, c. C-46, infringe s. 7 of the </w:t>
      </w:r>
      <w:r w:rsidRPr="002A76AC">
        <w:rPr>
          <w:rFonts w:cs="Times New Roman"/>
          <w:i/>
          <w:iCs/>
          <w:sz w:val="20"/>
          <w:szCs w:val="20"/>
        </w:rPr>
        <w:t>Canadian Charter of Rights and Freedoms</w:t>
      </w:r>
      <w:r w:rsidRPr="002A76AC">
        <w:rPr>
          <w:rFonts w:cs="Times New Roman"/>
          <w:sz w:val="20"/>
          <w:szCs w:val="20"/>
        </w:rPr>
        <w:t>?</w:t>
      </w:r>
    </w:p>
    <w:p w:rsidR="002A76AC" w:rsidRPr="002A76AC" w:rsidRDefault="002A76AC" w:rsidP="002A76AC">
      <w:pPr>
        <w:tabs>
          <w:tab w:val="left" w:pos="9360"/>
        </w:tabs>
        <w:spacing w:line="0" w:lineRule="atLeast"/>
        <w:contextualSpacing/>
        <w:jc w:val="both"/>
        <w:rPr>
          <w:rFonts w:cs="Times New Roman"/>
          <w:i/>
          <w:iCs/>
          <w:sz w:val="20"/>
          <w:szCs w:val="20"/>
        </w:rPr>
      </w:pPr>
    </w:p>
    <w:p w:rsidR="002A76AC" w:rsidRPr="002A76AC" w:rsidRDefault="002A76AC" w:rsidP="002A76AC">
      <w:pPr>
        <w:numPr>
          <w:ilvl w:val="0"/>
          <w:numId w:val="9"/>
        </w:numPr>
        <w:tabs>
          <w:tab w:val="left" w:pos="9360"/>
        </w:tabs>
        <w:autoSpaceDN w:val="0"/>
        <w:spacing w:line="0" w:lineRule="atLeast"/>
        <w:contextualSpacing/>
        <w:jc w:val="both"/>
        <w:rPr>
          <w:rFonts w:cs="Times New Roman"/>
          <w:b/>
          <w:bCs/>
          <w:sz w:val="20"/>
          <w:szCs w:val="20"/>
        </w:rPr>
      </w:pPr>
      <w:r w:rsidRPr="002A76AC">
        <w:rPr>
          <w:rFonts w:cs="Times New Roman"/>
          <w:sz w:val="20"/>
          <w:szCs w:val="20"/>
        </w:rPr>
        <w:t xml:space="preserve">If so, is the infringement a reasonable limit prescribed by law as can be demonstrably justified in a free and democratic society under s. 1 of the </w:t>
      </w:r>
      <w:r w:rsidRPr="002A76AC">
        <w:rPr>
          <w:rFonts w:cs="Times New Roman"/>
          <w:i/>
          <w:iCs/>
          <w:sz w:val="20"/>
          <w:szCs w:val="20"/>
        </w:rPr>
        <w:t>Canadian Charter of Rights and Freedoms</w:t>
      </w:r>
      <w:r w:rsidRPr="002A76AC">
        <w:rPr>
          <w:rFonts w:cs="Times New Roman"/>
          <w:sz w:val="20"/>
          <w:szCs w:val="20"/>
        </w:rPr>
        <w:t>?</w:t>
      </w:r>
    </w:p>
    <w:p w:rsidR="002A76AC" w:rsidRPr="002A76AC" w:rsidRDefault="002A76AC" w:rsidP="002A76AC">
      <w:pPr>
        <w:contextualSpacing/>
        <w:jc w:val="both"/>
        <w:rPr>
          <w:rFonts w:cs="Times New Roman"/>
          <w:b/>
          <w:bCs/>
          <w:sz w:val="20"/>
          <w:szCs w:val="20"/>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sz w:val="20"/>
          <w:szCs w:val="20"/>
          <w:lang w:val="en-US" w:eastAsia="en-CA"/>
        </w:rPr>
        <w:t xml:space="preserve">Any attorney general who intervenes pursuant to par. 61(4) of the </w:t>
      </w:r>
      <w:r w:rsidRPr="002A76AC">
        <w:rPr>
          <w:rFonts w:eastAsia="Times New Roman" w:cs="Times New Roman"/>
          <w:i/>
          <w:sz w:val="20"/>
          <w:szCs w:val="20"/>
          <w:lang w:val="en-US" w:eastAsia="en-CA"/>
        </w:rPr>
        <w:t>Rules of the Supreme Court of Canada</w:t>
      </w:r>
      <w:r w:rsidRPr="002A76AC">
        <w:rPr>
          <w:rFonts w:eastAsia="Times New Roman" w:cs="Times New Roman"/>
          <w:sz w:val="20"/>
          <w:szCs w:val="20"/>
          <w:lang w:val="en-US" w:eastAsia="en-CA"/>
        </w:rPr>
        <w:t xml:space="preserve"> shall pay the appellants and respondent the costs of any additional disbursements they incur as a result of the intervention.</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b/>
          <w:sz w:val="20"/>
          <w:szCs w:val="20"/>
          <w:lang w:val="en-US" w:eastAsia="en-CA"/>
        </w:rPr>
      </w:pPr>
      <w:r w:rsidRPr="002A76AC">
        <w:rPr>
          <w:rFonts w:eastAsia="Times New Roman" w:cs="Times New Roman"/>
          <w:b/>
          <w:sz w:val="20"/>
          <w:szCs w:val="20"/>
          <w:lang w:val="en-US" w:eastAsia="en-CA"/>
        </w:rPr>
        <w:t>IT IS HEREBY FURTHER ORDERED THAT:</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sz w:val="20"/>
          <w:szCs w:val="20"/>
          <w:lang w:val="en-US" w:eastAsia="en-CA"/>
        </w:rPr>
      </w:pPr>
      <w:r w:rsidRPr="002A76AC">
        <w:rPr>
          <w:rFonts w:eastAsia="Times New Roman" w:cs="Times New Roman"/>
          <w:sz w:val="20"/>
          <w:szCs w:val="20"/>
          <w:lang w:val="en-US" w:eastAsia="en-CA"/>
        </w:rPr>
        <w:t xml:space="preserve">Any attorney general wishing to intervene pursuant to par. 61(4) of the </w:t>
      </w:r>
      <w:r w:rsidRPr="002A76AC">
        <w:rPr>
          <w:rFonts w:eastAsia="Times New Roman" w:cs="Times New Roman"/>
          <w:i/>
          <w:sz w:val="20"/>
          <w:szCs w:val="20"/>
          <w:lang w:val="en-US" w:eastAsia="en-CA"/>
        </w:rPr>
        <w:t>Rules of the Supreme Court of Canada</w:t>
      </w:r>
      <w:r w:rsidRPr="002A76AC">
        <w:rPr>
          <w:rFonts w:eastAsia="Times New Roman" w:cs="Times New Roman"/>
          <w:sz w:val="20"/>
          <w:szCs w:val="20"/>
          <w:lang w:val="en-US" w:eastAsia="en-CA"/>
        </w:rPr>
        <w:t xml:space="preserve"> </w:t>
      </w:r>
      <w:r w:rsidRPr="002A76AC">
        <w:rPr>
          <w:rFonts w:eastAsia="Times New Roman" w:cs="Times New Roman"/>
          <w:sz w:val="20"/>
          <w:szCs w:val="20"/>
          <w:lang w:eastAsia="en-CA"/>
        </w:rPr>
        <w:t>shall serve and file their factum and book of authorities no later than November 27, 2014.</w:t>
      </w:r>
    </w:p>
    <w:p w:rsidR="002A76AC" w:rsidRPr="002A76AC" w:rsidRDefault="002A76AC" w:rsidP="002A76AC">
      <w:pPr>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bCs/>
          <w:sz w:val="20"/>
          <w:szCs w:val="20"/>
          <w:lang w:val="en-US" w:eastAsia="en-CA"/>
        </w:rPr>
      </w:pPr>
    </w:p>
    <w:p w:rsidR="002A76AC" w:rsidRPr="002A76AC" w:rsidRDefault="002A76AC" w:rsidP="002A76AC">
      <w:pPr>
        <w:jc w:val="both"/>
        <w:rPr>
          <w:rFonts w:eastAsia="Times New Roman" w:cs="Times New Roman"/>
          <w:bCs/>
          <w:sz w:val="20"/>
          <w:szCs w:val="20"/>
          <w:lang w:val="en-US"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b/>
          <w:bCs/>
          <w:sz w:val="20"/>
          <w:szCs w:val="20"/>
          <w:lang w:val="fr-CA" w:eastAsia="en-CA"/>
        </w:rPr>
        <w:t>À LA SUITE DE LA DEMANDE</w:t>
      </w:r>
      <w:r w:rsidRPr="002A76AC">
        <w:rPr>
          <w:rFonts w:eastAsia="Times New Roman" w:cs="Times New Roman"/>
          <w:sz w:val="20"/>
          <w:szCs w:val="20"/>
          <w:lang w:val="fr-CA" w:eastAsia="en-CA"/>
        </w:rPr>
        <w:t xml:space="preserve"> des l’appelante, Sa Majesté la Reine, visant à obtenir la formulation de questions constitutionnelles dans l'appel susmentionné;</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b/>
          <w:bCs/>
          <w:sz w:val="20"/>
          <w:szCs w:val="20"/>
          <w:lang w:val="fr-CA" w:eastAsia="en-CA"/>
        </w:rPr>
        <w:t>ET APRÈS AVOIR LU</w:t>
      </w:r>
      <w:r w:rsidRPr="002A76AC">
        <w:rPr>
          <w:rFonts w:eastAsia="Times New Roman" w:cs="Times New Roman"/>
          <w:sz w:val="20"/>
          <w:szCs w:val="20"/>
          <w:lang w:val="fr-CA" w:eastAsia="en-CA"/>
        </w:rPr>
        <w:t xml:space="preserve"> la documentation déposée,</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b/>
          <w:bCs/>
          <w:sz w:val="20"/>
          <w:szCs w:val="20"/>
          <w:lang w:val="fr-CA" w:eastAsia="en-CA"/>
        </w:rPr>
      </w:pPr>
      <w:r w:rsidRPr="002A76AC">
        <w:rPr>
          <w:rFonts w:eastAsia="Times New Roman" w:cs="Times New Roman"/>
          <w:b/>
          <w:bCs/>
          <w:sz w:val="20"/>
          <w:szCs w:val="20"/>
          <w:lang w:val="fr-CA" w:eastAsia="en-CA"/>
        </w:rPr>
        <w:t>LES QUESTIONS CONSTITUTIONNELLES SUIVANTES SONT FORMULÉES :</w:t>
      </w:r>
    </w:p>
    <w:p w:rsidR="002A76AC" w:rsidRPr="002A76AC" w:rsidRDefault="002A76AC" w:rsidP="002A76AC">
      <w:pPr>
        <w:jc w:val="both"/>
        <w:rPr>
          <w:rFonts w:eastAsia="Times New Roman" w:cs="Times New Roman"/>
          <w:b/>
          <w:bCs/>
          <w:sz w:val="20"/>
          <w:szCs w:val="20"/>
          <w:lang w:val="fr-CA" w:eastAsia="en-CA"/>
        </w:rPr>
      </w:pPr>
    </w:p>
    <w:p w:rsidR="002A76AC" w:rsidRPr="002A76AC" w:rsidRDefault="002A76AC" w:rsidP="002A76AC">
      <w:pPr>
        <w:numPr>
          <w:ilvl w:val="0"/>
          <w:numId w:val="10"/>
        </w:numPr>
        <w:tabs>
          <w:tab w:val="left" w:pos="9360"/>
        </w:tabs>
        <w:autoSpaceDN w:val="0"/>
        <w:spacing w:line="0" w:lineRule="atLeast"/>
        <w:contextualSpacing/>
        <w:jc w:val="both"/>
        <w:rPr>
          <w:rFonts w:cs="Times New Roman"/>
          <w:color w:val="1A1A1A"/>
          <w:sz w:val="20"/>
          <w:szCs w:val="20"/>
          <w:lang w:val="fr-CA"/>
        </w:rPr>
      </w:pPr>
      <w:r w:rsidRPr="002A76AC">
        <w:rPr>
          <w:rFonts w:cs="Times New Roman"/>
          <w:color w:val="1A1A1A"/>
          <w:sz w:val="20"/>
          <w:szCs w:val="20"/>
          <w:lang w:val="fr-CA"/>
        </w:rPr>
        <w:t>Le sous-alinéa 95(2)</w:t>
      </w:r>
      <w:r w:rsidRPr="002A76AC">
        <w:rPr>
          <w:rFonts w:cs="Times New Roman"/>
          <w:i/>
          <w:color w:val="1A1A1A"/>
          <w:sz w:val="20"/>
          <w:szCs w:val="20"/>
          <w:lang w:val="fr-CA"/>
        </w:rPr>
        <w:t>a</w:t>
      </w:r>
      <w:r w:rsidRPr="002A76AC">
        <w:rPr>
          <w:rFonts w:cs="Times New Roman"/>
          <w:color w:val="1A1A1A"/>
          <w:sz w:val="20"/>
          <w:szCs w:val="20"/>
          <w:lang w:val="fr-CA"/>
        </w:rPr>
        <w:t xml:space="preserve">)(ii) du </w:t>
      </w:r>
      <w:r w:rsidRPr="002A76AC">
        <w:rPr>
          <w:rFonts w:cs="Times New Roman"/>
          <w:i/>
          <w:iCs/>
          <w:color w:val="1A1A1A"/>
          <w:sz w:val="20"/>
          <w:szCs w:val="20"/>
          <w:lang w:val="fr-CA"/>
        </w:rPr>
        <w:t>Code criminel</w:t>
      </w:r>
      <w:r w:rsidRPr="002A76AC">
        <w:rPr>
          <w:rFonts w:cs="Times New Roman"/>
          <w:iCs/>
          <w:color w:val="1A1A1A"/>
          <w:sz w:val="20"/>
          <w:szCs w:val="20"/>
          <w:lang w:val="fr-CA"/>
        </w:rPr>
        <w:t>, L.R.C.</w:t>
      </w:r>
      <w:r w:rsidRPr="002A76AC">
        <w:rPr>
          <w:rFonts w:cs="Times New Roman"/>
          <w:color w:val="1A1A1A"/>
          <w:sz w:val="20"/>
          <w:szCs w:val="20"/>
          <w:lang w:val="fr-CA"/>
        </w:rPr>
        <w:t xml:space="preserve"> 1985, ch. C-46, viole-t-il les droits garantis par l’art. 12 de la </w:t>
      </w:r>
      <w:r w:rsidRPr="002A76AC">
        <w:rPr>
          <w:rFonts w:cs="Times New Roman"/>
          <w:i/>
          <w:iCs/>
          <w:color w:val="1A1A1A"/>
          <w:sz w:val="20"/>
          <w:szCs w:val="20"/>
          <w:lang w:val="fr-CA"/>
        </w:rPr>
        <w:t>Charte canadienne des droits et libertés</w:t>
      </w:r>
      <w:r w:rsidRPr="002A76AC">
        <w:rPr>
          <w:rFonts w:cs="Times New Roman"/>
          <w:color w:val="1A1A1A"/>
          <w:sz w:val="20"/>
          <w:szCs w:val="20"/>
          <w:lang w:val="fr-CA"/>
        </w:rPr>
        <w:t>?</w:t>
      </w:r>
    </w:p>
    <w:p w:rsidR="002A76AC" w:rsidRPr="002A76AC" w:rsidRDefault="002A76AC" w:rsidP="002A76AC">
      <w:pPr>
        <w:tabs>
          <w:tab w:val="left" w:pos="9360"/>
        </w:tabs>
        <w:spacing w:line="0" w:lineRule="atLeast"/>
        <w:contextualSpacing/>
        <w:jc w:val="both"/>
        <w:rPr>
          <w:rFonts w:cs="Times New Roman"/>
          <w:color w:val="1A1A1A"/>
          <w:sz w:val="20"/>
          <w:szCs w:val="20"/>
          <w:lang w:val="fr-CA"/>
        </w:rPr>
      </w:pPr>
    </w:p>
    <w:p w:rsidR="002A76AC" w:rsidRPr="002A76AC" w:rsidRDefault="002A76AC" w:rsidP="002A76AC">
      <w:pPr>
        <w:numPr>
          <w:ilvl w:val="0"/>
          <w:numId w:val="10"/>
        </w:numPr>
        <w:tabs>
          <w:tab w:val="left" w:pos="9360"/>
        </w:tabs>
        <w:autoSpaceDN w:val="0"/>
        <w:spacing w:line="0" w:lineRule="atLeast"/>
        <w:contextualSpacing/>
        <w:jc w:val="both"/>
        <w:rPr>
          <w:rFonts w:cs="Times New Roman"/>
          <w:sz w:val="20"/>
          <w:szCs w:val="20"/>
          <w:lang w:val="fr-CA"/>
        </w:rPr>
      </w:pPr>
      <w:r w:rsidRPr="002A76AC">
        <w:rPr>
          <w:rFonts w:cs="Times New Roman"/>
          <w:color w:val="1A1A1A"/>
          <w:sz w:val="20"/>
          <w:szCs w:val="20"/>
          <w:lang w:val="fr-CA"/>
        </w:rPr>
        <w:t xml:space="preserve">Dans l’affirmative, </w:t>
      </w:r>
      <w:r w:rsidRPr="002A76AC">
        <w:rPr>
          <w:rFonts w:cs="Times New Roman"/>
          <w:sz w:val="20"/>
          <w:szCs w:val="20"/>
          <w:lang w:val="fr-CA"/>
        </w:rPr>
        <w:t xml:space="preserve">s’agit-il d’une violation constituant une limite raisonnable prescrite par une règle de droit et dont la justification peut se démontrer dans le cadre d’une société libre et démocratique au sens de l’article premier de la </w:t>
      </w:r>
      <w:r w:rsidRPr="002A76AC">
        <w:rPr>
          <w:rFonts w:cs="Times New Roman"/>
          <w:i/>
          <w:sz w:val="20"/>
          <w:szCs w:val="20"/>
          <w:lang w:val="fr-CA"/>
        </w:rPr>
        <w:t>Charte canadienne des droits et libertés</w:t>
      </w:r>
      <w:r w:rsidRPr="002A76AC">
        <w:rPr>
          <w:rFonts w:cs="Times New Roman"/>
          <w:sz w:val="20"/>
          <w:szCs w:val="20"/>
          <w:lang w:val="fr-CA"/>
        </w:rPr>
        <w:t>?</w:t>
      </w:r>
    </w:p>
    <w:p w:rsidR="002A76AC" w:rsidRPr="002A76AC" w:rsidRDefault="002A76AC" w:rsidP="002A76AC">
      <w:pPr>
        <w:tabs>
          <w:tab w:val="left" w:pos="9360"/>
        </w:tabs>
        <w:contextualSpacing/>
        <w:jc w:val="both"/>
        <w:rPr>
          <w:rFonts w:cs="Times New Roman"/>
          <w:sz w:val="20"/>
          <w:szCs w:val="20"/>
          <w:lang w:val="fr-CA"/>
        </w:rPr>
      </w:pPr>
    </w:p>
    <w:p w:rsidR="002A76AC" w:rsidRPr="002A76AC" w:rsidRDefault="002A76AC" w:rsidP="002A76AC">
      <w:pPr>
        <w:numPr>
          <w:ilvl w:val="0"/>
          <w:numId w:val="10"/>
        </w:numPr>
        <w:tabs>
          <w:tab w:val="left" w:pos="9360"/>
        </w:tabs>
        <w:autoSpaceDN w:val="0"/>
        <w:spacing w:line="0" w:lineRule="atLeast"/>
        <w:contextualSpacing/>
        <w:jc w:val="both"/>
        <w:rPr>
          <w:rFonts w:cs="Times New Roman"/>
          <w:sz w:val="20"/>
          <w:szCs w:val="20"/>
          <w:lang w:val="fr-CA"/>
        </w:rPr>
      </w:pPr>
      <w:r w:rsidRPr="002A76AC">
        <w:rPr>
          <w:rFonts w:cs="Times New Roman"/>
          <w:color w:val="1A1A1A"/>
          <w:sz w:val="20"/>
          <w:szCs w:val="20"/>
          <w:lang w:val="fr-CA"/>
        </w:rPr>
        <w:t>Le sous-alinéa 95(2)</w:t>
      </w:r>
      <w:r w:rsidRPr="002A76AC">
        <w:rPr>
          <w:rFonts w:cs="Times New Roman"/>
          <w:i/>
          <w:color w:val="1A1A1A"/>
          <w:sz w:val="20"/>
          <w:szCs w:val="20"/>
          <w:lang w:val="fr-CA"/>
        </w:rPr>
        <w:t>a</w:t>
      </w:r>
      <w:r w:rsidRPr="002A76AC">
        <w:rPr>
          <w:rFonts w:cs="Times New Roman"/>
          <w:color w:val="1A1A1A"/>
          <w:sz w:val="20"/>
          <w:szCs w:val="20"/>
          <w:lang w:val="fr-CA"/>
        </w:rPr>
        <w:t xml:space="preserve">)(ii) du </w:t>
      </w:r>
      <w:r w:rsidRPr="002A76AC">
        <w:rPr>
          <w:rFonts w:cs="Times New Roman"/>
          <w:i/>
          <w:iCs/>
          <w:color w:val="1A1A1A"/>
          <w:sz w:val="20"/>
          <w:szCs w:val="20"/>
          <w:lang w:val="fr-CA"/>
        </w:rPr>
        <w:t>Code criminel</w:t>
      </w:r>
      <w:r w:rsidRPr="002A76AC">
        <w:rPr>
          <w:rFonts w:cs="Times New Roman"/>
          <w:iCs/>
          <w:color w:val="1A1A1A"/>
          <w:sz w:val="20"/>
          <w:szCs w:val="20"/>
          <w:lang w:val="fr-CA"/>
        </w:rPr>
        <w:t>, L.R.C.</w:t>
      </w:r>
      <w:r w:rsidRPr="002A76AC">
        <w:rPr>
          <w:rFonts w:cs="Times New Roman"/>
          <w:color w:val="1A1A1A"/>
          <w:sz w:val="20"/>
          <w:szCs w:val="20"/>
          <w:lang w:val="fr-CA"/>
        </w:rPr>
        <w:t xml:space="preserve"> 1985, ch. C-46, viole-t-il les droits garantis par l’art. 7 de la </w:t>
      </w:r>
      <w:r w:rsidRPr="002A76AC">
        <w:rPr>
          <w:rFonts w:cs="Times New Roman"/>
          <w:i/>
          <w:iCs/>
          <w:color w:val="1A1A1A"/>
          <w:sz w:val="20"/>
          <w:szCs w:val="20"/>
          <w:lang w:val="fr-CA"/>
        </w:rPr>
        <w:t>Charte canadienne des droits et libertés</w:t>
      </w:r>
      <w:r w:rsidRPr="002A76AC">
        <w:rPr>
          <w:rFonts w:cs="Times New Roman"/>
          <w:color w:val="1A1A1A"/>
          <w:sz w:val="20"/>
          <w:szCs w:val="20"/>
          <w:lang w:val="fr-CA"/>
        </w:rPr>
        <w:t>?</w:t>
      </w:r>
    </w:p>
    <w:p w:rsidR="002A76AC" w:rsidRPr="002A76AC" w:rsidRDefault="002A76AC" w:rsidP="002A76AC">
      <w:pPr>
        <w:tabs>
          <w:tab w:val="left" w:pos="9360"/>
        </w:tabs>
        <w:spacing w:line="0" w:lineRule="atLeast"/>
        <w:contextualSpacing/>
        <w:jc w:val="both"/>
        <w:rPr>
          <w:rFonts w:cs="Times New Roman"/>
          <w:i/>
          <w:iCs/>
          <w:sz w:val="20"/>
          <w:szCs w:val="20"/>
          <w:lang w:val="fr-CA"/>
        </w:rPr>
      </w:pPr>
    </w:p>
    <w:p w:rsidR="002A76AC" w:rsidRPr="002A76AC" w:rsidRDefault="002A76AC" w:rsidP="002A76AC">
      <w:pPr>
        <w:numPr>
          <w:ilvl w:val="0"/>
          <w:numId w:val="10"/>
        </w:numPr>
        <w:tabs>
          <w:tab w:val="left" w:pos="9360"/>
        </w:tabs>
        <w:autoSpaceDN w:val="0"/>
        <w:spacing w:line="0" w:lineRule="atLeast"/>
        <w:contextualSpacing/>
        <w:jc w:val="both"/>
        <w:rPr>
          <w:rFonts w:cs="Times New Roman"/>
          <w:b/>
          <w:bCs/>
          <w:sz w:val="20"/>
          <w:szCs w:val="20"/>
          <w:lang w:val="fr-CA"/>
        </w:rPr>
      </w:pPr>
      <w:r w:rsidRPr="002A76AC">
        <w:rPr>
          <w:rFonts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2A76AC">
        <w:rPr>
          <w:rFonts w:cs="Times New Roman"/>
          <w:i/>
          <w:sz w:val="20"/>
          <w:szCs w:val="20"/>
          <w:lang w:val="fr-CA"/>
        </w:rPr>
        <w:t>Charte canadienne des droits et libertés</w:t>
      </w:r>
      <w:r w:rsidRPr="002A76AC">
        <w:rPr>
          <w:rFonts w:cs="Times New Roman"/>
          <w:sz w:val="20"/>
          <w:szCs w:val="20"/>
          <w:lang w:val="fr-CA"/>
        </w:rPr>
        <w:t>?</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FR" w:eastAsia="en-CA"/>
        </w:rPr>
      </w:pPr>
      <w:r w:rsidRPr="002A76AC">
        <w:rPr>
          <w:rFonts w:eastAsia="Times New Roman" w:cs="Times New Roman"/>
          <w:sz w:val="20"/>
          <w:szCs w:val="20"/>
          <w:lang w:val="fr-CA" w:eastAsia="en-CA"/>
        </w:rPr>
        <w:t>T</w:t>
      </w:r>
      <w:r w:rsidRPr="002A76AC">
        <w:rPr>
          <w:rFonts w:eastAsia="Times New Roman" w:cs="Times New Roman"/>
          <w:sz w:val="20"/>
          <w:szCs w:val="20"/>
          <w:lang w:val="fr-FR" w:eastAsia="en-CA"/>
        </w:rPr>
        <w:t xml:space="preserve">out procureur général qui interviendra en vertu du par. 61(4) des </w:t>
      </w:r>
      <w:r w:rsidRPr="002A76AC">
        <w:rPr>
          <w:rFonts w:eastAsia="Times New Roman" w:cs="Times New Roman"/>
          <w:i/>
          <w:iCs/>
          <w:sz w:val="20"/>
          <w:szCs w:val="20"/>
          <w:lang w:val="fr-FR" w:eastAsia="en-CA"/>
        </w:rPr>
        <w:t>Règles de la Cour suprême du Canada</w:t>
      </w:r>
      <w:r w:rsidRPr="002A76AC">
        <w:rPr>
          <w:rFonts w:eastAsia="Times New Roman" w:cs="Times New Roman"/>
          <w:sz w:val="20"/>
          <w:szCs w:val="20"/>
          <w:lang w:val="fr-FR" w:eastAsia="en-CA"/>
        </w:rPr>
        <w:t xml:space="preserve"> sera tenu de payer aux appelants et à l’intimé les dépens supplémentaires résultant de son intervention.</w:t>
      </w:r>
    </w:p>
    <w:p w:rsidR="002A76AC" w:rsidRPr="002A76AC" w:rsidRDefault="002A76AC" w:rsidP="002A76AC">
      <w:pPr>
        <w:jc w:val="both"/>
        <w:rPr>
          <w:rFonts w:eastAsia="Times New Roman" w:cs="Times New Roman"/>
          <w:sz w:val="20"/>
          <w:szCs w:val="20"/>
          <w:lang w:val="fr-FR" w:eastAsia="en-CA"/>
        </w:rPr>
      </w:pPr>
    </w:p>
    <w:p w:rsidR="002A76AC" w:rsidRDefault="002A76AC">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b/>
          <w:sz w:val="20"/>
          <w:szCs w:val="20"/>
          <w:lang w:val="fr-CA" w:eastAsia="en-CA"/>
        </w:rPr>
        <w:lastRenderedPageBreak/>
        <w:t>IL EST EN OUTRE ORDONNÉ CE QUI SUIT :</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sz w:val="20"/>
          <w:szCs w:val="20"/>
          <w:lang w:val="fr-CA" w:eastAsia="en-CA"/>
        </w:rPr>
        <w:t xml:space="preserve">Tout procureur général qui interviendra en vertu du par. 61(4) des </w:t>
      </w:r>
      <w:r w:rsidRPr="002A76AC">
        <w:rPr>
          <w:rFonts w:eastAsia="Times New Roman" w:cs="Times New Roman"/>
          <w:i/>
          <w:sz w:val="20"/>
          <w:szCs w:val="20"/>
          <w:lang w:val="fr-CA" w:eastAsia="en-CA"/>
        </w:rPr>
        <w:t>Règles de la Cour suprême du Canada</w:t>
      </w:r>
      <w:r w:rsidRPr="002A76AC">
        <w:rPr>
          <w:rFonts w:eastAsia="Times New Roman" w:cs="Times New Roman"/>
          <w:sz w:val="20"/>
          <w:szCs w:val="20"/>
          <w:lang w:val="fr-CA" w:eastAsia="en-CA"/>
        </w:rPr>
        <w:t xml:space="preserve"> devra signifier et déposer son mémoire et son recueil de sources au plus tard le 27 novembre 2014.</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6E182C" w:rsidP="002A76A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1" style="width:2in;height:1pt" o:hrpct="0" o:hralign="center" o:hrstd="t" o:hrnoshade="t" o:hr="t" fillcolor="black [3213]" stroked="f"/>
        </w:pict>
      </w:r>
    </w:p>
    <w:p w:rsidR="002A76AC" w:rsidRPr="002A76AC" w:rsidRDefault="002A76AC" w:rsidP="002A76AC">
      <w:pPr>
        <w:rPr>
          <w:rFonts w:eastAsia="Times New Roman" w:cs="Times New Roman"/>
          <w:sz w:val="20"/>
          <w:szCs w:val="20"/>
          <w:lang w:val="fr-CA" w:eastAsia="en-CA"/>
        </w:rPr>
      </w:pPr>
    </w:p>
    <w:p w:rsidR="002A76AC" w:rsidRPr="002A76AC" w:rsidRDefault="002A76AC" w:rsidP="002A76AC">
      <w:pPr>
        <w:tabs>
          <w:tab w:val="left" w:pos="-1440"/>
          <w:tab w:val="left" w:pos="-720"/>
        </w:tabs>
        <w:jc w:val="both"/>
        <w:rPr>
          <w:rFonts w:eastAsia="Times New Roman" w:cs="Times New Roman"/>
          <w:sz w:val="20"/>
          <w:szCs w:val="20"/>
          <w:lang w:val="fr-CA" w:eastAsia="en-CA"/>
        </w:rPr>
      </w:pPr>
      <w:r w:rsidRPr="002A76AC">
        <w:rPr>
          <w:rFonts w:eastAsia="Times New Roman" w:cs="Times New Roman"/>
          <w:sz w:val="20"/>
          <w:szCs w:val="20"/>
          <w:lang w:val="fr-CA" w:eastAsia="en-CA"/>
        </w:rPr>
        <w:t>04.06.2014</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2A76AC" w:rsidP="002A76AC">
      <w:pPr>
        <w:tabs>
          <w:tab w:val="left" w:pos="-1440"/>
          <w:tab w:val="left" w:pos="-720"/>
        </w:tabs>
        <w:jc w:val="both"/>
        <w:rPr>
          <w:rFonts w:eastAsia="Times New Roman" w:cs="Times New Roman"/>
          <w:sz w:val="20"/>
          <w:szCs w:val="20"/>
          <w:lang w:val="fr-CA" w:eastAsia="en-CA"/>
        </w:rPr>
      </w:pPr>
      <w:r w:rsidRPr="002A76AC">
        <w:rPr>
          <w:rFonts w:eastAsia="Times New Roman" w:cs="Times New Roman"/>
          <w:sz w:val="20"/>
          <w:szCs w:val="20"/>
          <w:lang w:val="fr-CA" w:eastAsia="en-CA"/>
        </w:rPr>
        <w:t>Before / Devant :   CROMWELL J. / LE JUGE CROMWELL</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A76AC" w:rsidRPr="006E182C" w:rsidTr="008155AB">
        <w:tc>
          <w:tcPr>
            <w:tcW w:w="4338" w:type="dxa"/>
            <w:gridSpan w:val="2"/>
          </w:tcPr>
          <w:p w:rsidR="002A76AC" w:rsidRPr="002A76AC" w:rsidRDefault="002A76AC" w:rsidP="002A76AC">
            <w:pPr>
              <w:jc w:val="both"/>
              <w:rPr>
                <w:b/>
              </w:rPr>
            </w:pPr>
            <w:r w:rsidRPr="002A76AC">
              <w:rPr>
                <w:b/>
                <w:bCs/>
                <w:color w:val="000000"/>
                <w:lang w:val="en-GB"/>
              </w:rPr>
              <w:t>Motion for an extension of time for leave to intervene and for leave to intervene</w:t>
            </w:r>
            <w:r w:rsidRPr="002A76AC">
              <w:rPr>
                <w:lang w:val="en-US"/>
              </w:rPr>
              <w:t xml:space="preserve"> </w:t>
            </w:r>
            <w:r w:rsidR="008222C4" w:rsidRPr="002A76AC">
              <w:rPr>
                <w:lang w:val="en-US"/>
              </w:rPr>
              <w:fldChar w:fldCharType="begin"/>
            </w:r>
            <w:r w:rsidRPr="002A76AC">
              <w:instrText xml:space="preserve"> SEQ CHAPTER \h \r 1</w:instrText>
            </w:r>
            <w:r w:rsidR="008222C4" w:rsidRPr="002A76AC">
              <w:rPr>
                <w:lang w:val="en-US"/>
              </w:rPr>
              <w:fldChar w:fldCharType="end"/>
            </w:r>
          </w:p>
        </w:tc>
        <w:tc>
          <w:tcPr>
            <w:tcW w:w="1170" w:type="dxa"/>
          </w:tcPr>
          <w:p w:rsidR="002A76AC" w:rsidRPr="002A76AC" w:rsidRDefault="002A76AC" w:rsidP="002A76AC"/>
          <w:p w:rsidR="002A76AC" w:rsidRPr="002A76AC" w:rsidRDefault="002A76AC" w:rsidP="002A76AC"/>
          <w:p w:rsidR="002A76AC" w:rsidRPr="002A76AC" w:rsidRDefault="002A76AC" w:rsidP="002A76AC"/>
          <w:p w:rsidR="002A76AC" w:rsidRPr="002A76AC" w:rsidRDefault="002A76AC" w:rsidP="002A76AC"/>
        </w:tc>
        <w:tc>
          <w:tcPr>
            <w:tcW w:w="4327" w:type="dxa"/>
          </w:tcPr>
          <w:p w:rsidR="002A76AC" w:rsidRPr="002A76AC" w:rsidRDefault="002A76AC" w:rsidP="002A76AC">
            <w:pPr>
              <w:jc w:val="both"/>
              <w:rPr>
                <w:b/>
                <w:lang w:val="fr-CA"/>
              </w:rPr>
            </w:pPr>
            <w:r w:rsidRPr="002A76AC">
              <w:rPr>
                <w:b/>
                <w:bCs/>
                <w:color w:val="000000"/>
                <w:lang w:val="fr-CA"/>
              </w:rPr>
              <w:t>Requête en prorogation du délai pour demander l’autorisation d’intervenir et en autorisation d’intervenir</w:t>
            </w:r>
            <w:r w:rsidRPr="002A76AC">
              <w:rPr>
                <w:lang w:val="fr-CA"/>
              </w:rPr>
              <w:t xml:space="preserve"> </w:t>
            </w:r>
            <w:r w:rsidR="008222C4" w:rsidRPr="002A76AC">
              <w:rPr>
                <w:lang w:val="en-US"/>
              </w:rPr>
              <w:fldChar w:fldCharType="begin"/>
            </w:r>
            <w:r w:rsidRPr="002A76AC">
              <w:rPr>
                <w:lang w:val="fr-CA"/>
              </w:rPr>
              <w:instrText xml:space="preserve"> SEQ CHAPTER \h \r 1</w:instrText>
            </w:r>
            <w:r w:rsidR="008222C4" w:rsidRPr="002A76AC">
              <w:rPr>
                <w:lang w:val="en-US"/>
              </w:rPr>
              <w:fldChar w:fldCharType="end"/>
            </w:r>
          </w:p>
        </w:tc>
      </w:tr>
      <w:tr w:rsidR="002A76AC" w:rsidRPr="002A76AC" w:rsidTr="008155AB">
        <w:trPr>
          <w:trHeight w:hRule="exact" w:val="576"/>
        </w:trPr>
        <w:tc>
          <w:tcPr>
            <w:tcW w:w="1368" w:type="dxa"/>
          </w:tcPr>
          <w:p w:rsidR="002A76AC" w:rsidRPr="002A76AC" w:rsidRDefault="002A76AC" w:rsidP="002A76AC">
            <w:r w:rsidRPr="002A76AC">
              <w:t>BY / PAR</w:t>
            </w:r>
          </w:p>
        </w:tc>
        <w:tc>
          <w:tcPr>
            <w:tcW w:w="2970" w:type="dxa"/>
          </w:tcPr>
          <w:p w:rsidR="002A76AC" w:rsidRPr="002A76AC" w:rsidRDefault="002A76AC" w:rsidP="002A76AC">
            <w:r w:rsidRPr="002A76AC">
              <w:t>Criminal Lawyers’ Assoc</w:t>
            </w:r>
            <w:r>
              <w:t>i</w:t>
            </w:r>
            <w:r w:rsidRPr="002A76AC">
              <w:t>ation (Ontario)</w:t>
            </w:r>
          </w:p>
        </w:tc>
        <w:tc>
          <w:tcPr>
            <w:tcW w:w="1170" w:type="dxa"/>
          </w:tcPr>
          <w:p w:rsidR="002A76AC" w:rsidRPr="002A76AC" w:rsidRDefault="002A76AC" w:rsidP="002A76AC"/>
        </w:tc>
        <w:tc>
          <w:tcPr>
            <w:tcW w:w="4327" w:type="dxa"/>
          </w:tcPr>
          <w:p w:rsidR="002A76AC" w:rsidRPr="002A76AC" w:rsidRDefault="002A76AC" w:rsidP="002A76AC"/>
        </w:tc>
      </w:tr>
      <w:tr w:rsidR="002A76AC" w:rsidRPr="002A76AC" w:rsidTr="008155AB">
        <w:tc>
          <w:tcPr>
            <w:tcW w:w="1368" w:type="dxa"/>
          </w:tcPr>
          <w:p w:rsidR="002A76AC" w:rsidRPr="002A76AC" w:rsidRDefault="002A76AC" w:rsidP="002A76AC"/>
        </w:tc>
        <w:tc>
          <w:tcPr>
            <w:tcW w:w="2970" w:type="dxa"/>
          </w:tcPr>
          <w:p w:rsidR="002A76AC" w:rsidRPr="002A76AC" w:rsidRDefault="002A76AC" w:rsidP="002A76AC">
            <w:pPr>
              <w:rPr>
                <w:lang w:val="en-US"/>
              </w:rPr>
            </w:pPr>
          </w:p>
        </w:tc>
        <w:tc>
          <w:tcPr>
            <w:tcW w:w="1170" w:type="dxa"/>
          </w:tcPr>
          <w:p w:rsidR="002A76AC" w:rsidRPr="002A76AC" w:rsidRDefault="002A76AC" w:rsidP="002A76AC"/>
        </w:tc>
        <w:tc>
          <w:tcPr>
            <w:tcW w:w="4327" w:type="dxa"/>
          </w:tcPr>
          <w:p w:rsidR="002A76AC" w:rsidRPr="002A76AC" w:rsidRDefault="002A76AC" w:rsidP="002A76AC"/>
        </w:tc>
      </w:tr>
      <w:tr w:rsidR="002A76AC" w:rsidRPr="002A76AC" w:rsidTr="008155AB">
        <w:tc>
          <w:tcPr>
            <w:tcW w:w="1368" w:type="dxa"/>
          </w:tcPr>
          <w:p w:rsidR="002A76AC" w:rsidRPr="002A76AC" w:rsidRDefault="002A76AC" w:rsidP="002A76AC">
            <w:r w:rsidRPr="002A76AC">
              <w:t>IN / DANS :</w:t>
            </w:r>
          </w:p>
        </w:tc>
        <w:tc>
          <w:tcPr>
            <w:tcW w:w="2970" w:type="dxa"/>
          </w:tcPr>
          <w:p w:rsidR="002A76AC" w:rsidRPr="002A76AC" w:rsidRDefault="002A76AC" w:rsidP="002A76AC">
            <w:r w:rsidRPr="002A76AC">
              <w:t>White Burgess Langille Inman, carrying on business as WBLI Chartered Accountants et al.</w:t>
            </w:r>
          </w:p>
          <w:p w:rsidR="002A76AC" w:rsidRPr="002A76AC" w:rsidRDefault="002A76AC" w:rsidP="002A76AC"/>
          <w:p w:rsidR="002A76AC" w:rsidRPr="002A76AC" w:rsidRDefault="002A76AC" w:rsidP="002A76AC">
            <w:r w:rsidRPr="002A76AC">
              <w:tab/>
              <w:t>v. (35492)</w:t>
            </w:r>
          </w:p>
          <w:p w:rsidR="002A76AC" w:rsidRPr="002A76AC" w:rsidRDefault="002A76AC" w:rsidP="002A76AC"/>
          <w:p w:rsidR="002A76AC" w:rsidRPr="002A76AC" w:rsidRDefault="002A76AC" w:rsidP="002A76AC">
            <w:r w:rsidRPr="002A76AC">
              <w:t>Abbott and Haliburton Company Limited et al. (N.S.)</w:t>
            </w:r>
          </w:p>
        </w:tc>
        <w:tc>
          <w:tcPr>
            <w:tcW w:w="1170" w:type="dxa"/>
          </w:tcPr>
          <w:p w:rsidR="002A76AC" w:rsidRPr="002A76AC" w:rsidRDefault="002A76AC" w:rsidP="002A76AC"/>
        </w:tc>
        <w:tc>
          <w:tcPr>
            <w:tcW w:w="4327" w:type="dxa"/>
          </w:tcPr>
          <w:p w:rsidR="002A76AC" w:rsidRPr="002A76AC" w:rsidRDefault="002A76AC" w:rsidP="002A76AC"/>
        </w:tc>
      </w:tr>
    </w:tbl>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tabs>
          <w:tab w:val="left" w:pos="-1440"/>
          <w:tab w:val="left" w:pos="-720"/>
        </w:tabs>
        <w:jc w:val="both"/>
        <w:rPr>
          <w:rFonts w:eastAsia="Times New Roman" w:cs="Times New Roman"/>
          <w:sz w:val="20"/>
          <w:szCs w:val="20"/>
          <w:lang w:eastAsia="en-CA"/>
        </w:rPr>
      </w:pPr>
      <w:r w:rsidRPr="002A76AC">
        <w:rPr>
          <w:rFonts w:eastAsia="Times New Roman" w:cs="Times New Roman"/>
          <w:b/>
          <w:sz w:val="20"/>
          <w:szCs w:val="20"/>
          <w:lang w:eastAsia="en-CA"/>
        </w:rPr>
        <w:t>GRANTED / ACCORDÉE</w:t>
      </w:r>
    </w:p>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b/>
          <w:bCs/>
          <w:sz w:val="20"/>
          <w:szCs w:val="20"/>
          <w:lang w:val="en-US" w:eastAsia="en-CA"/>
        </w:rPr>
        <w:t xml:space="preserve">UPON APPLICATION </w:t>
      </w:r>
      <w:r w:rsidRPr="002A76AC">
        <w:rPr>
          <w:rFonts w:eastAsia="Times New Roman" w:cs="Times New Roman"/>
          <w:sz w:val="20"/>
          <w:szCs w:val="20"/>
          <w:lang w:val="en-US" w:eastAsia="en-CA"/>
        </w:rPr>
        <w:t xml:space="preserve">by </w:t>
      </w:r>
      <w:r w:rsidRPr="002A76AC">
        <w:rPr>
          <w:rFonts w:eastAsia="Times New Roman" w:cs="Times New Roman"/>
          <w:sz w:val="20"/>
          <w:szCs w:val="20"/>
          <w:lang w:eastAsia="en-CA"/>
        </w:rPr>
        <w:t xml:space="preserve">the Criminal Lawyers’ Association (Ontario) </w:t>
      </w:r>
      <w:r w:rsidRPr="002A76AC">
        <w:rPr>
          <w:rFonts w:eastAsia="Times New Roman" w:cs="Times New Roman"/>
          <w:sz w:val="20"/>
          <w:szCs w:val="20"/>
          <w:lang w:val="en-US" w:eastAsia="en-CA"/>
        </w:rPr>
        <w:t>for an extension of time to apply for leave to intervene and for leave to intervene in the above appeal;</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b/>
          <w:bCs/>
          <w:sz w:val="20"/>
          <w:szCs w:val="20"/>
          <w:lang w:val="en-US" w:eastAsia="en-CA"/>
        </w:rPr>
        <w:t>AND THE MATERIAL FILED</w:t>
      </w:r>
      <w:r w:rsidRPr="002A76AC">
        <w:rPr>
          <w:rFonts w:eastAsia="Times New Roman" w:cs="Times New Roman"/>
          <w:sz w:val="20"/>
          <w:szCs w:val="20"/>
          <w:lang w:val="en-US" w:eastAsia="en-CA"/>
        </w:rPr>
        <w:t xml:space="preserve"> having been read;</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b/>
          <w:sz w:val="20"/>
          <w:szCs w:val="20"/>
          <w:lang w:val="en-US" w:eastAsia="en-CA"/>
        </w:rPr>
        <w:t>AND NOTING</w:t>
      </w:r>
      <w:r w:rsidRPr="002A76AC">
        <w:rPr>
          <w:rFonts w:eastAsia="Times New Roman" w:cs="Times New Roman"/>
          <w:sz w:val="20"/>
          <w:szCs w:val="20"/>
          <w:lang w:val="en-US" w:eastAsia="en-CA"/>
        </w:rPr>
        <w:t xml:space="preserve"> that the appellants and respondents have not filed any responses;</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b/>
          <w:bCs/>
          <w:sz w:val="20"/>
          <w:szCs w:val="20"/>
          <w:lang w:val="en-US" w:eastAsia="en-CA"/>
        </w:rPr>
        <w:t>IT IS HEREBY ORDERED THAT:</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val="en-US" w:eastAsia="en-CA"/>
        </w:rPr>
        <w:t xml:space="preserve">The motion for an extension of time to apply for leave to intervene and for leave to intervene of </w:t>
      </w:r>
      <w:r w:rsidRPr="002A76AC">
        <w:rPr>
          <w:rFonts w:eastAsia="Times New Roman" w:cs="Times New Roman"/>
          <w:sz w:val="20"/>
          <w:szCs w:val="20"/>
          <w:lang w:eastAsia="en-CA"/>
        </w:rPr>
        <w:t xml:space="preserve">the Criminal Lawyers’ Association (Ontario) is </w:t>
      </w:r>
      <w:r w:rsidRPr="002A76AC">
        <w:rPr>
          <w:rFonts w:eastAsia="Times New Roman" w:cs="Times New Roman"/>
          <w:sz w:val="20"/>
          <w:szCs w:val="20"/>
          <w:lang w:val="en-US" w:eastAsia="en-CA"/>
        </w:rPr>
        <w:t>granted and the said intervener shall be entitled to serve and file a factum not to exceed 10 pages in length on or before July 30, 2014.</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val="en-US" w:eastAsia="en-CA"/>
        </w:rPr>
        <w:t>The request to present oral argument is deferred to a date following receipt and consideration of the written arguments of the parties and the intervener.</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val="en-US" w:eastAsia="en-CA"/>
        </w:rPr>
        <w:t>The intervener is not entitled to raise new issues or to adduce further evidence or otherwise to supplement the record of the parties.</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val="en-US" w:eastAsia="en-CA"/>
        </w:rPr>
        <w:t>Pursuant to Rule 59(1)(</w:t>
      </w:r>
      <w:r w:rsidRPr="002A76AC">
        <w:rPr>
          <w:rFonts w:eastAsia="Times New Roman" w:cs="Times New Roman"/>
          <w:i/>
          <w:iCs/>
          <w:sz w:val="20"/>
          <w:szCs w:val="20"/>
          <w:lang w:val="en-US" w:eastAsia="en-CA"/>
        </w:rPr>
        <w:t>a</w:t>
      </w:r>
      <w:r w:rsidRPr="002A76AC">
        <w:rPr>
          <w:rFonts w:eastAsia="Times New Roman" w:cs="Times New Roman"/>
          <w:sz w:val="20"/>
          <w:szCs w:val="20"/>
          <w:lang w:val="en-US" w:eastAsia="en-CA"/>
        </w:rPr>
        <w:t xml:space="preserve">) of the </w:t>
      </w:r>
      <w:r w:rsidRPr="002A76AC">
        <w:rPr>
          <w:rFonts w:eastAsia="Times New Roman" w:cs="Times New Roman"/>
          <w:i/>
          <w:iCs/>
          <w:sz w:val="20"/>
          <w:szCs w:val="20"/>
          <w:lang w:val="en-US" w:eastAsia="en-CA"/>
        </w:rPr>
        <w:t>Rules of the Supreme Court of Canada</w:t>
      </w:r>
      <w:r w:rsidRPr="002A76AC">
        <w:rPr>
          <w:rFonts w:eastAsia="Times New Roman" w:cs="Times New Roman"/>
          <w:sz w:val="20"/>
          <w:szCs w:val="20"/>
          <w:lang w:val="en-US" w:eastAsia="en-CA"/>
        </w:rPr>
        <w:t xml:space="preserve">, the intervener shall pay to the appellants and respondents any additional disbursements occasioned to the appellants and respondents by their intervention. </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b/>
          <w:sz w:val="20"/>
          <w:szCs w:val="20"/>
          <w:lang w:val="fr-CA" w:eastAsia="en-CA"/>
        </w:rPr>
        <w:t>À LA SUITE DE LA DEMANDE</w:t>
      </w:r>
      <w:r w:rsidRPr="002A76AC">
        <w:rPr>
          <w:rFonts w:eastAsia="Times New Roman" w:cs="Times New Roman"/>
          <w:sz w:val="20"/>
          <w:szCs w:val="20"/>
          <w:lang w:val="fr-CA" w:eastAsia="en-CA"/>
        </w:rPr>
        <w:t xml:space="preserve"> présentée par la Criminal Lawyers’ Association (Ontario) en prorogation du délai applicable à une demande d'autorisation d'intervenir et en autorisation d'intervenir dans l'appel;</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b/>
          <w:sz w:val="20"/>
          <w:szCs w:val="20"/>
          <w:lang w:val="fr-CA" w:eastAsia="en-CA"/>
        </w:rPr>
        <w:lastRenderedPageBreak/>
        <w:t>ET APRÈS EXAMEN</w:t>
      </w:r>
      <w:r w:rsidRPr="002A76AC">
        <w:rPr>
          <w:rFonts w:eastAsia="Times New Roman" w:cs="Times New Roman"/>
          <w:sz w:val="20"/>
          <w:szCs w:val="20"/>
          <w:lang w:val="fr-CA" w:eastAsia="en-CA"/>
        </w:rPr>
        <w:t xml:space="preserve"> des documents déposés; </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b/>
          <w:sz w:val="20"/>
          <w:szCs w:val="20"/>
          <w:lang w:val="fr-CA" w:eastAsia="en-CA"/>
        </w:rPr>
      </w:pPr>
      <w:r w:rsidRPr="002A76AC">
        <w:rPr>
          <w:rFonts w:eastAsia="Times New Roman" w:cs="Times New Roman"/>
          <w:b/>
          <w:sz w:val="20"/>
          <w:szCs w:val="20"/>
          <w:lang w:val="fr-CA" w:eastAsia="en-CA"/>
        </w:rPr>
        <w:t xml:space="preserve">IL EST ORDONNÉ CE QUI SUIT : </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sz w:val="20"/>
          <w:szCs w:val="20"/>
          <w:lang w:val="fr-CA" w:eastAsia="en-CA"/>
        </w:rPr>
        <w:t xml:space="preserve">La requête en prorogation du délai applicable à une demande d'autorisation d'intervenir et en autorisation d'intervenir présentée par la Criminal Lawyers’ Association (Ontario) est accordée.  La requérante pourra signifier et déposer un mémoire d'au plus dix (10) pages au plus tard le 30 juillet 2014. </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sz w:val="20"/>
          <w:szCs w:val="20"/>
          <w:lang w:val="fr-CA" w:eastAsia="en-CA"/>
        </w:rPr>
        <w:t xml:space="preserve">La décision sur la demande en vue de présenter une plaidoirie orale sera rendue après réception et examen des arguments écrits des parties et de l'intervenant. </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sz w:val="20"/>
          <w:szCs w:val="20"/>
          <w:lang w:val="fr-CA" w:eastAsia="en-CA"/>
        </w:rPr>
        <w:t>L'intervenant n'a pas le droit de soulever de nouvelles questions, de produire d'autres éléments de preuve ni de compléter de quelque autre façon le dossier des parties.</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sz w:val="20"/>
          <w:szCs w:val="20"/>
          <w:lang w:val="fr-CA" w:eastAsia="en-CA"/>
        </w:rPr>
        <w:t>Conformément à l'alinéa 59(1)</w:t>
      </w:r>
      <w:r w:rsidRPr="002A76AC">
        <w:rPr>
          <w:rFonts w:eastAsia="Times New Roman" w:cs="Times New Roman"/>
          <w:i/>
          <w:sz w:val="20"/>
          <w:szCs w:val="20"/>
          <w:lang w:val="fr-CA" w:eastAsia="en-CA"/>
        </w:rPr>
        <w:t>a</w:t>
      </w:r>
      <w:r w:rsidRPr="002A76AC">
        <w:rPr>
          <w:rFonts w:eastAsia="Times New Roman" w:cs="Times New Roman"/>
          <w:sz w:val="20"/>
          <w:szCs w:val="20"/>
          <w:lang w:val="fr-CA" w:eastAsia="en-CA"/>
        </w:rPr>
        <w:t xml:space="preserve">) des </w:t>
      </w:r>
      <w:r w:rsidRPr="002A76AC">
        <w:rPr>
          <w:rFonts w:eastAsia="Times New Roman" w:cs="Times New Roman"/>
          <w:i/>
          <w:sz w:val="20"/>
          <w:szCs w:val="20"/>
          <w:lang w:val="fr-CA" w:eastAsia="en-CA"/>
        </w:rPr>
        <w:t>Règles de la Cour suprême du Canada</w:t>
      </w:r>
      <w:r w:rsidRPr="002A76AC">
        <w:rPr>
          <w:rFonts w:eastAsia="Times New Roman" w:cs="Times New Roman"/>
          <w:sz w:val="20"/>
          <w:szCs w:val="20"/>
          <w:lang w:val="fr-CA" w:eastAsia="en-CA"/>
        </w:rPr>
        <w:t>, l'intervenante paiera aux appelants et aux l'intimées tous débours supplémentaires résultant de son intervention.</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6E182C" w:rsidP="002A76AC">
      <w:pPr>
        <w:tabs>
          <w:tab w:val="left" w:pos="-1440"/>
          <w:tab w:val="left" w:pos="-720"/>
        </w:tabs>
        <w:jc w:val="both"/>
        <w:rPr>
          <w:rFonts w:eastAsia="Times New Roman" w:cs="Times New Roman"/>
          <w:sz w:val="20"/>
          <w:szCs w:val="20"/>
          <w:lang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tabs>
          <w:tab w:val="left" w:pos="-1440"/>
          <w:tab w:val="left" w:pos="-720"/>
        </w:tabs>
        <w:jc w:val="both"/>
        <w:rPr>
          <w:rFonts w:eastAsia="Times New Roman" w:cs="Times New Roman"/>
          <w:sz w:val="20"/>
          <w:szCs w:val="20"/>
          <w:lang w:eastAsia="en-CA"/>
        </w:rPr>
      </w:pPr>
      <w:r w:rsidRPr="002A76AC">
        <w:rPr>
          <w:rFonts w:eastAsia="Times New Roman" w:cs="Times New Roman"/>
          <w:sz w:val="20"/>
          <w:szCs w:val="20"/>
          <w:lang w:eastAsia="en-CA"/>
        </w:rPr>
        <w:t>05.06.2014</w:t>
      </w:r>
    </w:p>
    <w:p w:rsidR="002A76AC" w:rsidRPr="002A76AC" w:rsidRDefault="002A76AC" w:rsidP="002A76AC">
      <w:pPr>
        <w:tabs>
          <w:tab w:val="left" w:pos="-1440"/>
          <w:tab w:val="left" w:pos="-720"/>
        </w:tabs>
        <w:jc w:val="both"/>
        <w:rPr>
          <w:rFonts w:eastAsia="Times New Roman" w:cs="Times New Roman"/>
          <w:sz w:val="20"/>
          <w:szCs w:val="20"/>
          <w:lang w:eastAsia="en-CA"/>
        </w:rPr>
      </w:pPr>
    </w:p>
    <w:p w:rsidR="002A76AC" w:rsidRPr="002A76AC" w:rsidRDefault="002A76AC" w:rsidP="002A76AC">
      <w:pPr>
        <w:tabs>
          <w:tab w:val="left" w:pos="-1440"/>
          <w:tab w:val="left" w:pos="-720"/>
        </w:tabs>
        <w:jc w:val="both"/>
        <w:rPr>
          <w:rFonts w:eastAsia="Times New Roman" w:cs="Times New Roman"/>
          <w:sz w:val="20"/>
          <w:szCs w:val="20"/>
          <w:lang w:eastAsia="en-CA"/>
        </w:rPr>
      </w:pPr>
      <w:r w:rsidRPr="002A76AC">
        <w:rPr>
          <w:rFonts w:eastAsia="Times New Roman" w:cs="Times New Roman"/>
          <w:sz w:val="20"/>
          <w:szCs w:val="20"/>
          <w:lang w:eastAsia="en-CA"/>
        </w:rPr>
        <w:t>Before / Devant :   CROMWELL J. / LE JUGE CROMWELL</w:t>
      </w:r>
    </w:p>
    <w:p w:rsidR="002A76AC" w:rsidRPr="002A76AC" w:rsidRDefault="002A76AC" w:rsidP="002A76AC">
      <w:pPr>
        <w:tabs>
          <w:tab w:val="left" w:pos="-1440"/>
          <w:tab w:val="left" w:pos="-720"/>
        </w:tabs>
        <w:jc w:val="both"/>
        <w:rPr>
          <w:rFonts w:eastAsia="Times New Roman" w:cs="Times New Roman"/>
          <w:sz w:val="20"/>
          <w:szCs w:val="20"/>
          <w:lang w:eastAsia="en-CA"/>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2A76AC" w:rsidRPr="002A76AC" w:rsidTr="008155AB">
        <w:tc>
          <w:tcPr>
            <w:tcW w:w="4338" w:type="dxa"/>
            <w:gridSpan w:val="2"/>
          </w:tcPr>
          <w:p w:rsidR="002A76AC" w:rsidRPr="002A76AC" w:rsidRDefault="002A76AC" w:rsidP="002A76AC">
            <w:pPr>
              <w:rPr>
                <w:b/>
              </w:rPr>
            </w:pPr>
            <w:r w:rsidRPr="002A76AC">
              <w:rPr>
                <w:b/>
              </w:rPr>
              <w:t>Motions for leave to intervene</w:t>
            </w:r>
            <w:r w:rsidRPr="002A76AC">
              <w:rPr>
                <w:lang w:val="en-US"/>
              </w:rPr>
              <w:t xml:space="preserve"> </w:t>
            </w:r>
            <w:r w:rsidR="008222C4" w:rsidRPr="002A76AC">
              <w:rPr>
                <w:lang w:val="en-US"/>
              </w:rPr>
              <w:fldChar w:fldCharType="begin"/>
            </w:r>
            <w:r w:rsidRPr="002A76AC">
              <w:instrText xml:space="preserve"> SEQ CHAPTER \h \r 1</w:instrText>
            </w:r>
            <w:r w:rsidR="008222C4" w:rsidRPr="002A76AC">
              <w:rPr>
                <w:lang w:val="en-US"/>
              </w:rPr>
              <w:fldChar w:fldCharType="end"/>
            </w:r>
          </w:p>
        </w:tc>
        <w:tc>
          <w:tcPr>
            <w:tcW w:w="1170" w:type="dxa"/>
          </w:tcPr>
          <w:p w:rsidR="002A76AC" w:rsidRPr="002A76AC" w:rsidRDefault="002A76AC" w:rsidP="002A76AC"/>
          <w:p w:rsidR="002A76AC" w:rsidRPr="002A76AC" w:rsidRDefault="002A76AC" w:rsidP="002A76AC"/>
        </w:tc>
        <w:tc>
          <w:tcPr>
            <w:tcW w:w="4327" w:type="dxa"/>
          </w:tcPr>
          <w:p w:rsidR="002A76AC" w:rsidRPr="002A76AC" w:rsidRDefault="002A76AC" w:rsidP="002A76AC">
            <w:pPr>
              <w:rPr>
                <w:b/>
              </w:rPr>
            </w:pPr>
            <w:r w:rsidRPr="002A76AC">
              <w:rPr>
                <w:b/>
                <w:bCs/>
                <w:lang w:val="fr-CA"/>
              </w:rPr>
              <w:t>Requêtes en autorisation d’intervenir</w:t>
            </w:r>
            <w:r w:rsidRPr="002A76AC">
              <w:rPr>
                <w:lang w:val="en-US"/>
              </w:rPr>
              <w:t xml:space="preserve"> </w:t>
            </w:r>
            <w:r w:rsidR="008222C4" w:rsidRPr="002A76AC">
              <w:rPr>
                <w:lang w:val="en-US"/>
              </w:rPr>
              <w:fldChar w:fldCharType="begin"/>
            </w:r>
            <w:r w:rsidRPr="002A76AC">
              <w:instrText xml:space="preserve"> SEQ CHAPTER \h \r 1</w:instrText>
            </w:r>
            <w:r w:rsidR="008222C4" w:rsidRPr="002A76AC">
              <w:rPr>
                <w:lang w:val="en-US"/>
              </w:rPr>
              <w:fldChar w:fldCharType="end"/>
            </w:r>
          </w:p>
        </w:tc>
      </w:tr>
      <w:tr w:rsidR="002A76AC" w:rsidRPr="006E182C" w:rsidTr="008155AB">
        <w:trPr>
          <w:trHeight w:hRule="exact" w:val="576"/>
        </w:trPr>
        <w:tc>
          <w:tcPr>
            <w:tcW w:w="1368" w:type="dxa"/>
          </w:tcPr>
          <w:p w:rsidR="002A76AC" w:rsidRPr="002A76AC" w:rsidRDefault="002A76AC" w:rsidP="002A76AC">
            <w:r w:rsidRPr="002A76AC">
              <w:t>BY / PAR</w:t>
            </w:r>
          </w:p>
        </w:tc>
        <w:tc>
          <w:tcPr>
            <w:tcW w:w="2970" w:type="dxa"/>
          </w:tcPr>
          <w:p w:rsidR="002A76AC" w:rsidRPr="002A76AC" w:rsidRDefault="002A76AC" w:rsidP="002A76AC">
            <w:pPr>
              <w:rPr>
                <w:lang w:val="fr-CA"/>
              </w:rPr>
            </w:pPr>
            <w:r w:rsidRPr="002A76AC">
              <w:rPr>
                <w:lang w:val="fr-CA"/>
              </w:rPr>
              <w:t>Coalition pour le contrôle des armes;</w:t>
            </w:r>
          </w:p>
        </w:tc>
        <w:tc>
          <w:tcPr>
            <w:tcW w:w="1170" w:type="dxa"/>
          </w:tcPr>
          <w:p w:rsidR="002A76AC" w:rsidRPr="002A76AC" w:rsidRDefault="002A76AC" w:rsidP="002A76AC">
            <w:pPr>
              <w:rPr>
                <w:lang w:val="fr-CA"/>
              </w:rPr>
            </w:pPr>
          </w:p>
        </w:tc>
        <w:tc>
          <w:tcPr>
            <w:tcW w:w="4327" w:type="dxa"/>
          </w:tcPr>
          <w:p w:rsidR="002A76AC" w:rsidRPr="002A76AC" w:rsidRDefault="002A76AC" w:rsidP="002A76AC">
            <w:pPr>
              <w:rPr>
                <w:lang w:val="fr-CA"/>
              </w:rPr>
            </w:pPr>
          </w:p>
        </w:tc>
      </w:tr>
      <w:tr w:rsidR="002A76AC" w:rsidRPr="002A76AC" w:rsidTr="008155AB">
        <w:trPr>
          <w:trHeight w:hRule="exact" w:val="576"/>
        </w:trPr>
        <w:tc>
          <w:tcPr>
            <w:tcW w:w="1368" w:type="dxa"/>
          </w:tcPr>
          <w:p w:rsidR="002A76AC" w:rsidRPr="002A76AC" w:rsidRDefault="002A76AC" w:rsidP="002A76AC">
            <w:pPr>
              <w:rPr>
                <w:lang w:val="fr-CA"/>
              </w:rPr>
            </w:pPr>
          </w:p>
        </w:tc>
        <w:tc>
          <w:tcPr>
            <w:tcW w:w="2970" w:type="dxa"/>
          </w:tcPr>
          <w:p w:rsidR="002A76AC" w:rsidRPr="002A76AC" w:rsidRDefault="002A76AC" w:rsidP="002A76AC">
            <w:pPr>
              <w:rPr>
                <w:lang w:val="en-US"/>
              </w:rPr>
            </w:pPr>
            <w:r w:rsidRPr="002A76AC">
              <w:rPr>
                <w:lang w:val="fr-CA"/>
              </w:rPr>
              <w:t>Canada’s National Firearms Association</w:t>
            </w:r>
          </w:p>
        </w:tc>
        <w:tc>
          <w:tcPr>
            <w:tcW w:w="1170" w:type="dxa"/>
          </w:tcPr>
          <w:p w:rsidR="002A76AC" w:rsidRPr="002A76AC" w:rsidRDefault="002A76AC" w:rsidP="002A76AC"/>
        </w:tc>
        <w:tc>
          <w:tcPr>
            <w:tcW w:w="4327" w:type="dxa"/>
          </w:tcPr>
          <w:p w:rsidR="002A76AC" w:rsidRPr="002A76AC" w:rsidRDefault="002A76AC" w:rsidP="002A76AC"/>
        </w:tc>
      </w:tr>
      <w:tr w:rsidR="002A76AC" w:rsidRPr="002A76AC" w:rsidTr="008155AB">
        <w:tc>
          <w:tcPr>
            <w:tcW w:w="1368" w:type="dxa"/>
          </w:tcPr>
          <w:p w:rsidR="002A76AC" w:rsidRPr="002A76AC" w:rsidRDefault="002A76AC" w:rsidP="002A76AC"/>
        </w:tc>
        <w:tc>
          <w:tcPr>
            <w:tcW w:w="2970" w:type="dxa"/>
          </w:tcPr>
          <w:p w:rsidR="002A76AC" w:rsidRPr="002A76AC" w:rsidRDefault="002A76AC" w:rsidP="002A76AC">
            <w:pPr>
              <w:rPr>
                <w:lang w:val="en-US"/>
              </w:rPr>
            </w:pPr>
          </w:p>
        </w:tc>
        <w:tc>
          <w:tcPr>
            <w:tcW w:w="1170" w:type="dxa"/>
          </w:tcPr>
          <w:p w:rsidR="002A76AC" w:rsidRPr="002A76AC" w:rsidRDefault="002A76AC" w:rsidP="002A76AC"/>
        </w:tc>
        <w:tc>
          <w:tcPr>
            <w:tcW w:w="4327" w:type="dxa"/>
          </w:tcPr>
          <w:p w:rsidR="002A76AC" w:rsidRPr="002A76AC" w:rsidRDefault="002A76AC" w:rsidP="002A76AC"/>
        </w:tc>
      </w:tr>
      <w:tr w:rsidR="002A76AC" w:rsidRPr="006E182C" w:rsidTr="008155AB">
        <w:tc>
          <w:tcPr>
            <w:tcW w:w="1368" w:type="dxa"/>
          </w:tcPr>
          <w:p w:rsidR="002A76AC" w:rsidRPr="002A76AC" w:rsidRDefault="002A76AC" w:rsidP="002A76AC">
            <w:r w:rsidRPr="002A76AC">
              <w:t>IN / DANS :</w:t>
            </w:r>
          </w:p>
        </w:tc>
        <w:tc>
          <w:tcPr>
            <w:tcW w:w="2970" w:type="dxa"/>
          </w:tcPr>
          <w:p w:rsidR="002A76AC" w:rsidRPr="002A76AC" w:rsidRDefault="002A76AC" w:rsidP="002A76AC">
            <w:pPr>
              <w:rPr>
                <w:lang w:val="fr-CA"/>
              </w:rPr>
            </w:pPr>
            <w:r w:rsidRPr="002A76AC">
              <w:rPr>
                <w:lang w:val="fr-CA"/>
              </w:rPr>
              <w:t>Procureur général du Québec</w:t>
            </w:r>
          </w:p>
          <w:p w:rsidR="002A76AC" w:rsidRPr="002A76AC" w:rsidRDefault="002A76AC" w:rsidP="002A76AC">
            <w:pPr>
              <w:rPr>
                <w:lang w:val="fr-CA"/>
              </w:rPr>
            </w:pPr>
          </w:p>
          <w:p w:rsidR="002A76AC" w:rsidRPr="002A76AC" w:rsidRDefault="002A76AC" w:rsidP="002A76AC">
            <w:pPr>
              <w:rPr>
                <w:lang w:val="fr-CA"/>
              </w:rPr>
            </w:pPr>
            <w:r w:rsidRPr="002A76AC">
              <w:rPr>
                <w:lang w:val="fr-CA"/>
              </w:rPr>
              <w:tab/>
              <w:t>c. (35448)</w:t>
            </w:r>
          </w:p>
          <w:p w:rsidR="002A76AC" w:rsidRPr="002A76AC" w:rsidRDefault="002A76AC" w:rsidP="002A76AC">
            <w:pPr>
              <w:rPr>
                <w:lang w:val="fr-CA"/>
              </w:rPr>
            </w:pPr>
          </w:p>
          <w:p w:rsidR="002A76AC" w:rsidRPr="002A76AC" w:rsidRDefault="002A76AC" w:rsidP="002A76AC">
            <w:pPr>
              <w:rPr>
                <w:lang w:val="fr-CA"/>
              </w:rPr>
            </w:pPr>
            <w:r w:rsidRPr="002A76AC">
              <w:rPr>
                <w:lang w:val="fr-CA"/>
              </w:rPr>
              <w:t>Procureur général du Canada et autres (Qc)</w:t>
            </w:r>
          </w:p>
        </w:tc>
        <w:tc>
          <w:tcPr>
            <w:tcW w:w="1170" w:type="dxa"/>
          </w:tcPr>
          <w:p w:rsidR="002A76AC" w:rsidRPr="002A76AC" w:rsidRDefault="002A76AC" w:rsidP="002A76AC">
            <w:pPr>
              <w:rPr>
                <w:lang w:val="fr-CA"/>
              </w:rPr>
            </w:pPr>
          </w:p>
        </w:tc>
        <w:tc>
          <w:tcPr>
            <w:tcW w:w="4327" w:type="dxa"/>
          </w:tcPr>
          <w:p w:rsidR="002A76AC" w:rsidRPr="002A76AC" w:rsidRDefault="002A76AC" w:rsidP="002A76AC">
            <w:pPr>
              <w:rPr>
                <w:lang w:val="fr-CA"/>
              </w:rPr>
            </w:pPr>
          </w:p>
        </w:tc>
      </w:tr>
    </w:tbl>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2A76AC" w:rsidP="002A76AC">
      <w:pPr>
        <w:tabs>
          <w:tab w:val="left" w:pos="-1440"/>
          <w:tab w:val="left" w:pos="-720"/>
        </w:tabs>
        <w:jc w:val="both"/>
        <w:rPr>
          <w:rFonts w:eastAsia="Times New Roman" w:cs="Times New Roman"/>
          <w:sz w:val="20"/>
          <w:szCs w:val="20"/>
          <w:lang w:val="fr-CA" w:eastAsia="en-CA"/>
        </w:rPr>
      </w:pPr>
      <w:r w:rsidRPr="002A76AC">
        <w:rPr>
          <w:rFonts w:eastAsia="Times New Roman" w:cs="Times New Roman"/>
          <w:b/>
          <w:sz w:val="20"/>
          <w:szCs w:val="20"/>
          <w:lang w:val="fr-CA" w:eastAsia="en-CA"/>
        </w:rPr>
        <w:t>GRANTED / ACCORDÉES</w: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b/>
          <w:sz w:val="20"/>
          <w:szCs w:val="20"/>
          <w:lang w:val="fr-CA" w:eastAsia="en-CA"/>
        </w:rPr>
        <w:t>À LA SUITE DES DEMANDES</w:t>
      </w:r>
      <w:r w:rsidRPr="002A76AC">
        <w:rPr>
          <w:rFonts w:eastAsia="Times New Roman" w:cs="Times New Roman"/>
          <w:sz w:val="20"/>
          <w:szCs w:val="20"/>
          <w:lang w:val="fr-CA" w:eastAsia="en-CA"/>
        </w:rPr>
        <w:t xml:space="preserve"> présentées par la Coalition pour le contrôle des armes et la Canada’s National Firearms Association en vue d’intervenir dans l’appel;</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b/>
          <w:sz w:val="20"/>
          <w:szCs w:val="20"/>
          <w:lang w:val="fr-CA" w:eastAsia="en-CA"/>
        </w:rPr>
        <w:t>ET APRÈS EXAMEN</w:t>
      </w:r>
      <w:r w:rsidRPr="002A76AC">
        <w:rPr>
          <w:rFonts w:eastAsia="Times New Roman" w:cs="Times New Roman"/>
          <w:sz w:val="20"/>
          <w:szCs w:val="20"/>
          <w:lang w:val="fr-CA" w:eastAsia="en-CA"/>
        </w:rPr>
        <w:t xml:space="preserve"> des documents déposés;</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b/>
          <w:sz w:val="20"/>
          <w:szCs w:val="20"/>
          <w:lang w:val="fr-CA" w:eastAsia="en-CA"/>
        </w:rPr>
        <w:t>IL EST PAR LA PRÉSENTE ORDONNÉ CE QUI SUIT :</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sz w:val="20"/>
          <w:szCs w:val="20"/>
          <w:lang w:val="fr-CA" w:eastAsia="en-CA"/>
        </w:rPr>
        <w:t>Les requêtes en autorisation d'intervenir présentées par la Coalition pour le contrôle des armes et la Canada’s National Firearms Association sont accueillies et ces intervenantes pourront chacun signifier et déposer un mémoire d’au plus dix (10) pages au plus tard le 31 juillet 2014.</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sz w:val="20"/>
          <w:szCs w:val="20"/>
          <w:lang w:val="fr-CA" w:eastAsia="en-CA"/>
        </w:rPr>
        <w:t>La décision sur les demandes en vue de présenter une plaidoirie orale sera rendue après réception et examen des arguments écrits des parties et des intervenantes.</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sz w:val="20"/>
          <w:szCs w:val="20"/>
          <w:lang w:val="fr-CA" w:eastAsia="en-CA"/>
        </w:rPr>
        <w:t>Les intervenantes n'ont pas le droit de soulever de nouvelles questions, de produire d'autres éléments de preuve, ni de compléter de quelque autre façon le dossier des parties.</w:t>
      </w:r>
    </w:p>
    <w:p w:rsidR="002A76AC" w:rsidRPr="002A76AC" w:rsidRDefault="002A76AC" w:rsidP="002A76AC">
      <w:pPr>
        <w:spacing w:line="233" w:lineRule="auto"/>
        <w:jc w:val="both"/>
        <w:rPr>
          <w:rFonts w:eastAsia="Times New Roman" w:cs="Times New Roman"/>
          <w:b/>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r w:rsidRPr="002A76AC">
        <w:rPr>
          <w:rFonts w:eastAsia="Times New Roman" w:cs="Times New Roman"/>
          <w:sz w:val="20"/>
          <w:szCs w:val="20"/>
          <w:lang w:val="fr-CA" w:eastAsia="en-CA"/>
        </w:rPr>
        <w:t>Conformément à l'alinéa 59(1)(</w:t>
      </w:r>
      <w:r w:rsidRPr="002A76AC">
        <w:rPr>
          <w:rFonts w:eastAsia="Times New Roman" w:cs="Times New Roman"/>
          <w:i/>
          <w:sz w:val="20"/>
          <w:szCs w:val="20"/>
          <w:lang w:val="fr-CA" w:eastAsia="en-CA"/>
        </w:rPr>
        <w:t>a</w:t>
      </w:r>
      <w:r w:rsidRPr="002A76AC">
        <w:rPr>
          <w:rFonts w:eastAsia="Times New Roman" w:cs="Times New Roman"/>
          <w:sz w:val="20"/>
          <w:szCs w:val="20"/>
          <w:lang w:val="fr-CA" w:eastAsia="en-CA"/>
        </w:rPr>
        <w:t xml:space="preserve">) des </w:t>
      </w:r>
      <w:r w:rsidRPr="002A76AC">
        <w:rPr>
          <w:rFonts w:eastAsia="Times New Roman" w:cs="Times New Roman"/>
          <w:i/>
          <w:sz w:val="20"/>
          <w:szCs w:val="20"/>
          <w:lang w:val="fr-CA" w:eastAsia="en-CA"/>
        </w:rPr>
        <w:t>Règles de la Cour suprême du Canada</w:t>
      </w:r>
      <w:r w:rsidRPr="002A76AC">
        <w:rPr>
          <w:rFonts w:eastAsia="Times New Roman" w:cs="Times New Roman"/>
          <w:sz w:val="20"/>
          <w:szCs w:val="20"/>
          <w:lang w:val="fr-CA" w:eastAsia="en-CA"/>
        </w:rPr>
        <w:t>, les intervenantes paieront à l’appelant et aux l'intimés tous débours supplémentaires résultant de leur intervention.</w:t>
      </w:r>
    </w:p>
    <w:p w:rsidR="002A76AC" w:rsidRPr="002A76AC" w:rsidRDefault="002A76AC" w:rsidP="002A76AC">
      <w:pPr>
        <w:jc w:val="both"/>
        <w:rPr>
          <w:rFonts w:eastAsia="Times New Roman" w:cs="Times New Roman"/>
          <w:sz w:val="20"/>
          <w:szCs w:val="20"/>
          <w:lang w:val="fr-CA" w:eastAsia="en-CA"/>
        </w:rPr>
      </w:pPr>
    </w:p>
    <w:p w:rsidR="002A76AC" w:rsidRPr="002A76AC" w:rsidRDefault="002A76AC" w:rsidP="002A76AC">
      <w:pPr>
        <w:jc w:val="both"/>
        <w:rPr>
          <w:rFonts w:eastAsia="Times New Roman" w:cs="Times New Roman"/>
          <w:sz w:val="20"/>
          <w:szCs w:val="20"/>
          <w:lang w:val="fr-CA" w:eastAsia="en-CA"/>
        </w:rPr>
      </w:pPr>
      <w:r w:rsidRPr="002A76AC">
        <w:rPr>
          <w:rFonts w:eastAsia="Times New Roman" w:cs="Times New Roman"/>
          <w:sz w:val="20"/>
          <w:szCs w:val="20"/>
          <w:lang w:val="fr-CA" w:eastAsia="en-CA"/>
        </w:rPr>
        <w:t>Les intimés sont autorisés à signifier et déposer un seul mémoire de 5 pages en réplique à tous les intervenantes au plus tard le 14 août 2014.</w:t>
      </w: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fr-CA"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b/>
          <w:bCs/>
          <w:sz w:val="20"/>
          <w:szCs w:val="20"/>
          <w:lang w:eastAsia="en-CA"/>
        </w:rPr>
        <w:t>UPO</w:t>
      </w:r>
      <w:r w:rsidRPr="002A76AC">
        <w:rPr>
          <w:rFonts w:eastAsia="Times New Roman" w:cs="Times New Roman"/>
          <w:b/>
          <w:bCs/>
          <w:sz w:val="20"/>
          <w:szCs w:val="20"/>
          <w:lang w:val="en-US" w:eastAsia="en-CA"/>
        </w:rPr>
        <w:t>N APPLICATIONS</w:t>
      </w:r>
      <w:r w:rsidRPr="002A76AC">
        <w:rPr>
          <w:rFonts w:eastAsia="Times New Roman" w:cs="Times New Roman"/>
          <w:sz w:val="20"/>
          <w:szCs w:val="20"/>
          <w:lang w:val="en-US" w:eastAsia="en-CA"/>
        </w:rPr>
        <w:t xml:space="preserve"> by the Coalition pour le contrôle des armes and the Canada’s National Firearms Association for leave to intervene in the above appeal;</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jc w:val="both"/>
        <w:rPr>
          <w:rFonts w:eastAsia="Times New Roman" w:cs="Times New Roman"/>
          <w:sz w:val="20"/>
          <w:szCs w:val="20"/>
          <w:lang w:val="en-GB" w:eastAsia="en-CA"/>
        </w:rPr>
      </w:pPr>
      <w:r w:rsidRPr="002A76AC">
        <w:rPr>
          <w:rFonts w:eastAsia="Times New Roman" w:cs="Times New Roman"/>
          <w:b/>
          <w:bCs/>
          <w:sz w:val="20"/>
          <w:szCs w:val="20"/>
          <w:lang w:val="en-GB" w:eastAsia="en-CA"/>
        </w:rPr>
        <w:t>AND THE MATERIAL FILED</w:t>
      </w:r>
      <w:r w:rsidRPr="002A76AC">
        <w:rPr>
          <w:rFonts w:eastAsia="Times New Roman" w:cs="Times New Roman"/>
          <w:sz w:val="20"/>
          <w:szCs w:val="20"/>
          <w:lang w:val="en-GB" w:eastAsia="en-CA"/>
        </w:rPr>
        <w:t xml:space="preserve"> having been read;</w:t>
      </w:r>
    </w:p>
    <w:p w:rsidR="002A76AC" w:rsidRPr="002A76AC" w:rsidRDefault="002A76AC" w:rsidP="002A76AC">
      <w:pPr>
        <w:jc w:val="both"/>
        <w:rPr>
          <w:rFonts w:eastAsia="Times New Roman" w:cs="Times New Roman"/>
          <w:sz w:val="20"/>
          <w:szCs w:val="20"/>
          <w:lang w:val="en-GB" w:eastAsia="en-CA"/>
        </w:rPr>
      </w:pPr>
    </w:p>
    <w:p w:rsidR="002A76AC" w:rsidRPr="002A76AC" w:rsidRDefault="002A76AC" w:rsidP="002A76AC">
      <w:pPr>
        <w:jc w:val="both"/>
        <w:rPr>
          <w:rFonts w:eastAsia="Times New Roman" w:cs="Times New Roman"/>
          <w:sz w:val="20"/>
          <w:szCs w:val="20"/>
          <w:lang w:val="en-GB" w:eastAsia="en-CA"/>
        </w:rPr>
      </w:pPr>
      <w:r w:rsidRPr="002A76AC">
        <w:rPr>
          <w:rFonts w:eastAsia="Times New Roman" w:cs="Times New Roman"/>
          <w:b/>
          <w:bCs/>
          <w:sz w:val="20"/>
          <w:szCs w:val="20"/>
          <w:lang w:val="en-GB" w:eastAsia="en-CA"/>
        </w:rPr>
        <w:t>IT IS HEREBY ORDERED THAT:</w:t>
      </w:r>
    </w:p>
    <w:p w:rsidR="002A76AC" w:rsidRPr="002A76AC" w:rsidRDefault="002A76AC" w:rsidP="002A76AC">
      <w:pPr>
        <w:spacing w:line="233" w:lineRule="auto"/>
        <w:jc w:val="both"/>
        <w:rPr>
          <w:rFonts w:eastAsia="Times New Roman" w:cs="Times New Roman"/>
          <w:sz w:val="20"/>
          <w:szCs w:val="20"/>
          <w:lang w:val="en-GB"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val="en-GB" w:eastAsia="en-CA"/>
        </w:rPr>
        <w:t xml:space="preserve">The motions for leave to intervene of the </w:t>
      </w:r>
      <w:r w:rsidRPr="002A76AC">
        <w:rPr>
          <w:rFonts w:eastAsia="Times New Roman" w:cs="Times New Roman"/>
          <w:sz w:val="20"/>
          <w:szCs w:val="20"/>
          <w:lang w:val="en-US" w:eastAsia="en-CA"/>
        </w:rPr>
        <w:t xml:space="preserve">Coalition pour le contrôle des armes and the Canada’s National Firearms Association are granted and the said interveners shall be entitled to each serve and file a factum not to exceed 10 pages in length on or before July 31, 2014. </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8222C4"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eastAsia="en-CA"/>
        </w:rPr>
        <w:fldChar w:fldCharType="begin"/>
      </w:r>
      <w:r w:rsidR="002A76AC" w:rsidRPr="002A76AC">
        <w:rPr>
          <w:rFonts w:eastAsia="Times New Roman" w:cs="Times New Roman"/>
          <w:sz w:val="20"/>
          <w:szCs w:val="20"/>
          <w:lang w:eastAsia="en-CA"/>
        </w:rPr>
        <w:instrText xml:space="preserve"> SEQ CHAPTER \h \r 1</w:instrText>
      </w:r>
      <w:r w:rsidRPr="002A76AC">
        <w:rPr>
          <w:rFonts w:eastAsia="Times New Roman" w:cs="Times New Roman"/>
          <w:sz w:val="20"/>
          <w:szCs w:val="20"/>
          <w:lang w:eastAsia="en-CA"/>
        </w:rPr>
        <w:fldChar w:fldCharType="end"/>
      </w:r>
      <w:r w:rsidR="002A76AC" w:rsidRPr="002A76AC">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2A76AC" w:rsidRPr="002A76AC" w:rsidRDefault="002A76AC" w:rsidP="002A76AC">
      <w:pPr>
        <w:spacing w:line="233" w:lineRule="auto"/>
        <w:jc w:val="both"/>
        <w:rPr>
          <w:rFonts w:eastAsia="Times New Roman" w:cs="Times New Roman"/>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val="en-US" w:eastAsia="en-CA"/>
        </w:rPr>
        <w:t>The interveners are not entitled to raise new issues or to adduce further evidence or otherwise to supplement the record of the parties.</w:t>
      </w:r>
    </w:p>
    <w:p w:rsidR="002A76AC" w:rsidRPr="002A76AC" w:rsidRDefault="002A76AC" w:rsidP="002A76AC">
      <w:pPr>
        <w:spacing w:line="233" w:lineRule="auto"/>
        <w:jc w:val="both"/>
        <w:rPr>
          <w:rFonts w:eastAsia="Times New Roman" w:cs="Times New Roman"/>
          <w:b/>
          <w:sz w:val="20"/>
          <w:szCs w:val="20"/>
          <w:lang w:val="en-US" w:eastAsia="en-CA"/>
        </w:rPr>
      </w:pPr>
    </w:p>
    <w:p w:rsidR="002A76AC" w:rsidRPr="002A76AC" w:rsidRDefault="002A76AC" w:rsidP="002A76AC">
      <w:pPr>
        <w:spacing w:line="233" w:lineRule="auto"/>
        <w:jc w:val="both"/>
        <w:rPr>
          <w:rFonts w:eastAsia="Times New Roman" w:cs="Times New Roman"/>
          <w:sz w:val="20"/>
          <w:szCs w:val="20"/>
          <w:lang w:val="en-GB" w:eastAsia="en-CA"/>
        </w:rPr>
      </w:pPr>
      <w:r w:rsidRPr="002A76AC">
        <w:rPr>
          <w:rFonts w:eastAsia="Times New Roman" w:cs="Times New Roman"/>
          <w:sz w:val="20"/>
          <w:szCs w:val="20"/>
          <w:lang w:val="en-US" w:eastAsia="en-CA"/>
        </w:rPr>
        <w:t>Pursuant to Rule 59(1)(</w:t>
      </w:r>
      <w:r w:rsidRPr="002A76AC">
        <w:rPr>
          <w:rFonts w:eastAsia="Times New Roman" w:cs="Times New Roman"/>
          <w:i/>
          <w:iCs/>
          <w:sz w:val="20"/>
          <w:szCs w:val="20"/>
          <w:lang w:val="en-US" w:eastAsia="en-CA"/>
        </w:rPr>
        <w:t>a</w:t>
      </w:r>
      <w:r w:rsidRPr="002A76AC">
        <w:rPr>
          <w:rFonts w:eastAsia="Times New Roman" w:cs="Times New Roman"/>
          <w:sz w:val="20"/>
          <w:szCs w:val="20"/>
          <w:lang w:val="en-US" w:eastAsia="en-CA"/>
        </w:rPr>
        <w:t xml:space="preserve">) of the </w:t>
      </w:r>
      <w:r w:rsidRPr="002A76AC">
        <w:rPr>
          <w:rFonts w:eastAsia="Times New Roman" w:cs="Times New Roman"/>
          <w:i/>
          <w:iCs/>
          <w:sz w:val="20"/>
          <w:szCs w:val="20"/>
          <w:lang w:val="en-US" w:eastAsia="en-CA"/>
        </w:rPr>
        <w:t>Rules of the Supreme Court of Canada</w:t>
      </w:r>
      <w:r w:rsidRPr="002A76AC">
        <w:rPr>
          <w:rFonts w:eastAsia="Times New Roman" w:cs="Times New Roman"/>
          <w:sz w:val="20"/>
          <w:szCs w:val="20"/>
          <w:lang w:val="en-US" w:eastAsia="en-CA"/>
        </w:rPr>
        <w:t>, the interveners shall pay to the appellant and respondents any additional disbursements occasioned to the appellant and respondents by their interventions.</w:t>
      </w:r>
    </w:p>
    <w:p w:rsidR="002A76AC" w:rsidRPr="002A76AC" w:rsidRDefault="002A76AC" w:rsidP="002A76AC">
      <w:pPr>
        <w:spacing w:line="233" w:lineRule="auto"/>
        <w:jc w:val="both"/>
        <w:rPr>
          <w:rFonts w:eastAsia="Times New Roman" w:cs="Times New Roman"/>
          <w:sz w:val="20"/>
          <w:szCs w:val="20"/>
          <w:lang w:val="en-GB" w:eastAsia="en-CA"/>
        </w:rPr>
      </w:pPr>
    </w:p>
    <w:p w:rsidR="002A76AC" w:rsidRPr="002A76AC" w:rsidRDefault="002A76AC" w:rsidP="002A76AC">
      <w:pPr>
        <w:spacing w:line="233" w:lineRule="auto"/>
        <w:jc w:val="both"/>
        <w:rPr>
          <w:rFonts w:eastAsia="Times New Roman" w:cs="Times New Roman"/>
          <w:sz w:val="20"/>
          <w:szCs w:val="20"/>
          <w:lang w:val="en-US" w:eastAsia="en-CA"/>
        </w:rPr>
      </w:pPr>
      <w:r w:rsidRPr="002A76AC">
        <w:rPr>
          <w:rFonts w:eastAsia="Times New Roman" w:cs="Times New Roman"/>
          <w:sz w:val="20"/>
          <w:szCs w:val="20"/>
          <w:lang w:val="en-US" w:eastAsia="en-CA"/>
        </w:rPr>
        <w:t>The respondents are permitted to serve and file a single factum not exceeding 5 pages in reply to all interveners on or before August 14, 2014.</w:t>
      </w:r>
    </w:p>
    <w:p w:rsidR="002A76AC" w:rsidRPr="002A76AC" w:rsidRDefault="002A76AC" w:rsidP="002A76AC">
      <w:pPr>
        <w:tabs>
          <w:tab w:val="left" w:pos="-1440"/>
          <w:tab w:val="left" w:pos="-720"/>
        </w:tabs>
        <w:jc w:val="both"/>
        <w:rPr>
          <w:rFonts w:eastAsia="Times New Roman" w:cs="Times New Roman"/>
          <w:sz w:val="20"/>
          <w:szCs w:val="20"/>
          <w:lang w:val="en-US" w:eastAsia="en-CA"/>
        </w:rPr>
      </w:pPr>
    </w:p>
    <w:p w:rsidR="002A76AC" w:rsidRPr="002A76AC" w:rsidRDefault="006E182C" w:rsidP="002A76AC">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2A76AC" w:rsidRPr="002A76AC" w:rsidRDefault="002A76AC" w:rsidP="002A76AC">
      <w:pPr>
        <w:tabs>
          <w:tab w:val="left" w:pos="-1440"/>
          <w:tab w:val="left" w:pos="-720"/>
        </w:tabs>
        <w:jc w:val="both"/>
        <w:rPr>
          <w:rFonts w:eastAsia="Times New Roman" w:cs="Times New Roman"/>
          <w:sz w:val="20"/>
          <w:szCs w:val="20"/>
          <w:lang w:val="fr-CA"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E182C"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52229C" w:rsidP="0052229C">
      <w:pPr>
        <w:rPr>
          <w:b/>
          <w:sz w:val="20"/>
          <w:szCs w:val="20"/>
          <w:lang w:val="fr-CA"/>
        </w:rPr>
      </w:pPr>
      <w:r w:rsidRPr="00C42C54">
        <w:rPr>
          <w:b/>
          <w:sz w:val="20"/>
          <w:szCs w:val="20"/>
          <w:lang w:val="fr-CA"/>
        </w:rPr>
        <w:t>JU</w:t>
      </w:r>
      <w:r w:rsidR="005C67B3">
        <w:rPr>
          <w:b/>
          <w:sz w:val="20"/>
          <w:szCs w:val="20"/>
          <w:lang w:val="fr-CA"/>
        </w:rPr>
        <w:t>NE</w:t>
      </w:r>
      <w:r w:rsidRPr="00C42C54">
        <w:rPr>
          <w:b/>
          <w:sz w:val="20"/>
          <w:szCs w:val="20"/>
          <w:lang w:val="fr-CA"/>
        </w:rPr>
        <w:t xml:space="preserve"> 1</w:t>
      </w:r>
      <w:r w:rsidR="005C67B3">
        <w:rPr>
          <w:b/>
          <w:sz w:val="20"/>
          <w:szCs w:val="20"/>
          <w:lang w:val="fr-CA"/>
        </w:rPr>
        <w:t>2</w:t>
      </w:r>
      <w:r w:rsidRPr="00C42C54">
        <w:rPr>
          <w:b/>
          <w:sz w:val="20"/>
          <w:szCs w:val="20"/>
          <w:lang w:val="fr-CA"/>
        </w:rPr>
        <w:t>, 2014 / LE 1</w:t>
      </w:r>
      <w:r w:rsidR="005C67B3">
        <w:rPr>
          <w:b/>
          <w:sz w:val="20"/>
          <w:szCs w:val="20"/>
          <w:lang w:val="fr-CA"/>
        </w:rPr>
        <w:t>2</w:t>
      </w:r>
      <w:r w:rsidRPr="00C42C54">
        <w:rPr>
          <w:b/>
          <w:sz w:val="20"/>
          <w:szCs w:val="20"/>
          <w:lang w:val="fr-CA"/>
        </w:rPr>
        <w:t xml:space="preserve"> J</w:t>
      </w:r>
      <w:r w:rsidR="005C67B3">
        <w:rPr>
          <w:b/>
          <w:sz w:val="20"/>
          <w:szCs w:val="20"/>
          <w:lang w:val="fr-CA"/>
        </w:rPr>
        <w:t>UI</w:t>
      </w:r>
      <w:r w:rsidRPr="00C42C54">
        <w:rPr>
          <w:b/>
          <w:sz w:val="20"/>
          <w:szCs w:val="20"/>
          <w:lang w:val="fr-CA"/>
        </w:rPr>
        <w:t>N 2014</w:t>
      </w:r>
    </w:p>
    <w:p w:rsidR="0052229C" w:rsidRDefault="0052229C" w:rsidP="0052229C">
      <w:pPr>
        <w:rPr>
          <w:sz w:val="20"/>
          <w:szCs w:val="20"/>
          <w:lang w:val="fr-CA"/>
        </w:rPr>
      </w:pPr>
    </w:p>
    <w:p w:rsidR="00F75210" w:rsidRPr="00F75210" w:rsidRDefault="008222C4" w:rsidP="00F75210">
      <w:pPr>
        <w:ind w:left="1440" w:hanging="1440"/>
        <w:jc w:val="both"/>
        <w:rPr>
          <w:sz w:val="20"/>
        </w:rPr>
      </w:pPr>
      <w:r w:rsidRPr="0022525B">
        <w:rPr>
          <w:b/>
          <w:sz w:val="20"/>
        </w:rPr>
        <w:fldChar w:fldCharType="begin"/>
      </w:r>
      <w:r w:rsidR="00F75210" w:rsidRPr="0044099A">
        <w:rPr>
          <w:b/>
          <w:sz w:val="20"/>
          <w:lang w:val="fr-CA"/>
        </w:rPr>
        <w:instrText xml:space="preserve"> SEQ CHAPTER \h \r 1</w:instrText>
      </w:r>
      <w:r w:rsidRPr="0022525B">
        <w:rPr>
          <w:b/>
          <w:sz w:val="20"/>
        </w:rPr>
        <w:fldChar w:fldCharType="end"/>
      </w:r>
      <w:r w:rsidR="00F75210" w:rsidRPr="0044099A">
        <w:rPr>
          <w:b/>
          <w:sz w:val="20"/>
          <w:lang w:val="fr-CA"/>
        </w:rPr>
        <w:t>35353</w:t>
      </w:r>
      <w:r w:rsidR="00F75210" w:rsidRPr="0044099A">
        <w:rPr>
          <w:sz w:val="20"/>
          <w:lang w:val="fr-CA"/>
        </w:rPr>
        <w:tab/>
      </w:r>
      <w:r w:rsidR="00F75210" w:rsidRPr="0044099A">
        <w:rPr>
          <w:b/>
          <w:sz w:val="20"/>
          <w:u w:val="single"/>
          <w:lang w:val="fr-CA"/>
        </w:rPr>
        <w:t xml:space="preserve">Canadian Artists’ Representation/Front des artistes canadiens and Regroupement des artistes en arts visuels du Québec v. National Gallery of Canada – and – </w:t>
      </w:r>
      <w:r w:rsidR="00F75210" w:rsidRPr="007D2971">
        <w:rPr>
          <w:b/>
          <w:sz w:val="20"/>
          <w:u w:val="single"/>
          <w:lang w:val="fr-CA"/>
        </w:rPr>
        <w:t>Writers Guild of Canada, Canadian Screenwriters Collection Society, Société du droit de reproduction des auteurs compositeurs et éditeurs du Canada and SODRAC 2003 Inc.</w:t>
      </w:r>
      <w:r w:rsidR="00F75210" w:rsidRPr="0044099A">
        <w:rPr>
          <w:b/>
          <w:sz w:val="20"/>
          <w:lang w:val="fr-CA"/>
        </w:rPr>
        <w:t xml:space="preserve"> </w:t>
      </w:r>
      <w:r w:rsidR="00F75210" w:rsidRPr="00F75210">
        <w:rPr>
          <w:sz w:val="20"/>
        </w:rPr>
        <w:t>(F.C.)</w:t>
      </w:r>
    </w:p>
    <w:p w:rsidR="00F75210" w:rsidRPr="00F75210" w:rsidRDefault="00F75210" w:rsidP="00F75210">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75210">
        <w:rPr>
          <w:b/>
          <w:sz w:val="20"/>
        </w:rPr>
        <w:t>2014 SCC 42 / 2014 CSC 42</w:t>
      </w:r>
    </w:p>
    <w:p w:rsidR="00F75210" w:rsidRPr="00F75210" w:rsidRDefault="00F75210" w:rsidP="00F7521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F75210" w:rsidRPr="0044099A" w:rsidRDefault="00F75210" w:rsidP="00F75210">
      <w:pPr>
        <w:ind w:left="1440" w:hanging="1440"/>
        <w:rPr>
          <w:sz w:val="20"/>
          <w:u w:val="single"/>
        </w:rPr>
      </w:pPr>
      <w:r w:rsidRPr="0044099A">
        <w:rPr>
          <w:sz w:val="20"/>
        </w:rPr>
        <w:t>Coram:</w:t>
      </w:r>
      <w:r w:rsidRPr="0044099A">
        <w:rPr>
          <w:sz w:val="20"/>
        </w:rPr>
        <w:tab/>
      </w:r>
      <w:r w:rsidRPr="0044099A">
        <w:rPr>
          <w:sz w:val="20"/>
          <w:u w:val="single"/>
        </w:rPr>
        <w:t xml:space="preserve">McLachlin C.J. and LeBel, Abella, Rothstein, Cromwell, Moldaver and Wagner JJ. </w:t>
      </w:r>
    </w:p>
    <w:p w:rsidR="00F75210" w:rsidRPr="0044099A" w:rsidRDefault="00F75210" w:rsidP="00F75210">
      <w:pPr>
        <w:ind w:left="1440" w:hanging="1440"/>
        <w:jc w:val="both"/>
        <w:rPr>
          <w:sz w:val="20"/>
          <w:u w:val="single"/>
        </w:rPr>
      </w:pPr>
    </w:p>
    <w:p w:rsidR="00F75210" w:rsidRPr="0044099A" w:rsidRDefault="00F75210" w:rsidP="00F75210">
      <w:pPr>
        <w:jc w:val="both"/>
        <w:rPr>
          <w:sz w:val="20"/>
        </w:rPr>
      </w:pPr>
      <w:r w:rsidRPr="0044099A">
        <w:rPr>
          <w:sz w:val="20"/>
        </w:rPr>
        <w:t xml:space="preserve">The appeal from the judgment of the Federal Court of Appeal, Number A-84-12, 2013 FCA 64, dated March 4, 2013, was heard on May 14, 2014 and the Court on that day delivered the following judgment orally: </w:t>
      </w:r>
    </w:p>
    <w:p w:rsidR="00F75210" w:rsidRPr="0044099A" w:rsidRDefault="00F75210" w:rsidP="00F75210">
      <w:pPr>
        <w:jc w:val="both"/>
        <w:rPr>
          <w:smallCaps/>
          <w:sz w:val="20"/>
        </w:rPr>
      </w:pPr>
    </w:p>
    <w:p w:rsidR="00F75210" w:rsidRDefault="00F75210" w:rsidP="00F75210">
      <w:pPr>
        <w:ind w:left="720"/>
        <w:jc w:val="both"/>
        <w:rPr>
          <w:sz w:val="20"/>
        </w:rPr>
      </w:pPr>
      <w:r w:rsidRPr="0044099A">
        <w:rPr>
          <w:smallCaps/>
          <w:sz w:val="20"/>
        </w:rPr>
        <w:t>The Chief Justice —</w:t>
      </w:r>
      <w:r w:rsidRPr="0044099A">
        <w:rPr>
          <w:smallCaps/>
          <w:color w:val="FF0000"/>
          <w:sz w:val="20"/>
        </w:rPr>
        <w:t xml:space="preserve"> </w:t>
      </w:r>
      <w:r w:rsidRPr="0044099A">
        <w:rPr>
          <w:sz w:val="20"/>
        </w:rPr>
        <w:t xml:space="preserve">The appeal is allowed, with reasons to follow. </w:t>
      </w:r>
    </w:p>
    <w:p w:rsidR="00F75210" w:rsidRPr="0044099A" w:rsidRDefault="00F75210" w:rsidP="00F75210">
      <w:pPr>
        <w:ind w:left="720"/>
        <w:jc w:val="both"/>
        <w:rPr>
          <w:sz w:val="20"/>
        </w:rPr>
      </w:pPr>
    </w:p>
    <w:p w:rsidR="00F75210" w:rsidRPr="0044099A" w:rsidRDefault="00F75210" w:rsidP="00F75210">
      <w:pPr>
        <w:jc w:val="both"/>
        <w:rPr>
          <w:sz w:val="20"/>
        </w:rPr>
      </w:pPr>
      <w:r w:rsidRPr="0044099A">
        <w:rPr>
          <w:sz w:val="20"/>
        </w:rPr>
        <w:t>On this day, reasons were delivered and the judgment was restated as follows:</w:t>
      </w:r>
    </w:p>
    <w:p w:rsidR="00F75210" w:rsidRPr="0044099A" w:rsidRDefault="00F75210" w:rsidP="00F75210">
      <w:pPr>
        <w:jc w:val="both"/>
        <w:rPr>
          <w:sz w:val="20"/>
        </w:rPr>
      </w:pPr>
    </w:p>
    <w:p w:rsidR="00F75210" w:rsidRDefault="00F75210" w:rsidP="00F75210">
      <w:pPr>
        <w:jc w:val="both"/>
        <w:rPr>
          <w:sz w:val="20"/>
        </w:rPr>
      </w:pPr>
      <w:r w:rsidRPr="0044099A">
        <w:rPr>
          <w:sz w:val="20"/>
        </w:rPr>
        <w:t>The appeal is allowed and the Tribunal’s order is reinstated. Costs are awarded to the appellants on the appeals before this Court and the Federal Court of Appeal.</w:t>
      </w:r>
    </w:p>
    <w:p w:rsidR="00F75210" w:rsidRDefault="00F75210" w:rsidP="00F75210">
      <w:pPr>
        <w:jc w:val="both"/>
        <w:rPr>
          <w:sz w:val="20"/>
        </w:rPr>
      </w:pPr>
    </w:p>
    <w:p w:rsidR="00F75210" w:rsidRDefault="00F75210" w:rsidP="00F75210">
      <w:pPr>
        <w:jc w:val="both"/>
        <w:rPr>
          <w:sz w:val="20"/>
        </w:rPr>
      </w:pPr>
    </w:p>
    <w:p w:rsidR="00F75210" w:rsidRPr="0044099A" w:rsidRDefault="00F75210" w:rsidP="00F75210">
      <w:pPr>
        <w:jc w:val="both"/>
        <w:rPr>
          <w:sz w:val="20"/>
          <w:lang w:val="fr-CA"/>
        </w:rPr>
      </w:pPr>
      <w:r w:rsidRPr="0044099A">
        <w:rPr>
          <w:sz w:val="20"/>
          <w:lang w:val="fr-CA"/>
        </w:rPr>
        <w:t>L’appel interjeté contre l’arrêt de la Cour d’appel fédérale, numéro A-84-12, 2013 CAF 64, daté du 4 mars 2013, a été entendu le 14 mai 2014 et la Cour a prononcé oralement le même jour le jugement suivant :</w:t>
      </w:r>
    </w:p>
    <w:p w:rsidR="00F75210" w:rsidRDefault="00F75210" w:rsidP="00F75210">
      <w:pPr>
        <w:jc w:val="both"/>
        <w:rPr>
          <w:sz w:val="20"/>
          <w:lang w:val="fr-CA"/>
        </w:rPr>
      </w:pPr>
    </w:p>
    <w:p w:rsidR="00F75210" w:rsidRDefault="00F75210" w:rsidP="00F75210">
      <w:pPr>
        <w:jc w:val="both"/>
        <w:rPr>
          <w:sz w:val="20"/>
          <w:lang w:val="fr-CA"/>
        </w:rPr>
      </w:pPr>
      <w:r>
        <w:rPr>
          <w:smallCaps/>
          <w:sz w:val="20"/>
          <w:lang w:val="fr-CA"/>
        </w:rPr>
        <w:tab/>
      </w:r>
      <w:r w:rsidRPr="0044099A">
        <w:rPr>
          <w:smallCaps/>
          <w:sz w:val="20"/>
          <w:lang w:val="fr-CA"/>
        </w:rPr>
        <w:t>[Traduction]</w:t>
      </w:r>
      <w:r w:rsidRPr="0044099A">
        <w:rPr>
          <w:sz w:val="20"/>
          <w:lang w:val="fr-CA"/>
        </w:rPr>
        <w:t xml:space="preserve"> </w:t>
      </w:r>
    </w:p>
    <w:p w:rsidR="00F75210" w:rsidRPr="0044099A" w:rsidRDefault="00F75210" w:rsidP="00F75210">
      <w:pPr>
        <w:jc w:val="both"/>
        <w:rPr>
          <w:smallCaps/>
          <w:sz w:val="20"/>
          <w:lang w:val="fr-CA"/>
        </w:rPr>
      </w:pPr>
    </w:p>
    <w:p w:rsidR="00F75210" w:rsidRDefault="00F75210" w:rsidP="00F75210">
      <w:pPr>
        <w:ind w:left="738"/>
        <w:jc w:val="both"/>
        <w:rPr>
          <w:sz w:val="20"/>
          <w:lang w:val="fr-CA"/>
        </w:rPr>
      </w:pPr>
      <w:r w:rsidRPr="0044099A">
        <w:rPr>
          <w:smallCaps/>
          <w:sz w:val="20"/>
          <w:lang w:val="fr-CA"/>
        </w:rPr>
        <w:t>La Juge en Chef</w:t>
      </w:r>
      <w:r w:rsidRPr="0044099A">
        <w:rPr>
          <w:smallCaps/>
          <w:color w:val="FF0000"/>
          <w:sz w:val="20"/>
          <w:lang w:val="fr-CA"/>
        </w:rPr>
        <w:t xml:space="preserve"> </w:t>
      </w:r>
      <w:r w:rsidRPr="0044099A">
        <w:rPr>
          <w:sz w:val="20"/>
          <w:lang w:val="fr-CA"/>
        </w:rPr>
        <w:t xml:space="preserve">— L’appel est accueilli, avec motifs à suivre. </w:t>
      </w:r>
    </w:p>
    <w:p w:rsidR="00F75210" w:rsidRPr="0044099A" w:rsidRDefault="00F75210" w:rsidP="00F75210">
      <w:pPr>
        <w:ind w:left="738"/>
        <w:jc w:val="both"/>
        <w:rPr>
          <w:sz w:val="20"/>
          <w:lang w:val="fr-CA"/>
        </w:rPr>
      </w:pPr>
    </w:p>
    <w:p w:rsidR="00F75210" w:rsidRPr="0044099A" w:rsidRDefault="00F75210" w:rsidP="00F75210">
      <w:pPr>
        <w:jc w:val="both"/>
        <w:rPr>
          <w:sz w:val="20"/>
          <w:lang w:val="fr-CA"/>
        </w:rPr>
      </w:pPr>
      <w:r w:rsidRPr="0044099A">
        <w:rPr>
          <w:sz w:val="20"/>
          <w:lang w:val="fr-CA"/>
        </w:rPr>
        <w:t>Aujourd’hui, la Cour a déposé des motifs et reformulé le jugement comme suit :</w:t>
      </w:r>
    </w:p>
    <w:p w:rsidR="00F75210" w:rsidRPr="0044099A" w:rsidRDefault="00F75210" w:rsidP="00F75210">
      <w:pPr>
        <w:jc w:val="both"/>
        <w:rPr>
          <w:sz w:val="20"/>
          <w:lang w:val="fr-CA"/>
        </w:rPr>
      </w:pPr>
    </w:p>
    <w:p w:rsidR="00F75210" w:rsidRPr="0044099A" w:rsidRDefault="00F75210" w:rsidP="00F75210">
      <w:pPr>
        <w:jc w:val="both"/>
        <w:rPr>
          <w:sz w:val="20"/>
          <w:lang w:val="fr-CA"/>
        </w:rPr>
      </w:pPr>
      <w:r w:rsidRPr="0044099A">
        <w:rPr>
          <w:sz w:val="20"/>
          <w:lang w:val="fr-CA"/>
        </w:rPr>
        <w:t>L’appel est accueilli et l’ordonnance du Tribunal est rétablie. Les appelants ont droit aux dépens devant la Cour et la Cour d’appel fédérale.</w:t>
      </w:r>
    </w:p>
    <w:p w:rsidR="00F75210" w:rsidRPr="00C42C54" w:rsidRDefault="00F75210" w:rsidP="0052229C">
      <w:pPr>
        <w:rPr>
          <w:sz w:val="20"/>
          <w:szCs w:val="20"/>
          <w:lang w:val="fr-CA"/>
        </w:rPr>
      </w:pPr>
    </w:p>
    <w:p w:rsidR="0052229C" w:rsidRPr="003B3977" w:rsidRDefault="006E182C" w:rsidP="0052229C">
      <w:pPr>
        <w:spacing w:line="0" w:lineRule="atLeast"/>
        <w:rPr>
          <w:sz w:val="20"/>
          <w:szCs w:val="20"/>
        </w:rPr>
      </w:pPr>
      <w:r>
        <w:rPr>
          <w:b/>
          <w:sz w:val="20"/>
          <w:szCs w:val="20"/>
        </w:rPr>
        <w:pict>
          <v:rect id="_x0000_i1076"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52229C" w:rsidRPr="008056BE" w:rsidRDefault="0052229C" w:rsidP="0052229C">
      <w:pPr>
        <w:rPr>
          <w:b/>
          <w:sz w:val="20"/>
          <w:szCs w:val="20"/>
          <w:lang w:val="en-US"/>
        </w:rPr>
      </w:pPr>
      <w:r w:rsidRPr="008056BE">
        <w:rPr>
          <w:b/>
          <w:sz w:val="20"/>
          <w:szCs w:val="20"/>
          <w:lang w:val="en-US"/>
        </w:rPr>
        <w:t>JU</w:t>
      </w:r>
      <w:r w:rsidR="005C67B3" w:rsidRPr="008056BE">
        <w:rPr>
          <w:b/>
          <w:sz w:val="20"/>
          <w:szCs w:val="20"/>
          <w:lang w:val="en-US"/>
        </w:rPr>
        <w:t>NE</w:t>
      </w:r>
      <w:r w:rsidRPr="008056BE">
        <w:rPr>
          <w:b/>
          <w:sz w:val="20"/>
          <w:szCs w:val="20"/>
          <w:lang w:val="en-US"/>
        </w:rPr>
        <w:t xml:space="preserve"> 1</w:t>
      </w:r>
      <w:r w:rsidR="005C67B3" w:rsidRPr="008056BE">
        <w:rPr>
          <w:b/>
          <w:sz w:val="20"/>
          <w:szCs w:val="20"/>
          <w:lang w:val="en-US"/>
        </w:rPr>
        <w:t>3</w:t>
      </w:r>
      <w:r w:rsidRPr="008056BE">
        <w:rPr>
          <w:b/>
          <w:sz w:val="20"/>
          <w:szCs w:val="20"/>
          <w:lang w:val="en-US"/>
        </w:rPr>
        <w:t>, 2014 / LE 1</w:t>
      </w:r>
      <w:r w:rsidR="005C67B3" w:rsidRPr="008056BE">
        <w:rPr>
          <w:b/>
          <w:sz w:val="20"/>
          <w:szCs w:val="20"/>
          <w:lang w:val="en-US"/>
        </w:rPr>
        <w:t>3</w:t>
      </w:r>
      <w:r w:rsidRPr="008056BE">
        <w:rPr>
          <w:b/>
          <w:sz w:val="20"/>
          <w:szCs w:val="20"/>
          <w:lang w:val="en-US"/>
        </w:rPr>
        <w:t xml:space="preserve"> J</w:t>
      </w:r>
      <w:r w:rsidR="005C67B3" w:rsidRPr="008056BE">
        <w:rPr>
          <w:b/>
          <w:sz w:val="20"/>
          <w:szCs w:val="20"/>
          <w:lang w:val="en-US"/>
        </w:rPr>
        <w:t>UI</w:t>
      </w:r>
      <w:r w:rsidRPr="008056BE">
        <w:rPr>
          <w:b/>
          <w:sz w:val="20"/>
          <w:szCs w:val="20"/>
          <w:lang w:val="en-US"/>
        </w:rPr>
        <w:t>N 2014</w:t>
      </w:r>
    </w:p>
    <w:p w:rsidR="0052229C" w:rsidRPr="008056BE" w:rsidRDefault="0052229C" w:rsidP="0052229C">
      <w:pPr>
        <w:spacing w:line="0" w:lineRule="atLeast"/>
        <w:rPr>
          <w:rFonts w:cs="Times New Roman"/>
          <w:sz w:val="20"/>
          <w:szCs w:val="20"/>
          <w:lang w:val="en-US"/>
        </w:rPr>
      </w:pPr>
    </w:p>
    <w:p w:rsidR="00516308" w:rsidRPr="00F75210" w:rsidRDefault="008222C4" w:rsidP="00516308">
      <w:pPr>
        <w:ind w:left="1440" w:hanging="1440"/>
        <w:jc w:val="both"/>
        <w:rPr>
          <w:sz w:val="20"/>
        </w:rPr>
      </w:pPr>
      <w:r w:rsidRPr="0022525B">
        <w:rPr>
          <w:b/>
          <w:sz w:val="20"/>
        </w:rPr>
        <w:fldChar w:fldCharType="begin"/>
      </w:r>
      <w:r w:rsidR="00516308" w:rsidRPr="00516308">
        <w:rPr>
          <w:b/>
          <w:sz w:val="20"/>
        </w:rPr>
        <w:instrText xml:space="preserve"> SEQ CHAPTER \h \r 1</w:instrText>
      </w:r>
      <w:r w:rsidRPr="0022525B">
        <w:rPr>
          <w:b/>
          <w:sz w:val="20"/>
        </w:rPr>
        <w:fldChar w:fldCharType="end"/>
      </w:r>
      <w:r w:rsidR="00516308" w:rsidRPr="00516308">
        <w:rPr>
          <w:b/>
          <w:sz w:val="20"/>
        </w:rPr>
        <w:t>34644</w:t>
      </w:r>
      <w:r w:rsidR="00516308" w:rsidRPr="00516308">
        <w:rPr>
          <w:sz w:val="20"/>
        </w:rPr>
        <w:tab/>
      </w:r>
      <w:r w:rsidR="00516308" w:rsidRPr="00516308">
        <w:rPr>
          <w:b/>
          <w:sz w:val="20"/>
          <w:u w:val="single"/>
        </w:rPr>
        <w:t xml:space="preserve">Matthew David Spencer v. Her Majesty the Queen – and – Director of Public Prosecutions, Attorney General of Ontario, Attorney General of Alberta, Privacy Commissioner of Canada, Canadian Civil Liberties Association and Criminal Lawyers’ </w:t>
      </w:r>
      <w:r w:rsidR="00516308">
        <w:rPr>
          <w:b/>
          <w:sz w:val="20"/>
          <w:u w:val="single"/>
        </w:rPr>
        <w:t>Associa</w:t>
      </w:r>
      <w:r w:rsidR="00516308" w:rsidRPr="00516308">
        <w:rPr>
          <w:b/>
          <w:sz w:val="20"/>
          <w:u w:val="single"/>
        </w:rPr>
        <w:t>tion o</w:t>
      </w:r>
      <w:r w:rsidR="00516308">
        <w:rPr>
          <w:b/>
          <w:sz w:val="20"/>
          <w:u w:val="single"/>
        </w:rPr>
        <w:t>f O</w:t>
      </w:r>
      <w:r w:rsidR="00516308" w:rsidRPr="00516308">
        <w:rPr>
          <w:b/>
          <w:sz w:val="20"/>
          <w:u w:val="single"/>
        </w:rPr>
        <w:t>nt</w:t>
      </w:r>
      <w:r w:rsidR="00516308">
        <w:rPr>
          <w:b/>
          <w:sz w:val="20"/>
          <w:u w:val="single"/>
        </w:rPr>
        <w:t>a</w:t>
      </w:r>
      <w:r w:rsidR="00516308" w:rsidRPr="00516308">
        <w:rPr>
          <w:b/>
          <w:sz w:val="20"/>
          <w:u w:val="single"/>
        </w:rPr>
        <w:t>ri</w:t>
      </w:r>
      <w:r w:rsidR="00516308">
        <w:rPr>
          <w:b/>
          <w:sz w:val="20"/>
          <w:u w:val="single"/>
        </w:rPr>
        <w:t>o</w:t>
      </w:r>
      <w:r w:rsidR="00516308" w:rsidRPr="00516308">
        <w:rPr>
          <w:b/>
          <w:sz w:val="20"/>
        </w:rPr>
        <w:t xml:space="preserve"> </w:t>
      </w:r>
      <w:r w:rsidR="00516308" w:rsidRPr="00F75210">
        <w:rPr>
          <w:sz w:val="20"/>
        </w:rPr>
        <w:t>(</w:t>
      </w:r>
      <w:r w:rsidR="00516308">
        <w:rPr>
          <w:sz w:val="20"/>
        </w:rPr>
        <w:t>Sask</w:t>
      </w:r>
      <w:r w:rsidR="00516308" w:rsidRPr="00F75210">
        <w:rPr>
          <w:sz w:val="20"/>
        </w:rPr>
        <w:t>.)</w:t>
      </w:r>
    </w:p>
    <w:p w:rsidR="00516308" w:rsidRPr="00F75210" w:rsidRDefault="00516308" w:rsidP="0051630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75210">
        <w:rPr>
          <w:b/>
          <w:sz w:val="20"/>
        </w:rPr>
        <w:t>2014 SCC 4</w:t>
      </w:r>
      <w:r>
        <w:rPr>
          <w:b/>
          <w:sz w:val="20"/>
        </w:rPr>
        <w:t>3</w:t>
      </w:r>
      <w:r w:rsidRPr="00F75210">
        <w:rPr>
          <w:b/>
          <w:sz w:val="20"/>
        </w:rPr>
        <w:t xml:space="preserve"> / 2014 CSC 4</w:t>
      </w:r>
      <w:r>
        <w:rPr>
          <w:b/>
          <w:sz w:val="20"/>
        </w:rPr>
        <w:t>3</w:t>
      </w:r>
    </w:p>
    <w:p w:rsidR="00516308" w:rsidRPr="00F75210" w:rsidRDefault="00516308" w:rsidP="0051630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16308" w:rsidRPr="0044099A" w:rsidRDefault="00516308" w:rsidP="00516308">
      <w:pPr>
        <w:ind w:left="1440" w:hanging="1440"/>
        <w:rPr>
          <w:sz w:val="20"/>
          <w:u w:val="single"/>
        </w:rPr>
      </w:pPr>
      <w:r w:rsidRPr="0044099A">
        <w:rPr>
          <w:sz w:val="20"/>
        </w:rPr>
        <w:t>Coram:</w:t>
      </w:r>
      <w:r w:rsidRPr="0044099A">
        <w:rPr>
          <w:sz w:val="20"/>
        </w:rPr>
        <w:tab/>
      </w:r>
      <w:r w:rsidRPr="0044099A">
        <w:rPr>
          <w:sz w:val="20"/>
          <w:u w:val="single"/>
        </w:rPr>
        <w:t>McLachlin C.J. and LeBel, Abella, Rothstein, Cromwell, Moldaver</w:t>
      </w:r>
      <w:r>
        <w:rPr>
          <w:sz w:val="20"/>
          <w:u w:val="single"/>
        </w:rPr>
        <w:t>, Karakatsanis</w:t>
      </w:r>
      <w:r w:rsidRPr="0044099A">
        <w:rPr>
          <w:sz w:val="20"/>
          <w:u w:val="single"/>
        </w:rPr>
        <w:t xml:space="preserve"> and Wagner JJ. </w:t>
      </w:r>
    </w:p>
    <w:p w:rsidR="00516308" w:rsidRDefault="00516308" w:rsidP="00516308">
      <w:pPr>
        <w:ind w:left="1440" w:hanging="1440"/>
        <w:jc w:val="both"/>
        <w:rPr>
          <w:sz w:val="20"/>
          <w:u w:val="single"/>
        </w:rPr>
      </w:pPr>
    </w:p>
    <w:p w:rsidR="002D1E79" w:rsidRDefault="002D1E79" w:rsidP="002D1E79">
      <w:pPr>
        <w:jc w:val="both"/>
        <w:rPr>
          <w:sz w:val="20"/>
          <w:u w:val="single"/>
        </w:rPr>
      </w:pPr>
      <w:r w:rsidRPr="00672B3A">
        <w:rPr>
          <w:sz w:val="20"/>
          <w:szCs w:val="20"/>
        </w:rPr>
        <w:t xml:space="preserve">The appeal from the judgment </w:t>
      </w:r>
      <w:bookmarkStart w:id="5" w:name="BM_1_"/>
      <w:bookmarkEnd w:id="5"/>
      <w:r w:rsidRPr="00672B3A">
        <w:rPr>
          <w:sz w:val="20"/>
          <w:szCs w:val="20"/>
        </w:rPr>
        <w:t>of the Court of Appeal for Saskatchewan, Numbers 1857-CR and 1862-CR, 2011 SKCA 144, dated November 25, 2011, heard on December 9, 2013, is dismissed.</w:t>
      </w:r>
    </w:p>
    <w:p w:rsidR="002D1E79" w:rsidRDefault="002D1E79" w:rsidP="00516308">
      <w:pPr>
        <w:ind w:left="1440" w:hanging="1440"/>
        <w:jc w:val="both"/>
        <w:rPr>
          <w:sz w:val="20"/>
          <w:u w:val="single"/>
        </w:rPr>
      </w:pPr>
    </w:p>
    <w:p w:rsidR="002D1E79" w:rsidRDefault="002D1E79" w:rsidP="00516308">
      <w:pPr>
        <w:ind w:left="1440" w:hanging="1440"/>
        <w:jc w:val="both"/>
        <w:rPr>
          <w:sz w:val="20"/>
          <w:u w:val="single"/>
        </w:rPr>
      </w:pPr>
    </w:p>
    <w:p w:rsidR="002D1E79" w:rsidRPr="00672B3A" w:rsidRDefault="002D1E79" w:rsidP="002D1E79">
      <w:pPr>
        <w:jc w:val="both"/>
        <w:rPr>
          <w:sz w:val="20"/>
          <w:szCs w:val="20"/>
          <w:lang w:val="fr-CA"/>
        </w:rPr>
      </w:pPr>
      <w:r w:rsidRPr="00672B3A">
        <w:rPr>
          <w:sz w:val="20"/>
          <w:szCs w:val="20"/>
          <w:lang w:val="fr-CA"/>
        </w:rPr>
        <w:t>L’appel interjeté contre l’arrêt de la Cour d’appel de la Saskatchewan, numéros 1857-CR et 1862-CR, 2011 SKCA 144, en date du 25 novembre 2011, entendu le 9 décembre 2013, est rejeté.</w:t>
      </w:r>
    </w:p>
    <w:p w:rsidR="00732DB7" w:rsidRPr="00C50A5C" w:rsidRDefault="006E182C" w:rsidP="002D1E79">
      <w:pPr>
        <w:jc w:val="both"/>
        <w:rPr>
          <w:sz w:val="20"/>
          <w:szCs w:val="20"/>
        </w:rPr>
      </w:pPr>
      <w:r>
        <w:rPr>
          <w:rFonts w:cs="Times New Roman"/>
          <w:b/>
          <w:sz w:val="20"/>
          <w:szCs w:val="20"/>
        </w:rPr>
        <w:pict>
          <v:rect id="_x0000_i1077" style="width:144.3pt;height:1pt" o:hrpct="300" o:hralign="center" o:hrstd="t" o:hrnoshade="t" o:hr="t" fillcolor="black [3213]" stroked="f"/>
        </w:pict>
      </w:r>
    </w:p>
    <w:p w:rsidR="00697C62" w:rsidRPr="00C50A5C" w:rsidRDefault="00697C62" w:rsidP="00732DB7">
      <w:pPr>
        <w:widowControl w:val="0"/>
        <w:rPr>
          <w:sz w:val="20"/>
          <w:szCs w:val="20"/>
        </w:rPr>
        <w:sectPr w:rsidR="00697C62" w:rsidRPr="00C50A5C" w:rsidSect="00782AE4">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657D1D" w:rsidRPr="00294078" w:rsidRDefault="00657D1D" w:rsidP="00657D1D">
      <w:pPr>
        <w:jc w:val="both"/>
        <w:rPr>
          <w:bCs/>
          <w:color w:val="000000"/>
          <w:sz w:val="20"/>
          <w:szCs w:val="20"/>
        </w:rPr>
      </w:pPr>
      <w:r w:rsidRPr="00294078">
        <w:rPr>
          <w:bCs/>
          <w:i/>
          <w:color w:val="000000"/>
          <w:sz w:val="20"/>
          <w:szCs w:val="20"/>
        </w:rPr>
        <w:t xml:space="preserve">Canadian Artists’ Representation/Front des artistes canadiens et al. v. National Gallery of Canada </w:t>
      </w:r>
      <w:r w:rsidRPr="00294078">
        <w:rPr>
          <w:bCs/>
          <w:color w:val="000000"/>
          <w:sz w:val="20"/>
          <w:szCs w:val="20"/>
        </w:rPr>
        <w:t>(F.C.) (</w:t>
      </w:r>
      <w:hyperlink r:id="rId74" w:history="1">
        <w:r w:rsidRPr="00294078">
          <w:rPr>
            <w:rStyle w:val="Hyperlink"/>
            <w:bCs/>
            <w:sz w:val="20"/>
            <w:szCs w:val="20"/>
          </w:rPr>
          <w:t>35353</w:t>
        </w:r>
      </w:hyperlink>
      <w:r w:rsidRPr="00294078">
        <w:rPr>
          <w:bCs/>
          <w:color w:val="000000"/>
          <w:sz w:val="20"/>
          <w:szCs w:val="20"/>
        </w:rPr>
        <w:t>)</w:t>
      </w:r>
    </w:p>
    <w:p w:rsidR="00472B2D" w:rsidRPr="00EB11B4" w:rsidRDefault="00472B2D" w:rsidP="00472B2D">
      <w:pPr>
        <w:jc w:val="both"/>
        <w:rPr>
          <w:b/>
          <w:sz w:val="20"/>
          <w:szCs w:val="20"/>
        </w:rPr>
      </w:pPr>
      <w:r w:rsidRPr="00EB11B4">
        <w:rPr>
          <w:b/>
          <w:sz w:val="20"/>
          <w:szCs w:val="20"/>
        </w:rPr>
        <w:t xml:space="preserve">Indexed as:  Canadian Artists’ Representation </w:t>
      </w:r>
      <w:r w:rsidRPr="00EB11B4">
        <w:rPr>
          <w:b/>
          <w:i/>
          <w:sz w:val="20"/>
          <w:szCs w:val="20"/>
        </w:rPr>
        <w:t>v.</w:t>
      </w:r>
      <w:r w:rsidRPr="00EB11B4">
        <w:rPr>
          <w:b/>
          <w:sz w:val="20"/>
          <w:szCs w:val="20"/>
        </w:rPr>
        <w:t xml:space="preserve"> National Gallery of Canada</w:t>
      </w:r>
      <w:r>
        <w:rPr>
          <w:b/>
          <w:sz w:val="20"/>
          <w:szCs w:val="20"/>
        </w:rPr>
        <w:t xml:space="preserve"> /</w:t>
      </w:r>
    </w:p>
    <w:p w:rsidR="00472B2D" w:rsidRPr="001F198C" w:rsidRDefault="00472B2D" w:rsidP="00472B2D">
      <w:pPr>
        <w:jc w:val="both"/>
        <w:rPr>
          <w:b/>
          <w:sz w:val="20"/>
          <w:szCs w:val="20"/>
          <w:lang w:val="fr-CA"/>
        </w:rPr>
      </w:pPr>
      <w:r w:rsidRPr="001F198C">
        <w:rPr>
          <w:b/>
          <w:sz w:val="20"/>
          <w:szCs w:val="20"/>
          <w:lang w:val="fr-CA"/>
        </w:rPr>
        <w:t xml:space="preserve">Répertorié : Front des artistes canadiens </w:t>
      </w:r>
      <w:r w:rsidRPr="001F198C">
        <w:rPr>
          <w:b/>
          <w:i/>
          <w:sz w:val="20"/>
          <w:szCs w:val="20"/>
          <w:lang w:val="fr-CA"/>
        </w:rPr>
        <w:t>c.</w:t>
      </w:r>
      <w:r w:rsidRPr="001F198C">
        <w:rPr>
          <w:b/>
          <w:sz w:val="20"/>
          <w:szCs w:val="20"/>
          <w:lang w:val="fr-CA"/>
        </w:rPr>
        <w:t xml:space="preserve"> Musée des beaux</w:t>
      </w:r>
      <w:r w:rsidRPr="001F198C">
        <w:rPr>
          <w:b/>
          <w:sz w:val="20"/>
          <w:szCs w:val="20"/>
          <w:lang w:val="fr-CA"/>
        </w:rPr>
        <w:noBreakHyphen/>
        <w:t>arts du Canada</w:t>
      </w:r>
    </w:p>
    <w:p w:rsidR="0052229C" w:rsidRPr="00657D1D" w:rsidRDefault="0052229C" w:rsidP="0052229C">
      <w:pPr>
        <w:pStyle w:val="SCCSystemYear"/>
        <w:jc w:val="both"/>
        <w:rPr>
          <w:sz w:val="20"/>
        </w:rPr>
      </w:pPr>
      <w:r w:rsidRPr="00657D1D">
        <w:rPr>
          <w:sz w:val="20"/>
        </w:rPr>
        <w:t>Neutral citation:  2014 SCC </w:t>
      </w:r>
      <w:r w:rsidR="00657D1D">
        <w:rPr>
          <w:sz w:val="20"/>
        </w:rPr>
        <w:t>42</w:t>
      </w:r>
      <w:r w:rsidRPr="00657D1D">
        <w:rPr>
          <w:sz w:val="20"/>
        </w:rPr>
        <w:t xml:space="preserve"> / Référence neutre : 2014 CSC </w:t>
      </w:r>
      <w:r w:rsidR="00657D1D">
        <w:rPr>
          <w:sz w:val="20"/>
        </w:rPr>
        <w:t>42</w:t>
      </w:r>
    </w:p>
    <w:p w:rsidR="0052229C" w:rsidRPr="00657D1D" w:rsidRDefault="0052229C" w:rsidP="0052229C">
      <w:pPr>
        <w:rPr>
          <w:rFonts w:cs="Times New Roman"/>
          <w:sz w:val="20"/>
          <w:szCs w:val="20"/>
          <w:lang w:val="fr-CA"/>
        </w:rPr>
      </w:pPr>
      <w:r w:rsidRPr="00657D1D">
        <w:rPr>
          <w:rFonts w:cs="Times New Roman"/>
          <w:sz w:val="20"/>
          <w:szCs w:val="20"/>
          <w:lang w:val="fr-CA"/>
        </w:rPr>
        <w:t xml:space="preserve">Hearing:  </w:t>
      </w:r>
      <w:r w:rsidR="00472B2D">
        <w:rPr>
          <w:rFonts w:cs="Times New Roman"/>
          <w:sz w:val="20"/>
          <w:szCs w:val="20"/>
          <w:lang w:val="fr-CA"/>
        </w:rPr>
        <w:t>May</w:t>
      </w:r>
      <w:r w:rsidRPr="00657D1D">
        <w:rPr>
          <w:rFonts w:cs="Times New Roman"/>
          <w:sz w:val="20"/>
          <w:szCs w:val="20"/>
          <w:lang w:val="fr-CA"/>
        </w:rPr>
        <w:t xml:space="preserve"> </w:t>
      </w:r>
      <w:r w:rsidR="00472B2D">
        <w:rPr>
          <w:rFonts w:cs="Times New Roman"/>
          <w:sz w:val="20"/>
          <w:szCs w:val="20"/>
          <w:lang w:val="fr-CA"/>
        </w:rPr>
        <w:t>1</w:t>
      </w:r>
      <w:r w:rsidRPr="00657D1D">
        <w:rPr>
          <w:rFonts w:cs="Times New Roman"/>
          <w:sz w:val="20"/>
          <w:szCs w:val="20"/>
          <w:lang w:val="fr-CA"/>
        </w:rPr>
        <w:t>4, 201</w:t>
      </w:r>
      <w:r w:rsidR="00472B2D">
        <w:rPr>
          <w:rFonts w:cs="Times New Roman"/>
          <w:sz w:val="20"/>
          <w:szCs w:val="20"/>
          <w:lang w:val="fr-CA"/>
        </w:rPr>
        <w:t>4</w:t>
      </w:r>
      <w:r w:rsidRPr="00657D1D">
        <w:rPr>
          <w:rFonts w:cs="Times New Roman"/>
          <w:sz w:val="20"/>
          <w:szCs w:val="20"/>
          <w:lang w:val="fr-CA"/>
        </w:rPr>
        <w:t xml:space="preserve"> / Judgment:  J</w:t>
      </w:r>
      <w:r w:rsidR="00657D1D">
        <w:rPr>
          <w:rFonts w:cs="Times New Roman"/>
          <w:sz w:val="20"/>
          <w:szCs w:val="20"/>
          <w:lang w:val="fr-CA"/>
        </w:rPr>
        <w:t>une</w:t>
      </w:r>
      <w:r w:rsidRPr="00657D1D">
        <w:rPr>
          <w:rFonts w:cs="Times New Roman"/>
          <w:sz w:val="20"/>
          <w:szCs w:val="20"/>
          <w:lang w:val="fr-CA"/>
        </w:rPr>
        <w:t xml:space="preserve"> 1</w:t>
      </w:r>
      <w:r w:rsidR="00657D1D">
        <w:rPr>
          <w:rFonts w:cs="Times New Roman"/>
          <w:sz w:val="20"/>
          <w:szCs w:val="20"/>
          <w:lang w:val="fr-CA"/>
        </w:rPr>
        <w:t>2</w:t>
      </w:r>
      <w:r w:rsidRPr="00657D1D">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472B2D">
        <w:rPr>
          <w:rFonts w:cs="Times New Roman"/>
          <w:sz w:val="20"/>
          <w:szCs w:val="20"/>
          <w:lang w:val="fr-CA"/>
        </w:rPr>
        <w:t>1</w:t>
      </w:r>
      <w:r>
        <w:rPr>
          <w:rFonts w:cs="Times New Roman"/>
          <w:sz w:val="20"/>
          <w:szCs w:val="20"/>
          <w:lang w:val="fr-CA"/>
        </w:rPr>
        <w:t>4</w:t>
      </w:r>
      <w:r w:rsidRPr="003B3977">
        <w:rPr>
          <w:rFonts w:cs="Times New Roman"/>
          <w:sz w:val="20"/>
          <w:szCs w:val="20"/>
          <w:lang w:val="fr-CA"/>
        </w:rPr>
        <w:t xml:space="preserve"> </w:t>
      </w:r>
      <w:r w:rsidR="00472B2D">
        <w:rPr>
          <w:rFonts w:cs="Times New Roman"/>
          <w:sz w:val="20"/>
          <w:szCs w:val="20"/>
          <w:lang w:val="fr-CA"/>
        </w:rPr>
        <w:t>m</w:t>
      </w:r>
      <w:r>
        <w:rPr>
          <w:rFonts w:cs="Times New Roman"/>
          <w:sz w:val="20"/>
          <w:szCs w:val="20"/>
          <w:lang w:val="fr-CA"/>
        </w:rPr>
        <w:t>ai</w:t>
      </w:r>
      <w:r w:rsidRPr="003B3977">
        <w:rPr>
          <w:rFonts w:cs="Times New Roman"/>
          <w:sz w:val="20"/>
          <w:szCs w:val="20"/>
          <w:lang w:val="fr-CA"/>
        </w:rPr>
        <w:t xml:space="preserve"> 201</w:t>
      </w:r>
      <w:r w:rsidR="00472B2D">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657D1D">
        <w:rPr>
          <w:rFonts w:cs="Times New Roman"/>
          <w:sz w:val="20"/>
          <w:szCs w:val="20"/>
          <w:lang w:val="fr-CA"/>
        </w:rPr>
        <w:t>2</w:t>
      </w:r>
      <w:r>
        <w:rPr>
          <w:rFonts w:cs="Times New Roman"/>
          <w:sz w:val="20"/>
          <w:szCs w:val="20"/>
          <w:lang w:val="fr-CA"/>
        </w:rPr>
        <w:t xml:space="preserve"> j</w:t>
      </w:r>
      <w:r w:rsidR="00657D1D">
        <w:rPr>
          <w:rFonts w:cs="Times New Roman"/>
          <w:sz w:val="20"/>
          <w:szCs w:val="20"/>
          <w:lang w:val="fr-CA"/>
        </w:rPr>
        <w:t>ui</w:t>
      </w:r>
      <w:r>
        <w:rPr>
          <w:rFonts w:cs="Times New Roman"/>
          <w:sz w:val="20"/>
          <w:szCs w:val="20"/>
          <w:lang w:val="fr-CA"/>
        </w:rPr>
        <w:t>n</w:t>
      </w:r>
      <w:r w:rsidRPr="003B3977">
        <w:rPr>
          <w:rFonts w:cs="Times New Roman"/>
          <w:sz w:val="20"/>
          <w:szCs w:val="20"/>
          <w:lang w:val="fr-CA"/>
        </w:rPr>
        <w:t xml:space="preserve"> 201</w:t>
      </w:r>
      <w:r>
        <w:rPr>
          <w:rFonts w:cs="Times New Roman"/>
          <w:sz w:val="20"/>
          <w:szCs w:val="20"/>
          <w:lang w:val="fr-CA"/>
        </w:rPr>
        <w:t>4</w:t>
      </w:r>
    </w:p>
    <w:p w:rsidR="005C6840" w:rsidRPr="003B3977" w:rsidRDefault="006E182C" w:rsidP="005C6840">
      <w:pPr>
        <w:rPr>
          <w:rFonts w:cs="Times New Roman"/>
          <w:sz w:val="20"/>
          <w:szCs w:val="20"/>
          <w:lang w:val="fr-CA"/>
        </w:rPr>
      </w:pPr>
      <w:r>
        <w:rPr>
          <w:rFonts w:cs="Times New Roman"/>
          <w:i/>
          <w:sz w:val="20"/>
          <w:szCs w:val="20"/>
        </w:rPr>
        <w:pict>
          <v:rect id="_x0000_i1080"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472B2D" w:rsidRPr="00EB11B4" w:rsidRDefault="00472B2D" w:rsidP="00472B2D">
      <w:pPr>
        <w:jc w:val="both"/>
        <w:rPr>
          <w:sz w:val="20"/>
          <w:szCs w:val="20"/>
        </w:rPr>
      </w:pPr>
      <w:r w:rsidRPr="00EB11B4">
        <w:rPr>
          <w:sz w:val="20"/>
          <w:szCs w:val="20"/>
        </w:rPr>
        <w:t>Present:  McLachlin C.J. and LeBel, Abella, Rothstein, Cromwell, Moldaver and Wagner JJ.</w:t>
      </w:r>
    </w:p>
    <w:p w:rsidR="00472B2D" w:rsidRDefault="00472B2D" w:rsidP="00472B2D">
      <w:pPr>
        <w:pStyle w:val="SCCNormalDoubleSpacing"/>
        <w:spacing w:line="240" w:lineRule="auto"/>
        <w:rPr>
          <w:sz w:val="20"/>
        </w:rPr>
      </w:pPr>
    </w:p>
    <w:p w:rsidR="00472B2D" w:rsidRPr="00EB11B4" w:rsidRDefault="00472B2D" w:rsidP="00472B2D">
      <w:pPr>
        <w:pStyle w:val="SCCNormalDoubleSpacing"/>
        <w:spacing w:line="240" w:lineRule="auto"/>
        <w:rPr>
          <w:i/>
          <w:sz w:val="20"/>
        </w:rPr>
      </w:pPr>
      <w:r w:rsidRPr="00EB11B4">
        <w:rPr>
          <w:sz w:val="20"/>
        </w:rPr>
        <w:tab/>
      </w:r>
      <w:r w:rsidRPr="00EB11B4">
        <w:rPr>
          <w:i/>
          <w:sz w:val="20"/>
          <w:lang w:val="en-US"/>
        </w:rPr>
        <w:t>Culture and entertainment law — Status of the artist — Copyright — Collective bargaining — Duty to bargain in good faith — Whether artists’ associations are precluded from bargaining minimum fees for use of existing artistic works in agreements negotiated under Status of the Artist Act — Whether allowing agreements imposing minimum fees for provision of copyrights for existing works conflicts with Copyright Act — Whether Tribunal’s finding that National Gallery of Canada failed to bargain in good faith was reasonable — Standard of review — Status of the Artist Act, S.C. 1992, c. 33 — Copyright Act, R.S.C. 1985, c. C</w:t>
      </w:r>
      <w:r w:rsidRPr="00EB11B4">
        <w:rPr>
          <w:i/>
          <w:sz w:val="20"/>
          <w:lang w:val="en-US"/>
        </w:rPr>
        <w:noBreakHyphen/>
        <w:t>42.</w:t>
      </w:r>
      <w:r w:rsidRPr="00EB11B4">
        <w:rPr>
          <w:i/>
          <w:sz w:val="20"/>
        </w:rPr>
        <w:t xml:space="preserve"> </w:t>
      </w:r>
    </w:p>
    <w:p w:rsidR="00472B2D" w:rsidRDefault="00472B2D" w:rsidP="00472B2D">
      <w:pPr>
        <w:pStyle w:val="SCCNormalDoubleSpacing"/>
        <w:spacing w:line="240" w:lineRule="auto"/>
        <w:rPr>
          <w:sz w:val="20"/>
        </w:rPr>
      </w:pPr>
    </w:p>
    <w:p w:rsidR="00472B2D" w:rsidRPr="00EB11B4" w:rsidRDefault="00472B2D" w:rsidP="00472B2D">
      <w:pPr>
        <w:pStyle w:val="SCCNormalDoubleSpacing"/>
        <w:spacing w:line="240" w:lineRule="auto"/>
        <w:rPr>
          <w:sz w:val="20"/>
          <w:lang w:val="en-US"/>
        </w:rPr>
      </w:pPr>
      <w:r w:rsidRPr="00EB11B4">
        <w:rPr>
          <w:sz w:val="20"/>
        </w:rPr>
        <w:tab/>
      </w:r>
      <w:r w:rsidRPr="00EB11B4">
        <w:rPr>
          <w:sz w:val="20"/>
          <w:lang w:val="en-US"/>
        </w:rPr>
        <w:t xml:space="preserve">The </w:t>
      </w:r>
      <w:r w:rsidRPr="00EB11B4">
        <w:rPr>
          <w:i/>
          <w:sz w:val="20"/>
          <w:lang w:val="en-US"/>
        </w:rPr>
        <w:t>Status of the Artist Act</w:t>
      </w:r>
      <w:r w:rsidRPr="00EB11B4">
        <w:rPr>
          <w:sz w:val="20"/>
          <w:lang w:val="en-US"/>
        </w:rPr>
        <w:t xml:space="preserve"> (“</w:t>
      </w:r>
      <w:r w:rsidRPr="00EB11B4">
        <w:rPr>
          <w:i/>
          <w:sz w:val="20"/>
          <w:lang w:val="en-US"/>
        </w:rPr>
        <w:t>SAA</w:t>
      </w:r>
      <w:r w:rsidRPr="00EB11B4">
        <w:rPr>
          <w:sz w:val="20"/>
          <w:lang w:val="en-US"/>
        </w:rPr>
        <w:t xml:space="preserve">”) governs professional relations between artists and certain federal government institutions that engage artists to provide an artistic production. The </w:t>
      </w:r>
      <w:r w:rsidRPr="00EB11B4">
        <w:rPr>
          <w:i/>
          <w:sz w:val="20"/>
          <w:lang w:val="en-US"/>
        </w:rPr>
        <w:t>SAA</w:t>
      </w:r>
      <w:r w:rsidRPr="00EB11B4">
        <w:rPr>
          <w:sz w:val="20"/>
          <w:lang w:val="en-US"/>
        </w:rPr>
        <w:t xml:space="preserve"> provides for the certification of associations charged with representing the interests of an identified sector of artists and negotiating with institutions in order to conclude scale agreements that set out the “minimum terms and conditions for the provision of artists’ services and other related matters”. In 2003, CARFAC and RAAV, certified artists’ associations for Canadian visual artists, jointly commenced negotiating a scale agreement with the National Gallery of Canada (“NGC”). Those negotiations went on for four years, until the NGC obtained a legal opinion upon which it relied to refuse to include in the scale agreement minimum fees for the licensing or assignment of the copyright in existing artistic works. Negotiations broke down due to the NGC’s position on this issue. CARFAC and RAAV filed a complaint with the Canadian Artists and Producers Professional Relations Tribunal that the NGC had failed to bargain in good faith.</w:t>
      </w:r>
    </w:p>
    <w:p w:rsidR="00472B2D" w:rsidRDefault="00472B2D" w:rsidP="00472B2D">
      <w:pPr>
        <w:pStyle w:val="SCCNormalDoubleSpacing"/>
        <w:spacing w:line="240" w:lineRule="auto"/>
        <w:rPr>
          <w:sz w:val="20"/>
          <w:lang w:val="en-US"/>
        </w:rPr>
      </w:pPr>
    </w:p>
    <w:p w:rsidR="00472B2D" w:rsidRPr="00EB11B4" w:rsidRDefault="00472B2D" w:rsidP="00472B2D">
      <w:pPr>
        <w:pStyle w:val="SCCNormalDoubleSpacing"/>
        <w:spacing w:line="240" w:lineRule="auto"/>
        <w:rPr>
          <w:sz w:val="20"/>
          <w:lang w:val="en-US"/>
        </w:rPr>
      </w:pPr>
      <w:r w:rsidRPr="00EB11B4">
        <w:rPr>
          <w:sz w:val="20"/>
          <w:lang w:val="en-US"/>
        </w:rPr>
        <w:tab/>
        <w:t xml:space="preserve">The Tribunal concluded that the licensing or assignment of the copyright in existing works can be subject to binding minimum fees set forth in scale agreements negotiated pursuant to the </w:t>
      </w:r>
      <w:r w:rsidRPr="00EB11B4">
        <w:rPr>
          <w:i/>
          <w:sz w:val="20"/>
          <w:lang w:val="en-US"/>
        </w:rPr>
        <w:t>SAA</w:t>
      </w:r>
      <w:r w:rsidRPr="00EB11B4">
        <w:rPr>
          <w:sz w:val="20"/>
          <w:lang w:val="en-US"/>
        </w:rPr>
        <w:t xml:space="preserve">, provided that those agreements do not bind collective societies established under the </w:t>
      </w:r>
      <w:r w:rsidRPr="00EB11B4">
        <w:rPr>
          <w:i/>
          <w:sz w:val="20"/>
          <w:lang w:val="en-US"/>
        </w:rPr>
        <w:t>Copyright Act</w:t>
      </w:r>
      <w:r w:rsidRPr="00EB11B4">
        <w:rPr>
          <w:sz w:val="20"/>
          <w:lang w:val="en-US"/>
        </w:rPr>
        <w:t xml:space="preserve">. It also held that the NGC had failed to bargain in good faith by adopting an uncompromising position based solely on one legal opinion, a position that it should have known would not be accepted by CARFAC/RAAV. The majority in the Federal Court of Appeal allowed the NGC’s application for judicial review, holding that allowing scale agreements to impose minimum fees for existing works would conflict with the </w:t>
      </w:r>
      <w:r w:rsidRPr="00EB11B4">
        <w:rPr>
          <w:i/>
          <w:sz w:val="20"/>
          <w:lang w:val="en-US"/>
        </w:rPr>
        <w:t>Copyright Act</w:t>
      </w:r>
      <w:r w:rsidRPr="00EB11B4">
        <w:rPr>
          <w:sz w:val="20"/>
          <w:lang w:val="en-US"/>
        </w:rPr>
        <w:t>. In light of this finding, the appellate court concluded that the NGC had not failed to bargain in good faith.</w:t>
      </w:r>
    </w:p>
    <w:p w:rsidR="00472B2D" w:rsidRDefault="00472B2D" w:rsidP="00472B2D">
      <w:pPr>
        <w:pStyle w:val="SCCNormalDoubleSpacing"/>
        <w:spacing w:line="240" w:lineRule="auto"/>
        <w:rPr>
          <w:sz w:val="20"/>
        </w:rPr>
      </w:pPr>
    </w:p>
    <w:p w:rsidR="00472B2D" w:rsidRPr="00EB11B4" w:rsidRDefault="00472B2D" w:rsidP="00472B2D">
      <w:pPr>
        <w:pStyle w:val="SCCNormalDoubleSpacing"/>
        <w:spacing w:line="240" w:lineRule="auto"/>
        <w:rPr>
          <w:sz w:val="20"/>
        </w:rPr>
      </w:pPr>
      <w:r w:rsidRPr="00EB11B4">
        <w:rPr>
          <w:sz w:val="20"/>
        </w:rPr>
        <w:tab/>
      </w:r>
      <w:r w:rsidRPr="00EB11B4">
        <w:rPr>
          <w:i/>
          <w:sz w:val="20"/>
        </w:rPr>
        <w:t>Held:</w:t>
      </w:r>
      <w:r w:rsidRPr="00EB11B4">
        <w:rPr>
          <w:sz w:val="20"/>
        </w:rPr>
        <w:t xml:space="preserve">  The appeal should be allowed.</w:t>
      </w:r>
    </w:p>
    <w:p w:rsidR="00472B2D" w:rsidRDefault="00472B2D" w:rsidP="00472B2D">
      <w:pPr>
        <w:pStyle w:val="SCCNormalDoubleSpacing"/>
        <w:spacing w:line="240" w:lineRule="auto"/>
        <w:rPr>
          <w:sz w:val="20"/>
        </w:rPr>
      </w:pPr>
    </w:p>
    <w:p w:rsidR="00472B2D" w:rsidRPr="00EB11B4" w:rsidRDefault="00472B2D" w:rsidP="00472B2D">
      <w:pPr>
        <w:pStyle w:val="SCCNormalDoubleSpacing"/>
        <w:spacing w:line="240" w:lineRule="auto"/>
        <w:rPr>
          <w:sz w:val="20"/>
          <w:lang w:val="en-US"/>
        </w:rPr>
      </w:pPr>
      <w:r w:rsidRPr="00EB11B4">
        <w:rPr>
          <w:sz w:val="20"/>
        </w:rPr>
        <w:tab/>
      </w:r>
      <w:r w:rsidRPr="00EB11B4">
        <w:rPr>
          <w:sz w:val="20"/>
          <w:lang w:val="en-US"/>
        </w:rPr>
        <w:t xml:space="preserve">The Tribunal’s conclusion was reasonable. Its interpretation of the </w:t>
      </w:r>
      <w:r w:rsidRPr="00EB11B4">
        <w:rPr>
          <w:i/>
          <w:sz w:val="20"/>
          <w:lang w:val="en-US"/>
        </w:rPr>
        <w:t xml:space="preserve">SAA </w:t>
      </w:r>
      <w:r w:rsidRPr="00EB11B4">
        <w:rPr>
          <w:sz w:val="20"/>
          <w:lang w:val="en-US"/>
        </w:rPr>
        <w:t xml:space="preserve">was not contrary to the plain meaning of that Act. There was no reason for the Federal Court of Appeal to overturn the Tribunal’s conclusion that minimum fees for the provision of artists’ copyrights for existing works are eligible for inclusion in scale agreements. Moreover, to conclude that such minimum fees are excluded from scale agreements would result in the </w:t>
      </w:r>
      <w:r w:rsidRPr="00EB11B4">
        <w:rPr>
          <w:i/>
          <w:sz w:val="20"/>
          <w:lang w:val="en-US"/>
        </w:rPr>
        <w:t>SAA</w:t>
      </w:r>
      <w:r w:rsidRPr="00EB11B4">
        <w:rPr>
          <w:sz w:val="20"/>
          <w:lang w:val="en-US"/>
        </w:rPr>
        <w:t xml:space="preserve"> having a limited impact on the achievement of Parliament’s express recognition that artists should be compensated for the use of their works, including the public lending of those works. </w:t>
      </w:r>
    </w:p>
    <w:p w:rsidR="00472B2D" w:rsidRDefault="00472B2D" w:rsidP="00472B2D">
      <w:pPr>
        <w:pStyle w:val="SCCNormalDoubleSpacing"/>
        <w:spacing w:line="240" w:lineRule="auto"/>
        <w:rPr>
          <w:sz w:val="20"/>
        </w:rPr>
      </w:pPr>
    </w:p>
    <w:p w:rsidR="00472B2D" w:rsidRPr="00EB11B4" w:rsidRDefault="00472B2D" w:rsidP="00472B2D">
      <w:pPr>
        <w:pStyle w:val="SCCNormalDoubleSpacing"/>
        <w:spacing w:line="240" w:lineRule="auto"/>
        <w:rPr>
          <w:sz w:val="20"/>
          <w:lang w:val="en-US"/>
        </w:rPr>
      </w:pPr>
      <w:r w:rsidRPr="00EB11B4">
        <w:rPr>
          <w:sz w:val="20"/>
        </w:rPr>
        <w:tab/>
      </w:r>
      <w:r w:rsidRPr="00EB11B4">
        <w:rPr>
          <w:sz w:val="20"/>
          <w:lang w:val="en-US"/>
        </w:rPr>
        <w:t xml:space="preserve">The collective bargaining conducted by artists’ associations in respect of scale agreements covering the licensing or assignment of copyrights to existing artistic works does not contradict any provision of the </w:t>
      </w:r>
      <w:r w:rsidRPr="00EB11B4">
        <w:rPr>
          <w:i/>
          <w:sz w:val="20"/>
          <w:lang w:val="en-US"/>
        </w:rPr>
        <w:t>Copyright Act</w:t>
      </w:r>
      <w:r w:rsidRPr="00EB11B4">
        <w:rPr>
          <w:sz w:val="20"/>
          <w:lang w:val="en-US"/>
        </w:rPr>
        <w:t xml:space="preserve">. Establishing a minimum fee for the use of existing works does not affect any of the rights conferred on copyright holders under s. 3 of the </w:t>
      </w:r>
      <w:r w:rsidRPr="00EB11B4">
        <w:rPr>
          <w:i/>
          <w:sz w:val="20"/>
          <w:lang w:val="en-US"/>
        </w:rPr>
        <w:t>Copyright Act</w:t>
      </w:r>
      <w:r w:rsidRPr="00EB11B4">
        <w:rPr>
          <w:sz w:val="20"/>
          <w:lang w:val="en-US"/>
        </w:rPr>
        <w:t xml:space="preserve"> nor do the scale agreements bind collective societies governed by that same Act.  </w:t>
      </w:r>
    </w:p>
    <w:p w:rsidR="00472B2D" w:rsidRDefault="00472B2D" w:rsidP="00472B2D">
      <w:pPr>
        <w:pStyle w:val="SCCNormalDoubleSpacing"/>
        <w:spacing w:line="240" w:lineRule="auto"/>
        <w:rPr>
          <w:sz w:val="20"/>
          <w:lang w:val="en-US"/>
        </w:rPr>
      </w:pPr>
    </w:p>
    <w:p w:rsidR="00472B2D" w:rsidRDefault="00472B2D" w:rsidP="00472B2D">
      <w:pPr>
        <w:pStyle w:val="SCCNormalDoubleSpacing"/>
        <w:spacing w:line="240" w:lineRule="auto"/>
        <w:rPr>
          <w:sz w:val="20"/>
        </w:rPr>
      </w:pPr>
      <w:r w:rsidRPr="00EB11B4">
        <w:rPr>
          <w:sz w:val="20"/>
          <w:lang w:val="en-US"/>
        </w:rPr>
        <w:tab/>
      </w:r>
      <w:r w:rsidRPr="00EB11B4">
        <w:rPr>
          <w:sz w:val="20"/>
        </w:rPr>
        <w:t xml:space="preserve">The Tribunal extensively canvassed the law regarding good faith bargaining and closely examined the evidence put forth by the parties on the issue. It concluded that the NGC had failed to bargain in good faith. On a </w:t>
      </w:r>
      <w:r w:rsidRPr="00EB11B4">
        <w:rPr>
          <w:sz w:val="20"/>
        </w:rPr>
        <w:lastRenderedPageBreak/>
        <w:t>reasonableness review, it is not for this Court to reweigh the evidence considered by the Tribunal. In view of the findings of fact of the Tribunal, it cannot be said that its decision was unreasonable.</w:t>
      </w:r>
    </w:p>
    <w:p w:rsidR="00472B2D" w:rsidRDefault="00472B2D" w:rsidP="00472B2D">
      <w:pPr>
        <w:pStyle w:val="SCCNormalDoubleSpacing"/>
        <w:spacing w:line="240" w:lineRule="auto"/>
        <w:rPr>
          <w:sz w:val="20"/>
        </w:rPr>
      </w:pPr>
    </w:p>
    <w:p w:rsidR="00472B2D" w:rsidRPr="00EB11B4" w:rsidRDefault="00472B2D" w:rsidP="00472B2D">
      <w:pPr>
        <w:pStyle w:val="SCCNormalDoubleSpacing"/>
        <w:spacing w:line="240" w:lineRule="auto"/>
        <w:rPr>
          <w:sz w:val="20"/>
        </w:rPr>
      </w:pPr>
      <w:r w:rsidRPr="00EB11B4">
        <w:rPr>
          <w:sz w:val="20"/>
        </w:rPr>
        <w:tab/>
        <w:t>APPEAL from a judgment of the Federal Court of Appeal (Noël, Pelletier and Trudel JJ.A.), 2013 FCA 64, 443 N.R. 121, 54 Admin. L.R. (5th) 1, 2013 CarswellNat 507, [2013] F.C.J. No. 261 (QL), setting aside a decision of the Canadian Artists and Producers Professional Relations Tribunal, 2012 CAPPRT 053 (http://decisia.lexum.com/cirb</w:t>
      </w:r>
      <w:r w:rsidRPr="00EB11B4">
        <w:rPr>
          <w:sz w:val="20"/>
        </w:rPr>
        <w:noBreakHyphen/>
        <w:t>ccri/saa</w:t>
      </w:r>
      <w:r w:rsidRPr="00EB11B4">
        <w:rPr>
          <w:sz w:val="20"/>
        </w:rPr>
        <w:noBreakHyphen/>
        <w:t>lsa/en/item/8107/index.do), 2012 CarswellNat 4332, [2012] C.A.P.P.R.T.D. No. 1 (QL). Appeal allowed.</w:t>
      </w:r>
    </w:p>
    <w:p w:rsidR="00472B2D" w:rsidRDefault="00472B2D" w:rsidP="00472B2D">
      <w:pPr>
        <w:pStyle w:val="SCCNormalDoubleSpacing"/>
        <w:spacing w:line="240" w:lineRule="auto"/>
        <w:rPr>
          <w:i/>
          <w:sz w:val="20"/>
        </w:rPr>
      </w:pPr>
    </w:p>
    <w:p w:rsidR="00472B2D" w:rsidRPr="00EB11B4" w:rsidRDefault="00472B2D" w:rsidP="00472B2D">
      <w:pPr>
        <w:pStyle w:val="SCCNormalDoubleSpacing"/>
        <w:spacing w:line="240" w:lineRule="auto"/>
        <w:rPr>
          <w:sz w:val="20"/>
        </w:rPr>
      </w:pPr>
      <w:r w:rsidRPr="00EB11B4">
        <w:rPr>
          <w:i/>
          <w:sz w:val="20"/>
        </w:rPr>
        <w:tab/>
        <w:t>David Yazbeck</w:t>
      </w:r>
      <w:r w:rsidRPr="00EB11B4">
        <w:rPr>
          <w:sz w:val="20"/>
        </w:rPr>
        <w:t xml:space="preserve">, </w:t>
      </w:r>
      <w:r w:rsidRPr="00EB11B4">
        <w:rPr>
          <w:i/>
          <w:sz w:val="20"/>
        </w:rPr>
        <w:t>Michael Fisher</w:t>
      </w:r>
      <w:r w:rsidRPr="00EB11B4">
        <w:rPr>
          <w:sz w:val="20"/>
        </w:rPr>
        <w:t xml:space="preserve"> and </w:t>
      </w:r>
      <w:r w:rsidRPr="00EB11B4">
        <w:rPr>
          <w:i/>
          <w:sz w:val="20"/>
        </w:rPr>
        <w:t>Wassim Garzouzi</w:t>
      </w:r>
      <w:r w:rsidRPr="00EB11B4">
        <w:rPr>
          <w:sz w:val="20"/>
        </w:rPr>
        <w:t>, for the appellants.</w:t>
      </w:r>
    </w:p>
    <w:p w:rsidR="00472B2D" w:rsidRDefault="00472B2D" w:rsidP="00472B2D">
      <w:pPr>
        <w:pStyle w:val="SCCNormalDoubleSpacing"/>
        <w:spacing w:line="240" w:lineRule="auto"/>
        <w:rPr>
          <w:i/>
          <w:sz w:val="20"/>
        </w:rPr>
      </w:pPr>
    </w:p>
    <w:p w:rsidR="00472B2D" w:rsidRPr="00EB11B4" w:rsidRDefault="00472B2D" w:rsidP="00472B2D">
      <w:pPr>
        <w:pStyle w:val="SCCNormalDoubleSpacing"/>
        <w:spacing w:line="240" w:lineRule="auto"/>
        <w:rPr>
          <w:sz w:val="20"/>
        </w:rPr>
      </w:pPr>
      <w:r w:rsidRPr="00EB11B4">
        <w:rPr>
          <w:i/>
          <w:sz w:val="20"/>
        </w:rPr>
        <w:tab/>
        <w:t>Guy P. Dancosse</w:t>
      </w:r>
      <w:r w:rsidRPr="00EB11B4">
        <w:rPr>
          <w:sz w:val="20"/>
        </w:rPr>
        <w:t xml:space="preserve">, </w:t>
      </w:r>
      <w:r w:rsidRPr="00EB11B4">
        <w:rPr>
          <w:i/>
          <w:sz w:val="20"/>
        </w:rPr>
        <w:t>Q.C.</w:t>
      </w:r>
      <w:r w:rsidRPr="00EB11B4">
        <w:rPr>
          <w:sz w:val="20"/>
        </w:rPr>
        <w:t xml:space="preserve">, </w:t>
      </w:r>
      <w:r w:rsidRPr="00EB11B4">
        <w:rPr>
          <w:i/>
          <w:sz w:val="20"/>
        </w:rPr>
        <w:t>Sophie Roy</w:t>
      </w:r>
      <w:r w:rsidRPr="00EB11B4">
        <w:rPr>
          <w:i/>
          <w:sz w:val="20"/>
        </w:rPr>
        <w:noBreakHyphen/>
        <w:t>Lafleur</w:t>
      </w:r>
      <w:r w:rsidRPr="00EB11B4">
        <w:rPr>
          <w:sz w:val="20"/>
        </w:rPr>
        <w:t xml:space="preserve"> and </w:t>
      </w:r>
      <w:r w:rsidRPr="00EB11B4">
        <w:rPr>
          <w:i/>
          <w:sz w:val="20"/>
        </w:rPr>
        <w:t>Guy Régimbald</w:t>
      </w:r>
      <w:r w:rsidRPr="00EB11B4">
        <w:rPr>
          <w:sz w:val="20"/>
        </w:rPr>
        <w:t>, for the respondent.</w:t>
      </w:r>
    </w:p>
    <w:p w:rsidR="00472B2D" w:rsidRDefault="00472B2D" w:rsidP="00472B2D">
      <w:pPr>
        <w:pStyle w:val="SCCNormalDoubleSpacing"/>
        <w:spacing w:line="240" w:lineRule="auto"/>
        <w:rPr>
          <w:i/>
          <w:sz w:val="20"/>
        </w:rPr>
      </w:pPr>
    </w:p>
    <w:p w:rsidR="00472B2D" w:rsidRPr="00EB11B4" w:rsidRDefault="00472B2D" w:rsidP="00472B2D">
      <w:pPr>
        <w:pStyle w:val="SCCNormalDoubleSpacing"/>
        <w:spacing w:line="240" w:lineRule="auto"/>
        <w:rPr>
          <w:sz w:val="20"/>
        </w:rPr>
      </w:pPr>
      <w:r w:rsidRPr="00EB11B4">
        <w:rPr>
          <w:i/>
          <w:sz w:val="20"/>
        </w:rPr>
        <w:tab/>
        <w:t xml:space="preserve">Joshua S. Phillips </w:t>
      </w:r>
      <w:r w:rsidRPr="00EB11B4">
        <w:rPr>
          <w:sz w:val="20"/>
        </w:rPr>
        <w:t>and</w:t>
      </w:r>
      <w:r w:rsidRPr="00EB11B4">
        <w:rPr>
          <w:i/>
          <w:sz w:val="20"/>
        </w:rPr>
        <w:t xml:space="preserve"> Karen Ensslen</w:t>
      </w:r>
      <w:r w:rsidRPr="00EB11B4">
        <w:rPr>
          <w:sz w:val="20"/>
        </w:rPr>
        <w:t>, for the interveners the Writers Guild of Canada and the Canadian Screenwriters Collection Society.</w:t>
      </w:r>
    </w:p>
    <w:p w:rsidR="00472B2D" w:rsidRDefault="00472B2D" w:rsidP="00472B2D">
      <w:pPr>
        <w:pStyle w:val="SCCNormalDoubleSpacing"/>
        <w:spacing w:line="240" w:lineRule="auto"/>
        <w:rPr>
          <w:i/>
          <w:sz w:val="20"/>
        </w:rPr>
      </w:pPr>
    </w:p>
    <w:p w:rsidR="00472B2D" w:rsidRPr="00EB11B4" w:rsidRDefault="00472B2D" w:rsidP="00472B2D">
      <w:pPr>
        <w:pStyle w:val="SCCNormalDoubleSpacing"/>
        <w:spacing w:line="240" w:lineRule="auto"/>
        <w:rPr>
          <w:sz w:val="20"/>
          <w:lang w:val="fr-FR"/>
        </w:rPr>
      </w:pPr>
      <w:r w:rsidRPr="00EB11B4">
        <w:rPr>
          <w:i/>
          <w:sz w:val="20"/>
        </w:rPr>
        <w:tab/>
      </w:r>
      <w:r w:rsidRPr="00EB11B4">
        <w:rPr>
          <w:i/>
          <w:sz w:val="20"/>
          <w:lang w:val="fr-FR"/>
        </w:rPr>
        <w:t>Colette Matteau</w:t>
      </w:r>
      <w:r w:rsidRPr="00EB11B4">
        <w:rPr>
          <w:sz w:val="20"/>
          <w:lang w:val="fr-FR"/>
        </w:rPr>
        <w:t>, for the interveners Société du droit de reproduction des auteurs, compositeurs et éditeurs du Canada and SODRAC 2003 Inc.</w:t>
      </w:r>
    </w:p>
    <w:p w:rsidR="00472B2D" w:rsidRDefault="00472B2D" w:rsidP="00472B2D">
      <w:pPr>
        <w:pStyle w:val="SCCLawFirm"/>
        <w:spacing w:line="240" w:lineRule="auto"/>
        <w:rPr>
          <w:sz w:val="20"/>
          <w:lang w:val="fr-FR"/>
        </w:rPr>
      </w:pPr>
    </w:p>
    <w:p w:rsidR="00472B2D" w:rsidRPr="00EB11B4" w:rsidRDefault="00472B2D" w:rsidP="00472B2D">
      <w:pPr>
        <w:pStyle w:val="SCCLawFirm"/>
        <w:spacing w:line="240" w:lineRule="auto"/>
        <w:rPr>
          <w:sz w:val="20"/>
        </w:rPr>
      </w:pPr>
      <w:r w:rsidRPr="00EB11B4">
        <w:rPr>
          <w:sz w:val="20"/>
          <w:lang w:val="fr-FR"/>
        </w:rPr>
        <w:tab/>
      </w:r>
      <w:r w:rsidRPr="00EB11B4">
        <w:rPr>
          <w:sz w:val="20"/>
        </w:rPr>
        <w:t>Solicitors for the appellants:  Raven, Cameron, Ballantyne &amp; Yazbeck, Ottawa.</w:t>
      </w:r>
    </w:p>
    <w:p w:rsidR="00472B2D" w:rsidRDefault="00472B2D" w:rsidP="00472B2D">
      <w:pPr>
        <w:pStyle w:val="SCCLawFirm"/>
        <w:spacing w:line="240" w:lineRule="auto"/>
        <w:rPr>
          <w:sz w:val="20"/>
        </w:rPr>
      </w:pPr>
    </w:p>
    <w:p w:rsidR="00472B2D" w:rsidRPr="00EB11B4" w:rsidRDefault="00472B2D" w:rsidP="00472B2D">
      <w:pPr>
        <w:pStyle w:val="SCCLawFirm"/>
        <w:spacing w:line="240" w:lineRule="auto"/>
        <w:rPr>
          <w:sz w:val="20"/>
        </w:rPr>
      </w:pPr>
      <w:r w:rsidRPr="00EB11B4">
        <w:rPr>
          <w:sz w:val="20"/>
        </w:rPr>
        <w:tab/>
        <w:t>Solicitors for the respondent:  Lapointe Rosenstein Marchand Melançon, Montréal; Gowlings, Ottawa.</w:t>
      </w:r>
    </w:p>
    <w:p w:rsidR="00472B2D" w:rsidRDefault="00472B2D" w:rsidP="00472B2D">
      <w:pPr>
        <w:pStyle w:val="SCCLawFirm"/>
        <w:spacing w:line="240" w:lineRule="auto"/>
        <w:rPr>
          <w:sz w:val="20"/>
        </w:rPr>
      </w:pPr>
    </w:p>
    <w:p w:rsidR="00472B2D" w:rsidRPr="00EB11B4" w:rsidRDefault="00472B2D" w:rsidP="00472B2D">
      <w:pPr>
        <w:pStyle w:val="SCCLawFirm"/>
        <w:spacing w:line="240" w:lineRule="auto"/>
        <w:rPr>
          <w:sz w:val="20"/>
        </w:rPr>
      </w:pPr>
      <w:r w:rsidRPr="00EB11B4">
        <w:rPr>
          <w:sz w:val="20"/>
        </w:rPr>
        <w:tab/>
        <w:t>Solicitors for the interveners the Writers Guild of Canada and the Canadian Screenwriters Collection Society:  Ursel Phillips Fellows Hopkinson, Toronto.</w:t>
      </w:r>
    </w:p>
    <w:p w:rsidR="00472B2D" w:rsidRDefault="00472B2D" w:rsidP="00472B2D">
      <w:pPr>
        <w:pStyle w:val="SCCLawFirm"/>
        <w:spacing w:line="240" w:lineRule="auto"/>
        <w:rPr>
          <w:sz w:val="20"/>
        </w:rPr>
      </w:pPr>
    </w:p>
    <w:p w:rsidR="00472B2D" w:rsidRDefault="00472B2D" w:rsidP="00472B2D">
      <w:pPr>
        <w:pStyle w:val="SCCLawFirm"/>
        <w:spacing w:line="240" w:lineRule="auto"/>
        <w:rPr>
          <w:sz w:val="20"/>
          <w:lang w:val="fr-FR"/>
        </w:rPr>
      </w:pPr>
      <w:r w:rsidRPr="00EB11B4">
        <w:rPr>
          <w:sz w:val="20"/>
        </w:rPr>
        <w:tab/>
      </w:r>
      <w:r w:rsidRPr="00EB11B4">
        <w:rPr>
          <w:sz w:val="20"/>
          <w:lang w:val="fr-FR"/>
        </w:rPr>
        <w:t>Solicitors for the interveners Société du droit de reproduction des auteurs, compositeurs et éditeurs du Canada and SODRAC 2003 Inc.:  Matteau Poirier avocats inc., Montréal.</w:t>
      </w:r>
    </w:p>
    <w:p w:rsidR="0052229C" w:rsidRPr="00472B2D" w:rsidRDefault="0052229C" w:rsidP="0052229C">
      <w:pPr>
        <w:rPr>
          <w:rFonts w:cs="Times New Roman"/>
          <w:sz w:val="20"/>
          <w:szCs w:val="20"/>
          <w:lang w:val="fr-CA"/>
        </w:rPr>
      </w:pPr>
      <w:r w:rsidRPr="00472B2D">
        <w:rPr>
          <w:rFonts w:cs="Times New Roman"/>
          <w:sz w:val="20"/>
          <w:szCs w:val="20"/>
          <w:lang w:val="fr-CA"/>
        </w:rPr>
        <w:t>________________________</w:t>
      </w:r>
    </w:p>
    <w:p w:rsidR="0052229C" w:rsidRPr="00472B2D" w:rsidRDefault="0052229C" w:rsidP="0052229C">
      <w:pPr>
        <w:rPr>
          <w:rFonts w:cs="Times New Roman"/>
          <w:sz w:val="20"/>
          <w:szCs w:val="20"/>
          <w:lang w:val="fr-CA"/>
        </w:rPr>
      </w:pPr>
    </w:p>
    <w:p w:rsidR="00472B2D" w:rsidRPr="001F198C" w:rsidRDefault="00472B2D" w:rsidP="00472B2D">
      <w:pPr>
        <w:jc w:val="both"/>
        <w:rPr>
          <w:sz w:val="20"/>
          <w:szCs w:val="20"/>
          <w:lang w:val="fr-CA"/>
        </w:rPr>
      </w:pPr>
      <w:r w:rsidRPr="001F198C">
        <w:rPr>
          <w:sz w:val="20"/>
          <w:szCs w:val="20"/>
          <w:lang w:val="fr-CA"/>
        </w:rPr>
        <w:t>Présents : La juge en chef McLachlin et les juges LeBel, Abella, Rothstein, Cromwell, Moldaver et Wagner.</w:t>
      </w:r>
    </w:p>
    <w:p w:rsidR="00472B2D" w:rsidRDefault="00472B2D" w:rsidP="00472B2D">
      <w:pPr>
        <w:pStyle w:val="SCCNormalDoubleSpacing"/>
        <w:spacing w:line="240" w:lineRule="auto"/>
        <w:rPr>
          <w:sz w:val="20"/>
          <w:lang w:val="fr-CA"/>
        </w:rPr>
      </w:pPr>
    </w:p>
    <w:p w:rsidR="00472B2D" w:rsidRPr="001F198C" w:rsidRDefault="00472B2D" w:rsidP="00472B2D">
      <w:pPr>
        <w:pStyle w:val="SCCNormalDoubleSpacing"/>
        <w:spacing w:line="240" w:lineRule="auto"/>
        <w:rPr>
          <w:i/>
          <w:sz w:val="20"/>
          <w:lang w:val="fr-CA"/>
        </w:rPr>
      </w:pPr>
      <w:r w:rsidRPr="001F198C">
        <w:rPr>
          <w:sz w:val="20"/>
          <w:lang w:val="fr-CA"/>
        </w:rPr>
        <w:tab/>
      </w:r>
      <w:r w:rsidRPr="001F198C">
        <w:rPr>
          <w:i/>
          <w:sz w:val="20"/>
          <w:lang w:val="fr-CA"/>
        </w:rPr>
        <w:t>Droit de la culture et du divertissement — Statut de l’artiste — Droit d’auteur — Négociation collective — Obligation de négocier de bonne foi — Les associations d’artistes sont</w:t>
      </w:r>
      <w:r w:rsidRPr="001F198C">
        <w:rPr>
          <w:i/>
          <w:sz w:val="20"/>
          <w:lang w:val="fr-CA"/>
        </w:rPr>
        <w:noBreakHyphen/>
        <w:t>elles empêchées de négocier des tarifs minimums pour l’utilisation d’œuvres artistiques existantes dans des accords négociés en vertu de la Loi sur le statut de l’artiste? — Le fait de permettre l’inclusion, dans des accords-cadres, de tarifs minimums pour l’octroi des droits d’auteur sur des œuvres existantes entre</w:t>
      </w:r>
      <w:r w:rsidRPr="001F198C">
        <w:rPr>
          <w:i/>
          <w:sz w:val="20"/>
          <w:lang w:val="fr-CA"/>
        </w:rPr>
        <w:noBreakHyphen/>
        <w:t>t</w:t>
      </w:r>
      <w:r w:rsidRPr="001F198C">
        <w:rPr>
          <w:i/>
          <w:sz w:val="20"/>
          <w:lang w:val="fr-CA"/>
        </w:rPr>
        <w:noBreakHyphen/>
        <w:t>il en conflit avec la Loi sur le droit d’auteur? — La conclusion du Tribunal selon laquelle le Musée des beaux</w:t>
      </w:r>
      <w:r w:rsidRPr="001F198C">
        <w:rPr>
          <w:i/>
          <w:sz w:val="20"/>
          <w:lang w:val="fr-CA"/>
        </w:rPr>
        <w:noBreakHyphen/>
        <w:t>arts du Canada n’avait pas négocié de bonne foi était</w:t>
      </w:r>
      <w:r w:rsidRPr="001F198C">
        <w:rPr>
          <w:i/>
          <w:sz w:val="20"/>
          <w:lang w:val="fr-CA"/>
        </w:rPr>
        <w:noBreakHyphen/>
        <w:t>elle raisonnable? — Norme de contrôle — Loi sur le statut de l’artiste, L.C. 1992, ch. 33 — Loi sur le droit d’auteur, L.R.C. 1985, ch. C</w:t>
      </w:r>
      <w:r w:rsidRPr="001F198C">
        <w:rPr>
          <w:i/>
          <w:sz w:val="20"/>
          <w:lang w:val="fr-CA"/>
        </w:rPr>
        <w:noBreakHyphen/>
        <w:t>42.</w:t>
      </w:r>
    </w:p>
    <w:p w:rsidR="00472B2D" w:rsidRDefault="00472B2D" w:rsidP="00472B2D">
      <w:pPr>
        <w:pStyle w:val="SCCNormalDoubleSpacing"/>
        <w:spacing w:line="240" w:lineRule="auto"/>
        <w:rPr>
          <w:sz w:val="20"/>
          <w:lang w:val="fr-CA"/>
        </w:rPr>
      </w:pPr>
    </w:p>
    <w:p w:rsidR="00472B2D" w:rsidRPr="001F198C" w:rsidRDefault="00472B2D" w:rsidP="00472B2D">
      <w:pPr>
        <w:pStyle w:val="SCCNormalDoubleSpacing"/>
        <w:spacing w:line="240" w:lineRule="auto"/>
        <w:rPr>
          <w:sz w:val="20"/>
          <w:lang w:val="fr-CA"/>
        </w:rPr>
      </w:pPr>
      <w:r w:rsidRPr="001F198C">
        <w:rPr>
          <w:sz w:val="20"/>
          <w:lang w:val="fr-CA"/>
        </w:rPr>
        <w:tab/>
        <w:t xml:space="preserve">La </w:t>
      </w:r>
      <w:r w:rsidRPr="001F198C">
        <w:rPr>
          <w:i/>
          <w:sz w:val="20"/>
          <w:lang w:val="fr-CA"/>
        </w:rPr>
        <w:t xml:space="preserve">Loi sur le statut de l’artiste </w:t>
      </w:r>
      <w:r w:rsidRPr="001F198C">
        <w:rPr>
          <w:sz w:val="20"/>
          <w:lang w:val="fr-CA"/>
        </w:rPr>
        <w:t>(« </w:t>
      </w:r>
      <w:r w:rsidRPr="001F198C">
        <w:rPr>
          <w:i/>
          <w:sz w:val="20"/>
          <w:lang w:val="fr-CA"/>
        </w:rPr>
        <w:t>LSA</w:t>
      </w:r>
      <w:r w:rsidRPr="001F198C">
        <w:rPr>
          <w:sz w:val="20"/>
          <w:lang w:val="fr-CA"/>
        </w:rPr>
        <w:t xml:space="preserve"> ») régit les relations de travail entre les artistes et certaines institutions fédérales qui ont recours aux services d’artistes pour obtenir une prestation. La </w:t>
      </w:r>
      <w:r w:rsidRPr="001F198C">
        <w:rPr>
          <w:i/>
          <w:sz w:val="20"/>
          <w:lang w:val="fr-CA"/>
        </w:rPr>
        <w:t>LSA</w:t>
      </w:r>
      <w:r w:rsidRPr="001F198C">
        <w:rPr>
          <w:sz w:val="20"/>
          <w:lang w:val="fr-CA"/>
        </w:rPr>
        <w:t xml:space="preserve"> prévoit l’accréditation d’associations chargées de défendre les intérêts des artistes d’un secteur déterminé et de négocier, avec des institutions, des accords</w:t>
      </w:r>
      <w:r w:rsidRPr="001F198C">
        <w:rPr>
          <w:sz w:val="20"/>
          <w:lang w:val="fr-CA"/>
        </w:rPr>
        <w:noBreakHyphen/>
        <w:t>cadres qui énoncent les « dispositions relatives aux conditions minimales pour les prestations de services des artistes et à des questions connexes ». En 2003, le CARFAC et le RAAV, des associations d’artistes accréditées pour représenter les artistes canadiens en arts visuels, ont entrepris conjointement la négociation d’un accord</w:t>
      </w:r>
      <w:r w:rsidRPr="001F198C">
        <w:rPr>
          <w:sz w:val="20"/>
          <w:lang w:val="fr-CA"/>
        </w:rPr>
        <w:noBreakHyphen/>
        <w:t>cadre avec le Musée des beaux</w:t>
      </w:r>
      <w:r w:rsidRPr="001F198C">
        <w:rPr>
          <w:sz w:val="20"/>
          <w:lang w:val="fr-CA"/>
        </w:rPr>
        <w:noBreakHyphen/>
        <w:t>arts du Canada (« MBAC »). Ces négociations se sont poursuivies pendant quatre ans jusqu’à ce que le MBAC obtienne un avis juridique et se fonde sur celui</w:t>
      </w:r>
      <w:r w:rsidRPr="001F198C">
        <w:rPr>
          <w:sz w:val="20"/>
          <w:lang w:val="fr-CA"/>
        </w:rPr>
        <w:noBreakHyphen/>
        <w:t>ci pour refuser d’inclure dans l’accord</w:t>
      </w:r>
      <w:r w:rsidRPr="001F198C">
        <w:rPr>
          <w:sz w:val="20"/>
          <w:lang w:val="fr-CA"/>
        </w:rPr>
        <w:noBreakHyphen/>
        <w:t>cadre des tarifs minimums pour la concession de licences ou la cession des droits d’auteur sur des œuvres artistiques existantes. Les négociations ont avorté à cause de la position du MBAC à cet égard. Le CARFAC et le RAAV ont déposé au Tribunal canadien des relations professionnelles artistes</w:t>
      </w:r>
      <w:r w:rsidRPr="001F198C">
        <w:rPr>
          <w:sz w:val="20"/>
          <w:lang w:val="fr-CA"/>
        </w:rPr>
        <w:noBreakHyphen/>
        <w:t xml:space="preserve">producteurs une plainte portant que le MBAC n’avait pas négocié de bonne foi. </w:t>
      </w:r>
    </w:p>
    <w:p w:rsidR="00472B2D" w:rsidRDefault="00472B2D" w:rsidP="00472B2D">
      <w:pPr>
        <w:pStyle w:val="SCCNormalDoubleSpacing"/>
        <w:spacing w:line="240" w:lineRule="auto"/>
        <w:rPr>
          <w:sz w:val="20"/>
          <w:lang w:val="fr-CA"/>
        </w:rPr>
      </w:pPr>
    </w:p>
    <w:p w:rsidR="0099412A" w:rsidRDefault="0099412A">
      <w:pPr>
        <w:rPr>
          <w:rFonts w:eastAsia="Times New Roman" w:cs="Times New Roman"/>
          <w:sz w:val="20"/>
          <w:szCs w:val="20"/>
          <w:lang w:val="fr-CA" w:eastAsia="en-CA"/>
        </w:rPr>
      </w:pPr>
      <w:r>
        <w:rPr>
          <w:sz w:val="20"/>
          <w:lang w:val="fr-CA"/>
        </w:rPr>
        <w:br w:type="page"/>
      </w:r>
    </w:p>
    <w:p w:rsidR="00472B2D" w:rsidRPr="001F198C" w:rsidRDefault="00472B2D" w:rsidP="00472B2D">
      <w:pPr>
        <w:pStyle w:val="SCCNormalDoubleSpacing"/>
        <w:spacing w:line="240" w:lineRule="auto"/>
        <w:rPr>
          <w:sz w:val="20"/>
          <w:lang w:val="fr-CA"/>
        </w:rPr>
      </w:pPr>
      <w:r w:rsidRPr="001F198C">
        <w:rPr>
          <w:sz w:val="20"/>
          <w:lang w:val="fr-CA"/>
        </w:rPr>
        <w:lastRenderedPageBreak/>
        <w:tab/>
        <w:t>Le Tribunal a conclu que la concession de licences ou la cession des droits d’auteur sur des œuvres existantes pouvait être l’objet de tarifs minimums prévus dans des accords</w:t>
      </w:r>
      <w:r w:rsidRPr="001F198C">
        <w:rPr>
          <w:sz w:val="20"/>
          <w:lang w:val="fr-CA"/>
        </w:rPr>
        <w:noBreakHyphen/>
        <w:t xml:space="preserve">cadres négociés en vertu de la </w:t>
      </w:r>
      <w:r w:rsidRPr="001F198C">
        <w:rPr>
          <w:i/>
          <w:sz w:val="20"/>
          <w:lang w:val="fr-CA"/>
        </w:rPr>
        <w:t>LSA</w:t>
      </w:r>
      <w:r w:rsidRPr="001F198C">
        <w:rPr>
          <w:sz w:val="20"/>
          <w:lang w:val="fr-CA"/>
        </w:rPr>
        <w:t xml:space="preserve">, pourvu que ces accords ne lient pas les sociétés de gestion constituées sous le régime de la </w:t>
      </w:r>
      <w:r w:rsidRPr="001F198C">
        <w:rPr>
          <w:i/>
          <w:sz w:val="20"/>
          <w:lang w:val="fr-CA"/>
        </w:rPr>
        <w:t>Loi sur le droit d’auteur</w:t>
      </w:r>
      <w:r w:rsidRPr="001F198C">
        <w:rPr>
          <w:sz w:val="20"/>
          <w:lang w:val="fr-CA"/>
        </w:rPr>
        <w:t>. Toujours selon le Tribunal, le MBAC a omis de négocier de bonne foi en adoptant une position inflexible fondée uniquement sur un seul avis juridique, et il aurait dû savoir que le CARFAC/RAAV la rejetterait. Les juges majoritaires de la Cour d’appel fédérale ont accueilli la demande de contrôle judiciaire présentée par le MBAC, décidant que permettre aux parties à des accords</w:t>
      </w:r>
      <w:r w:rsidRPr="001F198C">
        <w:rPr>
          <w:sz w:val="20"/>
          <w:lang w:val="fr-CA"/>
        </w:rPr>
        <w:noBreakHyphen/>
        <w:t xml:space="preserve">cadres d’imposer des tarifs minimums pour des œuvres existantes entrerait en conflit avec la </w:t>
      </w:r>
      <w:r w:rsidRPr="001F198C">
        <w:rPr>
          <w:i/>
          <w:sz w:val="20"/>
          <w:lang w:val="fr-CA"/>
        </w:rPr>
        <w:t>Loi sur le droit</w:t>
      </w:r>
      <w:r w:rsidRPr="001F198C">
        <w:rPr>
          <w:sz w:val="20"/>
          <w:lang w:val="fr-CA"/>
        </w:rPr>
        <w:t xml:space="preserve"> </w:t>
      </w:r>
      <w:r w:rsidRPr="001F198C">
        <w:rPr>
          <w:i/>
          <w:sz w:val="20"/>
          <w:lang w:val="fr-CA"/>
        </w:rPr>
        <w:t>d’auteur</w:t>
      </w:r>
      <w:r w:rsidRPr="001F198C">
        <w:rPr>
          <w:sz w:val="20"/>
          <w:lang w:val="fr-CA"/>
        </w:rPr>
        <w:t xml:space="preserve">. Étant donné cette conclusion, la cour d’appel a estimé que le MBAC n’avait pas omis de négocier de bonne foi. </w:t>
      </w:r>
    </w:p>
    <w:p w:rsidR="00472B2D" w:rsidRDefault="00472B2D" w:rsidP="00472B2D">
      <w:pPr>
        <w:pStyle w:val="SCCNormalDoubleSpacing"/>
        <w:spacing w:line="240" w:lineRule="auto"/>
        <w:rPr>
          <w:i/>
          <w:sz w:val="20"/>
          <w:lang w:val="fr-CA"/>
        </w:rPr>
      </w:pPr>
    </w:p>
    <w:p w:rsidR="00472B2D" w:rsidRPr="001F198C" w:rsidRDefault="00472B2D" w:rsidP="00472B2D">
      <w:pPr>
        <w:pStyle w:val="SCCNormalDoubleSpacing"/>
        <w:spacing w:line="240" w:lineRule="auto"/>
        <w:rPr>
          <w:sz w:val="20"/>
          <w:lang w:val="fr-CA"/>
        </w:rPr>
      </w:pPr>
      <w:r w:rsidRPr="001F198C">
        <w:rPr>
          <w:i/>
          <w:sz w:val="20"/>
          <w:lang w:val="fr-CA"/>
        </w:rPr>
        <w:tab/>
        <w:t>Arrêt</w:t>
      </w:r>
      <w:r w:rsidRPr="001F198C">
        <w:rPr>
          <w:sz w:val="20"/>
          <w:lang w:val="fr-CA"/>
        </w:rPr>
        <w:t> : Le pourvoi est accueilli.</w:t>
      </w:r>
    </w:p>
    <w:p w:rsidR="00472B2D" w:rsidRDefault="00472B2D" w:rsidP="00472B2D">
      <w:pPr>
        <w:pStyle w:val="SCCNormalDoubleSpacing"/>
        <w:spacing w:line="240" w:lineRule="auto"/>
        <w:rPr>
          <w:sz w:val="20"/>
          <w:lang w:val="fr-CA"/>
        </w:rPr>
      </w:pPr>
    </w:p>
    <w:p w:rsidR="00472B2D" w:rsidRPr="001F198C" w:rsidRDefault="00472B2D" w:rsidP="00472B2D">
      <w:pPr>
        <w:pStyle w:val="SCCNormalDoubleSpacing"/>
        <w:spacing w:line="240" w:lineRule="auto"/>
        <w:rPr>
          <w:sz w:val="20"/>
          <w:lang w:val="fr-CA"/>
        </w:rPr>
      </w:pPr>
      <w:r w:rsidRPr="001F198C">
        <w:rPr>
          <w:sz w:val="20"/>
          <w:lang w:val="fr-CA"/>
        </w:rPr>
        <w:tab/>
        <w:t xml:space="preserve">La conclusion du Tribunal était raisonnable. Son interprétation de la </w:t>
      </w:r>
      <w:r w:rsidRPr="001F198C">
        <w:rPr>
          <w:i/>
          <w:sz w:val="20"/>
          <w:lang w:val="fr-CA"/>
        </w:rPr>
        <w:t>LSA</w:t>
      </w:r>
      <w:r w:rsidRPr="001F198C">
        <w:rPr>
          <w:sz w:val="20"/>
          <w:lang w:val="fr-CA"/>
        </w:rPr>
        <w:t xml:space="preserve"> n’était pas contraire au sens ordinaire de cette loi. La Cour d’appel fédérale n’avait aucune raison d’infirmer la conclusion du Tribunal selon laquelle les tarifs minimums pour l’octroi des droits d’auteur des artistes sur des œuvres existantes peuvent être inclus dans les accords</w:t>
      </w:r>
      <w:r w:rsidRPr="001F198C">
        <w:rPr>
          <w:sz w:val="20"/>
          <w:lang w:val="fr-CA"/>
        </w:rPr>
        <w:noBreakHyphen/>
        <w:t>cadres. En outre, si l’on conclut que de tels tarifs minimums sont exclus des accords</w:t>
      </w:r>
      <w:r w:rsidRPr="001F198C">
        <w:rPr>
          <w:sz w:val="20"/>
          <w:lang w:val="fr-CA"/>
        </w:rPr>
        <w:noBreakHyphen/>
        <w:t xml:space="preserve">cadres, la </w:t>
      </w:r>
      <w:r w:rsidRPr="001F198C">
        <w:rPr>
          <w:i/>
          <w:sz w:val="20"/>
          <w:lang w:val="fr-CA"/>
        </w:rPr>
        <w:t>LSA</w:t>
      </w:r>
      <w:r w:rsidRPr="001F198C">
        <w:rPr>
          <w:sz w:val="20"/>
          <w:lang w:val="fr-CA"/>
        </w:rPr>
        <w:t xml:space="preserve"> aurait une incidence limitée sur la réalisation de la reconnaissance expresse, par le législateur, de l’importance pour les artistes de recevoir une indemnisation pour l’utilisation, et notamment le prêt public, de ces œuvres.  </w:t>
      </w:r>
    </w:p>
    <w:p w:rsidR="00472B2D" w:rsidRDefault="00472B2D" w:rsidP="00472B2D">
      <w:pPr>
        <w:pStyle w:val="SCCNormalDoubleSpacing"/>
        <w:spacing w:line="240" w:lineRule="auto"/>
        <w:rPr>
          <w:sz w:val="20"/>
          <w:lang w:val="fr-CA"/>
        </w:rPr>
      </w:pPr>
    </w:p>
    <w:p w:rsidR="00472B2D" w:rsidRPr="001F198C" w:rsidRDefault="00472B2D" w:rsidP="00472B2D">
      <w:pPr>
        <w:pStyle w:val="SCCNormalDoubleSpacing"/>
        <w:spacing w:line="240" w:lineRule="auto"/>
        <w:rPr>
          <w:sz w:val="20"/>
          <w:lang w:val="fr-CA"/>
        </w:rPr>
      </w:pPr>
      <w:r w:rsidRPr="001F198C">
        <w:rPr>
          <w:sz w:val="20"/>
          <w:lang w:val="fr-CA"/>
        </w:rPr>
        <w:tab/>
        <w:t>La négociation collective engagée par des associations d’artistes relativement aux accords</w:t>
      </w:r>
      <w:r w:rsidRPr="001F198C">
        <w:rPr>
          <w:sz w:val="20"/>
          <w:lang w:val="fr-CA"/>
        </w:rPr>
        <w:noBreakHyphen/>
        <w:t xml:space="preserve">cadres visant la concession de licences ou la cession des droits d’auteur sur des œuvres existantes ne contredit aucune disposition de la </w:t>
      </w:r>
      <w:r w:rsidRPr="001F198C">
        <w:rPr>
          <w:i/>
          <w:sz w:val="20"/>
          <w:lang w:val="fr-CA"/>
        </w:rPr>
        <w:t>Loi sur le droit d’auteur</w:t>
      </w:r>
      <w:r w:rsidRPr="001F198C">
        <w:rPr>
          <w:sz w:val="20"/>
          <w:lang w:val="fr-CA"/>
        </w:rPr>
        <w:t xml:space="preserve">. L’établissement d’un tarif minimum pour l’utilisation d’œuvres existantes n’a d’incidence sur aucun des droits conférés aux titulaires de droits d’auteur aux termes de l’art. 3 de la </w:t>
      </w:r>
      <w:r w:rsidRPr="001F198C">
        <w:rPr>
          <w:i/>
          <w:sz w:val="20"/>
          <w:lang w:val="fr-CA"/>
        </w:rPr>
        <w:t>Loi sur le droit d’auteur</w:t>
      </w:r>
      <w:r w:rsidRPr="001F198C">
        <w:rPr>
          <w:sz w:val="20"/>
          <w:lang w:val="fr-CA"/>
        </w:rPr>
        <w:t>, et les accords</w:t>
      </w:r>
      <w:r w:rsidRPr="001F198C">
        <w:rPr>
          <w:sz w:val="20"/>
          <w:lang w:val="fr-CA"/>
        </w:rPr>
        <w:noBreakHyphen/>
        <w:t>cadres ne lient pas non plus les sociétés de gestion régies par cette loi.</w:t>
      </w:r>
    </w:p>
    <w:p w:rsidR="00472B2D" w:rsidRDefault="00472B2D" w:rsidP="00472B2D">
      <w:pPr>
        <w:pStyle w:val="SCCNormalDoubleSpacing"/>
        <w:spacing w:line="240" w:lineRule="auto"/>
        <w:rPr>
          <w:sz w:val="20"/>
          <w:lang w:val="fr-CA"/>
        </w:rPr>
      </w:pPr>
    </w:p>
    <w:p w:rsidR="00472B2D" w:rsidRDefault="00472B2D" w:rsidP="00472B2D">
      <w:pPr>
        <w:pStyle w:val="SCCNormalDoubleSpacing"/>
        <w:spacing w:line="240" w:lineRule="auto"/>
        <w:rPr>
          <w:sz w:val="20"/>
          <w:lang w:val="fr-CA"/>
        </w:rPr>
      </w:pPr>
      <w:r w:rsidRPr="001F198C">
        <w:rPr>
          <w:sz w:val="20"/>
          <w:lang w:val="fr-CA"/>
        </w:rPr>
        <w:tab/>
        <w:t xml:space="preserve">Le Tribunal a examiné en profondeur le droit en matière de négociation de bonne foi et analysé en détail la preuve présentée par les parties à cet égard. Il a conclu que le MBAC n’avait pas négocié de bonne foi. Dans l’appréciation de la raisonnabilité, il n’appartient pas à la Cour de soupeser à nouveau la preuve examinée par le Tribunal. Vu les conclusions de fait du Tribunal, sa décision ne peut être qualifiée de déraisonnable. </w:t>
      </w:r>
    </w:p>
    <w:p w:rsidR="00472B2D" w:rsidRDefault="00472B2D" w:rsidP="00472B2D">
      <w:pPr>
        <w:pStyle w:val="SCCNormalDoubleSpacing"/>
        <w:spacing w:line="240" w:lineRule="auto"/>
        <w:rPr>
          <w:sz w:val="20"/>
          <w:lang w:val="fr-CA"/>
        </w:rPr>
      </w:pPr>
    </w:p>
    <w:p w:rsidR="00472B2D" w:rsidRPr="001F198C" w:rsidRDefault="00472B2D" w:rsidP="00472B2D">
      <w:pPr>
        <w:pStyle w:val="SCCNormalDoubleSpacing"/>
        <w:spacing w:line="240" w:lineRule="auto"/>
        <w:rPr>
          <w:sz w:val="20"/>
          <w:lang w:val="fr-CA"/>
        </w:rPr>
      </w:pPr>
      <w:r w:rsidRPr="001F198C">
        <w:rPr>
          <w:sz w:val="20"/>
          <w:lang w:val="fr-CA"/>
        </w:rPr>
        <w:tab/>
        <w:t>POURVOI contre un arrêt de la Cour d’appel fédérale (les juges Noël, Pelletier et Trudel), 2013 CAF 64, 443 N.R. 121, 54 Admin. L.R. (5th) 1, 2013 CarswellNat 508, [2013] A.C.F. n</w:t>
      </w:r>
      <w:r w:rsidRPr="001F198C">
        <w:rPr>
          <w:sz w:val="20"/>
          <w:vertAlign w:val="superscript"/>
          <w:lang w:val="fr-CA"/>
        </w:rPr>
        <w:t>o</w:t>
      </w:r>
      <w:r w:rsidRPr="001F198C">
        <w:rPr>
          <w:sz w:val="20"/>
          <w:lang w:val="fr-CA"/>
        </w:rPr>
        <w:t> 261 (QL), qui a infirmé une décision du Tribunal canadien des relations professionnelles artistes</w:t>
      </w:r>
      <w:r w:rsidRPr="001F198C">
        <w:rPr>
          <w:sz w:val="20"/>
          <w:lang w:val="fr-CA"/>
        </w:rPr>
        <w:noBreakHyphen/>
        <w:t>producteurs, 2012 TCRPAP 053 (http://decisia.lexum.com/cirb-ccri/saa-lsa/fr/item/8107/index.do), 2012 CarswellNat 4332, [2012] D.T.C.R.P.A.P. n</w:t>
      </w:r>
      <w:r w:rsidRPr="001F198C">
        <w:rPr>
          <w:sz w:val="20"/>
          <w:vertAlign w:val="superscript"/>
          <w:lang w:val="fr-CA"/>
        </w:rPr>
        <w:t>o</w:t>
      </w:r>
      <w:r w:rsidRPr="001F198C">
        <w:rPr>
          <w:sz w:val="20"/>
          <w:lang w:val="fr-CA"/>
        </w:rPr>
        <w:t> 1 (QL).  Pourvoi accueilli.</w:t>
      </w:r>
    </w:p>
    <w:p w:rsidR="00472B2D" w:rsidRDefault="00472B2D" w:rsidP="00472B2D">
      <w:pPr>
        <w:pStyle w:val="SCCNormalDoubleSpacing"/>
        <w:spacing w:line="240" w:lineRule="auto"/>
        <w:rPr>
          <w:i/>
          <w:sz w:val="20"/>
          <w:lang w:val="fr-CA"/>
        </w:rPr>
      </w:pPr>
    </w:p>
    <w:p w:rsidR="00472B2D" w:rsidRPr="001F198C" w:rsidRDefault="00472B2D" w:rsidP="00472B2D">
      <w:pPr>
        <w:pStyle w:val="SCCNormalDoubleSpacing"/>
        <w:spacing w:line="240" w:lineRule="auto"/>
        <w:rPr>
          <w:sz w:val="20"/>
          <w:lang w:val="fr-CA"/>
        </w:rPr>
      </w:pPr>
      <w:r w:rsidRPr="001F198C">
        <w:rPr>
          <w:i/>
          <w:sz w:val="20"/>
          <w:lang w:val="fr-CA"/>
        </w:rPr>
        <w:tab/>
        <w:t>David Yazbeck</w:t>
      </w:r>
      <w:r w:rsidRPr="001F198C">
        <w:rPr>
          <w:sz w:val="20"/>
          <w:lang w:val="fr-CA"/>
        </w:rPr>
        <w:t xml:space="preserve">, </w:t>
      </w:r>
      <w:r w:rsidRPr="001F198C">
        <w:rPr>
          <w:i/>
          <w:sz w:val="20"/>
          <w:lang w:val="fr-CA"/>
        </w:rPr>
        <w:t>Michael Fisher</w:t>
      </w:r>
      <w:r w:rsidRPr="001F198C">
        <w:rPr>
          <w:sz w:val="20"/>
          <w:lang w:val="fr-CA"/>
        </w:rPr>
        <w:t xml:space="preserve"> et </w:t>
      </w:r>
      <w:r w:rsidRPr="001F198C">
        <w:rPr>
          <w:i/>
          <w:sz w:val="20"/>
          <w:lang w:val="fr-CA"/>
        </w:rPr>
        <w:t>Wassim Garzouzi</w:t>
      </w:r>
      <w:r w:rsidRPr="001F198C">
        <w:rPr>
          <w:sz w:val="20"/>
          <w:lang w:val="fr-CA"/>
        </w:rPr>
        <w:t>, pour les appelants.</w:t>
      </w:r>
    </w:p>
    <w:p w:rsidR="00472B2D" w:rsidRDefault="00472B2D" w:rsidP="00472B2D">
      <w:pPr>
        <w:pStyle w:val="SCCNormalDoubleSpacing"/>
        <w:spacing w:line="240" w:lineRule="auto"/>
        <w:rPr>
          <w:i/>
          <w:sz w:val="20"/>
          <w:lang w:val="fr-CA"/>
        </w:rPr>
      </w:pPr>
    </w:p>
    <w:p w:rsidR="00472B2D" w:rsidRPr="001F198C" w:rsidRDefault="00472B2D" w:rsidP="00472B2D">
      <w:pPr>
        <w:pStyle w:val="SCCNormalDoubleSpacing"/>
        <w:spacing w:line="240" w:lineRule="auto"/>
        <w:rPr>
          <w:sz w:val="20"/>
          <w:lang w:val="fr-CA"/>
        </w:rPr>
      </w:pPr>
      <w:r w:rsidRPr="001F198C">
        <w:rPr>
          <w:i/>
          <w:sz w:val="20"/>
          <w:lang w:val="fr-CA"/>
        </w:rPr>
        <w:tab/>
        <w:t>Guy P. Dancosse</w:t>
      </w:r>
      <w:r w:rsidRPr="001F198C">
        <w:rPr>
          <w:sz w:val="20"/>
          <w:lang w:val="fr-CA"/>
        </w:rPr>
        <w:t xml:space="preserve">, </w:t>
      </w:r>
      <w:r w:rsidRPr="001F198C">
        <w:rPr>
          <w:i/>
          <w:sz w:val="20"/>
          <w:lang w:val="fr-CA"/>
        </w:rPr>
        <w:t>c.r.</w:t>
      </w:r>
      <w:r w:rsidRPr="001F198C">
        <w:rPr>
          <w:sz w:val="20"/>
          <w:lang w:val="fr-CA"/>
        </w:rPr>
        <w:t xml:space="preserve">, </w:t>
      </w:r>
      <w:r w:rsidRPr="001F198C">
        <w:rPr>
          <w:i/>
          <w:sz w:val="20"/>
          <w:lang w:val="fr-CA"/>
        </w:rPr>
        <w:t>Sophie Roy</w:t>
      </w:r>
      <w:r w:rsidRPr="001F198C">
        <w:rPr>
          <w:i/>
          <w:sz w:val="20"/>
          <w:lang w:val="fr-CA"/>
        </w:rPr>
        <w:noBreakHyphen/>
        <w:t>Lafleur</w:t>
      </w:r>
      <w:r w:rsidRPr="001F198C">
        <w:rPr>
          <w:sz w:val="20"/>
          <w:lang w:val="fr-CA"/>
        </w:rPr>
        <w:t xml:space="preserve"> et </w:t>
      </w:r>
      <w:r w:rsidRPr="001F198C">
        <w:rPr>
          <w:i/>
          <w:sz w:val="20"/>
          <w:lang w:val="fr-CA"/>
        </w:rPr>
        <w:t>Guy Régimbald</w:t>
      </w:r>
      <w:r w:rsidRPr="001F198C">
        <w:rPr>
          <w:sz w:val="20"/>
          <w:lang w:val="fr-CA"/>
        </w:rPr>
        <w:t>, pour l’intimé.</w:t>
      </w:r>
    </w:p>
    <w:p w:rsidR="00472B2D" w:rsidRDefault="00472B2D" w:rsidP="00472B2D">
      <w:pPr>
        <w:pStyle w:val="SCCNormalDoubleSpacing"/>
        <w:spacing w:line="240" w:lineRule="auto"/>
        <w:rPr>
          <w:i/>
          <w:sz w:val="20"/>
          <w:lang w:val="fr-CA"/>
        </w:rPr>
      </w:pPr>
    </w:p>
    <w:p w:rsidR="00472B2D" w:rsidRPr="001F198C" w:rsidRDefault="00472B2D" w:rsidP="00472B2D">
      <w:pPr>
        <w:pStyle w:val="SCCNormalDoubleSpacing"/>
        <w:spacing w:line="240" w:lineRule="auto"/>
        <w:rPr>
          <w:sz w:val="20"/>
          <w:lang w:val="fr-CA"/>
        </w:rPr>
      </w:pPr>
      <w:r w:rsidRPr="001F198C">
        <w:rPr>
          <w:i/>
          <w:sz w:val="20"/>
          <w:lang w:val="fr-CA"/>
        </w:rPr>
        <w:tab/>
        <w:t xml:space="preserve">Joshua S. Phillips </w:t>
      </w:r>
      <w:r w:rsidRPr="001F198C">
        <w:rPr>
          <w:sz w:val="20"/>
          <w:lang w:val="fr-CA"/>
        </w:rPr>
        <w:t>et</w:t>
      </w:r>
      <w:r w:rsidRPr="001F198C">
        <w:rPr>
          <w:i/>
          <w:sz w:val="20"/>
          <w:lang w:val="fr-CA"/>
        </w:rPr>
        <w:t xml:space="preserve"> Karen Ensslen</w:t>
      </w:r>
      <w:r w:rsidRPr="001F198C">
        <w:rPr>
          <w:sz w:val="20"/>
          <w:lang w:val="fr-CA"/>
        </w:rPr>
        <w:t>, pour les intervenantes Writers Guild of Canada et Canadian Screenwriters Collection Society.</w:t>
      </w:r>
    </w:p>
    <w:p w:rsidR="00472B2D" w:rsidRDefault="00472B2D" w:rsidP="00472B2D">
      <w:pPr>
        <w:pStyle w:val="SCCNormalDoubleSpacing"/>
        <w:spacing w:line="240" w:lineRule="auto"/>
        <w:rPr>
          <w:i/>
          <w:sz w:val="20"/>
          <w:lang w:val="fr-CA"/>
        </w:rPr>
      </w:pPr>
    </w:p>
    <w:p w:rsidR="00472B2D" w:rsidRPr="001F198C" w:rsidRDefault="00472B2D" w:rsidP="00472B2D">
      <w:pPr>
        <w:pStyle w:val="SCCNormalDoubleSpacing"/>
        <w:spacing w:line="240" w:lineRule="auto"/>
        <w:rPr>
          <w:sz w:val="20"/>
          <w:lang w:val="fr-CA"/>
        </w:rPr>
      </w:pPr>
      <w:r w:rsidRPr="001F198C">
        <w:rPr>
          <w:i/>
          <w:sz w:val="20"/>
          <w:lang w:val="fr-CA"/>
        </w:rPr>
        <w:tab/>
        <w:t>Colette Matteau</w:t>
      </w:r>
      <w:r w:rsidRPr="001F198C">
        <w:rPr>
          <w:sz w:val="20"/>
          <w:lang w:val="fr-CA"/>
        </w:rPr>
        <w:t>, pour les intervenantes la Société du droit de reproduction des auteurs, compositeurs et éditeurs du Canada et SODRAC 2003 Inc.</w:t>
      </w:r>
    </w:p>
    <w:p w:rsidR="00472B2D" w:rsidRDefault="00472B2D" w:rsidP="00472B2D">
      <w:pPr>
        <w:pStyle w:val="SCCLawFirm"/>
        <w:spacing w:line="240" w:lineRule="auto"/>
        <w:rPr>
          <w:sz w:val="20"/>
          <w:lang w:val="fr-CA"/>
        </w:rPr>
      </w:pPr>
    </w:p>
    <w:p w:rsidR="00472B2D" w:rsidRPr="001F198C" w:rsidRDefault="00472B2D" w:rsidP="00472B2D">
      <w:pPr>
        <w:pStyle w:val="SCCLawFirm"/>
        <w:spacing w:line="240" w:lineRule="auto"/>
        <w:rPr>
          <w:sz w:val="20"/>
          <w:lang w:val="fr-CA"/>
        </w:rPr>
      </w:pPr>
      <w:r w:rsidRPr="001F198C">
        <w:rPr>
          <w:sz w:val="20"/>
          <w:lang w:val="fr-CA"/>
        </w:rPr>
        <w:tab/>
        <w:t>Procureurs des appelants : Raven, Cameron, Ballantyne &amp; Yazbeck, Ottawa.</w:t>
      </w:r>
    </w:p>
    <w:p w:rsidR="00472B2D" w:rsidRDefault="00472B2D" w:rsidP="00472B2D">
      <w:pPr>
        <w:pStyle w:val="SCCLawFirm"/>
        <w:spacing w:line="240" w:lineRule="auto"/>
        <w:rPr>
          <w:sz w:val="20"/>
          <w:lang w:val="fr-CA"/>
        </w:rPr>
      </w:pPr>
    </w:p>
    <w:p w:rsidR="00472B2D" w:rsidRPr="001F198C" w:rsidRDefault="00472B2D" w:rsidP="00472B2D">
      <w:pPr>
        <w:pStyle w:val="SCCLawFirm"/>
        <w:spacing w:line="240" w:lineRule="auto"/>
        <w:rPr>
          <w:sz w:val="20"/>
          <w:lang w:val="fr-CA"/>
        </w:rPr>
      </w:pPr>
      <w:r w:rsidRPr="001F198C">
        <w:rPr>
          <w:sz w:val="20"/>
          <w:lang w:val="fr-CA"/>
        </w:rPr>
        <w:tab/>
        <w:t>Procureurs de l’intimé : Lapointe Rosenstein Marchand Melançon, Montréal; Gowlings, Ottawa.</w:t>
      </w:r>
    </w:p>
    <w:p w:rsidR="00472B2D" w:rsidRDefault="00472B2D" w:rsidP="00472B2D">
      <w:pPr>
        <w:pStyle w:val="SCCLawFirm"/>
        <w:spacing w:line="240" w:lineRule="auto"/>
        <w:rPr>
          <w:sz w:val="20"/>
          <w:lang w:val="fr-CA"/>
        </w:rPr>
      </w:pPr>
    </w:p>
    <w:p w:rsidR="00472B2D" w:rsidRPr="001F198C" w:rsidRDefault="00472B2D" w:rsidP="00472B2D">
      <w:pPr>
        <w:pStyle w:val="SCCLawFirm"/>
        <w:spacing w:line="240" w:lineRule="auto"/>
        <w:rPr>
          <w:sz w:val="20"/>
          <w:lang w:val="en-US"/>
        </w:rPr>
      </w:pPr>
      <w:r w:rsidRPr="001F198C">
        <w:rPr>
          <w:sz w:val="20"/>
          <w:lang w:val="fr-CA"/>
        </w:rPr>
        <w:tab/>
      </w:r>
      <w:r w:rsidRPr="001F198C">
        <w:rPr>
          <w:sz w:val="20"/>
          <w:lang w:val="en-US"/>
        </w:rPr>
        <w:t>Procureurs des intervenantes Writers Guild of Canada et Canadian Screenwriters Collection Society : Ursel Phillips Fellows Hopkinson, Toronto.</w:t>
      </w:r>
    </w:p>
    <w:p w:rsidR="00472B2D" w:rsidRDefault="00472B2D" w:rsidP="00472B2D">
      <w:pPr>
        <w:pStyle w:val="SCCLawFirm"/>
        <w:spacing w:line="240" w:lineRule="auto"/>
        <w:rPr>
          <w:sz w:val="20"/>
          <w:lang w:val="en-US"/>
        </w:rPr>
      </w:pPr>
    </w:p>
    <w:p w:rsidR="0099412A" w:rsidRDefault="0099412A">
      <w:pPr>
        <w:rPr>
          <w:rFonts w:eastAsia="Times New Roman" w:cs="Times New Roman"/>
          <w:i/>
          <w:sz w:val="20"/>
          <w:szCs w:val="20"/>
          <w:lang w:val="en-US" w:eastAsia="en-CA"/>
        </w:rPr>
      </w:pPr>
      <w:r>
        <w:rPr>
          <w:sz w:val="20"/>
          <w:lang w:val="en-US"/>
        </w:rPr>
        <w:br w:type="page"/>
      </w:r>
    </w:p>
    <w:p w:rsidR="00472B2D" w:rsidRDefault="00472B2D" w:rsidP="00472B2D">
      <w:pPr>
        <w:pStyle w:val="SCCLawFirm"/>
        <w:spacing w:line="240" w:lineRule="auto"/>
        <w:rPr>
          <w:sz w:val="20"/>
          <w:lang w:val="fr-CA"/>
        </w:rPr>
      </w:pPr>
      <w:r w:rsidRPr="001F198C">
        <w:rPr>
          <w:sz w:val="20"/>
          <w:lang w:val="en-US"/>
        </w:rPr>
        <w:lastRenderedPageBreak/>
        <w:tab/>
      </w:r>
      <w:r w:rsidRPr="001F198C">
        <w:rPr>
          <w:sz w:val="20"/>
          <w:lang w:val="fr-CA"/>
        </w:rPr>
        <w:t>Procureurs des intervenantes la Société du droit de reproduction des auteurs, compositeurs et éditeurs du Canada et SODRAC 2003 Inc. : Matteau Poirier avocats inc., Montréal.</w:t>
      </w:r>
    </w:p>
    <w:p w:rsidR="0099412A" w:rsidRPr="0099412A" w:rsidRDefault="0099412A" w:rsidP="0099412A">
      <w:pPr>
        <w:pStyle w:val="SCCNormalDoubleSpacing"/>
        <w:rPr>
          <w:sz w:val="20"/>
          <w:lang w:val="fr-CA"/>
        </w:rPr>
      </w:pPr>
    </w:p>
    <w:p w:rsidR="005C6840" w:rsidRDefault="006E182C" w:rsidP="005C6840">
      <w:pPr>
        <w:rPr>
          <w:lang w:val="fr-CA"/>
        </w:rPr>
      </w:pPr>
      <w:r>
        <w:rPr>
          <w:rFonts w:cs="Times New Roman"/>
          <w:sz w:val="20"/>
          <w:szCs w:val="20"/>
          <w:lang w:val="fr-CA"/>
        </w:rPr>
        <w:pict>
          <v:rect id="_x0000_i1081" style="width:144.3pt;height:1pt" o:hrpct="300" o:hralign="center" o:hrstd="t" o:hrnoshade="t" o:hr="t" fillcolor="black [3213]" stroked="f"/>
        </w:pict>
      </w:r>
      <w:r w:rsidR="005C6840">
        <w:rPr>
          <w:lang w:val="fr-CA"/>
        </w:rPr>
        <w:br w:type="page"/>
      </w:r>
    </w:p>
    <w:p w:rsidR="00657D1D" w:rsidRPr="00294078" w:rsidRDefault="00657D1D" w:rsidP="00657D1D">
      <w:pPr>
        <w:rPr>
          <w:sz w:val="20"/>
          <w:szCs w:val="20"/>
        </w:rPr>
      </w:pPr>
      <w:r w:rsidRPr="00294078">
        <w:rPr>
          <w:bCs/>
          <w:i/>
          <w:color w:val="000000"/>
          <w:sz w:val="20"/>
          <w:szCs w:val="20"/>
        </w:rPr>
        <w:lastRenderedPageBreak/>
        <w:t xml:space="preserve">Matthew David Spencer v. Her Majesty the Queen </w:t>
      </w:r>
      <w:r w:rsidRPr="00294078">
        <w:rPr>
          <w:bCs/>
          <w:color w:val="000000"/>
          <w:sz w:val="20"/>
          <w:szCs w:val="20"/>
        </w:rPr>
        <w:t>(Sask.) (</w:t>
      </w:r>
      <w:hyperlink r:id="rId75" w:history="1">
        <w:r w:rsidRPr="00294078">
          <w:rPr>
            <w:rStyle w:val="Hyperlink"/>
            <w:bCs/>
            <w:sz w:val="20"/>
            <w:szCs w:val="20"/>
          </w:rPr>
          <w:t>34644</w:t>
        </w:r>
      </w:hyperlink>
      <w:r w:rsidRPr="00294078">
        <w:rPr>
          <w:bCs/>
          <w:color w:val="000000"/>
          <w:sz w:val="20"/>
          <w:szCs w:val="20"/>
        </w:rPr>
        <w:t>)</w:t>
      </w:r>
    </w:p>
    <w:p w:rsidR="00BC5FE6" w:rsidRPr="00BC5FE6" w:rsidRDefault="00BC5FE6" w:rsidP="00BC5FE6">
      <w:pPr>
        <w:jc w:val="both"/>
        <w:rPr>
          <w:b/>
          <w:sz w:val="20"/>
          <w:szCs w:val="20"/>
        </w:rPr>
      </w:pPr>
      <w:r w:rsidRPr="0048091F">
        <w:rPr>
          <w:b/>
          <w:sz w:val="20"/>
          <w:szCs w:val="20"/>
        </w:rPr>
        <w:t xml:space="preserve">Indexed as:  R. </w:t>
      </w:r>
      <w:r w:rsidRPr="0048091F">
        <w:rPr>
          <w:b/>
          <w:i/>
          <w:sz w:val="20"/>
          <w:szCs w:val="20"/>
        </w:rPr>
        <w:t xml:space="preserve">v. </w:t>
      </w:r>
      <w:r w:rsidRPr="00BC5FE6">
        <w:rPr>
          <w:rStyle w:val="SCCAppellantForIndexChar"/>
          <w:rFonts w:eastAsiaTheme="minorHAnsi"/>
          <w:sz w:val="20"/>
          <w:lang w:val="en-CA"/>
        </w:rPr>
        <w:t xml:space="preserve">Spencer / </w:t>
      </w:r>
      <w:r w:rsidRPr="00BC5FE6">
        <w:rPr>
          <w:b/>
          <w:sz w:val="20"/>
          <w:szCs w:val="20"/>
        </w:rPr>
        <w:t xml:space="preserve">Répertorié : R. </w:t>
      </w:r>
      <w:r w:rsidRPr="00BC5FE6">
        <w:rPr>
          <w:b/>
          <w:i/>
          <w:sz w:val="20"/>
          <w:szCs w:val="20"/>
        </w:rPr>
        <w:t xml:space="preserve">c. </w:t>
      </w:r>
      <w:r w:rsidRPr="00BC5FE6">
        <w:rPr>
          <w:rStyle w:val="SCCAppellantForIndexChar"/>
          <w:rFonts w:eastAsiaTheme="minorHAnsi"/>
          <w:sz w:val="20"/>
          <w:lang w:val="en-CA"/>
        </w:rPr>
        <w:t>Spencer</w:t>
      </w:r>
    </w:p>
    <w:p w:rsidR="0052229C" w:rsidRPr="00BC5FE6" w:rsidRDefault="0052229C" w:rsidP="0052229C">
      <w:pPr>
        <w:pStyle w:val="SCCSystemYear"/>
        <w:jc w:val="both"/>
        <w:rPr>
          <w:sz w:val="20"/>
          <w:lang w:val="en-CA"/>
        </w:rPr>
      </w:pPr>
      <w:r w:rsidRPr="00BC5FE6">
        <w:rPr>
          <w:sz w:val="20"/>
          <w:lang w:val="en-CA"/>
        </w:rPr>
        <w:t>Neutral citation:  2014 SCC </w:t>
      </w:r>
      <w:r w:rsidR="00657D1D" w:rsidRPr="00BC5FE6">
        <w:rPr>
          <w:sz w:val="20"/>
          <w:lang w:val="en-CA"/>
        </w:rPr>
        <w:t>4</w:t>
      </w:r>
      <w:r w:rsidRPr="00BC5FE6">
        <w:rPr>
          <w:sz w:val="20"/>
          <w:lang w:val="en-CA"/>
        </w:rPr>
        <w:t>3 / Référence neutre : 2014 CSC </w:t>
      </w:r>
      <w:r w:rsidR="00657D1D" w:rsidRPr="00BC5FE6">
        <w:rPr>
          <w:sz w:val="20"/>
          <w:lang w:val="en-CA"/>
        </w:rPr>
        <w:t>4</w:t>
      </w:r>
      <w:r w:rsidRPr="00BC5FE6">
        <w:rPr>
          <w:sz w:val="20"/>
          <w:lang w:val="en-CA"/>
        </w:rPr>
        <w:t>3</w:t>
      </w:r>
    </w:p>
    <w:p w:rsidR="0052229C" w:rsidRPr="00BC5FE6" w:rsidRDefault="0052229C" w:rsidP="0052229C">
      <w:pPr>
        <w:rPr>
          <w:sz w:val="20"/>
          <w:szCs w:val="20"/>
        </w:rPr>
      </w:pPr>
      <w:r w:rsidRPr="00BC5FE6">
        <w:rPr>
          <w:sz w:val="20"/>
          <w:szCs w:val="20"/>
        </w:rPr>
        <w:t xml:space="preserve">Hearing:  </w:t>
      </w:r>
      <w:r w:rsidR="00BC5FE6" w:rsidRPr="00BC5FE6">
        <w:rPr>
          <w:sz w:val="20"/>
          <w:szCs w:val="20"/>
        </w:rPr>
        <w:t>December</w:t>
      </w:r>
      <w:r w:rsidRPr="00BC5FE6">
        <w:rPr>
          <w:sz w:val="20"/>
          <w:szCs w:val="20"/>
        </w:rPr>
        <w:t xml:space="preserve"> </w:t>
      </w:r>
      <w:r w:rsidR="00BC5FE6" w:rsidRPr="00BC5FE6">
        <w:rPr>
          <w:sz w:val="20"/>
          <w:szCs w:val="20"/>
        </w:rPr>
        <w:t>9</w:t>
      </w:r>
      <w:r w:rsidRPr="00BC5FE6">
        <w:rPr>
          <w:sz w:val="20"/>
          <w:szCs w:val="20"/>
        </w:rPr>
        <w:t>, 2013 / Judgment:  Ju</w:t>
      </w:r>
      <w:r w:rsidR="00657D1D" w:rsidRPr="00BC5FE6">
        <w:rPr>
          <w:sz w:val="20"/>
          <w:szCs w:val="20"/>
        </w:rPr>
        <w:t>ne</w:t>
      </w:r>
      <w:r w:rsidRPr="00BC5FE6">
        <w:rPr>
          <w:sz w:val="20"/>
          <w:szCs w:val="20"/>
        </w:rPr>
        <w:t xml:space="preserve"> 1</w:t>
      </w:r>
      <w:r w:rsidR="00657D1D" w:rsidRPr="00BC5FE6">
        <w:rPr>
          <w:sz w:val="20"/>
          <w:szCs w:val="20"/>
        </w:rPr>
        <w:t>3</w:t>
      </w:r>
      <w:r w:rsidRPr="00BC5FE6">
        <w:rPr>
          <w:sz w:val="20"/>
          <w:szCs w:val="20"/>
        </w:rPr>
        <w:t>, 2014</w:t>
      </w:r>
    </w:p>
    <w:p w:rsidR="0052229C" w:rsidRPr="003B3977" w:rsidRDefault="0052229C" w:rsidP="0052229C">
      <w:pPr>
        <w:rPr>
          <w:sz w:val="20"/>
          <w:szCs w:val="20"/>
          <w:lang w:val="fr-CA"/>
        </w:rPr>
      </w:pPr>
      <w:r w:rsidRPr="003B3977">
        <w:rPr>
          <w:sz w:val="20"/>
          <w:szCs w:val="20"/>
          <w:lang w:val="fr-CA"/>
        </w:rPr>
        <w:t xml:space="preserve">Audition : Le </w:t>
      </w:r>
      <w:r w:rsidR="00BC5FE6">
        <w:rPr>
          <w:sz w:val="20"/>
          <w:szCs w:val="20"/>
          <w:lang w:val="fr-CA"/>
        </w:rPr>
        <w:t>9 déce</w:t>
      </w:r>
      <w:r w:rsidRPr="003B3977">
        <w:rPr>
          <w:sz w:val="20"/>
          <w:szCs w:val="20"/>
          <w:lang w:val="fr-CA"/>
        </w:rPr>
        <w:t>m</w:t>
      </w:r>
      <w:r w:rsidR="00BC5FE6">
        <w:rPr>
          <w:sz w:val="20"/>
          <w:szCs w:val="20"/>
          <w:lang w:val="fr-CA"/>
        </w:rPr>
        <w:t>bre</w:t>
      </w:r>
      <w:r w:rsidRPr="003B3977">
        <w:rPr>
          <w:sz w:val="20"/>
          <w:szCs w:val="20"/>
          <w:lang w:val="fr-CA"/>
        </w:rPr>
        <w:t xml:space="preserve"> 201</w:t>
      </w:r>
      <w:r>
        <w:rPr>
          <w:sz w:val="20"/>
          <w:szCs w:val="20"/>
          <w:lang w:val="fr-CA"/>
        </w:rPr>
        <w:t>3</w:t>
      </w:r>
      <w:r w:rsidRPr="003B3977">
        <w:rPr>
          <w:sz w:val="20"/>
          <w:szCs w:val="20"/>
          <w:lang w:val="fr-CA"/>
        </w:rPr>
        <w:t xml:space="preserve"> / Jugement : Le </w:t>
      </w:r>
      <w:r>
        <w:rPr>
          <w:sz w:val="20"/>
          <w:szCs w:val="20"/>
          <w:lang w:val="fr-CA"/>
        </w:rPr>
        <w:t>1</w:t>
      </w:r>
      <w:r w:rsidR="00657D1D">
        <w:rPr>
          <w:sz w:val="20"/>
          <w:szCs w:val="20"/>
          <w:lang w:val="fr-CA"/>
        </w:rPr>
        <w:t xml:space="preserve">3 </w:t>
      </w:r>
      <w:r>
        <w:rPr>
          <w:sz w:val="20"/>
          <w:szCs w:val="20"/>
          <w:lang w:val="fr-CA"/>
        </w:rPr>
        <w:t>j</w:t>
      </w:r>
      <w:r w:rsidR="00657D1D">
        <w:rPr>
          <w:sz w:val="20"/>
          <w:szCs w:val="20"/>
          <w:lang w:val="fr-CA"/>
        </w:rPr>
        <w:t>ui</w:t>
      </w:r>
      <w:r>
        <w:rPr>
          <w:sz w:val="20"/>
          <w:szCs w:val="20"/>
          <w:lang w:val="fr-CA"/>
        </w:rPr>
        <w:t>n</w:t>
      </w:r>
      <w:r w:rsidRPr="003B3977">
        <w:rPr>
          <w:sz w:val="20"/>
          <w:szCs w:val="20"/>
          <w:lang w:val="fr-CA"/>
        </w:rPr>
        <w:t xml:space="preserve"> 201</w:t>
      </w:r>
      <w:r>
        <w:rPr>
          <w:sz w:val="20"/>
          <w:szCs w:val="20"/>
          <w:lang w:val="fr-CA"/>
        </w:rPr>
        <w:t>4</w:t>
      </w:r>
    </w:p>
    <w:p w:rsidR="005C6840" w:rsidRPr="003B3977" w:rsidRDefault="006E182C" w:rsidP="005C6840">
      <w:pPr>
        <w:rPr>
          <w:sz w:val="20"/>
          <w:szCs w:val="20"/>
          <w:lang w:val="fr-CA"/>
        </w:rPr>
      </w:pPr>
      <w:r>
        <w:rPr>
          <w:i/>
          <w:sz w:val="20"/>
          <w:szCs w:val="20"/>
        </w:rPr>
        <w:pict>
          <v:rect id="_x0000_i1082"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BC5FE6" w:rsidRPr="0048091F" w:rsidRDefault="00BC5FE6" w:rsidP="00BC5FE6">
      <w:pPr>
        <w:jc w:val="both"/>
        <w:rPr>
          <w:sz w:val="20"/>
          <w:szCs w:val="20"/>
        </w:rPr>
      </w:pPr>
      <w:r w:rsidRPr="0048091F">
        <w:rPr>
          <w:sz w:val="20"/>
          <w:szCs w:val="20"/>
        </w:rPr>
        <w:t>Present:  McLachlin C.J. and LeBel, Abella, Rothstein, Cromwell, Moldaver, Karakatsanis and Wagner JJ.</w:t>
      </w:r>
    </w:p>
    <w:p w:rsidR="00BC5FE6" w:rsidRDefault="00BC5FE6" w:rsidP="00BC5FE6">
      <w:pPr>
        <w:pStyle w:val="SCCLowerCourtNameLowercase"/>
        <w:spacing w:line="240" w:lineRule="auto"/>
        <w:rPr>
          <w:sz w:val="20"/>
        </w:rPr>
      </w:pPr>
    </w:p>
    <w:p w:rsidR="00BC5FE6" w:rsidRPr="0048091F" w:rsidRDefault="00BC5FE6" w:rsidP="00BC5FE6">
      <w:pPr>
        <w:pStyle w:val="SCCNormalDoubleSpacing"/>
        <w:spacing w:line="240" w:lineRule="auto"/>
        <w:rPr>
          <w:i/>
          <w:sz w:val="20"/>
          <w:lang w:val="en-US"/>
        </w:rPr>
      </w:pPr>
      <w:r w:rsidRPr="0048091F">
        <w:rPr>
          <w:sz w:val="20"/>
        </w:rPr>
        <w:tab/>
      </w:r>
      <w:r w:rsidRPr="0048091F">
        <w:rPr>
          <w:i/>
          <w:sz w:val="20"/>
          <w:lang w:val="en-US"/>
        </w:rPr>
        <w:t>Constitutional law — Charter of Rights — Search and seizure — Privacy — Police having information that IP address used to access or download child pornography — Police asking Internet service provider to voluntarily provide name and address of subscriber assigned to IP address — Police using information to obtain search warrant for accused’s residence — Whether police conducted unconstitutional search by obtaining subscriber information matching IP address — Whether evidence obtained as a result should be excluded — Whether fault element of making child pornography available requires proof of positive facilitation — Criminal Code, R.S.C. 1985, c. C</w:t>
      </w:r>
      <w:r w:rsidRPr="0048091F">
        <w:rPr>
          <w:i/>
          <w:sz w:val="20"/>
          <w:lang w:val="en-US"/>
        </w:rPr>
        <w:noBreakHyphen/>
        <w:t>46, ss. </w:t>
      </w:r>
      <w:r w:rsidRPr="0048091F">
        <w:rPr>
          <w:i/>
          <w:sz w:val="20"/>
        </w:rPr>
        <w:t>163.1(3), 163.1(4)</w:t>
      </w:r>
      <w:r w:rsidRPr="0048091F">
        <w:rPr>
          <w:i/>
          <w:sz w:val="20"/>
          <w:lang w:val="en-US"/>
        </w:rPr>
        <w:t>, 487.014(1) — Personal Information Protection and Electronic Documents Act, S.C. 2000, c. 5, s. 7(3)(c.1)(ii) — Charter of Rights and Freedoms, s. 8.</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t xml:space="preserve">The police identified the Internet Protocol (IP) address of a computer that someone had been using to access and store child pornography through an Internet file sharing program.  They then obtained from the Internet Service Provider (ISP), </w:t>
      </w:r>
      <w:r w:rsidRPr="0048091F">
        <w:rPr>
          <w:sz w:val="20"/>
        </w:rPr>
        <w:t>without</w:t>
      </w:r>
      <w:r w:rsidRPr="0048091F">
        <w:rPr>
          <w:sz w:val="20"/>
          <w:lang w:val="en-US"/>
        </w:rPr>
        <w:t xml:space="preserve"> prior judicial authorization, the subscriber information associated with that IP address.  The request was purportedly made pursuant to s. 7(3)(</w:t>
      </w:r>
      <w:r w:rsidRPr="0048091F">
        <w:rPr>
          <w:i/>
          <w:sz w:val="20"/>
          <w:lang w:val="en-US"/>
        </w:rPr>
        <w:t>c.1</w:t>
      </w:r>
      <w:r w:rsidRPr="0048091F">
        <w:rPr>
          <w:sz w:val="20"/>
          <w:lang w:val="en-US"/>
        </w:rPr>
        <w:t xml:space="preserve">)(ii) of the </w:t>
      </w:r>
      <w:r w:rsidRPr="0048091F">
        <w:rPr>
          <w:i/>
          <w:sz w:val="20"/>
          <w:lang w:val="en-US"/>
        </w:rPr>
        <w:t>Personal Information Protection and Electronic Documents Act</w:t>
      </w:r>
      <w:r w:rsidRPr="0048091F">
        <w:rPr>
          <w:sz w:val="20"/>
          <w:lang w:val="en-US"/>
        </w:rPr>
        <w:t xml:space="preserve"> (</w:t>
      </w:r>
      <w:r w:rsidRPr="0048091F">
        <w:rPr>
          <w:i/>
          <w:sz w:val="20"/>
          <w:lang w:val="en-US"/>
        </w:rPr>
        <w:t>PIPEDA</w:t>
      </w:r>
      <w:r w:rsidRPr="0048091F">
        <w:rPr>
          <w:sz w:val="20"/>
          <w:lang w:val="en-US"/>
        </w:rPr>
        <w:t>).</w:t>
      </w:r>
      <w:r w:rsidRPr="0048091F">
        <w:rPr>
          <w:i/>
          <w:sz w:val="20"/>
          <w:lang w:val="en-US"/>
        </w:rPr>
        <w:t xml:space="preserve"> </w:t>
      </w:r>
      <w:r w:rsidRPr="0048091F">
        <w:rPr>
          <w:sz w:val="20"/>
          <w:lang w:val="en-US"/>
        </w:rPr>
        <w:t>This led them to the accused.  He had downloaded child pornography into a folder that was accessible to other Internet users using the same file sharing program.  He was charged and convicted at trial of possession of child pornography and acquitted on a charge of making it available.  The Court of Appeal upheld the conviction, however set aside the acquittal on the making available charge and ordered a new trial.</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r>
      <w:r w:rsidRPr="0048091F">
        <w:rPr>
          <w:i/>
          <w:sz w:val="20"/>
          <w:lang w:val="en-US"/>
        </w:rPr>
        <w:t>Held</w:t>
      </w:r>
      <w:r w:rsidRPr="0048091F">
        <w:rPr>
          <w:sz w:val="20"/>
          <w:lang w:val="en-US"/>
        </w:rPr>
        <w:t>:  The appeal should be dismissed.</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t xml:space="preserve">Whether there is a reasonable expectation of privacy in the totality of the </w:t>
      </w:r>
      <w:r w:rsidRPr="0048091F">
        <w:rPr>
          <w:sz w:val="20"/>
        </w:rPr>
        <w:t>circumstances</w:t>
      </w:r>
      <w:r w:rsidRPr="0048091F">
        <w:rPr>
          <w:sz w:val="20"/>
          <w:lang w:val="en-US"/>
        </w:rPr>
        <w:t xml:space="preserve"> is assessed by considering and weighing a large number of interrelated factors.  The main dispute in this case turns on the subject matter of the search and whether the accused’s subjective expectation of privacy was reasonable.  The two circumstances relevant to determining the reasonableness of his expectation of privacy in this case are the nature of the privacy interest at stake and the statutory and contractual framework governing the ISP’s disclosure of subscriber information. </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t xml:space="preserve">When defining the subject matter of a search, courts have looked not only at the nature of the precise information sought, but also at the nature of the information </w:t>
      </w:r>
      <w:r w:rsidRPr="0048091F">
        <w:rPr>
          <w:sz w:val="20"/>
        </w:rPr>
        <w:t>that</w:t>
      </w:r>
      <w:r w:rsidRPr="0048091F">
        <w:rPr>
          <w:sz w:val="20"/>
          <w:lang w:val="en-US"/>
        </w:rPr>
        <w:t xml:space="preserve"> it reveals.  In this case, the subject matter of the search was not simply a name and address of someone in a contractual relationship with the ISP.  Rather, it was the identity of an Internet subscriber which corresponded to particular Internet usage.</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t xml:space="preserve">The nature of the privacy interest engaged by the state conduct turns on the privacy of the area or the thing being searched and the impact of the search on its </w:t>
      </w:r>
      <w:r w:rsidRPr="0048091F">
        <w:rPr>
          <w:sz w:val="20"/>
        </w:rPr>
        <w:t>target</w:t>
      </w:r>
      <w:r w:rsidRPr="0048091F">
        <w:rPr>
          <w:sz w:val="20"/>
          <w:lang w:val="en-US"/>
        </w:rPr>
        <w:t xml:space="preserve">, not the legal or illegal nature of the items sought.  In this case, the primary concern is with informational privacy.  Informational privacy is often equated with secrecy or confidentiality, and also includes the related but wider notion of control over, access to and use of information.  However, particularly important in the context of Internet usage is the understanding of privacy as anonymity.  The identity of a person linked to their use of the Internet must be recognized as giving rise to a privacy interest beyond that inherent in the person’s name, address and telephone number found in the subscriber information.  Subscriber information, by tending to link particular kinds of information to identifiable individuals may implicate privacy interests relating to an individual’s identity as the source, possessor or user of that information.  Some degree of anonymity is a feature of much Internet activity and depending on the totality of the circumstances, anonymity may be the foundation of a privacy interest that engages constitutional protection against unreasonable search and seizure.  In this case, the police request to link a given IP address to subscriber information was in effect a request to link a specific person to specific online activities.  This sort of request engages the anonymity aspect of the informational privacy </w:t>
      </w:r>
      <w:r w:rsidRPr="0048091F">
        <w:rPr>
          <w:sz w:val="20"/>
          <w:lang w:val="en-US"/>
        </w:rPr>
        <w:lastRenderedPageBreak/>
        <w:t>interest by attempting to link the suspect with anonymously undertaken online activities, activities which have been recognized in other circumstances as engaging significant privacy interests.</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t xml:space="preserve">There is no doubt that the contractual and statutory framework may be relevant to, but not necessarily determinative of whether there is a reasonable expectation of privacy.  In this case, the contractual and regulatory frameworks overlap and </w:t>
      </w:r>
      <w:r w:rsidRPr="0048091F">
        <w:rPr>
          <w:sz w:val="20"/>
        </w:rPr>
        <w:t>the</w:t>
      </w:r>
      <w:r w:rsidRPr="0048091F">
        <w:rPr>
          <w:sz w:val="20"/>
          <w:lang w:val="en-US"/>
        </w:rPr>
        <w:t xml:space="preserve"> relevant provisions provide little assistance in evaluating the reasonableness of the accused’s expectation of privacy.  Section 7(3)(</w:t>
      </w:r>
      <w:r w:rsidRPr="0048091F">
        <w:rPr>
          <w:i/>
          <w:sz w:val="20"/>
          <w:lang w:val="en-US"/>
        </w:rPr>
        <w:t>c.1</w:t>
      </w:r>
      <w:r w:rsidRPr="0048091F">
        <w:rPr>
          <w:sz w:val="20"/>
          <w:lang w:val="en-US"/>
        </w:rPr>
        <w:t xml:space="preserve">)(ii) of </w:t>
      </w:r>
      <w:r w:rsidRPr="0048091F">
        <w:rPr>
          <w:i/>
          <w:sz w:val="20"/>
          <w:lang w:val="en-US"/>
        </w:rPr>
        <w:t>PIPEDA</w:t>
      </w:r>
      <w:r w:rsidRPr="0048091F">
        <w:rPr>
          <w:sz w:val="20"/>
          <w:lang w:val="en-US"/>
        </w:rPr>
        <w:t xml:space="preserve"> cannot be used as a factor to weigh against the existence of a reasonable expectation of privacy since the proper interpretation of the relevant provision itself depends on whether such a reasonable expectation of privacy exists.  It would be reasonable for an Internet user to expect that a simple request by police would not trigger an obligation to disclose personal information or defeat </w:t>
      </w:r>
      <w:r w:rsidRPr="0048091F">
        <w:rPr>
          <w:i/>
          <w:sz w:val="20"/>
          <w:lang w:val="en-US"/>
        </w:rPr>
        <w:t>PIPEDA</w:t>
      </w:r>
      <w:r w:rsidRPr="0048091F">
        <w:rPr>
          <w:sz w:val="20"/>
          <w:lang w:val="en-US"/>
        </w:rPr>
        <w:t>’s general prohibition on the disclosure of personal information without consent.  The contractual provisions in this case support the existence of a reasonable expectation of privacy.  The request by the police had no lawful authority in the sense that while the police could ask, they had no authority to compel compliance with that request.  In the totality of the circumstances of this case, there is a reasonable expectation of privacy in the subscriber information.  Therefore, the request by the police that the ISP voluntarily disclose such information amounts to a search. </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t xml:space="preserve">Whether the search in this case was lawful will be dependent on whether the search was authorized by law.  Neither s. 487.014(1) of the </w:t>
      </w:r>
      <w:r w:rsidRPr="0048091F">
        <w:rPr>
          <w:i/>
          <w:sz w:val="20"/>
          <w:lang w:val="en-US"/>
        </w:rPr>
        <w:t>Criminal Code</w:t>
      </w:r>
      <w:r w:rsidRPr="0048091F">
        <w:rPr>
          <w:sz w:val="20"/>
          <w:lang w:val="en-US"/>
        </w:rPr>
        <w:t xml:space="preserve">, nor </w:t>
      </w:r>
      <w:r w:rsidRPr="0048091F">
        <w:rPr>
          <w:i/>
          <w:sz w:val="20"/>
          <w:lang w:val="en-US"/>
        </w:rPr>
        <w:t>PIPEDA</w:t>
      </w:r>
      <w:r w:rsidRPr="0048091F">
        <w:rPr>
          <w:sz w:val="20"/>
          <w:lang w:val="en-US"/>
        </w:rPr>
        <w:t xml:space="preserve"> creates any police search and seizure powers.  Section 487.014(1) is a </w:t>
      </w:r>
      <w:r w:rsidRPr="0048091F">
        <w:rPr>
          <w:sz w:val="20"/>
        </w:rPr>
        <w:t>declaratory</w:t>
      </w:r>
      <w:r w:rsidRPr="0048091F">
        <w:rPr>
          <w:sz w:val="20"/>
          <w:lang w:val="en-US"/>
        </w:rPr>
        <w:t xml:space="preserve"> provision that confirms the existing common law powers of police officers to make enquiries. </w:t>
      </w:r>
      <w:r w:rsidRPr="0048091F">
        <w:rPr>
          <w:i/>
          <w:sz w:val="20"/>
          <w:lang w:val="en-US"/>
        </w:rPr>
        <w:t>PIPEDA</w:t>
      </w:r>
      <w:r w:rsidRPr="0048091F">
        <w:rPr>
          <w:sz w:val="20"/>
          <w:lang w:val="en-US"/>
        </w:rPr>
        <w:t xml:space="preserve"> is a statute whose purpose is to increase the protection of personal information.  Since in the circumstances of this case the police do not have the power to conduct a search for subscriber information in the absence of exigent circumstances or a reasonable law, the police do not gain a new search power through the combination of a declaratory provision and a provision enacted to promote the protection of personal information.  The conduct of the search in this case therefore violated the </w:t>
      </w:r>
      <w:r w:rsidRPr="0048091F">
        <w:rPr>
          <w:i/>
          <w:sz w:val="20"/>
          <w:lang w:val="en-US"/>
        </w:rPr>
        <w:t>Charter</w:t>
      </w:r>
      <w:r w:rsidRPr="0048091F">
        <w:rPr>
          <w:sz w:val="20"/>
          <w:lang w:val="en-US"/>
        </w:rPr>
        <w:t xml:space="preserve">.  Without the subscriber information obtained by the police, the warrant could not have been obtained. It follows that if that information is excluded from consideration as it must be because it was unconstitutionally obtained, there were not adequate grounds to sustain the issuance of the warrant and the search of the residence was therefore unlawful and violated the </w:t>
      </w:r>
      <w:r w:rsidRPr="0048091F">
        <w:rPr>
          <w:i/>
          <w:sz w:val="20"/>
          <w:lang w:val="en-US"/>
        </w:rPr>
        <w:t>Charter</w:t>
      </w:r>
      <w:r w:rsidRPr="0048091F">
        <w:rPr>
          <w:sz w:val="20"/>
          <w:lang w:val="en-US"/>
        </w:rPr>
        <w:t>.</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lang w:val="en-US"/>
        </w:rPr>
      </w:pPr>
      <w:r w:rsidRPr="0048091F">
        <w:rPr>
          <w:sz w:val="20"/>
          <w:lang w:val="en-US"/>
        </w:rPr>
        <w:tab/>
        <w:t xml:space="preserve">The police, however, were acting by what they reasonably thought were lawful means to pursue an important law enforcement purpose.  The nature of the police </w:t>
      </w:r>
      <w:r w:rsidRPr="0048091F">
        <w:rPr>
          <w:sz w:val="20"/>
        </w:rPr>
        <w:t>conduct</w:t>
      </w:r>
      <w:r w:rsidRPr="0048091F">
        <w:rPr>
          <w:sz w:val="20"/>
          <w:lang w:val="en-US"/>
        </w:rPr>
        <w:t xml:space="preserve"> in this case would not tend to bring the administration of justice into disrepute.  While the impact of the </w:t>
      </w:r>
      <w:r w:rsidRPr="0048091F">
        <w:rPr>
          <w:i/>
          <w:sz w:val="20"/>
          <w:lang w:val="en-US"/>
        </w:rPr>
        <w:t>Charter</w:t>
      </w:r>
      <w:r w:rsidRPr="0048091F">
        <w:rPr>
          <w:sz w:val="20"/>
          <w:lang w:val="en-US"/>
        </w:rPr>
        <w:noBreakHyphen/>
        <w:t xml:space="preserve">infringing conduct on the </w:t>
      </w:r>
      <w:r w:rsidRPr="0048091F">
        <w:rPr>
          <w:i/>
          <w:sz w:val="20"/>
          <w:lang w:val="en-US"/>
        </w:rPr>
        <w:t>Charter</w:t>
      </w:r>
      <w:r w:rsidRPr="0048091F">
        <w:rPr>
          <w:sz w:val="20"/>
          <w:lang w:val="en-US"/>
        </w:rPr>
        <w:t xml:space="preserve"> protected interests of the accused weighs in favour of excluding the evidence, the offences here are serious.  Society has a strong interest in the adjudication of the case and also in ensuring the justice system remains above reproach in its treatment of those charged with these serious offences.  Balancing the three factors, the exclusion of the evidence rather than its admission would bring the administration of justice into disrepute.  The admission of the evidence is therefore upheld.</w:t>
      </w:r>
    </w:p>
    <w:p w:rsidR="00BC5FE6" w:rsidRDefault="00BC5FE6" w:rsidP="00BC5FE6">
      <w:pPr>
        <w:pStyle w:val="SCCNormalDoubleSpacing"/>
        <w:spacing w:line="240" w:lineRule="auto"/>
        <w:rPr>
          <w:sz w:val="20"/>
          <w:lang w:val="en-US"/>
        </w:rPr>
      </w:pPr>
    </w:p>
    <w:p w:rsidR="00BC5FE6" w:rsidRDefault="00BC5FE6" w:rsidP="00BC5FE6">
      <w:pPr>
        <w:pStyle w:val="SCCNormalDoubleSpacing"/>
        <w:spacing w:line="240" w:lineRule="auto"/>
        <w:rPr>
          <w:sz w:val="20"/>
          <w:lang w:val="en-US"/>
        </w:rPr>
      </w:pPr>
      <w:r w:rsidRPr="0048091F">
        <w:rPr>
          <w:sz w:val="20"/>
          <w:lang w:val="en-US"/>
        </w:rPr>
        <w:tab/>
        <w:t xml:space="preserve">There is no dispute that the accused in a prosecution under s. 163.1(3) of the </w:t>
      </w:r>
      <w:r w:rsidRPr="0048091F">
        <w:rPr>
          <w:i/>
          <w:sz w:val="20"/>
          <w:lang w:val="en-US"/>
        </w:rPr>
        <w:t xml:space="preserve">Criminal Code </w:t>
      </w:r>
      <w:r w:rsidRPr="0048091F">
        <w:rPr>
          <w:sz w:val="20"/>
          <w:lang w:val="en-US"/>
        </w:rPr>
        <w:t xml:space="preserve">must be proved to have had knowledge that the pornographic material was being made available.  This does not require however, that the accused must knowingly, by some positive act, facilitate the availability of the </w:t>
      </w:r>
      <w:r w:rsidRPr="0048091F">
        <w:rPr>
          <w:sz w:val="20"/>
        </w:rPr>
        <w:t xml:space="preserve">material. </w:t>
      </w:r>
      <w:r w:rsidRPr="0048091F">
        <w:rPr>
          <w:sz w:val="20"/>
          <w:lang w:val="en-US"/>
        </w:rPr>
        <w:t xml:space="preserve"> The offence is complete once the accused knowingly makes pornography available to others.  Given that wilful blindness was a live issue and that the trial judge’s error in holding that a positive act was required to meet the </w:t>
      </w:r>
      <w:r w:rsidRPr="0048091F">
        <w:rPr>
          <w:i/>
          <w:sz w:val="20"/>
          <w:lang w:val="en-US"/>
        </w:rPr>
        <w:t>mens rea</w:t>
      </w:r>
      <w:r w:rsidRPr="0048091F">
        <w:rPr>
          <w:sz w:val="20"/>
          <w:lang w:val="en-US"/>
        </w:rPr>
        <w:t xml:space="preserve"> component of the making available offence resulted in his not considering the wilful blindness issue, the error could reasonably be thought to have had a bearing on the trial judge’s decision to acquit.  The order for a new trial is affirmed.</w:t>
      </w:r>
    </w:p>
    <w:p w:rsidR="00BC5FE6" w:rsidRDefault="00BC5FE6" w:rsidP="00BC5FE6">
      <w:pPr>
        <w:pStyle w:val="SCCNormalDoubleSpacing"/>
        <w:spacing w:line="240" w:lineRule="auto"/>
        <w:rPr>
          <w:sz w:val="20"/>
          <w:lang w:val="en-US"/>
        </w:rPr>
      </w:pPr>
    </w:p>
    <w:p w:rsidR="00BC5FE6" w:rsidRPr="0048091F" w:rsidRDefault="00BC5FE6" w:rsidP="00BC5FE6">
      <w:pPr>
        <w:pStyle w:val="SCCNormalDoubleSpacing"/>
        <w:spacing w:line="240" w:lineRule="auto"/>
        <w:rPr>
          <w:sz w:val="20"/>
        </w:rPr>
      </w:pPr>
      <w:r w:rsidRPr="0048091F">
        <w:rPr>
          <w:sz w:val="20"/>
        </w:rPr>
        <w:tab/>
        <w:t>APPEAL from a judgment of the Saskatchewan Court of Appeal (Cameron, Ottenbreit and Caldwell JJ.A.), 2011 SKCA 144, 377 Sask. R. 280, 528 W.A.C. 280, [2012] 4 W.W.R. 425, 283 C.C.C. (3d) 384, [2011] S.J. No. 729 (QL), 2011 CarswellSask 786, affirming the accused’s conviction for possession of child pornography and setting aside the accused’s acquittal for making available child pornography entered by Foley J., 2009 SKQB 341, 361 Sask. R. 1, [2009] S.J. No. 798 (QL), 2009 CarswellSask 905, and ordering a new trial.  Appeal dismissed.</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sz w:val="20"/>
        </w:rPr>
      </w:pPr>
      <w:r w:rsidRPr="0048091F">
        <w:rPr>
          <w:rStyle w:val="SCCCounselNameChar"/>
          <w:sz w:val="20"/>
        </w:rPr>
        <w:tab/>
        <w:t>Aaron A. Fox, Q.C.,</w:t>
      </w:r>
      <w:r w:rsidRPr="00BC5FE6">
        <w:rPr>
          <w:rStyle w:val="SCCCounselSeparatorChar"/>
          <w:sz w:val="20"/>
          <w:lang w:val="en-CA"/>
        </w:rPr>
        <w:t xml:space="preserve"> and </w:t>
      </w:r>
      <w:r w:rsidRPr="0048091F">
        <w:rPr>
          <w:rStyle w:val="SCCCounselNameChar"/>
          <w:sz w:val="20"/>
        </w:rPr>
        <w:t>Darren Kraushaar</w:t>
      </w:r>
      <w:r w:rsidRPr="0048091F">
        <w:rPr>
          <w:rStyle w:val="SCCCounselPartyRoleChar"/>
          <w:sz w:val="20"/>
        </w:rPr>
        <w:t>, for the appellant.</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sz w:val="20"/>
        </w:rPr>
      </w:pPr>
      <w:r w:rsidRPr="0048091F">
        <w:rPr>
          <w:rStyle w:val="SCCCounselNameChar"/>
          <w:sz w:val="20"/>
        </w:rPr>
        <w:tab/>
        <w:t>Anthony B. Gerein</w:t>
      </w:r>
      <w:r w:rsidRPr="0048091F">
        <w:rPr>
          <w:rStyle w:val="SCCCounselPartyRoleChar"/>
          <w:sz w:val="20"/>
        </w:rPr>
        <w:t>, for the respondent.</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rStyle w:val="SCCCounselPartyRoleChar"/>
          <w:sz w:val="20"/>
        </w:rPr>
      </w:pPr>
      <w:r w:rsidRPr="0048091F">
        <w:rPr>
          <w:rStyle w:val="SCCCounselNameChar"/>
          <w:sz w:val="20"/>
        </w:rPr>
        <w:tab/>
        <w:t>Ronald C. Reimer</w:t>
      </w:r>
      <w:r w:rsidRPr="00BC5FE6">
        <w:rPr>
          <w:rStyle w:val="SCCCounselSeparatorChar"/>
          <w:sz w:val="20"/>
          <w:lang w:val="en-CA"/>
        </w:rPr>
        <w:t xml:space="preserve"> and </w:t>
      </w:r>
      <w:r w:rsidRPr="0048091F">
        <w:rPr>
          <w:rStyle w:val="SCCCounselNameChar"/>
          <w:sz w:val="20"/>
        </w:rPr>
        <w:t>David Schermbrucker</w:t>
      </w:r>
      <w:r w:rsidRPr="0048091F">
        <w:rPr>
          <w:rStyle w:val="SCCCounselPartyRoleChar"/>
          <w:sz w:val="20"/>
        </w:rPr>
        <w:t>, for the intervener the Director of Public Prosecutions.</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sz w:val="20"/>
        </w:rPr>
      </w:pPr>
      <w:r w:rsidRPr="0048091F">
        <w:rPr>
          <w:rStyle w:val="SCCCounselNameChar"/>
          <w:sz w:val="20"/>
        </w:rPr>
        <w:tab/>
        <w:t>Susan Magotiaux</w:t>
      </w:r>
      <w:r w:rsidRPr="00BC5FE6">
        <w:rPr>
          <w:rStyle w:val="SCCCounselSeparatorChar"/>
          <w:sz w:val="20"/>
          <w:lang w:val="en-CA"/>
        </w:rPr>
        <w:t xml:space="preserve"> and </w:t>
      </w:r>
      <w:r w:rsidRPr="0048091F">
        <w:rPr>
          <w:rStyle w:val="SCCCounselNameChar"/>
          <w:sz w:val="20"/>
        </w:rPr>
        <w:t>Allison Dellandrea</w:t>
      </w:r>
      <w:r w:rsidRPr="0048091F">
        <w:rPr>
          <w:rStyle w:val="SCCCounselPartyRoleChar"/>
          <w:sz w:val="20"/>
        </w:rPr>
        <w:t>, for the intervener the Attorney General of Ontario.</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sz w:val="20"/>
        </w:rPr>
      </w:pPr>
      <w:r w:rsidRPr="0048091F">
        <w:rPr>
          <w:rStyle w:val="SCCCounselNameChar"/>
          <w:sz w:val="20"/>
        </w:rPr>
        <w:tab/>
        <w:t>Jolaine Antonio</w:t>
      </w:r>
      <w:r w:rsidRPr="0048091F">
        <w:rPr>
          <w:rStyle w:val="SCCCounselPartyRoleChar"/>
          <w:sz w:val="20"/>
        </w:rPr>
        <w:t>, for the intervener the Attorney General of Alberta.</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sz w:val="20"/>
        </w:rPr>
      </w:pPr>
      <w:r w:rsidRPr="0048091F">
        <w:rPr>
          <w:rStyle w:val="SCCCounselNameChar"/>
          <w:sz w:val="20"/>
        </w:rPr>
        <w:tab/>
        <w:t>Mahmud Jamal</w:t>
      </w:r>
      <w:r w:rsidRPr="00BC5FE6">
        <w:rPr>
          <w:rStyle w:val="SCCCounselSeparatorChar"/>
          <w:sz w:val="20"/>
          <w:lang w:val="en-CA"/>
        </w:rPr>
        <w:t xml:space="preserve">, </w:t>
      </w:r>
      <w:r w:rsidRPr="0048091F">
        <w:rPr>
          <w:rStyle w:val="SCCCounselNameChar"/>
          <w:sz w:val="20"/>
        </w:rPr>
        <w:t>Patricia Kosseim, Daniel Caron</w:t>
      </w:r>
      <w:r w:rsidRPr="00BC5FE6">
        <w:rPr>
          <w:rStyle w:val="SCCCounselSeparatorChar"/>
          <w:sz w:val="20"/>
          <w:lang w:val="en-CA"/>
        </w:rPr>
        <w:t xml:space="preserve"> and </w:t>
      </w:r>
      <w:r w:rsidRPr="0048091F">
        <w:rPr>
          <w:rStyle w:val="SCCCounselNameChar"/>
          <w:sz w:val="20"/>
        </w:rPr>
        <w:t>Sarah Speevak</w:t>
      </w:r>
      <w:r w:rsidRPr="0048091F">
        <w:rPr>
          <w:rStyle w:val="SCCCounselPartyRoleChar"/>
          <w:sz w:val="20"/>
        </w:rPr>
        <w:t>, for the intervener the Privacy Commissioner of Canada.</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sz w:val="20"/>
        </w:rPr>
      </w:pPr>
      <w:r w:rsidRPr="0048091F">
        <w:rPr>
          <w:rStyle w:val="SCCCounselNameChar"/>
          <w:sz w:val="20"/>
        </w:rPr>
        <w:tab/>
        <w:t>Anil K. Kapoor</w:t>
      </w:r>
      <w:r w:rsidRPr="00BC5FE6">
        <w:rPr>
          <w:rStyle w:val="SCCCounselSeparatorChar"/>
          <w:sz w:val="20"/>
          <w:lang w:val="en-CA"/>
        </w:rPr>
        <w:t xml:space="preserve"> and </w:t>
      </w:r>
      <w:r w:rsidRPr="0048091F">
        <w:rPr>
          <w:rStyle w:val="SCCCounselNameChar"/>
          <w:sz w:val="20"/>
        </w:rPr>
        <w:t>Lindsay L. Daviau</w:t>
      </w:r>
      <w:r w:rsidRPr="0048091F">
        <w:rPr>
          <w:rStyle w:val="SCCCounselPartyRoleChar"/>
          <w:sz w:val="20"/>
        </w:rPr>
        <w:t>, for the intervener the Canadian Civil Liberties Association.</w:t>
      </w:r>
    </w:p>
    <w:p w:rsidR="00BC5FE6" w:rsidRDefault="00BC5FE6" w:rsidP="00BC5FE6">
      <w:pPr>
        <w:pStyle w:val="SCCNormalDoubleSpacing"/>
        <w:spacing w:line="240" w:lineRule="auto"/>
        <w:rPr>
          <w:rStyle w:val="SCCCounselNameChar"/>
          <w:sz w:val="20"/>
        </w:rPr>
      </w:pPr>
    </w:p>
    <w:p w:rsidR="00BC5FE6" w:rsidRPr="0048091F" w:rsidRDefault="00BC5FE6" w:rsidP="00BC5FE6">
      <w:pPr>
        <w:pStyle w:val="SCCNormalDoubleSpacing"/>
        <w:spacing w:line="240" w:lineRule="auto"/>
        <w:rPr>
          <w:sz w:val="20"/>
        </w:rPr>
      </w:pPr>
      <w:r w:rsidRPr="0048091F">
        <w:rPr>
          <w:rStyle w:val="SCCCounselNameChar"/>
          <w:sz w:val="20"/>
        </w:rPr>
        <w:tab/>
        <w:t>Jonathan Dawe and Jill R. Presser</w:t>
      </w:r>
      <w:r w:rsidRPr="0048091F">
        <w:rPr>
          <w:rStyle w:val="SCCCounselPartyRoleChar"/>
          <w:sz w:val="20"/>
        </w:rPr>
        <w:t>, for the intervener the Criminal Lawyers’ Association of Ontario.</w:t>
      </w:r>
    </w:p>
    <w:p w:rsidR="00BC5FE6" w:rsidRDefault="00BC5FE6" w:rsidP="00BC5FE6">
      <w:pPr>
        <w:pStyle w:val="SCCLawFirm"/>
        <w:spacing w:line="240" w:lineRule="auto"/>
        <w:rPr>
          <w:sz w:val="20"/>
        </w:rPr>
      </w:pPr>
    </w:p>
    <w:p w:rsidR="00BC5FE6" w:rsidRPr="0048091F" w:rsidRDefault="00BC5FE6" w:rsidP="00BC5FE6">
      <w:pPr>
        <w:pStyle w:val="SCCLawFirm"/>
        <w:spacing w:line="240" w:lineRule="auto"/>
        <w:rPr>
          <w:sz w:val="20"/>
        </w:rPr>
      </w:pPr>
      <w:r w:rsidRPr="0048091F">
        <w:rPr>
          <w:sz w:val="20"/>
        </w:rPr>
        <w:tab/>
        <w:t>Solicitors for the appellant:  McDougall Gauley, Regina.</w:t>
      </w:r>
    </w:p>
    <w:p w:rsidR="00BC5FE6" w:rsidRDefault="00BC5FE6" w:rsidP="00BC5FE6">
      <w:pPr>
        <w:pStyle w:val="SCCLawFirm"/>
        <w:spacing w:line="240" w:lineRule="auto"/>
        <w:rPr>
          <w:sz w:val="20"/>
        </w:rPr>
      </w:pPr>
    </w:p>
    <w:p w:rsidR="00BC5FE6" w:rsidRPr="0048091F" w:rsidRDefault="00BC5FE6" w:rsidP="00BC5FE6">
      <w:pPr>
        <w:pStyle w:val="SCCLawFirm"/>
        <w:spacing w:line="240" w:lineRule="auto"/>
        <w:rPr>
          <w:sz w:val="20"/>
        </w:rPr>
      </w:pPr>
      <w:r w:rsidRPr="0048091F">
        <w:rPr>
          <w:sz w:val="20"/>
        </w:rPr>
        <w:tab/>
        <w:t>Solicitor for the respondent:  Attorney General for Saskatchewan, Regina.</w:t>
      </w:r>
    </w:p>
    <w:p w:rsidR="00BC5FE6" w:rsidRDefault="00BC5FE6" w:rsidP="00BC5FE6">
      <w:pPr>
        <w:pStyle w:val="SCCLawFirm"/>
        <w:spacing w:line="240" w:lineRule="auto"/>
        <w:rPr>
          <w:sz w:val="20"/>
        </w:rPr>
      </w:pPr>
    </w:p>
    <w:p w:rsidR="00BC5FE6" w:rsidRPr="0048091F" w:rsidRDefault="00BC5FE6" w:rsidP="00BC5FE6">
      <w:pPr>
        <w:pStyle w:val="SCCLawFirm"/>
        <w:spacing w:line="240" w:lineRule="auto"/>
        <w:rPr>
          <w:sz w:val="20"/>
        </w:rPr>
      </w:pPr>
      <w:r w:rsidRPr="0048091F">
        <w:rPr>
          <w:sz w:val="20"/>
        </w:rPr>
        <w:tab/>
        <w:t>Solicitor for the intervener the Director of Public Prosecutions:  Public Prosecution Service of Canada, Edmonton and Halifax.</w:t>
      </w:r>
    </w:p>
    <w:p w:rsidR="00BC5FE6" w:rsidRDefault="00BC5FE6" w:rsidP="00BC5FE6">
      <w:pPr>
        <w:pStyle w:val="SCCLawFirm"/>
        <w:spacing w:line="240" w:lineRule="auto"/>
        <w:rPr>
          <w:sz w:val="20"/>
        </w:rPr>
      </w:pPr>
    </w:p>
    <w:p w:rsidR="00BC5FE6" w:rsidRPr="0048091F" w:rsidRDefault="00BC5FE6" w:rsidP="00BC5FE6">
      <w:pPr>
        <w:pStyle w:val="SCCLawFirm"/>
        <w:spacing w:line="240" w:lineRule="auto"/>
        <w:rPr>
          <w:sz w:val="20"/>
        </w:rPr>
      </w:pPr>
      <w:r w:rsidRPr="0048091F">
        <w:rPr>
          <w:sz w:val="20"/>
        </w:rPr>
        <w:tab/>
        <w:t>Solicitor for the intervener the Attorney General of Ontario:  Attorney General of Ontario, Toronto.</w:t>
      </w:r>
    </w:p>
    <w:p w:rsidR="00BC5FE6" w:rsidRDefault="00BC5FE6" w:rsidP="00BC5FE6">
      <w:pPr>
        <w:pStyle w:val="SCCLawFirm"/>
        <w:spacing w:line="240" w:lineRule="auto"/>
        <w:rPr>
          <w:sz w:val="20"/>
        </w:rPr>
      </w:pPr>
    </w:p>
    <w:p w:rsidR="00BC5FE6" w:rsidRPr="0048091F" w:rsidRDefault="00BC5FE6" w:rsidP="00BC5FE6">
      <w:pPr>
        <w:pStyle w:val="SCCLawFirm"/>
        <w:spacing w:line="240" w:lineRule="auto"/>
        <w:rPr>
          <w:sz w:val="20"/>
        </w:rPr>
      </w:pPr>
      <w:r w:rsidRPr="0048091F">
        <w:rPr>
          <w:sz w:val="20"/>
        </w:rPr>
        <w:tab/>
        <w:t>Solicitor for the intervener the Attorney General of Alberta:  Attorney General of Alberta, Calgary.</w:t>
      </w:r>
    </w:p>
    <w:p w:rsidR="00BC5FE6" w:rsidRDefault="00BC5FE6" w:rsidP="00BC5FE6">
      <w:pPr>
        <w:pStyle w:val="SCCLawFirm"/>
        <w:spacing w:line="240" w:lineRule="auto"/>
        <w:rPr>
          <w:sz w:val="20"/>
        </w:rPr>
      </w:pPr>
    </w:p>
    <w:p w:rsidR="00BC5FE6" w:rsidRPr="0048091F" w:rsidRDefault="00BC5FE6" w:rsidP="00BC5FE6">
      <w:pPr>
        <w:pStyle w:val="SCCLawFirm"/>
        <w:spacing w:line="240" w:lineRule="auto"/>
        <w:rPr>
          <w:sz w:val="20"/>
        </w:rPr>
      </w:pPr>
      <w:r w:rsidRPr="0048091F">
        <w:rPr>
          <w:sz w:val="20"/>
        </w:rPr>
        <w:tab/>
        <w:t>Solicitors for the intervener the Privacy Commissioner of Canada:  Osler, Hoskin &amp; Harcourt, Toronto.</w:t>
      </w:r>
    </w:p>
    <w:p w:rsidR="00BC5FE6" w:rsidRDefault="00BC5FE6" w:rsidP="00BC5FE6">
      <w:pPr>
        <w:pStyle w:val="SCCLawFirm"/>
        <w:spacing w:line="240" w:lineRule="auto"/>
        <w:rPr>
          <w:sz w:val="20"/>
        </w:rPr>
      </w:pPr>
    </w:p>
    <w:p w:rsidR="00BC5FE6" w:rsidRPr="0048091F" w:rsidRDefault="00BC5FE6" w:rsidP="00BC5FE6">
      <w:pPr>
        <w:pStyle w:val="SCCLawFirm"/>
        <w:spacing w:line="240" w:lineRule="auto"/>
        <w:rPr>
          <w:sz w:val="20"/>
        </w:rPr>
      </w:pPr>
      <w:r w:rsidRPr="0048091F">
        <w:rPr>
          <w:sz w:val="20"/>
        </w:rPr>
        <w:tab/>
        <w:t>Solicitors for the intervener the Canadian Civil Liberties Association:  Kapoor Barristers, Toronto.</w:t>
      </w:r>
    </w:p>
    <w:p w:rsidR="00BC5FE6" w:rsidRDefault="00BC5FE6" w:rsidP="00BC5FE6">
      <w:pPr>
        <w:pStyle w:val="SCCLawFirm"/>
        <w:spacing w:line="240" w:lineRule="auto"/>
        <w:rPr>
          <w:sz w:val="20"/>
        </w:rPr>
      </w:pPr>
    </w:p>
    <w:p w:rsidR="00BC5FE6" w:rsidRDefault="00BC5FE6" w:rsidP="00BC5FE6">
      <w:pPr>
        <w:pStyle w:val="SCCLawFirm"/>
        <w:spacing w:line="240" w:lineRule="auto"/>
        <w:rPr>
          <w:sz w:val="20"/>
        </w:rPr>
      </w:pPr>
      <w:r w:rsidRPr="0048091F">
        <w:rPr>
          <w:sz w:val="20"/>
        </w:rPr>
        <w:tab/>
        <w:t>Solicitors for the intervener the Criminal Lawyers’ Association of Ontario:  Dawe &amp; Dineen, Toronto; Schreck Presser,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BC5FE6" w:rsidRPr="004B7740" w:rsidRDefault="00BC5FE6" w:rsidP="00BC5FE6">
      <w:pPr>
        <w:jc w:val="both"/>
        <w:rPr>
          <w:sz w:val="20"/>
          <w:szCs w:val="20"/>
          <w:lang w:val="fr-CA"/>
        </w:rPr>
      </w:pPr>
      <w:r w:rsidRPr="004B7740">
        <w:rPr>
          <w:sz w:val="20"/>
          <w:szCs w:val="20"/>
          <w:lang w:val="fr-CA"/>
        </w:rPr>
        <w:t>Présents : La juge en chef McLachlin et les juges LeBel, Abella, Rothstein, Cromwell, Moldaver, Karakatsanis et Wagner.</w:t>
      </w:r>
    </w:p>
    <w:p w:rsidR="00BC5FE6" w:rsidRDefault="00BC5FE6" w:rsidP="00BC5FE6">
      <w:pPr>
        <w:jc w:val="both"/>
        <w:rPr>
          <w:smallCaps/>
          <w:sz w:val="20"/>
          <w:lang w:val="fr-CA"/>
        </w:rPr>
      </w:pPr>
    </w:p>
    <w:p w:rsidR="00BC5FE6" w:rsidRPr="004B7740" w:rsidRDefault="00BC5FE6" w:rsidP="00BC5FE6">
      <w:pPr>
        <w:pStyle w:val="SCCNormalDoubleSpacing"/>
        <w:spacing w:line="240" w:lineRule="auto"/>
        <w:rPr>
          <w:sz w:val="20"/>
          <w:lang w:val="fr-CA"/>
        </w:rPr>
      </w:pPr>
      <w:r w:rsidRPr="004B7740">
        <w:rPr>
          <w:sz w:val="20"/>
          <w:lang w:val="fr-CA"/>
        </w:rPr>
        <w:tab/>
      </w:r>
      <w:r w:rsidRPr="004B7740">
        <w:rPr>
          <w:i/>
          <w:sz w:val="20"/>
          <w:lang w:val="fr-CA"/>
        </w:rPr>
        <w:t>Droit constitutionnel — Charte des droits — Fouilles, perquisitions et saisies — Protection des renseignements personnels — Police détenant des renseignements selon lesquels une adresse IP a été utilisée pour avoir accès à de la pornographie juvénile ou pour la télécharger — Demande de la police au fournisseur de services Internet de lui fournir volontairement le nom et l’adresse de l’abonnée à qui appartient l’adresse IP — Utilisation de ces renseignements par la police pour obtenir un mandat lui permettant de perquisitionner dans la résidence de l’accusé — La police a</w:t>
      </w:r>
      <w:r w:rsidRPr="004B7740">
        <w:rPr>
          <w:i/>
          <w:sz w:val="20"/>
          <w:lang w:val="fr-CA"/>
        </w:rPr>
        <w:noBreakHyphen/>
        <w:t>t</w:t>
      </w:r>
      <w:r w:rsidRPr="004B7740">
        <w:rPr>
          <w:i/>
          <w:sz w:val="20"/>
          <w:lang w:val="fr-CA"/>
        </w:rPr>
        <w:noBreakHyphen/>
        <w:t xml:space="preserve">elle </w:t>
      </w:r>
      <w:r w:rsidRPr="004B7740">
        <w:rPr>
          <w:i/>
          <w:noProof/>
          <w:sz w:val="20"/>
          <w:lang w:val="fr-CA"/>
        </w:rPr>
        <w:t>effectué</w:t>
      </w:r>
      <w:r w:rsidRPr="004B7740">
        <w:rPr>
          <w:i/>
          <w:sz w:val="20"/>
          <w:lang w:val="fr-CA"/>
        </w:rPr>
        <w:t xml:space="preserve"> une</w:t>
      </w:r>
      <w:r w:rsidRPr="004B7740">
        <w:rPr>
          <w:i/>
          <w:noProof/>
          <w:sz w:val="20"/>
          <w:lang w:val="fr-CA"/>
        </w:rPr>
        <w:t xml:space="preserve"> fouille ou une perquisition inconstitutionnelle lorsqu’elle a obtenu les renseignements relatifs à l’abonnée à qui appartenait l’adresse IP?</w:t>
      </w:r>
      <w:r w:rsidRPr="004B7740">
        <w:rPr>
          <w:i/>
          <w:sz w:val="20"/>
          <w:lang w:val="fr-CA"/>
        </w:rPr>
        <w:t xml:space="preserve"> — La</w:t>
      </w:r>
      <w:r w:rsidRPr="004B7740">
        <w:rPr>
          <w:i/>
          <w:noProof/>
          <w:sz w:val="20"/>
          <w:lang w:val="fr-CA"/>
        </w:rPr>
        <w:t xml:space="preserve"> preuve ainsi obtenue devrait-elle être écartée?</w:t>
      </w:r>
      <w:r w:rsidRPr="004B7740">
        <w:rPr>
          <w:i/>
          <w:sz w:val="20"/>
          <w:lang w:val="fr-CA"/>
        </w:rPr>
        <w:t xml:space="preserve"> — L’élément de faute de l’infraction qui consiste à rendre accessible la pornographie juvénile </w:t>
      </w:r>
      <w:r w:rsidRPr="004B7740">
        <w:rPr>
          <w:i/>
          <w:noProof/>
          <w:sz w:val="20"/>
          <w:lang w:val="fr-CA"/>
        </w:rPr>
        <w:t>exige</w:t>
      </w:r>
      <w:r w:rsidRPr="004B7740">
        <w:rPr>
          <w:i/>
          <w:noProof/>
          <w:sz w:val="20"/>
          <w:lang w:val="fr-CA"/>
        </w:rPr>
        <w:noBreakHyphen/>
        <w:t>t</w:t>
      </w:r>
      <w:r w:rsidRPr="004B7740">
        <w:rPr>
          <w:i/>
          <w:noProof/>
          <w:sz w:val="20"/>
          <w:lang w:val="fr-CA"/>
        </w:rPr>
        <w:noBreakHyphen/>
        <w:t>il la preuve d’un appui délibéré?</w:t>
      </w:r>
      <w:r w:rsidRPr="004B7740">
        <w:rPr>
          <w:i/>
          <w:sz w:val="20"/>
          <w:lang w:val="fr-CA"/>
        </w:rPr>
        <w:t xml:space="preserve"> — Code criminel, L.R.C. 1985, ch. C-46, art. 163.1(3), 163.1(4), 487.014(1) — </w:t>
      </w:r>
      <w:r w:rsidRPr="004B7740">
        <w:rPr>
          <w:i/>
          <w:noProof/>
          <w:sz w:val="20"/>
          <w:lang w:val="fr-CA"/>
        </w:rPr>
        <w:t>Loi sur la protection des renseignements personnels et les documents électroniques</w:t>
      </w:r>
      <w:r w:rsidRPr="004B7740">
        <w:rPr>
          <w:i/>
          <w:sz w:val="20"/>
          <w:lang w:val="fr-CA"/>
        </w:rPr>
        <w:t>, L.C. 2000, ch. 5, art. 7(3)c.1)(ii) — Charte des droits et libertés, art. 8.</w:t>
      </w:r>
    </w:p>
    <w:p w:rsidR="00BC5FE6" w:rsidRDefault="00BC5FE6" w:rsidP="00BC5FE6">
      <w:pPr>
        <w:pStyle w:val="SCCNormalDoubleSpacing"/>
        <w:spacing w:line="240" w:lineRule="auto"/>
        <w:rPr>
          <w:noProof/>
          <w:sz w:val="20"/>
          <w:lang w:val="fr-CA"/>
        </w:rPr>
      </w:pPr>
    </w:p>
    <w:p w:rsidR="00BC5FE6" w:rsidRPr="004B7740" w:rsidRDefault="00BC5FE6" w:rsidP="00BC5FE6">
      <w:pPr>
        <w:pStyle w:val="SCCNormalDoubleSpacing"/>
        <w:spacing w:line="240" w:lineRule="auto"/>
        <w:rPr>
          <w:noProof/>
          <w:sz w:val="20"/>
          <w:lang w:val="fr-CA"/>
        </w:rPr>
      </w:pPr>
      <w:r w:rsidRPr="004B7740">
        <w:rPr>
          <w:noProof/>
          <w:sz w:val="20"/>
          <w:lang w:val="fr-CA"/>
        </w:rPr>
        <w:tab/>
        <w:t>La police a découvert l’adresse de protocole Internet (adresse IP) de l’ordinateur qu’une personne avait utilisé pour accéder à de la pornographie juvénile et pour la stocker à l’aide d’un programme de partage de fichiers.  Elle a ensuite obtenu auprès du fournisseur de services Internet (FSI), sans autorisation judiciaire préalable, les renseignements relatifs à l’abonnée à qui appartenait cette adresse IP.  Il s’agit d’une demande qui aurait été fondée sur le sous</w:t>
      </w:r>
      <w:r w:rsidRPr="004B7740">
        <w:rPr>
          <w:noProof/>
          <w:sz w:val="20"/>
          <w:lang w:val="fr-CA"/>
        </w:rPr>
        <w:noBreakHyphen/>
        <w:t>al. 7(3)</w:t>
      </w:r>
      <w:r w:rsidRPr="004B7740">
        <w:rPr>
          <w:i/>
          <w:noProof/>
          <w:sz w:val="20"/>
          <w:lang w:val="fr-CA"/>
        </w:rPr>
        <w:t>c.1</w:t>
      </w:r>
      <w:r w:rsidRPr="004B7740">
        <w:rPr>
          <w:noProof/>
          <w:sz w:val="20"/>
          <w:lang w:val="fr-CA"/>
        </w:rPr>
        <w:t xml:space="preserve">)(ii) de la </w:t>
      </w:r>
      <w:r w:rsidRPr="004B7740">
        <w:rPr>
          <w:i/>
          <w:noProof/>
          <w:sz w:val="20"/>
          <w:lang w:val="fr-CA"/>
        </w:rPr>
        <w:t>Loi sur la protection des renseignements personnels et les documents électroniques</w:t>
      </w:r>
      <w:r w:rsidRPr="004B7740">
        <w:rPr>
          <w:sz w:val="20"/>
          <w:lang w:val="fr-CA"/>
        </w:rPr>
        <w:t xml:space="preserve"> </w:t>
      </w:r>
      <w:r w:rsidRPr="004B7740">
        <w:rPr>
          <w:noProof/>
          <w:sz w:val="20"/>
          <w:lang w:val="fr-CA"/>
        </w:rPr>
        <w:t>(</w:t>
      </w:r>
      <w:r w:rsidRPr="004B7740">
        <w:rPr>
          <w:i/>
          <w:noProof/>
          <w:sz w:val="20"/>
          <w:lang w:val="fr-CA"/>
        </w:rPr>
        <w:t>LPRPDE</w:t>
      </w:r>
      <w:r w:rsidRPr="004B7740">
        <w:rPr>
          <w:noProof/>
          <w:sz w:val="20"/>
          <w:lang w:val="fr-CA"/>
        </w:rPr>
        <w:t>)</w:t>
      </w:r>
      <w:r w:rsidRPr="004B7740">
        <w:rPr>
          <w:sz w:val="20"/>
          <w:lang w:val="fr-CA"/>
        </w:rPr>
        <w:t>.</w:t>
      </w:r>
      <w:r w:rsidRPr="004B7740">
        <w:rPr>
          <w:i/>
          <w:sz w:val="20"/>
          <w:lang w:val="fr-CA"/>
        </w:rPr>
        <w:t xml:space="preserve">  </w:t>
      </w:r>
      <w:r w:rsidRPr="004B7740">
        <w:rPr>
          <w:sz w:val="20"/>
          <w:lang w:val="fr-CA"/>
        </w:rPr>
        <w:t xml:space="preserve">Les policiers ont ainsi découvert l’accusé.  </w:t>
      </w:r>
      <w:r w:rsidRPr="004B7740">
        <w:rPr>
          <w:noProof/>
          <w:sz w:val="20"/>
          <w:lang w:val="fr-CA"/>
        </w:rPr>
        <w:t>Celui</w:t>
      </w:r>
      <w:r w:rsidRPr="004B7740">
        <w:rPr>
          <w:noProof/>
          <w:sz w:val="20"/>
          <w:lang w:val="fr-CA"/>
        </w:rPr>
        <w:noBreakHyphen/>
        <w:t xml:space="preserve">ci avait téléchargé de la pornographie juvénile à partir d’Internet avant de sauvegarder les fichiers en question dans un répertoire qui était accessible à d’autres internautes utilisateurs du même programme de partage de fichiers. L’accusé a été inculpé et déclaré coupable au procès de </w:t>
      </w:r>
      <w:r w:rsidRPr="004B7740">
        <w:rPr>
          <w:noProof/>
          <w:sz w:val="20"/>
          <w:lang w:val="fr-CA"/>
        </w:rPr>
        <w:lastRenderedPageBreak/>
        <w:t xml:space="preserve">possession de pornographie juvénile, mais il a été acquitté de l’accusation de la rendre accessible.  La Cour d’appel a </w:t>
      </w:r>
      <w:r w:rsidRPr="004B7740">
        <w:rPr>
          <w:sz w:val="20"/>
          <w:lang w:val="fr-CA"/>
        </w:rPr>
        <w:t>confirmé</w:t>
      </w:r>
      <w:r w:rsidRPr="004B7740">
        <w:rPr>
          <w:noProof/>
          <w:sz w:val="20"/>
          <w:lang w:val="fr-CA"/>
        </w:rPr>
        <w:t xml:space="preserve"> la déclaration de culpabilité, a cependant annulé l’acquittement, et a ordonné la tenue un nouveau procès</w:t>
      </w:r>
      <w:r w:rsidRPr="004B7740">
        <w:rPr>
          <w:sz w:val="20"/>
          <w:lang w:val="fr-CA"/>
        </w:rPr>
        <w:t>.</w:t>
      </w:r>
    </w:p>
    <w:p w:rsidR="00BC5FE6" w:rsidRDefault="00BC5FE6" w:rsidP="00BC5FE6">
      <w:pPr>
        <w:pStyle w:val="SCCNormalDoubleSpacing"/>
        <w:spacing w:line="240" w:lineRule="auto"/>
        <w:rPr>
          <w:sz w:val="20"/>
          <w:lang w:val="fr-CA"/>
        </w:rPr>
      </w:pPr>
    </w:p>
    <w:p w:rsidR="00BC5FE6" w:rsidRPr="004B7740" w:rsidRDefault="00BC5FE6" w:rsidP="00BC5FE6">
      <w:pPr>
        <w:pStyle w:val="SCCNormalDoubleSpacing"/>
        <w:spacing w:line="240" w:lineRule="auto"/>
        <w:rPr>
          <w:sz w:val="20"/>
          <w:lang w:val="fr-CA"/>
        </w:rPr>
      </w:pPr>
      <w:r w:rsidRPr="004B7740">
        <w:rPr>
          <w:sz w:val="20"/>
          <w:lang w:val="fr-CA"/>
        </w:rPr>
        <w:tab/>
      </w:r>
      <w:r w:rsidRPr="004B7740">
        <w:rPr>
          <w:i/>
          <w:sz w:val="20"/>
          <w:lang w:val="fr-CA"/>
        </w:rPr>
        <w:t>Arrêt </w:t>
      </w:r>
      <w:r w:rsidRPr="004B7740">
        <w:rPr>
          <w:sz w:val="20"/>
          <w:lang w:val="fr-CA"/>
        </w:rPr>
        <w:t>: Le pourvoi est rejeté.</w:t>
      </w:r>
    </w:p>
    <w:p w:rsidR="00BC5FE6" w:rsidRDefault="00BC5FE6" w:rsidP="00BC5FE6">
      <w:pPr>
        <w:pStyle w:val="SCCNormalDoubleSpacing"/>
        <w:spacing w:line="240" w:lineRule="auto"/>
        <w:rPr>
          <w:sz w:val="20"/>
          <w:lang w:val="fr-CA"/>
        </w:rPr>
      </w:pPr>
    </w:p>
    <w:p w:rsidR="00BC5FE6" w:rsidRPr="004B7740" w:rsidRDefault="00BC5FE6" w:rsidP="00BC5FE6">
      <w:pPr>
        <w:pStyle w:val="SCCNormalDoubleSpacing"/>
        <w:spacing w:line="240" w:lineRule="auto"/>
        <w:rPr>
          <w:sz w:val="20"/>
          <w:lang w:val="fr-CA"/>
        </w:rPr>
      </w:pPr>
      <w:r w:rsidRPr="004B7740">
        <w:rPr>
          <w:sz w:val="20"/>
          <w:lang w:val="fr-CA"/>
        </w:rPr>
        <w:tab/>
        <w:t xml:space="preserve">On détermine s’il existe une attente raisonnable </w:t>
      </w:r>
      <w:r w:rsidRPr="004B7740">
        <w:rPr>
          <w:noProof/>
          <w:sz w:val="20"/>
          <w:lang w:val="fr-CA"/>
        </w:rPr>
        <w:t>en matière de respect de la vie privée</w:t>
      </w:r>
      <w:r w:rsidRPr="004B7740">
        <w:rPr>
          <w:sz w:val="20"/>
          <w:lang w:val="fr-CA"/>
        </w:rPr>
        <w:t>,</w:t>
      </w:r>
      <w:r w:rsidRPr="004B7740">
        <w:rPr>
          <w:noProof/>
          <w:sz w:val="20"/>
          <w:lang w:val="fr-CA"/>
        </w:rPr>
        <w:t xml:space="preserve"> compte tenu de l’ensemble des circonstances, en examinant et en soupesant un </w:t>
      </w:r>
      <w:r w:rsidRPr="004B7740">
        <w:rPr>
          <w:sz w:val="20"/>
          <w:lang w:val="fr-CA"/>
        </w:rPr>
        <w:t>grand</w:t>
      </w:r>
      <w:r w:rsidRPr="004B7740">
        <w:rPr>
          <w:noProof/>
          <w:sz w:val="20"/>
          <w:lang w:val="fr-CA"/>
        </w:rPr>
        <w:t xml:space="preserve"> nombre de facteurs interreliés.  Dans la présente affaire, le litige porte principalement sur l’objet de la fouille ou de la perquisition et sur la question de savoir si l’attente subjective de l’accusé en matière de vie privée était raisonnable. </w:t>
      </w:r>
      <w:r w:rsidRPr="004B7740">
        <w:rPr>
          <w:sz w:val="20"/>
          <w:lang w:val="fr-CA"/>
        </w:rPr>
        <w:t xml:space="preserve"> </w:t>
      </w:r>
      <w:r w:rsidRPr="004B7740">
        <w:rPr>
          <w:noProof/>
          <w:sz w:val="20"/>
          <w:lang w:val="fr-CA"/>
        </w:rPr>
        <w:t>Les deux éléments pertinents pour déterminer le caractère raisonnable de son attente au respect de sa vie privée sont, d’une part, la nature de l’intérêt en matière de vie privée qui est en jeu et, d’autre part, le cadre législatif et contractuel régissant la communication par le FSI des renseignements relatifs à l’abonnée.</w:t>
      </w:r>
    </w:p>
    <w:p w:rsidR="00BC5FE6" w:rsidRDefault="00BC5FE6" w:rsidP="00BC5FE6">
      <w:pPr>
        <w:pStyle w:val="SCCNormalDoubleSpacing"/>
        <w:spacing w:line="240" w:lineRule="auto"/>
        <w:rPr>
          <w:sz w:val="20"/>
          <w:lang w:val="fr-CA"/>
        </w:rPr>
      </w:pPr>
    </w:p>
    <w:p w:rsidR="00BC5FE6" w:rsidRPr="004B7740" w:rsidRDefault="00BC5FE6" w:rsidP="00BC5FE6">
      <w:pPr>
        <w:pStyle w:val="SCCNormalDoubleSpacing"/>
        <w:spacing w:line="240" w:lineRule="auto"/>
        <w:rPr>
          <w:noProof/>
          <w:sz w:val="20"/>
          <w:lang w:val="fr-CA"/>
        </w:rPr>
      </w:pPr>
      <w:r w:rsidRPr="004B7740">
        <w:rPr>
          <w:sz w:val="20"/>
          <w:lang w:val="fr-CA"/>
        </w:rPr>
        <w:tab/>
        <w:t xml:space="preserve">Pour définir l’objet d’une fouille ou d’une perquisition, les tribunaux examinent </w:t>
      </w:r>
      <w:r w:rsidRPr="004B7740">
        <w:rPr>
          <w:noProof/>
          <w:sz w:val="20"/>
          <w:lang w:val="fr-CA"/>
        </w:rPr>
        <w:t xml:space="preserve">non seulement la nature des renseignements précis recherchés, mais aussi la nature des </w:t>
      </w:r>
      <w:r w:rsidRPr="004B7740">
        <w:rPr>
          <w:sz w:val="20"/>
          <w:lang w:val="fr-CA"/>
        </w:rPr>
        <w:t>renseignements</w:t>
      </w:r>
      <w:r w:rsidRPr="004B7740">
        <w:rPr>
          <w:noProof/>
          <w:sz w:val="20"/>
          <w:lang w:val="fr-CA"/>
        </w:rPr>
        <w:t xml:space="preserve"> qui sont ainsi révélés. </w:t>
      </w:r>
      <w:r w:rsidRPr="004B7740">
        <w:rPr>
          <w:sz w:val="20"/>
          <w:lang w:val="fr-CA"/>
        </w:rPr>
        <w:t xml:space="preserve">En l’espèce, </w:t>
      </w:r>
      <w:r w:rsidRPr="004B7740">
        <w:rPr>
          <w:noProof/>
          <w:sz w:val="20"/>
          <w:lang w:val="fr-CA"/>
        </w:rPr>
        <w:t xml:space="preserve">la fouille ou la perquisition n’avait pas simplement pour objet le nom et l’adresse d’une personne qui était liée par contrat au FSI. Il s’agissait plutôt de l’identité d’une abonnée aux services Internet à qui correspondait une utilisation particulière de ces services. </w:t>
      </w:r>
    </w:p>
    <w:p w:rsidR="00BC5FE6" w:rsidRDefault="00BC5FE6" w:rsidP="00BC5FE6">
      <w:pPr>
        <w:pStyle w:val="SCCNormalDoubleSpacing"/>
        <w:spacing w:line="240" w:lineRule="auto"/>
        <w:rPr>
          <w:noProof/>
          <w:sz w:val="20"/>
          <w:lang w:val="fr-CA"/>
        </w:rPr>
      </w:pPr>
    </w:p>
    <w:p w:rsidR="00BC5FE6" w:rsidRPr="004B7740" w:rsidRDefault="00BC5FE6" w:rsidP="00BC5FE6">
      <w:pPr>
        <w:pStyle w:val="SCCNormalDoubleSpacing"/>
        <w:spacing w:line="240" w:lineRule="auto"/>
        <w:rPr>
          <w:noProof/>
          <w:sz w:val="20"/>
          <w:lang w:val="fr-CA"/>
        </w:rPr>
      </w:pPr>
      <w:r w:rsidRPr="004B7740">
        <w:rPr>
          <w:noProof/>
          <w:sz w:val="20"/>
          <w:lang w:val="fr-CA"/>
        </w:rPr>
        <w:tab/>
        <w:t>La nature de l’intérêt en matière de vie privée visé par l’action de l’État tient au caractère privé du lieu ou de l’objet visé par la fouille ou la perquisition ainsi qu’aux conséquences de cette dernière pour la personne qui en fait l’objet, et non à la nature légale ou illégale de la chose recherchée.  En l’espèce, on s’intéresse principalement au caractère privé des renseignements personnels</w:t>
      </w:r>
      <w:r w:rsidRPr="004B7740">
        <w:rPr>
          <w:sz w:val="20"/>
          <w:lang w:val="fr-CA"/>
        </w:rPr>
        <w:t xml:space="preserve">.  </w:t>
      </w:r>
      <w:r w:rsidRPr="004B7740">
        <w:rPr>
          <w:noProof/>
          <w:sz w:val="20"/>
          <w:lang w:val="fr-CA"/>
        </w:rPr>
        <w:t>Ce dernier est souvent assimilé à la confidentialité.  Il comprend également la notion connexe, mais plus large, de contrôle sur l’accès à l’information et sur l’utilisation des renseignements</w:t>
      </w:r>
      <w:r w:rsidRPr="004B7740">
        <w:rPr>
          <w:sz w:val="20"/>
          <w:lang w:val="fr-CA"/>
        </w:rPr>
        <w:t xml:space="preserve">.  L’anonymat en tant que facette du droit à la vie privée revêt cependant une importance particulière dans le contexte de l’utilisation d’Internet.  </w:t>
      </w:r>
      <w:r w:rsidRPr="004B7740">
        <w:rPr>
          <w:noProof/>
          <w:sz w:val="20"/>
          <w:lang w:val="fr-CA"/>
        </w:rPr>
        <w:t>Il faut reconnaître que l’identité d’une personne liée à son utilisation d’Internet donne naissance à un intérêt en matière de vie privée qui a une portée plus grande que celui inhérent à son nom, à son adresse et à son numéro de téléphone qui figurent parmi les renseignements relatifs à l’abonné.</w:t>
      </w:r>
      <w:r w:rsidRPr="004B7740">
        <w:rPr>
          <w:sz w:val="20"/>
          <w:lang w:val="fr-CA"/>
        </w:rPr>
        <w:t xml:space="preserve">  E</w:t>
      </w:r>
      <w:r w:rsidRPr="004B7740">
        <w:rPr>
          <w:noProof/>
          <w:sz w:val="20"/>
          <w:lang w:val="fr-CA"/>
        </w:rPr>
        <w:t xml:space="preserve">n établissant un lien entre des renseignements particuliers et une personne identifiable, les renseignements relatifs à l’abonné peuvent compromettre les droits en matière de vie privée relatifs à l’identité d’une personne en tant que source, possesseur ou utilisateur des renseignements visés.  Un certain degré d’anonymat est propre à beaucoup d’activités exercées sur Internet et l’anonymat pourrait donc, compte tenu de l’ensemble des circonstances, servir de fondement au droit à la vie privée visé par la protection constitutionnelle contre les fouilles, les perquisitions et les saisies abusives. </w:t>
      </w:r>
      <w:r w:rsidRPr="004B7740">
        <w:rPr>
          <w:sz w:val="20"/>
          <w:lang w:val="fr-CA"/>
        </w:rPr>
        <w:t xml:space="preserve"> En l’espèce, </w:t>
      </w:r>
      <w:r w:rsidRPr="004B7740">
        <w:rPr>
          <w:noProof/>
          <w:sz w:val="20"/>
          <w:lang w:val="fr-CA"/>
        </w:rPr>
        <w:t>la demande de la police, dans le but d’établir un lien entre une adresse IP donnée et les renseignements relatifs à l’abonnée, visait en fait à établir un lien entre une personne précise et des activités en ligne</w:t>
      </w:r>
      <w:r w:rsidRPr="004B7740" w:rsidDel="00E85FEE">
        <w:rPr>
          <w:noProof/>
          <w:sz w:val="20"/>
          <w:lang w:val="fr-CA"/>
        </w:rPr>
        <w:t xml:space="preserve"> </w:t>
      </w:r>
      <w:r w:rsidRPr="004B7740">
        <w:rPr>
          <w:sz w:val="20"/>
          <w:lang w:val="fr-CA"/>
        </w:rPr>
        <w:t>précises</w:t>
      </w:r>
      <w:r w:rsidRPr="004B7740">
        <w:rPr>
          <w:noProof/>
          <w:sz w:val="20"/>
          <w:lang w:val="fr-CA"/>
        </w:rPr>
        <w:t>.  Ce genre de demande concerne, en ce qui a trait aux renseignements personnels, le droit à la vie privée relatif à l’anonymat puisqu’elle vise à établir un lien entre le suspect et des activités entreprises en ligne, sous le couvert de l’anonymat, activités qui, comme on l’a reconnu dans d’autres circonstances, mettent en jeu d’importants droits en matière de vie privée.</w:t>
      </w:r>
    </w:p>
    <w:p w:rsidR="00BC5FE6" w:rsidRDefault="00BC5FE6" w:rsidP="00BC5FE6">
      <w:pPr>
        <w:pStyle w:val="SCCNormalDoubleSpacing"/>
        <w:spacing w:line="240" w:lineRule="auto"/>
        <w:rPr>
          <w:noProof/>
          <w:sz w:val="20"/>
          <w:lang w:val="fr-CA"/>
        </w:rPr>
      </w:pPr>
    </w:p>
    <w:p w:rsidR="00BC5FE6" w:rsidRPr="004B7740" w:rsidRDefault="00BC5FE6" w:rsidP="00BC5FE6">
      <w:pPr>
        <w:pStyle w:val="SCCNormalDoubleSpacing"/>
        <w:spacing w:line="240" w:lineRule="auto"/>
        <w:rPr>
          <w:noProof/>
          <w:sz w:val="20"/>
          <w:lang w:val="fr-CA"/>
        </w:rPr>
      </w:pPr>
      <w:r w:rsidRPr="004B7740">
        <w:rPr>
          <w:noProof/>
          <w:sz w:val="20"/>
          <w:lang w:val="fr-CA"/>
        </w:rPr>
        <w:tab/>
        <w:t xml:space="preserve">Il ne fait aucun doute que les cadres législatif et contractuel peuvent aussi être pertinents, mais pas nécessairement déterminants quant à la question de savoir s’il existe une attente raisonnable en matière de vie privée. </w:t>
      </w:r>
      <w:r w:rsidRPr="004B7740">
        <w:rPr>
          <w:sz w:val="20"/>
          <w:lang w:val="fr-CA"/>
        </w:rPr>
        <w:t xml:space="preserve"> En l’espèce, les </w:t>
      </w:r>
      <w:r w:rsidRPr="004B7740">
        <w:rPr>
          <w:noProof/>
          <w:sz w:val="20"/>
          <w:lang w:val="fr-CA"/>
        </w:rPr>
        <w:t>cadres contractuel et réglementaire se chevauchent et les dispositions applicables ne sont guère utiles pour évaluer le caractère raisonnable de l’attente de l’accusé au respect de sa vie privée.</w:t>
      </w:r>
      <w:r w:rsidRPr="004B7740">
        <w:rPr>
          <w:sz w:val="20"/>
          <w:lang w:val="fr-CA"/>
        </w:rPr>
        <w:t xml:space="preserve">  </w:t>
      </w:r>
      <w:r w:rsidRPr="004B7740">
        <w:rPr>
          <w:noProof/>
          <w:sz w:val="20"/>
          <w:lang w:val="fr-CA"/>
        </w:rPr>
        <w:t>Le sous</w:t>
      </w:r>
      <w:r w:rsidRPr="004B7740">
        <w:rPr>
          <w:noProof/>
          <w:sz w:val="20"/>
          <w:lang w:val="fr-CA"/>
        </w:rPr>
        <w:noBreakHyphen/>
        <w:t>al. 7(3)</w:t>
      </w:r>
      <w:r w:rsidRPr="004B7740">
        <w:rPr>
          <w:i/>
          <w:noProof/>
          <w:sz w:val="20"/>
          <w:lang w:val="fr-CA"/>
        </w:rPr>
        <w:t>c.1</w:t>
      </w:r>
      <w:r w:rsidRPr="004B7740">
        <w:rPr>
          <w:noProof/>
          <w:sz w:val="20"/>
          <w:lang w:val="fr-CA"/>
        </w:rPr>
        <w:t xml:space="preserve">)(ii) de la </w:t>
      </w:r>
      <w:r w:rsidRPr="004B7740">
        <w:rPr>
          <w:i/>
          <w:noProof/>
          <w:sz w:val="20"/>
          <w:lang w:val="fr-CA"/>
        </w:rPr>
        <w:t>LPRPDE</w:t>
      </w:r>
      <w:r w:rsidRPr="004B7740">
        <w:rPr>
          <w:noProof/>
          <w:sz w:val="20"/>
          <w:lang w:val="fr-CA"/>
        </w:rPr>
        <w:t xml:space="preserve"> ne peut être considéré comme un des facteurs défavorables à l’existence d’une attente raisonnable en matière de vie privée puisque l’interprétation juste de la disposition applicable dépend elle</w:t>
      </w:r>
      <w:r w:rsidRPr="004B7740">
        <w:rPr>
          <w:noProof/>
          <w:sz w:val="20"/>
          <w:lang w:val="fr-CA"/>
        </w:rPr>
        <w:noBreakHyphen/>
        <w:t xml:space="preserve">même de l’existence d’une telle attente raisonnable en matière de vie privée.  Il serait raisonnable que l’internaute s’attende à ce qu’une simple demande faite par la police n’entraîne pas l’obligation de communiquer les renseignements personnels en question ou qu’elle n’écarte pas l’interdiction générale prévue par la </w:t>
      </w:r>
      <w:r w:rsidRPr="004B7740">
        <w:rPr>
          <w:i/>
          <w:noProof/>
          <w:sz w:val="20"/>
          <w:lang w:val="fr-CA"/>
        </w:rPr>
        <w:t>LPRPDE</w:t>
      </w:r>
      <w:r w:rsidRPr="004B7740">
        <w:rPr>
          <w:noProof/>
          <w:sz w:val="20"/>
          <w:lang w:val="fr-CA"/>
        </w:rPr>
        <w:t xml:space="preserve"> quant à la communication de renseignements personnels sans le consentement de l’intéressé.  Les dispositions du contrat en l’espèce justifient l’existence d’une attente raisonnable en matière de vie privée</w:t>
      </w:r>
      <w:r w:rsidRPr="004B7740">
        <w:rPr>
          <w:sz w:val="20"/>
          <w:lang w:val="fr-CA"/>
        </w:rPr>
        <w:t xml:space="preserve">.  </w:t>
      </w:r>
      <w:r w:rsidRPr="004B7740">
        <w:rPr>
          <w:noProof/>
          <w:sz w:val="20"/>
          <w:lang w:val="fr-CA"/>
        </w:rPr>
        <w:t xml:space="preserve">La demande de renseignements n’était pas étayée par la source de l’autorité légitime de la police, en ce sens que cette dernière pouvait formuler une demande, mais ne détenait pas l’autorité pour obliger le fournisseur à s’y conformer.  Compte tenu de </w:t>
      </w:r>
      <w:r w:rsidRPr="004B7740">
        <w:rPr>
          <w:sz w:val="20"/>
          <w:lang w:val="fr-CA"/>
        </w:rPr>
        <w:t>l’ensemble</w:t>
      </w:r>
      <w:r w:rsidRPr="004B7740">
        <w:rPr>
          <w:noProof/>
          <w:sz w:val="20"/>
          <w:lang w:val="fr-CA"/>
        </w:rPr>
        <w:t xml:space="preserve"> des circonstances de la présente affaire, il existe une attente raisonnable en matière de vie privée à l’égard des renseignements relatifs à l’abonnée.  La demande faite par la police</w:t>
      </w:r>
      <w:r w:rsidRPr="004B7740">
        <w:rPr>
          <w:sz w:val="20"/>
          <w:lang w:val="fr-CA"/>
        </w:rPr>
        <w:t xml:space="preserve"> </w:t>
      </w:r>
      <w:r w:rsidRPr="004B7740">
        <w:rPr>
          <w:noProof/>
          <w:sz w:val="20"/>
          <w:lang w:val="fr-CA"/>
        </w:rPr>
        <w:t>visant la communication volontaire par le FSI de renseignements de cette nature constitue donc une fouille.</w:t>
      </w:r>
    </w:p>
    <w:p w:rsidR="00BC5FE6" w:rsidRDefault="00BC5FE6" w:rsidP="00BC5FE6">
      <w:pPr>
        <w:pStyle w:val="SCCNormalDoubleSpacing"/>
        <w:spacing w:line="240" w:lineRule="auto"/>
        <w:rPr>
          <w:sz w:val="20"/>
          <w:lang w:val="fr-CA"/>
        </w:rPr>
      </w:pPr>
    </w:p>
    <w:p w:rsidR="00BC5FE6" w:rsidRPr="004B7740" w:rsidRDefault="00BC5FE6" w:rsidP="00BC5FE6">
      <w:pPr>
        <w:pStyle w:val="SCCNormalDoubleSpacing"/>
        <w:spacing w:line="240" w:lineRule="auto"/>
        <w:rPr>
          <w:noProof/>
          <w:sz w:val="20"/>
          <w:lang w:val="fr-CA"/>
        </w:rPr>
      </w:pPr>
      <w:r w:rsidRPr="004B7740">
        <w:rPr>
          <w:sz w:val="20"/>
          <w:lang w:val="fr-CA"/>
        </w:rPr>
        <w:tab/>
        <w:t xml:space="preserve">La question de savoir si la fouille effectuée en l’espèce était légitime est subordonnée à celle de savoir si elle était autorisée par la loi.  </w:t>
      </w:r>
      <w:r w:rsidRPr="004B7740">
        <w:rPr>
          <w:noProof/>
          <w:sz w:val="20"/>
          <w:lang w:val="fr-CA"/>
        </w:rPr>
        <w:t xml:space="preserve">Ni le par. 487.014(1) du </w:t>
      </w:r>
      <w:r w:rsidRPr="004B7740">
        <w:rPr>
          <w:i/>
          <w:noProof/>
          <w:sz w:val="20"/>
          <w:lang w:val="fr-CA"/>
        </w:rPr>
        <w:t>Code criminel</w:t>
      </w:r>
      <w:r w:rsidRPr="004B7740">
        <w:rPr>
          <w:noProof/>
          <w:sz w:val="20"/>
          <w:lang w:val="fr-CA"/>
        </w:rPr>
        <w:t xml:space="preserve">, ni la </w:t>
      </w:r>
      <w:r w:rsidRPr="004B7740">
        <w:rPr>
          <w:i/>
          <w:noProof/>
          <w:sz w:val="20"/>
          <w:lang w:val="fr-CA"/>
        </w:rPr>
        <w:t>LPRPDE</w:t>
      </w:r>
      <w:r w:rsidRPr="004B7740">
        <w:rPr>
          <w:noProof/>
          <w:sz w:val="20"/>
          <w:lang w:val="fr-CA"/>
        </w:rPr>
        <w:t xml:space="preserve"> n’ont pour effet de conférer à la police des pouvoirs en matière de fouilles, de perquisitions ou de saisies</w:t>
      </w:r>
      <w:r w:rsidRPr="004B7740">
        <w:rPr>
          <w:sz w:val="20"/>
          <w:lang w:val="fr-CA"/>
        </w:rPr>
        <w:t xml:space="preserve">.  </w:t>
      </w:r>
      <w:r w:rsidRPr="004B7740">
        <w:rPr>
          <w:noProof/>
          <w:sz w:val="20"/>
          <w:lang w:val="fr-CA"/>
        </w:rPr>
        <w:t>Le paragraphe 487.014(1) est une disposition déclaratoire qui confirme les pouvoirs de common law permettant aux policiers de formuler des questions</w:t>
      </w:r>
      <w:r w:rsidRPr="004B7740">
        <w:rPr>
          <w:sz w:val="20"/>
          <w:lang w:val="fr-CA"/>
        </w:rPr>
        <w:t xml:space="preserve">.  </w:t>
      </w:r>
      <w:r w:rsidRPr="004B7740">
        <w:rPr>
          <w:noProof/>
          <w:sz w:val="20"/>
          <w:lang w:val="fr-CA"/>
        </w:rPr>
        <w:t xml:space="preserve">La </w:t>
      </w:r>
      <w:r w:rsidRPr="004B7740">
        <w:rPr>
          <w:i/>
          <w:noProof/>
          <w:sz w:val="20"/>
          <w:lang w:val="fr-CA"/>
        </w:rPr>
        <w:t>LPRPDE</w:t>
      </w:r>
      <w:r w:rsidRPr="004B7740">
        <w:rPr>
          <w:noProof/>
          <w:sz w:val="20"/>
          <w:lang w:val="fr-CA"/>
        </w:rPr>
        <w:t xml:space="preserve"> est une loi qui a pour objet d’accroître la protection des renseignements personnels.</w:t>
      </w:r>
      <w:r w:rsidRPr="004B7740">
        <w:rPr>
          <w:sz w:val="20"/>
          <w:lang w:val="fr-CA"/>
        </w:rPr>
        <w:t xml:space="preserve">  </w:t>
      </w:r>
      <w:r w:rsidRPr="004B7740">
        <w:rPr>
          <w:noProof/>
          <w:sz w:val="20"/>
          <w:lang w:val="fr-CA"/>
        </w:rPr>
        <w:t xml:space="preserve">Puisque, en l’espèce, les policiers n’avaient pas le pouvoir d’effectuer une fouille ou une perquisition pour obtenir des renseignements relatifs à l’abonnée en l’absence de circonstances contraignantes ou d’une loi qui n’a rien d’abusif, ils ne peuvent obtenir un nouveau pouvoir en </w:t>
      </w:r>
      <w:r w:rsidRPr="004B7740">
        <w:rPr>
          <w:sz w:val="20"/>
          <w:lang w:val="fr-CA"/>
        </w:rPr>
        <w:t>matière</w:t>
      </w:r>
      <w:r w:rsidRPr="004B7740">
        <w:rPr>
          <w:noProof/>
          <w:sz w:val="20"/>
          <w:lang w:val="fr-CA"/>
        </w:rPr>
        <w:t xml:space="preserve"> de fouille ou de perquisition par l’effet combiné d’une disposition déclaratoire et d’une disposition adoptée afin de favoriser la protection des renseignements personnels.</w:t>
      </w:r>
      <w:r w:rsidRPr="004B7740">
        <w:rPr>
          <w:sz w:val="20"/>
          <w:lang w:val="fr-CA"/>
        </w:rPr>
        <w:t xml:space="preserve">  L</w:t>
      </w:r>
      <w:r w:rsidRPr="004B7740">
        <w:rPr>
          <w:noProof/>
          <w:sz w:val="20"/>
          <w:lang w:val="fr-CA"/>
        </w:rPr>
        <w:t xml:space="preserve">’exécution de la fouille ou de la perquisition en l’espèce violait donc la </w:t>
      </w:r>
      <w:r w:rsidRPr="004B7740">
        <w:rPr>
          <w:i/>
          <w:noProof/>
          <w:sz w:val="20"/>
          <w:lang w:val="fr-CA"/>
        </w:rPr>
        <w:t>Charte</w:t>
      </w:r>
      <w:r w:rsidRPr="004B7740">
        <w:rPr>
          <w:noProof/>
          <w:sz w:val="20"/>
          <w:lang w:val="fr-CA"/>
        </w:rPr>
        <w:t xml:space="preserve">.  Si les renseignements relatifs à l’abonnée ne lui avaient pas été communiqués, la police n’aurait pas pu obtenir le mandat.  Par conséquent, si ces renseignements sont écartés (ce qui doit être le cas, parce qu’ils ont été obtenus d’une façon inconstitutionnelle), il n’y avait aucun motif valable justifiant la délivrance d’un mandat.  La fouille ou la perquisition de la résidence était donc abusive et violait la </w:t>
      </w:r>
      <w:r w:rsidRPr="004B7740">
        <w:rPr>
          <w:i/>
          <w:sz w:val="20"/>
          <w:lang w:val="fr-CA"/>
        </w:rPr>
        <w:t>Charte</w:t>
      </w:r>
      <w:r w:rsidRPr="004B7740">
        <w:rPr>
          <w:sz w:val="20"/>
          <w:lang w:val="fr-CA"/>
        </w:rPr>
        <w:t>.</w:t>
      </w:r>
    </w:p>
    <w:p w:rsidR="00BC5FE6" w:rsidRDefault="00BC5FE6" w:rsidP="00BC5FE6">
      <w:pPr>
        <w:pStyle w:val="SCCNormalDoubleSpacing"/>
        <w:spacing w:line="240" w:lineRule="auto"/>
        <w:rPr>
          <w:noProof/>
          <w:sz w:val="20"/>
          <w:lang w:val="fr-CA"/>
        </w:rPr>
      </w:pPr>
    </w:p>
    <w:p w:rsidR="00BC5FE6" w:rsidRPr="004B7740" w:rsidRDefault="00BC5FE6" w:rsidP="00BC5FE6">
      <w:pPr>
        <w:pStyle w:val="SCCNormalDoubleSpacing"/>
        <w:spacing w:line="240" w:lineRule="auto"/>
        <w:rPr>
          <w:noProof/>
          <w:sz w:val="20"/>
          <w:lang w:val="fr-CA"/>
        </w:rPr>
      </w:pPr>
      <w:r w:rsidRPr="004B7740">
        <w:rPr>
          <w:noProof/>
          <w:sz w:val="20"/>
          <w:lang w:val="fr-CA"/>
        </w:rPr>
        <w:tab/>
        <w:t>Les policiers se sont toutefois servi de ce qu’ils croyaient raisonnablement être des moyens légitimes pour poursuivre un objectif important visant l’application de la loi.  Par sa nature, la conduite des policiers en l’espèce ne serait pas susceptible de déconsidérer l’administration de la justice.</w:t>
      </w:r>
      <w:r w:rsidRPr="004B7740">
        <w:rPr>
          <w:sz w:val="20"/>
          <w:lang w:val="fr-CA"/>
        </w:rPr>
        <w:t xml:space="preserve">  </w:t>
      </w:r>
      <w:r w:rsidRPr="004B7740">
        <w:rPr>
          <w:noProof/>
          <w:sz w:val="20"/>
          <w:lang w:val="fr-CA"/>
        </w:rPr>
        <w:t xml:space="preserve">Bien que l’incidence de la conduite </w:t>
      </w:r>
      <w:r w:rsidRPr="004B7740">
        <w:rPr>
          <w:sz w:val="20"/>
          <w:lang w:val="fr-CA"/>
        </w:rPr>
        <w:t>attentatoire</w:t>
      </w:r>
      <w:r w:rsidRPr="004B7740">
        <w:rPr>
          <w:noProof/>
          <w:sz w:val="20"/>
          <w:lang w:val="fr-CA"/>
        </w:rPr>
        <w:t xml:space="preserve"> sur les droits de l’accusé garantis par la </w:t>
      </w:r>
      <w:r w:rsidRPr="004B7740">
        <w:rPr>
          <w:i/>
          <w:noProof/>
          <w:sz w:val="20"/>
          <w:lang w:val="fr-CA"/>
        </w:rPr>
        <w:t>Charte</w:t>
      </w:r>
      <w:r w:rsidRPr="004B7740">
        <w:rPr>
          <w:sz w:val="20"/>
          <w:lang w:val="fr-CA"/>
        </w:rPr>
        <w:t xml:space="preserve"> </w:t>
      </w:r>
      <w:r w:rsidRPr="004B7740">
        <w:rPr>
          <w:noProof/>
          <w:sz w:val="20"/>
          <w:lang w:val="fr-CA"/>
        </w:rPr>
        <w:t>favorise l’exclusion de la preuve</w:t>
      </w:r>
      <w:r w:rsidRPr="004B7740">
        <w:rPr>
          <w:sz w:val="20"/>
          <w:lang w:val="fr-CA"/>
        </w:rPr>
        <w:t xml:space="preserve">, </w:t>
      </w:r>
      <w:r w:rsidRPr="004B7740">
        <w:rPr>
          <w:noProof/>
          <w:sz w:val="20"/>
          <w:lang w:val="fr-CA"/>
        </w:rPr>
        <w:t>les infractions reprochées en l’espèce sont graves.  La société a un intérêt manifeste à ce que l’affaire soit jugée et à ce que le fonctionnement du système de justice demeure irréprochable au regard des individus accusés de ces infractions graves</w:t>
      </w:r>
      <w:r w:rsidRPr="004B7740">
        <w:rPr>
          <w:sz w:val="20"/>
          <w:lang w:val="fr-CA"/>
        </w:rPr>
        <w:t xml:space="preserve">.  </w:t>
      </w:r>
      <w:r w:rsidRPr="004B7740">
        <w:rPr>
          <w:noProof/>
          <w:sz w:val="20"/>
          <w:lang w:val="fr-CA"/>
        </w:rPr>
        <w:t>Une mise en balance de ces trois facteurs permet de conclure que c’est l’exclusion de la preuve, et non son admission, qui serait susceptible de déconsidérer l’administration de la justice</w:t>
      </w:r>
      <w:r w:rsidRPr="004B7740">
        <w:rPr>
          <w:sz w:val="20"/>
          <w:lang w:val="fr-CA"/>
        </w:rPr>
        <w:t>.  L’admission de la preuve est donc confirmée.</w:t>
      </w:r>
    </w:p>
    <w:p w:rsidR="00BC5FE6" w:rsidRDefault="00BC5FE6" w:rsidP="00BC5FE6">
      <w:pPr>
        <w:pStyle w:val="SCCNormalDoubleSpacing"/>
        <w:spacing w:line="240" w:lineRule="auto"/>
        <w:rPr>
          <w:noProof/>
          <w:sz w:val="20"/>
          <w:lang w:val="fr-CA"/>
        </w:rPr>
      </w:pPr>
    </w:p>
    <w:p w:rsidR="00BC5FE6" w:rsidRDefault="00BC5FE6" w:rsidP="00BC5FE6">
      <w:pPr>
        <w:pStyle w:val="SCCNormalDoubleSpacing"/>
        <w:spacing w:line="240" w:lineRule="auto"/>
        <w:rPr>
          <w:sz w:val="20"/>
          <w:lang w:val="fr-CA"/>
        </w:rPr>
      </w:pPr>
      <w:r w:rsidRPr="004B7740">
        <w:rPr>
          <w:noProof/>
          <w:sz w:val="20"/>
          <w:lang w:val="fr-CA"/>
        </w:rPr>
        <w:tab/>
        <w:t xml:space="preserve">Il n’est pas contesté que, dans le cadre d’une poursuite sous le régime du par. 163.1(3) du </w:t>
      </w:r>
      <w:r w:rsidRPr="004B7740">
        <w:rPr>
          <w:i/>
          <w:noProof/>
          <w:sz w:val="20"/>
          <w:lang w:val="fr-CA"/>
        </w:rPr>
        <w:t>Code criminel</w:t>
      </w:r>
      <w:r w:rsidRPr="004B7740">
        <w:rPr>
          <w:noProof/>
          <w:sz w:val="20"/>
          <w:lang w:val="fr-CA"/>
        </w:rPr>
        <w:t xml:space="preserve">, il faut prouver que l’accusé avait connaissance du fait que le matériel </w:t>
      </w:r>
      <w:r w:rsidRPr="004B7740">
        <w:rPr>
          <w:sz w:val="20"/>
          <w:lang w:val="fr-CA"/>
        </w:rPr>
        <w:t>pornographique</w:t>
      </w:r>
      <w:r w:rsidRPr="004B7740">
        <w:rPr>
          <w:noProof/>
          <w:sz w:val="20"/>
          <w:lang w:val="fr-CA"/>
        </w:rPr>
        <w:t xml:space="preserve"> était accessible à d’autres personnes.  Il n’est toutefois pas nécessaire que l’accusé doive sciemment, par une certaine action délibérée, faciliter l’accessibilité au matériel.  Les éléments de l’infraction sont tous réunis lorsque l’accusé rend sciemment la pornographie accessible à d’autres personnes</w:t>
      </w:r>
      <w:r w:rsidRPr="004B7740">
        <w:rPr>
          <w:sz w:val="20"/>
          <w:lang w:val="fr-CA"/>
        </w:rPr>
        <w:t xml:space="preserve">.  </w:t>
      </w:r>
      <w:r w:rsidRPr="004B7740">
        <w:rPr>
          <w:noProof/>
          <w:sz w:val="20"/>
          <w:lang w:val="fr-CA"/>
        </w:rPr>
        <w:t xml:space="preserve">Puisque l’aveuglement volontaire était une question en litige et que l’erreur du juge du procès — lorsqu’il a conclu qu’il n’était pas nécessaire d’accomplir un geste délibéré pour satisfaire à l’exigence de la </w:t>
      </w:r>
      <w:r w:rsidRPr="004B7740">
        <w:rPr>
          <w:i/>
          <w:noProof/>
          <w:sz w:val="20"/>
          <w:lang w:val="fr-CA"/>
        </w:rPr>
        <w:t>mens rea</w:t>
      </w:r>
      <w:r w:rsidRPr="004B7740">
        <w:rPr>
          <w:noProof/>
          <w:sz w:val="20"/>
          <w:lang w:val="fr-CA"/>
        </w:rPr>
        <w:t xml:space="preserve"> de l’infraction de rendre accessible — lui a fait omettre l’examen de cette question, il serait raisonnable de penser que cette erreur a eu une incidence sur le verdict d’acquittement.  L’ordonnance prescrivant la tenue d’un nouveau procès</w:t>
      </w:r>
      <w:r w:rsidRPr="004B7740">
        <w:rPr>
          <w:sz w:val="20"/>
          <w:lang w:val="fr-CA"/>
        </w:rPr>
        <w:t xml:space="preserve"> est confirmée.</w:t>
      </w:r>
    </w:p>
    <w:p w:rsidR="00BC5FE6" w:rsidRDefault="00BC5FE6" w:rsidP="00BC5FE6">
      <w:pPr>
        <w:pStyle w:val="SCCNormalDoubleSpacing"/>
        <w:spacing w:line="240" w:lineRule="auto"/>
        <w:rPr>
          <w:sz w:val="20"/>
          <w:lang w:val="fr-CA"/>
        </w:rPr>
      </w:pPr>
    </w:p>
    <w:p w:rsidR="00BC5FE6" w:rsidRPr="004B7740" w:rsidRDefault="00BC5FE6" w:rsidP="00BC5FE6">
      <w:pPr>
        <w:pStyle w:val="SCCNormalDoubleSpacing"/>
        <w:spacing w:line="240" w:lineRule="auto"/>
        <w:rPr>
          <w:sz w:val="20"/>
          <w:lang w:val="fr-CA"/>
        </w:rPr>
      </w:pPr>
      <w:r w:rsidRPr="004B7740">
        <w:rPr>
          <w:sz w:val="20"/>
          <w:lang w:val="fr-CA"/>
        </w:rPr>
        <w:tab/>
        <w:t>POURVOI contre un arrêt de la Cour d’appel de la Saskatchewan (les juges Cameron, Ottenbreit et Caldwell), 2011 SKCA 144, 377 Sask. R. 280, 528 W.A.C. 280, [2012] 4 W.W.R. 425, 283 C.C.C. (3d) 384, [2011] S.J. No. 729 (QL), 2011 CarswellSask 786, qui a confirmé la déclaration de culpabilité de l’accusé quant à l’infraction de possession de pornographie juvénile et annulé son acquittement quant à l’infraction de rendre accessible la pornographie juvénile prononcés par le juge Foley, 2009 SKQB 341, 361 Sask. R. 1, [2009] S.J. No. 798 (QL), 2009 CarswellSask 905, et ordonné la tenue d’un nouveau procès.  Pourvoi rejeté.</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Aaron A. Fox, c.r.,</w:t>
      </w:r>
      <w:r w:rsidRPr="004B7740">
        <w:rPr>
          <w:rStyle w:val="SCCCounselSeparatorChar"/>
          <w:sz w:val="20"/>
        </w:rPr>
        <w:t xml:space="preserve"> et </w:t>
      </w:r>
      <w:r w:rsidRPr="004B7740">
        <w:rPr>
          <w:rStyle w:val="SCCCounselNameChar"/>
          <w:sz w:val="20"/>
          <w:lang w:val="fr-CA"/>
        </w:rPr>
        <w:t>Darren Kraushaar</w:t>
      </w:r>
      <w:r w:rsidRPr="004B7740">
        <w:rPr>
          <w:rStyle w:val="SCCCounselPartyRoleChar"/>
          <w:sz w:val="20"/>
          <w:lang w:val="fr-CA"/>
        </w:rPr>
        <w:t>, pour l’appelant.</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Anthony B. Gerein</w:t>
      </w:r>
      <w:r w:rsidRPr="004B7740">
        <w:rPr>
          <w:rStyle w:val="SCCCounselPartyRoleChar"/>
          <w:sz w:val="20"/>
          <w:lang w:val="fr-CA"/>
        </w:rPr>
        <w:t>, pour l’intimée.</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Ronald C. Reimer</w:t>
      </w:r>
      <w:r w:rsidRPr="004B7740">
        <w:rPr>
          <w:rStyle w:val="SCCCounselSeparatorChar"/>
          <w:sz w:val="20"/>
        </w:rPr>
        <w:t xml:space="preserve"> et </w:t>
      </w:r>
      <w:r w:rsidRPr="004B7740">
        <w:rPr>
          <w:rStyle w:val="SCCCounselNameChar"/>
          <w:sz w:val="20"/>
          <w:lang w:val="fr-CA"/>
        </w:rPr>
        <w:t>David Schermbrucker</w:t>
      </w:r>
      <w:r w:rsidRPr="004B7740">
        <w:rPr>
          <w:rStyle w:val="SCCCounselPartyRoleChar"/>
          <w:sz w:val="20"/>
          <w:lang w:val="fr-CA"/>
        </w:rPr>
        <w:t>, pour l’intervenant le directeur des poursuites pénales.</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Susan Magotiaux</w:t>
      </w:r>
      <w:r w:rsidRPr="004B7740">
        <w:rPr>
          <w:rStyle w:val="SCCCounselSeparatorChar"/>
          <w:sz w:val="20"/>
        </w:rPr>
        <w:t xml:space="preserve"> et </w:t>
      </w:r>
      <w:r w:rsidRPr="004B7740">
        <w:rPr>
          <w:rStyle w:val="SCCCounselNameChar"/>
          <w:sz w:val="20"/>
          <w:lang w:val="fr-CA"/>
        </w:rPr>
        <w:t>Allison Dellandrea</w:t>
      </w:r>
      <w:r w:rsidRPr="004B7740">
        <w:rPr>
          <w:rStyle w:val="SCCCounselPartyRoleChar"/>
          <w:sz w:val="20"/>
          <w:lang w:val="fr-CA"/>
        </w:rPr>
        <w:t>, pour l’intervenant le procureur général de l’Ontario.</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Jolaine Antonio</w:t>
      </w:r>
      <w:r w:rsidRPr="004B7740">
        <w:rPr>
          <w:rStyle w:val="SCCCounselPartyRoleChar"/>
          <w:sz w:val="20"/>
          <w:lang w:val="fr-CA"/>
        </w:rPr>
        <w:t>, pour l’intervenant le procureur général de l’Alberta.</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Mahmud Jamal</w:t>
      </w:r>
      <w:r w:rsidRPr="004B7740">
        <w:rPr>
          <w:rStyle w:val="SCCCounselSeparatorChar"/>
          <w:sz w:val="20"/>
        </w:rPr>
        <w:t xml:space="preserve">, </w:t>
      </w:r>
      <w:r w:rsidRPr="004B7740">
        <w:rPr>
          <w:rStyle w:val="SCCCounselNameChar"/>
          <w:sz w:val="20"/>
          <w:lang w:val="fr-CA"/>
        </w:rPr>
        <w:t>Patricia Kosseim, Daniel Caron</w:t>
      </w:r>
      <w:r w:rsidRPr="004B7740">
        <w:rPr>
          <w:rStyle w:val="SCCCounselSeparatorChar"/>
          <w:sz w:val="20"/>
        </w:rPr>
        <w:t xml:space="preserve"> et </w:t>
      </w:r>
      <w:r w:rsidRPr="004B7740">
        <w:rPr>
          <w:rStyle w:val="SCCCounselNameChar"/>
          <w:sz w:val="20"/>
          <w:lang w:val="fr-CA"/>
        </w:rPr>
        <w:t>Sarah Speevak</w:t>
      </w:r>
      <w:r w:rsidRPr="004B7740">
        <w:rPr>
          <w:rStyle w:val="SCCCounselPartyRoleChar"/>
          <w:sz w:val="20"/>
          <w:lang w:val="fr-CA"/>
        </w:rPr>
        <w:t>, pour l’intervenant le Commissaire à la protection de la vie privée du Canada.</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Anil K. Kapoor</w:t>
      </w:r>
      <w:r w:rsidRPr="004B7740">
        <w:rPr>
          <w:rStyle w:val="SCCCounselSeparatorChar"/>
          <w:sz w:val="20"/>
        </w:rPr>
        <w:t xml:space="preserve"> et </w:t>
      </w:r>
      <w:r w:rsidRPr="004B7740">
        <w:rPr>
          <w:rStyle w:val="SCCCounselNameChar"/>
          <w:sz w:val="20"/>
          <w:lang w:val="fr-CA"/>
        </w:rPr>
        <w:t>Lindsay L. Daviau</w:t>
      </w:r>
      <w:r w:rsidRPr="004B7740">
        <w:rPr>
          <w:rStyle w:val="SCCCounselPartyRoleChar"/>
          <w:sz w:val="20"/>
          <w:lang w:val="fr-CA"/>
        </w:rPr>
        <w:t>, pour l’intervenante l’Association canadienne des libertés civiles.</w:t>
      </w:r>
    </w:p>
    <w:p w:rsidR="00BC5FE6" w:rsidRDefault="00BC5FE6" w:rsidP="00BC5FE6">
      <w:pPr>
        <w:pStyle w:val="SCCNormalDoubleSpacing"/>
        <w:spacing w:line="240" w:lineRule="auto"/>
        <w:rPr>
          <w:rStyle w:val="SCCCounselNameChar"/>
          <w:sz w:val="20"/>
          <w:lang w:val="fr-CA"/>
        </w:rPr>
      </w:pPr>
    </w:p>
    <w:p w:rsidR="00BC5FE6" w:rsidRPr="004B7740" w:rsidRDefault="00BC5FE6" w:rsidP="00BC5FE6">
      <w:pPr>
        <w:pStyle w:val="SCCNormalDoubleSpacing"/>
        <w:spacing w:line="240" w:lineRule="auto"/>
        <w:rPr>
          <w:sz w:val="20"/>
          <w:lang w:val="fr-CA"/>
        </w:rPr>
      </w:pPr>
      <w:r w:rsidRPr="004B7740">
        <w:rPr>
          <w:rStyle w:val="SCCCounselNameChar"/>
          <w:sz w:val="20"/>
          <w:lang w:val="fr-CA"/>
        </w:rPr>
        <w:tab/>
        <w:t>Jonathan Dawe et Jill R. Presser,</w:t>
      </w:r>
      <w:r w:rsidRPr="004B7740">
        <w:rPr>
          <w:rStyle w:val="SCCCounselPartyRoleChar"/>
          <w:sz w:val="20"/>
          <w:lang w:val="fr-CA"/>
        </w:rPr>
        <w:t xml:space="preserve"> pour l’intervenante Criminal Lawyers’ Association of Ontario.</w:t>
      </w:r>
    </w:p>
    <w:p w:rsidR="00BC5FE6" w:rsidRDefault="00BC5FE6" w:rsidP="00BC5FE6">
      <w:pPr>
        <w:pStyle w:val="SCCLawFirm"/>
        <w:spacing w:line="240" w:lineRule="auto"/>
        <w:rPr>
          <w:sz w:val="20"/>
          <w:lang w:val="fr-CA"/>
        </w:rPr>
      </w:pPr>
    </w:p>
    <w:p w:rsidR="00BC5FE6" w:rsidRPr="004B7740" w:rsidRDefault="00BC5FE6" w:rsidP="00BC5FE6">
      <w:pPr>
        <w:pStyle w:val="SCCLawFirm"/>
        <w:spacing w:line="240" w:lineRule="auto"/>
        <w:rPr>
          <w:sz w:val="20"/>
          <w:lang w:val="fr-CA"/>
        </w:rPr>
      </w:pPr>
      <w:r w:rsidRPr="004B7740">
        <w:rPr>
          <w:sz w:val="20"/>
          <w:lang w:val="fr-CA"/>
        </w:rPr>
        <w:tab/>
        <w:t>Procureurs de l’appelant : McDougall Gauley, Regina.</w:t>
      </w:r>
    </w:p>
    <w:p w:rsidR="00BC5FE6" w:rsidRDefault="00BC5FE6" w:rsidP="00BC5FE6">
      <w:pPr>
        <w:pStyle w:val="SCCLawFirm"/>
        <w:spacing w:line="240" w:lineRule="auto"/>
        <w:rPr>
          <w:sz w:val="20"/>
          <w:lang w:val="fr-CA"/>
        </w:rPr>
      </w:pPr>
    </w:p>
    <w:p w:rsidR="00BC5FE6" w:rsidRPr="004B7740" w:rsidRDefault="00BC5FE6" w:rsidP="00BC5FE6">
      <w:pPr>
        <w:pStyle w:val="SCCLawFirm"/>
        <w:spacing w:line="240" w:lineRule="auto"/>
        <w:rPr>
          <w:sz w:val="20"/>
          <w:lang w:val="fr-CA"/>
        </w:rPr>
      </w:pPr>
      <w:r w:rsidRPr="004B7740">
        <w:rPr>
          <w:sz w:val="20"/>
          <w:lang w:val="fr-CA"/>
        </w:rPr>
        <w:tab/>
        <w:t>Procureur de l’intimée : Procureur général de la Saskatchewan, Regina.</w:t>
      </w:r>
    </w:p>
    <w:p w:rsidR="00BC5FE6" w:rsidRDefault="00BC5FE6" w:rsidP="00BC5FE6">
      <w:pPr>
        <w:pStyle w:val="SCCLawFirm"/>
        <w:spacing w:line="240" w:lineRule="auto"/>
        <w:rPr>
          <w:sz w:val="20"/>
          <w:lang w:val="fr-CA"/>
        </w:rPr>
      </w:pPr>
    </w:p>
    <w:p w:rsidR="00BC5FE6" w:rsidRPr="004B7740" w:rsidRDefault="00BC5FE6" w:rsidP="00BC5FE6">
      <w:pPr>
        <w:pStyle w:val="SCCLawFirm"/>
        <w:spacing w:line="240" w:lineRule="auto"/>
        <w:rPr>
          <w:sz w:val="20"/>
          <w:lang w:val="fr-CA"/>
        </w:rPr>
      </w:pPr>
      <w:r w:rsidRPr="004B7740">
        <w:rPr>
          <w:sz w:val="20"/>
          <w:lang w:val="fr-CA"/>
        </w:rPr>
        <w:tab/>
        <w:t>Procureur de l’intervenant le directeur des poursuites pénales : Service des poursuites pénales du Canada, Edmonton et Halifax.</w:t>
      </w:r>
    </w:p>
    <w:p w:rsidR="00BC5FE6" w:rsidRDefault="00BC5FE6" w:rsidP="00BC5FE6">
      <w:pPr>
        <w:pStyle w:val="SCCLawFirm"/>
        <w:spacing w:line="240" w:lineRule="auto"/>
        <w:rPr>
          <w:sz w:val="20"/>
          <w:lang w:val="fr-CA"/>
        </w:rPr>
      </w:pPr>
    </w:p>
    <w:p w:rsidR="00BC5FE6" w:rsidRPr="004B7740" w:rsidRDefault="00BC5FE6" w:rsidP="00BC5FE6">
      <w:pPr>
        <w:pStyle w:val="SCCLawFirm"/>
        <w:spacing w:line="240" w:lineRule="auto"/>
        <w:rPr>
          <w:sz w:val="20"/>
          <w:lang w:val="fr-CA"/>
        </w:rPr>
      </w:pPr>
      <w:r w:rsidRPr="004B7740">
        <w:rPr>
          <w:sz w:val="20"/>
          <w:lang w:val="fr-CA"/>
        </w:rPr>
        <w:tab/>
        <w:t>Procureur de l’intervenant le procureur général de l’Ontario : Procureur général de l’Ontario, Toronto.</w:t>
      </w:r>
    </w:p>
    <w:p w:rsidR="00BC5FE6" w:rsidRDefault="00BC5FE6" w:rsidP="00BC5FE6">
      <w:pPr>
        <w:pStyle w:val="SCCLawFirm"/>
        <w:spacing w:line="240" w:lineRule="auto"/>
        <w:rPr>
          <w:sz w:val="20"/>
          <w:lang w:val="fr-CA"/>
        </w:rPr>
      </w:pPr>
    </w:p>
    <w:p w:rsidR="00BC5FE6" w:rsidRPr="004B7740" w:rsidRDefault="00BC5FE6" w:rsidP="00BC5FE6">
      <w:pPr>
        <w:pStyle w:val="SCCLawFirm"/>
        <w:spacing w:line="240" w:lineRule="auto"/>
        <w:rPr>
          <w:sz w:val="20"/>
          <w:lang w:val="fr-CA"/>
        </w:rPr>
      </w:pPr>
      <w:r w:rsidRPr="004B7740">
        <w:rPr>
          <w:sz w:val="20"/>
          <w:lang w:val="fr-CA"/>
        </w:rPr>
        <w:tab/>
        <w:t>Procureur de l’intervenant le procureur général de l’Alberta : Procureur général de l’Alberta, Calgary.</w:t>
      </w:r>
    </w:p>
    <w:p w:rsidR="00BC5FE6" w:rsidRDefault="00BC5FE6" w:rsidP="00BC5FE6">
      <w:pPr>
        <w:pStyle w:val="SCCLawFirm"/>
        <w:spacing w:line="240" w:lineRule="auto"/>
        <w:rPr>
          <w:sz w:val="20"/>
          <w:lang w:val="fr-CA"/>
        </w:rPr>
      </w:pPr>
    </w:p>
    <w:p w:rsidR="00BC5FE6" w:rsidRPr="004B7740" w:rsidRDefault="00BC5FE6" w:rsidP="00BC5FE6">
      <w:pPr>
        <w:pStyle w:val="SCCLawFirm"/>
        <w:spacing w:line="240" w:lineRule="auto"/>
        <w:rPr>
          <w:sz w:val="20"/>
          <w:lang w:val="fr-CA"/>
        </w:rPr>
      </w:pPr>
      <w:r w:rsidRPr="004B7740">
        <w:rPr>
          <w:sz w:val="20"/>
          <w:lang w:val="fr-CA"/>
        </w:rPr>
        <w:tab/>
        <w:t>Procureurs de l’intervenant le Commissaire à la protection de la vie privée du Canada : Osler, Hoskin &amp; Harcourt, Toronto.</w:t>
      </w:r>
    </w:p>
    <w:p w:rsidR="00BC5FE6" w:rsidRDefault="00BC5FE6" w:rsidP="00BC5FE6">
      <w:pPr>
        <w:pStyle w:val="SCCLawFirm"/>
        <w:spacing w:line="240" w:lineRule="auto"/>
        <w:rPr>
          <w:sz w:val="20"/>
          <w:lang w:val="fr-CA"/>
        </w:rPr>
      </w:pPr>
    </w:p>
    <w:p w:rsidR="00BC5FE6" w:rsidRPr="004B7740" w:rsidRDefault="00BC5FE6" w:rsidP="00BC5FE6">
      <w:pPr>
        <w:pStyle w:val="SCCLawFirm"/>
        <w:spacing w:line="240" w:lineRule="auto"/>
        <w:rPr>
          <w:sz w:val="20"/>
          <w:lang w:val="fr-CA"/>
        </w:rPr>
      </w:pPr>
      <w:r w:rsidRPr="004B7740">
        <w:rPr>
          <w:sz w:val="20"/>
          <w:lang w:val="fr-CA"/>
        </w:rPr>
        <w:tab/>
        <w:t>Procureurs de l’intervenante l’Association canadienne des libertés civiles : Kapoor Barristers, Toronto.</w:t>
      </w:r>
    </w:p>
    <w:p w:rsidR="00BC5FE6" w:rsidRDefault="00BC5FE6" w:rsidP="00BC5FE6">
      <w:pPr>
        <w:pStyle w:val="SCCLawFirm"/>
        <w:spacing w:line="240" w:lineRule="auto"/>
        <w:rPr>
          <w:sz w:val="20"/>
          <w:lang w:val="fr-CA"/>
        </w:rPr>
      </w:pPr>
    </w:p>
    <w:p w:rsidR="00BC5FE6" w:rsidRDefault="00BC5FE6" w:rsidP="00BC5FE6">
      <w:pPr>
        <w:pStyle w:val="SCCLawFirm"/>
        <w:spacing w:line="240" w:lineRule="auto"/>
        <w:rPr>
          <w:sz w:val="20"/>
          <w:lang w:val="fr-CA"/>
        </w:rPr>
      </w:pPr>
      <w:r w:rsidRPr="004B7740">
        <w:rPr>
          <w:sz w:val="20"/>
          <w:lang w:val="fr-CA"/>
        </w:rPr>
        <w:tab/>
        <w:t>Procureurs de l’intervenante Criminal Lawyers’ Association of Ontario : Dawe &amp; Dineen, Toronto; Schreck Presser, Toronto.</w:t>
      </w:r>
    </w:p>
    <w:p w:rsidR="00902E51" w:rsidRPr="00352A49" w:rsidRDefault="00902E51" w:rsidP="00902E51">
      <w:pPr>
        <w:rPr>
          <w:sz w:val="20"/>
          <w:szCs w:val="20"/>
          <w:lang w:val="fr-CA"/>
        </w:rPr>
      </w:pPr>
    </w:p>
    <w:p w:rsidR="00902E51" w:rsidRDefault="006E182C" w:rsidP="00902E51">
      <w:pPr>
        <w:rPr>
          <w:rFonts w:cs="Times New Roman"/>
          <w:sz w:val="20"/>
          <w:szCs w:val="20"/>
          <w:lang w:val="fr-CA"/>
        </w:rPr>
      </w:pPr>
      <w:r>
        <w:rPr>
          <w:rFonts w:cs="Times New Roman"/>
          <w:sz w:val="20"/>
          <w:szCs w:val="20"/>
          <w:lang w:val="fr-CA"/>
        </w:rPr>
        <w:pict>
          <v:rect id="_x0000_i1083"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76"/>
          <w:headerReference w:type="default" r:id="rId77"/>
          <w:footerReference w:type="even" r:id="rId78"/>
          <w:footerReference w:type="default" r:id="rId79"/>
          <w:headerReference w:type="first" r:id="rId80"/>
          <w:footerReference w:type="first" r:id="rId81"/>
          <w:pgSz w:w="12240" w:h="15840"/>
          <w:pgMar w:top="720" w:right="965" w:bottom="1080" w:left="1656" w:header="576" w:footer="960" w:gutter="0"/>
          <w:cols w:space="720"/>
          <w:titlePg/>
          <w:docGrid w:linePitch="272"/>
        </w:sectPr>
      </w:pPr>
    </w:p>
    <w:p w:rsidR="0081610A" w:rsidRPr="002E0C7E" w:rsidRDefault="008222C4" w:rsidP="0081610A">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610A"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610A" w:rsidRPr="002E0C7E">
        <w:rPr>
          <w:rFonts w:asciiTheme="minorHAnsi" w:hAnsiTheme="minorHAnsi" w:cstheme="minorHAnsi"/>
          <w:b/>
          <w:szCs w:val="24"/>
        </w:rPr>
        <w:t xml:space="preserve">SUPREME COURT OF CANADA SCHEDULE / </w:t>
      </w:r>
      <w:r w:rsidR="0081610A" w:rsidRPr="00743E53">
        <w:rPr>
          <w:rFonts w:asciiTheme="minorHAnsi" w:hAnsiTheme="minorHAnsi" w:cstheme="minorHAnsi"/>
          <w:b/>
          <w:szCs w:val="24"/>
          <w:lang w:val="fr-CA"/>
        </w:rPr>
        <w:t>CALENDRIER DE LA COUR SUPR</w:t>
      </w:r>
      <w:r w:rsidR="0081610A">
        <w:rPr>
          <w:rFonts w:asciiTheme="minorHAnsi" w:hAnsiTheme="minorHAnsi" w:cstheme="minorHAnsi"/>
          <w:b/>
          <w:szCs w:val="24"/>
          <w:lang w:val="fr-CA"/>
        </w:rPr>
        <w:t>Ê</w:t>
      </w:r>
      <w:r w:rsidR="0081610A" w:rsidRPr="00743E53">
        <w:rPr>
          <w:rFonts w:asciiTheme="minorHAnsi" w:hAnsiTheme="minorHAnsi" w:cstheme="minorHAnsi"/>
          <w:b/>
          <w:szCs w:val="24"/>
          <w:lang w:val="fr-CA"/>
        </w:rPr>
        <w:t>ME</w:t>
      </w:r>
    </w:p>
    <w:p w:rsidR="0081610A" w:rsidRPr="002E0C7E" w:rsidRDefault="0081610A" w:rsidP="0081610A">
      <w:pPr>
        <w:widowControl w:val="0"/>
        <w:spacing w:line="180" w:lineRule="auto"/>
        <w:rPr>
          <w:rFonts w:asciiTheme="minorHAnsi" w:hAnsiTheme="minorHAnsi" w:cstheme="minorHAnsi"/>
          <w:szCs w:val="24"/>
        </w:rPr>
      </w:pPr>
    </w:p>
    <w:p w:rsidR="0081610A" w:rsidRPr="002E0C7E" w:rsidRDefault="0081610A" w:rsidP="0081610A">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610A" w:rsidRPr="002E0C7E" w:rsidTr="0004528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DECEMBER - DÉCEMBRE</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35CC4"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w:t>
            </w: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0C583B"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0C583B"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4030BA" w:rsidRDefault="0081610A" w:rsidP="0004528B">
            <w:pPr>
              <w:widowControl w:val="0"/>
              <w:jc w:val="center"/>
              <w:rPr>
                <w:rFonts w:ascii="Arial" w:hAnsi="Arial"/>
                <w:sz w:val="14"/>
              </w:rPr>
            </w:pPr>
            <w:r>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25</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26</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4" w:space="0" w:color="auto"/>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MARCH - MARS</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317A69"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610A" w:rsidRPr="00D23ECF"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7255AD"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0E2B85"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34238" w:rsidRDefault="0081610A" w:rsidP="0004528B">
            <w:pPr>
              <w:widowControl w:val="0"/>
              <w:jc w:val="center"/>
              <w:rPr>
                <w:rFonts w:ascii="Arial" w:hAnsi="Arial"/>
                <w:b/>
                <w:sz w:val="14"/>
              </w:rPr>
            </w:pPr>
            <w:r>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23</w:t>
            </w:r>
          </w:p>
          <w:p w:rsidR="0081610A" w:rsidRPr="002E0C7E" w:rsidRDefault="0081610A" w:rsidP="0004528B">
            <w:pPr>
              <w:widowControl w:val="0"/>
              <w:jc w:val="center"/>
              <w:rPr>
                <w:rFonts w:ascii="Arial" w:hAnsi="Arial"/>
                <w:sz w:val="14"/>
              </w:rPr>
            </w:pPr>
            <w:r>
              <w:rPr>
                <w:rFonts w:ascii="Arial" w:hAnsi="Arial"/>
                <w:sz w:val="14"/>
              </w:rPr>
              <w:t xml:space="preserve">  30</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24</w:t>
            </w:r>
          </w:p>
          <w:p w:rsidR="0081610A" w:rsidRPr="002E0C7E" w:rsidRDefault="0081610A" w:rsidP="0004528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1610A" w:rsidRPr="00261B35"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r>
    </w:tbl>
    <w:p w:rsidR="0081610A" w:rsidRPr="002E0C7E" w:rsidRDefault="0081610A" w:rsidP="0081610A">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610A" w:rsidRPr="002E0C7E" w:rsidTr="0004528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610A" w:rsidRPr="002E0C7E" w:rsidRDefault="0081610A" w:rsidP="0004528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610A" w:rsidRPr="002E0C7E" w:rsidRDefault="0081610A" w:rsidP="0004528B">
            <w:pPr>
              <w:widowControl w:val="0"/>
              <w:jc w:val="center"/>
              <w:rPr>
                <w:rFonts w:ascii="Arial" w:hAnsi="Arial"/>
                <w:sz w:val="14"/>
              </w:rPr>
            </w:pPr>
            <w:r w:rsidRPr="002E0C7E">
              <w:rPr>
                <w:rFonts w:ascii="Arial" w:hAnsi="Arial"/>
                <w:b/>
                <w:sz w:val="14"/>
              </w:rPr>
              <w:t>JUNE - JUIN</w:t>
            </w:r>
          </w:p>
        </w:tc>
      </w:tr>
      <w:tr w:rsidR="0081610A" w:rsidRPr="002E0C7E" w:rsidTr="0004528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S</w:t>
            </w:r>
          </w:p>
          <w:p w:rsidR="0081610A" w:rsidRPr="002E0C7E" w:rsidRDefault="0081610A" w:rsidP="0004528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M</w:t>
            </w:r>
          </w:p>
          <w:p w:rsidR="0081610A" w:rsidRPr="002E0C7E" w:rsidRDefault="0081610A" w:rsidP="0004528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W</w:t>
            </w:r>
          </w:p>
          <w:p w:rsidR="0081610A" w:rsidRPr="002E0C7E" w:rsidRDefault="0081610A" w:rsidP="0004528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T</w:t>
            </w:r>
          </w:p>
          <w:p w:rsidR="0081610A" w:rsidRPr="002E0C7E" w:rsidRDefault="0081610A" w:rsidP="0004528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sidRPr="002E0C7E">
              <w:rPr>
                <w:rFonts w:ascii="Arial" w:hAnsi="Arial"/>
                <w:sz w:val="14"/>
              </w:rPr>
              <w:t>F</w:t>
            </w:r>
          </w:p>
          <w:p w:rsidR="0081610A" w:rsidRPr="002E0C7E" w:rsidRDefault="0081610A" w:rsidP="0004528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r>
              <w:rPr>
                <w:rFonts w:ascii="Arial" w:hAnsi="Arial"/>
                <w:sz w:val="14"/>
              </w:rPr>
              <w:t>S</w:t>
            </w:r>
          </w:p>
          <w:p w:rsidR="0081610A" w:rsidRPr="002E0C7E" w:rsidRDefault="0081610A" w:rsidP="0004528B">
            <w:pPr>
              <w:widowControl w:val="0"/>
              <w:jc w:val="center"/>
              <w:rPr>
                <w:rFonts w:ascii="Arial" w:hAnsi="Arial"/>
                <w:sz w:val="14"/>
              </w:rPr>
            </w:pPr>
            <w:r>
              <w:rPr>
                <w:rFonts w:ascii="Arial" w:hAnsi="Arial"/>
                <w:sz w:val="14"/>
              </w:rPr>
              <w:t>S</w:t>
            </w:r>
          </w:p>
        </w:tc>
      </w:tr>
      <w:tr w:rsidR="0081610A" w:rsidRPr="002E0C7E" w:rsidTr="0004528B">
        <w:trPr>
          <w:cantSplit/>
          <w:trHeight w:val="422"/>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710C8B" w:rsidRDefault="0081610A" w:rsidP="0004528B">
            <w:pPr>
              <w:widowControl w:val="0"/>
              <w:jc w:val="center"/>
              <w:rPr>
                <w:rFonts w:ascii="Arial" w:hAnsi="Arial"/>
                <w:b/>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14</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DB5777" w:rsidRDefault="0081610A" w:rsidP="0004528B">
            <w:pPr>
              <w:widowControl w:val="0"/>
              <w:jc w:val="center"/>
              <w:rPr>
                <w:rFonts w:ascii="Arial" w:hAnsi="Arial"/>
                <w:b/>
                <w:sz w:val="14"/>
              </w:rPr>
            </w:pPr>
            <w:r w:rsidRPr="00DB5777">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852172"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sidRPr="002453E3">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610A" w:rsidRPr="006A1E8D" w:rsidRDefault="0081610A" w:rsidP="0004528B">
            <w:pPr>
              <w:widowControl w:val="0"/>
              <w:jc w:val="center"/>
              <w:rPr>
                <w:rFonts w:ascii="Arial" w:hAnsi="Arial"/>
                <w:b/>
                <w:sz w:val="14"/>
              </w:rPr>
            </w:pPr>
            <w:r w:rsidRPr="006A1E8D">
              <w:rPr>
                <w:rFonts w:ascii="Arial" w:hAnsi="Arial"/>
                <w:b/>
                <w:sz w:val="14"/>
              </w:rPr>
              <w:t>M</w:t>
            </w: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w:t>
            </w:r>
            <w:r w:rsidRPr="002E0C7E">
              <w:rPr>
                <w:rFonts w:ascii="Arial" w:hAnsi="Arial"/>
                <w:sz w:val="14"/>
              </w:rPr>
              <w:t>1</w:t>
            </w:r>
          </w:p>
        </w:tc>
      </w:tr>
      <w:tr w:rsidR="0081610A" w:rsidRPr="002E0C7E" w:rsidTr="0004528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20</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vAlign w:val="center"/>
          </w:tcPr>
          <w:p w:rsidR="0081610A" w:rsidRPr="00CD57C3" w:rsidRDefault="0081610A" w:rsidP="0004528B">
            <w:pPr>
              <w:widowControl w:val="0"/>
              <w:jc w:val="center"/>
              <w:rPr>
                <w:rFonts w:ascii="Arial" w:hAnsi="Arial"/>
                <w:b/>
                <w:sz w:val="14"/>
              </w:rPr>
            </w:pPr>
            <w:r w:rsidRPr="00CD57C3">
              <w:rPr>
                <w:rFonts w:ascii="Arial" w:hAnsi="Arial"/>
                <w:b/>
                <w:sz w:val="14"/>
              </w:rPr>
              <w:t>H</w:t>
            </w: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18</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610A" w:rsidRPr="002453E3" w:rsidRDefault="0081610A" w:rsidP="0004528B">
            <w:pPr>
              <w:widowControl w:val="0"/>
              <w:jc w:val="center"/>
              <w:rPr>
                <w:rFonts w:ascii="Arial" w:hAnsi="Arial"/>
                <w:b/>
                <w:sz w:val="14"/>
              </w:rPr>
            </w:pPr>
            <w:r>
              <w:rPr>
                <w:rFonts w:ascii="Arial" w:hAnsi="Arial"/>
                <w:b/>
                <w:sz w:val="14"/>
              </w:rPr>
              <w:t>H</w:t>
            </w:r>
          </w:p>
          <w:p w:rsidR="0081610A" w:rsidRPr="002E0C7E" w:rsidRDefault="0081610A" w:rsidP="0004528B">
            <w:pPr>
              <w:widowControl w:val="0"/>
              <w:jc w:val="center"/>
              <w:rPr>
                <w:rFonts w:ascii="Arial" w:hAnsi="Arial"/>
                <w:sz w:val="14"/>
              </w:rPr>
            </w:pPr>
            <w:r>
              <w:rPr>
                <w:rFonts w:ascii="Arial" w:hAnsi="Arial"/>
                <w:sz w:val="14"/>
              </w:rPr>
              <w:t>19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8</w:t>
            </w:r>
          </w:p>
        </w:tc>
      </w:tr>
      <w:tr w:rsidR="0081610A" w:rsidRPr="002E0C7E" w:rsidTr="0004528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610A" w:rsidRPr="002E0C7E" w:rsidRDefault="0081610A" w:rsidP="0004528B">
            <w:pPr>
              <w:widowControl w:val="0"/>
              <w:jc w:val="center"/>
              <w:rPr>
                <w:rFonts w:ascii="Arial" w:hAnsi="Arial"/>
                <w:sz w:val="14"/>
              </w:rPr>
            </w:pPr>
          </w:p>
          <w:p w:rsidR="0081610A" w:rsidRPr="002E0C7E" w:rsidRDefault="0081610A" w:rsidP="0004528B">
            <w:pPr>
              <w:widowControl w:val="0"/>
              <w:jc w:val="center"/>
              <w:rPr>
                <w:rFonts w:ascii="Arial" w:hAnsi="Arial"/>
                <w:sz w:val="14"/>
              </w:rPr>
            </w:pPr>
          </w:p>
        </w:tc>
      </w:tr>
    </w:tbl>
    <w:p w:rsidR="0081610A" w:rsidRPr="002E0C7E" w:rsidRDefault="0081610A" w:rsidP="0081610A">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610A" w:rsidRPr="002E0C7E" w:rsidTr="0004528B">
        <w:trPr>
          <w:cantSplit/>
        </w:trPr>
        <w:tc>
          <w:tcPr>
            <w:tcW w:w="1710" w:type="dxa"/>
            <w:tcBorders>
              <w:top w:val="nil"/>
              <w:left w:val="nil"/>
              <w:bottom w:val="nil"/>
              <w:right w:val="nil"/>
            </w:tcBorders>
            <w:tcMar>
              <w:top w:w="43" w:type="dxa"/>
              <w:left w:w="120" w:type="dxa"/>
              <w:bottom w:w="29" w:type="dxa"/>
              <w:right w:w="120" w:type="dxa"/>
            </w:tcMar>
          </w:tcPr>
          <w:p w:rsidR="0081610A" w:rsidRPr="002E0C7E" w:rsidRDefault="0081610A" w:rsidP="0004528B">
            <w:pPr>
              <w:widowControl w:val="0"/>
              <w:rPr>
                <w:rFonts w:ascii="Arial" w:hAnsi="Arial"/>
                <w:sz w:val="16"/>
              </w:rPr>
            </w:pPr>
            <w:r w:rsidRPr="002E0C7E">
              <w:rPr>
                <w:rFonts w:ascii="Arial" w:hAnsi="Arial"/>
                <w:sz w:val="16"/>
              </w:rPr>
              <w:t>Sittings of the court:</w:t>
            </w:r>
          </w:p>
          <w:p w:rsidR="0081610A" w:rsidRPr="002E0C7E" w:rsidRDefault="0081610A" w:rsidP="0004528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610A" w:rsidRPr="002E0C7E" w:rsidRDefault="0081610A" w:rsidP="0004528B">
            <w:pPr>
              <w:widowControl w:val="0"/>
              <w:rPr>
                <w:rFonts w:ascii="Arial" w:hAnsi="Arial"/>
                <w:sz w:val="16"/>
              </w:rPr>
            </w:pPr>
          </w:p>
          <w:p w:rsidR="0081610A" w:rsidRPr="002E0C7E" w:rsidRDefault="0081610A" w:rsidP="0004528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610A" w:rsidRPr="00B058C3"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610A" w:rsidRPr="002E0C7E" w:rsidTr="0004528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610A" w:rsidRPr="002E0C7E" w:rsidRDefault="0081610A" w:rsidP="0004528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610A" w:rsidRPr="002E0C7E" w:rsidRDefault="0081610A" w:rsidP="000452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610A" w:rsidRPr="002E0C7E" w:rsidRDefault="0081610A" w:rsidP="0081610A">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82"/>
      <w:footerReference w:type="default" r:id="rId8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E6" w:rsidRDefault="00BC5FE6" w:rsidP="00A87207">
      <w:r>
        <w:separator/>
      </w:r>
    </w:p>
  </w:endnote>
  <w:endnote w:type="continuationSeparator" w:id="0">
    <w:p w:rsidR="00BC5FE6" w:rsidRDefault="00BC5FE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pPr>
      <w:pStyle w:val="Footer"/>
      <w:rPr>
        <w:lang w:val="fr-CA"/>
      </w:rPr>
    </w:pPr>
    <w:r>
      <w:rPr>
        <w:lang w:val="fr-CA"/>
      </w:rPr>
      <w:pict>
        <v:rect id="_x0000_i1069" style="width:480.95pt;height:1pt" o:hralign="center" o:hrstd="t" o:hrnoshade="t" o:hr="t" fillcolor="black [3213]" stroked="f"/>
      </w:pict>
    </w:r>
  </w:p>
  <w:p w:rsidR="00BC5FE6" w:rsidRDefault="00BC5FE6" w:rsidP="00245129">
    <w:pPr>
      <w:tabs>
        <w:tab w:val="center" w:pos="4680"/>
      </w:tabs>
    </w:pPr>
    <w:r>
      <w:tab/>
    </w:r>
    <w:r w:rsidRPr="0009648D">
      <w:t xml:space="preserve">- </w:t>
    </w:r>
    <w:r w:rsidR="006E182C">
      <w:fldChar w:fldCharType="begin"/>
    </w:r>
    <w:r w:rsidR="006E182C">
      <w:instrText xml:space="preserve"> PAGE   \* MERGEFORMAT </w:instrText>
    </w:r>
    <w:r w:rsidR="006E182C">
      <w:fldChar w:fldCharType="separate"/>
    </w:r>
    <w:r w:rsidR="006E182C">
      <w:rPr>
        <w:noProof/>
      </w:rPr>
      <w:t>999</w:t>
    </w:r>
    <w:r w:rsidR="006E182C">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5FE6" w:rsidRDefault="00BC5FE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755F22">
    <w:pPr>
      <w:tabs>
        <w:tab w:val="left" w:pos="-1440"/>
        <w:tab w:val="left" w:pos="-720"/>
      </w:tabs>
    </w:pPr>
    <w:r>
      <w:pict>
        <v:rect id="_x0000_i1074" style="width:480.95pt;height:1pt" o:hralign="center" o:hrstd="t" o:hrnoshade="t" o:hr="t" fillcolor="black [3213]" stroked="f"/>
      </w:pict>
    </w:r>
  </w:p>
  <w:p w:rsidR="00BC5FE6" w:rsidRDefault="00BC5FE6" w:rsidP="00EB2B90">
    <w:pPr>
      <w:tabs>
        <w:tab w:val="center" w:pos="4680"/>
      </w:tabs>
    </w:pPr>
    <w:r>
      <w:tab/>
      <w:t xml:space="preserve">- </w:t>
    </w:r>
    <w:r w:rsidR="006E182C">
      <w:fldChar w:fldCharType="begin"/>
    </w:r>
    <w:r w:rsidR="006E182C">
      <w:instrText xml:space="preserve"> PAGE   \* MERGEFORMAT </w:instrText>
    </w:r>
    <w:r w:rsidR="006E182C">
      <w:fldChar w:fldCharType="separate"/>
    </w:r>
    <w:r w:rsidR="006E182C">
      <w:rPr>
        <w:noProof/>
      </w:rPr>
      <w:t>1028</w:t>
    </w:r>
    <w:r w:rsidR="006E182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EB2B90">
    <w:pPr>
      <w:tabs>
        <w:tab w:val="center" w:pos="4680"/>
      </w:tabs>
    </w:pPr>
    <w:r>
      <w:pict>
        <v:rect id="_x0000_i1075" style="width:480.95pt;height:1pt" o:hralign="center" o:hrstd="t" o:hrnoshade="t" o:hr="t" fillcolor="black [3213]" stroked="f"/>
      </w:pict>
    </w:r>
  </w:p>
  <w:p w:rsidR="00BC5FE6" w:rsidRPr="0031432F" w:rsidRDefault="00BC5FE6" w:rsidP="00EB2B90">
    <w:pPr>
      <w:tabs>
        <w:tab w:val="center" w:pos="4680"/>
      </w:tabs>
    </w:pPr>
    <w:r>
      <w:tab/>
      <w:t xml:space="preserve">- </w:t>
    </w:r>
    <w:r w:rsidR="006E182C">
      <w:fldChar w:fldCharType="begin"/>
    </w:r>
    <w:r w:rsidR="006E182C">
      <w:instrText xml:space="preserve"> PAGE   \* MERGEFORMAT </w:instrText>
    </w:r>
    <w:r w:rsidR="006E182C">
      <w:fldChar w:fldCharType="separate"/>
    </w:r>
    <w:r w:rsidR="006E182C">
      <w:rPr>
        <w:noProof/>
      </w:rPr>
      <w:t>1023</w:t>
    </w:r>
    <w:r w:rsidR="006E182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5FE6" w:rsidRDefault="00BC5FE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732DB7">
    <w:r>
      <w:pict>
        <v:rect id="_x0000_i1078" style="width:480.95pt;height:1pt" o:hralign="center" o:hrstd="t" o:hrnoshade="t" o:hr="t" fillcolor="black" stroked="f"/>
      </w:pict>
    </w:r>
  </w:p>
  <w:p w:rsidR="00BC5FE6" w:rsidRDefault="00BC5FE6">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pPr>
      <w:pStyle w:val="Footer"/>
    </w:pPr>
    <w:r>
      <w:pict>
        <v:rect id="_x0000_i1079" style="width:480.95pt;height:1pt" o:hralign="center" o:hrstd="t" o:hrnoshade="t" o:hr="t" fillcolor="black [3213]" stroked="f"/>
      </w:pict>
    </w:r>
  </w:p>
  <w:p w:rsidR="00BC5FE6" w:rsidRPr="003C2C0F" w:rsidRDefault="00BC5FE6" w:rsidP="00697C62">
    <w:pPr>
      <w:tabs>
        <w:tab w:val="center" w:pos="4680"/>
      </w:tabs>
    </w:pPr>
    <w:r>
      <w:tab/>
      <w:t xml:space="preserve">- </w:t>
    </w:r>
    <w:r w:rsidR="006E182C">
      <w:fldChar w:fldCharType="begin"/>
    </w:r>
    <w:r w:rsidR="006E182C">
      <w:instrText xml:space="preserve"> PAGE   \* MERGEFORMAT </w:instrText>
    </w:r>
    <w:r w:rsidR="006E182C">
      <w:fldChar w:fldCharType="separate"/>
    </w:r>
    <w:r w:rsidR="006E182C">
      <w:rPr>
        <w:noProof/>
      </w:rPr>
      <w:t>1029</w:t>
    </w:r>
    <w:r w:rsidR="006E182C">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5FE6" w:rsidRDefault="00BC5FE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C5FE6" w:rsidRDefault="006E18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4" style="width:480.95pt;height:1pt" o:hralign="center" o:hrstd="t" o:hrnoshade="t" o:hr="t" fillcolor="black [3213]" stroked="f"/>
      </w:pict>
    </w:r>
  </w:p>
  <w:p w:rsidR="00BC5FE6" w:rsidRDefault="00BC5FE6" w:rsidP="00782AE4">
    <w:pPr>
      <w:tabs>
        <w:tab w:val="center" w:pos="4680"/>
      </w:tabs>
    </w:pPr>
    <w:r>
      <w:tab/>
      <w:t xml:space="preserve">- </w:t>
    </w:r>
    <w:r w:rsidR="008222C4" w:rsidRPr="001775C1">
      <w:rPr>
        <w:szCs w:val="24"/>
      </w:rPr>
      <w:fldChar w:fldCharType="begin"/>
    </w:r>
    <w:r w:rsidRPr="001775C1">
      <w:rPr>
        <w:szCs w:val="24"/>
      </w:rPr>
      <w:instrText xml:space="preserve"> PAGE   \* MERGEFORMAT </w:instrText>
    </w:r>
    <w:r w:rsidR="008222C4" w:rsidRPr="001775C1">
      <w:rPr>
        <w:szCs w:val="24"/>
      </w:rPr>
      <w:fldChar w:fldCharType="separate"/>
    </w:r>
    <w:r w:rsidR="006E182C">
      <w:rPr>
        <w:noProof/>
        <w:szCs w:val="24"/>
      </w:rPr>
      <w:t>1041</w:t>
    </w:r>
    <w:r w:rsidR="008222C4"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782AE4">
    <w:pPr>
      <w:tabs>
        <w:tab w:val="center" w:pos="4680"/>
      </w:tabs>
    </w:pPr>
    <w:r>
      <w:pict>
        <v:rect id="_x0000_i1085" style="width:480.95pt;height:1pt" o:hralign="center" o:hrstd="t" o:hrnoshade="t" o:hr="t" fillcolor="black [3213]" stroked="f"/>
      </w:pict>
    </w:r>
  </w:p>
  <w:p w:rsidR="00BC5FE6" w:rsidRDefault="00BC5FE6" w:rsidP="00782AE4">
    <w:pPr>
      <w:tabs>
        <w:tab w:val="center" w:pos="4680"/>
      </w:tabs>
    </w:pPr>
    <w:r>
      <w:tab/>
      <w:t xml:space="preserve">- </w:t>
    </w:r>
    <w:r w:rsidR="008222C4" w:rsidRPr="001775C1">
      <w:rPr>
        <w:szCs w:val="24"/>
      </w:rPr>
      <w:fldChar w:fldCharType="begin"/>
    </w:r>
    <w:r w:rsidRPr="001775C1">
      <w:rPr>
        <w:szCs w:val="24"/>
      </w:rPr>
      <w:instrText xml:space="preserve"> PAGE   \* MERGEFORMAT </w:instrText>
    </w:r>
    <w:r w:rsidR="008222C4" w:rsidRPr="001775C1">
      <w:rPr>
        <w:szCs w:val="24"/>
      </w:rPr>
      <w:fldChar w:fldCharType="separate"/>
    </w:r>
    <w:r w:rsidR="006E182C">
      <w:rPr>
        <w:noProof/>
        <w:szCs w:val="24"/>
      </w:rPr>
      <w:t>1031</w:t>
    </w:r>
    <w:r w:rsidR="008222C4"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Pr="00924065" w:rsidRDefault="00BC5FE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A87207">
    <w:pPr>
      <w:pStyle w:val="Footer"/>
    </w:pPr>
    <w:r>
      <w:pict>
        <v:rect id="_x0000_i1043" style="width:480.95pt;height:1pt" o:hralign="center" o:hrstd="t" o:hrnoshade="t" o:hr="t" fillcolor="black [3213]" stroked="f"/>
      </w:pict>
    </w:r>
  </w:p>
  <w:p w:rsidR="00BC5FE6" w:rsidRPr="00B7374B" w:rsidRDefault="00BC5FE6" w:rsidP="00B7374B">
    <w:pPr>
      <w:tabs>
        <w:tab w:val="center" w:pos="4680"/>
      </w:tabs>
      <w:rPr>
        <w:szCs w:val="24"/>
      </w:rPr>
    </w:pPr>
    <w:r w:rsidRPr="00954D22">
      <w:rPr>
        <w:szCs w:val="24"/>
      </w:rPr>
      <w:tab/>
      <w:t xml:space="preserve">- </w:t>
    </w:r>
    <w:r w:rsidR="008222C4" w:rsidRPr="00954D22">
      <w:rPr>
        <w:szCs w:val="24"/>
      </w:rPr>
      <w:fldChar w:fldCharType="begin"/>
    </w:r>
    <w:r w:rsidRPr="00954D22">
      <w:rPr>
        <w:szCs w:val="24"/>
      </w:rPr>
      <w:instrText xml:space="preserve"> PAGE   \* MERGEFORMAT </w:instrText>
    </w:r>
    <w:r w:rsidR="008222C4" w:rsidRPr="00954D22">
      <w:rPr>
        <w:szCs w:val="24"/>
      </w:rPr>
      <w:fldChar w:fldCharType="separate"/>
    </w:r>
    <w:r w:rsidR="006E182C">
      <w:rPr>
        <w:noProof/>
        <w:szCs w:val="24"/>
      </w:rPr>
      <w:t>996</w:t>
    </w:r>
    <w:r w:rsidR="008222C4"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755F22">
    <w:pPr>
      <w:tabs>
        <w:tab w:val="left" w:pos="-1440"/>
        <w:tab w:val="left" w:pos="-720"/>
      </w:tabs>
    </w:pPr>
    <w:r>
      <w:pict>
        <v:rect id="_x0000_i1044" style="width:480.95pt;height:1pt" o:hralign="center" o:hrstd="t" o:hrnoshade="t" o:hr="t" fillcolor="black [3213]" stroked="f"/>
      </w:pict>
    </w:r>
  </w:p>
  <w:p w:rsidR="00BC5FE6" w:rsidRPr="00954D22" w:rsidRDefault="00BC5FE6" w:rsidP="00B7374B">
    <w:pPr>
      <w:tabs>
        <w:tab w:val="center" w:pos="4680"/>
      </w:tabs>
      <w:rPr>
        <w:szCs w:val="24"/>
      </w:rPr>
    </w:pPr>
    <w:r w:rsidRPr="00954D22">
      <w:rPr>
        <w:szCs w:val="24"/>
      </w:rPr>
      <w:tab/>
      <w:t xml:space="preserve">- </w:t>
    </w:r>
    <w:r w:rsidR="008222C4">
      <w:rPr>
        <w:szCs w:val="24"/>
      </w:rPr>
      <w:fldChar w:fldCharType="begin"/>
    </w:r>
    <w:r>
      <w:rPr>
        <w:szCs w:val="24"/>
      </w:rPr>
      <w:instrText xml:space="preserve"> PAGE   \* MERGEFORMAT </w:instrText>
    </w:r>
    <w:r w:rsidR="008222C4">
      <w:rPr>
        <w:szCs w:val="24"/>
      </w:rPr>
      <w:fldChar w:fldCharType="separate"/>
    </w:r>
    <w:r w:rsidR="006E182C">
      <w:rPr>
        <w:noProof/>
        <w:szCs w:val="24"/>
      </w:rPr>
      <w:t>995</w:t>
    </w:r>
    <w:r w:rsidR="008222C4">
      <w:rPr>
        <w:szCs w:val="24"/>
      </w:rPr>
      <w:fldChar w:fldCharType="end"/>
    </w:r>
    <w:r w:rsidRPr="00954D22">
      <w:rPr>
        <w:szCs w:val="24"/>
      </w:rPr>
      <w:t xml:space="preserve"> -</w:t>
    </w:r>
  </w:p>
  <w:p w:rsidR="00BC5FE6" w:rsidRDefault="00BC5F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A87207">
    <w:pPr>
      <w:pStyle w:val="Footer"/>
    </w:pPr>
    <w:r>
      <w:pict>
        <v:rect id="_x0000_i1046" style="width:480.95pt;height:1pt" o:hralign="center" o:hrstd="t" o:hrnoshade="t" o:hr="t" fillcolor="black [3213]" stroked="f"/>
      </w:pict>
    </w:r>
  </w:p>
  <w:p w:rsidR="00BC5FE6" w:rsidRPr="00B7374B" w:rsidRDefault="00BC5FE6" w:rsidP="00B7374B">
    <w:pPr>
      <w:tabs>
        <w:tab w:val="center" w:pos="4680"/>
      </w:tabs>
      <w:rPr>
        <w:szCs w:val="24"/>
      </w:rPr>
    </w:pPr>
    <w:r w:rsidRPr="00954D22">
      <w:rPr>
        <w:szCs w:val="24"/>
      </w:rPr>
      <w:tab/>
      <w:t xml:space="preserve">- </w:t>
    </w:r>
    <w:r w:rsidR="008222C4" w:rsidRPr="00954D22">
      <w:rPr>
        <w:szCs w:val="24"/>
      </w:rPr>
      <w:fldChar w:fldCharType="begin"/>
    </w:r>
    <w:r w:rsidRPr="00954D22">
      <w:rPr>
        <w:szCs w:val="24"/>
      </w:rPr>
      <w:instrText xml:space="preserve"> PAGE   \* MERGEFORMAT </w:instrText>
    </w:r>
    <w:r w:rsidR="008222C4" w:rsidRPr="00954D22">
      <w:rPr>
        <w:szCs w:val="24"/>
      </w:rPr>
      <w:fldChar w:fldCharType="separate"/>
    </w:r>
    <w:r>
      <w:rPr>
        <w:noProof/>
        <w:szCs w:val="24"/>
      </w:rPr>
      <w:t>999</w:t>
    </w:r>
    <w:r w:rsidR="008222C4"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7" style="width:480.95pt;height:1pt" o:hralign="center" o:hrstd="t" o:hrnoshade="t" o:hr="t" fillcolor="black [3213]" stroked="f"/>
      </w:pict>
    </w:r>
  </w:p>
  <w:p w:rsidR="00BC5FE6" w:rsidRPr="00954D22" w:rsidRDefault="00BC5FE6" w:rsidP="00B7374B">
    <w:pPr>
      <w:tabs>
        <w:tab w:val="center" w:pos="4680"/>
      </w:tabs>
      <w:rPr>
        <w:szCs w:val="24"/>
      </w:rPr>
    </w:pPr>
    <w:r w:rsidRPr="00954D22">
      <w:rPr>
        <w:szCs w:val="24"/>
      </w:rPr>
      <w:tab/>
      <w:t xml:space="preserve">- </w:t>
    </w:r>
    <w:r w:rsidR="008222C4" w:rsidRPr="00954D22">
      <w:rPr>
        <w:szCs w:val="24"/>
      </w:rPr>
      <w:fldChar w:fldCharType="begin"/>
    </w:r>
    <w:r w:rsidRPr="00954D22">
      <w:rPr>
        <w:szCs w:val="24"/>
      </w:rPr>
      <w:instrText xml:space="preserve"> PAGE   \* MERGEFORMAT </w:instrText>
    </w:r>
    <w:r w:rsidR="008222C4" w:rsidRPr="00954D22">
      <w:rPr>
        <w:szCs w:val="24"/>
      </w:rPr>
      <w:fldChar w:fldCharType="separate"/>
    </w:r>
    <w:r w:rsidR="006E182C">
      <w:rPr>
        <w:noProof/>
        <w:szCs w:val="24"/>
      </w:rPr>
      <w:t>998</w:t>
    </w:r>
    <w:r w:rsidR="008222C4"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C5FE6" w:rsidRDefault="00BC5FE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6E18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BC5FE6" w:rsidRPr="0009648D" w:rsidRDefault="00BC5FE6" w:rsidP="00ED7E83">
    <w:pPr>
      <w:tabs>
        <w:tab w:val="center" w:pos="4680"/>
      </w:tabs>
    </w:pPr>
    <w:r>
      <w:tab/>
    </w:r>
    <w:r w:rsidRPr="0009648D">
      <w:t xml:space="preserve">- </w:t>
    </w:r>
    <w:r w:rsidR="006E182C">
      <w:fldChar w:fldCharType="begin"/>
    </w:r>
    <w:r w:rsidR="006E182C">
      <w:instrText xml:space="preserve"> PAGE   \* MERGEFORMAT </w:instrText>
    </w:r>
    <w:r w:rsidR="006E182C">
      <w:fldChar w:fldCharType="separate"/>
    </w:r>
    <w:r w:rsidR="006E182C">
      <w:rPr>
        <w:noProof/>
      </w:rPr>
      <w:t>1022</w:t>
    </w:r>
    <w:r w:rsidR="006E182C">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E6" w:rsidRDefault="00BC5FE6" w:rsidP="00A87207">
      <w:r>
        <w:separator/>
      </w:r>
    </w:p>
  </w:footnote>
  <w:footnote w:type="continuationSeparator" w:id="0">
    <w:p w:rsidR="00BC5FE6" w:rsidRDefault="00BC5FE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C5FE6">
      <w:tc>
        <w:tcPr>
          <w:tcW w:w="4230" w:type="dxa"/>
          <w:tcMar>
            <w:left w:w="0" w:type="dxa"/>
            <w:right w:w="0" w:type="dxa"/>
          </w:tcMar>
        </w:tcPr>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C5FE6" w:rsidRDefault="00BC5F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5FE6" w:rsidRDefault="00BC5F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C5FE6">
      <w:trPr>
        <w:gridAfter w:val="2"/>
        <w:wAfter w:w="5250" w:type="dxa"/>
      </w:trPr>
      <w:tc>
        <w:tcPr>
          <w:tcW w:w="4230" w:type="dxa"/>
          <w:tcMar>
            <w:left w:w="0" w:type="dxa"/>
            <w:right w:w="0" w:type="dxa"/>
          </w:tcMar>
        </w:tcPr>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C5FE6" w:rsidRPr="00755F22" w:rsidTr="00245129">
      <w:tc>
        <w:tcPr>
          <w:tcW w:w="4230" w:type="dxa"/>
          <w:tcMar>
            <w:left w:w="0" w:type="dxa"/>
            <w:right w:w="0" w:type="dxa"/>
          </w:tcMar>
        </w:tcPr>
        <w:p w:rsidR="00BC5FE6" w:rsidRPr="00755F22" w:rsidRDefault="00BC5FE6" w:rsidP="00831CA9">
          <w:pPr>
            <w:keepNext/>
            <w:keepLines/>
            <w:rPr>
              <w:sz w:val="20"/>
              <w:szCs w:val="20"/>
            </w:rPr>
          </w:pPr>
          <w:r w:rsidRPr="00755F22">
            <w:rPr>
              <w:sz w:val="20"/>
              <w:szCs w:val="20"/>
            </w:rPr>
            <w:t>MOTIONS</w:t>
          </w:r>
        </w:p>
      </w:tc>
      <w:tc>
        <w:tcPr>
          <w:tcW w:w="1170" w:type="dxa"/>
          <w:tcMar>
            <w:left w:w="0" w:type="dxa"/>
            <w:right w:w="0" w:type="dxa"/>
          </w:tcMar>
        </w:tcPr>
        <w:p w:rsidR="00BC5FE6" w:rsidRPr="00755F22" w:rsidRDefault="00BC5FE6" w:rsidP="00831CA9">
          <w:pPr>
            <w:keepLines/>
            <w:jc w:val="center"/>
            <w:rPr>
              <w:sz w:val="20"/>
              <w:szCs w:val="20"/>
            </w:rPr>
          </w:pPr>
        </w:p>
        <w:p w:rsidR="00BC5FE6" w:rsidRPr="00755F22" w:rsidRDefault="00BC5FE6" w:rsidP="00831CA9">
          <w:pPr>
            <w:keepLines/>
            <w:tabs>
              <w:tab w:val="left" w:pos="-1440"/>
              <w:tab w:val="left" w:pos="-720"/>
            </w:tabs>
            <w:jc w:val="center"/>
            <w:rPr>
              <w:sz w:val="20"/>
              <w:szCs w:val="20"/>
            </w:rPr>
          </w:pPr>
        </w:p>
      </w:tc>
      <w:tc>
        <w:tcPr>
          <w:tcW w:w="4080" w:type="dxa"/>
          <w:tcMar>
            <w:left w:w="0" w:type="dxa"/>
            <w:right w:w="0" w:type="dxa"/>
          </w:tcMar>
        </w:tcPr>
        <w:p w:rsidR="00BC5FE6" w:rsidRPr="00BA6468" w:rsidRDefault="00BC5FE6" w:rsidP="00BA6468">
          <w:pPr>
            <w:keepLines/>
            <w:rPr>
              <w:sz w:val="20"/>
              <w:szCs w:val="20"/>
              <w:lang w:val="fr-CA"/>
            </w:rPr>
          </w:pPr>
          <w:r w:rsidRPr="00BA6468">
            <w:rPr>
              <w:sz w:val="20"/>
              <w:szCs w:val="20"/>
              <w:lang w:val="fr-CA"/>
            </w:rPr>
            <w:t>REQUÊTES</w:t>
          </w:r>
        </w:p>
      </w:tc>
    </w:tr>
  </w:tbl>
  <w:p w:rsidR="00BC5FE6" w:rsidRDefault="00BC5FE6"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C5FE6" w:rsidRPr="00FF79AE">
      <w:tc>
        <w:tcPr>
          <w:tcW w:w="4200" w:type="dxa"/>
          <w:tcMar>
            <w:left w:w="0" w:type="dxa"/>
            <w:right w:w="0" w:type="dxa"/>
          </w:tcMar>
        </w:tcPr>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BC5FE6" w:rsidRPr="003C2C0F" w:rsidRDefault="00BC5F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BC5FE6" w:rsidRPr="003C2C0F"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BC5FE6" w:rsidRPr="003C2C0F"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C5FE6" w:rsidRPr="00FF79AE" w:rsidTr="00245129">
      <w:tc>
        <w:tcPr>
          <w:tcW w:w="4200" w:type="dxa"/>
          <w:tcMar>
            <w:left w:w="0" w:type="dxa"/>
            <w:right w:w="0" w:type="dxa"/>
          </w:tcMar>
        </w:tcPr>
        <w:p w:rsidR="00BC5FE6" w:rsidRPr="00FF6EEC" w:rsidRDefault="00BC5FE6" w:rsidP="00FF6EEC">
          <w:pPr>
            <w:rPr>
              <w:sz w:val="20"/>
              <w:szCs w:val="20"/>
            </w:rPr>
          </w:pPr>
          <w:r w:rsidRPr="00FF6EEC">
            <w:rPr>
              <w:sz w:val="20"/>
              <w:szCs w:val="20"/>
            </w:rPr>
            <w:t>PRONOUNCEMENTS OF APPEALS RESERVED</w:t>
          </w:r>
        </w:p>
      </w:tc>
      <w:tc>
        <w:tcPr>
          <w:tcW w:w="1200" w:type="dxa"/>
          <w:tcMar>
            <w:left w:w="0" w:type="dxa"/>
            <w:right w:w="0" w:type="dxa"/>
          </w:tcMar>
        </w:tcPr>
        <w:p w:rsidR="00BC5FE6" w:rsidRPr="00FF6EEC" w:rsidRDefault="00BC5FE6" w:rsidP="00FF6EEC">
          <w:pPr>
            <w:jc w:val="center"/>
            <w:rPr>
              <w:sz w:val="20"/>
              <w:szCs w:val="20"/>
            </w:rPr>
          </w:pPr>
        </w:p>
        <w:p w:rsidR="00BC5FE6" w:rsidRPr="00FF6EEC" w:rsidRDefault="00BC5FE6" w:rsidP="00FF6EEC">
          <w:pPr>
            <w:jc w:val="center"/>
            <w:rPr>
              <w:sz w:val="20"/>
              <w:szCs w:val="20"/>
            </w:rPr>
          </w:pPr>
        </w:p>
        <w:p w:rsidR="00BC5FE6" w:rsidRPr="00FF6EEC" w:rsidRDefault="00BC5FE6" w:rsidP="00FF6EEC">
          <w:pPr>
            <w:jc w:val="center"/>
            <w:rPr>
              <w:sz w:val="20"/>
              <w:szCs w:val="20"/>
            </w:rPr>
          </w:pPr>
        </w:p>
      </w:tc>
      <w:tc>
        <w:tcPr>
          <w:tcW w:w="4080" w:type="dxa"/>
          <w:tcMar>
            <w:left w:w="0" w:type="dxa"/>
            <w:right w:w="0" w:type="dxa"/>
          </w:tcMar>
        </w:tcPr>
        <w:p w:rsidR="00BC5FE6" w:rsidRPr="00FF6EEC" w:rsidRDefault="00BC5FE6" w:rsidP="00FF6EEC">
          <w:pPr>
            <w:rPr>
              <w:sz w:val="20"/>
              <w:szCs w:val="20"/>
              <w:lang w:val="fr-CA"/>
            </w:rPr>
          </w:pPr>
          <w:r w:rsidRPr="00FF6EEC">
            <w:rPr>
              <w:sz w:val="20"/>
              <w:szCs w:val="20"/>
              <w:lang w:val="fr-CA"/>
            </w:rPr>
            <w:t>JUGEMENTS RENDUS SUR LES APPELS EN DÉLIBÉRÉ</w:t>
          </w:r>
        </w:p>
      </w:tc>
    </w:tr>
  </w:tbl>
  <w:p w:rsidR="00BC5FE6" w:rsidRPr="003C2C0F" w:rsidRDefault="00BC5FE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C5FE6">
      <w:tc>
        <w:tcPr>
          <w:tcW w:w="4230" w:type="dxa"/>
          <w:tcMar>
            <w:left w:w="0" w:type="dxa"/>
            <w:right w:w="0" w:type="dxa"/>
          </w:tcMar>
        </w:tcPr>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C5FE6" w:rsidRDefault="00BC5F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C5FE6"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C5FE6" w:rsidRPr="00782AE4" w:rsidTr="00245129">
      <w:tc>
        <w:tcPr>
          <w:tcW w:w="4230" w:type="dxa"/>
          <w:tcMar>
            <w:left w:w="0" w:type="dxa"/>
            <w:right w:w="0" w:type="dxa"/>
          </w:tcMar>
        </w:tcPr>
        <w:p w:rsidR="00BC5FE6" w:rsidRPr="00782AE4" w:rsidRDefault="00BC5FE6" w:rsidP="00102926">
          <w:pPr>
            <w:keepNext/>
            <w:keepLines/>
            <w:tabs>
              <w:tab w:val="left" w:pos="-1440"/>
              <w:tab w:val="left" w:pos="-720"/>
            </w:tabs>
            <w:rPr>
              <w:sz w:val="20"/>
              <w:szCs w:val="20"/>
            </w:rPr>
          </w:pPr>
          <w:r w:rsidRPr="00782AE4">
            <w:rPr>
              <w:sz w:val="20"/>
              <w:szCs w:val="20"/>
            </w:rPr>
            <w:t xml:space="preserve">HEADNOTES OF RECENT </w:t>
          </w:r>
        </w:p>
        <w:p w:rsidR="00BC5FE6" w:rsidRPr="00782AE4"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C5FE6" w:rsidRDefault="00BC5FE6" w:rsidP="00102926">
          <w:pPr>
            <w:keepNext/>
            <w:keepLines/>
            <w:tabs>
              <w:tab w:val="left" w:pos="-1440"/>
              <w:tab w:val="left" w:pos="-720"/>
            </w:tabs>
            <w:jc w:val="center"/>
            <w:rPr>
              <w:sz w:val="20"/>
              <w:szCs w:val="20"/>
            </w:rPr>
          </w:pPr>
        </w:p>
        <w:p w:rsidR="00BC5FE6" w:rsidRDefault="00BC5FE6" w:rsidP="00102926">
          <w:pPr>
            <w:keepNext/>
            <w:keepLines/>
            <w:tabs>
              <w:tab w:val="left" w:pos="-1440"/>
              <w:tab w:val="left" w:pos="-720"/>
            </w:tabs>
            <w:jc w:val="center"/>
            <w:rPr>
              <w:sz w:val="20"/>
              <w:szCs w:val="20"/>
            </w:rPr>
          </w:pPr>
        </w:p>
        <w:p w:rsidR="00BC5FE6" w:rsidRPr="00782AE4" w:rsidRDefault="00BC5FE6" w:rsidP="00102926">
          <w:pPr>
            <w:keepNext/>
            <w:keepLines/>
            <w:tabs>
              <w:tab w:val="left" w:pos="-1440"/>
              <w:tab w:val="left" w:pos="-720"/>
            </w:tabs>
            <w:jc w:val="center"/>
            <w:rPr>
              <w:sz w:val="20"/>
              <w:szCs w:val="20"/>
            </w:rPr>
          </w:pPr>
        </w:p>
      </w:tc>
      <w:tc>
        <w:tcPr>
          <w:tcW w:w="4080" w:type="dxa"/>
          <w:tcMar>
            <w:left w:w="0" w:type="dxa"/>
            <w:right w:w="0" w:type="dxa"/>
          </w:tcMar>
        </w:tcPr>
        <w:p w:rsidR="00BC5FE6" w:rsidRPr="0010292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C5FE6" w:rsidRPr="00782AE4" w:rsidRDefault="00BC5FE6" w:rsidP="00102926">
          <w:pPr>
            <w:keepLines/>
            <w:tabs>
              <w:tab w:val="left" w:pos="-1440"/>
              <w:tab w:val="left" w:pos="-720"/>
            </w:tabs>
            <w:rPr>
              <w:sz w:val="20"/>
              <w:szCs w:val="20"/>
            </w:rPr>
          </w:pPr>
          <w:r w:rsidRPr="00102926">
            <w:rPr>
              <w:sz w:val="20"/>
              <w:szCs w:val="20"/>
              <w:lang w:val="fr-CA"/>
            </w:rPr>
            <w:t>RÉCENTS</w:t>
          </w:r>
        </w:p>
      </w:tc>
    </w:tr>
  </w:tbl>
  <w:p w:rsidR="00BC5FE6" w:rsidRDefault="00BC5FE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C5FE6" w:rsidRPr="0044776A" w:rsidTr="00245129">
      <w:tc>
        <w:tcPr>
          <w:tcW w:w="4290" w:type="dxa"/>
          <w:tcMar>
            <w:left w:w="0" w:type="dxa"/>
            <w:right w:w="0" w:type="dxa"/>
          </w:tcMar>
        </w:tcPr>
        <w:p w:rsidR="00BC5FE6" w:rsidRPr="0044776A" w:rsidRDefault="00BC5FE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BC5FE6" w:rsidRPr="0044776A" w:rsidRDefault="00BC5FE6" w:rsidP="002E2327">
          <w:pPr>
            <w:keepNext/>
            <w:keepLines/>
            <w:tabs>
              <w:tab w:val="left" w:pos="-1440"/>
              <w:tab w:val="left" w:pos="-720"/>
            </w:tabs>
            <w:jc w:val="center"/>
            <w:rPr>
              <w:sz w:val="20"/>
              <w:szCs w:val="20"/>
            </w:rPr>
          </w:pPr>
        </w:p>
        <w:p w:rsidR="00BC5FE6" w:rsidRPr="0044776A" w:rsidRDefault="00BC5FE6" w:rsidP="002E2327">
          <w:pPr>
            <w:keepNext/>
            <w:keepLines/>
            <w:tabs>
              <w:tab w:val="left" w:pos="-1440"/>
              <w:tab w:val="left" w:pos="-720"/>
            </w:tabs>
            <w:jc w:val="center"/>
            <w:rPr>
              <w:sz w:val="20"/>
              <w:szCs w:val="20"/>
            </w:rPr>
          </w:pPr>
        </w:p>
        <w:p w:rsidR="00BC5FE6" w:rsidRPr="0044776A" w:rsidRDefault="00BC5FE6" w:rsidP="002E2327">
          <w:pPr>
            <w:keepNext/>
            <w:keepLines/>
            <w:tabs>
              <w:tab w:val="left" w:pos="-1440"/>
              <w:tab w:val="left" w:pos="-720"/>
            </w:tabs>
            <w:jc w:val="center"/>
            <w:rPr>
              <w:sz w:val="20"/>
              <w:szCs w:val="20"/>
            </w:rPr>
          </w:pPr>
        </w:p>
      </w:tc>
      <w:tc>
        <w:tcPr>
          <w:tcW w:w="4320" w:type="dxa"/>
          <w:tcMar>
            <w:left w:w="0" w:type="dxa"/>
            <w:right w:w="0" w:type="dxa"/>
          </w:tcMar>
        </w:tcPr>
        <w:p w:rsidR="00BC5FE6" w:rsidRPr="0044776A" w:rsidRDefault="00BC5FE6" w:rsidP="002E2327">
          <w:pPr>
            <w:keepLines/>
            <w:rPr>
              <w:sz w:val="20"/>
              <w:szCs w:val="20"/>
              <w:lang w:val="fr-CA"/>
            </w:rPr>
          </w:pPr>
          <w:r w:rsidRPr="0044776A">
            <w:rPr>
              <w:sz w:val="20"/>
              <w:szCs w:val="20"/>
              <w:lang w:val="fr-CA"/>
            </w:rPr>
            <w:t>DEMANDES D'AUTORISATION D'APPEL DÉPOSÉES</w:t>
          </w:r>
        </w:p>
      </w:tc>
    </w:tr>
  </w:tbl>
  <w:p w:rsidR="00BC5FE6" w:rsidRDefault="00BC5F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C5FE6" w:rsidRPr="00FF79AE" w:rsidTr="00245129">
      <w:tc>
        <w:tcPr>
          <w:tcW w:w="4200" w:type="dxa"/>
          <w:tcMar>
            <w:left w:w="0" w:type="dxa"/>
            <w:right w:w="0" w:type="dxa"/>
          </w:tcMar>
        </w:tcPr>
        <w:p w:rsidR="00BC5FE6" w:rsidRPr="0044776A" w:rsidRDefault="00BC5FE6" w:rsidP="0044776A">
          <w:pPr>
            <w:keepNext/>
            <w:keepLines/>
            <w:widowControl w:val="0"/>
            <w:rPr>
              <w:sz w:val="20"/>
              <w:szCs w:val="20"/>
            </w:rPr>
          </w:pPr>
          <w:r>
            <w:rPr>
              <w:sz w:val="20"/>
              <w:szCs w:val="20"/>
            </w:rPr>
            <w:t>APPLICATIONS FOR LEAVE</w:t>
          </w:r>
        </w:p>
        <w:p w:rsidR="00BC5FE6" w:rsidRPr="0044776A" w:rsidRDefault="00BC5FE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BC5FE6" w:rsidRPr="0044776A" w:rsidRDefault="00BC5FE6" w:rsidP="0044776A">
          <w:pPr>
            <w:keepNext/>
            <w:keepLines/>
            <w:widowControl w:val="0"/>
            <w:jc w:val="center"/>
            <w:rPr>
              <w:sz w:val="20"/>
              <w:szCs w:val="20"/>
            </w:rPr>
          </w:pPr>
        </w:p>
        <w:p w:rsidR="00BC5FE6" w:rsidRPr="0044776A" w:rsidRDefault="00BC5FE6" w:rsidP="0044776A">
          <w:pPr>
            <w:keepNext/>
            <w:keepLines/>
            <w:widowControl w:val="0"/>
            <w:jc w:val="center"/>
            <w:rPr>
              <w:sz w:val="20"/>
              <w:szCs w:val="20"/>
            </w:rPr>
          </w:pPr>
        </w:p>
        <w:p w:rsidR="00BC5FE6" w:rsidRPr="0044776A" w:rsidRDefault="00BC5FE6" w:rsidP="0044776A">
          <w:pPr>
            <w:keepNext/>
            <w:keepLines/>
            <w:widowControl w:val="0"/>
            <w:jc w:val="center"/>
            <w:rPr>
              <w:sz w:val="20"/>
              <w:szCs w:val="20"/>
            </w:rPr>
          </w:pPr>
        </w:p>
      </w:tc>
      <w:tc>
        <w:tcPr>
          <w:tcW w:w="4080" w:type="dxa"/>
          <w:tcMar>
            <w:left w:w="0" w:type="dxa"/>
            <w:right w:w="0" w:type="dxa"/>
          </w:tcMar>
        </w:tcPr>
        <w:p w:rsidR="00BC5FE6" w:rsidRPr="0044776A" w:rsidRDefault="00BC5FE6" w:rsidP="0044776A">
          <w:pPr>
            <w:keepLines/>
            <w:widowControl w:val="0"/>
            <w:rPr>
              <w:sz w:val="20"/>
              <w:szCs w:val="20"/>
              <w:lang w:val="fr-CA"/>
            </w:rPr>
          </w:pPr>
          <w:r w:rsidRPr="0044776A">
            <w:rPr>
              <w:sz w:val="20"/>
              <w:szCs w:val="20"/>
              <w:lang w:val="fr-CA"/>
            </w:rPr>
            <w:t>DEMANDES SOUMISES À LA COUR DEPUIS LA DERNIÈRE PARUTION</w:t>
          </w:r>
        </w:p>
        <w:p w:rsidR="00BC5FE6" w:rsidRPr="0044776A" w:rsidRDefault="00BC5FE6" w:rsidP="0044776A">
          <w:pPr>
            <w:widowControl w:val="0"/>
            <w:rPr>
              <w:sz w:val="20"/>
              <w:szCs w:val="20"/>
              <w:lang w:val="fr-CA"/>
            </w:rPr>
          </w:pPr>
        </w:p>
      </w:tc>
    </w:tr>
  </w:tbl>
  <w:p w:rsidR="00BC5FE6" w:rsidRPr="002E2327" w:rsidRDefault="00BC5FE6">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E6" w:rsidRDefault="00BC5F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C5FE6" w:rsidRPr="00FF79AE">
      <w:tc>
        <w:tcPr>
          <w:tcW w:w="4200" w:type="dxa"/>
          <w:tcMar>
            <w:left w:w="0" w:type="dxa"/>
            <w:right w:w="0" w:type="dxa"/>
          </w:tcMar>
        </w:tcPr>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C5FE6"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C5FE6" w:rsidRDefault="00BC5F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C5FE6" w:rsidRPr="00FF6BA5" w:rsidRDefault="00BC5F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C5FE6" w:rsidRPr="00FF6BA5"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C5FE6" w:rsidRPr="00FF6BA5"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C5FE6" w:rsidRPr="00FF6BA5" w:rsidRDefault="00BC5F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C5FE6" w:rsidRPr="00FF79AE" w:rsidTr="00245129">
      <w:tc>
        <w:tcPr>
          <w:tcW w:w="4200" w:type="dxa"/>
          <w:tcMar>
            <w:left w:w="0" w:type="dxa"/>
            <w:right w:w="0" w:type="dxa"/>
          </w:tcMar>
        </w:tcPr>
        <w:p w:rsidR="00BC5FE6" w:rsidRPr="00755F22"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BC5FE6" w:rsidRPr="00755F22" w:rsidRDefault="00BC5FE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BC5FE6" w:rsidRPr="00755F22" w:rsidRDefault="00BC5F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C5FE6" w:rsidRPr="00755F22" w:rsidRDefault="00BC5F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C5FE6" w:rsidRPr="00755F22" w:rsidRDefault="00BC5FE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C5FE6" w:rsidRPr="00755F22" w:rsidRDefault="00BC5FE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BC5FE6" w:rsidRPr="00FF6BA5" w:rsidRDefault="00BC5FE6"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59A"/>
    <w:multiLevelType w:val="hybridMultilevel"/>
    <w:tmpl w:val="5C8CCF9E"/>
    <w:lvl w:ilvl="0" w:tplc="5FD61F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DA0414"/>
    <w:multiLevelType w:val="hybridMultilevel"/>
    <w:tmpl w:val="08945BD6"/>
    <w:lvl w:ilvl="0" w:tplc="7FF8BC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CD066A"/>
    <w:multiLevelType w:val="hybridMultilevel"/>
    <w:tmpl w:val="1E12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103B7"/>
    <w:multiLevelType w:val="hybridMultilevel"/>
    <w:tmpl w:val="1E12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rawingGridHorizontalSpacing w:val="120"/>
  <w:displayHorizontalDrawingGridEvery w:val="2"/>
  <w:characterSpacingControl w:val="doNotCompress"/>
  <w:hdrShapeDefaults>
    <o:shapedefaults v:ext="edit" spidmax="71693"/>
  </w:hdrShapeDefaults>
  <w:footnotePr>
    <w:footnote w:id="-1"/>
    <w:footnote w:id="0"/>
  </w:footnotePr>
  <w:endnotePr>
    <w:endnote w:id="-1"/>
    <w:endnote w:id="0"/>
  </w:endnotePr>
  <w:compat>
    <w:compatSetting w:name="compatibilityMode" w:uri="http://schemas.microsoft.com/office/word" w:val="12"/>
  </w:compat>
  <w:rsids>
    <w:rsidRoot w:val="00074BAD"/>
    <w:rsid w:val="00030A93"/>
    <w:rsid w:val="0003223B"/>
    <w:rsid w:val="000327B2"/>
    <w:rsid w:val="0004528B"/>
    <w:rsid w:val="00074BAD"/>
    <w:rsid w:val="0008370D"/>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35CEE"/>
    <w:rsid w:val="00164E6D"/>
    <w:rsid w:val="00183454"/>
    <w:rsid w:val="001A2CBF"/>
    <w:rsid w:val="001B157C"/>
    <w:rsid w:val="001B32B4"/>
    <w:rsid w:val="001B4006"/>
    <w:rsid w:val="001B5C23"/>
    <w:rsid w:val="001D0D5F"/>
    <w:rsid w:val="001D6B8C"/>
    <w:rsid w:val="001F1F83"/>
    <w:rsid w:val="001F40DF"/>
    <w:rsid w:val="002021A9"/>
    <w:rsid w:val="002137EF"/>
    <w:rsid w:val="002139A7"/>
    <w:rsid w:val="00215F7C"/>
    <w:rsid w:val="0022323B"/>
    <w:rsid w:val="002410B8"/>
    <w:rsid w:val="00242AEE"/>
    <w:rsid w:val="00245129"/>
    <w:rsid w:val="00245879"/>
    <w:rsid w:val="002460DE"/>
    <w:rsid w:val="0026022E"/>
    <w:rsid w:val="00267FD5"/>
    <w:rsid w:val="00274D34"/>
    <w:rsid w:val="00280F79"/>
    <w:rsid w:val="00283ED8"/>
    <w:rsid w:val="002868D0"/>
    <w:rsid w:val="0029712F"/>
    <w:rsid w:val="002A008C"/>
    <w:rsid w:val="002A27D1"/>
    <w:rsid w:val="002A4AFA"/>
    <w:rsid w:val="002A76AC"/>
    <w:rsid w:val="002B516C"/>
    <w:rsid w:val="002D1E79"/>
    <w:rsid w:val="002D72EB"/>
    <w:rsid w:val="002E2327"/>
    <w:rsid w:val="002E3583"/>
    <w:rsid w:val="002E5576"/>
    <w:rsid w:val="00306821"/>
    <w:rsid w:val="00331B52"/>
    <w:rsid w:val="003359D3"/>
    <w:rsid w:val="00355967"/>
    <w:rsid w:val="00382C47"/>
    <w:rsid w:val="00384384"/>
    <w:rsid w:val="003866AE"/>
    <w:rsid w:val="003B3977"/>
    <w:rsid w:val="003C5717"/>
    <w:rsid w:val="003E1D4C"/>
    <w:rsid w:val="00404923"/>
    <w:rsid w:val="00417C3F"/>
    <w:rsid w:val="00432989"/>
    <w:rsid w:val="00440E24"/>
    <w:rsid w:val="004442A9"/>
    <w:rsid w:val="0044776A"/>
    <w:rsid w:val="00460AFC"/>
    <w:rsid w:val="0046732A"/>
    <w:rsid w:val="00472B2D"/>
    <w:rsid w:val="0047471F"/>
    <w:rsid w:val="004B195E"/>
    <w:rsid w:val="004B66B4"/>
    <w:rsid w:val="004B7F60"/>
    <w:rsid w:val="004C1AAC"/>
    <w:rsid w:val="004E1E0A"/>
    <w:rsid w:val="004E4EA6"/>
    <w:rsid w:val="004E5E7E"/>
    <w:rsid w:val="004F090E"/>
    <w:rsid w:val="00501F3C"/>
    <w:rsid w:val="00516308"/>
    <w:rsid w:val="0052229C"/>
    <w:rsid w:val="00527CC7"/>
    <w:rsid w:val="00571CA4"/>
    <w:rsid w:val="00582136"/>
    <w:rsid w:val="005A39F0"/>
    <w:rsid w:val="005B2481"/>
    <w:rsid w:val="005C67B3"/>
    <w:rsid w:val="005C6840"/>
    <w:rsid w:val="005F1ED8"/>
    <w:rsid w:val="005F263E"/>
    <w:rsid w:val="00600252"/>
    <w:rsid w:val="00612394"/>
    <w:rsid w:val="00612A40"/>
    <w:rsid w:val="0062714A"/>
    <w:rsid w:val="00631621"/>
    <w:rsid w:val="00656968"/>
    <w:rsid w:val="00657D1D"/>
    <w:rsid w:val="00675479"/>
    <w:rsid w:val="00680709"/>
    <w:rsid w:val="00696BF9"/>
    <w:rsid w:val="00697C62"/>
    <w:rsid w:val="006A329B"/>
    <w:rsid w:val="006A7EB8"/>
    <w:rsid w:val="006B6926"/>
    <w:rsid w:val="006C3F47"/>
    <w:rsid w:val="006C5F7A"/>
    <w:rsid w:val="006E06AF"/>
    <w:rsid w:val="006E182C"/>
    <w:rsid w:val="006F350F"/>
    <w:rsid w:val="00732DB7"/>
    <w:rsid w:val="0074238B"/>
    <w:rsid w:val="00745EF7"/>
    <w:rsid w:val="00755F22"/>
    <w:rsid w:val="00763CD9"/>
    <w:rsid w:val="00766E4A"/>
    <w:rsid w:val="007820CE"/>
    <w:rsid w:val="00782AE4"/>
    <w:rsid w:val="0079724F"/>
    <w:rsid w:val="007A3EAE"/>
    <w:rsid w:val="007C04FC"/>
    <w:rsid w:val="007C47C2"/>
    <w:rsid w:val="007D3E0F"/>
    <w:rsid w:val="007E4282"/>
    <w:rsid w:val="007F387B"/>
    <w:rsid w:val="00802863"/>
    <w:rsid w:val="008056BE"/>
    <w:rsid w:val="008155AB"/>
    <w:rsid w:val="00815B3C"/>
    <w:rsid w:val="0081610A"/>
    <w:rsid w:val="008222C4"/>
    <w:rsid w:val="0082783A"/>
    <w:rsid w:val="00831CA9"/>
    <w:rsid w:val="00850E1F"/>
    <w:rsid w:val="0085476B"/>
    <w:rsid w:val="00860C4C"/>
    <w:rsid w:val="0086340B"/>
    <w:rsid w:val="00890FEB"/>
    <w:rsid w:val="008932BB"/>
    <w:rsid w:val="00895E7E"/>
    <w:rsid w:val="008A5C1A"/>
    <w:rsid w:val="008C257E"/>
    <w:rsid w:val="008C2FD9"/>
    <w:rsid w:val="008D292F"/>
    <w:rsid w:val="008E03DC"/>
    <w:rsid w:val="009025EB"/>
    <w:rsid w:val="00902E51"/>
    <w:rsid w:val="00924065"/>
    <w:rsid w:val="00930D68"/>
    <w:rsid w:val="00932DB4"/>
    <w:rsid w:val="00941A4B"/>
    <w:rsid w:val="00946242"/>
    <w:rsid w:val="0095096B"/>
    <w:rsid w:val="0096768C"/>
    <w:rsid w:val="00970CD3"/>
    <w:rsid w:val="009723FA"/>
    <w:rsid w:val="00984546"/>
    <w:rsid w:val="0099412A"/>
    <w:rsid w:val="00996510"/>
    <w:rsid w:val="009D081A"/>
    <w:rsid w:val="009D1F15"/>
    <w:rsid w:val="009D555E"/>
    <w:rsid w:val="009F3024"/>
    <w:rsid w:val="00A0355E"/>
    <w:rsid w:val="00A375D1"/>
    <w:rsid w:val="00A51D10"/>
    <w:rsid w:val="00A52A83"/>
    <w:rsid w:val="00A6552C"/>
    <w:rsid w:val="00A656F1"/>
    <w:rsid w:val="00A81C08"/>
    <w:rsid w:val="00A87207"/>
    <w:rsid w:val="00A935AA"/>
    <w:rsid w:val="00A956D3"/>
    <w:rsid w:val="00AB2201"/>
    <w:rsid w:val="00AC0C51"/>
    <w:rsid w:val="00AD3259"/>
    <w:rsid w:val="00AF1715"/>
    <w:rsid w:val="00AF3904"/>
    <w:rsid w:val="00B010C0"/>
    <w:rsid w:val="00B4740D"/>
    <w:rsid w:val="00B61629"/>
    <w:rsid w:val="00B7374B"/>
    <w:rsid w:val="00B90DC0"/>
    <w:rsid w:val="00BA116A"/>
    <w:rsid w:val="00BA5582"/>
    <w:rsid w:val="00BA6468"/>
    <w:rsid w:val="00BB0576"/>
    <w:rsid w:val="00BB1D44"/>
    <w:rsid w:val="00BB619B"/>
    <w:rsid w:val="00BC5FE6"/>
    <w:rsid w:val="00BD06DA"/>
    <w:rsid w:val="00BD4217"/>
    <w:rsid w:val="00BF25F3"/>
    <w:rsid w:val="00C1697B"/>
    <w:rsid w:val="00C16BD6"/>
    <w:rsid w:val="00C21644"/>
    <w:rsid w:val="00C21CB5"/>
    <w:rsid w:val="00C24A00"/>
    <w:rsid w:val="00C50A5C"/>
    <w:rsid w:val="00C50FDF"/>
    <w:rsid w:val="00C63381"/>
    <w:rsid w:val="00C73D06"/>
    <w:rsid w:val="00C73E1B"/>
    <w:rsid w:val="00C759B4"/>
    <w:rsid w:val="00C75B3A"/>
    <w:rsid w:val="00C77713"/>
    <w:rsid w:val="00C85BB7"/>
    <w:rsid w:val="00CA2DEA"/>
    <w:rsid w:val="00CB3520"/>
    <w:rsid w:val="00CB43D5"/>
    <w:rsid w:val="00CB737B"/>
    <w:rsid w:val="00CC4D84"/>
    <w:rsid w:val="00CD6D44"/>
    <w:rsid w:val="00CE198A"/>
    <w:rsid w:val="00CF08C8"/>
    <w:rsid w:val="00D004FC"/>
    <w:rsid w:val="00D27A21"/>
    <w:rsid w:val="00D64901"/>
    <w:rsid w:val="00D76BDF"/>
    <w:rsid w:val="00D85B31"/>
    <w:rsid w:val="00D862C1"/>
    <w:rsid w:val="00D93B50"/>
    <w:rsid w:val="00D94028"/>
    <w:rsid w:val="00D94670"/>
    <w:rsid w:val="00D96800"/>
    <w:rsid w:val="00DA46F6"/>
    <w:rsid w:val="00DD0B49"/>
    <w:rsid w:val="00DD7512"/>
    <w:rsid w:val="00DE0502"/>
    <w:rsid w:val="00DE349D"/>
    <w:rsid w:val="00DE4625"/>
    <w:rsid w:val="00E06DFA"/>
    <w:rsid w:val="00E20A0A"/>
    <w:rsid w:val="00E356C7"/>
    <w:rsid w:val="00E41A5A"/>
    <w:rsid w:val="00E45FE4"/>
    <w:rsid w:val="00E64FA7"/>
    <w:rsid w:val="00E770CB"/>
    <w:rsid w:val="00E903A1"/>
    <w:rsid w:val="00E940EB"/>
    <w:rsid w:val="00E9703F"/>
    <w:rsid w:val="00EB2B90"/>
    <w:rsid w:val="00EB7556"/>
    <w:rsid w:val="00EC27EA"/>
    <w:rsid w:val="00ED7E83"/>
    <w:rsid w:val="00EE091F"/>
    <w:rsid w:val="00EF4B63"/>
    <w:rsid w:val="00F0068D"/>
    <w:rsid w:val="00F0576D"/>
    <w:rsid w:val="00F14E6D"/>
    <w:rsid w:val="00F15EA8"/>
    <w:rsid w:val="00F16C8D"/>
    <w:rsid w:val="00F26C61"/>
    <w:rsid w:val="00F33CCE"/>
    <w:rsid w:val="00F37F77"/>
    <w:rsid w:val="00F40249"/>
    <w:rsid w:val="00F43397"/>
    <w:rsid w:val="00F526C8"/>
    <w:rsid w:val="00F75210"/>
    <w:rsid w:val="00F75BFE"/>
    <w:rsid w:val="00F761A3"/>
    <w:rsid w:val="00F9272D"/>
    <w:rsid w:val="00F9518C"/>
    <w:rsid w:val="00FA316E"/>
    <w:rsid w:val="00FA59EF"/>
    <w:rsid w:val="00FB19A2"/>
    <w:rsid w:val="00FE62A1"/>
    <w:rsid w:val="00FF6EEC"/>
    <w:rsid w:val="00FF7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2A76AC"/>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arty">
    <w:name w:val="SCC.Lsoc.Party"/>
    <w:basedOn w:val="Normal"/>
    <w:next w:val="Normal"/>
    <w:link w:val="SCCLsocPartyChar"/>
    <w:rsid w:val="002460DE"/>
    <w:pPr>
      <w:jc w:val="center"/>
    </w:pPr>
    <w:rPr>
      <w:rFonts w:eastAsia="Calibri" w:cs="Times New Roman"/>
      <w:lang w:val="fr-CA"/>
    </w:rPr>
  </w:style>
  <w:style w:type="character" w:customStyle="1" w:styleId="SCCLsocPartyChar">
    <w:name w:val="SCC.Lsoc.Party Char"/>
    <w:basedOn w:val="DefaultParagraphFont"/>
    <w:link w:val="SCCLsocParty"/>
    <w:rsid w:val="002460DE"/>
    <w:rPr>
      <w:rFonts w:eastAsia="Calibri" w:cs="Times New Roman"/>
      <w:lang w:val="fr-CA"/>
    </w:rPr>
  </w:style>
  <w:style w:type="table" w:customStyle="1" w:styleId="TableGrid3">
    <w:name w:val="Table Grid3"/>
    <w:basedOn w:val="TableNormal"/>
    <w:next w:val="TableGrid"/>
    <w:uiPriority w:val="59"/>
    <w:rsid w:val="00D85B3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85B3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85B3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8932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8932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8932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8932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932B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08370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08370D"/>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canlii.ca/en/bc/bcca/doc/2013/2013bcca389/2013bcca389.html" TargetMode="External"/><Relationship Id="rId39" Type="http://schemas.openxmlformats.org/officeDocument/2006/relationships/hyperlink" Target="http://www.canlii.org/fr/qc/qcca/doc/2014/2014qcca104/2014qcca104.html" TargetMode="External"/><Relationship Id="rId21" Type="http://schemas.openxmlformats.org/officeDocument/2006/relationships/header" Target="header6.xml"/><Relationship Id="rId34" Type="http://schemas.openxmlformats.org/officeDocument/2006/relationships/hyperlink" Target="http://www.canlii.org/en/ca/fct/doc/2013/2013fc1/2013fc1.html?searchUrlHash=AAAAAQAFbnV3YW4AAAAAAQ" TargetMode="External"/><Relationship Id="rId42" Type="http://schemas.openxmlformats.org/officeDocument/2006/relationships/hyperlink" Target="http://www.canlii.org/en/on/onsc/doc/2013/2013onsc1838/2013onsc1838.html" TargetMode="External"/><Relationship Id="rId47" Type="http://schemas.openxmlformats.org/officeDocument/2006/relationships/hyperlink" Target="http://canlii.ca/t/g2s8g" TargetMode="External"/><Relationship Id="rId50" Type="http://schemas.openxmlformats.org/officeDocument/2006/relationships/hyperlink" Target="http://www.canlii.org/en/ab/laws/stat/rsa-2000-c-m-22/latest/rsa-2000-c-m-22.html" TargetMode="External"/><Relationship Id="rId55" Type="http://schemas.openxmlformats.org/officeDocument/2006/relationships/hyperlink" Target="http://www.canlii.org/en/ab/abca/doc/2014/2014abca68/2014abca68.html" TargetMode="External"/><Relationship Id="rId63" Type="http://schemas.openxmlformats.org/officeDocument/2006/relationships/header" Target="header12.xml"/><Relationship Id="rId68" Type="http://schemas.openxmlformats.org/officeDocument/2006/relationships/header" Target="header14.xml"/><Relationship Id="rId76" Type="http://schemas.openxmlformats.org/officeDocument/2006/relationships/header" Target="header17.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canlii.org/fr/ca/legis/lois/lrc-1985-c-c-46/derniere/lrc-1985-c-c-46.html"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canlii.org/fr/qc/qcca/doc/2014/2014qcca281/2014qcca281.html" TargetMode="External"/><Relationship Id="rId37" Type="http://schemas.openxmlformats.org/officeDocument/2006/relationships/hyperlink" Target="http://www.canlii.org/fr/qc/qcca/doc/2014/2014qcca104/2014qcca104.html" TargetMode="External"/><Relationship Id="rId40" Type="http://schemas.openxmlformats.org/officeDocument/2006/relationships/hyperlink" Target="http://www.canlii.org/en/on/onsc/doc/2013/2013onsc1838/2013onsc1838.html" TargetMode="External"/><Relationship Id="rId45" Type="http://schemas.openxmlformats.org/officeDocument/2006/relationships/hyperlink" Target="http://canlii.ca/t/g2s8g" TargetMode="External"/><Relationship Id="rId53" Type="http://schemas.openxmlformats.org/officeDocument/2006/relationships/hyperlink" Target="http://www.canlii.org/en/ab/laws/stat/rsa-2000-c-m-22/latest/rsa-2000-c-m-22.html" TargetMode="External"/><Relationship Id="rId58" Type="http://schemas.openxmlformats.org/officeDocument/2006/relationships/footer" Target="footer8.xml"/><Relationship Id="rId66" Type="http://schemas.openxmlformats.org/officeDocument/2006/relationships/header" Target="header13.xml"/><Relationship Id="rId74" Type="http://schemas.openxmlformats.org/officeDocument/2006/relationships/hyperlink" Target="http://www.scc-csc.ca/case-dossier/info/sum-som-eng.aspx?cas=35353" TargetMode="External"/><Relationship Id="rId79"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footer" Target="footer10.xml"/><Relationship Id="rId82" Type="http://schemas.openxmlformats.org/officeDocument/2006/relationships/header" Target="header20.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ca/en/bc/bcsc/doc/2012/2012bcsc1087/2012bcsc1087.html" TargetMode="External"/><Relationship Id="rId30" Type="http://schemas.openxmlformats.org/officeDocument/2006/relationships/hyperlink" Target="http://www.canlii.org/fr/ca/legis/lois/annexe-b-de-la-loi-de-1982-sur-le-canada-r-u-1982-c-11/derniere/annexe-b-de-la-loi-de-1982-sur-le-canada-r-u-1982-c-11.html" TargetMode="External"/><Relationship Id="rId35" Type="http://schemas.openxmlformats.org/officeDocument/2006/relationships/hyperlink" Target="http://www.canlii.org/en/ca/fca/doc/2014/2014fca4/2014fca4.html?searchUrlHash=AAAAAQAFbnV3YW4AAAAAAQ" TargetMode="External"/><Relationship Id="rId43" Type="http://schemas.openxmlformats.org/officeDocument/2006/relationships/hyperlink" Target="http://www.canlii.org/en/on/onca/doc/2014/2014onca38/2014onca38.html" TargetMode="External"/><Relationship Id="rId48" Type="http://schemas.openxmlformats.org/officeDocument/2006/relationships/hyperlink" Target="http://canlii.ca/t/g2qg8" TargetMode="External"/><Relationship Id="rId56" Type="http://schemas.openxmlformats.org/officeDocument/2006/relationships/header" Target="header8.xml"/><Relationship Id="rId64" Type="http://schemas.openxmlformats.org/officeDocument/2006/relationships/footer" Target="footer11.xml"/><Relationship Id="rId69" Type="http://schemas.openxmlformats.org/officeDocument/2006/relationships/header" Target="header15.xml"/><Relationship Id="rId77" Type="http://schemas.openxmlformats.org/officeDocument/2006/relationships/header" Target="header18.xml"/><Relationship Id="rId8" Type="http://schemas.openxmlformats.org/officeDocument/2006/relationships/image" Target="media/image1.wmf"/><Relationship Id="rId51" Type="http://schemas.openxmlformats.org/officeDocument/2006/relationships/hyperlink" Target="http://www.canlii.org/en/ab/abqb/doc/2012/2012abqb644/2012abqb644.html" TargetMode="External"/><Relationship Id="rId72" Type="http://schemas.openxmlformats.org/officeDocument/2006/relationships/header" Target="header16.xml"/><Relationship Id="rId80" Type="http://schemas.openxmlformats.org/officeDocument/2006/relationships/header" Target="header1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ca/en/bc/bcsc/doc/2012/2012bcsc1087/2012bcsc1087.html" TargetMode="External"/><Relationship Id="rId33" Type="http://schemas.openxmlformats.org/officeDocument/2006/relationships/hyperlink" Target="http://www.canlii.org/en/ca/fct/doc/2013/2013fc1/2013fc1.html?searchUrlHash=AAAAAQAFbnV3YW4AAAAAAQ" TargetMode="External"/><Relationship Id="rId38" Type="http://schemas.openxmlformats.org/officeDocument/2006/relationships/hyperlink" Target="http://www.canlii.org/fr/qc/qccs/doc/2013/2013qccs2719/2013qccs2719.html?searchUrlHash=AAAAAQAOMjAxMyBRQ0NTIDI3MTkAAAAAAQ" TargetMode="External"/><Relationship Id="rId46" Type="http://schemas.openxmlformats.org/officeDocument/2006/relationships/hyperlink" Target="http://canlii.ca/t/fwjbl" TargetMode="External"/><Relationship Id="rId59" Type="http://schemas.openxmlformats.org/officeDocument/2006/relationships/footer" Target="footer9.xml"/><Relationship Id="rId67" Type="http://schemas.openxmlformats.org/officeDocument/2006/relationships/footer" Target="footer13.xml"/><Relationship Id="rId20" Type="http://schemas.openxmlformats.org/officeDocument/2006/relationships/footer" Target="footer5.xml"/><Relationship Id="rId41" Type="http://schemas.openxmlformats.org/officeDocument/2006/relationships/hyperlink" Target="http://www.canlii.org/en/on/onca/doc/2014/2014onca38/2014onca38.html" TargetMode="External"/><Relationship Id="rId54" Type="http://schemas.openxmlformats.org/officeDocument/2006/relationships/hyperlink" Target="http://www.canlii.org/en/ab/abqb/doc/2012/2012abqb644/2012abqb644.html" TargetMode="External"/><Relationship Id="rId62" Type="http://schemas.openxmlformats.org/officeDocument/2006/relationships/header" Target="header11.xml"/><Relationship Id="rId70" Type="http://schemas.openxmlformats.org/officeDocument/2006/relationships/footer" Target="footer14.xml"/><Relationship Id="rId75" Type="http://schemas.openxmlformats.org/officeDocument/2006/relationships/hyperlink" Target="http://www.scc-csc.ca/case-dossier/info/sum-som-eng.aspx?cas=34644" TargetMode="External"/><Relationship Id="rId83"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ca/en/bc/bcca/doc/2013/2013bcca389/2013bcca389.html" TargetMode="External"/><Relationship Id="rId36" Type="http://schemas.openxmlformats.org/officeDocument/2006/relationships/hyperlink" Target="http://www.canlii.org/fr/qc/qccs/doc/2013/2013qccs2719/2013qccs2719.html?searchUrlHash=AAAAAQAOMjAxMyBRQ0NTIDI3MTkAAAAAAQ" TargetMode="External"/><Relationship Id="rId49" Type="http://schemas.openxmlformats.org/officeDocument/2006/relationships/hyperlink" Target="http://canlii.ca/t/g2qg8" TargetMode="External"/><Relationship Id="rId57" Type="http://schemas.openxmlformats.org/officeDocument/2006/relationships/header" Target="header9.xml"/><Relationship Id="rId10" Type="http://schemas.openxmlformats.org/officeDocument/2006/relationships/hyperlink" Target="http://www.scc-csc.ca" TargetMode="External"/><Relationship Id="rId31" Type="http://schemas.openxmlformats.org/officeDocument/2006/relationships/hyperlink" Target="http://www.canlii.org/fr/ca/legis/lois/annexe-b-de-la-loi-de-1982-sur-le-canada-r-u-1982-c-11/derniere/annexe-b-de-la-loi-de-1982-sur-le-canada-r-u-1982-c-11.html" TargetMode="External"/><Relationship Id="rId44" Type="http://schemas.openxmlformats.org/officeDocument/2006/relationships/hyperlink" Target="http://canlii.ca/t/fwjbl" TargetMode="External"/><Relationship Id="rId52" Type="http://schemas.openxmlformats.org/officeDocument/2006/relationships/hyperlink" Target="http://www.canlii.org/en/ab/abca/doc/2014/2014abca68/2014abca68.html" TargetMode="External"/><Relationship Id="rId60" Type="http://schemas.openxmlformats.org/officeDocument/2006/relationships/header" Target="header10.xml"/><Relationship Id="rId65" Type="http://schemas.openxmlformats.org/officeDocument/2006/relationships/footer" Target="footer12.xml"/><Relationship Id="rId73" Type="http://schemas.openxmlformats.org/officeDocument/2006/relationships/footer" Target="footer16.xml"/><Relationship Id="rId78" Type="http://schemas.openxmlformats.org/officeDocument/2006/relationships/footer" Target="footer17.xml"/><Relationship Id="rId81"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7ADEF-B12E-4C8D-9ACF-1FC2D607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17135</Words>
  <Characters>97675</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2014-06-09T13:45:00Z</dcterms:created>
  <dcterms:modified xsi:type="dcterms:W3CDTF">2015-12-04T16:14:00Z</dcterms:modified>
</cp:coreProperties>
</file>