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F677DC"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F677DC"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F677DC"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F677DC"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F677DC" w:rsidTr="002E5576">
        <w:tc>
          <w:tcPr>
            <w:tcW w:w="4518" w:type="dxa"/>
          </w:tcPr>
          <w:p w:rsidR="00BF25F3" w:rsidRPr="002E2327" w:rsidRDefault="00274132"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274132"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F677DC"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F677DC"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w:t>
              </w:r>
              <w:r w:rsidR="00F677DC">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w:t>
              </w:r>
              <w:r w:rsidR="00F677DC">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D25A37" w:rsidP="00F0068D">
      <w:pPr>
        <w:pBdr>
          <w:bottom w:val="single" w:sz="6" w:space="1" w:color="auto"/>
        </w:pBdr>
        <w:tabs>
          <w:tab w:val="center" w:pos="4680"/>
          <w:tab w:val="right" w:pos="9360"/>
        </w:tabs>
        <w:rPr>
          <w:lang w:val="fr-CA"/>
        </w:rPr>
      </w:pPr>
      <w:r>
        <w:rPr>
          <w:lang w:val="fr-CA"/>
        </w:rPr>
        <w:t>October 10</w:t>
      </w:r>
      <w:r w:rsidR="00440E24" w:rsidRPr="00675479">
        <w:rPr>
          <w:lang w:val="fr-CA"/>
        </w:rPr>
        <w:t>, 201</w:t>
      </w:r>
      <w:r w:rsidR="00501F3C">
        <w:rPr>
          <w:lang w:val="fr-CA"/>
        </w:rPr>
        <w:t>4</w:t>
      </w:r>
      <w:r w:rsidR="00F0068D" w:rsidRPr="00675479">
        <w:rPr>
          <w:lang w:val="fr-CA"/>
        </w:rPr>
        <w:tab/>
        <w:t>1</w:t>
      </w:r>
      <w:r>
        <w:rPr>
          <w:lang w:val="fr-CA"/>
        </w:rPr>
        <w:t>536</w:t>
      </w:r>
      <w:r w:rsidR="00F0068D" w:rsidRPr="00675479">
        <w:rPr>
          <w:lang w:val="fr-CA"/>
        </w:rPr>
        <w:t xml:space="preserve"> - </w:t>
      </w:r>
      <w:r w:rsidR="008927CA">
        <w:rPr>
          <w:lang w:val="fr-CA"/>
        </w:rPr>
        <w:t>159</w:t>
      </w:r>
      <w:r w:rsidR="006D77C0">
        <w:rPr>
          <w:lang w:val="fr-CA"/>
        </w:rPr>
        <w:t>7</w:t>
      </w:r>
      <w:r w:rsidR="00440E24" w:rsidRPr="00675479">
        <w:rPr>
          <w:lang w:val="fr-CA"/>
        </w:rPr>
        <w:tab/>
      </w:r>
      <w:r w:rsidR="00440E24" w:rsidRPr="002E2327">
        <w:rPr>
          <w:lang w:val="fr-CA"/>
        </w:rPr>
        <w:t>Le</w:t>
      </w:r>
      <w:r w:rsidR="00C73D06">
        <w:rPr>
          <w:lang w:val="fr-CA"/>
        </w:rPr>
        <w:t xml:space="preserve"> </w:t>
      </w:r>
      <w:r>
        <w:rPr>
          <w:lang w:val="fr-CA"/>
        </w:rPr>
        <w:t>10 octobr</w:t>
      </w:r>
      <w:r w:rsidR="00C73D06">
        <w:rPr>
          <w:lang w:val="fr-CA"/>
        </w:rPr>
        <w:t>e</w:t>
      </w:r>
      <w:r w:rsidR="00440E24" w:rsidRPr="002E2327">
        <w:rPr>
          <w:lang w:val="fr-CA"/>
        </w:rPr>
        <w:t xml:space="preserve"> 201</w:t>
      </w:r>
      <w:r w:rsidR="00501F3C">
        <w:rPr>
          <w:lang w:val="fr-CA"/>
        </w:rPr>
        <w:t>4</w:t>
      </w:r>
    </w:p>
    <w:p w:rsidR="00440E24" w:rsidRPr="00675479" w:rsidRDefault="00440E24" w:rsidP="00440E24">
      <w:pPr>
        <w:pBdr>
          <w:bottom w:val="single" w:sz="6" w:space="1" w:color="auto"/>
        </w:pBdr>
        <w:tabs>
          <w:tab w:val="right" w:pos="9360"/>
        </w:tabs>
        <w:rPr>
          <w:lang w:val="fr-CA"/>
        </w:rPr>
      </w:pPr>
    </w:p>
    <w:p w:rsidR="00440E24" w:rsidRPr="00501F3C" w:rsidRDefault="00440E24" w:rsidP="00440E24">
      <w:pPr>
        <w:pBdr>
          <w:bottom w:val="single" w:sz="6" w:space="1" w:color="auto"/>
        </w:pBdr>
        <w:tabs>
          <w:tab w:val="right" w:pos="9360"/>
        </w:tabs>
        <w:rPr>
          <w:sz w:val="18"/>
          <w:szCs w:val="18"/>
          <w:lang w:val="fr-CA"/>
        </w:rPr>
      </w:pPr>
      <w:r w:rsidRPr="00501F3C">
        <w:rPr>
          <w:sz w:val="18"/>
          <w:szCs w:val="18"/>
          <w:lang w:val="fr-CA"/>
        </w:rPr>
        <w:t>© Supreme Court of Canada (201</w:t>
      </w:r>
      <w:r w:rsidR="00501F3C">
        <w:rPr>
          <w:sz w:val="18"/>
          <w:szCs w:val="18"/>
          <w:lang w:val="fr-CA"/>
        </w:rPr>
        <w:t>4</w:t>
      </w:r>
      <w:r w:rsidRPr="00501F3C">
        <w:rPr>
          <w:sz w:val="18"/>
          <w:szCs w:val="18"/>
          <w:lang w:val="fr-CA"/>
        </w:rPr>
        <w:t>)</w:t>
      </w:r>
      <w:r w:rsidRPr="00501F3C">
        <w:rPr>
          <w:sz w:val="18"/>
          <w:szCs w:val="18"/>
          <w:lang w:val="fr-CA"/>
        </w:rPr>
        <w:tab/>
        <w:t>© Cour suprême du Canada (201</w:t>
      </w:r>
      <w:r w:rsidR="00501F3C">
        <w:rPr>
          <w:sz w:val="18"/>
          <w:szCs w:val="18"/>
          <w:lang w:val="fr-CA"/>
        </w:rPr>
        <w:t>4</w:t>
      </w:r>
      <w:r w:rsidRPr="00501F3C">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2245C6">
            <w:pPr>
              <w:tabs>
                <w:tab w:val="right" w:pos="9360"/>
              </w:tabs>
              <w:rPr>
                <w:rFonts w:cs="Times New Roman"/>
                <w:sz w:val="20"/>
                <w:szCs w:val="20"/>
              </w:rPr>
            </w:pPr>
          </w:p>
        </w:tc>
        <w:tc>
          <w:tcPr>
            <w:tcW w:w="1980" w:type="dxa"/>
          </w:tcPr>
          <w:p w:rsidR="0095096B" w:rsidRPr="002E2327" w:rsidRDefault="00D25A37" w:rsidP="0095096B">
            <w:pPr>
              <w:jc w:val="center"/>
              <w:rPr>
                <w:rFonts w:cs="Times New Roman"/>
                <w:sz w:val="20"/>
                <w:szCs w:val="20"/>
              </w:rPr>
            </w:pPr>
            <w:r>
              <w:rPr>
                <w:rFonts w:cs="Times New Roman"/>
                <w:sz w:val="20"/>
                <w:szCs w:val="20"/>
              </w:rPr>
              <w:t xml:space="preserve">1536 </w:t>
            </w:r>
            <w:r w:rsidR="00274132" w:rsidRPr="002E2327">
              <w:rPr>
                <w:rFonts w:cs="Times New Roman"/>
                <w:sz w:val="20"/>
                <w:szCs w:val="20"/>
              </w:rPr>
              <w:fldChar w:fldCharType="begin"/>
            </w:r>
            <w:r w:rsidR="0095096B" w:rsidRPr="002E2327">
              <w:rPr>
                <w:rFonts w:cs="Times New Roman"/>
                <w:sz w:val="20"/>
                <w:szCs w:val="20"/>
              </w:rPr>
              <w:instrText xml:space="preserve"> SEQ CHAPTER \h \r 1</w:instrText>
            </w:r>
            <w:r w:rsidR="00274132" w:rsidRPr="002E2327">
              <w:rPr>
                <w:rFonts w:cs="Times New Roman"/>
                <w:sz w:val="20"/>
                <w:szCs w:val="20"/>
              </w:rPr>
              <w:fldChar w:fldCharType="end"/>
            </w:r>
            <w:r w:rsidR="0095096B" w:rsidRPr="002E2327">
              <w:rPr>
                <w:rFonts w:cs="Times New Roman"/>
                <w:sz w:val="20"/>
                <w:szCs w:val="20"/>
              </w:rPr>
              <w:t>-</w:t>
            </w:r>
            <w:r w:rsidR="00795A83">
              <w:rPr>
                <w:rFonts w:cs="Times New Roman"/>
                <w:sz w:val="20"/>
                <w:szCs w:val="20"/>
              </w:rPr>
              <w:t xml:space="preserve"> 1538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795A83" w:rsidP="0095096B">
            <w:pPr>
              <w:jc w:val="center"/>
              <w:rPr>
                <w:rFonts w:cs="Times New Roman"/>
                <w:sz w:val="20"/>
                <w:szCs w:val="20"/>
              </w:rPr>
            </w:pPr>
            <w:r>
              <w:rPr>
                <w:rFonts w:cs="Times New Roman"/>
                <w:sz w:val="20"/>
                <w:szCs w:val="20"/>
              </w:rPr>
              <w:t>1539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Default="000163CA" w:rsidP="0095096B">
            <w:pPr>
              <w:jc w:val="center"/>
              <w:rPr>
                <w:rFonts w:cs="Times New Roman"/>
                <w:sz w:val="20"/>
                <w:szCs w:val="20"/>
              </w:rPr>
            </w:pPr>
            <w:r>
              <w:rPr>
                <w:rFonts w:cs="Times New Roman"/>
                <w:sz w:val="20"/>
                <w:szCs w:val="20"/>
              </w:rPr>
              <w:t xml:space="preserve">1540 </w:t>
            </w:r>
            <w:r w:rsidR="006D77C0">
              <w:rPr>
                <w:rFonts w:cs="Times New Roman"/>
                <w:sz w:val="20"/>
                <w:szCs w:val="20"/>
              </w:rPr>
              <w:t>-</w:t>
            </w:r>
            <w:r w:rsidR="007732B1">
              <w:rPr>
                <w:rFonts w:cs="Times New Roman"/>
                <w:sz w:val="20"/>
                <w:szCs w:val="20"/>
              </w:rPr>
              <w:t xml:space="preserve"> 156</w:t>
            </w:r>
            <w:r w:rsidR="008927CA">
              <w:rPr>
                <w:rFonts w:cs="Times New Roman"/>
                <w:sz w:val="20"/>
                <w:szCs w:val="20"/>
              </w:rPr>
              <w:t>3</w:t>
            </w:r>
          </w:p>
          <w:p w:rsidR="008927CA" w:rsidRPr="002E2327" w:rsidRDefault="008927CA" w:rsidP="0095096B">
            <w:pPr>
              <w:jc w:val="center"/>
              <w:rPr>
                <w:rFonts w:cs="Times New Roman"/>
                <w:sz w:val="20"/>
                <w:szCs w:val="20"/>
              </w:rPr>
            </w:pPr>
          </w:p>
          <w:p w:rsidR="007732B1" w:rsidRDefault="007732B1" w:rsidP="0095096B">
            <w:pPr>
              <w:jc w:val="center"/>
              <w:rPr>
                <w:rFonts w:cs="Times New Roman"/>
                <w:sz w:val="20"/>
                <w:szCs w:val="20"/>
              </w:rPr>
            </w:pPr>
          </w:p>
          <w:p w:rsidR="0095096B" w:rsidRPr="002E2327" w:rsidRDefault="007732B1" w:rsidP="0095096B">
            <w:pPr>
              <w:jc w:val="center"/>
              <w:rPr>
                <w:rFonts w:cs="Times New Roman"/>
                <w:sz w:val="20"/>
                <w:szCs w:val="20"/>
              </w:rPr>
            </w:pPr>
            <w:r>
              <w:rPr>
                <w:rFonts w:cs="Times New Roman"/>
                <w:sz w:val="20"/>
                <w:szCs w:val="20"/>
              </w:rPr>
              <w:t>156</w:t>
            </w:r>
            <w:r w:rsidR="008927CA">
              <w:rPr>
                <w:rFonts w:cs="Times New Roman"/>
                <w:sz w:val="20"/>
                <w:szCs w:val="20"/>
              </w:rPr>
              <w:t>4</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157</w:t>
            </w:r>
            <w:r w:rsidR="008927CA">
              <w:rPr>
                <w:rFonts w:cs="Times New Roman"/>
                <w:sz w:val="20"/>
                <w:szCs w:val="20"/>
              </w:rPr>
              <w:t>4</w:t>
            </w:r>
          </w:p>
          <w:p w:rsidR="0095096B" w:rsidRPr="002E2327" w:rsidRDefault="0095096B" w:rsidP="0095096B">
            <w:pPr>
              <w:jc w:val="center"/>
              <w:rPr>
                <w:rFonts w:cs="Times New Roman"/>
                <w:sz w:val="20"/>
                <w:szCs w:val="20"/>
              </w:rPr>
            </w:pPr>
          </w:p>
          <w:p w:rsidR="0095096B" w:rsidRPr="002E2327" w:rsidRDefault="007732B1" w:rsidP="0095096B">
            <w:pPr>
              <w:jc w:val="center"/>
              <w:rPr>
                <w:rFonts w:cs="Times New Roman"/>
                <w:sz w:val="20"/>
                <w:szCs w:val="20"/>
              </w:rPr>
            </w:pPr>
            <w:r>
              <w:rPr>
                <w:rFonts w:cs="Times New Roman"/>
                <w:sz w:val="20"/>
                <w:szCs w:val="20"/>
              </w:rPr>
              <w:t>157</w:t>
            </w:r>
            <w:r w:rsidR="008927CA">
              <w:rPr>
                <w:rFonts w:cs="Times New Roman"/>
                <w:sz w:val="20"/>
                <w:szCs w:val="20"/>
              </w:rPr>
              <w:t>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7732B1" w:rsidP="0095096B">
            <w:pPr>
              <w:jc w:val="center"/>
              <w:rPr>
                <w:rFonts w:cs="Times New Roman"/>
                <w:sz w:val="20"/>
                <w:szCs w:val="20"/>
              </w:rPr>
            </w:pPr>
            <w:r>
              <w:rPr>
                <w:rFonts w:cs="Times New Roman"/>
                <w:sz w:val="20"/>
                <w:szCs w:val="20"/>
              </w:rPr>
              <w:t>157</w:t>
            </w:r>
            <w:r w:rsidR="008927CA">
              <w:rPr>
                <w:rFonts w:cs="Times New Roman"/>
                <w:sz w:val="20"/>
                <w:szCs w:val="20"/>
              </w:rPr>
              <w:t>6</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w:t>
            </w:r>
            <w:r w:rsidR="007753CE">
              <w:rPr>
                <w:rFonts w:cs="Times New Roman"/>
                <w:sz w:val="20"/>
                <w:szCs w:val="20"/>
              </w:rPr>
              <w:t>157</w:t>
            </w:r>
            <w:r w:rsidR="006D77C0">
              <w:rPr>
                <w:rFonts w:cs="Times New Roman"/>
                <w:sz w:val="20"/>
                <w:szCs w:val="20"/>
              </w:rPr>
              <w:t>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927CA" w:rsidP="0095096B">
            <w:pPr>
              <w:jc w:val="center"/>
              <w:rPr>
                <w:rFonts w:cs="Times New Roman"/>
                <w:sz w:val="20"/>
                <w:szCs w:val="20"/>
              </w:rPr>
            </w:pPr>
            <w:r>
              <w:rPr>
                <w:rFonts w:cs="Times New Roman"/>
                <w:sz w:val="20"/>
                <w:szCs w:val="20"/>
              </w:rPr>
              <w:t>15</w:t>
            </w:r>
            <w:r w:rsidR="006D77C0">
              <w:rPr>
                <w:rFonts w:cs="Times New Roman"/>
                <w:sz w:val="20"/>
                <w:szCs w:val="20"/>
              </w:rPr>
              <w:t>79</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158</w:t>
            </w:r>
            <w:r w:rsidR="006D77C0">
              <w:rPr>
                <w:rFonts w:cs="Times New Roman"/>
                <w:sz w:val="20"/>
                <w:szCs w:val="20"/>
              </w:rPr>
              <w:t>0</w:t>
            </w:r>
          </w:p>
          <w:p w:rsidR="0095096B" w:rsidRDefault="0095096B" w:rsidP="0095096B">
            <w:pPr>
              <w:jc w:val="center"/>
              <w:rPr>
                <w:rFonts w:cs="Times New Roman"/>
                <w:sz w:val="20"/>
                <w:szCs w:val="20"/>
              </w:rPr>
            </w:pPr>
          </w:p>
          <w:p w:rsidR="007732B1" w:rsidRPr="002E2327" w:rsidRDefault="007732B1" w:rsidP="0095096B">
            <w:pPr>
              <w:jc w:val="center"/>
              <w:rPr>
                <w:rFonts w:cs="Times New Roman"/>
                <w:sz w:val="20"/>
                <w:szCs w:val="20"/>
              </w:rPr>
            </w:pPr>
          </w:p>
          <w:p w:rsidR="0095096B" w:rsidRPr="002E2327" w:rsidRDefault="008927CA" w:rsidP="0095096B">
            <w:pPr>
              <w:jc w:val="center"/>
              <w:rPr>
                <w:rFonts w:cs="Times New Roman"/>
                <w:sz w:val="20"/>
                <w:szCs w:val="20"/>
              </w:rPr>
            </w:pPr>
            <w:r>
              <w:rPr>
                <w:rFonts w:cs="Times New Roman"/>
                <w:sz w:val="20"/>
                <w:szCs w:val="20"/>
              </w:rPr>
              <w:t>158</w:t>
            </w:r>
            <w:r w:rsidR="006D77C0">
              <w:rPr>
                <w:rFonts w:cs="Times New Roman"/>
                <w:sz w:val="20"/>
                <w:szCs w:val="20"/>
              </w:rPr>
              <w:t>1</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159</w:t>
            </w:r>
            <w:r w:rsidR="006D77C0">
              <w:rPr>
                <w:rFonts w:cs="Times New Roman"/>
                <w:sz w:val="20"/>
                <w:szCs w:val="20"/>
              </w:rPr>
              <w:t>7</w:t>
            </w:r>
          </w:p>
          <w:p w:rsidR="00A87207" w:rsidRPr="002E2327" w:rsidRDefault="00A87207" w:rsidP="002245C6">
            <w:pPr>
              <w:jc w:val="center"/>
              <w:rPr>
                <w:rFonts w:cs="Times New Roman"/>
                <w:sz w:val="20"/>
                <w:szCs w:val="20"/>
              </w:rPr>
            </w:pPr>
          </w:p>
        </w:tc>
        <w:tc>
          <w:tcPr>
            <w:tcW w:w="3888" w:type="dxa"/>
          </w:tcPr>
          <w:p w:rsidR="0095096B" w:rsidRPr="002E2327" w:rsidRDefault="00274132"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2245C6">
            <w:pPr>
              <w:rPr>
                <w:rFonts w:cs="Times New Roman"/>
                <w:sz w:val="20"/>
                <w:szCs w:val="20"/>
                <w:lang w:val="fr-CA"/>
              </w:rPr>
            </w:pPr>
          </w:p>
        </w:tc>
      </w:tr>
    </w:tbl>
    <w:p w:rsidR="0095096B" w:rsidRDefault="0095096B" w:rsidP="0095096B">
      <w:pPr>
        <w:tabs>
          <w:tab w:val="right" w:pos="9360"/>
        </w:tabs>
      </w:pPr>
    </w:p>
    <w:p w:rsidR="00F51D88" w:rsidRDefault="00F51D88" w:rsidP="0095096B">
      <w:pPr>
        <w:tabs>
          <w:tab w:val="right" w:pos="9360"/>
        </w:tabs>
      </w:pPr>
    </w:p>
    <w:p w:rsidR="00F51D88" w:rsidRDefault="00F51D88" w:rsidP="0095096B">
      <w:pPr>
        <w:tabs>
          <w:tab w:val="right" w:pos="9360"/>
        </w:tabs>
      </w:pPr>
    </w:p>
    <w:p w:rsidR="00F51D88" w:rsidRDefault="00F51D88" w:rsidP="0095096B">
      <w:pPr>
        <w:tabs>
          <w:tab w:val="right" w:pos="9360"/>
        </w:tabs>
      </w:pPr>
    </w:p>
    <w:p w:rsidR="00F51D88" w:rsidRPr="002E2327" w:rsidRDefault="00F51D88" w:rsidP="0095096B">
      <w:pPr>
        <w:tabs>
          <w:tab w:val="right" w:pos="9360"/>
        </w:tabs>
      </w:pPr>
    </w:p>
    <w:tbl>
      <w:tblPr>
        <w:tblStyle w:val="TableGrid"/>
        <w:tblW w:w="0" w:type="auto"/>
        <w:tblLook w:val="04A0" w:firstRow="1" w:lastRow="0" w:firstColumn="1" w:lastColumn="0" w:noHBand="0" w:noVBand="1"/>
      </w:tblPr>
      <w:tblGrid>
        <w:gridCol w:w="9576"/>
      </w:tblGrid>
      <w:tr w:rsidR="0079724F" w:rsidRPr="00F677DC"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AE41EE" w:rsidRPr="00C21644" w:rsidTr="003B3977">
        <w:tc>
          <w:tcPr>
            <w:tcW w:w="4320" w:type="dxa"/>
            <w:shd w:val="clear" w:color="auto" w:fill="auto"/>
          </w:tcPr>
          <w:p w:rsidR="00AE41EE" w:rsidRPr="00AE41EE" w:rsidRDefault="00AE41EE" w:rsidP="005F1ED8">
            <w:pPr>
              <w:rPr>
                <w:b/>
                <w:sz w:val="20"/>
                <w:szCs w:val="20"/>
                <w:lang w:val="fr-CA"/>
              </w:rPr>
            </w:pPr>
            <w:r w:rsidRPr="00AE41EE">
              <w:rPr>
                <w:b/>
                <w:sz w:val="20"/>
                <w:szCs w:val="20"/>
                <w:lang w:val="fr-CA"/>
              </w:rPr>
              <w:t>Sergent Damien Arsenault</w:t>
            </w:r>
          </w:p>
          <w:p w:rsidR="00AE41EE" w:rsidRPr="00AE41EE" w:rsidRDefault="00AE41EE" w:rsidP="005F1ED8">
            <w:pPr>
              <w:tabs>
                <w:tab w:val="left" w:pos="-1440"/>
                <w:tab w:val="left" w:pos="-720"/>
              </w:tabs>
              <w:rPr>
                <w:sz w:val="20"/>
                <w:szCs w:val="20"/>
                <w:lang w:val="fr-CA"/>
              </w:rPr>
            </w:pPr>
            <w:r w:rsidRPr="00AE41EE">
              <w:rPr>
                <w:sz w:val="20"/>
                <w:szCs w:val="20"/>
                <w:lang w:val="fr-CA"/>
              </w:rPr>
              <w:tab/>
              <w:t xml:space="preserve">Mark Létourneau </w:t>
            </w:r>
          </w:p>
          <w:p w:rsidR="00AE41EE" w:rsidRPr="00E95CE4" w:rsidRDefault="00AE41EE" w:rsidP="005F1ED8">
            <w:pPr>
              <w:tabs>
                <w:tab w:val="left" w:pos="-1440"/>
                <w:tab w:val="left" w:pos="-720"/>
              </w:tabs>
              <w:rPr>
                <w:sz w:val="20"/>
                <w:szCs w:val="20"/>
                <w:lang w:val="fr-CA"/>
              </w:rPr>
            </w:pPr>
            <w:r w:rsidRPr="00AE41EE">
              <w:rPr>
                <w:sz w:val="20"/>
                <w:szCs w:val="20"/>
                <w:lang w:val="fr-CA"/>
              </w:rPr>
              <w:tab/>
              <w:t>D</w:t>
            </w:r>
            <w:r w:rsidRPr="00E95CE4">
              <w:rPr>
                <w:sz w:val="20"/>
                <w:szCs w:val="20"/>
                <w:lang w:val="fr-CA"/>
              </w:rPr>
              <w:t>e</w:t>
            </w:r>
            <w:r>
              <w:rPr>
                <w:sz w:val="20"/>
                <w:szCs w:val="20"/>
                <w:lang w:val="fr-CA"/>
              </w:rPr>
              <w:t>fence Counse</w:t>
            </w:r>
            <w:r w:rsidRPr="00E95CE4">
              <w:rPr>
                <w:sz w:val="20"/>
                <w:szCs w:val="20"/>
                <w:lang w:val="fr-CA"/>
              </w:rPr>
              <w:t>l</w:t>
            </w:r>
            <w:r>
              <w:rPr>
                <w:sz w:val="20"/>
                <w:szCs w:val="20"/>
                <w:lang w:val="fr-CA"/>
              </w:rPr>
              <w:t xml:space="preserve"> Services</w:t>
            </w:r>
          </w:p>
          <w:p w:rsidR="00AE41EE" w:rsidRPr="00E95CE4" w:rsidRDefault="00AE41EE" w:rsidP="005F1ED8">
            <w:pPr>
              <w:tabs>
                <w:tab w:val="left" w:pos="-1440"/>
                <w:tab w:val="left" w:pos="-720"/>
              </w:tabs>
              <w:rPr>
                <w:sz w:val="20"/>
                <w:szCs w:val="20"/>
                <w:lang w:val="fr-CA"/>
              </w:rPr>
            </w:pPr>
          </w:p>
          <w:p w:rsidR="00AE41EE" w:rsidRPr="00E95CE4" w:rsidRDefault="00AE41EE" w:rsidP="005F1ED8">
            <w:pPr>
              <w:tabs>
                <w:tab w:val="left" w:pos="-1440"/>
                <w:tab w:val="left" w:pos="-720"/>
              </w:tabs>
              <w:rPr>
                <w:sz w:val="20"/>
                <w:szCs w:val="20"/>
                <w:lang w:val="fr-CA"/>
              </w:rPr>
            </w:pPr>
            <w:r w:rsidRPr="00E95CE4">
              <w:rPr>
                <w:sz w:val="20"/>
                <w:szCs w:val="20"/>
                <w:lang w:val="fr-CA"/>
              </w:rPr>
              <w:tab/>
            </w:r>
            <w:r>
              <w:rPr>
                <w:sz w:val="20"/>
                <w:szCs w:val="20"/>
                <w:lang w:val="fr-CA"/>
              </w:rPr>
              <w:t>c</w:t>
            </w:r>
            <w:r w:rsidRPr="00E95CE4">
              <w:rPr>
                <w:sz w:val="20"/>
                <w:szCs w:val="20"/>
                <w:lang w:val="fr-CA"/>
              </w:rPr>
              <w:t>. (35</w:t>
            </w:r>
            <w:r>
              <w:rPr>
                <w:sz w:val="20"/>
                <w:szCs w:val="20"/>
                <w:lang w:val="fr-CA"/>
              </w:rPr>
              <w:t>946</w:t>
            </w:r>
            <w:r w:rsidRPr="00E95CE4">
              <w:rPr>
                <w:sz w:val="20"/>
                <w:szCs w:val="20"/>
                <w:lang w:val="fr-CA"/>
              </w:rPr>
              <w:t>)</w:t>
            </w:r>
          </w:p>
          <w:p w:rsidR="00AE41EE" w:rsidRPr="00E95CE4" w:rsidRDefault="00AE41EE" w:rsidP="005F1ED8">
            <w:pPr>
              <w:tabs>
                <w:tab w:val="left" w:pos="-1440"/>
                <w:tab w:val="left" w:pos="-720"/>
              </w:tabs>
              <w:rPr>
                <w:sz w:val="20"/>
                <w:szCs w:val="20"/>
                <w:lang w:val="fr-CA"/>
              </w:rPr>
            </w:pPr>
          </w:p>
          <w:p w:rsidR="00AE41EE" w:rsidRPr="00AE41EE" w:rsidRDefault="00AE41EE" w:rsidP="005F1ED8">
            <w:pPr>
              <w:tabs>
                <w:tab w:val="left" w:pos="-1440"/>
                <w:tab w:val="left" w:pos="-720"/>
              </w:tabs>
              <w:rPr>
                <w:b/>
                <w:sz w:val="20"/>
                <w:szCs w:val="20"/>
                <w:lang w:val="fr-CA"/>
              </w:rPr>
            </w:pPr>
            <w:r>
              <w:rPr>
                <w:b/>
                <w:sz w:val="20"/>
                <w:szCs w:val="20"/>
                <w:lang w:val="fr-CA"/>
              </w:rPr>
              <w:t>Sa Majesté la Re</w:t>
            </w:r>
            <w:r w:rsidRPr="00E95CE4">
              <w:rPr>
                <w:b/>
                <w:sz w:val="20"/>
                <w:szCs w:val="20"/>
                <w:lang w:val="fr-CA"/>
              </w:rPr>
              <w:t>ine</w:t>
            </w:r>
            <w:r w:rsidRPr="00E95CE4">
              <w:rPr>
                <w:sz w:val="20"/>
                <w:szCs w:val="20"/>
                <w:lang w:val="fr-CA"/>
              </w:rPr>
              <w:t xml:space="preserve"> </w:t>
            </w:r>
            <w:r w:rsidRPr="00AE41EE">
              <w:rPr>
                <w:b/>
                <w:sz w:val="20"/>
                <w:szCs w:val="20"/>
                <w:lang w:val="fr-CA"/>
              </w:rPr>
              <w:t>(C.F.)</w:t>
            </w:r>
          </w:p>
          <w:p w:rsidR="00AE41EE" w:rsidRPr="00AE41EE" w:rsidRDefault="00AE41EE" w:rsidP="005F1ED8">
            <w:pPr>
              <w:tabs>
                <w:tab w:val="left" w:pos="-1440"/>
                <w:tab w:val="left" w:pos="-720"/>
              </w:tabs>
              <w:rPr>
                <w:sz w:val="20"/>
                <w:szCs w:val="20"/>
              </w:rPr>
            </w:pPr>
            <w:r w:rsidRPr="00AE41EE">
              <w:rPr>
                <w:sz w:val="20"/>
                <w:szCs w:val="20"/>
                <w:lang w:val="fr-CA"/>
              </w:rPr>
              <w:tab/>
            </w:r>
            <w:r w:rsidRPr="00AE41EE">
              <w:rPr>
                <w:sz w:val="20"/>
                <w:szCs w:val="20"/>
              </w:rPr>
              <w:t>Anthony M. Tamburro</w:t>
            </w:r>
          </w:p>
          <w:p w:rsidR="00AE41EE" w:rsidRPr="00AE41EE" w:rsidRDefault="00AE41EE" w:rsidP="005F1ED8">
            <w:pPr>
              <w:tabs>
                <w:tab w:val="left" w:pos="-1440"/>
                <w:tab w:val="left" w:pos="-720"/>
              </w:tabs>
              <w:rPr>
                <w:sz w:val="20"/>
                <w:szCs w:val="20"/>
              </w:rPr>
            </w:pPr>
            <w:r w:rsidRPr="00AE41EE">
              <w:rPr>
                <w:sz w:val="20"/>
                <w:szCs w:val="20"/>
              </w:rPr>
              <w:tab/>
              <w:t>Director of Military Prosecutions</w:t>
            </w:r>
          </w:p>
          <w:p w:rsidR="00AE41EE" w:rsidRPr="00AE41EE" w:rsidRDefault="00AE41EE" w:rsidP="005F1ED8">
            <w:pPr>
              <w:tabs>
                <w:tab w:val="left" w:pos="-1440"/>
                <w:tab w:val="left" w:pos="-720"/>
              </w:tabs>
              <w:rPr>
                <w:sz w:val="20"/>
                <w:szCs w:val="20"/>
              </w:rPr>
            </w:pPr>
          </w:p>
          <w:p w:rsidR="00AE41EE" w:rsidRPr="00AE41EE" w:rsidRDefault="00AE41EE" w:rsidP="00AE41EE">
            <w:pPr>
              <w:rPr>
                <w:sz w:val="20"/>
                <w:szCs w:val="20"/>
                <w:lang w:val="fr-CA"/>
              </w:rPr>
            </w:pPr>
            <w:r w:rsidRPr="00806A5B">
              <w:rPr>
                <w:sz w:val="20"/>
                <w:szCs w:val="20"/>
                <w:lang w:val="fr-CA"/>
              </w:rPr>
              <w:t>DATE DE PRODUCTION</w:t>
            </w:r>
            <w:r w:rsidR="00E10C69">
              <w:rPr>
                <w:sz w:val="20"/>
                <w:szCs w:val="20"/>
                <w:lang w:val="fr-CA"/>
              </w:rPr>
              <w:t xml:space="preserve"> </w:t>
            </w:r>
            <w:r w:rsidRPr="00806A5B">
              <w:rPr>
                <w:sz w:val="20"/>
                <w:szCs w:val="20"/>
                <w:lang w:val="fr-CA"/>
              </w:rPr>
              <w:t>: 1</w:t>
            </w:r>
            <w:r>
              <w:rPr>
                <w:sz w:val="20"/>
                <w:szCs w:val="20"/>
                <w:lang w:val="fr-CA"/>
              </w:rPr>
              <w:t>2</w:t>
            </w:r>
            <w:r w:rsidRPr="00806A5B">
              <w:rPr>
                <w:sz w:val="20"/>
                <w:szCs w:val="20"/>
                <w:lang w:val="fr-CA"/>
              </w:rPr>
              <w:t>.0</w:t>
            </w:r>
            <w:r>
              <w:rPr>
                <w:sz w:val="20"/>
                <w:szCs w:val="20"/>
                <w:lang w:val="fr-CA"/>
              </w:rPr>
              <w:t>9</w:t>
            </w:r>
            <w:r w:rsidRPr="00806A5B">
              <w:rPr>
                <w:sz w:val="20"/>
                <w:szCs w:val="20"/>
                <w:lang w:val="fr-CA"/>
              </w:rPr>
              <w:t>.2014</w:t>
            </w:r>
            <w:r w:rsidR="00F677DC">
              <w:rPr>
                <w:sz w:val="20"/>
                <w:szCs w:val="20"/>
                <w:lang w:val="fr-CA"/>
              </w:rPr>
              <w:pict>
                <v:rect id="_x0000_i1025" style="width:108pt;height:1pt" o:hrpct="0" o:hralign="center" o:hrstd="t" o:hrnoshade="t" o:hr="t" fillcolor="black [3213]" stroked="f"/>
              </w:pict>
            </w:r>
          </w:p>
        </w:tc>
        <w:tc>
          <w:tcPr>
            <w:tcW w:w="1181" w:type="dxa"/>
            <w:shd w:val="clear" w:color="auto" w:fill="auto"/>
          </w:tcPr>
          <w:p w:rsidR="00AE41EE" w:rsidRPr="00AE41EE" w:rsidRDefault="00AE41EE" w:rsidP="00242AEE">
            <w:pPr>
              <w:jc w:val="center"/>
              <w:rPr>
                <w:sz w:val="20"/>
                <w:szCs w:val="20"/>
                <w:lang w:val="fr-CA"/>
              </w:rPr>
            </w:pPr>
          </w:p>
          <w:p w:rsidR="00AE41EE" w:rsidRPr="00AE41EE" w:rsidRDefault="00AE41EE" w:rsidP="00242AEE">
            <w:pPr>
              <w:jc w:val="center"/>
              <w:rPr>
                <w:sz w:val="20"/>
                <w:szCs w:val="20"/>
                <w:lang w:val="fr-CA"/>
              </w:rPr>
            </w:pPr>
          </w:p>
          <w:p w:rsidR="00AE41EE" w:rsidRPr="00AE41EE" w:rsidRDefault="00AE41EE" w:rsidP="00242AEE">
            <w:pPr>
              <w:jc w:val="center"/>
              <w:rPr>
                <w:sz w:val="20"/>
                <w:szCs w:val="20"/>
                <w:lang w:val="fr-CA"/>
              </w:rPr>
            </w:pPr>
          </w:p>
          <w:p w:rsidR="00AE41EE" w:rsidRPr="00AE41EE" w:rsidRDefault="00AE41EE" w:rsidP="00242AEE">
            <w:pPr>
              <w:jc w:val="center"/>
              <w:rPr>
                <w:sz w:val="20"/>
                <w:szCs w:val="20"/>
                <w:lang w:val="fr-CA"/>
              </w:rPr>
            </w:pPr>
          </w:p>
          <w:p w:rsidR="00AE41EE" w:rsidRPr="00AE41EE" w:rsidRDefault="00AE41EE" w:rsidP="00242AEE">
            <w:pPr>
              <w:jc w:val="center"/>
              <w:rPr>
                <w:sz w:val="20"/>
                <w:szCs w:val="20"/>
                <w:lang w:val="fr-CA"/>
              </w:rPr>
            </w:pPr>
          </w:p>
          <w:p w:rsidR="00AE41EE" w:rsidRPr="00AE41EE" w:rsidRDefault="00AE41EE" w:rsidP="00242AEE">
            <w:pPr>
              <w:jc w:val="center"/>
              <w:rPr>
                <w:sz w:val="20"/>
                <w:szCs w:val="20"/>
                <w:lang w:val="fr-CA"/>
              </w:rPr>
            </w:pPr>
          </w:p>
          <w:p w:rsidR="00AE41EE" w:rsidRPr="00AE41EE" w:rsidRDefault="00AE41EE" w:rsidP="00242AEE">
            <w:pPr>
              <w:jc w:val="center"/>
              <w:rPr>
                <w:sz w:val="20"/>
                <w:szCs w:val="20"/>
                <w:lang w:val="fr-CA"/>
              </w:rPr>
            </w:pPr>
          </w:p>
          <w:p w:rsidR="00AE41EE" w:rsidRPr="00AE41EE" w:rsidRDefault="00AE41EE" w:rsidP="00242AEE">
            <w:pPr>
              <w:jc w:val="center"/>
              <w:rPr>
                <w:sz w:val="20"/>
                <w:szCs w:val="20"/>
                <w:lang w:val="fr-CA"/>
              </w:rPr>
            </w:pPr>
          </w:p>
          <w:p w:rsidR="00AE41EE" w:rsidRPr="00AE41EE" w:rsidRDefault="00AE41EE" w:rsidP="00242AEE">
            <w:pPr>
              <w:jc w:val="center"/>
              <w:rPr>
                <w:sz w:val="20"/>
                <w:szCs w:val="20"/>
                <w:lang w:val="fr-CA"/>
              </w:rPr>
            </w:pPr>
          </w:p>
          <w:p w:rsidR="00AE41EE" w:rsidRPr="00AE41EE" w:rsidRDefault="00AE41EE" w:rsidP="00242AEE">
            <w:pPr>
              <w:jc w:val="center"/>
              <w:rPr>
                <w:sz w:val="20"/>
                <w:szCs w:val="20"/>
                <w:lang w:val="fr-CA"/>
              </w:rPr>
            </w:pPr>
          </w:p>
          <w:p w:rsidR="00AE41EE" w:rsidRPr="00AE41EE" w:rsidRDefault="00AE41EE" w:rsidP="00242AEE">
            <w:pPr>
              <w:jc w:val="center"/>
              <w:rPr>
                <w:sz w:val="20"/>
                <w:szCs w:val="20"/>
                <w:lang w:val="fr-CA"/>
              </w:rPr>
            </w:pPr>
          </w:p>
          <w:p w:rsidR="00AE41EE" w:rsidRPr="00AE41EE" w:rsidRDefault="00AE41EE" w:rsidP="00242AEE">
            <w:pPr>
              <w:jc w:val="center"/>
              <w:rPr>
                <w:sz w:val="20"/>
                <w:szCs w:val="20"/>
                <w:lang w:val="fr-CA"/>
              </w:rPr>
            </w:pPr>
          </w:p>
          <w:p w:rsidR="00AE41EE" w:rsidRPr="00AE41EE" w:rsidRDefault="00AE41EE" w:rsidP="00242AEE">
            <w:pPr>
              <w:jc w:val="center"/>
              <w:rPr>
                <w:sz w:val="20"/>
                <w:szCs w:val="20"/>
                <w:lang w:val="fr-CA"/>
              </w:rPr>
            </w:pPr>
          </w:p>
        </w:tc>
        <w:tc>
          <w:tcPr>
            <w:tcW w:w="4320" w:type="dxa"/>
            <w:shd w:val="clear" w:color="auto" w:fill="auto"/>
          </w:tcPr>
          <w:p w:rsidR="00AE41EE" w:rsidRPr="00AE41EE" w:rsidRDefault="00AE41EE" w:rsidP="00AE41EE">
            <w:pPr>
              <w:keepNext/>
              <w:keepLines/>
              <w:tabs>
                <w:tab w:val="left" w:pos="-1440"/>
                <w:tab w:val="left" w:pos="-720"/>
              </w:tabs>
              <w:rPr>
                <w:b/>
                <w:sz w:val="20"/>
                <w:szCs w:val="20"/>
              </w:rPr>
            </w:pPr>
            <w:r w:rsidRPr="00AE41EE">
              <w:rPr>
                <w:b/>
                <w:sz w:val="20"/>
                <w:szCs w:val="20"/>
              </w:rPr>
              <w:t>Rajan Singh Mann</w:t>
            </w:r>
          </w:p>
          <w:p w:rsidR="00AE41EE" w:rsidRPr="00AE41EE" w:rsidRDefault="00AE41EE" w:rsidP="00AE41EE">
            <w:pPr>
              <w:keepNext/>
              <w:keepLines/>
              <w:tabs>
                <w:tab w:val="left" w:pos="-1440"/>
                <w:tab w:val="left" w:pos="-720"/>
              </w:tabs>
              <w:rPr>
                <w:sz w:val="20"/>
                <w:szCs w:val="20"/>
              </w:rPr>
            </w:pPr>
            <w:r w:rsidRPr="00AE41EE">
              <w:rPr>
                <w:sz w:val="20"/>
                <w:szCs w:val="20"/>
              </w:rPr>
              <w:tab/>
              <w:t>Peter Wilson, Q.C.</w:t>
            </w:r>
          </w:p>
          <w:p w:rsidR="00AE41EE" w:rsidRPr="00AE41EE" w:rsidRDefault="00AE41EE" w:rsidP="00AE41EE">
            <w:pPr>
              <w:keepNext/>
              <w:keepLines/>
              <w:tabs>
                <w:tab w:val="left" w:pos="-1440"/>
                <w:tab w:val="left" w:pos="-720"/>
              </w:tabs>
              <w:rPr>
                <w:sz w:val="20"/>
                <w:szCs w:val="20"/>
              </w:rPr>
            </w:pPr>
            <w:r w:rsidRPr="00AE41EE">
              <w:rPr>
                <w:sz w:val="20"/>
                <w:szCs w:val="20"/>
              </w:rPr>
              <w:tab/>
            </w:r>
            <w:r>
              <w:rPr>
                <w:sz w:val="20"/>
                <w:szCs w:val="20"/>
              </w:rPr>
              <w:t>Wilson Butcher</w:t>
            </w:r>
          </w:p>
          <w:p w:rsidR="00AE41EE" w:rsidRPr="00A935AA" w:rsidRDefault="00AE41EE" w:rsidP="00AE41EE">
            <w:pPr>
              <w:keepNext/>
              <w:keepLines/>
              <w:tabs>
                <w:tab w:val="left" w:pos="-1440"/>
                <w:tab w:val="left" w:pos="-720"/>
              </w:tabs>
              <w:rPr>
                <w:sz w:val="20"/>
                <w:szCs w:val="20"/>
              </w:rPr>
            </w:pPr>
          </w:p>
          <w:p w:rsidR="00AE41EE" w:rsidRPr="00A935AA" w:rsidRDefault="00AE41EE" w:rsidP="00AE41EE">
            <w:pPr>
              <w:keepNext/>
              <w:keepLines/>
              <w:tabs>
                <w:tab w:val="left" w:pos="-1440"/>
                <w:tab w:val="left" w:pos="-720"/>
              </w:tabs>
              <w:rPr>
                <w:sz w:val="20"/>
                <w:szCs w:val="20"/>
              </w:rPr>
            </w:pPr>
            <w:r w:rsidRPr="00A935AA">
              <w:rPr>
                <w:sz w:val="20"/>
                <w:szCs w:val="20"/>
              </w:rPr>
              <w:tab/>
              <w:t>v. (3</w:t>
            </w:r>
            <w:r>
              <w:rPr>
                <w:sz w:val="20"/>
                <w:szCs w:val="20"/>
              </w:rPr>
              <w:t>6066</w:t>
            </w:r>
            <w:r w:rsidRPr="00A935AA">
              <w:rPr>
                <w:sz w:val="20"/>
                <w:szCs w:val="20"/>
              </w:rPr>
              <w:t>)</w:t>
            </w:r>
          </w:p>
          <w:p w:rsidR="00AE41EE" w:rsidRPr="00A935AA" w:rsidRDefault="00AE41EE" w:rsidP="00AE41EE">
            <w:pPr>
              <w:keepNext/>
              <w:keepLines/>
              <w:tabs>
                <w:tab w:val="left" w:pos="-1440"/>
                <w:tab w:val="left" w:pos="-720"/>
              </w:tabs>
              <w:rPr>
                <w:sz w:val="20"/>
                <w:szCs w:val="20"/>
              </w:rPr>
            </w:pPr>
          </w:p>
          <w:p w:rsidR="00AE41EE" w:rsidRPr="00A935AA" w:rsidRDefault="00AE41EE" w:rsidP="00AE41EE">
            <w:pPr>
              <w:keepNext/>
              <w:keepLines/>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B.C</w:t>
            </w:r>
            <w:r w:rsidRPr="00A935AA">
              <w:rPr>
                <w:b/>
                <w:sz w:val="20"/>
                <w:szCs w:val="20"/>
              </w:rPr>
              <w:t>.)</w:t>
            </w:r>
          </w:p>
          <w:p w:rsidR="00AE41EE" w:rsidRPr="00A935AA" w:rsidRDefault="00AE41EE" w:rsidP="00AE41EE">
            <w:pPr>
              <w:keepNext/>
              <w:keepLines/>
              <w:tabs>
                <w:tab w:val="left" w:pos="-1440"/>
                <w:tab w:val="left" w:pos="-720"/>
              </w:tabs>
              <w:rPr>
                <w:sz w:val="20"/>
                <w:szCs w:val="20"/>
              </w:rPr>
            </w:pPr>
            <w:r w:rsidRPr="00A935AA">
              <w:rPr>
                <w:sz w:val="20"/>
                <w:szCs w:val="20"/>
              </w:rPr>
              <w:tab/>
            </w:r>
            <w:r>
              <w:rPr>
                <w:sz w:val="20"/>
                <w:szCs w:val="20"/>
              </w:rPr>
              <w:t>Gail C. Banning</w:t>
            </w:r>
          </w:p>
          <w:p w:rsidR="00AE41EE" w:rsidRPr="00A935AA" w:rsidRDefault="00AE41EE" w:rsidP="00AE41EE">
            <w:pPr>
              <w:keepNext/>
              <w:keepLines/>
              <w:tabs>
                <w:tab w:val="left" w:pos="-1440"/>
                <w:tab w:val="left" w:pos="-720"/>
              </w:tabs>
              <w:rPr>
                <w:sz w:val="20"/>
                <w:szCs w:val="20"/>
              </w:rPr>
            </w:pPr>
            <w:r w:rsidRPr="00A935AA">
              <w:rPr>
                <w:sz w:val="20"/>
                <w:szCs w:val="20"/>
              </w:rPr>
              <w:tab/>
            </w:r>
            <w:r>
              <w:rPr>
                <w:sz w:val="20"/>
                <w:szCs w:val="20"/>
              </w:rPr>
              <w:t>A.G. of British Columbia</w:t>
            </w:r>
          </w:p>
          <w:p w:rsidR="00AE41EE" w:rsidRPr="00A935AA" w:rsidRDefault="00AE41EE" w:rsidP="00AE41EE">
            <w:pPr>
              <w:keepNext/>
              <w:keepLines/>
              <w:tabs>
                <w:tab w:val="left" w:pos="-1440"/>
                <w:tab w:val="left" w:pos="-720"/>
              </w:tabs>
              <w:rPr>
                <w:sz w:val="20"/>
                <w:szCs w:val="20"/>
              </w:rPr>
            </w:pPr>
          </w:p>
          <w:p w:rsidR="00AE41EE" w:rsidRPr="00A935AA" w:rsidRDefault="00AE41EE" w:rsidP="00AE41EE">
            <w:pPr>
              <w:rPr>
                <w:sz w:val="20"/>
                <w:szCs w:val="20"/>
              </w:rPr>
            </w:pPr>
            <w:r w:rsidRPr="00A935AA">
              <w:rPr>
                <w:sz w:val="20"/>
                <w:szCs w:val="20"/>
              </w:rPr>
              <w:t xml:space="preserve">FILING DATE: </w:t>
            </w:r>
            <w:r>
              <w:rPr>
                <w:sz w:val="20"/>
                <w:szCs w:val="20"/>
              </w:rPr>
              <w:t>16</w:t>
            </w:r>
            <w:r w:rsidRPr="00A935AA">
              <w:rPr>
                <w:sz w:val="20"/>
                <w:szCs w:val="20"/>
              </w:rPr>
              <w:t>.0</w:t>
            </w:r>
            <w:r>
              <w:rPr>
                <w:sz w:val="20"/>
                <w:szCs w:val="20"/>
              </w:rPr>
              <w:t>9</w:t>
            </w:r>
            <w:r w:rsidRPr="00A935AA">
              <w:rPr>
                <w:sz w:val="20"/>
                <w:szCs w:val="20"/>
              </w:rPr>
              <w:t>.201</w:t>
            </w:r>
            <w:r>
              <w:rPr>
                <w:sz w:val="20"/>
                <w:szCs w:val="20"/>
              </w:rPr>
              <w:t>4</w:t>
            </w:r>
            <w:r w:rsidR="00F677DC">
              <w:rPr>
                <w:sz w:val="20"/>
                <w:szCs w:val="20"/>
                <w:lang w:val="fr-CA"/>
              </w:rPr>
              <w:pict>
                <v:rect id="_x0000_i1026" style="width:108pt;height:1pt" o:hrpct="0" o:hralign="center" o:hrstd="t" o:hrnoshade="t" o:hr="t" fillcolor="black [3213]" stroked="f"/>
              </w:pict>
            </w:r>
          </w:p>
        </w:tc>
      </w:tr>
      <w:tr w:rsidR="00C21644" w:rsidRPr="00A935AA" w:rsidTr="003B3977">
        <w:tc>
          <w:tcPr>
            <w:tcW w:w="4320" w:type="dxa"/>
            <w:shd w:val="clear" w:color="auto" w:fill="auto"/>
          </w:tcPr>
          <w:p w:rsidR="00C21644" w:rsidRPr="00AE41EE" w:rsidRDefault="00AE41EE" w:rsidP="003B3977">
            <w:pPr>
              <w:rPr>
                <w:b/>
                <w:sz w:val="20"/>
                <w:szCs w:val="20"/>
              </w:rPr>
            </w:pPr>
            <w:r>
              <w:rPr>
                <w:b/>
                <w:sz w:val="20"/>
                <w:szCs w:val="20"/>
              </w:rPr>
              <w:t>Barrett Richard Jordan</w:t>
            </w:r>
          </w:p>
          <w:p w:rsidR="00C21644" w:rsidRPr="00AE41EE" w:rsidRDefault="00C21644" w:rsidP="003B3977">
            <w:pPr>
              <w:tabs>
                <w:tab w:val="left" w:pos="-1440"/>
                <w:tab w:val="left" w:pos="-720"/>
              </w:tabs>
              <w:rPr>
                <w:sz w:val="20"/>
                <w:szCs w:val="20"/>
              </w:rPr>
            </w:pPr>
            <w:r w:rsidRPr="00AE41EE">
              <w:rPr>
                <w:sz w:val="20"/>
                <w:szCs w:val="20"/>
              </w:rPr>
              <w:tab/>
            </w:r>
            <w:r w:rsidR="00AE41EE">
              <w:rPr>
                <w:sz w:val="20"/>
                <w:szCs w:val="20"/>
              </w:rPr>
              <w:t>Richard C.C. Peck, Q.C.</w:t>
            </w:r>
          </w:p>
          <w:p w:rsidR="00C21644" w:rsidRPr="00AE41EE" w:rsidRDefault="00C21644" w:rsidP="003B3977">
            <w:pPr>
              <w:tabs>
                <w:tab w:val="left" w:pos="-1440"/>
                <w:tab w:val="left" w:pos="-720"/>
              </w:tabs>
              <w:rPr>
                <w:sz w:val="20"/>
                <w:szCs w:val="20"/>
              </w:rPr>
            </w:pPr>
            <w:r w:rsidRPr="00AE41EE">
              <w:rPr>
                <w:sz w:val="20"/>
                <w:szCs w:val="20"/>
              </w:rPr>
              <w:tab/>
            </w:r>
            <w:r w:rsidR="00AE41EE">
              <w:rPr>
                <w:sz w:val="20"/>
                <w:szCs w:val="20"/>
              </w:rPr>
              <w:t>Peck and Company</w:t>
            </w:r>
          </w:p>
          <w:p w:rsidR="00C21644" w:rsidRPr="00AE41EE" w:rsidRDefault="00C21644" w:rsidP="003B3977">
            <w:pPr>
              <w:tabs>
                <w:tab w:val="left" w:pos="-1440"/>
                <w:tab w:val="left" w:pos="-720"/>
              </w:tabs>
              <w:rPr>
                <w:sz w:val="20"/>
                <w:szCs w:val="20"/>
              </w:rPr>
            </w:pPr>
          </w:p>
          <w:p w:rsidR="00C21644" w:rsidRPr="00A935AA" w:rsidRDefault="00C21644" w:rsidP="003B3977">
            <w:pPr>
              <w:tabs>
                <w:tab w:val="left" w:pos="-1440"/>
                <w:tab w:val="left" w:pos="-720"/>
              </w:tabs>
              <w:rPr>
                <w:sz w:val="20"/>
                <w:szCs w:val="20"/>
              </w:rPr>
            </w:pPr>
            <w:r w:rsidRPr="00AE41EE">
              <w:rPr>
                <w:sz w:val="20"/>
                <w:szCs w:val="20"/>
              </w:rPr>
              <w:tab/>
            </w:r>
            <w:r w:rsidRPr="00A935AA">
              <w:rPr>
                <w:sz w:val="20"/>
                <w:szCs w:val="20"/>
              </w:rPr>
              <w:t>v. (3</w:t>
            </w:r>
            <w:r w:rsidR="00AE41EE">
              <w:rPr>
                <w:sz w:val="20"/>
                <w:szCs w:val="20"/>
              </w:rPr>
              <w:t>6068</w:t>
            </w:r>
            <w:r w:rsidRPr="00A935AA">
              <w:rPr>
                <w:sz w:val="20"/>
                <w:szCs w:val="20"/>
              </w:rPr>
              <w:t>)</w:t>
            </w:r>
          </w:p>
          <w:p w:rsidR="00C21644" w:rsidRPr="00A935AA" w:rsidRDefault="00C21644" w:rsidP="003B3977">
            <w:pPr>
              <w:tabs>
                <w:tab w:val="left" w:pos="-1440"/>
                <w:tab w:val="left" w:pos="-720"/>
              </w:tabs>
              <w:rPr>
                <w:sz w:val="20"/>
                <w:szCs w:val="20"/>
              </w:rPr>
            </w:pPr>
          </w:p>
          <w:p w:rsidR="00C21644" w:rsidRPr="00A935AA" w:rsidRDefault="00AE41EE" w:rsidP="003B3977">
            <w:pPr>
              <w:tabs>
                <w:tab w:val="left" w:pos="-1440"/>
                <w:tab w:val="left" w:pos="-720"/>
              </w:tabs>
              <w:rPr>
                <w:b/>
                <w:sz w:val="20"/>
                <w:szCs w:val="20"/>
              </w:rPr>
            </w:pPr>
            <w:r>
              <w:rPr>
                <w:b/>
                <w:sz w:val="20"/>
                <w:szCs w:val="20"/>
              </w:rPr>
              <w:t xml:space="preserve">Her Majesty the Queen </w:t>
            </w:r>
            <w:r w:rsidR="00C21644" w:rsidRPr="00A935AA">
              <w:rPr>
                <w:b/>
                <w:sz w:val="20"/>
                <w:szCs w:val="20"/>
              </w:rPr>
              <w:t>(</w:t>
            </w:r>
            <w:r>
              <w:rPr>
                <w:b/>
                <w:sz w:val="20"/>
                <w:szCs w:val="20"/>
              </w:rPr>
              <w:t>B.C.</w:t>
            </w:r>
            <w:r w:rsidR="00C21644" w:rsidRPr="00A935AA">
              <w:rPr>
                <w:b/>
                <w:sz w:val="20"/>
                <w:szCs w:val="20"/>
              </w:rPr>
              <w:t>)</w:t>
            </w:r>
          </w:p>
          <w:p w:rsidR="00C21644" w:rsidRPr="00A935AA" w:rsidRDefault="00C21644" w:rsidP="003B3977">
            <w:pPr>
              <w:tabs>
                <w:tab w:val="left" w:pos="-1440"/>
                <w:tab w:val="left" w:pos="-720"/>
              </w:tabs>
              <w:rPr>
                <w:sz w:val="20"/>
                <w:szCs w:val="20"/>
              </w:rPr>
            </w:pPr>
            <w:r w:rsidRPr="00A935AA">
              <w:rPr>
                <w:sz w:val="20"/>
                <w:szCs w:val="20"/>
              </w:rPr>
              <w:tab/>
            </w:r>
            <w:r w:rsidR="00AE41EE">
              <w:rPr>
                <w:sz w:val="20"/>
                <w:szCs w:val="20"/>
              </w:rPr>
              <w:t>P.R. LaPrairie</w:t>
            </w:r>
          </w:p>
          <w:p w:rsidR="00C21644" w:rsidRPr="00A935AA" w:rsidRDefault="00C21644" w:rsidP="003B3977">
            <w:pPr>
              <w:tabs>
                <w:tab w:val="left" w:pos="-1440"/>
                <w:tab w:val="left" w:pos="-720"/>
              </w:tabs>
              <w:rPr>
                <w:sz w:val="20"/>
                <w:szCs w:val="20"/>
              </w:rPr>
            </w:pPr>
            <w:r w:rsidRPr="00A935AA">
              <w:rPr>
                <w:sz w:val="20"/>
                <w:szCs w:val="20"/>
              </w:rPr>
              <w:tab/>
            </w:r>
            <w:r w:rsidR="00AE41EE">
              <w:rPr>
                <w:sz w:val="20"/>
                <w:szCs w:val="20"/>
              </w:rPr>
              <w:t>Public Prosecution Service of Canada</w:t>
            </w:r>
          </w:p>
          <w:p w:rsidR="00C21644" w:rsidRPr="00A935AA" w:rsidRDefault="00C21644" w:rsidP="003B3977">
            <w:pPr>
              <w:tabs>
                <w:tab w:val="left" w:pos="-1440"/>
                <w:tab w:val="left" w:pos="-720"/>
              </w:tabs>
              <w:rPr>
                <w:sz w:val="20"/>
                <w:szCs w:val="20"/>
              </w:rPr>
            </w:pPr>
          </w:p>
          <w:p w:rsidR="00C21644" w:rsidRPr="00A935AA" w:rsidRDefault="00C21644" w:rsidP="00AE41EE">
            <w:pPr>
              <w:rPr>
                <w:sz w:val="20"/>
                <w:szCs w:val="20"/>
              </w:rPr>
            </w:pPr>
            <w:r w:rsidRPr="00A935AA">
              <w:rPr>
                <w:sz w:val="20"/>
                <w:szCs w:val="20"/>
              </w:rPr>
              <w:t xml:space="preserve">FILING DATE: </w:t>
            </w:r>
            <w:r w:rsidR="00AE41EE">
              <w:rPr>
                <w:sz w:val="20"/>
                <w:szCs w:val="20"/>
              </w:rPr>
              <w:t>1</w:t>
            </w:r>
            <w:r>
              <w:rPr>
                <w:sz w:val="20"/>
                <w:szCs w:val="20"/>
              </w:rPr>
              <w:t>8</w:t>
            </w:r>
            <w:r w:rsidRPr="00A935AA">
              <w:rPr>
                <w:sz w:val="20"/>
                <w:szCs w:val="20"/>
              </w:rPr>
              <w:t>.0</w:t>
            </w:r>
            <w:r w:rsidR="00AE41EE">
              <w:rPr>
                <w:sz w:val="20"/>
                <w:szCs w:val="20"/>
              </w:rPr>
              <w:t>9</w:t>
            </w:r>
            <w:r w:rsidRPr="00A935AA">
              <w:rPr>
                <w:sz w:val="20"/>
                <w:szCs w:val="20"/>
              </w:rPr>
              <w:t>.201</w:t>
            </w:r>
            <w:r>
              <w:rPr>
                <w:sz w:val="20"/>
                <w:szCs w:val="20"/>
              </w:rPr>
              <w:t>4</w:t>
            </w:r>
            <w:r w:rsidR="00F677DC">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AE41EE" w:rsidRDefault="00AE41EE" w:rsidP="003B3977">
            <w:pPr>
              <w:keepNext/>
              <w:keepLines/>
              <w:tabs>
                <w:tab w:val="left" w:pos="-1440"/>
                <w:tab w:val="left" w:pos="-720"/>
              </w:tabs>
              <w:rPr>
                <w:b/>
                <w:sz w:val="20"/>
                <w:szCs w:val="20"/>
              </w:rPr>
            </w:pPr>
            <w:r>
              <w:rPr>
                <w:b/>
                <w:sz w:val="20"/>
                <w:szCs w:val="20"/>
              </w:rPr>
              <w:t>Lane Ronald John Logan</w:t>
            </w:r>
          </w:p>
          <w:p w:rsidR="00C21644" w:rsidRPr="00AE41EE" w:rsidRDefault="00C21644" w:rsidP="003B3977">
            <w:pPr>
              <w:keepNext/>
              <w:keepLines/>
              <w:tabs>
                <w:tab w:val="left" w:pos="-1440"/>
                <w:tab w:val="left" w:pos="-720"/>
              </w:tabs>
              <w:rPr>
                <w:sz w:val="20"/>
                <w:szCs w:val="20"/>
              </w:rPr>
            </w:pPr>
            <w:r w:rsidRPr="00AE41EE">
              <w:rPr>
                <w:sz w:val="20"/>
                <w:szCs w:val="20"/>
              </w:rPr>
              <w:tab/>
            </w:r>
            <w:r w:rsidR="00AE41EE">
              <w:rPr>
                <w:sz w:val="20"/>
                <w:szCs w:val="20"/>
              </w:rPr>
              <w:t>John C. Drove</w:t>
            </w:r>
          </w:p>
          <w:p w:rsidR="00C21644" w:rsidRPr="00A935AA" w:rsidRDefault="00C21644" w:rsidP="003B3977">
            <w:pPr>
              <w:keepNext/>
              <w:keepLines/>
              <w:tabs>
                <w:tab w:val="left" w:pos="-1440"/>
                <w:tab w:val="left" w:pos="-720"/>
              </w:tabs>
              <w:rPr>
                <w:sz w:val="20"/>
                <w:szCs w:val="20"/>
              </w:rPr>
            </w:pPr>
            <w:r w:rsidRPr="00AE41EE">
              <w:rPr>
                <w:sz w:val="20"/>
                <w:szCs w:val="20"/>
              </w:rPr>
              <w:tab/>
            </w:r>
            <w:r w:rsidR="00AE41EE">
              <w:rPr>
                <w:sz w:val="20"/>
                <w:szCs w:val="20"/>
              </w:rPr>
              <w:t>John Drove Law Corporation</w:t>
            </w:r>
          </w:p>
          <w:p w:rsidR="00C21644" w:rsidRPr="00A935AA" w:rsidRDefault="00C21644" w:rsidP="003B3977">
            <w:pPr>
              <w:keepNext/>
              <w:keepLines/>
              <w:tabs>
                <w:tab w:val="left" w:pos="-1440"/>
                <w:tab w:val="left" w:pos="-720"/>
              </w:tabs>
              <w:rPr>
                <w:sz w:val="20"/>
                <w:szCs w:val="20"/>
              </w:rPr>
            </w:pPr>
          </w:p>
          <w:p w:rsidR="00C21644" w:rsidRPr="00A935AA" w:rsidRDefault="00C21644" w:rsidP="003B3977">
            <w:pPr>
              <w:keepNext/>
              <w:keepLines/>
              <w:tabs>
                <w:tab w:val="left" w:pos="-1440"/>
                <w:tab w:val="left" w:pos="-720"/>
              </w:tabs>
              <w:rPr>
                <w:sz w:val="20"/>
                <w:szCs w:val="20"/>
              </w:rPr>
            </w:pPr>
            <w:r w:rsidRPr="00A935AA">
              <w:rPr>
                <w:sz w:val="20"/>
                <w:szCs w:val="20"/>
              </w:rPr>
              <w:tab/>
              <w:t>v. (3</w:t>
            </w:r>
            <w:r w:rsidR="00AE41EE">
              <w:rPr>
                <w:sz w:val="20"/>
                <w:szCs w:val="20"/>
              </w:rPr>
              <w:t>6069</w:t>
            </w:r>
            <w:r w:rsidRPr="00A935AA">
              <w:rPr>
                <w:sz w:val="20"/>
                <w:szCs w:val="20"/>
              </w:rPr>
              <w:t>)</w:t>
            </w:r>
          </w:p>
          <w:p w:rsidR="00C21644" w:rsidRPr="00A935AA" w:rsidRDefault="00C21644" w:rsidP="003B3977">
            <w:pPr>
              <w:keepNext/>
              <w:keepLines/>
              <w:tabs>
                <w:tab w:val="left" w:pos="-1440"/>
                <w:tab w:val="left" w:pos="-720"/>
              </w:tabs>
              <w:rPr>
                <w:sz w:val="20"/>
                <w:szCs w:val="20"/>
              </w:rPr>
            </w:pPr>
          </w:p>
          <w:p w:rsidR="00C21644" w:rsidRPr="00A935AA" w:rsidRDefault="00AE41EE" w:rsidP="003B3977">
            <w:pPr>
              <w:keepNext/>
              <w:keepLines/>
              <w:tabs>
                <w:tab w:val="left" w:pos="-1440"/>
                <w:tab w:val="left" w:pos="-720"/>
              </w:tabs>
              <w:rPr>
                <w:b/>
                <w:sz w:val="20"/>
                <w:szCs w:val="20"/>
              </w:rPr>
            </w:pPr>
            <w:r>
              <w:rPr>
                <w:b/>
                <w:sz w:val="20"/>
                <w:szCs w:val="20"/>
              </w:rPr>
              <w:t xml:space="preserve">Her Majesty the Queen </w:t>
            </w:r>
            <w:r w:rsidR="00C21644" w:rsidRPr="00A935AA">
              <w:rPr>
                <w:b/>
                <w:sz w:val="20"/>
                <w:szCs w:val="20"/>
              </w:rPr>
              <w:t>(</w:t>
            </w:r>
            <w:r w:rsidR="00C21644">
              <w:rPr>
                <w:b/>
                <w:sz w:val="20"/>
                <w:szCs w:val="20"/>
              </w:rPr>
              <w:t>B.C</w:t>
            </w:r>
            <w:r w:rsidR="00C21644" w:rsidRPr="00A935AA">
              <w:rPr>
                <w:b/>
                <w:sz w:val="20"/>
                <w:szCs w:val="20"/>
              </w:rPr>
              <w:t>.)</w:t>
            </w:r>
          </w:p>
          <w:p w:rsidR="00C21644" w:rsidRPr="00A935AA" w:rsidRDefault="00C21644" w:rsidP="003B3977">
            <w:pPr>
              <w:keepNext/>
              <w:keepLines/>
              <w:tabs>
                <w:tab w:val="left" w:pos="-1440"/>
                <w:tab w:val="left" w:pos="-720"/>
              </w:tabs>
              <w:rPr>
                <w:sz w:val="20"/>
                <w:szCs w:val="20"/>
              </w:rPr>
            </w:pPr>
            <w:r w:rsidRPr="00A935AA">
              <w:rPr>
                <w:sz w:val="20"/>
                <w:szCs w:val="20"/>
              </w:rPr>
              <w:tab/>
            </w:r>
            <w:r w:rsidR="00AE41EE">
              <w:rPr>
                <w:sz w:val="20"/>
                <w:szCs w:val="20"/>
              </w:rPr>
              <w:t>Pamela L. Meneguzzi</w:t>
            </w:r>
          </w:p>
          <w:p w:rsidR="00C21644" w:rsidRPr="00A935AA" w:rsidRDefault="00C21644" w:rsidP="003B3977">
            <w:pPr>
              <w:keepNext/>
              <w:keepLines/>
              <w:tabs>
                <w:tab w:val="left" w:pos="-1440"/>
                <w:tab w:val="left" w:pos="-720"/>
              </w:tabs>
              <w:rPr>
                <w:sz w:val="20"/>
                <w:szCs w:val="20"/>
              </w:rPr>
            </w:pPr>
            <w:r w:rsidRPr="00A935AA">
              <w:rPr>
                <w:sz w:val="20"/>
                <w:szCs w:val="20"/>
              </w:rPr>
              <w:tab/>
            </w:r>
            <w:r w:rsidR="00AE41EE">
              <w:rPr>
                <w:sz w:val="20"/>
                <w:szCs w:val="20"/>
              </w:rPr>
              <w:t>Public Prosecution Service of Canada</w:t>
            </w:r>
          </w:p>
          <w:p w:rsidR="00C21644" w:rsidRPr="00A935AA" w:rsidRDefault="00C21644" w:rsidP="003B3977">
            <w:pPr>
              <w:keepNext/>
              <w:keepLines/>
              <w:tabs>
                <w:tab w:val="left" w:pos="-1440"/>
                <w:tab w:val="left" w:pos="-720"/>
              </w:tabs>
              <w:rPr>
                <w:sz w:val="20"/>
                <w:szCs w:val="20"/>
              </w:rPr>
            </w:pPr>
          </w:p>
          <w:p w:rsidR="00C21644" w:rsidRPr="00A935AA" w:rsidRDefault="00C21644" w:rsidP="00AE41EE">
            <w:pPr>
              <w:rPr>
                <w:sz w:val="20"/>
                <w:szCs w:val="20"/>
              </w:rPr>
            </w:pPr>
            <w:r w:rsidRPr="00A935AA">
              <w:rPr>
                <w:sz w:val="20"/>
                <w:szCs w:val="20"/>
              </w:rPr>
              <w:t xml:space="preserve">FILING DATE: </w:t>
            </w:r>
            <w:r w:rsidR="00AE41EE">
              <w:rPr>
                <w:sz w:val="20"/>
                <w:szCs w:val="20"/>
              </w:rPr>
              <w:t>18</w:t>
            </w:r>
            <w:r w:rsidRPr="00A935AA">
              <w:rPr>
                <w:sz w:val="20"/>
                <w:szCs w:val="20"/>
              </w:rPr>
              <w:t>.0</w:t>
            </w:r>
            <w:r w:rsidR="00AE41EE">
              <w:rPr>
                <w:sz w:val="20"/>
                <w:szCs w:val="20"/>
              </w:rPr>
              <w:t>9</w:t>
            </w:r>
            <w:r w:rsidRPr="00A935AA">
              <w:rPr>
                <w:sz w:val="20"/>
                <w:szCs w:val="20"/>
              </w:rPr>
              <w:t>.201</w:t>
            </w:r>
            <w:r>
              <w:rPr>
                <w:sz w:val="20"/>
                <w:szCs w:val="20"/>
              </w:rPr>
              <w:t>4</w:t>
            </w:r>
            <w:r w:rsidR="00F677DC">
              <w:rPr>
                <w:sz w:val="20"/>
                <w:szCs w:val="20"/>
                <w:lang w:val="fr-CA"/>
              </w:rPr>
              <w:pict>
                <v:rect id="_x0000_i1028" style="width:108pt;height:1pt" o:hrpct="0" o:hralign="center" o:hrstd="t" o:hrnoshade="t" o:hr="t" fillcolor="black [3213]" stroked="f"/>
              </w:pict>
            </w:r>
          </w:p>
        </w:tc>
      </w:tr>
      <w:tr w:rsidR="00086E2F" w:rsidRPr="00A935AA" w:rsidTr="003B3977">
        <w:tc>
          <w:tcPr>
            <w:tcW w:w="4320" w:type="dxa"/>
            <w:shd w:val="clear" w:color="auto" w:fill="auto"/>
          </w:tcPr>
          <w:p w:rsidR="00086E2F" w:rsidRPr="00086E2F" w:rsidRDefault="00086E2F" w:rsidP="003B3977">
            <w:pPr>
              <w:rPr>
                <w:b/>
                <w:sz w:val="20"/>
                <w:szCs w:val="20"/>
                <w:lang w:val="fr-CA"/>
              </w:rPr>
            </w:pPr>
            <w:r w:rsidRPr="00086E2F">
              <w:rPr>
                <w:b/>
                <w:sz w:val="20"/>
                <w:szCs w:val="20"/>
                <w:lang w:val="fr-CA"/>
              </w:rPr>
              <w:t>Noel Ayangma</w:t>
            </w:r>
          </w:p>
          <w:p w:rsidR="00086E2F" w:rsidRPr="00086E2F" w:rsidRDefault="00086E2F" w:rsidP="00086E2F">
            <w:pPr>
              <w:tabs>
                <w:tab w:val="left" w:pos="-1440"/>
                <w:tab w:val="left" w:pos="-720"/>
              </w:tabs>
              <w:rPr>
                <w:sz w:val="20"/>
                <w:szCs w:val="20"/>
                <w:lang w:val="fr-CA"/>
              </w:rPr>
            </w:pPr>
            <w:r>
              <w:rPr>
                <w:sz w:val="20"/>
                <w:szCs w:val="20"/>
                <w:lang w:val="fr-CA"/>
              </w:rPr>
              <w:tab/>
              <w:t>Noel Ay</w:t>
            </w:r>
            <w:r w:rsidRPr="00086E2F">
              <w:rPr>
                <w:sz w:val="20"/>
                <w:szCs w:val="20"/>
                <w:lang w:val="fr-CA"/>
              </w:rPr>
              <w:t>angma</w:t>
            </w:r>
          </w:p>
          <w:p w:rsidR="00086E2F" w:rsidRPr="00086E2F" w:rsidRDefault="00086E2F" w:rsidP="00086E2F">
            <w:pPr>
              <w:tabs>
                <w:tab w:val="left" w:pos="-1440"/>
                <w:tab w:val="left" w:pos="-720"/>
              </w:tabs>
              <w:rPr>
                <w:sz w:val="20"/>
                <w:szCs w:val="20"/>
                <w:lang w:val="fr-CA"/>
              </w:rPr>
            </w:pPr>
          </w:p>
          <w:p w:rsidR="00086E2F" w:rsidRPr="00086E2F" w:rsidRDefault="00086E2F" w:rsidP="00086E2F">
            <w:pPr>
              <w:tabs>
                <w:tab w:val="left" w:pos="-1440"/>
                <w:tab w:val="left" w:pos="-720"/>
              </w:tabs>
              <w:rPr>
                <w:sz w:val="20"/>
                <w:szCs w:val="20"/>
                <w:lang w:val="fr-CA"/>
              </w:rPr>
            </w:pPr>
            <w:r w:rsidRPr="00086E2F">
              <w:rPr>
                <w:sz w:val="20"/>
                <w:szCs w:val="20"/>
                <w:lang w:val="fr-CA"/>
              </w:rPr>
              <w:tab/>
              <w:t>v. (36088)</w:t>
            </w:r>
          </w:p>
          <w:p w:rsidR="00086E2F" w:rsidRPr="00086E2F" w:rsidRDefault="00086E2F" w:rsidP="00086E2F">
            <w:pPr>
              <w:tabs>
                <w:tab w:val="left" w:pos="-1440"/>
                <w:tab w:val="left" w:pos="-720"/>
              </w:tabs>
              <w:rPr>
                <w:sz w:val="20"/>
                <w:szCs w:val="20"/>
                <w:lang w:val="fr-CA"/>
              </w:rPr>
            </w:pPr>
          </w:p>
          <w:p w:rsidR="00086E2F" w:rsidRPr="00AE41EE" w:rsidRDefault="00086E2F" w:rsidP="00086E2F">
            <w:pPr>
              <w:tabs>
                <w:tab w:val="left" w:pos="-1440"/>
                <w:tab w:val="left" w:pos="-720"/>
              </w:tabs>
              <w:rPr>
                <w:b/>
                <w:sz w:val="20"/>
                <w:szCs w:val="20"/>
              </w:rPr>
            </w:pPr>
            <w:r w:rsidRPr="00AE41EE">
              <w:rPr>
                <w:b/>
                <w:sz w:val="20"/>
                <w:szCs w:val="20"/>
              </w:rPr>
              <w:t>Canada Health Infoway Inc. e</w:t>
            </w:r>
            <w:r>
              <w:rPr>
                <w:b/>
                <w:sz w:val="20"/>
                <w:szCs w:val="20"/>
              </w:rPr>
              <w:t xml:space="preserve">t al. </w:t>
            </w:r>
            <w:r w:rsidRPr="00AE41EE">
              <w:rPr>
                <w:b/>
                <w:sz w:val="20"/>
                <w:szCs w:val="20"/>
              </w:rPr>
              <w:t>(</w:t>
            </w:r>
            <w:r>
              <w:rPr>
                <w:b/>
                <w:sz w:val="20"/>
                <w:szCs w:val="20"/>
              </w:rPr>
              <w:t>P</w:t>
            </w:r>
            <w:r w:rsidRPr="00AE41EE">
              <w:rPr>
                <w:b/>
                <w:sz w:val="20"/>
                <w:szCs w:val="20"/>
              </w:rPr>
              <w:t>.</w:t>
            </w:r>
            <w:r>
              <w:rPr>
                <w:b/>
                <w:sz w:val="20"/>
                <w:szCs w:val="20"/>
              </w:rPr>
              <w:t>E.I.</w:t>
            </w:r>
            <w:r w:rsidRPr="00AE41EE">
              <w:rPr>
                <w:b/>
                <w:sz w:val="20"/>
                <w:szCs w:val="20"/>
              </w:rPr>
              <w:t>)</w:t>
            </w:r>
          </w:p>
          <w:p w:rsidR="00086E2F" w:rsidRPr="00AE41EE" w:rsidRDefault="00086E2F" w:rsidP="00086E2F">
            <w:pPr>
              <w:tabs>
                <w:tab w:val="left" w:pos="-1440"/>
                <w:tab w:val="left" w:pos="-720"/>
              </w:tabs>
              <w:rPr>
                <w:sz w:val="20"/>
                <w:szCs w:val="20"/>
              </w:rPr>
            </w:pPr>
            <w:r w:rsidRPr="00AE41EE">
              <w:rPr>
                <w:sz w:val="20"/>
                <w:szCs w:val="20"/>
              </w:rPr>
              <w:tab/>
              <w:t>Tracey L. Clements, Q.C.</w:t>
            </w:r>
          </w:p>
          <w:p w:rsidR="00086E2F" w:rsidRPr="00AE41EE" w:rsidRDefault="00086E2F" w:rsidP="00086E2F">
            <w:pPr>
              <w:tabs>
                <w:tab w:val="left" w:pos="-1440"/>
                <w:tab w:val="left" w:pos="-720"/>
              </w:tabs>
              <w:rPr>
                <w:sz w:val="20"/>
                <w:szCs w:val="20"/>
              </w:rPr>
            </w:pPr>
            <w:r w:rsidRPr="00AE41EE">
              <w:rPr>
                <w:sz w:val="20"/>
                <w:szCs w:val="20"/>
              </w:rPr>
              <w:tab/>
              <w:t>Stewart McKelvey</w:t>
            </w:r>
          </w:p>
          <w:p w:rsidR="00086E2F" w:rsidRPr="00AE41EE" w:rsidRDefault="00086E2F" w:rsidP="00086E2F">
            <w:pPr>
              <w:tabs>
                <w:tab w:val="left" w:pos="-1440"/>
                <w:tab w:val="left" w:pos="-720"/>
              </w:tabs>
              <w:rPr>
                <w:sz w:val="20"/>
                <w:szCs w:val="20"/>
              </w:rPr>
            </w:pPr>
          </w:p>
          <w:p w:rsidR="00086E2F" w:rsidRPr="00086E2F" w:rsidRDefault="00086E2F" w:rsidP="00086E2F">
            <w:pPr>
              <w:rPr>
                <w:sz w:val="20"/>
                <w:szCs w:val="20"/>
              </w:rPr>
            </w:pPr>
            <w:r w:rsidRPr="00A935AA">
              <w:rPr>
                <w:sz w:val="20"/>
                <w:szCs w:val="20"/>
              </w:rPr>
              <w:t>FILING DATE: 2</w:t>
            </w:r>
            <w:r>
              <w:rPr>
                <w:sz w:val="20"/>
                <w:szCs w:val="20"/>
              </w:rPr>
              <w:t>4</w:t>
            </w:r>
            <w:r w:rsidRPr="00A935AA">
              <w:rPr>
                <w:sz w:val="20"/>
                <w:szCs w:val="20"/>
              </w:rPr>
              <w:t>.0</w:t>
            </w:r>
            <w:r>
              <w:rPr>
                <w:sz w:val="20"/>
                <w:szCs w:val="20"/>
              </w:rPr>
              <w:t>9</w:t>
            </w:r>
            <w:r w:rsidRPr="00A935AA">
              <w:rPr>
                <w:sz w:val="20"/>
                <w:szCs w:val="20"/>
              </w:rPr>
              <w:t>.201</w:t>
            </w:r>
            <w:r>
              <w:rPr>
                <w:sz w:val="20"/>
                <w:szCs w:val="20"/>
              </w:rPr>
              <w:t>4</w:t>
            </w:r>
            <w:r w:rsidR="00F677DC">
              <w:rPr>
                <w:sz w:val="20"/>
                <w:szCs w:val="20"/>
                <w:lang w:val="fr-CA"/>
              </w:rPr>
              <w:pict>
                <v:rect id="_x0000_i1029" style="width:108pt;height:1pt" o:hrpct="0" o:hralign="center" o:hrstd="t" o:hrnoshade="t" o:hr="t" fillcolor="black [3213]" stroked="f"/>
              </w:pict>
            </w:r>
          </w:p>
        </w:tc>
        <w:tc>
          <w:tcPr>
            <w:tcW w:w="1181" w:type="dxa"/>
            <w:shd w:val="clear" w:color="auto" w:fill="auto"/>
          </w:tcPr>
          <w:p w:rsidR="00086E2F" w:rsidRDefault="00086E2F" w:rsidP="00242AEE">
            <w:pPr>
              <w:jc w:val="center"/>
              <w:rPr>
                <w:sz w:val="20"/>
                <w:szCs w:val="20"/>
              </w:rPr>
            </w:pPr>
          </w:p>
          <w:p w:rsidR="00086E2F" w:rsidRDefault="00086E2F" w:rsidP="00242AEE">
            <w:pPr>
              <w:jc w:val="center"/>
              <w:rPr>
                <w:sz w:val="20"/>
                <w:szCs w:val="20"/>
              </w:rPr>
            </w:pPr>
          </w:p>
          <w:p w:rsidR="00086E2F" w:rsidRDefault="00086E2F" w:rsidP="00242AEE">
            <w:pPr>
              <w:jc w:val="center"/>
              <w:rPr>
                <w:sz w:val="20"/>
                <w:szCs w:val="20"/>
              </w:rPr>
            </w:pPr>
          </w:p>
          <w:p w:rsidR="00086E2F" w:rsidRDefault="00086E2F" w:rsidP="00242AEE">
            <w:pPr>
              <w:jc w:val="center"/>
              <w:rPr>
                <w:sz w:val="20"/>
                <w:szCs w:val="20"/>
              </w:rPr>
            </w:pPr>
          </w:p>
          <w:p w:rsidR="00086E2F" w:rsidRDefault="00086E2F" w:rsidP="00242AEE">
            <w:pPr>
              <w:jc w:val="center"/>
              <w:rPr>
                <w:sz w:val="20"/>
                <w:szCs w:val="20"/>
              </w:rPr>
            </w:pPr>
          </w:p>
          <w:p w:rsidR="00086E2F" w:rsidRDefault="00086E2F" w:rsidP="00242AEE">
            <w:pPr>
              <w:jc w:val="center"/>
              <w:rPr>
                <w:sz w:val="20"/>
                <w:szCs w:val="20"/>
              </w:rPr>
            </w:pPr>
          </w:p>
          <w:p w:rsidR="00086E2F" w:rsidRDefault="00086E2F" w:rsidP="00242AEE">
            <w:pPr>
              <w:jc w:val="center"/>
              <w:rPr>
                <w:sz w:val="20"/>
                <w:szCs w:val="20"/>
              </w:rPr>
            </w:pPr>
          </w:p>
          <w:p w:rsidR="00086E2F" w:rsidRDefault="00086E2F" w:rsidP="00242AEE">
            <w:pPr>
              <w:jc w:val="center"/>
              <w:rPr>
                <w:sz w:val="20"/>
                <w:szCs w:val="20"/>
              </w:rPr>
            </w:pPr>
          </w:p>
          <w:p w:rsidR="00086E2F" w:rsidRDefault="00086E2F" w:rsidP="00242AEE">
            <w:pPr>
              <w:jc w:val="center"/>
              <w:rPr>
                <w:sz w:val="20"/>
                <w:szCs w:val="20"/>
              </w:rPr>
            </w:pPr>
          </w:p>
          <w:p w:rsidR="00086E2F" w:rsidRDefault="00086E2F" w:rsidP="00242AEE">
            <w:pPr>
              <w:jc w:val="center"/>
              <w:rPr>
                <w:sz w:val="20"/>
                <w:szCs w:val="20"/>
              </w:rPr>
            </w:pPr>
          </w:p>
          <w:p w:rsidR="00086E2F" w:rsidRDefault="00086E2F" w:rsidP="00242AEE">
            <w:pPr>
              <w:jc w:val="center"/>
              <w:rPr>
                <w:sz w:val="20"/>
                <w:szCs w:val="20"/>
              </w:rPr>
            </w:pPr>
          </w:p>
          <w:p w:rsidR="00086E2F" w:rsidRPr="00A935AA" w:rsidRDefault="00086E2F" w:rsidP="00242AEE">
            <w:pPr>
              <w:jc w:val="center"/>
              <w:rPr>
                <w:sz w:val="20"/>
                <w:szCs w:val="20"/>
              </w:rPr>
            </w:pPr>
          </w:p>
        </w:tc>
        <w:tc>
          <w:tcPr>
            <w:tcW w:w="4320" w:type="dxa"/>
            <w:shd w:val="clear" w:color="auto" w:fill="auto"/>
          </w:tcPr>
          <w:p w:rsidR="00086E2F" w:rsidRPr="00AE41EE" w:rsidRDefault="00086E2F" w:rsidP="00086E2F">
            <w:pPr>
              <w:rPr>
                <w:b/>
                <w:sz w:val="20"/>
                <w:szCs w:val="20"/>
                <w:lang w:val="fr-CA"/>
              </w:rPr>
            </w:pPr>
            <w:r w:rsidRPr="00AE41EE">
              <w:rPr>
                <w:b/>
                <w:sz w:val="20"/>
                <w:szCs w:val="20"/>
                <w:lang w:val="fr-CA"/>
              </w:rPr>
              <w:t>Noel Ayangma</w:t>
            </w:r>
          </w:p>
          <w:p w:rsidR="00086E2F" w:rsidRPr="00086E2F" w:rsidRDefault="00086E2F" w:rsidP="00086E2F">
            <w:pPr>
              <w:tabs>
                <w:tab w:val="left" w:pos="-1440"/>
                <w:tab w:val="left" w:pos="-720"/>
              </w:tabs>
              <w:rPr>
                <w:sz w:val="20"/>
                <w:szCs w:val="20"/>
                <w:lang w:val="fr-CA"/>
              </w:rPr>
            </w:pPr>
            <w:r w:rsidRPr="00AE41EE">
              <w:rPr>
                <w:sz w:val="20"/>
                <w:szCs w:val="20"/>
                <w:lang w:val="fr-CA"/>
              </w:rPr>
              <w:tab/>
            </w:r>
            <w:r>
              <w:rPr>
                <w:sz w:val="20"/>
                <w:szCs w:val="20"/>
                <w:lang w:val="fr-CA"/>
              </w:rPr>
              <w:t>Noel Ay</w:t>
            </w:r>
            <w:r w:rsidRPr="00086E2F">
              <w:rPr>
                <w:sz w:val="20"/>
                <w:szCs w:val="20"/>
                <w:lang w:val="fr-CA"/>
              </w:rPr>
              <w:t>angma</w:t>
            </w:r>
          </w:p>
          <w:p w:rsidR="00086E2F" w:rsidRPr="00086E2F" w:rsidRDefault="00086E2F" w:rsidP="00086E2F">
            <w:pPr>
              <w:tabs>
                <w:tab w:val="left" w:pos="-1440"/>
                <w:tab w:val="left" w:pos="-720"/>
              </w:tabs>
              <w:rPr>
                <w:sz w:val="20"/>
                <w:szCs w:val="20"/>
                <w:lang w:val="fr-CA"/>
              </w:rPr>
            </w:pPr>
          </w:p>
          <w:p w:rsidR="00086E2F" w:rsidRPr="00086E2F" w:rsidRDefault="00086E2F" w:rsidP="00086E2F">
            <w:pPr>
              <w:tabs>
                <w:tab w:val="left" w:pos="-1440"/>
                <w:tab w:val="left" w:pos="-720"/>
              </w:tabs>
              <w:rPr>
                <w:sz w:val="20"/>
                <w:szCs w:val="20"/>
                <w:lang w:val="fr-CA"/>
              </w:rPr>
            </w:pPr>
            <w:r w:rsidRPr="00086E2F">
              <w:rPr>
                <w:sz w:val="20"/>
                <w:szCs w:val="20"/>
                <w:lang w:val="fr-CA"/>
              </w:rPr>
              <w:tab/>
              <w:t>v. (36089)</w:t>
            </w:r>
          </w:p>
          <w:p w:rsidR="00086E2F" w:rsidRPr="00086E2F" w:rsidRDefault="00086E2F" w:rsidP="00086E2F">
            <w:pPr>
              <w:tabs>
                <w:tab w:val="left" w:pos="-1440"/>
                <w:tab w:val="left" w:pos="-720"/>
              </w:tabs>
              <w:rPr>
                <w:sz w:val="20"/>
                <w:szCs w:val="20"/>
                <w:lang w:val="fr-CA"/>
              </w:rPr>
            </w:pPr>
          </w:p>
          <w:p w:rsidR="00086E2F" w:rsidRPr="00086E2F" w:rsidRDefault="00086E2F" w:rsidP="00086E2F">
            <w:pPr>
              <w:tabs>
                <w:tab w:val="left" w:pos="-1440"/>
                <w:tab w:val="left" w:pos="-720"/>
              </w:tabs>
              <w:rPr>
                <w:b/>
                <w:sz w:val="20"/>
                <w:szCs w:val="20"/>
              </w:rPr>
            </w:pPr>
            <w:r w:rsidRPr="00086E2F">
              <w:rPr>
                <w:b/>
                <w:sz w:val="20"/>
                <w:szCs w:val="20"/>
              </w:rPr>
              <w:t>Public Service Alliance of Canada et al. (P.E.I.)</w:t>
            </w:r>
          </w:p>
          <w:p w:rsidR="00086E2F" w:rsidRPr="00A935AA" w:rsidRDefault="00086E2F" w:rsidP="00086E2F">
            <w:pPr>
              <w:tabs>
                <w:tab w:val="left" w:pos="-1440"/>
                <w:tab w:val="left" w:pos="-720"/>
              </w:tabs>
              <w:rPr>
                <w:sz w:val="20"/>
                <w:szCs w:val="20"/>
              </w:rPr>
            </w:pPr>
            <w:r w:rsidRPr="00086E2F">
              <w:rPr>
                <w:sz w:val="20"/>
                <w:szCs w:val="20"/>
              </w:rPr>
              <w:tab/>
              <w:t>Leanne N. Fish</w:t>
            </w:r>
            <w:r>
              <w:rPr>
                <w:sz w:val="20"/>
                <w:szCs w:val="20"/>
              </w:rPr>
              <w:t>er</w:t>
            </w:r>
          </w:p>
          <w:p w:rsidR="00086E2F" w:rsidRPr="00A935AA" w:rsidRDefault="00086E2F" w:rsidP="00086E2F">
            <w:pPr>
              <w:tabs>
                <w:tab w:val="left" w:pos="-1440"/>
                <w:tab w:val="left" w:pos="-720"/>
              </w:tabs>
              <w:rPr>
                <w:sz w:val="20"/>
                <w:szCs w:val="20"/>
              </w:rPr>
            </w:pPr>
            <w:r w:rsidRPr="00A935AA">
              <w:rPr>
                <w:sz w:val="20"/>
                <w:szCs w:val="20"/>
              </w:rPr>
              <w:tab/>
            </w:r>
            <w:r>
              <w:rPr>
                <w:sz w:val="20"/>
                <w:szCs w:val="20"/>
              </w:rPr>
              <w:t>Hicks Morley LLP</w:t>
            </w:r>
          </w:p>
          <w:p w:rsidR="00086E2F" w:rsidRPr="00A935AA" w:rsidRDefault="00086E2F" w:rsidP="00086E2F">
            <w:pPr>
              <w:tabs>
                <w:tab w:val="left" w:pos="-1440"/>
                <w:tab w:val="left" w:pos="-720"/>
              </w:tabs>
              <w:rPr>
                <w:sz w:val="20"/>
                <w:szCs w:val="20"/>
              </w:rPr>
            </w:pPr>
          </w:p>
          <w:p w:rsidR="00086E2F" w:rsidRPr="00A935AA" w:rsidRDefault="00086E2F" w:rsidP="00086E2F">
            <w:pPr>
              <w:rPr>
                <w:sz w:val="20"/>
                <w:szCs w:val="20"/>
              </w:rPr>
            </w:pPr>
            <w:r w:rsidRPr="00A935AA">
              <w:rPr>
                <w:sz w:val="20"/>
                <w:szCs w:val="20"/>
              </w:rPr>
              <w:t>FILING DATE: 2</w:t>
            </w:r>
            <w:r>
              <w:rPr>
                <w:sz w:val="20"/>
                <w:szCs w:val="20"/>
              </w:rPr>
              <w:t>4</w:t>
            </w:r>
            <w:r w:rsidRPr="00A935AA">
              <w:rPr>
                <w:sz w:val="20"/>
                <w:szCs w:val="20"/>
              </w:rPr>
              <w:t>.0</w:t>
            </w:r>
            <w:r>
              <w:rPr>
                <w:sz w:val="20"/>
                <w:szCs w:val="20"/>
              </w:rPr>
              <w:t>9</w:t>
            </w:r>
            <w:r w:rsidRPr="00A935AA">
              <w:rPr>
                <w:sz w:val="20"/>
                <w:szCs w:val="20"/>
              </w:rPr>
              <w:t>.201</w:t>
            </w:r>
            <w:r>
              <w:rPr>
                <w:sz w:val="20"/>
                <w:szCs w:val="20"/>
              </w:rPr>
              <w:t>4</w:t>
            </w:r>
            <w:r w:rsidR="00F677DC">
              <w:rPr>
                <w:sz w:val="20"/>
                <w:szCs w:val="20"/>
                <w:lang w:val="fr-CA"/>
              </w:rPr>
              <w:pict>
                <v:rect id="_x0000_i1030" style="width:108pt;height:1pt" o:hrpct="0" o:hralign="center" o:hrstd="t" o:hrnoshade="t" o:hr="t" fillcolor="black [3213]" stroked="f"/>
              </w:pict>
            </w:r>
          </w:p>
        </w:tc>
      </w:tr>
      <w:tr w:rsidR="00FF1BD6" w:rsidRPr="00144C30" w:rsidTr="003B3977">
        <w:tc>
          <w:tcPr>
            <w:tcW w:w="4320" w:type="dxa"/>
            <w:shd w:val="clear" w:color="auto" w:fill="auto"/>
          </w:tcPr>
          <w:p w:rsidR="00FF1BD6" w:rsidRPr="00A935AA" w:rsidRDefault="00FF1BD6" w:rsidP="00FF1BD6">
            <w:pPr>
              <w:rPr>
                <w:b/>
                <w:sz w:val="20"/>
                <w:szCs w:val="20"/>
              </w:rPr>
            </w:pPr>
            <w:r>
              <w:rPr>
                <w:b/>
                <w:sz w:val="20"/>
                <w:szCs w:val="20"/>
              </w:rPr>
              <w:t>Lawyers’ Professional Indemnity Company</w:t>
            </w:r>
          </w:p>
          <w:p w:rsidR="00FF1BD6" w:rsidRPr="00A935AA" w:rsidRDefault="00FF1BD6" w:rsidP="00FF1BD6">
            <w:pPr>
              <w:tabs>
                <w:tab w:val="left" w:pos="-1440"/>
                <w:tab w:val="left" w:pos="-720"/>
              </w:tabs>
              <w:rPr>
                <w:sz w:val="20"/>
                <w:szCs w:val="20"/>
              </w:rPr>
            </w:pPr>
            <w:r w:rsidRPr="00A935AA">
              <w:rPr>
                <w:sz w:val="20"/>
                <w:szCs w:val="20"/>
              </w:rPr>
              <w:tab/>
            </w:r>
            <w:r>
              <w:rPr>
                <w:sz w:val="20"/>
                <w:szCs w:val="20"/>
              </w:rPr>
              <w:t>J. Stephen Cavanagh</w:t>
            </w:r>
          </w:p>
          <w:p w:rsidR="00FF1BD6" w:rsidRPr="00A935AA" w:rsidRDefault="00FF1BD6" w:rsidP="00FF1BD6">
            <w:pPr>
              <w:tabs>
                <w:tab w:val="left" w:pos="-1440"/>
                <w:tab w:val="left" w:pos="-720"/>
              </w:tabs>
              <w:rPr>
                <w:sz w:val="20"/>
                <w:szCs w:val="20"/>
              </w:rPr>
            </w:pPr>
            <w:r w:rsidRPr="00A935AA">
              <w:rPr>
                <w:sz w:val="20"/>
                <w:szCs w:val="20"/>
              </w:rPr>
              <w:tab/>
            </w:r>
            <w:r>
              <w:rPr>
                <w:sz w:val="20"/>
                <w:szCs w:val="20"/>
              </w:rPr>
              <w:t>Cavanagh Williams Conway Baxter LLP</w:t>
            </w:r>
          </w:p>
          <w:p w:rsidR="00FF1BD6" w:rsidRPr="00A935AA" w:rsidRDefault="00FF1BD6" w:rsidP="00FF1BD6">
            <w:pPr>
              <w:tabs>
                <w:tab w:val="left" w:pos="-1440"/>
                <w:tab w:val="left" w:pos="-720"/>
              </w:tabs>
              <w:rPr>
                <w:sz w:val="20"/>
                <w:szCs w:val="20"/>
              </w:rPr>
            </w:pPr>
          </w:p>
          <w:p w:rsidR="00FF1BD6" w:rsidRPr="00A935AA" w:rsidRDefault="00FF1BD6" w:rsidP="00FF1BD6">
            <w:pPr>
              <w:tabs>
                <w:tab w:val="left" w:pos="-1440"/>
                <w:tab w:val="left" w:pos="-720"/>
              </w:tabs>
              <w:rPr>
                <w:sz w:val="20"/>
                <w:szCs w:val="20"/>
              </w:rPr>
            </w:pPr>
            <w:r w:rsidRPr="00A935AA">
              <w:rPr>
                <w:sz w:val="20"/>
                <w:szCs w:val="20"/>
              </w:rPr>
              <w:tab/>
              <w:t>v. (3</w:t>
            </w:r>
            <w:r>
              <w:rPr>
                <w:sz w:val="20"/>
                <w:szCs w:val="20"/>
              </w:rPr>
              <w:t>6076</w:t>
            </w:r>
            <w:r w:rsidRPr="00A935AA">
              <w:rPr>
                <w:sz w:val="20"/>
                <w:szCs w:val="20"/>
              </w:rPr>
              <w:t>)</w:t>
            </w:r>
          </w:p>
          <w:p w:rsidR="00FF1BD6" w:rsidRPr="00A935AA" w:rsidRDefault="00FF1BD6" w:rsidP="00FF1BD6">
            <w:pPr>
              <w:tabs>
                <w:tab w:val="left" w:pos="-1440"/>
                <w:tab w:val="left" w:pos="-720"/>
              </w:tabs>
              <w:rPr>
                <w:sz w:val="20"/>
                <w:szCs w:val="20"/>
              </w:rPr>
            </w:pPr>
          </w:p>
          <w:p w:rsidR="00FF1BD6" w:rsidRPr="00AE41EE" w:rsidRDefault="00FF1BD6" w:rsidP="00FF1BD6">
            <w:pPr>
              <w:tabs>
                <w:tab w:val="left" w:pos="-1440"/>
                <w:tab w:val="left" w:pos="-720"/>
              </w:tabs>
              <w:rPr>
                <w:b/>
                <w:sz w:val="20"/>
                <w:szCs w:val="20"/>
                <w:lang w:val="fr-CA"/>
              </w:rPr>
            </w:pPr>
            <w:r>
              <w:rPr>
                <w:b/>
                <w:sz w:val="20"/>
                <w:szCs w:val="20"/>
              </w:rPr>
              <w:t xml:space="preserve">Simpson Wigle Law LLP et al. </w:t>
            </w:r>
            <w:r w:rsidRPr="00AE41EE">
              <w:rPr>
                <w:b/>
                <w:sz w:val="20"/>
                <w:szCs w:val="20"/>
                <w:lang w:val="fr-CA"/>
              </w:rPr>
              <w:t>(Ont.)</w:t>
            </w:r>
          </w:p>
          <w:p w:rsidR="00FF1BD6" w:rsidRPr="00AE41EE" w:rsidRDefault="00FF1BD6" w:rsidP="00FF1BD6">
            <w:pPr>
              <w:tabs>
                <w:tab w:val="left" w:pos="-1440"/>
                <w:tab w:val="left" w:pos="-720"/>
              </w:tabs>
              <w:rPr>
                <w:sz w:val="20"/>
                <w:szCs w:val="20"/>
                <w:lang w:val="fr-CA"/>
              </w:rPr>
            </w:pPr>
            <w:r w:rsidRPr="00AE41EE">
              <w:rPr>
                <w:sz w:val="20"/>
                <w:szCs w:val="20"/>
                <w:lang w:val="fr-CA"/>
              </w:rPr>
              <w:tab/>
              <w:t>Alan J. Lenczner, Q.C.</w:t>
            </w:r>
          </w:p>
          <w:p w:rsidR="00FF1BD6" w:rsidRDefault="00FF1BD6" w:rsidP="00FF1BD6">
            <w:pPr>
              <w:tabs>
                <w:tab w:val="left" w:pos="-1440"/>
                <w:tab w:val="left" w:pos="-720"/>
              </w:tabs>
              <w:rPr>
                <w:sz w:val="20"/>
                <w:szCs w:val="20"/>
              </w:rPr>
            </w:pPr>
            <w:r w:rsidRPr="00AE41EE">
              <w:rPr>
                <w:sz w:val="20"/>
                <w:szCs w:val="20"/>
                <w:lang w:val="fr-CA"/>
              </w:rPr>
              <w:tab/>
            </w:r>
            <w:r w:rsidRPr="00AE41EE">
              <w:rPr>
                <w:sz w:val="20"/>
                <w:szCs w:val="20"/>
              </w:rPr>
              <w:t xml:space="preserve">Lenczner Slaght Royce Smith Griffin </w:t>
            </w:r>
            <w:r w:rsidRPr="00AE41EE">
              <w:rPr>
                <w:sz w:val="20"/>
                <w:szCs w:val="20"/>
              </w:rPr>
              <w:tab/>
              <w:t>LLP</w:t>
            </w:r>
          </w:p>
          <w:p w:rsidR="00FF1BD6" w:rsidRPr="00AE41EE" w:rsidRDefault="00FF1BD6" w:rsidP="00FF1BD6">
            <w:pPr>
              <w:tabs>
                <w:tab w:val="left" w:pos="-1440"/>
                <w:tab w:val="left" w:pos="-720"/>
              </w:tabs>
              <w:rPr>
                <w:sz w:val="20"/>
                <w:szCs w:val="20"/>
              </w:rPr>
            </w:pPr>
          </w:p>
          <w:p w:rsidR="00FF1BD6" w:rsidRPr="00A935AA" w:rsidRDefault="00FF1BD6" w:rsidP="00FF1BD6">
            <w:pPr>
              <w:rPr>
                <w:sz w:val="20"/>
                <w:szCs w:val="20"/>
              </w:rPr>
            </w:pPr>
            <w:r w:rsidRPr="00A935AA">
              <w:rPr>
                <w:sz w:val="20"/>
                <w:szCs w:val="20"/>
              </w:rPr>
              <w:t>FILING DATE: 2</w:t>
            </w:r>
            <w:r>
              <w:rPr>
                <w:sz w:val="20"/>
                <w:szCs w:val="20"/>
              </w:rPr>
              <w:t>4</w:t>
            </w:r>
            <w:r w:rsidRPr="00A935AA">
              <w:rPr>
                <w:sz w:val="20"/>
                <w:szCs w:val="20"/>
              </w:rPr>
              <w:t>.0</w:t>
            </w:r>
            <w:r>
              <w:rPr>
                <w:sz w:val="20"/>
                <w:szCs w:val="20"/>
              </w:rPr>
              <w:t>9</w:t>
            </w:r>
            <w:r w:rsidRPr="00A935AA">
              <w:rPr>
                <w:sz w:val="20"/>
                <w:szCs w:val="20"/>
              </w:rPr>
              <w:t>.201</w:t>
            </w:r>
            <w:r>
              <w:rPr>
                <w:sz w:val="20"/>
                <w:szCs w:val="20"/>
              </w:rPr>
              <w:t>4</w:t>
            </w:r>
            <w:r w:rsidR="00F677DC">
              <w:rPr>
                <w:sz w:val="20"/>
                <w:szCs w:val="20"/>
                <w:lang w:val="fr-CA"/>
              </w:rPr>
              <w:pict>
                <v:rect id="_x0000_i1031" style="width:108pt;height:1pt" o:hrpct="0" o:hralign="center" o:hrstd="t" o:hrnoshade="t" o:hr="t" fillcolor="black [3213]" stroked="f"/>
              </w:pict>
            </w:r>
          </w:p>
        </w:tc>
        <w:tc>
          <w:tcPr>
            <w:tcW w:w="1181" w:type="dxa"/>
            <w:shd w:val="clear" w:color="auto" w:fill="auto"/>
          </w:tcPr>
          <w:p w:rsidR="00FF1BD6" w:rsidRDefault="00FF1BD6" w:rsidP="00242AEE">
            <w:pPr>
              <w:jc w:val="center"/>
              <w:rPr>
                <w:sz w:val="20"/>
                <w:szCs w:val="20"/>
              </w:rPr>
            </w:pPr>
          </w:p>
          <w:p w:rsidR="00FF1BD6" w:rsidRDefault="00FF1BD6" w:rsidP="00242AEE">
            <w:pPr>
              <w:jc w:val="center"/>
              <w:rPr>
                <w:sz w:val="20"/>
                <w:szCs w:val="20"/>
              </w:rPr>
            </w:pPr>
          </w:p>
          <w:p w:rsidR="00FF1BD6" w:rsidRDefault="00FF1BD6" w:rsidP="00242AEE">
            <w:pPr>
              <w:jc w:val="center"/>
              <w:rPr>
                <w:sz w:val="20"/>
                <w:szCs w:val="20"/>
              </w:rPr>
            </w:pPr>
          </w:p>
          <w:p w:rsidR="00FF1BD6" w:rsidRDefault="00FF1BD6" w:rsidP="00242AEE">
            <w:pPr>
              <w:jc w:val="center"/>
              <w:rPr>
                <w:sz w:val="20"/>
                <w:szCs w:val="20"/>
              </w:rPr>
            </w:pPr>
          </w:p>
          <w:p w:rsidR="00FF1BD6" w:rsidRDefault="00FF1BD6" w:rsidP="00242AEE">
            <w:pPr>
              <w:jc w:val="center"/>
              <w:rPr>
                <w:sz w:val="20"/>
                <w:szCs w:val="20"/>
              </w:rPr>
            </w:pPr>
          </w:p>
          <w:p w:rsidR="00FF1BD6" w:rsidRDefault="00FF1BD6" w:rsidP="00242AEE">
            <w:pPr>
              <w:jc w:val="center"/>
              <w:rPr>
                <w:sz w:val="20"/>
                <w:szCs w:val="20"/>
              </w:rPr>
            </w:pPr>
          </w:p>
          <w:p w:rsidR="00FF1BD6" w:rsidRDefault="00FF1BD6" w:rsidP="00242AEE">
            <w:pPr>
              <w:jc w:val="center"/>
              <w:rPr>
                <w:sz w:val="20"/>
                <w:szCs w:val="20"/>
              </w:rPr>
            </w:pPr>
          </w:p>
          <w:p w:rsidR="00FF1BD6" w:rsidRDefault="00FF1BD6" w:rsidP="00242AEE">
            <w:pPr>
              <w:jc w:val="center"/>
              <w:rPr>
                <w:sz w:val="20"/>
                <w:szCs w:val="20"/>
              </w:rPr>
            </w:pPr>
          </w:p>
          <w:p w:rsidR="00FF1BD6" w:rsidRDefault="00FF1BD6" w:rsidP="00242AEE">
            <w:pPr>
              <w:jc w:val="center"/>
              <w:rPr>
                <w:sz w:val="20"/>
                <w:szCs w:val="20"/>
              </w:rPr>
            </w:pPr>
          </w:p>
          <w:p w:rsidR="00FF1BD6" w:rsidRDefault="00FF1BD6" w:rsidP="00242AEE">
            <w:pPr>
              <w:jc w:val="center"/>
              <w:rPr>
                <w:sz w:val="20"/>
                <w:szCs w:val="20"/>
              </w:rPr>
            </w:pPr>
          </w:p>
          <w:p w:rsidR="00FF1BD6" w:rsidRDefault="00FF1BD6" w:rsidP="00242AEE">
            <w:pPr>
              <w:jc w:val="center"/>
              <w:rPr>
                <w:sz w:val="20"/>
                <w:szCs w:val="20"/>
              </w:rPr>
            </w:pPr>
          </w:p>
          <w:p w:rsidR="00FF1BD6" w:rsidRDefault="00FF1BD6" w:rsidP="00242AEE">
            <w:pPr>
              <w:jc w:val="center"/>
              <w:rPr>
                <w:sz w:val="20"/>
                <w:szCs w:val="20"/>
              </w:rPr>
            </w:pPr>
          </w:p>
          <w:p w:rsidR="00FF1BD6" w:rsidRDefault="00FF1BD6" w:rsidP="00242AEE">
            <w:pPr>
              <w:jc w:val="center"/>
              <w:rPr>
                <w:sz w:val="20"/>
                <w:szCs w:val="20"/>
              </w:rPr>
            </w:pPr>
          </w:p>
        </w:tc>
        <w:tc>
          <w:tcPr>
            <w:tcW w:w="4320" w:type="dxa"/>
            <w:shd w:val="clear" w:color="auto" w:fill="auto"/>
          </w:tcPr>
          <w:p w:rsidR="00FF1BD6" w:rsidRPr="00A935AA" w:rsidRDefault="00144C30" w:rsidP="00C27AC4">
            <w:pPr>
              <w:rPr>
                <w:b/>
                <w:sz w:val="20"/>
                <w:szCs w:val="20"/>
              </w:rPr>
            </w:pPr>
            <w:r>
              <w:rPr>
                <w:b/>
                <w:sz w:val="20"/>
                <w:szCs w:val="20"/>
              </w:rPr>
              <w:t>Estate of the Late Eisig Rossdeutscher et al.</w:t>
            </w:r>
          </w:p>
          <w:p w:rsidR="00FF1BD6" w:rsidRPr="00A935AA" w:rsidRDefault="00FF1BD6" w:rsidP="00C27AC4">
            <w:pPr>
              <w:tabs>
                <w:tab w:val="left" w:pos="-1440"/>
                <w:tab w:val="left" w:pos="-720"/>
              </w:tabs>
              <w:rPr>
                <w:sz w:val="20"/>
                <w:szCs w:val="20"/>
              </w:rPr>
            </w:pPr>
            <w:r w:rsidRPr="00A935AA">
              <w:rPr>
                <w:sz w:val="20"/>
                <w:szCs w:val="20"/>
              </w:rPr>
              <w:tab/>
            </w:r>
            <w:r w:rsidR="00144C30">
              <w:rPr>
                <w:sz w:val="20"/>
                <w:szCs w:val="20"/>
              </w:rPr>
              <w:t>Lionel Rossdeutscher</w:t>
            </w:r>
          </w:p>
          <w:p w:rsidR="00FF1BD6" w:rsidRPr="00B8316E" w:rsidRDefault="00FF1BD6" w:rsidP="00C27AC4">
            <w:pPr>
              <w:tabs>
                <w:tab w:val="left" w:pos="-1440"/>
                <w:tab w:val="left" w:pos="-720"/>
              </w:tabs>
              <w:rPr>
                <w:sz w:val="20"/>
                <w:szCs w:val="20"/>
              </w:rPr>
            </w:pPr>
            <w:r w:rsidRPr="00A935AA">
              <w:rPr>
                <w:sz w:val="20"/>
                <w:szCs w:val="20"/>
              </w:rPr>
              <w:tab/>
            </w:r>
            <w:r w:rsidR="00144C30" w:rsidRPr="00B8316E">
              <w:rPr>
                <w:sz w:val="20"/>
                <w:szCs w:val="20"/>
              </w:rPr>
              <w:t>Lionel Rossdeutscher &amp; Associates</w:t>
            </w:r>
          </w:p>
          <w:p w:rsidR="00FF1BD6" w:rsidRPr="00B8316E" w:rsidRDefault="00FF1BD6" w:rsidP="00C27AC4">
            <w:pPr>
              <w:tabs>
                <w:tab w:val="left" w:pos="-1440"/>
                <w:tab w:val="left" w:pos="-720"/>
              </w:tabs>
              <w:rPr>
                <w:sz w:val="20"/>
                <w:szCs w:val="20"/>
              </w:rPr>
            </w:pPr>
          </w:p>
          <w:p w:rsidR="00FF1BD6" w:rsidRPr="00B8316E" w:rsidRDefault="00FF1BD6" w:rsidP="00C27AC4">
            <w:pPr>
              <w:tabs>
                <w:tab w:val="left" w:pos="-1440"/>
                <w:tab w:val="left" w:pos="-720"/>
              </w:tabs>
              <w:rPr>
                <w:sz w:val="20"/>
                <w:szCs w:val="20"/>
              </w:rPr>
            </w:pPr>
            <w:r w:rsidRPr="00B8316E">
              <w:rPr>
                <w:sz w:val="20"/>
                <w:szCs w:val="20"/>
              </w:rPr>
              <w:tab/>
              <w:t>v. (3</w:t>
            </w:r>
            <w:r w:rsidR="00144C30" w:rsidRPr="00B8316E">
              <w:rPr>
                <w:sz w:val="20"/>
                <w:szCs w:val="20"/>
              </w:rPr>
              <w:t>6077</w:t>
            </w:r>
            <w:r w:rsidRPr="00B8316E">
              <w:rPr>
                <w:sz w:val="20"/>
                <w:szCs w:val="20"/>
              </w:rPr>
              <w:t>)</w:t>
            </w:r>
          </w:p>
          <w:p w:rsidR="00FF1BD6" w:rsidRPr="00B8316E" w:rsidRDefault="00FF1BD6" w:rsidP="00C27AC4">
            <w:pPr>
              <w:tabs>
                <w:tab w:val="left" w:pos="-1440"/>
                <w:tab w:val="left" w:pos="-720"/>
              </w:tabs>
              <w:rPr>
                <w:sz w:val="20"/>
                <w:szCs w:val="20"/>
              </w:rPr>
            </w:pPr>
          </w:p>
          <w:p w:rsidR="00FF1BD6" w:rsidRPr="00144C30" w:rsidRDefault="00144C30" w:rsidP="00C27AC4">
            <w:pPr>
              <w:tabs>
                <w:tab w:val="left" w:pos="-1440"/>
                <w:tab w:val="left" w:pos="-720"/>
              </w:tabs>
              <w:rPr>
                <w:b/>
                <w:sz w:val="20"/>
                <w:szCs w:val="20"/>
                <w:lang w:val="fr-CA"/>
              </w:rPr>
            </w:pPr>
            <w:r w:rsidRPr="00144C30">
              <w:rPr>
                <w:b/>
                <w:sz w:val="20"/>
                <w:szCs w:val="20"/>
                <w:lang w:val="fr-CA"/>
              </w:rPr>
              <w:t>Organisation d’Éducation et d’Information Logement de Côte-des-Neiges (OEIL) et al.</w:t>
            </w:r>
            <w:r>
              <w:rPr>
                <w:b/>
                <w:sz w:val="20"/>
                <w:szCs w:val="20"/>
                <w:lang w:val="fr-CA"/>
              </w:rPr>
              <w:t xml:space="preserve"> </w:t>
            </w:r>
            <w:r w:rsidR="00FF1BD6" w:rsidRPr="00144C30">
              <w:rPr>
                <w:b/>
                <w:sz w:val="20"/>
                <w:szCs w:val="20"/>
                <w:lang w:val="fr-CA"/>
              </w:rPr>
              <w:t>(</w:t>
            </w:r>
            <w:r>
              <w:rPr>
                <w:b/>
                <w:sz w:val="20"/>
                <w:szCs w:val="20"/>
                <w:lang w:val="fr-CA"/>
              </w:rPr>
              <w:t>Que</w:t>
            </w:r>
            <w:r w:rsidR="00FF1BD6" w:rsidRPr="00144C30">
              <w:rPr>
                <w:b/>
                <w:sz w:val="20"/>
                <w:szCs w:val="20"/>
                <w:lang w:val="fr-CA"/>
              </w:rPr>
              <w:t>.)</w:t>
            </w:r>
          </w:p>
          <w:p w:rsidR="00FF1BD6" w:rsidRPr="00144C30" w:rsidRDefault="00FF1BD6" w:rsidP="00C27AC4">
            <w:pPr>
              <w:tabs>
                <w:tab w:val="left" w:pos="-1440"/>
                <w:tab w:val="left" w:pos="-720"/>
              </w:tabs>
              <w:rPr>
                <w:sz w:val="20"/>
                <w:szCs w:val="20"/>
                <w:lang w:val="fr-CA"/>
              </w:rPr>
            </w:pPr>
            <w:r w:rsidRPr="00144C30">
              <w:rPr>
                <w:sz w:val="20"/>
                <w:szCs w:val="20"/>
                <w:lang w:val="fr-CA"/>
              </w:rPr>
              <w:tab/>
            </w:r>
            <w:r w:rsidR="00144C30">
              <w:rPr>
                <w:sz w:val="20"/>
                <w:szCs w:val="20"/>
                <w:lang w:val="fr-CA"/>
              </w:rPr>
              <w:t>Geeta Narang</w:t>
            </w:r>
          </w:p>
          <w:p w:rsidR="00FF1BD6" w:rsidRPr="00144C30" w:rsidRDefault="00FF1BD6" w:rsidP="00C27AC4">
            <w:pPr>
              <w:tabs>
                <w:tab w:val="left" w:pos="-1440"/>
                <w:tab w:val="left" w:pos="-720"/>
              </w:tabs>
              <w:rPr>
                <w:sz w:val="20"/>
                <w:szCs w:val="20"/>
                <w:lang w:val="fr-CA"/>
              </w:rPr>
            </w:pPr>
            <w:r w:rsidRPr="00144C30">
              <w:rPr>
                <w:sz w:val="20"/>
                <w:szCs w:val="20"/>
                <w:lang w:val="fr-CA"/>
              </w:rPr>
              <w:tab/>
            </w:r>
            <w:r w:rsidR="00144C30">
              <w:rPr>
                <w:sz w:val="20"/>
                <w:szCs w:val="20"/>
                <w:lang w:val="fr-CA"/>
              </w:rPr>
              <w:t>Narang &amp; Associés</w:t>
            </w:r>
          </w:p>
          <w:p w:rsidR="00FF1BD6" w:rsidRPr="00144C30" w:rsidRDefault="00FF1BD6" w:rsidP="00C27AC4">
            <w:pPr>
              <w:tabs>
                <w:tab w:val="left" w:pos="-1440"/>
                <w:tab w:val="left" w:pos="-720"/>
              </w:tabs>
              <w:rPr>
                <w:sz w:val="20"/>
                <w:szCs w:val="20"/>
                <w:lang w:val="fr-CA"/>
              </w:rPr>
            </w:pPr>
          </w:p>
          <w:p w:rsidR="00FF1BD6" w:rsidRPr="00144C30" w:rsidRDefault="00FF1BD6" w:rsidP="00144C30">
            <w:pPr>
              <w:rPr>
                <w:sz w:val="20"/>
                <w:szCs w:val="20"/>
                <w:lang w:val="fr-CA"/>
              </w:rPr>
            </w:pPr>
            <w:r w:rsidRPr="00144C30">
              <w:rPr>
                <w:sz w:val="20"/>
                <w:szCs w:val="20"/>
                <w:lang w:val="fr-CA"/>
              </w:rPr>
              <w:t>FILING DATE: 2</w:t>
            </w:r>
            <w:r w:rsidR="00144C30">
              <w:rPr>
                <w:sz w:val="20"/>
                <w:szCs w:val="20"/>
                <w:lang w:val="fr-CA"/>
              </w:rPr>
              <w:t>4</w:t>
            </w:r>
            <w:r w:rsidRPr="00144C30">
              <w:rPr>
                <w:sz w:val="20"/>
                <w:szCs w:val="20"/>
                <w:lang w:val="fr-CA"/>
              </w:rPr>
              <w:t>.0</w:t>
            </w:r>
            <w:r w:rsidR="00144C30">
              <w:rPr>
                <w:sz w:val="20"/>
                <w:szCs w:val="20"/>
                <w:lang w:val="fr-CA"/>
              </w:rPr>
              <w:t>9</w:t>
            </w:r>
            <w:r w:rsidRPr="00144C30">
              <w:rPr>
                <w:sz w:val="20"/>
                <w:szCs w:val="20"/>
                <w:lang w:val="fr-CA"/>
              </w:rPr>
              <w:t>.2014</w:t>
            </w:r>
            <w:r w:rsidR="00F677DC">
              <w:rPr>
                <w:sz w:val="20"/>
                <w:szCs w:val="20"/>
                <w:lang w:val="fr-CA"/>
              </w:rPr>
              <w:pict>
                <v:rect id="_x0000_i1032" style="width:108pt;height:1pt" o:hrpct="0" o:hralign="center" o:hrstd="t" o:hrnoshade="t" o:hr="t" fillcolor="black [3213]" stroked="f"/>
              </w:pict>
            </w:r>
          </w:p>
        </w:tc>
      </w:tr>
      <w:tr w:rsidR="001B1027" w:rsidRPr="00A935AA" w:rsidTr="003B3977">
        <w:trPr>
          <w:cantSplit/>
        </w:trPr>
        <w:tc>
          <w:tcPr>
            <w:tcW w:w="4320" w:type="dxa"/>
            <w:shd w:val="clear" w:color="auto" w:fill="auto"/>
          </w:tcPr>
          <w:p w:rsidR="001B1027" w:rsidRPr="00B8316E" w:rsidRDefault="001B1027" w:rsidP="00C27AC4">
            <w:pPr>
              <w:rPr>
                <w:b/>
                <w:sz w:val="20"/>
                <w:szCs w:val="20"/>
              </w:rPr>
            </w:pPr>
            <w:r w:rsidRPr="00B8316E">
              <w:rPr>
                <w:b/>
                <w:sz w:val="20"/>
                <w:szCs w:val="20"/>
              </w:rPr>
              <w:lastRenderedPageBreak/>
              <w:t>Ryan William Witvoet</w:t>
            </w:r>
          </w:p>
          <w:p w:rsidR="001B1027" w:rsidRPr="00B8316E" w:rsidRDefault="001B1027" w:rsidP="00C27AC4">
            <w:pPr>
              <w:rPr>
                <w:sz w:val="20"/>
                <w:szCs w:val="20"/>
              </w:rPr>
            </w:pPr>
            <w:r w:rsidRPr="00B8316E">
              <w:rPr>
                <w:sz w:val="20"/>
                <w:szCs w:val="20"/>
              </w:rPr>
              <w:tab/>
              <w:t>Pawek J. Milczarek</w:t>
            </w:r>
          </w:p>
          <w:p w:rsidR="001B1027" w:rsidRPr="00B8316E" w:rsidRDefault="001B1027" w:rsidP="00C27AC4">
            <w:pPr>
              <w:tabs>
                <w:tab w:val="left" w:pos="-1440"/>
                <w:tab w:val="left" w:pos="-720"/>
              </w:tabs>
              <w:rPr>
                <w:sz w:val="20"/>
                <w:szCs w:val="20"/>
              </w:rPr>
            </w:pPr>
            <w:r w:rsidRPr="00B8316E">
              <w:rPr>
                <w:sz w:val="20"/>
                <w:szCs w:val="20"/>
              </w:rPr>
              <w:tab/>
              <w:t>Sitar &amp; Milczarek</w:t>
            </w:r>
          </w:p>
          <w:p w:rsidR="001B1027" w:rsidRPr="00B8316E" w:rsidRDefault="001B1027" w:rsidP="00C27AC4">
            <w:pPr>
              <w:tabs>
                <w:tab w:val="left" w:pos="-1440"/>
                <w:tab w:val="left" w:pos="-720"/>
              </w:tabs>
              <w:rPr>
                <w:sz w:val="20"/>
                <w:szCs w:val="20"/>
              </w:rPr>
            </w:pPr>
          </w:p>
          <w:p w:rsidR="001B1027" w:rsidRPr="00B8316E" w:rsidRDefault="001B1027" w:rsidP="00C27AC4">
            <w:pPr>
              <w:tabs>
                <w:tab w:val="left" w:pos="-1440"/>
                <w:tab w:val="left" w:pos="-720"/>
              </w:tabs>
              <w:rPr>
                <w:sz w:val="20"/>
                <w:szCs w:val="20"/>
              </w:rPr>
            </w:pPr>
            <w:r w:rsidRPr="00B8316E">
              <w:rPr>
                <w:sz w:val="20"/>
                <w:szCs w:val="20"/>
              </w:rPr>
              <w:tab/>
              <w:t>v. (36079)</w:t>
            </w:r>
          </w:p>
          <w:p w:rsidR="001B1027" w:rsidRPr="00B8316E" w:rsidRDefault="001B1027" w:rsidP="00C27AC4">
            <w:pPr>
              <w:tabs>
                <w:tab w:val="left" w:pos="-1440"/>
                <w:tab w:val="left" w:pos="-720"/>
              </w:tabs>
              <w:rPr>
                <w:sz w:val="20"/>
                <w:szCs w:val="20"/>
              </w:rPr>
            </w:pPr>
          </w:p>
          <w:p w:rsidR="001B1027" w:rsidRPr="00086E2F" w:rsidRDefault="001B1027" w:rsidP="00C27AC4">
            <w:pPr>
              <w:tabs>
                <w:tab w:val="left" w:pos="-1440"/>
                <w:tab w:val="left" w:pos="-720"/>
              </w:tabs>
              <w:rPr>
                <w:b/>
                <w:sz w:val="20"/>
                <w:szCs w:val="20"/>
              </w:rPr>
            </w:pPr>
            <w:r w:rsidRPr="00B8316E">
              <w:rPr>
                <w:b/>
                <w:sz w:val="20"/>
                <w:szCs w:val="20"/>
              </w:rPr>
              <w:t xml:space="preserve">Her Majesty </w:t>
            </w:r>
            <w:r>
              <w:rPr>
                <w:b/>
                <w:sz w:val="20"/>
                <w:szCs w:val="20"/>
              </w:rPr>
              <w:t xml:space="preserve">the Queen </w:t>
            </w:r>
            <w:r w:rsidRPr="00086E2F">
              <w:rPr>
                <w:b/>
                <w:sz w:val="20"/>
                <w:szCs w:val="20"/>
              </w:rPr>
              <w:t>(Alt</w:t>
            </w:r>
            <w:r>
              <w:rPr>
                <w:b/>
                <w:sz w:val="20"/>
                <w:szCs w:val="20"/>
              </w:rPr>
              <w:t>a</w:t>
            </w:r>
            <w:r w:rsidRPr="00086E2F">
              <w:rPr>
                <w:b/>
                <w:sz w:val="20"/>
                <w:szCs w:val="20"/>
              </w:rPr>
              <w:t>.)</w:t>
            </w:r>
          </w:p>
          <w:p w:rsidR="001B1027" w:rsidRPr="00086E2F" w:rsidRDefault="001B1027" w:rsidP="00C27AC4">
            <w:pPr>
              <w:tabs>
                <w:tab w:val="left" w:pos="-1440"/>
                <w:tab w:val="left" w:pos="-720"/>
              </w:tabs>
              <w:rPr>
                <w:sz w:val="20"/>
                <w:szCs w:val="20"/>
              </w:rPr>
            </w:pPr>
            <w:r w:rsidRPr="00086E2F">
              <w:rPr>
                <w:sz w:val="20"/>
                <w:szCs w:val="20"/>
              </w:rPr>
              <w:tab/>
            </w:r>
            <w:r>
              <w:rPr>
                <w:sz w:val="20"/>
                <w:szCs w:val="20"/>
              </w:rPr>
              <w:t>Julie Morgan</w:t>
            </w:r>
          </w:p>
          <w:p w:rsidR="001B1027" w:rsidRPr="00086E2F" w:rsidRDefault="001B1027" w:rsidP="00C27AC4">
            <w:pPr>
              <w:tabs>
                <w:tab w:val="left" w:pos="-1440"/>
                <w:tab w:val="left" w:pos="-720"/>
              </w:tabs>
              <w:rPr>
                <w:sz w:val="20"/>
                <w:szCs w:val="20"/>
              </w:rPr>
            </w:pPr>
            <w:r w:rsidRPr="00086E2F">
              <w:rPr>
                <w:sz w:val="20"/>
                <w:szCs w:val="20"/>
              </w:rPr>
              <w:tab/>
            </w:r>
            <w:r>
              <w:rPr>
                <w:sz w:val="20"/>
                <w:szCs w:val="20"/>
              </w:rPr>
              <w:t>Crown Prosecutors’s Office</w:t>
            </w:r>
          </w:p>
          <w:p w:rsidR="001B1027" w:rsidRPr="00086E2F" w:rsidRDefault="001B1027" w:rsidP="00C27AC4">
            <w:pPr>
              <w:tabs>
                <w:tab w:val="left" w:pos="-1440"/>
                <w:tab w:val="left" w:pos="-720"/>
              </w:tabs>
              <w:rPr>
                <w:sz w:val="20"/>
                <w:szCs w:val="20"/>
              </w:rPr>
            </w:pPr>
          </w:p>
          <w:p w:rsidR="001B1027" w:rsidRPr="00A935AA" w:rsidRDefault="001B1027" w:rsidP="00C27AC4">
            <w:pPr>
              <w:rPr>
                <w:sz w:val="20"/>
                <w:szCs w:val="20"/>
              </w:rPr>
            </w:pPr>
            <w:r w:rsidRPr="00086E2F">
              <w:rPr>
                <w:sz w:val="20"/>
                <w:szCs w:val="20"/>
              </w:rPr>
              <w:t>FILING DATE: 25.09.2014</w:t>
            </w:r>
            <w:r w:rsidR="00F677DC">
              <w:rPr>
                <w:sz w:val="20"/>
                <w:szCs w:val="20"/>
                <w:lang w:val="fr-CA"/>
              </w:rPr>
              <w:pict>
                <v:rect id="_x0000_i1033" style="width:108pt;height:1pt" o:hrpct="0" o:hralign="center" o:hrstd="t" o:hrnoshade="t" o:hr="t" fillcolor="black [3213]" stroked="f"/>
              </w:pict>
            </w:r>
          </w:p>
        </w:tc>
        <w:tc>
          <w:tcPr>
            <w:tcW w:w="1181" w:type="dxa"/>
            <w:shd w:val="clear" w:color="auto" w:fill="auto"/>
          </w:tcPr>
          <w:p w:rsidR="001B1027" w:rsidRPr="00086E2F" w:rsidRDefault="001B1027" w:rsidP="00242AEE">
            <w:pPr>
              <w:jc w:val="center"/>
              <w:rPr>
                <w:sz w:val="20"/>
                <w:szCs w:val="20"/>
              </w:rPr>
            </w:pPr>
          </w:p>
          <w:p w:rsidR="001B1027" w:rsidRPr="00086E2F" w:rsidRDefault="001B1027" w:rsidP="00242AEE">
            <w:pPr>
              <w:jc w:val="center"/>
              <w:rPr>
                <w:sz w:val="20"/>
                <w:szCs w:val="20"/>
              </w:rPr>
            </w:pPr>
          </w:p>
          <w:p w:rsidR="001B1027" w:rsidRPr="00086E2F" w:rsidRDefault="001B1027" w:rsidP="00242AEE">
            <w:pPr>
              <w:jc w:val="center"/>
              <w:rPr>
                <w:sz w:val="20"/>
                <w:szCs w:val="20"/>
              </w:rPr>
            </w:pPr>
          </w:p>
          <w:p w:rsidR="001B1027" w:rsidRPr="00086E2F" w:rsidRDefault="001B1027" w:rsidP="00242AEE">
            <w:pPr>
              <w:jc w:val="center"/>
              <w:rPr>
                <w:sz w:val="20"/>
                <w:szCs w:val="20"/>
              </w:rPr>
            </w:pPr>
          </w:p>
          <w:p w:rsidR="001B1027" w:rsidRPr="00086E2F" w:rsidRDefault="001B1027" w:rsidP="00242AEE">
            <w:pPr>
              <w:jc w:val="center"/>
              <w:rPr>
                <w:sz w:val="20"/>
                <w:szCs w:val="20"/>
              </w:rPr>
            </w:pPr>
          </w:p>
          <w:p w:rsidR="001B1027" w:rsidRPr="00086E2F" w:rsidRDefault="001B1027" w:rsidP="00242AEE">
            <w:pPr>
              <w:jc w:val="center"/>
              <w:rPr>
                <w:sz w:val="20"/>
                <w:szCs w:val="20"/>
              </w:rPr>
            </w:pPr>
          </w:p>
          <w:p w:rsidR="001B1027" w:rsidRPr="00086E2F" w:rsidRDefault="001B1027" w:rsidP="00242AEE">
            <w:pPr>
              <w:jc w:val="center"/>
              <w:rPr>
                <w:sz w:val="20"/>
                <w:szCs w:val="20"/>
              </w:rPr>
            </w:pPr>
          </w:p>
          <w:p w:rsidR="001B1027" w:rsidRPr="00086E2F" w:rsidRDefault="001B1027" w:rsidP="00242AEE">
            <w:pPr>
              <w:jc w:val="center"/>
              <w:rPr>
                <w:sz w:val="20"/>
                <w:szCs w:val="20"/>
              </w:rPr>
            </w:pPr>
          </w:p>
          <w:p w:rsidR="001B1027" w:rsidRPr="00086E2F" w:rsidRDefault="001B1027" w:rsidP="00242AEE">
            <w:pPr>
              <w:jc w:val="center"/>
              <w:rPr>
                <w:sz w:val="20"/>
                <w:szCs w:val="20"/>
              </w:rPr>
            </w:pPr>
          </w:p>
          <w:p w:rsidR="001B1027" w:rsidRPr="00086E2F" w:rsidRDefault="001B1027" w:rsidP="00242AEE">
            <w:pPr>
              <w:jc w:val="center"/>
              <w:rPr>
                <w:sz w:val="20"/>
                <w:szCs w:val="20"/>
              </w:rPr>
            </w:pPr>
          </w:p>
          <w:p w:rsidR="001B1027" w:rsidRPr="00086E2F" w:rsidRDefault="001B1027" w:rsidP="00242AEE">
            <w:pPr>
              <w:jc w:val="center"/>
              <w:rPr>
                <w:sz w:val="20"/>
                <w:szCs w:val="20"/>
              </w:rPr>
            </w:pPr>
          </w:p>
          <w:p w:rsidR="001B1027" w:rsidRPr="00086E2F" w:rsidRDefault="001B1027" w:rsidP="00242AEE">
            <w:pPr>
              <w:jc w:val="center"/>
              <w:rPr>
                <w:sz w:val="20"/>
                <w:szCs w:val="20"/>
              </w:rPr>
            </w:pPr>
          </w:p>
        </w:tc>
        <w:tc>
          <w:tcPr>
            <w:tcW w:w="4320" w:type="dxa"/>
            <w:shd w:val="clear" w:color="auto" w:fill="auto"/>
          </w:tcPr>
          <w:p w:rsidR="001B1027" w:rsidRPr="00A935AA" w:rsidRDefault="001B1027" w:rsidP="00C14E98">
            <w:pPr>
              <w:rPr>
                <w:b/>
                <w:sz w:val="20"/>
                <w:szCs w:val="20"/>
              </w:rPr>
            </w:pPr>
            <w:r>
              <w:rPr>
                <w:b/>
                <w:sz w:val="20"/>
                <w:szCs w:val="20"/>
              </w:rPr>
              <w:t>Larry Estabrooks</w:t>
            </w:r>
          </w:p>
          <w:p w:rsidR="001B1027" w:rsidRPr="00A935AA" w:rsidRDefault="001B1027" w:rsidP="00C14E98">
            <w:pPr>
              <w:tabs>
                <w:tab w:val="left" w:pos="-1440"/>
                <w:tab w:val="left" w:pos="-720"/>
              </w:tabs>
              <w:rPr>
                <w:sz w:val="20"/>
                <w:szCs w:val="20"/>
              </w:rPr>
            </w:pPr>
            <w:r w:rsidRPr="00A935AA">
              <w:rPr>
                <w:sz w:val="20"/>
                <w:szCs w:val="20"/>
              </w:rPr>
              <w:tab/>
            </w:r>
            <w:r>
              <w:rPr>
                <w:sz w:val="20"/>
                <w:szCs w:val="20"/>
              </w:rPr>
              <w:t>Larry Estabrooks</w:t>
            </w:r>
          </w:p>
          <w:p w:rsidR="001B1027" w:rsidRPr="00A935AA" w:rsidRDefault="001B1027" w:rsidP="00C14E98">
            <w:pPr>
              <w:tabs>
                <w:tab w:val="left" w:pos="-1440"/>
                <w:tab w:val="left" w:pos="-720"/>
              </w:tabs>
              <w:rPr>
                <w:sz w:val="20"/>
                <w:szCs w:val="20"/>
              </w:rPr>
            </w:pPr>
          </w:p>
          <w:p w:rsidR="001B1027" w:rsidRPr="00A935AA" w:rsidRDefault="001B1027" w:rsidP="00C14E98">
            <w:pPr>
              <w:tabs>
                <w:tab w:val="left" w:pos="-1440"/>
                <w:tab w:val="left" w:pos="-720"/>
              </w:tabs>
              <w:rPr>
                <w:sz w:val="20"/>
                <w:szCs w:val="20"/>
              </w:rPr>
            </w:pPr>
            <w:r w:rsidRPr="00A935AA">
              <w:rPr>
                <w:sz w:val="20"/>
                <w:szCs w:val="20"/>
              </w:rPr>
              <w:tab/>
              <w:t>v. (3</w:t>
            </w:r>
            <w:r>
              <w:rPr>
                <w:sz w:val="20"/>
                <w:szCs w:val="20"/>
              </w:rPr>
              <w:t>6082</w:t>
            </w:r>
            <w:r w:rsidRPr="00A935AA">
              <w:rPr>
                <w:sz w:val="20"/>
                <w:szCs w:val="20"/>
              </w:rPr>
              <w:t>)</w:t>
            </w:r>
          </w:p>
          <w:p w:rsidR="001B1027" w:rsidRPr="00A935AA" w:rsidRDefault="001B1027" w:rsidP="00C14E98">
            <w:pPr>
              <w:tabs>
                <w:tab w:val="left" w:pos="-1440"/>
                <w:tab w:val="left" w:pos="-720"/>
              </w:tabs>
              <w:rPr>
                <w:sz w:val="20"/>
                <w:szCs w:val="20"/>
              </w:rPr>
            </w:pPr>
          </w:p>
          <w:p w:rsidR="001B1027" w:rsidRPr="00A935AA" w:rsidRDefault="001B1027" w:rsidP="00C14E98">
            <w:pPr>
              <w:tabs>
                <w:tab w:val="left" w:pos="-1440"/>
                <w:tab w:val="left" w:pos="-720"/>
              </w:tabs>
              <w:rPr>
                <w:b/>
                <w:sz w:val="20"/>
                <w:szCs w:val="20"/>
              </w:rPr>
            </w:pPr>
            <w:r>
              <w:rPr>
                <w:b/>
                <w:sz w:val="20"/>
                <w:szCs w:val="20"/>
              </w:rPr>
              <w:t xml:space="preserve">New Brunswick Real Estate Association </w:t>
            </w:r>
            <w:r w:rsidRPr="00A935AA">
              <w:rPr>
                <w:b/>
                <w:sz w:val="20"/>
                <w:szCs w:val="20"/>
              </w:rPr>
              <w:t>(</w:t>
            </w:r>
            <w:r>
              <w:rPr>
                <w:b/>
                <w:sz w:val="20"/>
                <w:szCs w:val="20"/>
              </w:rPr>
              <w:t>N.B</w:t>
            </w:r>
            <w:r w:rsidRPr="00A935AA">
              <w:rPr>
                <w:b/>
                <w:sz w:val="20"/>
                <w:szCs w:val="20"/>
              </w:rPr>
              <w:t>.)</w:t>
            </w:r>
          </w:p>
          <w:p w:rsidR="001B1027" w:rsidRPr="00A935AA" w:rsidRDefault="001B1027" w:rsidP="00C14E98">
            <w:pPr>
              <w:tabs>
                <w:tab w:val="left" w:pos="-1440"/>
                <w:tab w:val="left" w:pos="-720"/>
              </w:tabs>
              <w:rPr>
                <w:sz w:val="20"/>
                <w:szCs w:val="20"/>
              </w:rPr>
            </w:pPr>
            <w:r w:rsidRPr="00A935AA">
              <w:rPr>
                <w:sz w:val="20"/>
                <w:szCs w:val="20"/>
              </w:rPr>
              <w:tab/>
            </w:r>
            <w:r>
              <w:rPr>
                <w:sz w:val="20"/>
                <w:szCs w:val="20"/>
              </w:rPr>
              <w:t>John D. Townsend, Q.C.</w:t>
            </w:r>
          </w:p>
          <w:p w:rsidR="001B1027" w:rsidRPr="00A935AA" w:rsidRDefault="001B1027" w:rsidP="00C14E98">
            <w:pPr>
              <w:tabs>
                <w:tab w:val="left" w:pos="-1440"/>
                <w:tab w:val="left" w:pos="-720"/>
              </w:tabs>
              <w:rPr>
                <w:sz w:val="20"/>
                <w:szCs w:val="20"/>
              </w:rPr>
            </w:pPr>
            <w:r w:rsidRPr="00A935AA">
              <w:rPr>
                <w:sz w:val="20"/>
                <w:szCs w:val="20"/>
              </w:rPr>
              <w:tab/>
            </w:r>
            <w:r>
              <w:rPr>
                <w:sz w:val="20"/>
                <w:szCs w:val="20"/>
              </w:rPr>
              <w:t>Cox &amp; Palmer</w:t>
            </w:r>
          </w:p>
          <w:p w:rsidR="001B1027" w:rsidRPr="00A935AA" w:rsidRDefault="001B1027" w:rsidP="00C14E98">
            <w:pPr>
              <w:tabs>
                <w:tab w:val="left" w:pos="-1440"/>
                <w:tab w:val="left" w:pos="-720"/>
              </w:tabs>
              <w:rPr>
                <w:sz w:val="20"/>
                <w:szCs w:val="20"/>
              </w:rPr>
            </w:pPr>
          </w:p>
          <w:p w:rsidR="001B1027" w:rsidRPr="00A935AA" w:rsidRDefault="001B1027" w:rsidP="00C14E98">
            <w:pPr>
              <w:rPr>
                <w:sz w:val="20"/>
                <w:szCs w:val="20"/>
              </w:rPr>
            </w:pPr>
            <w:r w:rsidRPr="00A935AA">
              <w:rPr>
                <w:sz w:val="20"/>
                <w:szCs w:val="20"/>
              </w:rPr>
              <w:t>FILING DATE: 2</w:t>
            </w:r>
            <w:r>
              <w:rPr>
                <w:sz w:val="20"/>
                <w:szCs w:val="20"/>
              </w:rPr>
              <w:t>5</w:t>
            </w:r>
            <w:r w:rsidRPr="00A935AA">
              <w:rPr>
                <w:sz w:val="20"/>
                <w:szCs w:val="20"/>
              </w:rPr>
              <w:t>.0</w:t>
            </w:r>
            <w:r>
              <w:rPr>
                <w:sz w:val="20"/>
                <w:szCs w:val="20"/>
              </w:rPr>
              <w:t>9</w:t>
            </w:r>
            <w:r w:rsidRPr="00A935AA">
              <w:rPr>
                <w:sz w:val="20"/>
                <w:szCs w:val="20"/>
              </w:rPr>
              <w:t>.201</w:t>
            </w:r>
            <w:r>
              <w:rPr>
                <w:sz w:val="20"/>
                <w:szCs w:val="20"/>
              </w:rPr>
              <w:t>4</w:t>
            </w:r>
            <w:r w:rsidR="00F677DC">
              <w:rPr>
                <w:sz w:val="20"/>
                <w:szCs w:val="20"/>
                <w:lang w:val="fr-CA"/>
              </w:rPr>
              <w:pict>
                <v:rect id="_x0000_i1034" style="width:108pt;height:1pt" o:hrpct="0" o:hralign="center" o:hrstd="t" o:hrnoshade="t" o:hr="t" fillcolor="black [3213]" stroked="f"/>
              </w:pict>
            </w:r>
          </w:p>
        </w:tc>
      </w:tr>
      <w:tr w:rsidR="001B1027" w:rsidRPr="00A935AA" w:rsidTr="003B3977">
        <w:trPr>
          <w:cantSplit/>
        </w:trPr>
        <w:tc>
          <w:tcPr>
            <w:tcW w:w="4320" w:type="dxa"/>
            <w:shd w:val="clear" w:color="auto" w:fill="auto"/>
          </w:tcPr>
          <w:p w:rsidR="001B1027" w:rsidRDefault="001B1027" w:rsidP="00C14E98">
            <w:pPr>
              <w:rPr>
                <w:b/>
                <w:sz w:val="20"/>
                <w:szCs w:val="20"/>
              </w:rPr>
            </w:pPr>
          </w:p>
          <w:p w:rsidR="001B1027" w:rsidRPr="00A935AA" w:rsidRDefault="001B1027" w:rsidP="00C14E98">
            <w:pPr>
              <w:rPr>
                <w:b/>
                <w:sz w:val="20"/>
                <w:szCs w:val="20"/>
              </w:rPr>
            </w:pPr>
            <w:r w:rsidRPr="00C27AC4">
              <w:rPr>
                <w:b/>
                <w:sz w:val="20"/>
                <w:szCs w:val="20"/>
              </w:rPr>
              <w:t xml:space="preserve">Her Majesty </w:t>
            </w:r>
            <w:r>
              <w:rPr>
                <w:b/>
                <w:sz w:val="20"/>
                <w:szCs w:val="20"/>
              </w:rPr>
              <w:t>the Queen</w:t>
            </w:r>
          </w:p>
          <w:p w:rsidR="001B1027" w:rsidRPr="00A935AA" w:rsidRDefault="001B1027" w:rsidP="00C14E98">
            <w:pPr>
              <w:tabs>
                <w:tab w:val="left" w:pos="-1440"/>
                <w:tab w:val="left" w:pos="-720"/>
              </w:tabs>
              <w:rPr>
                <w:sz w:val="20"/>
                <w:szCs w:val="20"/>
              </w:rPr>
            </w:pPr>
            <w:r w:rsidRPr="00A935AA">
              <w:rPr>
                <w:sz w:val="20"/>
                <w:szCs w:val="20"/>
              </w:rPr>
              <w:tab/>
            </w:r>
            <w:r>
              <w:rPr>
                <w:sz w:val="20"/>
                <w:szCs w:val="20"/>
              </w:rPr>
              <w:t>Jamie C. Klukach</w:t>
            </w:r>
          </w:p>
          <w:p w:rsidR="001B1027" w:rsidRPr="00A935AA" w:rsidRDefault="001B1027" w:rsidP="00C14E98">
            <w:pPr>
              <w:tabs>
                <w:tab w:val="left" w:pos="-1440"/>
                <w:tab w:val="left" w:pos="-720"/>
              </w:tabs>
              <w:rPr>
                <w:sz w:val="20"/>
                <w:szCs w:val="20"/>
              </w:rPr>
            </w:pPr>
            <w:r w:rsidRPr="00A935AA">
              <w:rPr>
                <w:sz w:val="20"/>
                <w:szCs w:val="20"/>
              </w:rPr>
              <w:tab/>
            </w:r>
            <w:r>
              <w:rPr>
                <w:sz w:val="20"/>
                <w:szCs w:val="20"/>
              </w:rPr>
              <w:t>A.G. of Alberta</w:t>
            </w:r>
          </w:p>
          <w:p w:rsidR="001B1027" w:rsidRPr="00A935AA" w:rsidRDefault="001B1027" w:rsidP="00C14E98">
            <w:pPr>
              <w:tabs>
                <w:tab w:val="left" w:pos="-1440"/>
                <w:tab w:val="left" w:pos="-720"/>
              </w:tabs>
              <w:rPr>
                <w:sz w:val="20"/>
                <w:szCs w:val="20"/>
              </w:rPr>
            </w:pPr>
          </w:p>
          <w:p w:rsidR="001B1027" w:rsidRPr="00B8316E" w:rsidRDefault="001B1027" w:rsidP="00C14E98">
            <w:pPr>
              <w:tabs>
                <w:tab w:val="left" w:pos="-1440"/>
                <w:tab w:val="left" w:pos="-720"/>
              </w:tabs>
              <w:rPr>
                <w:sz w:val="20"/>
                <w:szCs w:val="20"/>
              </w:rPr>
            </w:pPr>
            <w:r w:rsidRPr="00A935AA">
              <w:rPr>
                <w:sz w:val="20"/>
                <w:szCs w:val="20"/>
              </w:rPr>
              <w:tab/>
            </w:r>
            <w:r w:rsidRPr="00B8316E">
              <w:rPr>
                <w:sz w:val="20"/>
                <w:szCs w:val="20"/>
              </w:rPr>
              <w:t>v. (36083)</w:t>
            </w:r>
          </w:p>
          <w:p w:rsidR="001B1027" w:rsidRPr="00B8316E" w:rsidRDefault="001B1027" w:rsidP="00C14E98">
            <w:pPr>
              <w:tabs>
                <w:tab w:val="left" w:pos="-1440"/>
                <w:tab w:val="left" w:pos="-720"/>
              </w:tabs>
              <w:rPr>
                <w:sz w:val="20"/>
                <w:szCs w:val="20"/>
              </w:rPr>
            </w:pPr>
          </w:p>
          <w:p w:rsidR="001B1027" w:rsidRPr="00C27AC4" w:rsidRDefault="001B1027" w:rsidP="00C14E98">
            <w:pPr>
              <w:tabs>
                <w:tab w:val="left" w:pos="-1440"/>
                <w:tab w:val="left" w:pos="-720"/>
              </w:tabs>
              <w:rPr>
                <w:b/>
                <w:sz w:val="20"/>
                <w:szCs w:val="20"/>
                <w:lang w:val="fr-CA"/>
              </w:rPr>
            </w:pPr>
            <w:r w:rsidRPr="00C27AC4">
              <w:rPr>
                <w:b/>
                <w:sz w:val="20"/>
                <w:szCs w:val="20"/>
                <w:lang w:val="fr-CA"/>
              </w:rPr>
              <w:t>Nawaf Barerh Al-Enzi (Ont.)</w:t>
            </w:r>
          </w:p>
          <w:p w:rsidR="001B1027" w:rsidRPr="00C27AC4" w:rsidRDefault="001B1027" w:rsidP="00C14E98">
            <w:pPr>
              <w:tabs>
                <w:tab w:val="left" w:pos="-1440"/>
                <w:tab w:val="left" w:pos="-720"/>
              </w:tabs>
              <w:rPr>
                <w:sz w:val="20"/>
                <w:szCs w:val="20"/>
              </w:rPr>
            </w:pPr>
            <w:r w:rsidRPr="00C27AC4">
              <w:rPr>
                <w:sz w:val="20"/>
                <w:szCs w:val="20"/>
                <w:lang w:val="fr-CA"/>
              </w:rPr>
              <w:tab/>
            </w:r>
            <w:r w:rsidRPr="00C27AC4">
              <w:rPr>
                <w:sz w:val="20"/>
                <w:szCs w:val="20"/>
              </w:rPr>
              <w:t>Marie Henein</w:t>
            </w:r>
          </w:p>
          <w:p w:rsidR="001B1027" w:rsidRPr="00C27AC4" w:rsidRDefault="001B1027" w:rsidP="00C14E98">
            <w:pPr>
              <w:tabs>
                <w:tab w:val="left" w:pos="-1440"/>
                <w:tab w:val="left" w:pos="-720"/>
              </w:tabs>
              <w:rPr>
                <w:sz w:val="20"/>
                <w:szCs w:val="20"/>
              </w:rPr>
            </w:pPr>
            <w:r w:rsidRPr="00C27AC4">
              <w:rPr>
                <w:sz w:val="20"/>
                <w:szCs w:val="20"/>
              </w:rPr>
              <w:tab/>
              <w:t>Henein Hutchison LLP</w:t>
            </w:r>
          </w:p>
          <w:p w:rsidR="001B1027" w:rsidRPr="00C27AC4" w:rsidRDefault="001B1027" w:rsidP="00C14E98">
            <w:pPr>
              <w:tabs>
                <w:tab w:val="left" w:pos="-1440"/>
                <w:tab w:val="left" w:pos="-720"/>
              </w:tabs>
              <w:rPr>
                <w:sz w:val="20"/>
                <w:szCs w:val="20"/>
              </w:rPr>
            </w:pPr>
          </w:p>
          <w:p w:rsidR="001B1027" w:rsidRPr="00A935AA" w:rsidRDefault="001B1027" w:rsidP="00C14E98">
            <w:pPr>
              <w:rPr>
                <w:sz w:val="20"/>
                <w:szCs w:val="20"/>
              </w:rPr>
            </w:pPr>
            <w:r w:rsidRPr="00A935AA">
              <w:rPr>
                <w:sz w:val="20"/>
                <w:szCs w:val="20"/>
              </w:rPr>
              <w:t>FILING DATE: 2</w:t>
            </w:r>
            <w:r>
              <w:rPr>
                <w:sz w:val="20"/>
                <w:szCs w:val="20"/>
              </w:rPr>
              <w:t>6</w:t>
            </w:r>
            <w:r w:rsidRPr="00A935AA">
              <w:rPr>
                <w:sz w:val="20"/>
                <w:szCs w:val="20"/>
              </w:rPr>
              <w:t>.0</w:t>
            </w:r>
            <w:r>
              <w:rPr>
                <w:sz w:val="20"/>
                <w:szCs w:val="20"/>
              </w:rPr>
              <w:t>9</w:t>
            </w:r>
            <w:r w:rsidRPr="00A935AA">
              <w:rPr>
                <w:sz w:val="20"/>
                <w:szCs w:val="20"/>
              </w:rPr>
              <w:t>.201</w:t>
            </w:r>
            <w:r>
              <w:rPr>
                <w:sz w:val="20"/>
                <w:szCs w:val="20"/>
              </w:rPr>
              <w:t>4</w:t>
            </w:r>
            <w:r w:rsidR="00F677DC">
              <w:rPr>
                <w:sz w:val="20"/>
                <w:szCs w:val="20"/>
                <w:lang w:val="fr-CA"/>
              </w:rPr>
              <w:pict>
                <v:rect id="_x0000_i1035" style="width:108pt;height:1pt" o:hrpct="0" o:hralign="center" o:hrstd="t" o:hrnoshade="t" o:hr="t" fillcolor="black [3213]" stroked="f"/>
              </w:pict>
            </w:r>
          </w:p>
        </w:tc>
        <w:tc>
          <w:tcPr>
            <w:tcW w:w="1181" w:type="dxa"/>
            <w:shd w:val="clear" w:color="auto" w:fill="auto"/>
          </w:tcPr>
          <w:p w:rsidR="001B1027" w:rsidRDefault="001B1027" w:rsidP="00242AEE">
            <w:pPr>
              <w:jc w:val="center"/>
              <w:rPr>
                <w:sz w:val="20"/>
                <w:szCs w:val="20"/>
              </w:rPr>
            </w:pPr>
          </w:p>
          <w:p w:rsidR="001B1027" w:rsidRDefault="001B1027" w:rsidP="00242AEE">
            <w:pPr>
              <w:jc w:val="center"/>
              <w:rPr>
                <w:sz w:val="20"/>
                <w:szCs w:val="20"/>
              </w:rPr>
            </w:pPr>
          </w:p>
          <w:p w:rsidR="001B1027" w:rsidRDefault="001B1027" w:rsidP="00242AEE">
            <w:pPr>
              <w:jc w:val="center"/>
              <w:rPr>
                <w:sz w:val="20"/>
                <w:szCs w:val="20"/>
              </w:rPr>
            </w:pPr>
          </w:p>
          <w:p w:rsidR="001B1027" w:rsidRDefault="001B1027" w:rsidP="00242AEE">
            <w:pPr>
              <w:jc w:val="center"/>
              <w:rPr>
                <w:sz w:val="20"/>
                <w:szCs w:val="20"/>
              </w:rPr>
            </w:pPr>
          </w:p>
          <w:p w:rsidR="001B1027" w:rsidRDefault="001B1027" w:rsidP="00242AEE">
            <w:pPr>
              <w:jc w:val="center"/>
              <w:rPr>
                <w:sz w:val="20"/>
                <w:szCs w:val="20"/>
              </w:rPr>
            </w:pPr>
          </w:p>
          <w:p w:rsidR="001B1027" w:rsidRDefault="001B1027" w:rsidP="00242AEE">
            <w:pPr>
              <w:jc w:val="center"/>
              <w:rPr>
                <w:sz w:val="20"/>
                <w:szCs w:val="20"/>
              </w:rPr>
            </w:pPr>
          </w:p>
          <w:p w:rsidR="001B1027" w:rsidRDefault="001B1027" w:rsidP="00242AEE">
            <w:pPr>
              <w:jc w:val="center"/>
              <w:rPr>
                <w:sz w:val="20"/>
                <w:szCs w:val="20"/>
              </w:rPr>
            </w:pPr>
          </w:p>
          <w:p w:rsidR="001B1027" w:rsidRDefault="001B1027" w:rsidP="00242AEE">
            <w:pPr>
              <w:jc w:val="center"/>
              <w:rPr>
                <w:sz w:val="20"/>
                <w:szCs w:val="20"/>
              </w:rPr>
            </w:pPr>
          </w:p>
          <w:p w:rsidR="001B1027" w:rsidRDefault="001B1027" w:rsidP="00242AEE">
            <w:pPr>
              <w:jc w:val="center"/>
              <w:rPr>
                <w:sz w:val="20"/>
                <w:szCs w:val="20"/>
              </w:rPr>
            </w:pPr>
          </w:p>
          <w:p w:rsidR="001B1027" w:rsidRDefault="001B1027" w:rsidP="00242AEE">
            <w:pPr>
              <w:jc w:val="center"/>
              <w:rPr>
                <w:sz w:val="20"/>
                <w:szCs w:val="20"/>
              </w:rPr>
            </w:pPr>
          </w:p>
          <w:p w:rsidR="001B1027" w:rsidRDefault="001B1027" w:rsidP="00242AEE">
            <w:pPr>
              <w:jc w:val="center"/>
              <w:rPr>
                <w:sz w:val="20"/>
                <w:szCs w:val="20"/>
              </w:rPr>
            </w:pPr>
          </w:p>
          <w:p w:rsidR="001B1027" w:rsidRDefault="001B1027" w:rsidP="00242AEE">
            <w:pPr>
              <w:jc w:val="center"/>
              <w:rPr>
                <w:sz w:val="20"/>
                <w:szCs w:val="20"/>
              </w:rPr>
            </w:pPr>
          </w:p>
          <w:p w:rsidR="001B1027" w:rsidRDefault="001B1027" w:rsidP="00242AEE">
            <w:pPr>
              <w:jc w:val="center"/>
              <w:rPr>
                <w:sz w:val="20"/>
                <w:szCs w:val="20"/>
              </w:rPr>
            </w:pPr>
          </w:p>
          <w:p w:rsidR="001B1027" w:rsidRPr="00086E2F" w:rsidRDefault="001B1027" w:rsidP="00242AEE">
            <w:pPr>
              <w:jc w:val="center"/>
              <w:rPr>
                <w:sz w:val="20"/>
                <w:szCs w:val="20"/>
              </w:rPr>
            </w:pPr>
          </w:p>
        </w:tc>
        <w:tc>
          <w:tcPr>
            <w:tcW w:w="4320" w:type="dxa"/>
            <w:shd w:val="clear" w:color="auto" w:fill="auto"/>
          </w:tcPr>
          <w:p w:rsidR="001B1027" w:rsidRPr="00A935AA" w:rsidRDefault="001B1027" w:rsidP="00C14E98">
            <w:pPr>
              <w:rPr>
                <w:b/>
                <w:sz w:val="20"/>
                <w:szCs w:val="20"/>
              </w:rPr>
            </w:pPr>
            <w:r>
              <w:rPr>
                <w:b/>
                <w:sz w:val="20"/>
                <w:szCs w:val="20"/>
              </w:rPr>
              <w:t xml:space="preserve">Kelly Hartle, Warden of the Edmonton Institution et al. </w:t>
            </w:r>
          </w:p>
          <w:p w:rsidR="001B1027" w:rsidRPr="00A935AA" w:rsidRDefault="001B1027" w:rsidP="00C14E98">
            <w:pPr>
              <w:tabs>
                <w:tab w:val="left" w:pos="-1440"/>
                <w:tab w:val="left" w:pos="-720"/>
              </w:tabs>
              <w:rPr>
                <w:sz w:val="20"/>
                <w:szCs w:val="20"/>
              </w:rPr>
            </w:pPr>
            <w:r w:rsidRPr="00A935AA">
              <w:rPr>
                <w:sz w:val="20"/>
                <w:szCs w:val="20"/>
              </w:rPr>
              <w:tab/>
            </w:r>
            <w:r>
              <w:rPr>
                <w:sz w:val="20"/>
                <w:szCs w:val="20"/>
              </w:rPr>
              <w:t>Bruce F. Hughson</w:t>
            </w:r>
          </w:p>
          <w:p w:rsidR="001B1027" w:rsidRPr="00A935AA" w:rsidRDefault="001B1027" w:rsidP="00C14E98">
            <w:pPr>
              <w:tabs>
                <w:tab w:val="left" w:pos="-1440"/>
                <w:tab w:val="left" w:pos="-720"/>
              </w:tabs>
              <w:rPr>
                <w:sz w:val="20"/>
                <w:szCs w:val="20"/>
              </w:rPr>
            </w:pPr>
            <w:r w:rsidRPr="00A935AA">
              <w:rPr>
                <w:sz w:val="20"/>
                <w:szCs w:val="20"/>
              </w:rPr>
              <w:tab/>
            </w:r>
            <w:r>
              <w:rPr>
                <w:sz w:val="20"/>
                <w:szCs w:val="20"/>
              </w:rPr>
              <w:t>A.G. of Canada</w:t>
            </w:r>
          </w:p>
          <w:p w:rsidR="001B1027" w:rsidRPr="00A935AA" w:rsidRDefault="001B1027" w:rsidP="00C14E98">
            <w:pPr>
              <w:tabs>
                <w:tab w:val="left" w:pos="-1440"/>
                <w:tab w:val="left" w:pos="-720"/>
              </w:tabs>
              <w:rPr>
                <w:sz w:val="20"/>
                <w:szCs w:val="20"/>
              </w:rPr>
            </w:pPr>
          </w:p>
          <w:p w:rsidR="001B1027" w:rsidRPr="00A935AA" w:rsidRDefault="001B1027" w:rsidP="00C14E98">
            <w:pPr>
              <w:tabs>
                <w:tab w:val="left" w:pos="-1440"/>
                <w:tab w:val="left" w:pos="-720"/>
              </w:tabs>
              <w:rPr>
                <w:sz w:val="20"/>
                <w:szCs w:val="20"/>
              </w:rPr>
            </w:pPr>
            <w:r w:rsidRPr="00A935AA">
              <w:rPr>
                <w:sz w:val="20"/>
                <w:szCs w:val="20"/>
              </w:rPr>
              <w:tab/>
              <w:t>v. (3</w:t>
            </w:r>
            <w:r>
              <w:rPr>
                <w:sz w:val="20"/>
                <w:szCs w:val="20"/>
              </w:rPr>
              <w:t>6081</w:t>
            </w:r>
            <w:r w:rsidRPr="00A935AA">
              <w:rPr>
                <w:sz w:val="20"/>
                <w:szCs w:val="20"/>
              </w:rPr>
              <w:t>)</w:t>
            </w:r>
          </w:p>
          <w:p w:rsidR="001B1027" w:rsidRPr="00A935AA" w:rsidRDefault="001B1027" w:rsidP="00C14E98">
            <w:pPr>
              <w:tabs>
                <w:tab w:val="left" w:pos="-1440"/>
                <w:tab w:val="left" w:pos="-720"/>
              </w:tabs>
              <w:rPr>
                <w:sz w:val="20"/>
                <w:szCs w:val="20"/>
              </w:rPr>
            </w:pPr>
          </w:p>
          <w:p w:rsidR="001B1027" w:rsidRPr="00A935AA" w:rsidRDefault="001B1027" w:rsidP="00C14E98">
            <w:pPr>
              <w:tabs>
                <w:tab w:val="left" w:pos="-1440"/>
                <w:tab w:val="left" w:pos="-720"/>
              </w:tabs>
              <w:rPr>
                <w:b/>
                <w:sz w:val="20"/>
                <w:szCs w:val="20"/>
              </w:rPr>
            </w:pPr>
            <w:r>
              <w:rPr>
                <w:b/>
                <w:sz w:val="20"/>
                <w:szCs w:val="20"/>
              </w:rPr>
              <w:t xml:space="preserve">Omar Ahmed Khadr </w:t>
            </w:r>
            <w:r w:rsidRPr="00A935AA">
              <w:rPr>
                <w:b/>
                <w:sz w:val="20"/>
                <w:szCs w:val="20"/>
              </w:rPr>
              <w:t>(</w:t>
            </w:r>
            <w:r>
              <w:rPr>
                <w:b/>
                <w:sz w:val="20"/>
                <w:szCs w:val="20"/>
              </w:rPr>
              <w:t>Alta</w:t>
            </w:r>
            <w:r w:rsidRPr="00A935AA">
              <w:rPr>
                <w:b/>
                <w:sz w:val="20"/>
                <w:szCs w:val="20"/>
              </w:rPr>
              <w:t>.)</w:t>
            </w:r>
          </w:p>
          <w:p w:rsidR="001B1027" w:rsidRPr="00A935AA" w:rsidRDefault="001B1027" w:rsidP="00C14E98">
            <w:pPr>
              <w:tabs>
                <w:tab w:val="left" w:pos="-1440"/>
                <w:tab w:val="left" w:pos="-720"/>
              </w:tabs>
              <w:rPr>
                <w:sz w:val="20"/>
                <w:szCs w:val="20"/>
              </w:rPr>
            </w:pPr>
            <w:r w:rsidRPr="00A935AA">
              <w:rPr>
                <w:sz w:val="20"/>
                <w:szCs w:val="20"/>
              </w:rPr>
              <w:tab/>
            </w:r>
            <w:r>
              <w:rPr>
                <w:sz w:val="20"/>
                <w:szCs w:val="20"/>
              </w:rPr>
              <w:t>Nathan J. Whitling</w:t>
            </w:r>
          </w:p>
          <w:p w:rsidR="001B1027" w:rsidRPr="00A935AA" w:rsidRDefault="001B1027" w:rsidP="00C14E98">
            <w:pPr>
              <w:tabs>
                <w:tab w:val="left" w:pos="-1440"/>
                <w:tab w:val="left" w:pos="-720"/>
              </w:tabs>
              <w:rPr>
                <w:sz w:val="20"/>
                <w:szCs w:val="20"/>
              </w:rPr>
            </w:pPr>
            <w:r w:rsidRPr="00A935AA">
              <w:rPr>
                <w:sz w:val="20"/>
                <w:szCs w:val="20"/>
              </w:rPr>
              <w:tab/>
            </w:r>
            <w:r>
              <w:rPr>
                <w:sz w:val="20"/>
                <w:szCs w:val="20"/>
              </w:rPr>
              <w:t xml:space="preserve">Beresh Aloneissi O’Neill Hurley O’Keefe </w:t>
            </w:r>
            <w:r>
              <w:rPr>
                <w:sz w:val="20"/>
                <w:szCs w:val="20"/>
              </w:rPr>
              <w:tab/>
              <w:t>Millsap</w:t>
            </w:r>
          </w:p>
          <w:p w:rsidR="001B1027" w:rsidRPr="00A935AA" w:rsidRDefault="001B1027" w:rsidP="00C14E98">
            <w:pPr>
              <w:tabs>
                <w:tab w:val="left" w:pos="-1440"/>
                <w:tab w:val="left" w:pos="-720"/>
              </w:tabs>
              <w:rPr>
                <w:sz w:val="20"/>
                <w:szCs w:val="20"/>
              </w:rPr>
            </w:pPr>
          </w:p>
          <w:p w:rsidR="001B1027" w:rsidRPr="00A935AA" w:rsidRDefault="001B1027" w:rsidP="00C14E98">
            <w:pPr>
              <w:rPr>
                <w:sz w:val="20"/>
                <w:szCs w:val="20"/>
              </w:rPr>
            </w:pPr>
            <w:r w:rsidRPr="00A935AA">
              <w:rPr>
                <w:sz w:val="20"/>
                <w:szCs w:val="20"/>
              </w:rPr>
              <w:t>FILING DATE: 2</w:t>
            </w:r>
            <w:r>
              <w:rPr>
                <w:sz w:val="20"/>
                <w:szCs w:val="20"/>
              </w:rPr>
              <w:t>5</w:t>
            </w:r>
            <w:r w:rsidRPr="00A935AA">
              <w:rPr>
                <w:sz w:val="20"/>
                <w:szCs w:val="20"/>
              </w:rPr>
              <w:t>.0</w:t>
            </w:r>
            <w:r>
              <w:rPr>
                <w:sz w:val="20"/>
                <w:szCs w:val="20"/>
              </w:rPr>
              <w:t>9</w:t>
            </w:r>
            <w:r w:rsidRPr="00A935AA">
              <w:rPr>
                <w:sz w:val="20"/>
                <w:szCs w:val="20"/>
              </w:rPr>
              <w:t>.201</w:t>
            </w:r>
            <w:r>
              <w:rPr>
                <w:sz w:val="20"/>
                <w:szCs w:val="20"/>
              </w:rPr>
              <w:t>4</w:t>
            </w:r>
            <w:r w:rsidR="00F677DC">
              <w:rPr>
                <w:sz w:val="20"/>
                <w:szCs w:val="20"/>
                <w:lang w:val="fr-CA"/>
              </w:rPr>
              <w:pict>
                <v:rect id="_x0000_i1036" style="width:108pt;height:1pt" o:hrpct="0" o:hralign="center" o:hrstd="t" o:hrnoshade="t" o:hr="t" fillcolor="black [3213]" stroked="f"/>
              </w:pict>
            </w:r>
          </w:p>
        </w:tc>
      </w:tr>
      <w:tr w:rsidR="001B1027" w:rsidRPr="00F677DC" w:rsidTr="003B3977">
        <w:trPr>
          <w:cantSplit/>
        </w:trPr>
        <w:tc>
          <w:tcPr>
            <w:tcW w:w="4320" w:type="dxa"/>
            <w:shd w:val="clear" w:color="auto" w:fill="auto"/>
          </w:tcPr>
          <w:p w:rsidR="001B1027" w:rsidRDefault="001B1027" w:rsidP="00C14E98">
            <w:pPr>
              <w:rPr>
                <w:b/>
                <w:sz w:val="20"/>
                <w:szCs w:val="20"/>
                <w:lang w:val="fr-CA"/>
              </w:rPr>
            </w:pPr>
            <w:r>
              <w:rPr>
                <w:b/>
                <w:sz w:val="20"/>
                <w:szCs w:val="20"/>
                <w:lang w:val="fr-CA"/>
              </w:rPr>
              <w:t>Lapointe Rosenstein Marchand Melançon s.e.n.c.r.l. et autres</w:t>
            </w:r>
          </w:p>
          <w:p w:rsidR="001B1027" w:rsidRPr="00086E2F" w:rsidRDefault="001B1027" w:rsidP="001B1027">
            <w:pPr>
              <w:keepNext/>
              <w:keepLines/>
              <w:tabs>
                <w:tab w:val="left" w:pos="-1440"/>
                <w:tab w:val="left" w:pos="-720"/>
              </w:tabs>
              <w:rPr>
                <w:sz w:val="20"/>
                <w:szCs w:val="20"/>
                <w:lang w:val="fr-CA"/>
              </w:rPr>
            </w:pPr>
            <w:r>
              <w:rPr>
                <w:sz w:val="20"/>
                <w:szCs w:val="20"/>
                <w:lang w:val="fr-CA"/>
              </w:rPr>
              <w:tab/>
              <w:t>Jo-Anne Demers</w:t>
            </w:r>
          </w:p>
          <w:p w:rsidR="001B1027" w:rsidRDefault="001B1027" w:rsidP="001B1027">
            <w:pPr>
              <w:keepNext/>
              <w:keepLines/>
              <w:tabs>
                <w:tab w:val="left" w:pos="-1440"/>
                <w:tab w:val="left" w:pos="-720"/>
              </w:tabs>
              <w:rPr>
                <w:sz w:val="20"/>
                <w:szCs w:val="20"/>
                <w:lang w:val="fr-CA"/>
              </w:rPr>
            </w:pPr>
            <w:r w:rsidRPr="00086E2F">
              <w:rPr>
                <w:sz w:val="20"/>
                <w:szCs w:val="20"/>
                <w:lang w:val="fr-CA"/>
              </w:rPr>
              <w:tab/>
            </w:r>
            <w:r>
              <w:rPr>
                <w:sz w:val="20"/>
                <w:szCs w:val="20"/>
                <w:lang w:val="fr-CA"/>
              </w:rPr>
              <w:t>Clyde &amp; Cie C</w:t>
            </w:r>
            <w:r w:rsidRPr="00806A5B">
              <w:rPr>
                <w:sz w:val="20"/>
                <w:szCs w:val="20"/>
                <w:lang w:val="fr-CA"/>
              </w:rPr>
              <w:t>a</w:t>
            </w:r>
            <w:r>
              <w:rPr>
                <w:sz w:val="20"/>
                <w:szCs w:val="20"/>
                <w:lang w:val="fr-CA"/>
              </w:rPr>
              <w:t xml:space="preserve">nada, s.e.n.c.r.l. </w:t>
            </w:r>
          </w:p>
          <w:p w:rsidR="001B1027" w:rsidRPr="00806A5B" w:rsidRDefault="001B1027" w:rsidP="001B1027">
            <w:pPr>
              <w:keepNext/>
              <w:keepLines/>
              <w:tabs>
                <w:tab w:val="left" w:pos="-1440"/>
                <w:tab w:val="left" w:pos="-720"/>
              </w:tabs>
              <w:rPr>
                <w:sz w:val="20"/>
                <w:szCs w:val="20"/>
                <w:lang w:val="fr-CA"/>
              </w:rPr>
            </w:pPr>
          </w:p>
          <w:p w:rsidR="001B1027" w:rsidRPr="00E10C69" w:rsidRDefault="001B1027" w:rsidP="001B1027">
            <w:pPr>
              <w:keepNext/>
              <w:keepLines/>
              <w:tabs>
                <w:tab w:val="left" w:pos="-1440"/>
                <w:tab w:val="left" w:pos="-720"/>
              </w:tabs>
              <w:rPr>
                <w:sz w:val="20"/>
                <w:szCs w:val="20"/>
              </w:rPr>
            </w:pPr>
            <w:r w:rsidRPr="00806A5B">
              <w:rPr>
                <w:sz w:val="20"/>
                <w:szCs w:val="20"/>
                <w:lang w:val="fr-CA"/>
              </w:rPr>
              <w:tab/>
            </w:r>
            <w:r w:rsidRPr="00E10C69">
              <w:rPr>
                <w:sz w:val="20"/>
                <w:szCs w:val="20"/>
              </w:rPr>
              <w:t>c. (36087)</w:t>
            </w:r>
          </w:p>
          <w:p w:rsidR="001B1027" w:rsidRPr="00E10C69" w:rsidRDefault="001B1027" w:rsidP="001B1027">
            <w:pPr>
              <w:keepNext/>
              <w:keepLines/>
              <w:tabs>
                <w:tab w:val="left" w:pos="-1440"/>
                <w:tab w:val="left" w:pos="-720"/>
              </w:tabs>
              <w:rPr>
                <w:sz w:val="20"/>
                <w:szCs w:val="20"/>
              </w:rPr>
            </w:pPr>
          </w:p>
          <w:p w:rsidR="001B1027" w:rsidRPr="00E10C69" w:rsidRDefault="001B1027" w:rsidP="001B1027">
            <w:pPr>
              <w:keepNext/>
              <w:keepLines/>
              <w:tabs>
                <w:tab w:val="left" w:pos="-1440"/>
                <w:tab w:val="left" w:pos="-720"/>
              </w:tabs>
              <w:rPr>
                <w:b/>
                <w:sz w:val="20"/>
                <w:szCs w:val="20"/>
              </w:rPr>
            </w:pPr>
            <w:r w:rsidRPr="00E10C69">
              <w:rPr>
                <w:b/>
                <w:sz w:val="20"/>
                <w:szCs w:val="20"/>
              </w:rPr>
              <w:t>Cassels Brock &amp; Blackwell LLP (Ont.)</w:t>
            </w:r>
          </w:p>
          <w:p w:rsidR="001B1027" w:rsidRPr="00E10C69" w:rsidRDefault="001B1027" w:rsidP="001B1027">
            <w:pPr>
              <w:keepNext/>
              <w:keepLines/>
              <w:tabs>
                <w:tab w:val="left" w:pos="-1440"/>
                <w:tab w:val="left" w:pos="-720"/>
              </w:tabs>
              <w:rPr>
                <w:sz w:val="20"/>
                <w:szCs w:val="20"/>
              </w:rPr>
            </w:pPr>
            <w:r w:rsidRPr="00E10C69">
              <w:rPr>
                <w:sz w:val="20"/>
                <w:szCs w:val="20"/>
              </w:rPr>
              <w:tab/>
              <w:t>Peter H. Griffin</w:t>
            </w:r>
          </w:p>
          <w:p w:rsidR="001B1027" w:rsidRPr="00E10C69" w:rsidRDefault="001B1027" w:rsidP="001B1027">
            <w:pPr>
              <w:keepNext/>
              <w:keepLines/>
              <w:tabs>
                <w:tab w:val="left" w:pos="-1440"/>
                <w:tab w:val="left" w:pos="-720"/>
              </w:tabs>
              <w:rPr>
                <w:sz w:val="20"/>
                <w:szCs w:val="20"/>
              </w:rPr>
            </w:pPr>
            <w:r w:rsidRPr="00E10C69">
              <w:rPr>
                <w:sz w:val="20"/>
                <w:szCs w:val="20"/>
              </w:rPr>
              <w:tab/>
              <w:t xml:space="preserve">Lenczner Slaght Royce Smith Griffin </w:t>
            </w:r>
            <w:r>
              <w:rPr>
                <w:sz w:val="20"/>
                <w:szCs w:val="20"/>
              </w:rPr>
              <w:tab/>
            </w:r>
            <w:r w:rsidRPr="00E10C69">
              <w:rPr>
                <w:sz w:val="20"/>
                <w:szCs w:val="20"/>
              </w:rPr>
              <w:t>LLP</w:t>
            </w:r>
          </w:p>
          <w:p w:rsidR="001B1027" w:rsidRPr="00E10C69" w:rsidRDefault="001B1027" w:rsidP="001B1027">
            <w:pPr>
              <w:keepNext/>
              <w:keepLines/>
              <w:tabs>
                <w:tab w:val="left" w:pos="-1440"/>
                <w:tab w:val="left" w:pos="-720"/>
              </w:tabs>
              <w:rPr>
                <w:sz w:val="20"/>
                <w:szCs w:val="20"/>
              </w:rPr>
            </w:pPr>
          </w:p>
          <w:p w:rsidR="001B1027" w:rsidRPr="001B1027" w:rsidRDefault="001B1027" w:rsidP="001B1027">
            <w:pPr>
              <w:rPr>
                <w:sz w:val="20"/>
                <w:szCs w:val="20"/>
                <w:lang w:val="fr-CA"/>
              </w:rPr>
            </w:pPr>
            <w:r w:rsidRPr="00806A5B">
              <w:rPr>
                <w:sz w:val="20"/>
                <w:szCs w:val="20"/>
                <w:lang w:val="fr-CA"/>
              </w:rPr>
              <w:t>DATE DE PRODUCTION</w:t>
            </w:r>
            <w:r>
              <w:rPr>
                <w:sz w:val="20"/>
                <w:szCs w:val="20"/>
                <w:lang w:val="fr-CA"/>
              </w:rPr>
              <w:t xml:space="preserve"> </w:t>
            </w:r>
            <w:r w:rsidRPr="00806A5B">
              <w:rPr>
                <w:sz w:val="20"/>
                <w:szCs w:val="20"/>
                <w:lang w:val="fr-CA"/>
              </w:rPr>
              <w:t xml:space="preserve">: </w:t>
            </w:r>
            <w:r>
              <w:rPr>
                <w:sz w:val="20"/>
                <w:szCs w:val="20"/>
                <w:lang w:val="fr-CA"/>
              </w:rPr>
              <w:t>26</w:t>
            </w:r>
            <w:r w:rsidRPr="00806A5B">
              <w:rPr>
                <w:sz w:val="20"/>
                <w:szCs w:val="20"/>
                <w:lang w:val="fr-CA"/>
              </w:rPr>
              <w:t>.0</w:t>
            </w:r>
            <w:r>
              <w:rPr>
                <w:sz w:val="20"/>
                <w:szCs w:val="20"/>
                <w:lang w:val="fr-CA"/>
              </w:rPr>
              <w:t>9</w:t>
            </w:r>
            <w:r w:rsidRPr="00806A5B">
              <w:rPr>
                <w:sz w:val="20"/>
                <w:szCs w:val="20"/>
                <w:lang w:val="fr-CA"/>
              </w:rPr>
              <w:t>.2014</w:t>
            </w:r>
            <w:r w:rsidR="00F677DC">
              <w:rPr>
                <w:sz w:val="20"/>
                <w:szCs w:val="20"/>
                <w:lang w:val="fr-CA"/>
              </w:rPr>
              <w:pict>
                <v:rect id="_x0000_i1037" style="width:108pt;height:1pt" o:hrpct="0" o:hralign="center" o:hrstd="t" o:hrnoshade="t" o:hr="t" fillcolor="black [3213]" stroked="f"/>
              </w:pict>
            </w:r>
          </w:p>
        </w:tc>
        <w:tc>
          <w:tcPr>
            <w:tcW w:w="1181" w:type="dxa"/>
            <w:shd w:val="clear" w:color="auto" w:fill="auto"/>
          </w:tcPr>
          <w:p w:rsidR="001B1027" w:rsidRDefault="001B1027" w:rsidP="00242AEE">
            <w:pPr>
              <w:jc w:val="center"/>
              <w:rPr>
                <w:sz w:val="20"/>
                <w:szCs w:val="20"/>
                <w:lang w:val="fr-CA"/>
              </w:rPr>
            </w:pPr>
          </w:p>
          <w:p w:rsidR="001B1027" w:rsidRDefault="001B1027" w:rsidP="00242AEE">
            <w:pPr>
              <w:jc w:val="center"/>
              <w:rPr>
                <w:sz w:val="20"/>
                <w:szCs w:val="20"/>
                <w:lang w:val="fr-CA"/>
              </w:rPr>
            </w:pPr>
          </w:p>
          <w:p w:rsidR="001B1027" w:rsidRDefault="001B1027" w:rsidP="00242AEE">
            <w:pPr>
              <w:jc w:val="center"/>
              <w:rPr>
                <w:sz w:val="20"/>
                <w:szCs w:val="20"/>
                <w:lang w:val="fr-CA"/>
              </w:rPr>
            </w:pPr>
          </w:p>
          <w:p w:rsidR="001B1027" w:rsidRDefault="001B1027" w:rsidP="00242AEE">
            <w:pPr>
              <w:jc w:val="center"/>
              <w:rPr>
                <w:sz w:val="20"/>
                <w:szCs w:val="20"/>
                <w:lang w:val="fr-CA"/>
              </w:rPr>
            </w:pPr>
          </w:p>
          <w:p w:rsidR="001B1027" w:rsidRDefault="001B1027" w:rsidP="00242AEE">
            <w:pPr>
              <w:jc w:val="center"/>
              <w:rPr>
                <w:sz w:val="20"/>
                <w:szCs w:val="20"/>
                <w:lang w:val="fr-CA"/>
              </w:rPr>
            </w:pPr>
          </w:p>
          <w:p w:rsidR="001B1027" w:rsidRDefault="001B1027" w:rsidP="00242AEE">
            <w:pPr>
              <w:jc w:val="center"/>
              <w:rPr>
                <w:sz w:val="20"/>
                <w:szCs w:val="20"/>
                <w:lang w:val="fr-CA"/>
              </w:rPr>
            </w:pPr>
          </w:p>
          <w:p w:rsidR="001B1027" w:rsidRDefault="001B1027" w:rsidP="00242AEE">
            <w:pPr>
              <w:jc w:val="center"/>
              <w:rPr>
                <w:sz w:val="20"/>
                <w:szCs w:val="20"/>
                <w:lang w:val="fr-CA"/>
              </w:rPr>
            </w:pPr>
          </w:p>
          <w:p w:rsidR="001B1027" w:rsidRDefault="001B1027" w:rsidP="00242AEE">
            <w:pPr>
              <w:jc w:val="center"/>
              <w:rPr>
                <w:sz w:val="20"/>
                <w:szCs w:val="20"/>
                <w:lang w:val="fr-CA"/>
              </w:rPr>
            </w:pPr>
          </w:p>
          <w:p w:rsidR="001B1027" w:rsidRDefault="001B1027" w:rsidP="00242AEE">
            <w:pPr>
              <w:jc w:val="center"/>
              <w:rPr>
                <w:sz w:val="20"/>
                <w:szCs w:val="20"/>
                <w:lang w:val="fr-CA"/>
              </w:rPr>
            </w:pPr>
          </w:p>
          <w:p w:rsidR="001B1027" w:rsidRDefault="001B1027" w:rsidP="00242AEE">
            <w:pPr>
              <w:jc w:val="center"/>
              <w:rPr>
                <w:sz w:val="20"/>
                <w:szCs w:val="20"/>
                <w:lang w:val="fr-CA"/>
              </w:rPr>
            </w:pPr>
          </w:p>
          <w:p w:rsidR="001B1027" w:rsidRDefault="001B1027" w:rsidP="00242AEE">
            <w:pPr>
              <w:jc w:val="center"/>
              <w:rPr>
                <w:sz w:val="20"/>
                <w:szCs w:val="20"/>
                <w:lang w:val="fr-CA"/>
              </w:rPr>
            </w:pPr>
          </w:p>
          <w:p w:rsidR="001B1027" w:rsidRDefault="001B1027" w:rsidP="00242AEE">
            <w:pPr>
              <w:jc w:val="center"/>
              <w:rPr>
                <w:sz w:val="20"/>
                <w:szCs w:val="20"/>
                <w:lang w:val="fr-CA"/>
              </w:rPr>
            </w:pPr>
          </w:p>
          <w:p w:rsidR="001B1027" w:rsidRDefault="001B1027" w:rsidP="00242AEE">
            <w:pPr>
              <w:jc w:val="center"/>
              <w:rPr>
                <w:sz w:val="20"/>
                <w:szCs w:val="20"/>
                <w:lang w:val="fr-CA"/>
              </w:rPr>
            </w:pPr>
          </w:p>
          <w:p w:rsidR="001B1027" w:rsidRDefault="001B1027" w:rsidP="00242AEE">
            <w:pPr>
              <w:jc w:val="center"/>
              <w:rPr>
                <w:sz w:val="20"/>
                <w:szCs w:val="20"/>
                <w:lang w:val="fr-CA"/>
              </w:rPr>
            </w:pPr>
          </w:p>
          <w:p w:rsidR="001B1027" w:rsidRPr="001B1027" w:rsidRDefault="001B1027" w:rsidP="00242AEE">
            <w:pPr>
              <w:jc w:val="center"/>
              <w:rPr>
                <w:sz w:val="20"/>
                <w:szCs w:val="20"/>
                <w:lang w:val="fr-CA"/>
              </w:rPr>
            </w:pPr>
          </w:p>
        </w:tc>
        <w:tc>
          <w:tcPr>
            <w:tcW w:w="4320" w:type="dxa"/>
            <w:shd w:val="clear" w:color="auto" w:fill="auto"/>
          </w:tcPr>
          <w:p w:rsidR="001B1027" w:rsidRDefault="001B1027" w:rsidP="00C14E98">
            <w:pPr>
              <w:rPr>
                <w:b/>
                <w:sz w:val="20"/>
                <w:szCs w:val="20"/>
                <w:lang w:val="fr-CA"/>
              </w:rPr>
            </w:pPr>
          </w:p>
          <w:p w:rsidR="001B1027" w:rsidRDefault="001B1027" w:rsidP="00C14E98">
            <w:pPr>
              <w:rPr>
                <w:b/>
                <w:sz w:val="20"/>
                <w:szCs w:val="20"/>
                <w:lang w:val="fr-CA"/>
              </w:rPr>
            </w:pPr>
            <w:r w:rsidRPr="00C27AC4">
              <w:rPr>
                <w:b/>
                <w:sz w:val="20"/>
                <w:szCs w:val="20"/>
                <w:lang w:val="fr-CA"/>
              </w:rPr>
              <w:t>Ginette Lebel et autres</w:t>
            </w:r>
          </w:p>
          <w:p w:rsidR="001B1027" w:rsidRPr="00C27AC4" w:rsidRDefault="001B1027" w:rsidP="001B1027">
            <w:pPr>
              <w:tabs>
                <w:tab w:val="left" w:pos="-1440"/>
                <w:tab w:val="left" w:pos="-720"/>
              </w:tabs>
              <w:rPr>
                <w:sz w:val="20"/>
                <w:szCs w:val="20"/>
                <w:lang w:val="fr-CA"/>
              </w:rPr>
            </w:pPr>
            <w:r>
              <w:rPr>
                <w:sz w:val="20"/>
                <w:szCs w:val="20"/>
                <w:lang w:val="fr-CA"/>
              </w:rPr>
              <w:tab/>
            </w:r>
            <w:r w:rsidRPr="00C27AC4">
              <w:rPr>
                <w:sz w:val="20"/>
                <w:szCs w:val="20"/>
                <w:lang w:val="fr-CA"/>
              </w:rPr>
              <w:t>Jean Fortier</w:t>
            </w:r>
          </w:p>
          <w:p w:rsidR="001B1027" w:rsidRPr="00C27AC4" w:rsidRDefault="001B1027" w:rsidP="001B1027">
            <w:pPr>
              <w:tabs>
                <w:tab w:val="left" w:pos="-1440"/>
                <w:tab w:val="left" w:pos="-720"/>
              </w:tabs>
              <w:rPr>
                <w:sz w:val="20"/>
                <w:szCs w:val="20"/>
                <w:lang w:val="fr-CA"/>
              </w:rPr>
            </w:pPr>
            <w:r w:rsidRPr="00C27AC4">
              <w:rPr>
                <w:sz w:val="20"/>
                <w:szCs w:val="20"/>
                <w:lang w:val="fr-CA"/>
              </w:rPr>
              <w:tab/>
            </w:r>
            <w:r>
              <w:rPr>
                <w:sz w:val="20"/>
                <w:szCs w:val="20"/>
                <w:lang w:val="fr-CA"/>
              </w:rPr>
              <w:t>Joli-Cœur Lacasse, s.e.n.c.r.l.</w:t>
            </w:r>
          </w:p>
          <w:p w:rsidR="001B1027" w:rsidRPr="00C27AC4" w:rsidRDefault="001B1027" w:rsidP="001B1027">
            <w:pPr>
              <w:tabs>
                <w:tab w:val="left" w:pos="-1440"/>
                <w:tab w:val="left" w:pos="-720"/>
              </w:tabs>
              <w:rPr>
                <w:sz w:val="20"/>
                <w:szCs w:val="20"/>
                <w:lang w:val="fr-CA"/>
              </w:rPr>
            </w:pPr>
          </w:p>
          <w:p w:rsidR="001B1027" w:rsidRPr="00E10C69" w:rsidRDefault="001B1027" w:rsidP="001B1027">
            <w:pPr>
              <w:tabs>
                <w:tab w:val="left" w:pos="-1440"/>
                <w:tab w:val="left" w:pos="-720"/>
              </w:tabs>
              <w:rPr>
                <w:sz w:val="20"/>
                <w:szCs w:val="20"/>
                <w:lang w:val="fr-CA"/>
              </w:rPr>
            </w:pPr>
            <w:r w:rsidRPr="00C27AC4">
              <w:rPr>
                <w:sz w:val="20"/>
                <w:szCs w:val="20"/>
                <w:lang w:val="fr-CA"/>
              </w:rPr>
              <w:tab/>
            </w:r>
            <w:r w:rsidRPr="00E10C69">
              <w:rPr>
                <w:sz w:val="20"/>
                <w:szCs w:val="20"/>
                <w:lang w:val="fr-CA"/>
              </w:rPr>
              <w:t>c. (36084)</w:t>
            </w:r>
          </w:p>
          <w:p w:rsidR="001B1027" w:rsidRPr="00E10C69" w:rsidRDefault="001B1027" w:rsidP="001B1027">
            <w:pPr>
              <w:tabs>
                <w:tab w:val="left" w:pos="-1440"/>
                <w:tab w:val="left" w:pos="-720"/>
              </w:tabs>
              <w:rPr>
                <w:sz w:val="20"/>
                <w:szCs w:val="20"/>
                <w:lang w:val="fr-CA"/>
              </w:rPr>
            </w:pPr>
          </w:p>
          <w:p w:rsidR="001B1027" w:rsidRPr="00E10C69" w:rsidRDefault="001B1027" w:rsidP="001B1027">
            <w:pPr>
              <w:tabs>
                <w:tab w:val="left" w:pos="-1440"/>
                <w:tab w:val="left" w:pos="-720"/>
              </w:tabs>
              <w:rPr>
                <w:b/>
                <w:sz w:val="20"/>
                <w:szCs w:val="20"/>
                <w:lang w:val="fr-CA"/>
              </w:rPr>
            </w:pPr>
            <w:r w:rsidRPr="00E10C69">
              <w:rPr>
                <w:b/>
                <w:sz w:val="20"/>
                <w:szCs w:val="20"/>
                <w:lang w:val="fr-CA"/>
              </w:rPr>
              <w:t>Groupe Ledor Société mutuelle d’assurance (Qc)</w:t>
            </w:r>
          </w:p>
          <w:p w:rsidR="001B1027" w:rsidRPr="00E10C69" w:rsidRDefault="001B1027" w:rsidP="001B1027">
            <w:pPr>
              <w:tabs>
                <w:tab w:val="left" w:pos="-1440"/>
                <w:tab w:val="left" w:pos="-720"/>
              </w:tabs>
              <w:rPr>
                <w:sz w:val="20"/>
                <w:szCs w:val="20"/>
                <w:lang w:val="fr-CA"/>
              </w:rPr>
            </w:pPr>
            <w:r w:rsidRPr="00E10C69">
              <w:rPr>
                <w:sz w:val="20"/>
                <w:szCs w:val="20"/>
                <w:lang w:val="fr-CA"/>
              </w:rPr>
              <w:tab/>
            </w:r>
            <w:r>
              <w:rPr>
                <w:sz w:val="20"/>
                <w:szCs w:val="20"/>
                <w:lang w:val="fr-CA"/>
              </w:rPr>
              <w:t>Guy Leblanc</w:t>
            </w:r>
          </w:p>
          <w:p w:rsidR="001B1027" w:rsidRPr="00E10C69" w:rsidRDefault="001B1027" w:rsidP="001B1027">
            <w:pPr>
              <w:tabs>
                <w:tab w:val="left" w:pos="-1440"/>
                <w:tab w:val="left" w:pos="-720"/>
              </w:tabs>
              <w:rPr>
                <w:sz w:val="20"/>
                <w:szCs w:val="20"/>
                <w:lang w:val="fr-CA"/>
              </w:rPr>
            </w:pPr>
            <w:r w:rsidRPr="00E10C69">
              <w:rPr>
                <w:sz w:val="20"/>
                <w:szCs w:val="20"/>
                <w:lang w:val="fr-CA"/>
              </w:rPr>
              <w:tab/>
            </w:r>
            <w:r>
              <w:rPr>
                <w:sz w:val="20"/>
                <w:szCs w:val="20"/>
                <w:lang w:val="fr-CA"/>
              </w:rPr>
              <w:t>Carter Gourdeau</w:t>
            </w:r>
          </w:p>
          <w:p w:rsidR="001B1027" w:rsidRPr="00E10C69" w:rsidRDefault="001B1027" w:rsidP="001B1027">
            <w:pPr>
              <w:tabs>
                <w:tab w:val="left" w:pos="-1440"/>
                <w:tab w:val="left" w:pos="-720"/>
              </w:tabs>
              <w:rPr>
                <w:sz w:val="20"/>
                <w:szCs w:val="20"/>
                <w:lang w:val="fr-CA"/>
              </w:rPr>
            </w:pPr>
          </w:p>
          <w:p w:rsidR="001B1027" w:rsidRPr="001B1027" w:rsidRDefault="001B1027" w:rsidP="001B1027">
            <w:pPr>
              <w:rPr>
                <w:sz w:val="20"/>
                <w:szCs w:val="20"/>
                <w:lang w:val="fr-CA"/>
              </w:rPr>
            </w:pPr>
            <w:r>
              <w:rPr>
                <w:sz w:val="20"/>
                <w:szCs w:val="20"/>
                <w:lang w:val="fr-CA"/>
              </w:rPr>
              <w:t>DATE DE PRODUCTION : 26</w:t>
            </w:r>
            <w:r w:rsidRPr="00806A5B">
              <w:rPr>
                <w:sz w:val="20"/>
                <w:szCs w:val="20"/>
                <w:lang w:val="fr-CA"/>
              </w:rPr>
              <w:t>.0</w:t>
            </w:r>
            <w:r>
              <w:rPr>
                <w:sz w:val="20"/>
                <w:szCs w:val="20"/>
                <w:lang w:val="fr-CA"/>
              </w:rPr>
              <w:t>9</w:t>
            </w:r>
            <w:r w:rsidRPr="00806A5B">
              <w:rPr>
                <w:sz w:val="20"/>
                <w:szCs w:val="20"/>
                <w:lang w:val="fr-CA"/>
              </w:rPr>
              <w:t>.2014</w:t>
            </w:r>
            <w:r w:rsidR="00F677DC">
              <w:rPr>
                <w:sz w:val="20"/>
                <w:szCs w:val="20"/>
                <w:lang w:val="fr-CA"/>
              </w:rPr>
              <w:pict>
                <v:rect id="_x0000_i1038" style="width:108pt;height:1pt" o:hrpct="0" o:hralign="center" o:hrstd="t" o:hrnoshade="t" o:hr="t" fillcolor="black [3213]" stroked="f"/>
              </w:pict>
            </w:r>
          </w:p>
        </w:tc>
      </w:tr>
      <w:tr w:rsidR="001B1027" w:rsidRPr="00A935AA" w:rsidTr="003B3977">
        <w:trPr>
          <w:cantSplit/>
        </w:trPr>
        <w:tc>
          <w:tcPr>
            <w:tcW w:w="4320" w:type="dxa"/>
            <w:shd w:val="clear" w:color="auto" w:fill="auto"/>
          </w:tcPr>
          <w:p w:rsidR="001B1027" w:rsidRPr="00E10C69" w:rsidRDefault="001B1027" w:rsidP="00AE41EE">
            <w:pPr>
              <w:rPr>
                <w:b/>
                <w:sz w:val="20"/>
                <w:szCs w:val="20"/>
                <w:lang w:val="fr-CA"/>
              </w:rPr>
            </w:pPr>
            <w:r w:rsidRPr="00E10C69">
              <w:rPr>
                <w:b/>
                <w:sz w:val="20"/>
                <w:szCs w:val="20"/>
                <w:lang w:val="fr-CA"/>
              </w:rPr>
              <w:t>Boutique du Foyer de Saint-Hyacinthe inc.</w:t>
            </w:r>
          </w:p>
          <w:p w:rsidR="001B1027" w:rsidRPr="00E10C69" w:rsidRDefault="001B1027" w:rsidP="00AE41EE">
            <w:pPr>
              <w:tabs>
                <w:tab w:val="left" w:pos="-1440"/>
                <w:tab w:val="left" w:pos="-720"/>
              </w:tabs>
              <w:rPr>
                <w:sz w:val="20"/>
                <w:szCs w:val="20"/>
              </w:rPr>
            </w:pPr>
            <w:r w:rsidRPr="00E10C69">
              <w:rPr>
                <w:sz w:val="20"/>
                <w:szCs w:val="20"/>
                <w:lang w:val="fr-CA"/>
              </w:rPr>
              <w:tab/>
            </w:r>
            <w:r w:rsidRPr="00E10C69">
              <w:rPr>
                <w:sz w:val="20"/>
                <w:szCs w:val="20"/>
              </w:rPr>
              <w:t>Philippe Lelarge</w:t>
            </w:r>
          </w:p>
          <w:p w:rsidR="001B1027" w:rsidRPr="00E10C69" w:rsidRDefault="001B1027" w:rsidP="00AE41EE">
            <w:pPr>
              <w:tabs>
                <w:tab w:val="left" w:pos="-1440"/>
                <w:tab w:val="left" w:pos="-720"/>
              </w:tabs>
              <w:rPr>
                <w:sz w:val="20"/>
                <w:szCs w:val="20"/>
              </w:rPr>
            </w:pPr>
            <w:r w:rsidRPr="00E10C69">
              <w:rPr>
                <w:sz w:val="20"/>
                <w:szCs w:val="20"/>
              </w:rPr>
              <w:tab/>
              <w:t>Gasco, Goodhue, St-Germain s.e</w:t>
            </w:r>
            <w:r>
              <w:rPr>
                <w:sz w:val="20"/>
                <w:szCs w:val="20"/>
              </w:rPr>
              <w:t>.</w:t>
            </w:r>
            <w:r w:rsidRPr="00E10C69">
              <w:rPr>
                <w:sz w:val="20"/>
                <w:szCs w:val="20"/>
              </w:rPr>
              <w:t>n.c.</w:t>
            </w:r>
            <w:r>
              <w:rPr>
                <w:sz w:val="20"/>
                <w:szCs w:val="20"/>
              </w:rPr>
              <w:t>r.l.</w:t>
            </w:r>
          </w:p>
          <w:p w:rsidR="001B1027" w:rsidRPr="00E10C69" w:rsidRDefault="001B1027" w:rsidP="00AE41EE">
            <w:pPr>
              <w:tabs>
                <w:tab w:val="left" w:pos="-1440"/>
                <w:tab w:val="left" w:pos="-720"/>
              </w:tabs>
              <w:rPr>
                <w:sz w:val="20"/>
                <w:szCs w:val="20"/>
              </w:rPr>
            </w:pPr>
          </w:p>
          <w:p w:rsidR="001B1027" w:rsidRPr="00E10C69" w:rsidRDefault="001B1027" w:rsidP="00AE41EE">
            <w:pPr>
              <w:tabs>
                <w:tab w:val="left" w:pos="-1440"/>
                <w:tab w:val="left" w:pos="-720"/>
              </w:tabs>
              <w:rPr>
                <w:sz w:val="20"/>
                <w:szCs w:val="20"/>
                <w:lang w:val="fr-CA"/>
              </w:rPr>
            </w:pPr>
            <w:r w:rsidRPr="00E10C69">
              <w:rPr>
                <w:sz w:val="20"/>
                <w:szCs w:val="20"/>
              </w:rPr>
              <w:tab/>
            </w:r>
            <w:r w:rsidRPr="00B8316E">
              <w:rPr>
                <w:sz w:val="20"/>
                <w:szCs w:val="20"/>
                <w:lang w:val="fr-CA"/>
              </w:rPr>
              <w:t>c</w:t>
            </w:r>
            <w:r w:rsidRPr="00E10C69">
              <w:rPr>
                <w:sz w:val="20"/>
                <w:szCs w:val="20"/>
                <w:lang w:val="fr-CA"/>
              </w:rPr>
              <w:t>. (36097)</w:t>
            </w:r>
          </w:p>
          <w:p w:rsidR="001B1027" w:rsidRPr="00E10C69" w:rsidRDefault="001B1027" w:rsidP="00AE41EE">
            <w:pPr>
              <w:tabs>
                <w:tab w:val="left" w:pos="-1440"/>
                <w:tab w:val="left" w:pos="-720"/>
              </w:tabs>
              <w:rPr>
                <w:sz w:val="20"/>
                <w:szCs w:val="20"/>
                <w:lang w:val="fr-CA"/>
              </w:rPr>
            </w:pPr>
          </w:p>
          <w:p w:rsidR="001B1027" w:rsidRPr="00E10C69" w:rsidRDefault="001B1027" w:rsidP="00AE41EE">
            <w:pPr>
              <w:tabs>
                <w:tab w:val="left" w:pos="-1440"/>
                <w:tab w:val="left" w:pos="-720"/>
              </w:tabs>
              <w:rPr>
                <w:b/>
                <w:sz w:val="20"/>
                <w:szCs w:val="20"/>
                <w:lang w:val="fr-CA"/>
              </w:rPr>
            </w:pPr>
            <w:r w:rsidRPr="00E10C69">
              <w:rPr>
                <w:b/>
                <w:sz w:val="20"/>
                <w:szCs w:val="20"/>
                <w:lang w:val="fr-CA"/>
              </w:rPr>
              <w:t>Promutuel Bagot, Société mutuelle d’assurance générale et autres (</w:t>
            </w:r>
            <w:r>
              <w:rPr>
                <w:b/>
                <w:sz w:val="20"/>
                <w:szCs w:val="20"/>
                <w:lang w:val="fr-CA"/>
              </w:rPr>
              <w:t>Qc</w:t>
            </w:r>
            <w:r w:rsidRPr="00E10C69">
              <w:rPr>
                <w:b/>
                <w:sz w:val="20"/>
                <w:szCs w:val="20"/>
                <w:lang w:val="fr-CA"/>
              </w:rPr>
              <w:t>)</w:t>
            </w:r>
          </w:p>
          <w:p w:rsidR="001B1027" w:rsidRPr="00E10C69" w:rsidRDefault="001B1027" w:rsidP="00AE41EE">
            <w:pPr>
              <w:tabs>
                <w:tab w:val="left" w:pos="-1440"/>
                <w:tab w:val="left" w:pos="-720"/>
              </w:tabs>
              <w:rPr>
                <w:sz w:val="20"/>
                <w:szCs w:val="20"/>
                <w:lang w:val="fr-CA"/>
              </w:rPr>
            </w:pPr>
            <w:r w:rsidRPr="00E10C69">
              <w:rPr>
                <w:sz w:val="20"/>
                <w:szCs w:val="20"/>
                <w:lang w:val="fr-CA"/>
              </w:rPr>
              <w:tab/>
            </w:r>
            <w:r>
              <w:rPr>
                <w:sz w:val="20"/>
                <w:szCs w:val="20"/>
                <w:lang w:val="fr-CA"/>
              </w:rPr>
              <w:t>Frédéric Sylvestre</w:t>
            </w:r>
          </w:p>
          <w:p w:rsidR="001B1027" w:rsidRPr="00E10C69" w:rsidRDefault="001B1027" w:rsidP="00AE41EE">
            <w:pPr>
              <w:tabs>
                <w:tab w:val="left" w:pos="-1440"/>
                <w:tab w:val="left" w:pos="-720"/>
              </w:tabs>
              <w:rPr>
                <w:sz w:val="20"/>
                <w:szCs w:val="20"/>
                <w:lang w:val="fr-CA"/>
              </w:rPr>
            </w:pPr>
            <w:r w:rsidRPr="00E10C69">
              <w:rPr>
                <w:sz w:val="20"/>
                <w:szCs w:val="20"/>
                <w:lang w:val="fr-CA"/>
              </w:rPr>
              <w:tab/>
            </w:r>
            <w:r>
              <w:rPr>
                <w:sz w:val="20"/>
                <w:szCs w:val="20"/>
                <w:lang w:val="fr-CA"/>
              </w:rPr>
              <w:t>Sylvestre &amp; Associés</w:t>
            </w:r>
          </w:p>
          <w:p w:rsidR="001B1027" w:rsidRPr="00E10C69" w:rsidRDefault="001B1027" w:rsidP="00AE41EE">
            <w:pPr>
              <w:tabs>
                <w:tab w:val="left" w:pos="-1440"/>
                <w:tab w:val="left" w:pos="-720"/>
              </w:tabs>
              <w:rPr>
                <w:sz w:val="20"/>
                <w:szCs w:val="20"/>
                <w:lang w:val="fr-CA"/>
              </w:rPr>
            </w:pPr>
          </w:p>
          <w:p w:rsidR="001B1027" w:rsidRPr="00E10C69" w:rsidRDefault="001B1027" w:rsidP="00E10C69">
            <w:pPr>
              <w:rPr>
                <w:sz w:val="20"/>
                <w:szCs w:val="20"/>
                <w:lang w:val="fr-CA"/>
              </w:rPr>
            </w:pPr>
            <w:r>
              <w:rPr>
                <w:sz w:val="20"/>
                <w:szCs w:val="20"/>
                <w:lang w:val="fr-CA"/>
              </w:rPr>
              <w:t>DATE DE PRODUCTION : 29</w:t>
            </w:r>
            <w:r w:rsidRPr="00806A5B">
              <w:rPr>
                <w:sz w:val="20"/>
                <w:szCs w:val="20"/>
                <w:lang w:val="fr-CA"/>
              </w:rPr>
              <w:t>.0</w:t>
            </w:r>
            <w:r>
              <w:rPr>
                <w:sz w:val="20"/>
                <w:szCs w:val="20"/>
                <w:lang w:val="fr-CA"/>
              </w:rPr>
              <w:t>9</w:t>
            </w:r>
            <w:r w:rsidRPr="00806A5B">
              <w:rPr>
                <w:sz w:val="20"/>
                <w:szCs w:val="20"/>
                <w:lang w:val="fr-CA"/>
              </w:rPr>
              <w:t>.2014</w:t>
            </w:r>
            <w:r w:rsidR="00F677DC">
              <w:rPr>
                <w:sz w:val="20"/>
                <w:szCs w:val="20"/>
                <w:lang w:val="fr-CA"/>
              </w:rPr>
              <w:pict>
                <v:rect id="_x0000_i1039" style="width:108pt;height:1pt" o:hrpct="0" o:hralign="center" o:hrstd="t" o:hrnoshade="t" o:hr="t" fillcolor="black [3213]" stroked="f"/>
              </w:pict>
            </w:r>
          </w:p>
        </w:tc>
        <w:tc>
          <w:tcPr>
            <w:tcW w:w="1181" w:type="dxa"/>
            <w:shd w:val="clear" w:color="auto" w:fill="auto"/>
          </w:tcPr>
          <w:p w:rsidR="001B1027" w:rsidRPr="00E10C69" w:rsidRDefault="001B1027" w:rsidP="00242AEE">
            <w:pPr>
              <w:jc w:val="center"/>
              <w:rPr>
                <w:sz w:val="20"/>
                <w:szCs w:val="20"/>
                <w:lang w:val="fr-CA"/>
              </w:rPr>
            </w:pPr>
          </w:p>
          <w:p w:rsidR="001B1027" w:rsidRPr="00E10C69" w:rsidRDefault="001B1027" w:rsidP="00242AEE">
            <w:pPr>
              <w:jc w:val="center"/>
              <w:rPr>
                <w:sz w:val="20"/>
                <w:szCs w:val="20"/>
                <w:lang w:val="fr-CA"/>
              </w:rPr>
            </w:pPr>
          </w:p>
          <w:p w:rsidR="001B1027" w:rsidRPr="00E10C69" w:rsidRDefault="001B1027" w:rsidP="00242AEE">
            <w:pPr>
              <w:jc w:val="center"/>
              <w:rPr>
                <w:sz w:val="20"/>
                <w:szCs w:val="20"/>
                <w:lang w:val="fr-CA"/>
              </w:rPr>
            </w:pPr>
          </w:p>
          <w:p w:rsidR="001B1027" w:rsidRPr="00E10C69" w:rsidRDefault="001B1027" w:rsidP="00242AEE">
            <w:pPr>
              <w:jc w:val="center"/>
              <w:rPr>
                <w:sz w:val="20"/>
                <w:szCs w:val="20"/>
                <w:lang w:val="fr-CA"/>
              </w:rPr>
            </w:pPr>
          </w:p>
          <w:p w:rsidR="001B1027" w:rsidRPr="00E10C69" w:rsidRDefault="001B1027" w:rsidP="00242AEE">
            <w:pPr>
              <w:jc w:val="center"/>
              <w:rPr>
                <w:sz w:val="20"/>
                <w:szCs w:val="20"/>
                <w:lang w:val="fr-CA"/>
              </w:rPr>
            </w:pPr>
          </w:p>
          <w:p w:rsidR="001B1027" w:rsidRPr="00E10C69" w:rsidRDefault="001B1027" w:rsidP="00242AEE">
            <w:pPr>
              <w:jc w:val="center"/>
              <w:rPr>
                <w:sz w:val="20"/>
                <w:szCs w:val="20"/>
                <w:lang w:val="fr-CA"/>
              </w:rPr>
            </w:pPr>
          </w:p>
          <w:p w:rsidR="001B1027" w:rsidRPr="00E10C69" w:rsidRDefault="001B1027" w:rsidP="00242AEE">
            <w:pPr>
              <w:jc w:val="center"/>
              <w:rPr>
                <w:sz w:val="20"/>
                <w:szCs w:val="20"/>
                <w:lang w:val="fr-CA"/>
              </w:rPr>
            </w:pPr>
          </w:p>
          <w:p w:rsidR="001B1027" w:rsidRPr="00E10C69" w:rsidRDefault="001B1027" w:rsidP="00242AEE">
            <w:pPr>
              <w:jc w:val="center"/>
              <w:rPr>
                <w:sz w:val="20"/>
                <w:szCs w:val="20"/>
                <w:lang w:val="fr-CA"/>
              </w:rPr>
            </w:pPr>
          </w:p>
          <w:p w:rsidR="001B1027" w:rsidRPr="00E10C69" w:rsidRDefault="001B1027" w:rsidP="00242AEE">
            <w:pPr>
              <w:jc w:val="center"/>
              <w:rPr>
                <w:sz w:val="20"/>
                <w:szCs w:val="20"/>
                <w:lang w:val="fr-CA"/>
              </w:rPr>
            </w:pPr>
          </w:p>
          <w:p w:rsidR="001B1027" w:rsidRPr="00E10C69" w:rsidRDefault="001B1027" w:rsidP="00242AEE">
            <w:pPr>
              <w:jc w:val="center"/>
              <w:rPr>
                <w:sz w:val="20"/>
                <w:szCs w:val="20"/>
                <w:lang w:val="fr-CA"/>
              </w:rPr>
            </w:pPr>
          </w:p>
          <w:p w:rsidR="001B1027" w:rsidRPr="00E10C69" w:rsidRDefault="001B1027" w:rsidP="00242AEE">
            <w:pPr>
              <w:jc w:val="center"/>
              <w:rPr>
                <w:sz w:val="20"/>
                <w:szCs w:val="20"/>
                <w:lang w:val="fr-CA"/>
              </w:rPr>
            </w:pPr>
          </w:p>
          <w:p w:rsidR="001B1027" w:rsidRDefault="001B1027" w:rsidP="00242AEE">
            <w:pPr>
              <w:jc w:val="center"/>
              <w:rPr>
                <w:sz w:val="20"/>
                <w:szCs w:val="20"/>
                <w:lang w:val="fr-CA"/>
              </w:rPr>
            </w:pPr>
          </w:p>
          <w:p w:rsidR="001B1027" w:rsidRPr="00E10C69" w:rsidRDefault="001B1027" w:rsidP="00242AEE">
            <w:pPr>
              <w:jc w:val="center"/>
              <w:rPr>
                <w:sz w:val="20"/>
                <w:szCs w:val="20"/>
                <w:lang w:val="fr-CA"/>
              </w:rPr>
            </w:pPr>
          </w:p>
          <w:p w:rsidR="001B1027" w:rsidRPr="00E10C69" w:rsidRDefault="001B1027" w:rsidP="00242AEE">
            <w:pPr>
              <w:jc w:val="center"/>
              <w:rPr>
                <w:sz w:val="20"/>
                <w:szCs w:val="20"/>
                <w:lang w:val="fr-CA"/>
              </w:rPr>
            </w:pPr>
          </w:p>
        </w:tc>
        <w:tc>
          <w:tcPr>
            <w:tcW w:w="4320" w:type="dxa"/>
            <w:shd w:val="clear" w:color="auto" w:fill="auto"/>
          </w:tcPr>
          <w:p w:rsidR="001B1027" w:rsidRPr="00E10C69" w:rsidRDefault="001B1027" w:rsidP="00AE41EE">
            <w:pPr>
              <w:rPr>
                <w:b/>
                <w:sz w:val="20"/>
                <w:szCs w:val="20"/>
                <w:lang w:val="fr-CA"/>
              </w:rPr>
            </w:pPr>
            <w:r>
              <w:rPr>
                <w:b/>
                <w:sz w:val="20"/>
                <w:szCs w:val="20"/>
                <w:lang w:val="fr-CA"/>
              </w:rPr>
              <w:t xml:space="preserve">Shiv Chopra et al. </w:t>
            </w:r>
          </w:p>
          <w:p w:rsidR="001B1027" w:rsidRPr="00B8316E" w:rsidRDefault="001B1027" w:rsidP="00AE41EE">
            <w:pPr>
              <w:tabs>
                <w:tab w:val="left" w:pos="-1440"/>
                <w:tab w:val="left" w:pos="-720"/>
              </w:tabs>
              <w:rPr>
                <w:sz w:val="20"/>
                <w:szCs w:val="20"/>
                <w:lang w:val="fr-CA"/>
              </w:rPr>
            </w:pPr>
            <w:r w:rsidRPr="00E10C69">
              <w:rPr>
                <w:sz w:val="20"/>
                <w:szCs w:val="20"/>
                <w:lang w:val="fr-CA"/>
              </w:rPr>
              <w:tab/>
            </w:r>
            <w:r w:rsidRPr="00B8316E">
              <w:rPr>
                <w:sz w:val="20"/>
                <w:szCs w:val="20"/>
                <w:lang w:val="fr-CA"/>
              </w:rPr>
              <w:t>David Yazbeck</w:t>
            </w:r>
          </w:p>
          <w:p w:rsidR="001B1027" w:rsidRPr="00E10C69" w:rsidRDefault="001B1027" w:rsidP="00AE41EE">
            <w:pPr>
              <w:tabs>
                <w:tab w:val="left" w:pos="-1440"/>
                <w:tab w:val="left" w:pos="-720"/>
              </w:tabs>
              <w:rPr>
                <w:sz w:val="20"/>
                <w:szCs w:val="20"/>
              </w:rPr>
            </w:pPr>
            <w:r w:rsidRPr="00B8316E">
              <w:rPr>
                <w:sz w:val="20"/>
                <w:szCs w:val="20"/>
                <w:lang w:val="fr-CA"/>
              </w:rPr>
              <w:tab/>
            </w:r>
            <w:r w:rsidRPr="00E10C69">
              <w:rPr>
                <w:sz w:val="20"/>
                <w:szCs w:val="20"/>
              </w:rPr>
              <w:t xml:space="preserve">Raven, Cameron, Ballantyne &amp; Yazbeck </w:t>
            </w:r>
            <w:r w:rsidRPr="00E10C69">
              <w:rPr>
                <w:sz w:val="20"/>
                <w:szCs w:val="20"/>
              </w:rPr>
              <w:tab/>
              <w:t>LLP</w:t>
            </w:r>
          </w:p>
          <w:p w:rsidR="001B1027" w:rsidRPr="00E10C69" w:rsidRDefault="001B1027" w:rsidP="00AE41EE">
            <w:pPr>
              <w:tabs>
                <w:tab w:val="left" w:pos="-1440"/>
                <w:tab w:val="left" w:pos="-720"/>
              </w:tabs>
              <w:rPr>
                <w:sz w:val="20"/>
                <w:szCs w:val="20"/>
              </w:rPr>
            </w:pPr>
          </w:p>
          <w:p w:rsidR="001B1027" w:rsidRPr="00A935AA" w:rsidRDefault="001B1027" w:rsidP="00AE41EE">
            <w:pPr>
              <w:tabs>
                <w:tab w:val="left" w:pos="-1440"/>
                <w:tab w:val="left" w:pos="-720"/>
              </w:tabs>
              <w:rPr>
                <w:sz w:val="20"/>
                <w:szCs w:val="20"/>
              </w:rPr>
            </w:pPr>
            <w:r w:rsidRPr="00E10C69">
              <w:rPr>
                <w:sz w:val="20"/>
                <w:szCs w:val="20"/>
              </w:rPr>
              <w:tab/>
            </w:r>
            <w:r w:rsidRPr="00A935AA">
              <w:rPr>
                <w:sz w:val="20"/>
                <w:szCs w:val="20"/>
              </w:rPr>
              <w:t>v. (3</w:t>
            </w:r>
            <w:r>
              <w:rPr>
                <w:sz w:val="20"/>
                <w:szCs w:val="20"/>
              </w:rPr>
              <w:t>6091</w:t>
            </w:r>
            <w:r w:rsidRPr="00A935AA">
              <w:rPr>
                <w:sz w:val="20"/>
                <w:szCs w:val="20"/>
              </w:rPr>
              <w:t>)</w:t>
            </w:r>
          </w:p>
          <w:p w:rsidR="001B1027" w:rsidRPr="00A935AA" w:rsidRDefault="001B1027" w:rsidP="00AE41EE">
            <w:pPr>
              <w:tabs>
                <w:tab w:val="left" w:pos="-1440"/>
                <w:tab w:val="left" w:pos="-720"/>
              </w:tabs>
              <w:rPr>
                <w:sz w:val="20"/>
                <w:szCs w:val="20"/>
              </w:rPr>
            </w:pPr>
          </w:p>
          <w:p w:rsidR="001B1027" w:rsidRPr="00A935AA" w:rsidRDefault="001B1027" w:rsidP="00AE41EE">
            <w:pPr>
              <w:tabs>
                <w:tab w:val="left" w:pos="-1440"/>
                <w:tab w:val="left" w:pos="-720"/>
              </w:tabs>
              <w:rPr>
                <w:b/>
                <w:sz w:val="20"/>
                <w:szCs w:val="20"/>
              </w:rPr>
            </w:pPr>
            <w:r>
              <w:rPr>
                <w:b/>
                <w:sz w:val="20"/>
                <w:szCs w:val="20"/>
              </w:rPr>
              <w:t>Attorney General of Canada (F.C</w:t>
            </w:r>
            <w:r w:rsidRPr="00A935AA">
              <w:rPr>
                <w:b/>
                <w:sz w:val="20"/>
                <w:szCs w:val="20"/>
              </w:rPr>
              <w:t>.)</w:t>
            </w:r>
          </w:p>
          <w:p w:rsidR="001B1027" w:rsidRPr="00A935AA" w:rsidRDefault="001B1027" w:rsidP="00AE41EE">
            <w:pPr>
              <w:tabs>
                <w:tab w:val="left" w:pos="-1440"/>
                <w:tab w:val="left" w:pos="-720"/>
              </w:tabs>
              <w:rPr>
                <w:sz w:val="20"/>
                <w:szCs w:val="20"/>
              </w:rPr>
            </w:pPr>
            <w:r w:rsidRPr="00A935AA">
              <w:rPr>
                <w:sz w:val="20"/>
                <w:szCs w:val="20"/>
              </w:rPr>
              <w:tab/>
            </w:r>
            <w:r>
              <w:rPr>
                <w:sz w:val="20"/>
                <w:szCs w:val="20"/>
              </w:rPr>
              <w:t>Catherine A. Lawrence</w:t>
            </w:r>
          </w:p>
          <w:p w:rsidR="001B1027" w:rsidRPr="00A935AA" w:rsidRDefault="001B1027" w:rsidP="00AE41EE">
            <w:pPr>
              <w:tabs>
                <w:tab w:val="left" w:pos="-1440"/>
                <w:tab w:val="left" w:pos="-720"/>
              </w:tabs>
              <w:rPr>
                <w:sz w:val="20"/>
                <w:szCs w:val="20"/>
              </w:rPr>
            </w:pPr>
            <w:r w:rsidRPr="00A935AA">
              <w:rPr>
                <w:sz w:val="20"/>
                <w:szCs w:val="20"/>
              </w:rPr>
              <w:tab/>
            </w:r>
            <w:r>
              <w:rPr>
                <w:sz w:val="20"/>
                <w:szCs w:val="20"/>
              </w:rPr>
              <w:t>A.G. of Canada</w:t>
            </w:r>
          </w:p>
          <w:p w:rsidR="001B1027" w:rsidRPr="00A935AA" w:rsidRDefault="001B1027" w:rsidP="00AE41EE">
            <w:pPr>
              <w:tabs>
                <w:tab w:val="left" w:pos="-1440"/>
                <w:tab w:val="left" w:pos="-720"/>
              </w:tabs>
              <w:rPr>
                <w:sz w:val="20"/>
                <w:szCs w:val="20"/>
              </w:rPr>
            </w:pPr>
          </w:p>
          <w:p w:rsidR="001B1027" w:rsidRPr="00A935AA" w:rsidRDefault="001B1027" w:rsidP="00020CE4">
            <w:pPr>
              <w:rPr>
                <w:sz w:val="20"/>
                <w:szCs w:val="20"/>
              </w:rPr>
            </w:pPr>
            <w:r w:rsidRPr="00A935AA">
              <w:rPr>
                <w:sz w:val="20"/>
                <w:szCs w:val="20"/>
              </w:rPr>
              <w:t>FILING DATE: 2</w:t>
            </w:r>
            <w:r>
              <w:rPr>
                <w:sz w:val="20"/>
                <w:szCs w:val="20"/>
              </w:rPr>
              <w:t>6</w:t>
            </w:r>
            <w:r w:rsidRPr="00A935AA">
              <w:rPr>
                <w:sz w:val="20"/>
                <w:szCs w:val="20"/>
              </w:rPr>
              <w:t>.0</w:t>
            </w:r>
            <w:r>
              <w:rPr>
                <w:sz w:val="20"/>
                <w:szCs w:val="20"/>
              </w:rPr>
              <w:t>9</w:t>
            </w:r>
            <w:r w:rsidRPr="00A935AA">
              <w:rPr>
                <w:sz w:val="20"/>
                <w:szCs w:val="20"/>
              </w:rPr>
              <w:t>.201</w:t>
            </w:r>
            <w:r>
              <w:rPr>
                <w:sz w:val="20"/>
                <w:szCs w:val="20"/>
              </w:rPr>
              <w:t>4</w:t>
            </w:r>
            <w:r w:rsidR="00F677DC">
              <w:rPr>
                <w:sz w:val="20"/>
                <w:szCs w:val="20"/>
                <w:lang w:val="fr-CA"/>
              </w:rPr>
              <w:pict>
                <v:rect id="_x0000_i1040" style="width:108pt;height:1pt" o:hrpct="0" o:hralign="center" o:hrstd="t" o:hrnoshade="t" o:hr="t" fillcolor="black [3213]" stroked="f"/>
              </w:pict>
            </w:r>
          </w:p>
        </w:tc>
      </w:tr>
      <w:tr w:rsidR="001B1027" w:rsidRPr="00A935AA" w:rsidTr="003B3977">
        <w:trPr>
          <w:cantSplit/>
        </w:trPr>
        <w:tc>
          <w:tcPr>
            <w:tcW w:w="4320" w:type="dxa"/>
            <w:shd w:val="clear" w:color="auto" w:fill="auto"/>
          </w:tcPr>
          <w:p w:rsidR="001B1027" w:rsidRPr="00020CE4" w:rsidRDefault="001B1027" w:rsidP="00AE41EE">
            <w:pPr>
              <w:rPr>
                <w:b/>
                <w:sz w:val="20"/>
                <w:szCs w:val="20"/>
                <w:lang w:val="fr-CA"/>
              </w:rPr>
            </w:pPr>
            <w:r w:rsidRPr="00020CE4">
              <w:rPr>
                <w:b/>
                <w:sz w:val="20"/>
                <w:szCs w:val="20"/>
                <w:lang w:val="fr-CA"/>
              </w:rPr>
              <w:lastRenderedPageBreak/>
              <w:t>John Andrew McCombie et al.</w:t>
            </w:r>
          </w:p>
          <w:p w:rsidR="001B1027" w:rsidRPr="00020CE4" w:rsidRDefault="001B1027" w:rsidP="00AE41EE">
            <w:pPr>
              <w:tabs>
                <w:tab w:val="left" w:pos="-1440"/>
                <w:tab w:val="left" w:pos="-720"/>
              </w:tabs>
              <w:rPr>
                <w:sz w:val="20"/>
                <w:szCs w:val="20"/>
              </w:rPr>
            </w:pPr>
            <w:r w:rsidRPr="00020CE4">
              <w:rPr>
                <w:sz w:val="20"/>
                <w:szCs w:val="20"/>
                <w:lang w:val="fr-CA"/>
              </w:rPr>
              <w:tab/>
            </w:r>
            <w:r w:rsidRPr="00020CE4">
              <w:rPr>
                <w:sz w:val="20"/>
                <w:szCs w:val="20"/>
              </w:rPr>
              <w:t>C. Kirk Boggs</w:t>
            </w:r>
          </w:p>
          <w:p w:rsidR="001B1027" w:rsidRPr="00020CE4" w:rsidRDefault="001B1027" w:rsidP="00AE41EE">
            <w:pPr>
              <w:tabs>
                <w:tab w:val="left" w:pos="-1440"/>
                <w:tab w:val="left" w:pos="-720"/>
              </w:tabs>
              <w:rPr>
                <w:sz w:val="20"/>
                <w:szCs w:val="20"/>
              </w:rPr>
            </w:pPr>
            <w:r w:rsidRPr="00020CE4">
              <w:rPr>
                <w:sz w:val="20"/>
                <w:szCs w:val="20"/>
              </w:rPr>
              <w:tab/>
              <w:t>Lerners LLP</w:t>
            </w:r>
          </w:p>
          <w:p w:rsidR="001B1027" w:rsidRPr="00020CE4" w:rsidRDefault="001B1027" w:rsidP="00AE41EE">
            <w:pPr>
              <w:tabs>
                <w:tab w:val="left" w:pos="-1440"/>
                <w:tab w:val="left" w:pos="-720"/>
              </w:tabs>
              <w:rPr>
                <w:sz w:val="20"/>
                <w:szCs w:val="20"/>
              </w:rPr>
            </w:pPr>
          </w:p>
          <w:p w:rsidR="001B1027" w:rsidRPr="00A935AA" w:rsidRDefault="001B1027" w:rsidP="00AE41EE">
            <w:pPr>
              <w:tabs>
                <w:tab w:val="left" w:pos="-1440"/>
                <w:tab w:val="left" w:pos="-720"/>
              </w:tabs>
              <w:rPr>
                <w:sz w:val="20"/>
                <w:szCs w:val="20"/>
              </w:rPr>
            </w:pPr>
            <w:r w:rsidRPr="00020CE4">
              <w:rPr>
                <w:sz w:val="20"/>
                <w:szCs w:val="20"/>
              </w:rPr>
              <w:tab/>
            </w:r>
            <w:r w:rsidRPr="00A935AA">
              <w:rPr>
                <w:sz w:val="20"/>
                <w:szCs w:val="20"/>
              </w:rPr>
              <w:t>v. (3</w:t>
            </w:r>
            <w:r>
              <w:rPr>
                <w:sz w:val="20"/>
                <w:szCs w:val="20"/>
              </w:rPr>
              <w:t>6093</w:t>
            </w:r>
            <w:r w:rsidRPr="00A935AA">
              <w:rPr>
                <w:sz w:val="20"/>
                <w:szCs w:val="20"/>
              </w:rPr>
              <w:t>)</w:t>
            </w:r>
          </w:p>
          <w:p w:rsidR="001B1027" w:rsidRPr="00A935AA" w:rsidRDefault="001B1027" w:rsidP="00AE41EE">
            <w:pPr>
              <w:tabs>
                <w:tab w:val="left" w:pos="-1440"/>
                <w:tab w:val="left" w:pos="-720"/>
              </w:tabs>
              <w:rPr>
                <w:sz w:val="20"/>
                <w:szCs w:val="20"/>
              </w:rPr>
            </w:pPr>
          </w:p>
          <w:p w:rsidR="001B1027" w:rsidRPr="00A935AA" w:rsidRDefault="001B1027" w:rsidP="00AE41EE">
            <w:pPr>
              <w:tabs>
                <w:tab w:val="left" w:pos="-1440"/>
                <w:tab w:val="left" w:pos="-720"/>
              </w:tabs>
              <w:rPr>
                <w:b/>
                <w:sz w:val="20"/>
                <w:szCs w:val="20"/>
              </w:rPr>
            </w:pPr>
            <w:r>
              <w:rPr>
                <w:b/>
                <w:sz w:val="20"/>
                <w:szCs w:val="20"/>
              </w:rPr>
              <w:t xml:space="preserve">Romeo Joseph Phillion </w:t>
            </w:r>
            <w:r w:rsidRPr="00A935AA">
              <w:rPr>
                <w:b/>
                <w:sz w:val="20"/>
                <w:szCs w:val="20"/>
              </w:rPr>
              <w:t>(</w:t>
            </w:r>
            <w:r>
              <w:rPr>
                <w:b/>
                <w:sz w:val="20"/>
                <w:szCs w:val="20"/>
              </w:rPr>
              <w:t>Ont</w:t>
            </w:r>
            <w:r w:rsidRPr="00A935AA">
              <w:rPr>
                <w:b/>
                <w:sz w:val="20"/>
                <w:szCs w:val="20"/>
              </w:rPr>
              <w:t>.)</w:t>
            </w:r>
          </w:p>
          <w:p w:rsidR="001B1027" w:rsidRPr="00A935AA" w:rsidRDefault="001B1027" w:rsidP="00AE41EE">
            <w:pPr>
              <w:tabs>
                <w:tab w:val="left" w:pos="-1440"/>
                <w:tab w:val="left" w:pos="-720"/>
              </w:tabs>
              <w:rPr>
                <w:sz w:val="20"/>
                <w:szCs w:val="20"/>
              </w:rPr>
            </w:pPr>
            <w:r w:rsidRPr="00A935AA">
              <w:rPr>
                <w:sz w:val="20"/>
                <w:szCs w:val="20"/>
              </w:rPr>
              <w:tab/>
            </w:r>
            <w:r>
              <w:rPr>
                <w:sz w:val="20"/>
                <w:szCs w:val="20"/>
              </w:rPr>
              <w:t>William V. Sasso</w:t>
            </w:r>
          </w:p>
          <w:p w:rsidR="001B1027" w:rsidRPr="00A935AA" w:rsidRDefault="001B1027" w:rsidP="00AE41EE">
            <w:pPr>
              <w:tabs>
                <w:tab w:val="left" w:pos="-1440"/>
                <w:tab w:val="left" w:pos="-720"/>
              </w:tabs>
              <w:rPr>
                <w:sz w:val="20"/>
                <w:szCs w:val="20"/>
              </w:rPr>
            </w:pPr>
            <w:r w:rsidRPr="00A935AA">
              <w:rPr>
                <w:sz w:val="20"/>
                <w:szCs w:val="20"/>
              </w:rPr>
              <w:tab/>
            </w:r>
            <w:r>
              <w:rPr>
                <w:sz w:val="20"/>
                <w:szCs w:val="20"/>
              </w:rPr>
              <w:t>Sutts, Strosberg LLP</w:t>
            </w:r>
          </w:p>
          <w:p w:rsidR="001B1027" w:rsidRPr="00A935AA" w:rsidRDefault="001B1027" w:rsidP="00AE41EE">
            <w:pPr>
              <w:tabs>
                <w:tab w:val="left" w:pos="-1440"/>
                <w:tab w:val="left" w:pos="-720"/>
              </w:tabs>
              <w:rPr>
                <w:sz w:val="20"/>
                <w:szCs w:val="20"/>
              </w:rPr>
            </w:pPr>
          </w:p>
          <w:p w:rsidR="001B1027" w:rsidRPr="00A935AA" w:rsidRDefault="001B1027" w:rsidP="00020CE4">
            <w:pPr>
              <w:rPr>
                <w:sz w:val="20"/>
                <w:szCs w:val="20"/>
              </w:rPr>
            </w:pPr>
            <w:r>
              <w:rPr>
                <w:sz w:val="20"/>
                <w:szCs w:val="20"/>
              </w:rPr>
              <w:t>and between</w:t>
            </w:r>
          </w:p>
        </w:tc>
        <w:tc>
          <w:tcPr>
            <w:tcW w:w="1181" w:type="dxa"/>
            <w:shd w:val="clear" w:color="auto" w:fill="auto"/>
          </w:tcPr>
          <w:p w:rsidR="001B1027" w:rsidRDefault="001B1027" w:rsidP="00242AEE">
            <w:pPr>
              <w:jc w:val="center"/>
              <w:rPr>
                <w:sz w:val="20"/>
                <w:szCs w:val="20"/>
              </w:rPr>
            </w:pPr>
          </w:p>
          <w:p w:rsidR="001B1027" w:rsidRDefault="001B1027" w:rsidP="00242AEE">
            <w:pPr>
              <w:jc w:val="center"/>
              <w:rPr>
                <w:sz w:val="20"/>
                <w:szCs w:val="20"/>
              </w:rPr>
            </w:pPr>
          </w:p>
          <w:p w:rsidR="001B1027" w:rsidRDefault="001B1027" w:rsidP="00242AEE">
            <w:pPr>
              <w:jc w:val="center"/>
              <w:rPr>
                <w:sz w:val="20"/>
                <w:szCs w:val="20"/>
              </w:rPr>
            </w:pPr>
          </w:p>
          <w:p w:rsidR="001B1027" w:rsidRDefault="001B1027" w:rsidP="00242AEE">
            <w:pPr>
              <w:jc w:val="center"/>
              <w:rPr>
                <w:sz w:val="20"/>
                <w:szCs w:val="20"/>
              </w:rPr>
            </w:pPr>
          </w:p>
          <w:p w:rsidR="001B1027" w:rsidRDefault="001B1027" w:rsidP="00242AEE">
            <w:pPr>
              <w:jc w:val="center"/>
              <w:rPr>
                <w:sz w:val="20"/>
                <w:szCs w:val="20"/>
              </w:rPr>
            </w:pPr>
          </w:p>
          <w:p w:rsidR="001B1027" w:rsidRDefault="001B1027" w:rsidP="00242AEE">
            <w:pPr>
              <w:jc w:val="center"/>
              <w:rPr>
                <w:sz w:val="20"/>
                <w:szCs w:val="20"/>
              </w:rPr>
            </w:pPr>
          </w:p>
          <w:p w:rsidR="001B1027" w:rsidRDefault="001B1027" w:rsidP="00242AEE">
            <w:pPr>
              <w:jc w:val="center"/>
              <w:rPr>
                <w:sz w:val="20"/>
                <w:szCs w:val="20"/>
              </w:rPr>
            </w:pPr>
          </w:p>
          <w:p w:rsidR="001B1027" w:rsidRDefault="001B1027" w:rsidP="00242AEE">
            <w:pPr>
              <w:jc w:val="center"/>
              <w:rPr>
                <w:sz w:val="20"/>
                <w:szCs w:val="20"/>
              </w:rPr>
            </w:pPr>
          </w:p>
          <w:p w:rsidR="001B1027" w:rsidRDefault="001B1027" w:rsidP="00242AEE">
            <w:pPr>
              <w:jc w:val="center"/>
              <w:rPr>
                <w:sz w:val="20"/>
                <w:szCs w:val="20"/>
              </w:rPr>
            </w:pPr>
          </w:p>
          <w:p w:rsidR="001B1027" w:rsidRDefault="001B1027" w:rsidP="00242AEE">
            <w:pPr>
              <w:jc w:val="center"/>
              <w:rPr>
                <w:sz w:val="20"/>
                <w:szCs w:val="20"/>
              </w:rPr>
            </w:pPr>
          </w:p>
          <w:p w:rsidR="001B1027" w:rsidRDefault="001B1027" w:rsidP="00242AEE">
            <w:pPr>
              <w:jc w:val="center"/>
              <w:rPr>
                <w:sz w:val="20"/>
                <w:szCs w:val="20"/>
              </w:rPr>
            </w:pPr>
          </w:p>
          <w:p w:rsidR="001B1027" w:rsidRPr="00A935AA" w:rsidRDefault="001B1027" w:rsidP="00242AEE">
            <w:pPr>
              <w:jc w:val="center"/>
              <w:rPr>
                <w:sz w:val="20"/>
                <w:szCs w:val="20"/>
              </w:rPr>
            </w:pPr>
          </w:p>
        </w:tc>
        <w:tc>
          <w:tcPr>
            <w:tcW w:w="4320" w:type="dxa"/>
            <w:shd w:val="clear" w:color="auto" w:fill="auto"/>
          </w:tcPr>
          <w:p w:rsidR="001B1027" w:rsidRPr="00A935AA" w:rsidRDefault="001B1027" w:rsidP="00AE41EE">
            <w:pPr>
              <w:rPr>
                <w:b/>
                <w:sz w:val="20"/>
                <w:szCs w:val="20"/>
              </w:rPr>
            </w:pPr>
            <w:r>
              <w:rPr>
                <w:b/>
                <w:sz w:val="20"/>
                <w:szCs w:val="20"/>
              </w:rPr>
              <w:t>Peter Leofric Hathaway</w:t>
            </w:r>
          </w:p>
          <w:p w:rsidR="001B1027" w:rsidRPr="00A935AA" w:rsidRDefault="001B1027" w:rsidP="00AE41EE">
            <w:pPr>
              <w:tabs>
                <w:tab w:val="left" w:pos="-1440"/>
                <w:tab w:val="left" w:pos="-720"/>
              </w:tabs>
              <w:rPr>
                <w:sz w:val="20"/>
                <w:szCs w:val="20"/>
              </w:rPr>
            </w:pPr>
            <w:r w:rsidRPr="00A935AA">
              <w:rPr>
                <w:sz w:val="20"/>
                <w:szCs w:val="20"/>
              </w:rPr>
              <w:tab/>
            </w:r>
            <w:r>
              <w:rPr>
                <w:sz w:val="20"/>
                <w:szCs w:val="20"/>
              </w:rPr>
              <w:t>Georgialee A. Lang</w:t>
            </w:r>
          </w:p>
          <w:p w:rsidR="001B1027" w:rsidRPr="00A935AA" w:rsidRDefault="001B1027" w:rsidP="00AE41EE">
            <w:pPr>
              <w:tabs>
                <w:tab w:val="left" w:pos="-1440"/>
                <w:tab w:val="left" w:pos="-720"/>
              </w:tabs>
              <w:rPr>
                <w:sz w:val="20"/>
                <w:szCs w:val="20"/>
              </w:rPr>
            </w:pPr>
            <w:r w:rsidRPr="00A935AA">
              <w:rPr>
                <w:sz w:val="20"/>
                <w:szCs w:val="20"/>
              </w:rPr>
              <w:tab/>
            </w:r>
            <w:r>
              <w:rPr>
                <w:sz w:val="20"/>
                <w:szCs w:val="20"/>
              </w:rPr>
              <w:t>Georgialee Lang &amp; Associates</w:t>
            </w:r>
          </w:p>
          <w:p w:rsidR="001B1027" w:rsidRPr="00A935AA" w:rsidRDefault="001B1027" w:rsidP="00AE41EE">
            <w:pPr>
              <w:tabs>
                <w:tab w:val="left" w:pos="-1440"/>
                <w:tab w:val="left" w:pos="-720"/>
              </w:tabs>
              <w:rPr>
                <w:sz w:val="20"/>
                <w:szCs w:val="20"/>
              </w:rPr>
            </w:pPr>
          </w:p>
          <w:p w:rsidR="001B1027" w:rsidRPr="00A935AA" w:rsidRDefault="001B1027" w:rsidP="00AE41EE">
            <w:pPr>
              <w:tabs>
                <w:tab w:val="left" w:pos="-1440"/>
                <w:tab w:val="left" w:pos="-720"/>
              </w:tabs>
              <w:rPr>
                <w:sz w:val="20"/>
                <w:szCs w:val="20"/>
              </w:rPr>
            </w:pPr>
            <w:r w:rsidRPr="00A935AA">
              <w:rPr>
                <w:sz w:val="20"/>
                <w:szCs w:val="20"/>
              </w:rPr>
              <w:tab/>
              <w:t>v. (3</w:t>
            </w:r>
            <w:r>
              <w:rPr>
                <w:sz w:val="20"/>
                <w:szCs w:val="20"/>
              </w:rPr>
              <w:t>6101</w:t>
            </w:r>
            <w:r w:rsidRPr="00A935AA">
              <w:rPr>
                <w:sz w:val="20"/>
                <w:szCs w:val="20"/>
              </w:rPr>
              <w:t>)</w:t>
            </w:r>
          </w:p>
          <w:p w:rsidR="001B1027" w:rsidRPr="00A935AA" w:rsidRDefault="001B1027" w:rsidP="00AE41EE">
            <w:pPr>
              <w:tabs>
                <w:tab w:val="left" w:pos="-1440"/>
                <w:tab w:val="left" w:pos="-720"/>
              </w:tabs>
              <w:rPr>
                <w:sz w:val="20"/>
                <w:szCs w:val="20"/>
              </w:rPr>
            </w:pPr>
          </w:p>
          <w:p w:rsidR="001B1027" w:rsidRPr="00A935AA" w:rsidRDefault="001B1027" w:rsidP="00AE41EE">
            <w:pPr>
              <w:tabs>
                <w:tab w:val="left" w:pos="-1440"/>
                <w:tab w:val="left" w:pos="-720"/>
              </w:tabs>
              <w:rPr>
                <w:b/>
                <w:sz w:val="20"/>
                <w:szCs w:val="20"/>
              </w:rPr>
            </w:pPr>
            <w:r>
              <w:rPr>
                <w:b/>
                <w:sz w:val="20"/>
                <w:szCs w:val="20"/>
              </w:rPr>
              <w:t xml:space="preserve">Joanne Elizabeth Hathaway </w:t>
            </w:r>
            <w:r w:rsidRPr="00A935AA">
              <w:rPr>
                <w:b/>
                <w:sz w:val="20"/>
                <w:szCs w:val="20"/>
              </w:rPr>
              <w:t>(</w:t>
            </w:r>
            <w:r>
              <w:rPr>
                <w:b/>
                <w:sz w:val="20"/>
                <w:szCs w:val="20"/>
              </w:rPr>
              <w:t>B.C</w:t>
            </w:r>
            <w:r w:rsidRPr="00A935AA">
              <w:rPr>
                <w:b/>
                <w:sz w:val="20"/>
                <w:szCs w:val="20"/>
              </w:rPr>
              <w:t>.)</w:t>
            </w:r>
          </w:p>
          <w:p w:rsidR="001B1027" w:rsidRPr="00A935AA" w:rsidRDefault="001B1027" w:rsidP="00AE41EE">
            <w:pPr>
              <w:tabs>
                <w:tab w:val="left" w:pos="-1440"/>
                <w:tab w:val="left" w:pos="-720"/>
              </w:tabs>
              <w:rPr>
                <w:sz w:val="20"/>
                <w:szCs w:val="20"/>
              </w:rPr>
            </w:pPr>
            <w:r w:rsidRPr="00A935AA">
              <w:rPr>
                <w:sz w:val="20"/>
                <w:szCs w:val="20"/>
              </w:rPr>
              <w:tab/>
            </w:r>
            <w:r>
              <w:rPr>
                <w:sz w:val="20"/>
                <w:szCs w:val="20"/>
              </w:rPr>
              <w:t>Jeremy S. Sheppard</w:t>
            </w:r>
          </w:p>
          <w:p w:rsidR="001B1027" w:rsidRPr="00A935AA" w:rsidRDefault="001B1027" w:rsidP="00AE41EE">
            <w:pPr>
              <w:tabs>
                <w:tab w:val="left" w:pos="-1440"/>
                <w:tab w:val="left" w:pos="-720"/>
              </w:tabs>
              <w:rPr>
                <w:sz w:val="20"/>
                <w:szCs w:val="20"/>
              </w:rPr>
            </w:pPr>
            <w:r w:rsidRPr="00A935AA">
              <w:rPr>
                <w:sz w:val="20"/>
                <w:szCs w:val="20"/>
              </w:rPr>
              <w:tab/>
            </w:r>
            <w:r>
              <w:rPr>
                <w:sz w:val="20"/>
                <w:szCs w:val="20"/>
              </w:rPr>
              <w:t>Hayward &amp; Sheppard</w:t>
            </w:r>
          </w:p>
          <w:p w:rsidR="001B1027" w:rsidRPr="00A935AA" w:rsidRDefault="001B1027" w:rsidP="00AE41EE">
            <w:pPr>
              <w:tabs>
                <w:tab w:val="left" w:pos="-1440"/>
                <w:tab w:val="left" w:pos="-720"/>
              </w:tabs>
              <w:rPr>
                <w:sz w:val="20"/>
                <w:szCs w:val="20"/>
              </w:rPr>
            </w:pPr>
          </w:p>
          <w:p w:rsidR="001B1027" w:rsidRPr="00A935AA" w:rsidRDefault="001B1027" w:rsidP="00020CE4">
            <w:pPr>
              <w:rPr>
                <w:sz w:val="20"/>
                <w:szCs w:val="20"/>
              </w:rPr>
            </w:pPr>
            <w:r w:rsidRPr="00A935AA">
              <w:rPr>
                <w:sz w:val="20"/>
                <w:szCs w:val="20"/>
              </w:rPr>
              <w:t>FILING DATE: 2</w:t>
            </w:r>
            <w:r>
              <w:rPr>
                <w:sz w:val="20"/>
                <w:szCs w:val="20"/>
              </w:rPr>
              <w:t>9</w:t>
            </w:r>
            <w:r w:rsidRPr="00A935AA">
              <w:rPr>
                <w:sz w:val="20"/>
                <w:szCs w:val="20"/>
              </w:rPr>
              <w:t>.0</w:t>
            </w:r>
            <w:r>
              <w:rPr>
                <w:sz w:val="20"/>
                <w:szCs w:val="20"/>
              </w:rPr>
              <w:t>9</w:t>
            </w:r>
            <w:r w:rsidRPr="00A935AA">
              <w:rPr>
                <w:sz w:val="20"/>
                <w:szCs w:val="20"/>
              </w:rPr>
              <w:t>.201</w:t>
            </w:r>
            <w:r>
              <w:rPr>
                <w:sz w:val="20"/>
                <w:szCs w:val="20"/>
              </w:rPr>
              <w:t>4</w:t>
            </w:r>
            <w:r w:rsidR="00F677DC">
              <w:rPr>
                <w:sz w:val="20"/>
                <w:szCs w:val="20"/>
                <w:lang w:val="fr-CA"/>
              </w:rPr>
              <w:pict>
                <v:rect id="_x0000_i1041" style="width:108pt;height:1pt" o:hrpct="0" o:hralign="center" o:hrstd="t" o:hrnoshade="t" o:hr="t" fillcolor="black [3213]" stroked="f"/>
              </w:pict>
            </w:r>
          </w:p>
        </w:tc>
      </w:tr>
      <w:tr w:rsidR="001B1027" w:rsidRPr="00A935AA" w:rsidTr="003B3977">
        <w:trPr>
          <w:cantSplit/>
        </w:trPr>
        <w:tc>
          <w:tcPr>
            <w:tcW w:w="4320" w:type="dxa"/>
            <w:shd w:val="clear" w:color="auto" w:fill="auto"/>
          </w:tcPr>
          <w:p w:rsidR="001B1027" w:rsidRPr="00A935AA" w:rsidRDefault="001B1027" w:rsidP="00AE41EE">
            <w:pPr>
              <w:rPr>
                <w:b/>
                <w:sz w:val="20"/>
                <w:szCs w:val="20"/>
              </w:rPr>
            </w:pPr>
            <w:r>
              <w:rPr>
                <w:b/>
                <w:sz w:val="20"/>
                <w:szCs w:val="20"/>
              </w:rPr>
              <w:t>Attorney General of Ontario</w:t>
            </w:r>
          </w:p>
          <w:p w:rsidR="001B1027" w:rsidRPr="00A935AA" w:rsidRDefault="001B1027" w:rsidP="00AE41EE">
            <w:pPr>
              <w:tabs>
                <w:tab w:val="left" w:pos="-1440"/>
                <w:tab w:val="left" w:pos="-720"/>
              </w:tabs>
              <w:rPr>
                <w:sz w:val="20"/>
                <w:szCs w:val="20"/>
              </w:rPr>
            </w:pPr>
            <w:r w:rsidRPr="00A935AA">
              <w:rPr>
                <w:sz w:val="20"/>
                <w:szCs w:val="20"/>
              </w:rPr>
              <w:tab/>
            </w:r>
            <w:r>
              <w:rPr>
                <w:sz w:val="20"/>
                <w:szCs w:val="20"/>
              </w:rPr>
              <w:t>Malliha Wilson</w:t>
            </w:r>
          </w:p>
          <w:p w:rsidR="001B1027" w:rsidRPr="00A935AA" w:rsidRDefault="001B1027" w:rsidP="00AE41EE">
            <w:pPr>
              <w:tabs>
                <w:tab w:val="left" w:pos="-1440"/>
                <w:tab w:val="left" w:pos="-720"/>
              </w:tabs>
              <w:rPr>
                <w:sz w:val="20"/>
                <w:szCs w:val="20"/>
              </w:rPr>
            </w:pPr>
            <w:r w:rsidRPr="00A935AA">
              <w:rPr>
                <w:sz w:val="20"/>
                <w:szCs w:val="20"/>
              </w:rPr>
              <w:tab/>
            </w:r>
            <w:r>
              <w:rPr>
                <w:sz w:val="20"/>
                <w:szCs w:val="20"/>
              </w:rPr>
              <w:t>A.G. of Ontario</w:t>
            </w:r>
          </w:p>
          <w:p w:rsidR="001B1027" w:rsidRPr="00A935AA" w:rsidRDefault="001B1027" w:rsidP="00AE41EE">
            <w:pPr>
              <w:tabs>
                <w:tab w:val="left" w:pos="-1440"/>
                <w:tab w:val="left" w:pos="-720"/>
              </w:tabs>
              <w:rPr>
                <w:sz w:val="20"/>
                <w:szCs w:val="20"/>
              </w:rPr>
            </w:pPr>
          </w:p>
          <w:p w:rsidR="001B1027" w:rsidRPr="00A935AA" w:rsidRDefault="001B1027" w:rsidP="00AE41EE">
            <w:pPr>
              <w:tabs>
                <w:tab w:val="left" w:pos="-1440"/>
                <w:tab w:val="left" w:pos="-720"/>
              </w:tabs>
              <w:rPr>
                <w:sz w:val="20"/>
                <w:szCs w:val="20"/>
              </w:rPr>
            </w:pPr>
            <w:r w:rsidRPr="00A935AA">
              <w:rPr>
                <w:sz w:val="20"/>
                <w:szCs w:val="20"/>
              </w:rPr>
              <w:tab/>
              <w:t>v. (3</w:t>
            </w:r>
            <w:r>
              <w:rPr>
                <w:sz w:val="20"/>
                <w:szCs w:val="20"/>
              </w:rPr>
              <w:t>6093</w:t>
            </w:r>
            <w:r w:rsidRPr="00A935AA">
              <w:rPr>
                <w:sz w:val="20"/>
                <w:szCs w:val="20"/>
              </w:rPr>
              <w:t>)</w:t>
            </w:r>
          </w:p>
          <w:p w:rsidR="001B1027" w:rsidRPr="00A935AA" w:rsidRDefault="001B1027" w:rsidP="00AE41EE">
            <w:pPr>
              <w:tabs>
                <w:tab w:val="left" w:pos="-1440"/>
                <w:tab w:val="left" w:pos="-720"/>
              </w:tabs>
              <w:rPr>
                <w:sz w:val="20"/>
                <w:szCs w:val="20"/>
              </w:rPr>
            </w:pPr>
          </w:p>
          <w:p w:rsidR="001B1027" w:rsidRPr="00A935AA" w:rsidRDefault="001B1027" w:rsidP="00020CE4">
            <w:pPr>
              <w:tabs>
                <w:tab w:val="left" w:pos="-1440"/>
                <w:tab w:val="left" w:pos="-720"/>
              </w:tabs>
              <w:rPr>
                <w:b/>
                <w:sz w:val="20"/>
                <w:szCs w:val="20"/>
              </w:rPr>
            </w:pPr>
            <w:r>
              <w:rPr>
                <w:b/>
                <w:sz w:val="20"/>
                <w:szCs w:val="20"/>
              </w:rPr>
              <w:t xml:space="preserve">Romeo Joseph Phillion </w:t>
            </w:r>
            <w:r w:rsidRPr="00A935AA">
              <w:rPr>
                <w:b/>
                <w:sz w:val="20"/>
                <w:szCs w:val="20"/>
              </w:rPr>
              <w:t>(</w:t>
            </w:r>
            <w:r>
              <w:rPr>
                <w:b/>
                <w:sz w:val="20"/>
                <w:szCs w:val="20"/>
              </w:rPr>
              <w:t>Ont</w:t>
            </w:r>
            <w:r w:rsidRPr="00A935AA">
              <w:rPr>
                <w:b/>
                <w:sz w:val="20"/>
                <w:szCs w:val="20"/>
              </w:rPr>
              <w:t>.)</w:t>
            </w:r>
          </w:p>
          <w:p w:rsidR="001B1027" w:rsidRPr="00A935AA" w:rsidRDefault="001B1027" w:rsidP="00020CE4">
            <w:pPr>
              <w:tabs>
                <w:tab w:val="left" w:pos="-1440"/>
                <w:tab w:val="left" w:pos="-720"/>
              </w:tabs>
              <w:rPr>
                <w:sz w:val="20"/>
                <w:szCs w:val="20"/>
              </w:rPr>
            </w:pPr>
            <w:r w:rsidRPr="00A935AA">
              <w:rPr>
                <w:sz w:val="20"/>
                <w:szCs w:val="20"/>
              </w:rPr>
              <w:tab/>
            </w:r>
            <w:r>
              <w:rPr>
                <w:sz w:val="20"/>
                <w:szCs w:val="20"/>
              </w:rPr>
              <w:t>William V. Sasso</w:t>
            </w:r>
          </w:p>
          <w:p w:rsidR="001B1027" w:rsidRDefault="001B1027" w:rsidP="00020CE4">
            <w:pPr>
              <w:tabs>
                <w:tab w:val="left" w:pos="-1440"/>
                <w:tab w:val="left" w:pos="-720"/>
              </w:tabs>
              <w:rPr>
                <w:sz w:val="20"/>
                <w:szCs w:val="20"/>
              </w:rPr>
            </w:pPr>
            <w:r w:rsidRPr="00A935AA">
              <w:rPr>
                <w:sz w:val="20"/>
                <w:szCs w:val="20"/>
              </w:rPr>
              <w:tab/>
            </w:r>
            <w:r>
              <w:rPr>
                <w:sz w:val="20"/>
                <w:szCs w:val="20"/>
              </w:rPr>
              <w:t>Sutts, Strosberg LLP</w:t>
            </w:r>
            <w:r w:rsidRPr="00A935AA">
              <w:rPr>
                <w:sz w:val="20"/>
                <w:szCs w:val="20"/>
              </w:rPr>
              <w:t xml:space="preserve"> </w:t>
            </w:r>
          </w:p>
          <w:p w:rsidR="001B1027" w:rsidRPr="00A935AA" w:rsidRDefault="001B1027" w:rsidP="00020CE4">
            <w:pPr>
              <w:tabs>
                <w:tab w:val="left" w:pos="-1440"/>
                <w:tab w:val="left" w:pos="-720"/>
              </w:tabs>
              <w:rPr>
                <w:sz w:val="20"/>
                <w:szCs w:val="20"/>
              </w:rPr>
            </w:pPr>
          </w:p>
          <w:p w:rsidR="001B1027" w:rsidRPr="00A935AA" w:rsidRDefault="001B1027" w:rsidP="00020CE4">
            <w:pPr>
              <w:rPr>
                <w:sz w:val="20"/>
                <w:szCs w:val="20"/>
              </w:rPr>
            </w:pPr>
            <w:r w:rsidRPr="00A935AA">
              <w:rPr>
                <w:sz w:val="20"/>
                <w:szCs w:val="20"/>
              </w:rPr>
              <w:t>FILING DATE: 2</w:t>
            </w:r>
            <w:r>
              <w:rPr>
                <w:sz w:val="20"/>
                <w:szCs w:val="20"/>
              </w:rPr>
              <w:t>9</w:t>
            </w:r>
            <w:r w:rsidRPr="00A935AA">
              <w:rPr>
                <w:sz w:val="20"/>
                <w:szCs w:val="20"/>
              </w:rPr>
              <w:t>.0</w:t>
            </w:r>
            <w:r>
              <w:rPr>
                <w:sz w:val="20"/>
                <w:szCs w:val="20"/>
              </w:rPr>
              <w:t>9</w:t>
            </w:r>
            <w:r w:rsidRPr="00A935AA">
              <w:rPr>
                <w:sz w:val="20"/>
                <w:szCs w:val="20"/>
              </w:rPr>
              <w:t>.201</w:t>
            </w:r>
            <w:r>
              <w:rPr>
                <w:sz w:val="20"/>
                <w:szCs w:val="20"/>
              </w:rPr>
              <w:t>4</w:t>
            </w:r>
            <w:r w:rsidR="00F677DC">
              <w:rPr>
                <w:sz w:val="20"/>
                <w:szCs w:val="20"/>
                <w:lang w:val="fr-CA"/>
              </w:rPr>
              <w:pict>
                <v:rect id="_x0000_i1042" style="width:108pt;height:1pt" o:hrpct="0" o:hralign="center" o:hrstd="t" o:hrnoshade="t" o:hr="t" fillcolor="black [3213]" stroked="f"/>
              </w:pict>
            </w:r>
          </w:p>
        </w:tc>
        <w:tc>
          <w:tcPr>
            <w:tcW w:w="1181" w:type="dxa"/>
            <w:shd w:val="clear" w:color="auto" w:fill="auto"/>
          </w:tcPr>
          <w:p w:rsidR="001B1027" w:rsidRDefault="001B1027" w:rsidP="00242AEE">
            <w:pPr>
              <w:jc w:val="center"/>
              <w:rPr>
                <w:sz w:val="20"/>
                <w:szCs w:val="20"/>
              </w:rPr>
            </w:pPr>
          </w:p>
          <w:p w:rsidR="001B1027" w:rsidRDefault="001B1027" w:rsidP="00242AEE">
            <w:pPr>
              <w:jc w:val="center"/>
              <w:rPr>
                <w:sz w:val="20"/>
                <w:szCs w:val="20"/>
              </w:rPr>
            </w:pPr>
          </w:p>
          <w:p w:rsidR="001B1027" w:rsidRDefault="001B1027" w:rsidP="00242AEE">
            <w:pPr>
              <w:jc w:val="center"/>
              <w:rPr>
                <w:sz w:val="20"/>
                <w:szCs w:val="20"/>
              </w:rPr>
            </w:pPr>
          </w:p>
          <w:p w:rsidR="001B1027" w:rsidRDefault="001B1027" w:rsidP="00242AEE">
            <w:pPr>
              <w:jc w:val="center"/>
              <w:rPr>
                <w:sz w:val="20"/>
                <w:szCs w:val="20"/>
              </w:rPr>
            </w:pPr>
          </w:p>
          <w:p w:rsidR="001B1027" w:rsidRDefault="001B1027" w:rsidP="00242AEE">
            <w:pPr>
              <w:jc w:val="center"/>
              <w:rPr>
                <w:sz w:val="20"/>
                <w:szCs w:val="20"/>
              </w:rPr>
            </w:pPr>
          </w:p>
          <w:p w:rsidR="001B1027" w:rsidRDefault="001B1027" w:rsidP="00242AEE">
            <w:pPr>
              <w:jc w:val="center"/>
              <w:rPr>
                <w:sz w:val="20"/>
                <w:szCs w:val="20"/>
              </w:rPr>
            </w:pPr>
          </w:p>
          <w:p w:rsidR="001B1027" w:rsidRDefault="001B1027" w:rsidP="00242AEE">
            <w:pPr>
              <w:jc w:val="center"/>
              <w:rPr>
                <w:sz w:val="20"/>
                <w:szCs w:val="20"/>
              </w:rPr>
            </w:pPr>
          </w:p>
          <w:p w:rsidR="001B1027" w:rsidRDefault="001B1027" w:rsidP="00242AEE">
            <w:pPr>
              <w:jc w:val="center"/>
              <w:rPr>
                <w:sz w:val="20"/>
                <w:szCs w:val="20"/>
              </w:rPr>
            </w:pPr>
          </w:p>
          <w:p w:rsidR="001B1027" w:rsidRDefault="001B1027" w:rsidP="00242AEE">
            <w:pPr>
              <w:jc w:val="center"/>
              <w:rPr>
                <w:sz w:val="20"/>
                <w:szCs w:val="20"/>
              </w:rPr>
            </w:pPr>
          </w:p>
          <w:p w:rsidR="001B1027" w:rsidRDefault="001B1027" w:rsidP="00242AEE">
            <w:pPr>
              <w:jc w:val="center"/>
              <w:rPr>
                <w:sz w:val="20"/>
                <w:szCs w:val="20"/>
              </w:rPr>
            </w:pPr>
          </w:p>
          <w:p w:rsidR="001B1027" w:rsidRDefault="001B1027" w:rsidP="00242AEE">
            <w:pPr>
              <w:jc w:val="center"/>
              <w:rPr>
                <w:sz w:val="20"/>
                <w:szCs w:val="20"/>
              </w:rPr>
            </w:pPr>
          </w:p>
          <w:p w:rsidR="001B1027" w:rsidRDefault="001B1027" w:rsidP="00242AEE">
            <w:pPr>
              <w:jc w:val="center"/>
              <w:rPr>
                <w:sz w:val="20"/>
                <w:szCs w:val="20"/>
              </w:rPr>
            </w:pPr>
          </w:p>
          <w:p w:rsidR="001B1027" w:rsidRPr="00A935AA" w:rsidRDefault="001B1027" w:rsidP="00242AEE">
            <w:pPr>
              <w:jc w:val="center"/>
              <w:rPr>
                <w:sz w:val="20"/>
                <w:szCs w:val="20"/>
              </w:rPr>
            </w:pPr>
          </w:p>
        </w:tc>
        <w:tc>
          <w:tcPr>
            <w:tcW w:w="4320" w:type="dxa"/>
            <w:shd w:val="clear" w:color="auto" w:fill="auto"/>
          </w:tcPr>
          <w:p w:rsidR="001B1027" w:rsidRDefault="001B1027" w:rsidP="00AE41EE">
            <w:pPr>
              <w:rPr>
                <w:b/>
                <w:sz w:val="20"/>
                <w:szCs w:val="20"/>
              </w:rPr>
            </w:pPr>
          </w:p>
          <w:p w:rsidR="001B1027" w:rsidRPr="00A935AA" w:rsidRDefault="001B1027" w:rsidP="00AE41EE">
            <w:pPr>
              <w:rPr>
                <w:b/>
                <w:sz w:val="20"/>
                <w:szCs w:val="20"/>
              </w:rPr>
            </w:pPr>
            <w:r>
              <w:rPr>
                <w:b/>
                <w:sz w:val="20"/>
                <w:szCs w:val="20"/>
              </w:rPr>
              <w:t>Insurance Corporation of British Columbia</w:t>
            </w:r>
          </w:p>
          <w:p w:rsidR="001B1027" w:rsidRPr="00A935AA" w:rsidRDefault="001B1027" w:rsidP="00AE41EE">
            <w:pPr>
              <w:tabs>
                <w:tab w:val="left" w:pos="-1440"/>
                <w:tab w:val="left" w:pos="-720"/>
              </w:tabs>
              <w:rPr>
                <w:sz w:val="20"/>
                <w:szCs w:val="20"/>
              </w:rPr>
            </w:pPr>
            <w:r w:rsidRPr="00A935AA">
              <w:rPr>
                <w:sz w:val="20"/>
                <w:szCs w:val="20"/>
              </w:rPr>
              <w:tab/>
            </w:r>
            <w:r>
              <w:rPr>
                <w:sz w:val="20"/>
                <w:szCs w:val="20"/>
              </w:rPr>
              <w:t>Timothy Lo</w:t>
            </w:r>
          </w:p>
          <w:p w:rsidR="001B1027" w:rsidRPr="00A935AA" w:rsidRDefault="001B1027" w:rsidP="00AE41EE">
            <w:pPr>
              <w:tabs>
                <w:tab w:val="left" w:pos="-1440"/>
                <w:tab w:val="left" w:pos="-720"/>
              </w:tabs>
              <w:rPr>
                <w:sz w:val="20"/>
                <w:szCs w:val="20"/>
              </w:rPr>
            </w:pPr>
            <w:r w:rsidRPr="00A935AA">
              <w:rPr>
                <w:sz w:val="20"/>
                <w:szCs w:val="20"/>
              </w:rPr>
              <w:tab/>
            </w:r>
            <w:r>
              <w:rPr>
                <w:sz w:val="20"/>
                <w:szCs w:val="20"/>
              </w:rPr>
              <w:t>Smart &amp; Biggar</w:t>
            </w:r>
          </w:p>
          <w:p w:rsidR="001B1027" w:rsidRPr="00A935AA" w:rsidRDefault="001B1027" w:rsidP="00AE41EE">
            <w:pPr>
              <w:tabs>
                <w:tab w:val="left" w:pos="-1440"/>
                <w:tab w:val="left" w:pos="-720"/>
              </w:tabs>
              <w:rPr>
                <w:sz w:val="20"/>
                <w:szCs w:val="20"/>
              </w:rPr>
            </w:pPr>
          </w:p>
          <w:p w:rsidR="001B1027" w:rsidRPr="00A935AA" w:rsidRDefault="001B1027" w:rsidP="00AE41EE">
            <w:pPr>
              <w:tabs>
                <w:tab w:val="left" w:pos="-1440"/>
                <w:tab w:val="left" w:pos="-720"/>
              </w:tabs>
              <w:rPr>
                <w:sz w:val="20"/>
                <w:szCs w:val="20"/>
              </w:rPr>
            </w:pPr>
            <w:r w:rsidRPr="00A935AA">
              <w:rPr>
                <w:sz w:val="20"/>
                <w:szCs w:val="20"/>
              </w:rPr>
              <w:tab/>
              <w:t>v. (3</w:t>
            </w:r>
            <w:r>
              <w:rPr>
                <w:sz w:val="20"/>
                <w:szCs w:val="20"/>
              </w:rPr>
              <w:t>6102</w:t>
            </w:r>
            <w:r w:rsidRPr="00A935AA">
              <w:rPr>
                <w:sz w:val="20"/>
                <w:szCs w:val="20"/>
              </w:rPr>
              <w:t>)</w:t>
            </w:r>
          </w:p>
          <w:p w:rsidR="001B1027" w:rsidRPr="00A935AA" w:rsidRDefault="001B1027" w:rsidP="00AE41EE">
            <w:pPr>
              <w:tabs>
                <w:tab w:val="left" w:pos="-1440"/>
                <w:tab w:val="left" w:pos="-720"/>
              </w:tabs>
              <w:rPr>
                <w:sz w:val="20"/>
                <w:szCs w:val="20"/>
              </w:rPr>
            </w:pPr>
          </w:p>
          <w:p w:rsidR="001B1027" w:rsidRPr="00B8316E" w:rsidRDefault="001B1027" w:rsidP="00AE41EE">
            <w:pPr>
              <w:tabs>
                <w:tab w:val="left" w:pos="-1440"/>
                <w:tab w:val="left" w:pos="-720"/>
              </w:tabs>
              <w:rPr>
                <w:b/>
                <w:sz w:val="20"/>
                <w:szCs w:val="20"/>
              </w:rPr>
            </w:pPr>
            <w:r w:rsidRPr="00B8316E">
              <w:rPr>
                <w:b/>
                <w:sz w:val="20"/>
                <w:szCs w:val="20"/>
              </w:rPr>
              <w:t>Stainton Ventures Ltd. (B.C.)</w:t>
            </w:r>
          </w:p>
          <w:p w:rsidR="001B1027" w:rsidRPr="00020CE4" w:rsidRDefault="001B1027" w:rsidP="00AE41EE">
            <w:pPr>
              <w:tabs>
                <w:tab w:val="left" w:pos="-1440"/>
                <w:tab w:val="left" w:pos="-720"/>
              </w:tabs>
              <w:rPr>
                <w:sz w:val="20"/>
                <w:szCs w:val="20"/>
              </w:rPr>
            </w:pPr>
            <w:r w:rsidRPr="00B8316E">
              <w:rPr>
                <w:sz w:val="20"/>
                <w:szCs w:val="20"/>
              </w:rPr>
              <w:tab/>
            </w:r>
            <w:r w:rsidRPr="00020CE4">
              <w:rPr>
                <w:sz w:val="20"/>
                <w:szCs w:val="20"/>
              </w:rPr>
              <w:t>Wesley D. Mussio</w:t>
            </w:r>
          </w:p>
          <w:p w:rsidR="001B1027" w:rsidRPr="00020CE4" w:rsidRDefault="001B1027" w:rsidP="00AE41EE">
            <w:pPr>
              <w:tabs>
                <w:tab w:val="left" w:pos="-1440"/>
                <w:tab w:val="left" w:pos="-720"/>
              </w:tabs>
              <w:rPr>
                <w:sz w:val="20"/>
                <w:szCs w:val="20"/>
              </w:rPr>
            </w:pPr>
            <w:r w:rsidRPr="00020CE4">
              <w:rPr>
                <w:sz w:val="20"/>
                <w:szCs w:val="20"/>
              </w:rPr>
              <w:tab/>
              <w:t>Mussio Law Group</w:t>
            </w:r>
          </w:p>
          <w:p w:rsidR="001B1027" w:rsidRPr="00020CE4" w:rsidRDefault="001B1027" w:rsidP="00AE41EE">
            <w:pPr>
              <w:tabs>
                <w:tab w:val="left" w:pos="-1440"/>
                <w:tab w:val="left" w:pos="-720"/>
              </w:tabs>
              <w:rPr>
                <w:sz w:val="20"/>
                <w:szCs w:val="20"/>
              </w:rPr>
            </w:pPr>
          </w:p>
          <w:p w:rsidR="001B1027" w:rsidRPr="00A935AA" w:rsidRDefault="001B1027" w:rsidP="00020CE4">
            <w:pPr>
              <w:rPr>
                <w:sz w:val="20"/>
                <w:szCs w:val="20"/>
              </w:rPr>
            </w:pPr>
            <w:r w:rsidRPr="00A935AA">
              <w:rPr>
                <w:sz w:val="20"/>
                <w:szCs w:val="20"/>
              </w:rPr>
              <w:t>FILING DATE: 2</w:t>
            </w:r>
            <w:r>
              <w:rPr>
                <w:sz w:val="20"/>
                <w:szCs w:val="20"/>
              </w:rPr>
              <w:t>9</w:t>
            </w:r>
            <w:r w:rsidRPr="00A935AA">
              <w:rPr>
                <w:sz w:val="20"/>
                <w:szCs w:val="20"/>
              </w:rPr>
              <w:t>.0</w:t>
            </w:r>
            <w:r>
              <w:rPr>
                <w:sz w:val="20"/>
                <w:szCs w:val="20"/>
              </w:rPr>
              <w:t>9</w:t>
            </w:r>
            <w:r w:rsidRPr="00A935AA">
              <w:rPr>
                <w:sz w:val="20"/>
                <w:szCs w:val="20"/>
              </w:rPr>
              <w:t>.201</w:t>
            </w:r>
            <w:r>
              <w:rPr>
                <w:sz w:val="20"/>
                <w:szCs w:val="20"/>
              </w:rPr>
              <w:t>4</w:t>
            </w:r>
            <w:r w:rsidR="00F677DC">
              <w:rPr>
                <w:sz w:val="20"/>
                <w:szCs w:val="20"/>
                <w:lang w:val="fr-CA"/>
              </w:rPr>
              <w:pict>
                <v:rect id="_x0000_i1043" style="width:108pt;height:1pt" o:hrpct="0" o:hralign="center" o:hrstd="t" o:hrnoshade="t" o:hr="t" fillcolor="black [3213]" stroked="f"/>
              </w:pict>
            </w:r>
          </w:p>
        </w:tc>
      </w:tr>
      <w:tr w:rsidR="001B1027" w:rsidRPr="00A935AA" w:rsidTr="003B3977">
        <w:trPr>
          <w:cantSplit/>
        </w:trPr>
        <w:tc>
          <w:tcPr>
            <w:tcW w:w="4320" w:type="dxa"/>
            <w:shd w:val="clear" w:color="auto" w:fill="auto"/>
          </w:tcPr>
          <w:p w:rsidR="001B1027" w:rsidRPr="00B54C39" w:rsidRDefault="001B1027" w:rsidP="00AE41EE">
            <w:pPr>
              <w:rPr>
                <w:b/>
                <w:sz w:val="20"/>
                <w:szCs w:val="20"/>
                <w:lang w:val="fr-CA"/>
              </w:rPr>
            </w:pPr>
            <w:r w:rsidRPr="00B54C39">
              <w:rPr>
                <w:b/>
                <w:sz w:val="20"/>
                <w:szCs w:val="20"/>
                <w:lang w:val="fr-CA"/>
              </w:rPr>
              <w:t>Gandhi Jean Pierre</w:t>
            </w:r>
          </w:p>
          <w:p w:rsidR="001B1027" w:rsidRPr="00B54C39" w:rsidRDefault="001B1027" w:rsidP="00AE41EE">
            <w:pPr>
              <w:tabs>
                <w:tab w:val="left" w:pos="-1440"/>
                <w:tab w:val="left" w:pos="-720"/>
              </w:tabs>
              <w:rPr>
                <w:sz w:val="20"/>
                <w:szCs w:val="20"/>
                <w:lang w:val="fr-CA"/>
              </w:rPr>
            </w:pPr>
            <w:r w:rsidRPr="00B54C39">
              <w:rPr>
                <w:sz w:val="20"/>
                <w:szCs w:val="20"/>
                <w:lang w:val="fr-CA"/>
              </w:rPr>
              <w:tab/>
              <w:t>Gandhi Jean Pierre</w:t>
            </w:r>
          </w:p>
          <w:p w:rsidR="001B1027" w:rsidRPr="00B54C39" w:rsidRDefault="001B1027" w:rsidP="00AE41EE">
            <w:pPr>
              <w:tabs>
                <w:tab w:val="left" w:pos="-1440"/>
                <w:tab w:val="left" w:pos="-720"/>
              </w:tabs>
              <w:rPr>
                <w:sz w:val="20"/>
                <w:szCs w:val="20"/>
                <w:lang w:val="fr-CA"/>
              </w:rPr>
            </w:pPr>
          </w:p>
          <w:p w:rsidR="001B1027" w:rsidRPr="00B54C39" w:rsidRDefault="001B1027" w:rsidP="00AE41EE">
            <w:pPr>
              <w:tabs>
                <w:tab w:val="left" w:pos="-1440"/>
                <w:tab w:val="left" w:pos="-720"/>
              </w:tabs>
              <w:rPr>
                <w:sz w:val="20"/>
                <w:szCs w:val="20"/>
                <w:lang w:val="fr-CA"/>
              </w:rPr>
            </w:pPr>
            <w:r w:rsidRPr="00B54C39">
              <w:rPr>
                <w:sz w:val="20"/>
                <w:szCs w:val="20"/>
                <w:lang w:val="fr-CA"/>
              </w:rPr>
              <w:tab/>
            </w:r>
            <w:r>
              <w:rPr>
                <w:sz w:val="20"/>
                <w:szCs w:val="20"/>
                <w:lang w:val="fr-CA"/>
              </w:rPr>
              <w:t>c</w:t>
            </w:r>
            <w:r w:rsidRPr="00B54C39">
              <w:rPr>
                <w:sz w:val="20"/>
                <w:szCs w:val="20"/>
                <w:lang w:val="fr-CA"/>
              </w:rPr>
              <w:t>. (36110)</w:t>
            </w:r>
          </w:p>
          <w:p w:rsidR="001B1027" w:rsidRPr="00B54C39" w:rsidRDefault="001B1027" w:rsidP="00AE41EE">
            <w:pPr>
              <w:tabs>
                <w:tab w:val="left" w:pos="-1440"/>
                <w:tab w:val="left" w:pos="-720"/>
              </w:tabs>
              <w:rPr>
                <w:sz w:val="20"/>
                <w:szCs w:val="20"/>
                <w:lang w:val="fr-CA"/>
              </w:rPr>
            </w:pPr>
          </w:p>
          <w:p w:rsidR="001B1027" w:rsidRPr="00B54C39" w:rsidRDefault="001B1027" w:rsidP="00AE41EE">
            <w:pPr>
              <w:tabs>
                <w:tab w:val="left" w:pos="-1440"/>
                <w:tab w:val="left" w:pos="-720"/>
              </w:tabs>
              <w:rPr>
                <w:b/>
                <w:sz w:val="20"/>
                <w:szCs w:val="20"/>
                <w:lang w:val="fr-CA"/>
              </w:rPr>
            </w:pPr>
            <w:r>
              <w:rPr>
                <w:b/>
                <w:sz w:val="20"/>
                <w:szCs w:val="20"/>
                <w:lang w:val="fr-CA"/>
              </w:rPr>
              <w:t xml:space="preserve">Agence des services frontaliers du Canada </w:t>
            </w:r>
            <w:r w:rsidRPr="00B54C39">
              <w:rPr>
                <w:b/>
                <w:sz w:val="20"/>
                <w:szCs w:val="20"/>
                <w:lang w:val="fr-CA"/>
              </w:rPr>
              <w:t>(</w:t>
            </w:r>
            <w:r>
              <w:rPr>
                <w:b/>
                <w:sz w:val="20"/>
                <w:szCs w:val="20"/>
                <w:lang w:val="fr-CA"/>
              </w:rPr>
              <w:t>C</w:t>
            </w:r>
            <w:r w:rsidRPr="00B54C39">
              <w:rPr>
                <w:b/>
                <w:sz w:val="20"/>
                <w:szCs w:val="20"/>
                <w:lang w:val="fr-CA"/>
              </w:rPr>
              <w:t>.</w:t>
            </w:r>
            <w:r>
              <w:rPr>
                <w:b/>
                <w:sz w:val="20"/>
                <w:szCs w:val="20"/>
                <w:lang w:val="fr-CA"/>
              </w:rPr>
              <w:t>F.</w:t>
            </w:r>
            <w:r w:rsidRPr="00B54C39">
              <w:rPr>
                <w:b/>
                <w:sz w:val="20"/>
                <w:szCs w:val="20"/>
                <w:lang w:val="fr-CA"/>
              </w:rPr>
              <w:t>)</w:t>
            </w:r>
          </w:p>
          <w:p w:rsidR="001B1027" w:rsidRPr="00B54C39" w:rsidRDefault="001B1027" w:rsidP="00AE41EE">
            <w:pPr>
              <w:tabs>
                <w:tab w:val="left" w:pos="-1440"/>
                <w:tab w:val="left" w:pos="-720"/>
              </w:tabs>
              <w:rPr>
                <w:sz w:val="20"/>
                <w:szCs w:val="20"/>
              </w:rPr>
            </w:pPr>
            <w:r w:rsidRPr="00B54C39">
              <w:rPr>
                <w:sz w:val="20"/>
                <w:szCs w:val="20"/>
                <w:lang w:val="fr-CA"/>
              </w:rPr>
              <w:tab/>
            </w:r>
            <w:r w:rsidRPr="00B54C39">
              <w:rPr>
                <w:sz w:val="20"/>
                <w:szCs w:val="20"/>
              </w:rPr>
              <w:t>Léa Bou Karam</w:t>
            </w:r>
          </w:p>
          <w:p w:rsidR="001B1027" w:rsidRPr="00B54C39" w:rsidRDefault="001B1027" w:rsidP="00AE41EE">
            <w:pPr>
              <w:tabs>
                <w:tab w:val="left" w:pos="-1440"/>
                <w:tab w:val="left" w:pos="-720"/>
              </w:tabs>
              <w:rPr>
                <w:sz w:val="20"/>
                <w:szCs w:val="20"/>
              </w:rPr>
            </w:pPr>
            <w:r w:rsidRPr="00B54C39">
              <w:rPr>
                <w:sz w:val="20"/>
                <w:szCs w:val="20"/>
              </w:rPr>
              <w:tab/>
              <w:t>Treasury Board of Canada</w:t>
            </w:r>
          </w:p>
          <w:p w:rsidR="001B1027" w:rsidRPr="00B54C39" w:rsidRDefault="001B1027" w:rsidP="00AE41EE">
            <w:pPr>
              <w:tabs>
                <w:tab w:val="left" w:pos="-1440"/>
                <w:tab w:val="left" w:pos="-720"/>
              </w:tabs>
              <w:rPr>
                <w:sz w:val="20"/>
                <w:szCs w:val="20"/>
              </w:rPr>
            </w:pPr>
          </w:p>
          <w:p w:rsidR="001B1027" w:rsidRPr="00B54C39" w:rsidRDefault="001B1027" w:rsidP="00AE41EE">
            <w:pPr>
              <w:rPr>
                <w:sz w:val="20"/>
                <w:szCs w:val="20"/>
                <w:lang w:val="fr-CA"/>
              </w:rPr>
            </w:pPr>
            <w:r>
              <w:rPr>
                <w:sz w:val="20"/>
                <w:szCs w:val="20"/>
                <w:lang w:val="fr-CA"/>
              </w:rPr>
              <w:t>DATE DE PRODUCTION : 29</w:t>
            </w:r>
            <w:r w:rsidRPr="00806A5B">
              <w:rPr>
                <w:sz w:val="20"/>
                <w:szCs w:val="20"/>
                <w:lang w:val="fr-CA"/>
              </w:rPr>
              <w:t>.0</w:t>
            </w:r>
            <w:r>
              <w:rPr>
                <w:sz w:val="20"/>
                <w:szCs w:val="20"/>
                <w:lang w:val="fr-CA"/>
              </w:rPr>
              <w:t>9</w:t>
            </w:r>
            <w:r w:rsidRPr="00806A5B">
              <w:rPr>
                <w:sz w:val="20"/>
                <w:szCs w:val="20"/>
                <w:lang w:val="fr-CA"/>
              </w:rPr>
              <w:t>.2014</w:t>
            </w:r>
            <w:r w:rsidR="00F677DC">
              <w:rPr>
                <w:sz w:val="20"/>
                <w:szCs w:val="20"/>
                <w:lang w:val="fr-CA"/>
              </w:rPr>
              <w:pict>
                <v:rect id="_x0000_i1044" style="width:108pt;height:1pt" o:hrpct="0" o:hralign="center" o:hrstd="t" o:hrnoshade="t" o:hr="t" fillcolor="black [3213]" stroked="f"/>
              </w:pict>
            </w:r>
          </w:p>
        </w:tc>
        <w:tc>
          <w:tcPr>
            <w:tcW w:w="1181" w:type="dxa"/>
            <w:shd w:val="clear" w:color="auto" w:fill="auto"/>
          </w:tcPr>
          <w:p w:rsidR="001B1027" w:rsidRPr="00B54C39" w:rsidRDefault="001B1027" w:rsidP="00242AEE">
            <w:pPr>
              <w:jc w:val="center"/>
              <w:rPr>
                <w:sz w:val="20"/>
                <w:szCs w:val="20"/>
                <w:lang w:val="fr-CA"/>
              </w:rPr>
            </w:pPr>
          </w:p>
          <w:p w:rsidR="001B1027" w:rsidRPr="00B54C39" w:rsidRDefault="001B1027" w:rsidP="00242AEE">
            <w:pPr>
              <w:jc w:val="center"/>
              <w:rPr>
                <w:sz w:val="20"/>
                <w:szCs w:val="20"/>
                <w:lang w:val="fr-CA"/>
              </w:rPr>
            </w:pPr>
          </w:p>
          <w:p w:rsidR="001B1027" w:rsidRPr="00B54C39" w:rsidRDefault="001B1027" w:rsidP="00242AEE">
            <w:pPr>
              <w:jc w:val="center"/>
              <w:rPr>
                <w:sz w:val="20"/>
                <w:szCs w:val="20"/>
                <w:lang w:val="fr-CA"/>
              </w:rPr>
            </w:pPr>
          </w:p>
          <w:p w:rsidR="001B1027" w:rsidRPr="00B54C39" w:rsidRDefault="001B1027" w:rsidP="00242AEE">
            <w:pPr>
              <w:jc w:val="center"/>
              <w:rPr>
                <w:sz w:val="20"/>
                <w:szCs w:val="20"/>
                <w:lang w:val="fr-CA"/>
              </w:rPr>
            </w:pPr>
          </w:p>
          <w:p w:rsidR="001B1027" w:rsidRPr="00B54C39" w:rsidRDefault="001B1027" w:rsidP="00242AEE">
            <w:pPr>
              <w:jc w:val="center"/>
              <w:rPr>
                <w:sz w:val="20"/>
                <w:szCs w:val="20"/>
                <w:lang w:val="fr-CA"/>
              </w:rPr>
            </w:pPr>
          </w:p>
          <w:p w:rsidR="001B1027" w:rsidRPr="00B54C39" w:rsidRDefault="001B1027" w:rsidP="00242AEE">
            <w:pPr>
              <w:jc w:val="center"/>
              <w:rPr>
                <w:sz w:val="20"/>
                <w:szCs w:val="20"/>
                <w:lang w:val="fr-CA"/>
              </w:rPr>
            </w:pPr>
          </w:p>
          <w:p w:rsidR="001B1027" w:rsidRPr="00B54C39" w:rsidRDefault="001B1027" w:rsidP="00242AEE">
            <w:pPr>
              <w:jc w:val="center"/>
              <w:rPr>
                <w:sz w:val="20"/>
                <w:szCs w:val="20"/>
                <w:lang w:val="fr-CA"/>
              </w:rPr>
            </w:pPr>
          </w:p>
          <w:p w:rsidR="001B1027" w:rsidRPr="00B54C39" w:rsidRDefault="001B1027" w:rsidP="00242AEE">
            <w:pPr>
              <w:jc w:val="center"/>
              <w:rPr>
                <w:sz w:val="20"/>
                <w:szCs w:val="20"/>
                <w:lang w:val="fr-CA"/>
              </w:rPr>
            </w:pPr>
          </w:p>
          <w:p w:rsidR="001B1027" w:rsidRPr="00B54C39" w:rsidRDefault="001B1027" w:rsidP="00242AEE">
            <w:pPr>
              <w:jc w:val="center"/>
              <w:rPr>
                <w:sz w:val="20"/>
                <w:szCs w:val="20"/>
                <w:lang w:val="fr-CA"/>
              </w:rPr>
            </w:pPr>
          </w:p>
          <w:p w:rsidR="001B1027" w:rsidRPr="00B54C39" w:rsidRDefault="001B1027" w:rsidP="00242AEE">
            <w:pPr>
              <w:jc w:val="center"/>
              <w:rPr>
                <w:sz w:val="20"/>
                <w:szCs w:val="20"/>
                <w:lang w:val="fr-CA"/>
              </w:rPr>
            </w:pPr>
          </w:p>
          <w:p w:rsidR="001B1027" w:rsidRPr="00B54C39" w:rsidRDefault="001B1027" w:rsidP="00242AEE">
            <w:pPr>
              <w:jc w:val="center"/>
              <w:rPr>
                <w:sz w:val="20"/>
                <w:szCs w:val="20"/>
                <w:lang w:val="fr-CA"/>
              </w:rPr>
            </w:pPr>
          </w:p>
          <w:p w:rsidR="001B1027" w:rsidRPr="00B54C39" w:rsidRDefault="001B1027" w:rsidP="00242AEE">
            <w:pPr>
              <w:jc w:val="center"/>
              <w:rPr>
                <w:sz w:val="20"/>
                <w:szCs w:val="20"/>
                <w:lang w:val="fr-CA"/>
              </w:rPr>
            </w:pPr>
          </w:p>
          <w:p w:rsidR="001B1027" w:rsidRPr="00B54C39" w:rsidRDefault="001B1027" w:rsidP="00242AEE">
            <w:pPr>
              <w:jc w:val="center"/>
              <w:rPr>
                <w:sz w:val="20"/>
                <w:szCs w:val="20"/>
                <w:lang w:val="fr-CA"/>
              </w:rPr>
            </w:pPr>
          </w:p>
        </w:tc>
        <w:tc>
          <w:tcPr>
            <w:tcW w:w="4320" w:type="dxa"/>
            <w:shd w:val="clear" w:color="auto" w:fill="auto"/>
          </w:tcPr>
          <w:p w:rsidR="001B1027" w:rsidRPr="00185470" w:rsidRDefault="001B1027" w:rsidP="00795A83">
            <w:pPr>
              <w:rPr>
                <w:b/>
                <w:sz w:val="20"/>
                <w:szCs w:val="20"/>
              </w:rPr>
            </w:pPr>
          </w:p>
          <w:p w:rsidR="001B1027" w:rsidRPr="00CA55F9" w:rsidRDefault="001B1027" w:rsidP="00795A83">
            <w:pPr>
              <w:rPr>
                <w:b/>
                <w:sz w:val="20"/>
                <w:szCs w:val="20"/>
              </w:rPr>
            </w:pPr>
            <w:r w:rsidRPr="00CA55F9">
              <w:rPr>
                <w:b/>
                <w:sz w:val="20"/>
                <w:szCs w:val="20"/>
              </w:rPr>
              <w:t>Minister of Justice</w:t>
            </w:r>
            <w:r>
              <w:rPr>
                <w:b/>
                <w:sz w:val="20"/>
                <w:szCs w:val="20"/>
              </w:rPr>
              <w:t xml:space="preserve"> and Attorney General for Alberta</w:t>
            </w:r>
          </w:p>
          <w:p w:rsidR="001B1027" w:rsidRPr="00CA55F9" w:rsidRDefault="001B1027" w:rsidP="00795A83">
            <w:pPr>
              <w:tabs>
                <w:tab w:val="left" w:pos="-1440"/>
                <w:tab w:val="left" w:pos="-720"/>
              </w:tabs>
              <w:rPr>
                <w:sz w:val="20"/>
                <w:szCs w:val="20"/>
              </w:rPr>
            </w:pPr>
            <w:r w:rsidRPr="00CA55F9">
              <w:rPr>
                <w:sz w:val="20"/>
                <w:szCs w:val="20"/>
              </w:rPr>
              <w:tab/>
            </w:r>
            <w:r>
              <w:rPr>
                <w:sz w:val="20"/>
                <w:szCs w:val="20"/>
              </w:rPr>
              <w:t>Nancy A. McCurdy</w:t>
            </w:r>
          </w:p>
          <w:p w:rsidR="001B1027" w:rsidRPr="00CA55F9" w:rsidRDefault="001B1027" w:rsidP="00795A83">
            <w:pPr>
              <w:tabs>
                <w:tab w:val="left" w:pos="-1440"/>
                <w:tab w:val="left" w:pos="-720"/>
              </w:tabs>
              <w:rPr>
                <w:sz w:val="20"/>
                <w:szCs w:val="20"/>
              </w:rPr>
            </w:pPr>
            <w:r w:rsidRPr="00CA55F9">
              <w:rPr>
                <w:sz w:val="20"/>
                <w:szCs w:val="20"/>
              </w:rPr>
              <w:tab/>
            </w:r>
            <w:r>
              <w:rPr>
                <w:sz w:val="20"/>
                <w:szCs w:val="20"/>
              </w:rPr>
              <w:t>A.G. of Alberta</w:t>
            </w:r>
          </w:p>
          <w:p w:rsidR="001B1027" w:rsidRPr="00CA55F9" w:rsidRDefault="001B1027" w:rsidP="00795A83">
            <w:pPr>
              <w:tabs>
                <w:tab w:val="left" w:pos="-1440"/>
                <w:tab w:val="left" w:pos="-720"/>
              </w:tabs>
              <w:rPr>
                <w:sz w:val="20"/>
                <w:szCs w:val="20"/>
              </w:rPr>
            </w:pPr>
          </w:p>
          <w:p w:rsidR="001B1027" w:rsidRPr="00CA55F9" w:rsidRDefault="001B1027" w:rsidP="00795A83">
            <w:pPr>
              <w:tabs>
                <w:tab w:val="left" w:pos="-1440"/>
                <w:tab w:val="left" w:pos="-720"/>
              </w:tabs>
              <w:rPr>
                <w:sz w:val="20"/>
                <w:szCs w:val="20"/>
              </w:rPr>
            </w:pPr>
            <w:r w:rsidRPr="00CA55F9">
              <w:rPr>
                <w:sz w:val="20"/>
                <w:szCs w:val="20"/>
              </w:rPr>
              <w:tab/>
              <w:t>v. (3</w:t>
            </w:r>
            <w:r>
              <w:rPr>
                <w:sz w:val="20"/>
                <w:szCs w:val="20"/>
              </w:rPr>
              <w:t>6105</w:t>
            </w:r>
            <w:r w:rsidRPr="00CA55F9">
              <w:rPr>
                <w:sz w:val="20"/>
                <w:szCs w:val="20"/>
              </w:rPr>
              <w:t>)</w:t>
            </w:r>
          </w:p>
          <w:p w:rsidR="001B1027" w:rsidRPr="00CA55F9" w:rsidRDefault="001B1027" w:rsidP="00795A83">
            <w:pPr>
              <w:tabs>
                <w:tab w:val="left" w:pos="-1440"/>
                <w:tab w:val="left" w:pos="-720"/>
              </w:tabs>
              <w:rPr>
                <w:sz w:val="20"/>
                <w:szCs w:val="20"/>
              </w:rPr>
            </w:pPr>
          </w:p>
          <w:p w:rsidR="001B1027" w:rsidRPr="00CA55F9" w:rsidRDefault="001B1027" w:rsidP="00795A83">
            <w:pPr>
              <w:tabs>
                <w:tab w:val="left" w:pos="-1440"/>
                <w:tab w:val="left" w:pos="-720"/>
              </w:tabs>
              <w:rPr>
                <w:b/>
                <w:sz w:val="20"/>
                <w:szCs w:val="20"/>
              </w:rPr>
            </w:pPr>
            <w:r>
              <w:rPr>
                <w:b/>
                <w:sz w:val="20"/>
                <w:szCs w:val="20"/>
              </w:rPr>
              <w:t>Heng Kiet Kouch</w:t>
            </w:r>
            <w:r w:rsidR="008E7B8C">
              <w:rPr>
                <w:b/>
                <w:sz w:val="20"/>
                <w:szCs w:val="20"/>
              </w:rPr>
              <w:t xml:space="preserve"> </w:t>
            </w:r>
            <w:r w:rsidRPr="00CA55F9">
              <w:rPr>
                <w:b/>
                <w:sz w:val="20"/>
                <w:szCs w:val="20"/>
              </w:rPr>
              <w:t>(</w:t>
            </w:r>
            <w:r>
              <w:rPr>
                <w:b/>
                <w:sz w:val="20"/>
                <w:szCs w:val="20"/>
              </w:rPr>
              <w:t>Al</w:t>
            </w:r>
            <w:r w:rsidRPr="00CA55F9">
              <w:rPr>
                <w:b/>
                <w:sz w:val="20"/>
                <w:szCs w:val="20"/>
              </w:rPr>
              <w:t>t</w:t>
            </w:r>
            <w:r>
              <w:rPr>
                <w:b/>
                <w:sz w:val="20"/>
                <w:szCs w:val="20"/>
              </w:rPr>
              <w:t>a</w:t>
            </w:r>
            <w:r w:rsidRPr="00CA55F9">
              <w:rPr>
                <w:b/>
                <w:sz w:val="20"/>
                <w:szCs w:val="20"/>
              </w:rPr>
              <w:t>.)</w:t>
            </w:r>
          </w:p>
          <w:p w:rsidR="001B1027" w:rsidRPr="00CA55F9" w:rsidRDefault="001B1027" w:rsidP="00795A83">
            <w:pPr>
              <w:tabs>
                <w:tab w:val="left" w:pos="-1440"/>
                <w:tab w:val="left" w:pos="-720"/>
              </w:tabs>
              <w:rPr>
                <w:sz w:val="20"/>
                <w:szCs w:val="20"/>
              </w:rPr>
            </w:pPr>
            <w:r w:rsidRPr="00CA55F9">
              <w:rPr>
                <w:sz w:val="20"/>
                <w:szCs w:val="20"/>
              </w:rPr>
              <w:tab/>
            </w:r>
            <w:r>
              <w:rPr>
                <w:sz w:val="20"/>
                <w:szCs w:val="20"/>
              </w:rPr>
              <w:t>Karen B. Molle</w:t>
            </w:r>
          </w:p>
          <w:p w:rsidR="001B1027" w:rsidRPr="00CA55F9" w:rsidRDefault="001B1027" w:rsidP="00795A83">
            <w:pPr>
              <w:tabs>
                <w:tab w:val="left" w:pos="-1440"/>
                <w:tab w:val="left" w:pos="-720"/>
              </w:tabs>
              <w:rPr>
                <w:sz w:val="20"/>
                <w:szCs w:val="20"/>
              </w:rPr>
            </w:pPr>
          </w:p>
          <w:p w:rsidR="001B1027" w:rsidRPr="00CA55F9" w:rsidRDefault="001B1027" w:rsidP="00CA55F9">
            <w:pPr>
              <w:rPr>
                <w:sz w:val="20"/>
                <w:szCs w:val="20"/>
              </w:rPr>
            </w:pPr>
            <w:r w:rsidRPr="00CA55F9">
              <w:rPr>
                <w:sz w:val="20"/>
                <w:szCs w:val="20"/>
              </w:rPr>
              <w:t>FILING DATE: 2</w:t>
            </w:r>
            <w:r>
              <w:rPr>
                <w:sz w:val="20"/>
                <w:szCs w:val="20"/>
              </w:rPr>
              <w:t>9</w:t>
            </w:r>
            <w:r w:rsidRPr="00CA55F9">
              <w:rPr>
                <w:sz w:val="20"/>
                <w:szCs w:val="20"/>
              </w:rPr>
              <w:t>.0</w:t>
            </w:r>
            <w:r>
              <w:rPr>
                <w:sz w:val="20"/>
                <w:szCs w:val="20"/>
              </w:rPr>
              <w:t>9</w:t>
            </w:r>
            <w:r w:rsidRPr="00CA55F9">
              <w:rPr>
                <w:sz w:val="20"/>
                <w:szCs w:val="20"/>
              </w:rPr>
              <w:t>.2014</w:t>
            </w:r>
            <w:r w:rsidR="00F677DC">
              <w:rPr>
                <w:sz w:val="20"/>
                <w:szCs w:val="20"/>
                <w:lang w:val="fr-CA"/>
              </w:rPr>
              <w:pict>
                <v:rect id="_x0000_i1045" style="width:108pt;height:1pt" o:hrpct="0" o:hralign="center" o:hrstd="t" o:hrnoshade="t" o:hr="t" fillcolor="black [3213]" stroked="f"/>
              </w:pict>
            </w:r>
          </w:p>
        </w:tc>
      </w:tr>
      <w:tr w:rsidR="001B1027" w:rsidRPr="00D43EF2" w:rsidTr="003B3977">
        <w:trPr>
          <w:cantSplit/>
        </w:trPr>
        <w:tc>
          <w:tcPr>
            <w:tcW w:w="4320" w:type="dxa"/>
            <w:shd w:val="clear" w:color="auto" w:fill="auto"/>
          </w:tcPr>
          <w:p w:rsidR="001B1027" w:rsidRPr="00D43EF2" w:rsidRDefault="001B1027" w:rsidP="00AE41EE">
            <w:pPr>
              <w:rPr>
                <w:b/>
                <w:sz w:val="20"/>
                <w:szCs w:val="20"/>
                <w:lang w:val="fr-CA"/>
              </w:rPr>
            </w:pPr>
            <w:r w:rsidRPr="00D43EF2">
              <w:rPr>
                <w:b/>
                <w:sz w:val="20"/>
                <w:szCs w:val="20"/>
                <w:lang w:val="fr-CA"/>
              </w:rPr>
              <w:t>Ville de Lévis</w:t>
            </w:r>
          </w:p>
          <w:p w:rsidR="001B1027" w:rsidRPr="00D43EF2" w:rsidRDefault="001B1027" w:rsidP="00AE41EE">
            <w:pPr>
              <w:tabs>
                <w:tab w:val="left" w:pos="-1440"/>
                <w:tab w:val="left" w:pos="-720"/>
              </w:tabs>
              <w:rPr>
                <w:sz w:val="20"/>
                <w:szCs w:val="20"/>
                <w:lang w:val="fr-CA"/>
              </w:rPr>
            </w:pPr>
            <w:r w:rsidRPr="00D43EF2">
              <w:rPr>
                <w:sz w:val="20"/>
                <w:szCs w:val="20"/>
                <w:lang w:val="fr-CA"/>
              </w:rPr>
              <w:tab/>
            </w:r>
            <w:r>
              <w:rPr>
                <w:sz w:val="20"/>
                <w:szCs w:val="20"/>
                <w:lang w:val="fr-CA"/>
              </w:rPr>
              <w:t>Sylvain Lepage</w:t>
            </w:r>
          </w:p>
          <w:p w:rsidR="001B1027" w:rsidRPr="00D43EF2" w:rsidRDefault="001B1027" w:rsidP="00AE41EE">
            <w:pPr>
              <w:tabs>
                <w:tab w:val="left" w:pos="-1440"/>
                <w:tab w:val="left" w:pos="-720"/>
              </w:tabs>
              <w:rPr>
                <w:sz w:val="20"/>
                <w:szCs w:val="20"/>
                <w:lang w:val="fr-CA"/>
              </w:rPr>
            </w:pPr>
            <w:r w:rsidRPr="00D43EF2">
              <w:rPr>
                <w:sz w:val="20"/>
                <w:szCs w:val="20"/>
                <w:lang w:val="fr-CA"/>
              </w:rPr>
              <w:tab/>
            </w:r>
            <w:r>
              <w:rPr>
                <w:sz w:val="20"/>
                <w:szCs w:val="20"/>
                <w:lang w:val="fr-CA"/>
              </w:rPr>
              <w:t>Cain Lamarre Casgrain Wells</w:t>
            </w:r>
          </w:p>
          <w:p w:rsidR="001B1027" w:rsidRPr="00D43EF2" w:rsidRDefault="001B1027" w:rsidP="00AE41EE">
            <w:pPr>
              <w:tabs>
                <w:tab w:val="left" w:pos="-1440"/>
                <w:tab w:val="left" w:pos="-720"/>
              </w:tabs>
              <w:rPr>
                <w:sz w:val="20"/>
                <w:szCs w:val="20"/>
                <w:lang w:val="fr-CA"/>
              </w:rPr>
            </w:pPr>
          </w:p>
          <w:p w:rsidR="001B1027" w:rsidRPr="00D43EF2" w:rsidRDefault="001B1027" w:rsidP="00AE41EE">
            <w:pPr>
              <w:tabs>
                <w:tab w:val="left" w:pos="-1440"/>
                <w:tab w:val="left" w:pos="-720"/>
              </w:tabs>
              <w:rPr>
                <w:sz w:val="20"/>
                <w:szCs w:val="20"/>
                <w:lang w:val="fr-CA"/>
              </w:rPr>
            </w:pPr>
            <w:r w:rsidRPr="00D43EF2">
              <w:rPr>
                <w:sz w:val="20"/>
                <w:szCs w:val="20"/>
                <w:lang w:val="fr-CA"/>
              </w:rPr>
              <w:tab/>
              <w:t>c. (36106)</w:t>
            </w:r>
          </w:p>
          <w:p w:rsidR="001B1027" w:rsidRPr="00D43EF2" w:rsidRDefault="001B1027" w:rsidP="00AE41EE">
            <w:pPr>
              <w:tabs>
                <w:tab w:val="left" w:pos="-1440"/>
                <w:tab w:val="left" w:pos="-720"/>
              </w:tabs>
              <w:rPr>
                <w:sz w:val="20"/>
                <w:szCs w:val="20"/>
                <w:lang w:val="fr-CA"/>
              </w:rPr>
            </w:pPr>
          </w:p>
          <w:p w:rsidR="001B1027" w:rsidRPr="00D43EF2" w:rsidRDefault="001B1027" w:rsidP="00AE41EE">
            <w:pPr>
              <w:tabs>
                <w:tab w:val="left" w:pos="-1440"/>
                <w:tab w:val="left" w:pos="-720"/>
              </w:tabs>
              <w:rPr>
                <w:b/>
                <w:sz w:val="20"/>
                <w:szCs w:val="20"/>
                <w:lang w:val="fr-CA"/>
              </w:rPr>
            </w:pPr>
            <w:r w:rsidRPr="00D43EF2">
              <w:rPr>
                <w:b/>
                <w:sz w:val="20"/>
                <w:szCs w:val="20"/>
                <w:lang w:val="fr-CA"/>
              </w:rPr>
              <w:t>Fraternité des policie</w:t>
            </w:r>
            <w:r>
              <w:rPr>
                <w:b/>
                <w:sz w:val="20"/>
                <w:szCs w:val="20"/>
                <w:lang w:val="fr-CA"/>
              </w:rPr>
              <w:t>r</w:t>
            </w:r>
            <w:r w:rsidRPr="00D43EF2">
              <w:rPr>
                <w:b/>
                <w:sz w:val="20"/>
                <w:szCs w:val="20"/>
                <w:lang w:val="fr-CA"/>
              </w:rPr>
              <w:t>s de Lévis inc.</w:t>
            </w:r>
            <w:r>
              <w:rPr>
                <w:b/>
                <w:sz w:val="20"/>
                <w:szCs w:val="20"/>
                <w:lang w:val="fr-CA"/>
              </w:rPr>
              <w:t xml:space="preserve"> </w:t>
            </w:r>
            <w:r w:rsidRPr="00D43EF2">
              <w:rPr>
                <w:b/>
                <w:sz w:val="20"/>
                <w:szCs w:val="20"/>
                <w:lang w:val="fr-CA"/>
              </w:rPr>
              <w:t>(Qc)</w:t>
            </w:r>
          </w:p>
          <w:p w:rsidR="001B1027" w:rsidRPr="00D43EF2" w:rsidRDefault="001B1027" w:rsidP="00AE41EE">
            <w:pPr>
              <w:tabs>
                <w:tab w:val="left" w:pos="-1440"/>
                <w:tab w:val="left" w:pos="-720"/>
              </w:tabs>
              <w:rPr>
                <w:sz w:val="20"/>
                <w:szCs w:val="20"/>
                <w:lang w:val="fr-CA"/>
              </w:rPr>
            </w:pPr>
            <w:r w:rsidRPr="00D43EF2">
              <w:rPr>
                <w:sz w:val="20"/>
                <w:szCs w:val="20"/>
                <w:lang w:val="fr-CA"/>
              </w:rPr>
              <w:tab/>
            </w:r>
            <w:r>
              <w:rPr>
                <w:sz w:val="20"/>
                <w:szCs w:val="20"/>
                <w:lang w:val="fr-CA"/>
              </w:rPr>
              <w:t>Serge Gagné</w:t>
            </w:r>
          </w:p>
          <w:p w:rsidR="001B1027" w:rsidRPr="00D43EF2" w:rsidRDefault="001B1027" w:rsidP="00AE41EE">
            <w:pPr>
              <w:tabs>
                <w:tab w:val="left" w:pos="-1440"/>
                <w:tab w:val="left" w:pos="-720"/>
              </w:tabs>
              <w:rPr>
                <w:sz w:val="20"/>
                <w:szCs w:val="20"/>
                <w:lang w:val="fr-CA"/>
              </w:rPr>
            </w:pPr>
            <w:r w:rsidRPr="00D43EF2">
              <w:rPr>
                <w:sz w:val="20"/>
                <w:szCs w:val="20"/>
                <w:lang w:val="fr-CA"/>
              </w:rPr>
              <w:tab/>
            </w:r>
            <w:r>
              <w:rPr>
                <w:sz w:val="20"/>
                <w:szCs w:val="20"/>
                <w:lang w:val="fr-CA"/>
              </w:rPr>
              <w:t>Trudel, Nadeau</w:t>
            </w:r>
          </w:p>
          <w:p w:rsidR="001B1027" w:rsidRPr="00D43EF2" w:rsidRDefault="001B1027" w:rsidP="00AE41EE">
            <w:pPr>
              <w:tabs>
                <w:tab w:val="left" w:pos="-1440"/>
                <w:tab w:val="left" w:pos="-720"/>
              </w:tabs>
              <w:rPr>
                <w:sz w:val="20"/>
                <w:szCs w:val="20"/>
                <w:lang w:val="fr-CA"/>
              </w:rPr>
            </w:pPr>
          </w:p>
          <w:p w:rsidR="001B1027" w:rsidRPr="00D43EF2" w:rsidRDefault="001B1027" w:rsidP="00D43EF2">
            <w:pPr>
              <w:rPr>
                <w:sz w:val="20"/>
                <w:szCs w:val="20"/>
                <w:lang w:val="fr-CA"/>
              </w:rPr>
            </w:pPr>
            <w:r>
              <w:rPr>
                <w:sz w:val="20"/>
                <w:szCs w:val="20"/>
                <w:lang w:val="fr-CA"/>
              </w:rPr>
              <w:t>DATE DE PRODUCTION : 30</w:t>
            </w:r>
            <w:r w:rsidRPr="00806A5B">
              <w:rPr>
                <w:sz w:val="20"/>
                <w:szCs w:val="20"/>
                <w:lang w:val="fr-CA"/>
              </w:rPr>
              <w:t>.0</w:t>
            </w:r>
            <w:r>
              <w:rPr>
                <w:sz w:val="20"/>
                <w:szCs w:val="20"/>
                <w:lang w:val="fr-CA"/>
              </w:rPr>
              <w:t>9</w:t>
            </w:r>
            <w:r w:rsidRPr="00806A5B">
              <w:rPr>
                <w:sz w:val="20"/>
                <w:szCs w:val="20"/>
                <w:lang w:val="fr-CA"/>
              </w:rPr>
              <w:t>.2014</w:t>
            </w:r>
            <w:r w:rsidR="00F677DC">
              <w:rPr>
                <w:sz w:val="20"/>
                <w:szCs w:val="20"/>
                <w:lang w:val="fr-CA"/>
              </w:rPr>
              <w:pict>
                <v:rect id="_x0000_i1046" style="width:108pt;height:1pt" o:hrpct="0" o:hralign="center" o:hrstd="t" o:hrnoshade="t" o:hr="t" fillcolor="black [3213]" stroked="f"/>
              </w:pict>
            </w:r>
          </w:p>
        </w:tc>
        <w:tc>
          <w:tcPr>
            <w:tcW w:w="1181" w:type="dxa"/>
            <w:shd w:val="clear" w:color="auto" w:fill="auto"/>
          </w:tcPr>
          <w:p w:rsidR="001B1027" w:rsidRPr="00D43EF2" w:rsidRDefault="001B1027" w:rsidP="00242AEE">
            <w:pPr>
              <w:jc w:val="center"/>
              <w:rPr>
                <w:sz w:val="20"/>
                <w:szCs w:val="20"/>
                <w:lang w:val="fr-CA"/>
              </w:rPr>
            </w:pPr>
          </w:p>
          <w:p w:rsidR="001B1027" w:rsidRPr="00D43EF2" w:rsidRDefault="001B1027" w:rsidP="00242AEE">
            <w:pPr>
              <w:jc w:val="center"/>
              <w:rPr>
                <w:sz w:val="20"/>
                <w:szCs w:val="20"/>
                <w:lang w:val="fr-CA"/>
              </w:rPr>
            </w:pPr>
          </w:p>
          <w:p w:rsidR="001B1027" w:rsidRPr="00D43EF2" w:rsidRDefault="001B1027" w:rsidP="00242AEE">
            <w:pPr>
              <w:jc w:val="center"/>
              <w:rPr>
                <w:sz w:val="20"/>
                <w:szCs w:val="20"/>
                <w:lang w:val="fr-CA"/>
              </w:rPr>
            </w:pPr>
          </w:p>
          <w:p w:rsidR="001B1027" w:rsidRPr="00D43EF2" w:rsidRDefault="001B1027" w:rsidP="00242AEE">
            <w:pPr>
              <w:jc w:val="center"/>
              <w:rPr>
                <w:sz w:val="20"/>
                <w:szCs w:val="20"/>
                <w:lang w:val="fr-CA"/>
              </w:rPr>
            </w:pPr>
          </w:p>
          <w:p w:rsidR="001B1027" w:rsidRPr="00D43EF2" w:rsidRDefault="001B1027" w:rsidP="00242AEE">
            <w:pPr>
              <w:jc w:val="center"/>
              <w:rPr>
                <w:sz w:val="20"/>
                <w:szCs w:val="20"/>
                <w:lang w:val="fr-CA"/>
              </w:rPr>
            </w:pPr>
          </w:p>
          <w:p w:rsidR="001B1027" w:rsidRPr="00D43EF2" w:rsidRDefault="001B1027" w:rsidP="00242AEE">
            <w:pPr>
              <w:jc w:val="center"/>
              <w:rPr>
                <w:sz w:val="20"/>
                <w:szCs w:val="20"/>
                <w:lang w:val="fr-CA"/>
              </w:rPr>
            </w:pPr>
          </w:p>
          <w:p w:rsidR="001B1027" w:rsidRPr="00D43EF2" w:rsidRDefault="001B1027" w:rsidP="00242AEE">
            <w:pPr>
              <w:jc w:val="center"/>
              <w:rPr>
                <w:sz w:val="20"/>
                <w:szCs w:val="20"/>
                <w:lang w:val="fr-CA"/>
              </w:rPr>
            </w:pPr>
          </w:p>
          <w:p w:rsidR="001B1027" w:rsidRPr="00D43EF2" w:rsidRDefault="001B1027" w:rsidP="00242AEE">
            <w:pPr>
              <w:jc w:val="center"/>
              <w:rPr>
                <w:sz w:val="20"/>
                <w:szCs w:val="20"/>
                <w:lang w:val="fr-CA"/>
              </w:rPr>
            </w:pPr>
          </w:p>
          <w:p w:rsidR="001B1027" w:rsidRPr="00D43EF2" w:rsidRDefault="001B1027" w:rsidP="00242AEE">
            <w:pPr>
              <w:jc w:val="center"/>
              <w:rPr>
                <w:sz w:val="20"/>
                <w:szCs w:val="20"/>
                <w:lang w:val="fr-CA"/>
              </w:rPr>
            </w:pPr>
          </w:p>
          <w:p w:rsidR="001B1027" w:rsidRPr="00D43EF2" w:rsidRDefault="001B1027" w:rsidP="00242AEE">
            <w:pPr>
              <w:jc w:val="center"/>
              <w:rPr>
                <w:sz w:val="20"/>
                <w:szCs w:val="20"/>
                <w:lang w:val="fr-CA"/>
              </w:rPr>
            </w:pPr>
          </w:p>
          <w:p w:rsidR="001B1027" w:rsidRPr="00D43EF2" w:rsidRDefault="001B1027" w:rsidP="00242AEE">
            <w:pPr>
              <w:jc w:val="center"/>
              <w:rPr>
                <w:sz w:val="20"/>
                <w:szCs w:val="20"/>
                <w:lang w:val="fr-CA"/>
              </w:rPr>
            </w:pPr>
          </w:p>
          <w:p w:rsidR="001B1027" w:rsidRPr="00D43EF2" w:rsidRDefault="001B1027" w:rsidP="00242AEE">
            <w:pPr>
              <w:jc w:val="center"/>
              <w:rPr>
                <w:sz w:val="20"/>
                <w:szCs w:val="20"/>
                <w:lang w:val="fr-CA"/>
              </w:rPr>
            </w:pPr>
          </w:p>
          <w:p w:rsidR="001B1027" w:rsidRPr="00D43EF2" w:rsidRDefault="001B1027" w:rsidP="00242AEE">
            <w:pPr>
              <w:jc w:val="center"/>
              <w:rPr>
                <w:sz w:val="20"/>
                <w:szCs w:val="20"/>
                <w:lang w:val="fr-CA"/>
              </w:rPr>
            </w:pPr>
          </w:p>
        </w:tc>
        <w:tc>
          <w:tcPr>
            <w:tcW w:w="4320" w:type="dxa"/>
            <w:shd w:val="clear" w:color="auto" w:fill="auto"/>
          </w:tcPr>
          <w:p w:rsidR="001B1027" w:rsidRPr="00185470" w:rsidRDefault="001B1027" w:rsidP="00795A83">
            <w:pPr>
              <w:rPr>
                <w:b/>
                <w:sz w:val="20"/>
                <w:szCs w:val="20"/>
                <w:lang w:val="fr-CA"/>
              </w:rPr>
            </w:pPr>
          </w:p>
          <w:p w:rsidR="001B1027" w:rsidRPr="00B54C39" w:rsidRDefault="001B1027" w:rsidP="00795A83">
            <w:pPr>
              <w:rPr>
                <w:b/>
                <w:sz w:val="20"/>
                <w:szCs w:val="20"/>
              </w:rPr>
            </w:pPr>
            <w:r w:rsidRPr="00B54C39">
              <w:rPr>
                <w:b/>
                <w:sz w:val="20"/>
                <w:szCs w:val="20"/>
              </w:rPr>
              <w:t>Catherine Leuthold</w:t>
            </w:r>
          </w:p>
          <w:p w:rsidR="001B1027" w:rsidRPr="00A935AA" w:rsidRDefault="001B1027" w:rsidP="00795A83">
            <w:pPr>
              <w:tabs>
                <w:tab w:val="left" w:pos="-1440"/>
                <w:tab w:val="left" w:pos="-720"/>
              </w:tabs>
              <w:rPr>
                <w:sz w:val="20"/>
                <w:szCs w:val="20"/>
              </w:rPr>
            </w:pPr>
            <w:r w:rsidRPr="00A935AA">
              <w:rPr>
                <w:sz w:val="20"/>
                <w:szCs w:val="20"/>
              </w:rPr>
              <w:tab/>
            </w:r>
            <w:r>
              <w:rPr>
                <w:sz w:val="20"/>
                <w:szCs w:val="20"/>
              </w:rPr>
              <w:t>Daniel F. O’Connor</w:t>
            </w:r>
          </w:p>
          <w:p w:rsidR="001B1027" w:rsidRPr="00A935AA" w:rsidRDefault="001B1027" w:rsidP="00795A83">
            <w:pPr>
              <w:tabs>
                <w:tab w:val="left" w:pos="-1440"/>
                <w:tab w:val="left" w:pos="-720"/>
              </w:tabs>
              <w:rPr>
                <w:sz w:val="20"/>
                <w:szCs w:val="20"/>
              </w:rPr>
            </w:pPr>
          </w:p>
          <w:p w:rsidR="001B1027" w:rsidRPr="00A935AA" w:rsidRDefault="001B1027" w:rsidP="00795A83">
            <w:pPr>
              <w:tabs>
                <w:tab w:val="left" w:pos="-1440"/>
                <w:tab w:val="left" w:pos="-720"/>
              </w:tabs>
              <w:rPr>
                <w:sz w:val="20"/>
                <w:szCs w:val="20"/>
              </w:rPr>
            </w:pPr>
            <w:r w:rsidRPr="00A935AA">
              <w:rPr>
                <w:sz w:val="20"/>
                <w:szCs w:val="20"/>
              </w:rPr>
              <w:tab/>
              <w:t>v. (3</w:t>
            </w:r>
            <w:r>
              <w:rPr>
                <w:sz w:val="20"/>
                <w:szCs w:val="20"/>
              </w:rPr>
              <w:t>6030</w:t>
            </w:r>
            <w:r w:rsidRPr="00A935AA">
              <w:rPr>
                <w:sz w:val="20"/>
                <w:szCs w:val="20"/>
              </w:rPr>
              <w:t>)</w:t>
            </w:r>
          </w:p>
          <w:p w:rsidR="001B1027" w:rsidRPr="00A935AA" w:rsidRDefault="001B1027" w:rsidP="00795A83">
            <w:pPr>
              <w:tabs>
                <w:tab w:val="left" w:pos="-1440"/>
                <w:tab w:val="left" w:pos="-720"/>
              </w:tabs>
              <w:rPr>
                <w:sz w:val="20"/>
                <w:szCs w:val="20"/>
              </w:rPr>
            </w:pPr>
          </w:p>
          <w:p w:rsidR="001B1027" w:rsidRPr="00CD5199" w:rsidRDefault="001B1027" w:rsidP="00795A83">
            <w:pPr>
              <w:tabs>
                <w:tab w:val="left" w:pos="-1440"/>
                <w:tab w:val="left" w:pos="-720"/>
              </w:tabs>
              <w:rPr>
                <w:b/>
                <w:sz w:val="20"/>
                <w:szCs w:val="20"/>
                <w:lang w:val="fr-CA"/>
              </w:rPr>
            </w:pPr>
            <w:r>
              <w:rPr>
                <w:b/>
                <w:sz w:val="20"/>
                <w:szCs w:val="20"/>
              </w:rPr>
              <w:t xml:space="preserve">Canadian Broadcasting Corporation et al. </w:t>
            </w:r>
            <w:r w:rsidRPr="00CD5199">
              <w:rPr>
                <w:b/>
                <w:sz w:val="20"/>
                <w:szCs w:val="20"/>
                <w:lang w:val="fr-CA"/>
              </w:rPr>
              <w:t>(F.C.)</w:t>
            </w:r>
          </w:p>
          <w:p w:rsidR="001B1027" w:rsidRPr="00CD5199" w:rsidRDefault="001B1027" w:rsidP="00795A83">
            <w:pPr>
              <w:tabs>
                <w:tab w:val="left" w:pos="-1440"/>
                <w:tab w:val="left" w:pos="-720"/>
              </w:tabs>
              <w:rPr>
                <w:sz w:val="20"/>
                <w:szCs w:val="20"/>
                <w:lang w:val="fr-CA"/>
              </w:rPr>
            </w:pPr>
            <w:r w:rsidRPr="00CD5199">
              <w:rPr>
                <w:sz w:val="20"/>
                <w:szCs w:val="20"/>
                <w:lang w:val="fr-CA"/>
              </w:rPr>
              <w:tab/>
              <w:t>Christian Leblanc</w:t>
            </w:r>
          </w:p>
          <w:p w:rsidR="001B1027" w:rsidRPr="00CD5199" w:rsidRDefault="001B1027" w:rsidP="00795A83">
            <w:pPr>
              <w:tabs>
                <w:tab w:val="left" w:pos="-1440"/>
                <w:tab w:val="left" w:pos="-720"/>
              </w:tabs>
              <w:rPr>
                <w:sz w:val="20"/>
                <w:szCs w:val="20"/>
                <w:lang w:val="fr-CA"/>
              </w:rPr>
            </w:pPr>
            <w:r w:rsidRPr="00CD5199">
              <w:rPr>
                <w:sz w:val="20"/>
                <w:szCs w:val="20"/>
                <w:lang w:val="fr-CA"/>
              </w:rPr>
              <w:tab/>
              <w:t>Fasken Martineau DuMoulin LLP</w:t>
            </w:r>
          </w:p>
          <w:p w:rsidR="001B1027" w:rsidRPr="00CD5199" w:rsidRDefault="001B1027" w:rsidP="00795A83">
            <w:pPr>
              <w:tabs>
                <w:tab w:val="left" w:pos="-1440"/>
                <w:tab w:val="left" w:pos="-720"/>
              </w:tabs>
              <w:rPr>
                <w:sz w:val="20"/>
                <w:szCs w:val="20"/>
                <w:lang w:val="fr-CA"/>
              </w:rPr>
            </w:pPr>
          </w:p>
          <w:p w:rsidR="001B1027" w:rsidRPr="00A935AA" w:rsidRDefault="001B1027" w:rsidP="00795A83">
            <w:pPr>
              <w:rPr>
                <w:sz w:val="20"/>
                <w:szCs w:val="20"/>
              </w:rPr>
            </w:pPr>
            <w:r w:rsidRPr="00A935AA">
              <w:rPr>
                <w:sz w:val="20"/>
                <w:szCs w:val="20"/>
              </w:rPr>
              <w:t xml:space="preserve">FILING DATE: </w:t>
            </w:r>
            <w:r>
              <w:rPr>
                <w:sz w:val="20"/>
                <w:szCs w:val="20"/>
              </w:rPr>
              <w:t>30</w:t>
            </w:r>
            <w:r w:rsidRPr="00A935AA">
              <w:rPr>
                <w:sz w:val="20"/>
                <w:szCs w:val="20"/>
              </w:rPr>
              <w:t>.0</w:t>
            </w:r>
            <w:r>
              <w:rPr>
                <w:sz w:val="20"/>
                <w:szCs w:val="20"/>
              </w:rPr>
              <w:t>9</w:t>
            </w:r>
            <w:r w:rsidRPr="00A935AA">
              <w:rPr>
                <w:sz w:val="20"/>
                <w:szCs w:val="20"/>
              </w:rPr>
              <w:t>.201</w:t>
            </w:r>
            <w:r>
              <w:rPr>
                <w:sz w:val="20"/>
                <w:szCs w:val="20"/>
              </w:rPr>
              <w:t>4</w:t>
            </w:r>
            <w:r w:rsidR="00F677DC">
              <w:rPr>
                <w:sz w:val="20"/>
                <w:szCs w:val="20"/>
                <w:lang w:val="fr-CA"/>
              </w:rPr>
              <w:pict>
                <v:rect id="_x0000_i1047" style="width:108pt;height:1pt" o:hrpct="0" o:hralign="center" o:hrstd="t" o:hrnoshade="t" o:hr="t" fillcolor="black [3213]" stroked="f"/>
              </w:pict>
            </w:r>
          </w:p>
        </w:tc>
      </w:tr>
    </w:tbl>
    <w:p w:rsidR="006C3F47" w:rsidRPr="00D43EF2" w:rsidRDefault="006C3F47" w:rsidP="0095096B">
      <w:pPr>
        <w:tabs>
          <w:tab w:val="right" w:pos="9360"/>
        </w:tabs>
        <w:rPr>
          <w:sz w:val="20"/>
          <w:szCs w:val="20"/>
          <w:lang w:val="fr-CA"/>
        </w:rPr>
      </w:pPr>
    </w:p>
    <w:p w:rsidR="00D94028" w:rsidRPr="00D43EF2" w:rsidRDefault="00D94028" w:rsidP="0095096B">
      <w:pPr>
        <w:tabs>
          <w:tab w:val="right" w:pos="9360"/>
        </w:tabs>
        <w:rPr>
          <w:sz w:val="20"/>
          <w:szCs w:val="20"/>
          <w:lang w:val="fr-CA"/>
        </w:rPr>
      </w:pPr>
    </w:p>
    <w:p w:rsidR="00242AEE" w:rsidRPr="00D43EF2" w:rsidRDefault="00242AEE" w:rsidP="0095096B">
      <w:pPr>
        <w:tabs>
          <w:tab w:val="right" w:pos="9360"/>
        </w:tabs>
        <w:rPr>
          <w:sz w:val="20"/>
          <w:szCs w:val="20"/>
          <w:lang w:val="fr-CA"/>
        </w:rPr>
      </w:pPr>
    </w:p>
    <w:p w:rsidR="00242AEE" w:rsidRPr="00D43EF2" w:rsidRDefault="00242AEE" w:rsidP="0095096B">
      <w:pPr>
        <w:tabs>
          <w:tab w:val="right" w:pos="9360"/>
        </w:tabs>
        <w:rPr>
          <w:sz w:val="20"/>
          <w:szCs w:val="20"/>
          <w:lang w:val="fr-CA"/>
        </w:rPr>
        <w:sectPr w:rsidR="00242AEE" w:rsidRPr="00D43EF2" w:rsidSect="00D25A37">
          <w:headerReference w:type="default" r:id="rId17"/>
          <w:footerReference w:type="default" r:id="rId18"/>
          <w:headerReference w:type="first" r:id="rId19"/>
          <w:footerReference w:type="first" r:id="rId20"/>
          <w:pgSz w:w="12240" w:h="15840"/>
          <w:pgMar w:top="720" w:right="965" w:bottom="1080" w:left="1656" w:header="706" w:footer="706" w:gutter="0"/>
          <w:pgNumType w:start="1536"/>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F677DC"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B8316E">
              <w:rPr>
                <w:b/>
                <w:szCs w:val="24"/>
              </w:rPr>
              <w:lastRenderedPageBreak/>
              <w:t xml:space="preserve">APPLICATIONS FOR LEAVE SUBMITTED TO COURT </w:t>
            </w:r>
            <w:r w:rsidRPr="001D0D5F">
              <w:rPr>
                <w:b/>
                <w:szCs w:val="24"/>
              </w:rPr>
              <w:t>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3C4A3F" w:rsidP="00CB3520">
      <w:pPr>
        <w:widowControl w:val="0"/>
        <w:rPr>
          <w:b/>
          <w:sz w:val="20"/>
          <w:szCs w:val="20"/>
        </w:rPr>
      </w:pPr>
      <w:r>
        <w:rPr>
          <w:b/>
          <w:sz w:val="20"/>
          <w:szCs w:val="20"/>
        </w:rPr>
        <w:t>OCTOBER</w:t>
      </w:r>
      <w:r w:rsidR="00CB3520">
        <w:rPr>
          <w:b/>
          <w:sz w:val="20"/>
          <w:szCs w:val="20"/>
        </w:rPr>
        <w:t xml:space="preserve"> </w:t>
      </w:r>
      <w:r w:rsidR="00A021BA">
        <w:rPr>
          <w:b/>
          <w:sz w:val="20"/>
          <w:szCs w:val="20"/>
        </w:rPr>
        <w:t>6</w:t>
      </w:r>
      <w:r w:rsidR="00CB3520" w:rsidRPr="00C50A5C">
        <w:rPr>
          <w:b/>
          <w:sz w:val="20"/>
          <w:szCs w:val="20"/>
        </w:rPr>
        <w:t>, 201</w:t>
      </w:r>
      <w:r w:rsidR="00CB3520">
        <w:rPr>
          <w:b/>
          <w:sz w:val="20"/>
          <w:szCs w:val="20"/>
        </w:rPr>
        <w:t>4</w:t>
      </w:r>
      <w:r w:rsidR="00CB3520" w:rsidRPr="00C50A5C">
        <w:rPr>
          <w:b/>
          <w:sz w:val="20"/>
          <w:szCs w:val="20"/>
        </w:rPr>
        <w:t xml:space="preserve"> / LE </w:t>
      </w:r>
      <w:r w:rsidR="006C71BB">
        <w:rPr>
          <w:b/>
          <w:sz w:val="20"/>
          <w:szCs w:val="20"/>
        </w:rPr>
        <w:t>6</w:t>
      </w:r>
      <w:r w:rsidR="00CB3520">
        <w:rPr>
          <w:b/>
          <w:sz w:val="20"/>
          <w:szCs w:val="20"/>
        </w:rPr>
        <w:t xml:space="preserve"> </w:t>
      </w:r>
      <w:r w:rsidR="006C71BB">
        <w:rPr>
          <w:b/>
          <w:sz w:val="20"/>
          <w:szCs w:val="20"/>
        </w:rPr>
        <w:t>OCTOB</w:t>
      </w:r>
      <w:r w:rsidR="00CB3520">
        <w:rPr>
          <w:b/>
          <w:sz w:val="20"/>
          <w:szCs w:val="20"/>
        </w:rPr>
        <w:t>R</w:t>
      </w:r>
      <w:r w:rsidR="006C71BB">
        <w:rPr>
          <w:b/>
          <w:sz w:val="20"/>
          <w:szCs w:val="20"/>
        </w:rPr>
        <w:t>E</w:t>
      </w:r>
      <w:r w:rsidR="00CB3520" w:rsidRPr="00C50A5C">
        <w:rPr>
          <w:b/>
          <w:sz w:val="20"/>
          <w:szCs w:val="20"/>
        </w:rPr>
        <w:t xml:space="preserve"> 201</w:t>
      </w:r>
      <w:r w:rsidR="00CB3520">
        <w:rPr>
          <w:b/>
          <w:sz w:val="20"/>
          <w:szCs w:val="20"/>
        </w:rPr>
        <w:t>4</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Pr>
          <w:b/>
          <w:sz w:val="20"/>
          <w:szCs w:val="20"/>
        </w:rPr>
        <w:t>Cromwell</w:t>
      </w:r>
      <w:r w:rsidRPr="00C50A5C">
        <w:rPr>
          <w:b/>
          <w:sz w:val="20"/>
          <w:szCs w:val="20"/>
        </w:rPr>
        <w:t xml:space="preserve"> and </w:t>
      </w:r>
      <w:r>
        <w:rPr>
          <w:b/>
          <w:sz w:val="20"/>
          <w:szCs w:val="20"/>
        </w:rPr>
        <w:t xml:space="preserve">Wagner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Cromwell</w:t>
      </w:r>
      <w:r w:rsidRPr="00C50A5C">
        <w:rPr>
          <w:b/>
          <w:sz w:val="20"/>
          <w:szCs w:val="20"/>
          <w:lang w:val="fr-CA"/>
        </w:rPr>
        <w:t xml:space="preserve"> et </w:t>
      </w:r>
      <w:r>
        <w:rPr>
          <w:b/>
          <w:sz w:val="20"/>
          <w:szCs w:val="20"/>
          <w:lang w:val="fr-CA"/>
        </w:rPr>
        <w:t>Wagner</w:t>
      </w:r>
    </w:p>
    <w:p w:rsidR="00CB3520" w:rsidRPr="00C50A5C" w:rsidRDefault="00CB3520" w:rsidP="00CB3520">
      <w:pPr>
        <w:widowControl w:val="0"/>
        <w:rPr>
          <w:sz w:val="20"/>
          <w:szCs w:val="20"/>
          <w:lang w:val="fr-CA"/>
        </w:rPr>
      </w:pPr>
    </w:p>
    <w:p w:rsidR="00CB3520" w:rsidRPr="00C50A5C" w:rsidRDefault="006C71BB" w:rsidP="00CB3520">
      <w:pPr>
        <w:pStyle w:val="ListParagraph"/>
        <w:widowControl w:val="0"/>
        <w:numPr>
          <w:ilvl w:val="0"/>
          <w:numId w:val="1"/>
        </w:numPr>
        <w:ind w:hanging="720"/>
        <w:jc w:val="both"/>
        <w:rPr>
          <w:sz w:val="20"/>
          <w:szCs w:val="20"/>
        </w:rPr>
      </w:pPr>
      <w:r w:rsidRPr="006C71BB">
        <w:rPr>
          <w:i/>
          <w:sz w:val="20"/>
          <w:szCs w:val="20"/>
        </w:rPr>
        <w:t>John Bennett v. Attorney General of Canada on behalf of the United States of America et al.</w:t>
      </w:r>
      <w:r w:rsidRPr="006C71BB">
        <w:rPr>
          <w:sz w:val="20"/>
          <w:szCs w:val="20"/>
        </w:rPr>
        <w:t xml:space="preserve"> (B.C.) (Crim.) (By Leave)</w:t>
      </w:r>
      <w:r w:rsidRPr="00C50A5C">
        <w:rPr>
          <w:sz w:val="20"/>
          <w:szCs w:val="20"/>
        </w:rPr>
        <w:t xml:space="preserve"> </w:t>
      </w:r>
      <w:r w:rsidR="00CB3520" w:rsidRPr="00C50A5C">
        <w:rPr>
          <w:sz w:val="20"/>
          <w:szCs w:val="20"/>
        </w:rPr>
        <w:t>(3</w:t>
      </w:r>
      <w:r w:rsidR="00CB3520">
        <w:rPr>
          <w:sz w:val="20"/>
          <w:szCs w:val="20"/>
        </w:rPr>
        <w:t>5</w:t>
      </w:r>
      <w:r>
        <w:rPr>
          <w:sz w:val="20"/>
          <w:szCs w:val="20"/>
        </w:rPr>
        <w:t>839</w:t>
      </w:r>
      <w:r w:rsidR="00CB3520" w:rsidRPr="00C50A5C">
        <w:rPr>
          <w:sz w:val="20"/>
          <w:szCs w:val="20"/>
        </w:rPr>
        <w:t>)</w:t>
      </w:r>
    </w:p>
    <w:p w:rsidR="00CB3520" w:rsidRPr="00C50A5C" w:rsidRDefault="00CB3520" w:rsidP="00CB3520">
      <w:pPr>
        <w:widowControl w:val="0"/>
        <w:jc w:val="both"/>
        <w:rPr>
          <w:sz w:val="20"/>
          <w:szCs w:val="20"/>
        </w:rPr>
      </w:pPr>
    </w:p>
    <w:p w:rsidR="00CB3520" w:rsidRPr="00C612D0" w:rsidRDefault="006C71BB" w:rsidP="00CB3520">
      <w:pPr>
        <w:pStyle w:val="ListParagraph"/>
        <w:widowControl w:val="0"/>
        <w:numPr>
          <w:ilvl w:val="0"/>
          <w:numId w:val="1"/>
        </w:numPr>
        <w:ind w:hanging="720"/>
        <w:jc w:val="both"/>
        <w:rPr>
          <w:sz w:val="20"/>
          <w:szCs w:val="20"/>
        </w:rPr>
      </w:pPr>
      <w:r w:rsidRPr="006C71BB">
        <w:rPr>
          <w:i/>
          <w:sz w:val="20"/>
          <w:szCs w:val="20"/>
        </w:rPr>
        <w:t>Christopher John Whaling v. Her Majesty the Queen</w:t>
      </w:r>
      <w:r w:rsidRPr="006C71BB">
        <w:rPr>
          <w:sz w:val="20"/>
          <w:szCs w:val="20"/>
        </w:rPr>
        <w:t xml:space="preserve"> (B.C.) (Crim.) (By Leave)</w:t>
      </w:r>
      <w:r w:rsidRPr="00C612D0">
        <w:rPr>
          <w:sz w:val="20"/>
          <w:szCs w:val="20"/>
        </w:rPr>
        <w:t xml:space="preserve"> </w:t>
      </w:r>
      <w:r w:rsidR="00CB3520" w:rsidRPr="00C612D0">
        <w:rPr>
          <w:sz w:val="20"/>
          <w:szCs w:val="20"/>
        </w:rPr>
        <w:t>(3</w:t>
      </w:r>
      <w:r w:rsidR="00CB3520">
        <w:rPr>
          <w:sz w:val="20"/>
          <w:szCs w:val="20"/>
        </w:rPr>
        <w:t>5</w:t>
      </w:r>
      <w:r>
        <w:rPr>
          <w:sz w:val="20"/>
          <w:szCs w:val="20"/>
        </w:rPr>
        <w:t>95</w:t>
      </w:r>
      <w:r w:rsidR="00CB3520">
        <w:rPr>
          <w:sz w:val="20"/>
          <w:szCs w:val="20"/>
        </w:rPr>
        <w:t>0</w:t>
      </w:r>
      <w:r w:rsidR="00CB3520" w:rsidRPr="00C612D0">
        <w:rPr>
          <w:sz w:val="20"/>
          <w:szCs w:val="20"/>
        </w:rPr>
        <w:t>)</w:t>
      </w:r>
    </w:p>
    <w:p w:rsidR="00CB3520" w:rsidRPr="00C612D0" w:rsidRDefault="00CB3520" w:rsidP="00CB3520">
      <w:pPr>
        <w:widowControl w:val="0"/>
        <w:jc w:val="both"/>
        <w:rPr>
          <w:sz w:val="20"/>
          <w:szCs w:val="20"/>
        </w:rPr>
      </w:pPr>
    </w:p>
    <w:p w:rsidR="00CB3520" w:rsidRPr="00C50A5C" w:rsidRDefault="006C71BB" w:rsidP="00CB3520">
      <w:pPr>
        <w:pStyle w:val="ListParagraph"/>
        <w:widowControl w:val="0"/>
        <w:numPr>
          <w:ilvl w:val="0"/>
          <w:numId w:val="1"/>
        </w:numPr>
        <w:ind w:hanging="720"/>
        <w:jc w:val="both"/>
        <w:rPr>
          <w:sz w:val="20"/>
          <w:szCs w:val="20"/>
        </w:rPr>
      </w:pPr>
      <w:r w:rsidRPr="006C71BB">
        <w:rPr>
          <w:i/>
          <w:sz w:val="20"/>
          <w:szCs w:val="20"/>
        </w:rPr>
        <w:t>0802913 BC Ltd. et al. v. John Roberts</w:t>
      </w:r>
      <w:r w:rsidRPr="006C71BB">
        <w:rPr>
          <w:sz w:val="20"/>
          <w:szCs w:val="20"/>
        </w:rPr>
        <w:t xml:space="preserve"> (B.C.) (Civil) (By Leave)</w:t>
      </w:r>
      <w:r w:rsidRPr="00940CAD">
        <w:rPr>
          <w:sz w:val="20"/>
          <w:szCs w:val="20"/>
        </w:rPr>
        <w:t xml:space="preserve"> </w:t>
      </w:r>
      <w:r w:rsidR="00CB3520" w:rsidRPr="00940CAD">
        <w:rPr>
          <w:sz w:val="20"/>
          <w:szCs w:val="20"/>
        </w:rPr>
        <w:t>(3</w:t>
      </w:r>
      <w:r w:rsidR="00CB3520">
        <w:rPr>
          <w:sz w:val="20"/>
          <w:szCs w:val="20"/>
        </w:rPr>
        <w:t>5</w:t>
      </w:r>
      <w:r>
        <w:rPr>
          <w:sz w:val="20"/>
          <w:szCs w:val="20"/>
        </w:rPr>
        <w:t>919</w:t>
      </w:r>
      <w:r w:rsidR="00CB3520" w:rsidRPr="00940CAD">
        <w:rPr>
          <w:sz w:val="20"/>
          <w:szCs w:val="20"/>
        </w:rPr>
        <w:t>)</w:t>
      </w:r>
    </w:p>
    <w:p w:rsidR="00CB3520" w:rsidRDefault="00CB3520" w:rsidP="00CB3520">
      <w:pPr>
        <w:widowControl w:val="0"/>
        <w:rPr>
          <w:sz w:val="20"/>
          <w:szCs w:val="20"/>
        </w:rPr>
      </w:pPr>
    </w:p>
    <w:p w:rsidR="006C71BB" w:rsidRDefault="006C71BB" w:rsidP="00CB3520">
      <w:pPr>
        <w:widowControl w:val="0"/>
        <w:rPr>
          <w:sz w:val="20"/>
          <w:szCs w:val="20"/>
        </w:rPr>
      </w:pPr>
    </w:p>
    <w:p w:rsidR="006C71BB" w:rsidRPr="00C50A5C" w:rsidRDefault="006C71BB" w:rsidP="006C71BB">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Gascon</w:t>
      </w:r>
      <w:r w:rsidRPr="00C50A5C">
        <w:rPr>
          <w:b/>
          <w:sz w:val="20"/>
          <w:szCs w:val="20"/>
        </w:rPr>
        <w:t xml:space="preserve"> JJ.</w:t>
      </w:r>
    </w:p>
    <w:p w:rsidR="006C71BB" w:rsidRPr="00C50A5C" w:rsidRDefault="006C71BB" w:rsidP="006C71BB">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Gascon</w:t>
      </w:r>
    </w:p>
    <w:p w:rsidR="006C71BB" w:rsidRPr="006C71BB" w:rsidRDefault="006C71BB" w:rsidP="00CB3520">
      <w:pPr>
        <w:widowControl w:val="0"/>
        <w:rPr>
          <w:sz w:val="20"/>
          <w:szCs w:val="20"/>
          <w:lang w:val="fr-CA"/>
        </w:rPr>
      </w:pPr>
    </w:p>
    <w:p w:rsidR="00CB3520" w:rsidRPr="00C50A5C" w:rsidRDefault="006C71BB" w:rsidP="00CB3520">
      <w:pPr>
        <w:pStyle w:val="ListParagraph"/>
        <w:widowControl w:val="0"/>
        <w:numPr>
          <w:ilvl w:val="0"/>
          <w:numId w:val="1"/>
        </w:numPr>
        <w:ind w:hanging="720"/>
        <w:jc w:val="both"/>
        <w:rPr>
          <w:sz w:val="20"/>
          <w:szCs w:val="20"/>
        </w:rPr>
      </w:pPr>
      <w:r w:rsidRPr="006C71BB">
        <w:rPr>
          <w:i/>
          <w:sz w:val="20"/>
          <w:szCs w:val="20"/>
        </w:rPr>
        <w:t>Avtar Singh Sandhu v. Her Majesty the Queen</w:t>
      </w:r>
      <w:r w:rsidRPr="006C71BB">
        <w:rPr>
          <w:sz w:val="20"/>
          <w:szCs w:val="20"/>
        </w:rPr>
        <w:t xml:space="preserve"> (Ont.) (Crim.) (By Leave)</w:t>
      </w:r>
      <w:r w:rsidRPr="00C50A5C">
        <w:rPr>
          <w:sz w:val="20"/>
          <w:szCs w:val="20"/>
        </w:rPr>
        <w:t xml:space="preserve"> </w:t>
      </w:r>
      <w:r w:rsidR="00CB3520" w:rsidRPr="00C50A5C">
        <w:rPr>
          <w:sz w:val="20"/>
          <w:szCs w:val="20"/>
        </w:rPr>
        <w:t>(3</w:t>
      </w:r>
      <w:r w:rsidR="00CB3520">
        <w:rPr>
          <w:sz w:val="20"/>
          <w:szCs w:val="20"/>
        </w:rPr>
        <w:t>5</w:t>
      </w:r>
      <w:r>
        <w:rPr>
          <w:sz w:val="20"/>
          <w:szCs w:val="20"/>
        </w:rPr>
        <w:t>978</w:t>
      </w:r>
      <w:r w:rsidR="00CB3520" w:rsidRPr="00C50A5C">
        <w:rPr>
          <w:sz w:val="20"/>
          <w:szCs w:val="20"/>
        </w:rPr>
        <w:t>)</w:t>
      </w:r>
    </w:p>
    <w:p w:rsidR="00CB3520" w:rsidRDefault="00CB3520" w:rsidP="00CB3520">
      <w:pPr>
        <w:widowControl w:val="0"/>
        <w:jc w:val="both"/>
        <w:rPr>
          <w:sz w:val="20"/>
          <w:szCs w:val="20"/>
        </w:rPr>
      </w:pPr>
    </w:p>
    <w:p w:rsidR="00CB3520" w:rsidRPr="009C5D38" w:rsidRDefault="006C71BB" w:rsidP="00CB3520">
      <w:pPr>
        <w:pStyle w:val="ListParagraph"/>
        <w:widowControl w:val="0"/>
        <w:numPr>
          <w:ilvl w:val="0"/>
          <w:numId w:val="1"/>
        </w:numPr>
        <w:ind w:hanging="720"/>
        <w:jc w:val="both"/>
        <w:rPr>
          <w:sz w:val="20"/>
          <w:szCs w:val="20"/>
        </w:rPr>
      </w:pPr>
      <w:r w:rsidRPr="006C71BB">
        <w:rPr>
          <w:i/>
          <w:sz w:val="20"/>
          <w:szCs w:val="20"/>
        </w:rPr>
        <w:t>1681625 Alberta Ltd. v. Summer Village of Parkland Beach</w:t>
      </w:r>
      <w:r w:rsidRPr="006C71BB">
        <w:rPr>
          <w:sz w:val="20"/>
          <w:szCs w:val="20"/>
        </w:rPr>
        <w:t xml:space="preserve"> (Alta.) (Civil) (By Leave)</w:t>
      </w:r>
      <w:r w:rsidRPr="009C5D38">
        <w:rPr>
          <w:sz w:val="20"/>
          <w:szCs w:val="20"/>
        </w:rPr>
        <w:t xml:space="preserve"> </w:t>
      </w:r>
      <w:r w:rsidR="00CB3520" w:rsidRPr="009C5D38">
        <w:rPr>
          <w:sz w:val="20"/>
          <w:szCs w:val="20"/>
        </w:rPr>
        <w:t>(35</w:t>
      </w:r>
      <w:r>
        <w:rPr>
          <w:sz w:val="20"/>
          <w:szCs w:val="20"/>
        </w:rPr>
        <w:t>942</w:t>
      </w:r>
      <w:r w:rsidR="00CB3520" w:rsidRPr="009C5D38">
        <w:rPr>
          <w:sz w:val="20"/>
          <w:szCs w:val="20"/>
        </w:rPr>
        <w:t>)</w:t>
      </w:r>
    </w:p>
    <w:p w:rsidR="00CB3520" w:rsidRPr="006C71BB" w:rsidRDefault="00CB3520" w:rsidP="00CB3520">
      <w:pPr>
        <w:widowControl w:val="0"/>
        <w:jc w:val="both"/>
        <w:rPr>
          <w:sz w:val="20"/>
          <w:szCs w:val="20"/>
        </w:rPr>
      </w:pPr>
    </w:p>
    <w:p w:rsidR="00CB3520" w:rsidRPr="006C71BB" w:rsidRDefault="006C71BB" w:rsidP="00CB3520">
      <w:pPr>
        <w:pStyle w:val="ListParagraph"/>
        <w:widowControl w:val="0"/>
        <w:numPr>
          <w:ilvl w:val="0"/>
          <w:numId w:val="1"/>
        </w:numPr>
        <w:ind w:hanging="720"/>
        <w:jc w:val="both"/>
        <w:rPr>
          <w:sz w:val="20"/>
          <w:szCs w:val="20"/>
          <w:lang w:val="fr-CA"/>
        </w:rPr>
      </w:pPr>
      <w:r w:rsidRPr="006C71BB">
        <w:rPr>
          <w:i/>
          <w:sz w:val="20"/>
          <w:szCs w:val="20"/>
          <w:lang w:val="fr-CA"/>
        </w:rPr>
        <w:t>Ville de Montréal c. Agence métropolitaine de transport</w:t>
      </w:r>
      <w:r w:rsidRPr="006C71BB">
        <w:rPr>
          <w:sz w:val="20"/>
          <w:szCs w:val="20"/>
          <w:lang w:val="fr-CA"/>
        </w:rPr>
        <w:t xml:space="preserve"> (Qc) (Civile) (Autorisation) </w:t>
      </w:r>
      <w:r w:rsidR="00CB3520" w:rsidRPr="006C71BB">
        <w:rPr>
          <w:sz w:val="20"/>
          <w:szCs w:val="20"/>
          <w:lang w:val="fr-CA"/>
        </w:rPr>
        <w:t>(35</w:t>
      </w:r>
      <w:r w:rsidRPr="006C71BB">
        <w:rPr>
          <w:sz w:val="20"/>
          <w:szCs w:val="20"/>
          <w:lang w:val="fr-CA"/>
        </w:rPr>
        <w:t>792</w:t>
      </w:r>
      <w:r w:rsidR="00CB3520" w:rsidRPr="006C71BB">
        <w:rPr>
          <w:sz w:val="20"/>
          <w:szCs w:val="20"/>
          <w:lang w:val="fr-CA"/>
        </w:rPr>
        <w:t>)</w:t>
      </w:r>
    </w:p>
    <w:p w:rsidR="00CB3520" w:rsidRPr="006C71BB" w:rsidRDefault="00CB3520" w:rsidP="00CB3520">
      <w:pPr>
        <w:widowControl w:val="0"/>
        <w:jc w:val="both"/>
        <w:rPr>
          <w:sz w:val="20"/>
          <w:szCs w:val="20"/>
          <w:lang w:val="fr-CA"/>
        </w:rPr>
      </w:pPr>
    </w:p>
    <w:p w:rsidR="00CB3520" w:rsidRPr="009C5D38" w:rsidRDefault="002B5709" w:rsidP="00CB3520">
      <w:pPr>
        <w:pStyle w:val="ListParagraph"/>
        <w:widowControl w:val="0"/>
        <w:numPr>
          <w:ilvl w:val="0"/>
          <w:numId w:val="1"/>
        </w:numPr>
        <w:ind w:hanging="720"/>
        <w:jc w:val="both"/>
        <w:rPr>
          <w:sz w:val="20"/>
          <w:szCs w:val="20"/>
        </w:rPr>
      </w:pPr>
      <w:r w:rsidRPr="002B5709">
        <w:rPr>
          <w:i/>
          <w:sz w:val="20"/>
          <w:szCs w:val="20"/>
        </w:rPr>
        <w:t>Aaron William Lacey (aka AWF) v. Her Majesty the Queen in the Right of Canada as represented by The Minister of National Defence</w:t>
      </w:r>
      <w:r w:rsidRPr="006C71BB">
        <w:rPr>
          <w:sz w:val="20"/>
          <w:szCs w:val="20"/>
        </w:rPr>
        <w:t xml:space="preserve"> (Ont.) (Civil) (By Leave)</w:t>
      </w:r>
      <w:r w:rsidRPr="009C5D38">
        <w:rPr>
          <w:sz w:val="20"/>
          <w:szCs w:val="20"/>
        </w:rPr>
        <w:t xml:space="preserve"> </w:t>
      </w:r>
      <w:r w:rsidR="00CB3520" w:rsidRPr="009C5D38">
        <w:rPr>
          <w:sz w:val="20"/>
          <w:szCs w:val="20"/>
        </w:rPr>
        <w:t>(35</w:t>
      </w:r>
      <w:r w:rsidR="006C71BB">
        <w:rPr>
          <w:sz w:val="20"/>
          <w:szCs w:val="20"/>
        </w:rPr>
        <w:t>8</w:t>
      </w:r>
      <w:r w:rsidR="00CB3520" w:rsidRPr="009C5D38">
        <w:rPr>
          <w:sz w:val="20"/>
          <w:szCs w:val="20"/>
        </w:rPr>
        <w:t>6</w:t>
      </w:r>
      <w:r w:rsidR="006C71BB">
        <w:rPr>
          <w:sz w:val="20"/>
          <w:szCs w:val="20"/>
        </w:rPr>
        <w:t>5</w:t>
      </w:r>
      <w:r w:rsidR="00CB3520" w:rsidRPr="009C5D38">
        <w:rPr>
          <w:sz w:val="20"/>
          <w:szCs w:val="20"/>
        </w:rPr>
        <w:t>)</w:t>
      </w:r>
    </w:p>
    <w:p w:rsidR="00CB3520" w:rsidRDefault="00CB3520" w:rsidP="00CB3520">
      <w:pPr>
        <w:widowControl w:val="0"/>
        <w:jc w:val="both"/>
        <w:rPr>
          <w:sz w:val="20"/>
          <w:szCs w:val="20"/>
        </w:rPr>
      </w:pPr>
    </w:p>
    <w:p w:rsidR="006C71BB" w:rsidRDefault="006C71BB" w:rsidP="00CB3520">
      <w:pPr>
        <w:widowControl w:val="0"/>
        <w:jc w:val="both"/>
        <w:rPr>
          <w:sz w:val="20"/>
          <w:szCs w:val="20"/>
        </w:rPr>
      </w:pPr>
    </w:p>
    <w:p w:rsidR="006C71BB" w:rsidRPr="00C50A5C" w:rsidRDefault="006C71BB" w:rsidP="006C71BB">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6C71BB" w:rsidRPr="00C50A5C" w:rsidRDefault="006C71BB" w:rsidP="006C71BB">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6C71BB" w:rsidRPr="006C71BB" w:rsidRDefault="006C71BB" w:rsidP="00CB3520">
      <w:pPr>
        <w:widowControl w:val="0"/>
        <w:jc w:val="both"/>
        <w:rPr>
          <w:sz w:val="20"/>
          <w:szCs w:val="20"/>
          <w:lang w:val="fr-CA"/>
        </w:rPr>
      </w:pPr>
    </w:p>
    <w:p w:rsidR="00CB3520" w:rsidRPr="00C50A5C" w:rsidRDefault="002B5709" w:rsidP="00CB3520">
      <w:pPr>
        <w:pStyle w:val="ListParagraph"/>
        <w:widowControl w:val="0"/>
        <w:numPr>
          <w:ilvl w:val="0"/>
          <w:numId w:val="1"/>
        </w:numPr>
        <w:ind w:hanging="720"/>
        <w:jc w:val="both"/>
        <w:rPr>
          <w:sz w:val="20"/>
          <w:szCs w:val="20"/>
          <w:lang w:val="fr-CA"/>
        </w:rPr>
      </w:pPr>
      <w:r w:rsidRPr="002B5709">
        <w:rPr>
          <w:i/>
          <w:sz w:val="20"/>
          <w:szCs w:val="20"/>
        </w:rPr>
        <w:t>Her Majesty the Queen v. Paul Wehmeier</w:t>
      </w:r>
      <w:r w:rsidRPr="006C71BB">
        <w:rPr>
          <w:sz w:val="20"/>
          <w:szCs w:val="20"/>
        </w:rPr>
        <w:t xml:space="preserve"> (F.C.) (Crim.) (By Leave)</w:t>
      </w:r>
      <w:r w:rsidRPr="00C50A5C">
        <w:rPr>
          <w:sz w:val="20"/>
          <w:szCs w:val="20"/>
          <w:lang w:val="fr-CA"/>
        </w:rPr>
        <w:t xml:space="preserve"> </w:t>
      </w:r>
      <w:r w:rsidR="00CB3520" w:rsidRPr="00C50A5C">
        <w:rPr>
          <w:sz w:val="20"/>
          <w:szCs w:val="20"/>
          <w:lang w:val="fr-CA"/>
        </w:rPr>
        <w:t>(3</w:t>
      </w:r>
      <w:r w:rsidR="00CB3520">
        <w:rPr>
          <w:sz w:val="20"/>
          <w:szCs w:val="20"/>
          <w:lang w:val="fr-CA"/>
        </w:rPr>
        <w:t>59</w:t>
      </w:r>
      <w:r w:rsidR="006C71BB">
        <w:rPr>
          <w:sz w:val="20"/>
          <w:szCs w:val="20"/>
          <w:lang w:val="fr-CA"/>
        </w:rPr>
        <w:t>33</w:t>
      </w:r>
      <w:r w:rsidR="00CB3520" w:rsidRPr="00C50A5C">
        <w:rPr>
          <w:sz w:val="20"/>
          <w:szCs w:val="20"/>
          <w:lang w:val="fr-CA"/>
        </w:rPr>
        <w:t>)</w:t>
      </w:r>
    </w:p>
    <w:p w:rsidR="00CB3520" w:rsidRDefault="00CB3520" w:rsidP="00CB3520">
      <w:pPr>
        <w:widowControl w:val="0"/>
        <w:rPr>
          <w:sz w:val="20"/>
          <w:szCs w:val="20"/>
          <w:lang w:val="fr-CA"/>
        </w:rPr>
      </w:pPr>
    </w:p>
    <w:p w:rsidR="00CB3520" w:rsidRPr="009C5D38" w:rsidRDefault="002B5709" w:rsidP="00CB3520">
      <w:pPr>
        <w:pStyle w:val="ListParagraph"/>
        <w:widowControl w:val="0"/>
        <w:numPr>
          <w:ilvl w:val="0"/>
          <w:numId w:val="1"/>
        </w:numPr>
        <w:ind w:hanging="720"/>
        <w:jc w:val="both"/>
        <w:rPr>
          <w:sz w:val="20"/>
          <w:szCs w:val="20"/>
          <w:lang w:val="fr-CA"/>
        </w:rPr>
      </w:pPr>
      <w:r w:rsidRPr="002B5709">
        <w:rPr>
          <w:i/>
          <w:sz w:val="20"/>
          <w:szCs w:val="20"/>
        </w:rPr>
        <w:t>Nisichawayasihk Cree Nation Family and Community Wellness Centre Inc. v. First Nations of Northern Manitoba Child and Family Services Authority et al.</w:t>
      </w:r>
      <w:r w:rsidRPr="006C71BB">
        <w:rPr>
          <w:sz w:val="20"/>
          <w:szCs w:val="20"/>
        </w:rPr>
        <w:t xml:space="preserve"> (Man.) (Civil) (By Leave)</w:t>
      </w:r>
      <w:r w:rsidRPr="009C5D38">
        <w:rPr>
          <w:sz w:val="20"/>
          <w:szCs w:val="20"/>
          <w:lang w:val="fr-CA"/>
        </w:rPr>
        <w:t xml:space="preserve"> </w:t>
      </w:r>
      <w:r w:rsidR="00CB3520" w:rsidRPr="009C5D38">
        <w:rPr>
          <w:sz w:val="20"/>
          <w:szCs w:val="20"/>
          <w:lang w:val="fr-CA"/>
        </w:rPr>
        <w:t>(35</w:t>
      </w:r>
      <w:r w:rsidR="006C71BB">
        <w:rPr>
          <w:sz w:val="20"/>
          <w:szCs w:val="20"/>
          <w:lang w:val="fr-CA"/>
        </w:rPr>
        <w:t>989</w:t>
      </w:r>
      <w:r w:rsidR="00CB3520" w:rsidRPr="009C5D38">
        <w:rPr>
          <w:sz w:val="20"/>
          <w:szCs w:val="20"/>
          <w:lang w:val="fr-CA"/>
        </w:rPr>
        <w:t>)</w:t>
      </w:r>
    </w:p>
    <w:p w:rsidR="00CB3520" w:rsidRPr="009C5D38" w:rsidRDefault="00CB3520" w:rsidP="00CB3520">
      <w:pPr>
        <w:widowControl w:val="0"/>
        <w:jc w:val="both"/>
        <w:rPr>
          <w:sz w:val="20"/>
          <w:szCs w:val="20"/>
          <w:lang w:val="fr-CA"/>
        </w:rPr>
      </w:pPr>
    </w:p>
    <w:p w:rsidR="00CB3520" w:rsidRPr="00115C9E" w:rsidRDefault="002B5709" w:rsidP="00CB3520">
      <w:pPr>
        <w:pStyle w:val="ListParagraph"/>
        <w:widowControl w:val="0"/>
        <w:numPr>
          <w:ilvl w:val="0"/>
          <w:numId w:val="1"/>
        </w:numPr>
        <w:ind w:hanging="720"/>
        <w:jc w:val="both"/>
        <w:rPr>
          <w:sz w:val="20"/>
          <w:szCs w:val="20"/>
        </w:rPr>
      </w:pPr>
      <w:r w:rsidRPr="002B5709">
        <w:rPr>
          <w:i/>
          <w:sz w:val="20"/>
          <w:szCs w:val="20"/>
          <w:lang w:val="fr-CA"/>
        </w:rPr>
        <w:t>Sanofi-Aventis et al. v. Apotex Inc.</w:t>
      </w:r>
      <w:r w:rsidRPr="002B5709">
        <w:rPr>
          <w:sz w:val="20"/>
          <w:szCs w:val="20"/>
          <w:lang w:val="fr-CA"/>
        </w:rPr>
        <w:t xml:space="preserve"> </w:t>
      </w:r>
      <w:r w:rsidRPr="006C71BB">
        <w:rPr>
          <w:sz w:val="20"/>
          <w:szCs w:val="20"/>
        </w:rPr>
        <w:t>(F.C.) (Civil) (By Leave)</w:t>
      </w:r>
      <w:r w:rsidRPr="00115C9E">
        <w:rPr>
          <w:sz w:val="20"/>
          <w:szCs w:val="20"/>
        </w:rPr>
        <w:t xml:space="preserve"> </w:t>
      </w:r>
      <w:r w:rsidR="00CB3520" w:rsidRPr="00115C9E">
        <w:rPr>
          <w:sz w:val="20"/>
          <w:szCs w:val="20"/>
        </w:rPr>
        <w:t>(3</w:t>
      </w:r>
      <w:r w:rsidR="00CB3520">
        <w:rPr>
          <w:sz w:val="20"/>
          <w:szCs w:val="20"/>
        </w:rPr>
        <w:t>5</w:t>
      </w:r>
      <w:r w:rsidR="006C71BB">
        <w:rPr>
          <w:sz w:val="20"/>
          <w:szCs w:val="20"/>
        </w:rPr>
        <w:t>886</w:t>
      </w:r>
      <w:r w:rsidR="00CB3520" w:rsidRPr="00115C9E">
        <w:rPr>
          <w:sz w:val="20"/>
          <w:szCs w:val="20"/>
        </w:rPr>
        <w:t>)</w:t>
      </w:r>
    </w:p>
    <w:p w:rsidR="00CB3520" w:rsidRDefault="00CB3520" w:rsidP="00CB3520">
      <w:pPr>
        <w:widowControl w:val="0"/>
        <w:jc w:val="both"/>
        <w:rPr>
          <w:sz w:val="20"/>
          <w:szCs w:val="20"/>
        </w:rPr>
      </w:pPr>
    </w:p>
    <w:p w:rsidR="002E2327" w:rsidRDefault="00F677DC" w:rsidP="002E2327">
      <w:pPr>
        <w:widowControl w:val="0"/>
        <w:rPr>
          <w:sz w:val="20"/>
          <w:szCs w:val="20"/>
        </w:rPr>
      </w:pPr>
      <w:r>
        <w:rPr>
          <w:sz w:val="20"/>
          <w:szCs w:val="20"/>
        </w:rPr>
        <w:pict>
          <v:rect id="_x0000_i1050" style="width:2in;height:1pt" o:hrpct="0" o:hralign="center" o:hrstd="t" o:hrnoshade="t" o:hr="t" fillcolor="black [3213]" stroked="f"/>
        </w:pict>
      </w:r>
    </w:p>
    <w:p w:rsidR="00D94028" w:rsidRDefault="00D94028" w:rsidP="002E2327">
      <w:pPr>
        <w:widowControl w:val="0"/>
        <w:rPr>
          <w:sz w:val="20"/>
          <w:szCs w:val="20"/>
        </w:rPr>
      </w:pPr>
    </w:p>
    <w:p w:rsidR="006C71BB" w:rsidRPr="006C71BB" w:rsidRDefault="006C71BB" w:rsidP="006C71BB">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F677DC"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185470" w:rsidP="000E2959">
      <w:pPr>
        <w:rPr>
          <w:b/>
          <w:sz w:val="20"/>
          <w:szCs w:val="20"/>
        </w:rPr>
      </w:pPr>
      <w:r>
        <w:rPr>
          <w:b/>
          <w:sz w:val="20"/>
          <w:szCs w:val="20"/>
        </w:rPr>
        <w:t>OCTOBER 9</w:t>
      </w:r>
      <w:r w:rsidR="000E2959" w:rsidRPr="00C50A5C">
        <w:rPr>
          <w:b/>
          <w:sz w:val="20"/>
          <w:szCs w:val="20"/>
        </w:rPr>
        <w:t>, 201</w:t>
      </w:r>
      <w:r>
        <w:rPr>
          <w:b/>
          <w:sz w:val="20"/>
          <w:szCs w:val="20"/>
        </w:rPr>
        <w:t>4</w:t>
      </w:r>
      <w:r w:rsidR="000E2959" w:rsidRPr="00C50A5C">
        <w:rPr>
          <w:b/>
          <w:sz w:val="20"/>
          <w:szCs w:val="20"/>
        </w:rPr>
        <w:t xml:space="preserve"> / LE </w:t>
      </w:r>
      <w:r>
        <w:rPr>
          <w:b/>
          <w:sz w:val="20"/>
          <w:szCs w:val="20"/>
        </w:rPr>
        <w:t>9 OCTOBRE</w:t>
      </w:r>
      <w:r w:rsidR="000E2959" w:rsidRPr="00C50A5C">
        <w:rPr>
          <w:b/>
          <w:sz w:val="20"/>
          <w:szCs w:val="20"/>
        </w:rPr>
        <w:t xml:space="preserve"> 201</w:t>
      </w:r>
      <w:r>
        <w:rPr>
          <w:b/>
          <w:sz w:val="20"/>
          <w:szCs w:val="20"/>
        </w:rPr>
        <w:t>4</w:t>
      </w:r>
    </w:p>
    <w:p w:rsidR="000E2959" w:rsidRDefault="000E2959" w:rsidP="000E2959">
      <w:pPr>
        <w:rPr>
          <w:sz w:val="20"/>
          <w:szCs w:val="20"/>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B4E4F" w:rsidRPr="00AB4E4F" w:rsidTr="00AB4E4F">
        <w:trPr>
          <w:cantSplit/>
        </w:trPr>
        <w:tc>
          <w:tcPr>
            <w:tcW w:w="1458" w:type="dxa"/>
          </w:tcPr>
          <w:p w:rsidR="00AB4E4F" w:rsidRPr="00AB4E4F" w:rsidRDefault="00AB4E4F" w:rsidP="00AB4E4F">
            <w:pPr>
              <w:rPr>
                <w:sz w:val="20"/>
              </w:rPr>
            </w:pPr>
            <w:r w:rsidRPr="00AB4E4F">
              <w:rPr>
                <w:b/>
                <w:sz w:val="20"/>
                <w:lang w:val="fr-CA"/>
              </w:rPr>
              <w:t>35870</w:t>
            </w:r>
          </w:p>
          <w:p w:rsidR="00AB4E4F" w:rsidRPr="00AB4E4F" w:rsidRDefault="00AB4E4F" w:rsidP="00AB4E4F">
            <w:pPr>
              <w:rPr>
                <w:b/>
                <w:sz w:val="20"/>
                <w:lang w:val="fr-CA"/>
              </w:rPr>
            </w:pPr>
          </w:p>
        </w:tc>
        <w:tc>
          <w:tcPr>
            <w:tcW w:w="8118" w:type="dxa"/>
          </w:tcPr>
          <w:p w:rsidR="00AB4E4F" w:rsidRPr="00AB4E4F" w:rsidRDefault="00AB4E4F" w:rsidP="00AB4E4F">
            <w:pPr>
              <w:jc w:val="both"/>
              <w:rPr>
                <w:sz w:val="20"/>
              </w:rPr>
            </w:pPr>
            <w:r w:rsidRPr="00AB4E4F">
              <w:rPr>
                <w:b/>
                <w:sz w:val="20"/>
                <w:u w:val="single"/>
              </w:rPr>
              <w:t>Ural Direk, Ertug Direkoglu, Kemal Direkoglu and Elif Direkoglu v. Attorney General of Ontario, Toronto Police Services Board</w:t>
            </w:r>
            <w:r w:rsidRPr="00AB4E4F">
              <w:rPr>
                <w:sz w:val="20"/>
              </w:rPr>
              <w:t xml:space="preserve"> (Ont.) (Civil) (By Leave)</w:t>
            </w:r>
          </w:p>
          <w:p w:rsidR="00AB4E4F" w:rsidRPr="00AB4E4F" w:rsidRDefault="00AB4E4F" w:rsidP="00AB4E4F">
            <w:pPr>
              <w:jc w:val="both"/>
              <w:rPr>
                <w:sz w:val="20"/>
              </w:rPr>
            </w:pPr>
          </w:p>
        </w:tc>
      </w:tr>
      <w:tr w:rsidR="00AB4E4F" w:rsidRPr="00AB4E4F" w:rsidTr="00AB4E4F">
        <w:trPr>
          <w:cantSplit/>
        </w:trPr>
        <w:tc>
          <w:tcPr>
            <w:tcW w:w="1458" w:type="dxa"/>
          </w:tcPr>
          <w:p w:rsidR="00AB4E4F" w:rsidRPr="00AB4E4F" w:rsidRDefault="00AB4E4F" w:rsidP="00AB4E4F">
            <w:pPr>
              <w:rPr>
                <w:sz w:val="20"/>
              </w:rPr>
            </w:pPr>
            <w:r w:rsidRPr="00AB4E4F">
              <w:rPr>
                <w:sz w:val="20"/>
              </w:rPr>
              <w:t>Coram :</w:t>
            </w:r>
          </w:p>
        </w:tc>
        <w:tc>
          <w:tcPr>
            <w:tcW w:w="8118" w:type="dxa"/>
          </w:tcPr>
          <w:p w:rsidR="00AB4E4F" w:rsidRPr="00AB4E4F" w:rsidRDefault="00AB4E4F" w:rsidP="00AB4E4F">
            <w:pPr>
              <w:rPr>
                <w:sz w:val="20"/>
              </w:rPr>
            </w:pPr>
            <w:r w:rsidRPr="00AB4E4F">
              <w:rPr>
                <w:sz w:val="20"/>
                <w:u w:val="single"/>
              </w:rPr>
              <w:t>Abella, Rothstein and Moldaver JJ.</w:t>
            </w:r>
          </w:p>
          <w:p w:rsidR="00AB4E4F" w:rsidRPr="00AB4E4F" w:rsidRDefault="00AB4E4F" w:rsidP="00AB4E4F">
            <w:pPr>
              <w:rPr>
                <w:sz w:val="20"/>
                <w:u w:val="single"/>
              </w:rPr>
            </w:pPr>
          </w:p>
        </w:tc>
      </w:tr>
      <w:tr w:rsidR="00AB4E4F" w:rsidRPr="00F677DC" w:rsidTr="00AB4E4F">
        <w:trPr>
          <w:cantSplit/>
        </w:trPr>
        <w:tc>
          <w:tcPr>
            <w:tcW w:w="9576" w:type="dxa"/>
            <w:gridSpan w:val="2"/>
          </w:tcPr>
          <w:p w:rsidR="00AB4E4F" w:rsidRPr="00AB4E4F" w:rsidRDefault="00AB4E4F" w:rsidP="00AB4E4F">
            <w:pPr>
              <w:ind w:firstLine="720"/>
              <w:jc w:val="both"/>
              <w:rPr>
                <w:sz w:val="20"/>
              </w:rPr>
            </w:pPr>
            <w:r w:rsidRPr="00AB4E4F">
              <w:rPr>
                <w:sz w:val="20"/>
              </w:rPr>
              <w:t>The application for leave to appeal from the judgment of the Court of Appeal for Ontario, Number C57834, 2014 ONCA 216, dated March 7, 2014, is dismissed with costs.</w:t>
            </w:r>
          </w:p>
          <w:p w:rsidR="00AB4E4F" w:rsidRPr="00AB4E4F" w:rsidRDefault="00AB4E4F" w:rsidP="00AB4E4F">
            <w:pPr>
              <w:jc w:val="both"/>
              <w:rPr>
                <w:sz w:val="20"/>
              </w:rPr>
            </w:pPr>
          </w:p>
          <w:p w:rsidR="00AB4E4F" w:rsidRPr="00AB4E4F" w:rsidRDefault="00AB4E4F" w:rsidP="00AB4E4F">
            <w:pPr>
              <w:ind w:firstLine="720"/>
              <w:jc w:val="both"/>
              <w:rPr>
                <w:sz w:val="20"/>
                <w:lang w:val="fr-CA"/>
              </w:rPr>
            </w:pPr>
            <w:r w:rsidRPr="00AB4E4F">
              <w:rPr>
                <w:sz w:val="20"/>
                <w:lang w:val="fr-CA"/>
              </w:rPr>
              <w:t>La demande d’autorisation d’appel de l’arrêt de la Cour d’appel de l’Ontario, numéro C57834, 2014 ONCA 216, daté du 7 mars 2014, est rejetée avec dépens.</w:t>
            </w:r>
          </w:p>
        </w:tc>
      </w:tr>
    </w:tbl>
    <w:p w:rsidR="00185470" w:rsidRDefault="00185470" w:rsidP="00185470">
      <w:pPr>
        <w:rPr>
          <w:sz w:val="20"/>
          <w:szCs w:val="20"/>
          <w:lang w:val="fr-CA"/>
        </w:rPr>
      </w:pPr>
    </w:p>
    <w:p w:rsidR="00185470" w:rsidRPr="001B157C" w:rsidRDefault="00185470" w:rsidP="00185470">
      <w:pPr>
        <w:rPr>
          <w:sz w:val="20"/>
          <w:szCs w:val="20"/>
          <w:u w:val="single"/>
        </w:rPr>
      </w:pPr>
      <w:r w:rsidRPr="001B157C">
        <w:rPr>
          <w:sz w:val="20"/>
          <w:szCs w:val="20"/>
          <w:u w:val="single"/>
        </w:rPr>
        <w:t>CASE SUMMARY</w:t>
      </w:r>
    </w:p>
    <w:p w:rsidR="00185470" w:rsidRDefault="00185470" w:rsidP="0018547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A1E2B" w:rsidRPr="00330CC4" w:rsidTr="007732B1">
        <w:tc>
          <w:tcPr>
            <w:tcW w:w="5000" w:type="pct"/>
            <w:gridSpan w:val="3"/>
          </w:tcPr>
          <w:p w:rsidR="004A1E2B" w:rsidRPr="00330CC4" w:rsidRDefault="004A1E2B" w:rsidP="007732B1">
            <w:pPr>
              <w:jc w:val="both"/>
              <w:rPr>
                <w:rFonts w:eastAsia="Calibri"/>
                <w:sz w:val="20"/>
              </w:rPr>
            </w:pPr>
            <w:r w:rsidRPr="00330CC4">
              <w:rPr>
                <w:rFonts w:eastAsia="Calibri"/>
                <w:sz w:val="20"/>
              </w:rPr>
              <w:t>Civil procedure — Motions judge granting order permanently staying counter-application filed by applicants on grounds that it had no reasonable prospect of success — Whether Court of Appeal erred in holding that motions’ judge had made no error?</w:t>
            </w:r>
          </w:p>
        </w:tc>
      </w:tr>
      <w:tr w:rsidR="004A1E2B" w:rsidRPr="00330CC4" w:rsidTr="007732B1">
        <w:tc>
          <w:tcPr>
            <w:tcW w:w="5000" w:type="pct"/>
            <w:gridSpan w:val="3"/>
          </w:tcPr>
          <w:p w:rsidR="004A1E2B" w:rsidRPr="00330CC4" w:rsidRDefault="004A1E2B" w:rsidP="007732B1">
            <w:pPr>
              <w:jc w:val="both"/>
              <w:rPr>
                <w:rFonts w:eastAsia="Calibri"/>
                <w:sz w:val="20"/>
              </w:rPr>
            </w:pPr>
          </w:p>
        </w:tc>
      </w:tr>
      <w:tr w:rsidR="004A1E2B" w:rsidRPr="00330CC4" w:rsidTr="007732B1">
        <w:tc>
          <w:tcPr>
            <w:tcW w:w="5000" w:type="pct"/>
            <w:gridSpan w:val="3"/>
          </w:tcPr>
          <w:p w:rsidR="004A1E2B" w:rsidRPr="00330CC4" w:rsidRDefault="004A1E2B" w:rsidP="007732B1">
            <w:pPr>
              <w:jc w:val="both"/>
              <w:rPr>
                <w:rFonts w:eastAsia="Calibri"/>
                <w:sz w:val="20"/>
              </w:rPr>
            </w:pPr>
            <w:r w:rsidRPr="00330CC4">
              <w:rPr>
                <w:rFonts w:eastAsia="Calibri"/>
                <w:sz w:val="20"/>
              </w:rPr>
              <w:t xml:space="preserve">In 2009, the Attorney General of Ontario filed an application brought under the </w:t>
            </w:r>
            <w:r w:rsidRPr="00330CC4">
              <w:rPr>
                <w:rFonts w:eastAsia="Calibri"/>
                <w:i/>
                <w:sz w:val="20"/>
              </w:rPr>
              <w:t>Civil Remedies Act</w:t>
            </w:r>
            <w:r w:rsidRPr="00330CC4">
              <w:rPr>
                <w:rFonts w:eastAsia="Calibri"/>
                <w:sz w:val="20"/>
              </w:rPr>
              <w:t xml:space="preserve">, 2001, S.O. 2001, c. 28 seeking the forfeiture of some of the applicants’ property as proceeds or instruments of crime.  The property in question had been seized by police in connection with an investigation of an alleged illegal drug distribution operation. </w:t>
            </w:r>
          </w:p>
          <w:p w:rsidR="004A1E2B" w:rsidRPr="00330CC4" w:rsidRDefault="004A1E2B" w:rsidP="007732B1">
            <w:pPr>
              <w:jc w:val="both"/>
              <w:rPr>
                <w:rFonts w:eastAsia="Calibri"/>
                <w:sz w:val="20"/>
              </w:rPr>
            </w:pPr>
          </w:p>
          <w:p w:rsidR="004A1E2B" w:rsidRPr="00330CC4" w:rsidRDefault="004A1E2B" w:rsidP="007732B1">
            <w:pPr>
              <w:jc w:val="both"/>
              <w:rPr>
                <w:rFonts w:eastAsia="Calibri"/>
                <w:sz w:val="20"/>
              </w:rPr>
            </w:pPr>
            <w:r w:rsidRPr="00330CC4">
              <w:rPr>
                <w:rFonts w:eastAsia="Calibri"/>
                <w:sz w:val="20"/>
              </w:rPr>
              <w:t xml:space="preserve">In response, the applicants filed a counter-application against the Attorney General and the Toronto Police Services Board (TPSB).  Among the remedies sought by the applicants was an order quashing the Attorney General’s application and an order granting the applicants’ $4 billion dollars in compensation. </w:t>
            </w:r>
          </w:p>
          <w:p w:rsidR="004A1E2B" w:rsidRPr="00330CC4" w:rsidRDefault="004A1E2B" w:rsidP="007732B1">
            <w:pPr>
              <w:jc w:val="both"/>
              <w:rPr>
                <w:rFonts w:eastAsia="Calibri"/>
                <w:sz w:val="20"/>
              </w:rPr>
            </w:pPr>
          </w:p>
          <w:p w:rsidR="004A1E2B" w:rsidRPr="00330CC4" w:rsidRDefault="004A1E2B" w:rsidP="007732B1">
            <w:pPr>
              <w:jc w:val="both"/>
              <w:rPr>
                <w:rFonts w:eastAsia="Calibri"/>
                <w:sz w:val="20"/>
              </w:rPr>
            </w:pPr>
            <w:r w:rsidRPr="00330CC4">
              <w:rPr>
                <w:rFonts w:eastAsia="Calibri"/>
                <w:sz w:val="20"/>
              </w:rPr>
              <w:t xml:space="preserve">The Attorney General of Ontario and the TPSB filed motions pursuant to Rule 21 of the </w:t>
            </w:r>
            <w:r w:rsidRPr="00330CC4">
              <w:rPr>
                <w:rFonts w:eastAsia="Calibri"/>
                <w:i/>
                <w:sz w:val="20"/>
              </w:rPr>
              <w:t>Rules of Civil Procedure</w:t>
            </w:r>
            <w:r w:rsidRPr="00330CC4">
              <w:rPr>
                <w:rFonts w:eastAsia="Calibri"/>
                <w:sz w:val="20"/>
              </w:rPr>
              <w:t>, R.R.O. 1990, Reg. 194 for an order staying or dismissing the counter-application on the grounds that it is frivolous, vexatious or otherwise an abuse of the process of the court.</w:t>
            </w:r>
          </w:p>
          <w:p w:rsidR="004A1E2B" w:rsidRPr="00330CC4" w:rsidRDefault="004A1E2B" w:rsidP="007732B1">
            <w:pPr>
              <w:jc w:val="both"/>
              <w:rPr>
                <w:rFonts w:eastAsia="Calibri"/>
                <w:sz w:val="20"/>
              </w:rPr>
            </w:pPr>
          </w:p>
        </w:tc>
      </w:tr>
      <w:tr w:rsidR="004A1E2B" w:rsidRPr="00330CC4" w:rsidTr="007732B1">
        <w:tc>
          <w:tcPr>
            <w:tcW w:w="2427" w:type="pct"/>
          </w:tcPr>
          <w:p w:rsidR="004A1E2B" w:rsidRPr="00330CC4" w:rsidRDefault="004A1E2B" w:rsidP="007732B1">
            <w:pPr>
              <w:jc w:val="both"/>
              <w:rPr>
                <w:rFonts w:eastAsia="Calibri"/>
                <w:sz w:val="20"/>
              </w:rPr>
            </w:pPr>
            <w:r w:rsidRPr="00330CC4">
              <w:rPr>
                <w:rFonts w:eastAsia="Calibri"/>
                <w:sz w:val="20"/>
              </w:rPr>
              <w:t>July 3, 2013</w:t>
            </w:r>
          </w:p>
          <w:p w:rsidR="004A1E2B" w:rsidRPr="00330CC4" w:rsidRDefault="004A1E2B" w:rsidP="007732B1">
            <w:pPr>
              <w:jc w:val="both"/>
              <w:rPr>
                <w:rFonts w:eastAsia="Calibri"/>
                <w:sz w:val="20"/>
              </w:rPr>
            </w:pPr>
            <w:r w:rsidRPr="00330CC4">
              <w:rPr>
                <w:rFonts w:eastAsia="Calibri"/>
                <w:sz w:val="20"/>
              </w:rPr>
              <w:t>Ontario Superior Court of Justice</w:t>
            </w:r>
          </w:p>
          <w:p w:rsidR="004A1E2B" w:rsidRPr="00330CC4" w:rsidRDefault="004A1E2B" w:rsidP="007732B1">
            <w:pPr>
              <w:jc w:val="both"/>
              <w:rPr>
                <w:rFonts w:eastAsia="Calibri"/>
                <w:sz w:val="20"/>
              </w:rPr>
            </w:pPr>
            <w:r w:rsidRPr="00330CC4">
              <w:rPr>
                <w:rFonts w:eastAsia="Calibri"/>
                <w:sz w:val="20"/>
              </w:rPr>
              <w:t>(Stinson J.)</w:t>
            </w:r>
          </w:p>
          <w:p w:rsidR="004A1E2B" w:rsidRPr="00330CC4" w:rsidRDefault="00F677DC" w:rsidP="007732B1">
            <w:pPr>
              <w:jc w:val="both"/>
              <w:rPr>
                <w:rFonts w:eastAsia="Calibri"/>
                <w:sz w:val="20"/>
              </w:rPr>
            </w:pPr>
            <w:hyperlink r:id="rId25" w:history="1">
              <w:r w:rsidR="004A1E2B" w:rsidRPr="00330CC4">
                <w:rPr>
                  <w:rFonts w:eastAsia="Calibri"/>
                  <w:color w:val="0000FF"/>
                  <w:sz w:val="20"/>
                  <w:u w:val="single"/>
                </w:rPr>
                <w:t>2013 ONSC 5940</w:t>
              </w:r>
            </w:hyperlink>
          </w:p>
          <w:p w:rsidR="004A1E2B" w:rsidRPr="00330CC4" w:rsidRDefault="004A1E2B" w:rsidP="007732B1">
            <w:pPr>
              <w:jc w:val="both"/>
              <w:rPr>
                <w:rFonts w:eastAsia="Calibri"/>
                <w:sz w:val="20"/>
              </w:rPr>
            </w:pPr>
          </w:p>
        </w:tc>
        <w:tc>
          <w:tcPr>
            <w:tcW w:w="243" w:type="pct"/>
          </w:tcPr>
          <w:p w:rsidR="004A1E2B" w:rsidRPr="00330CC4" w:rsidRDefault="004A1E2B" w:rsidP="007732B1">
            <w:pPr>
              <w:jc w:val="both"/>
              <w:rPr>
                <w:rFonts w:eastAsia="Calibri"/>
                <w:sz w:val="20"/>
              </w:rPr>
            </w:pPr>
          </w:p>
        </w:tc>
        <w:tc>
          <w:tcPr>
            <w:tcW w:w="2330" w:type="pct"/>
          </w:tcPr>
          <w:p w:rsidR="004A1E2B" w:rsidRPr="00330CC4" w:rsidRDefault="004A1E2B" w:rsidP="007732B1">
            <w:pPr>
              <w:jc w:val="both"/>
              <w:rPr>
                <w:rFonts w:eastAsia="Calibri"/>
                <w:sz w:val="20"/>
              </w:rPr>
            </w:pPr>
            <w:r w:rsidRPr="00330CC4">
              <w:rPr>
                <w:rFonts w:eastAsia="Calibri"/>
                <w:sz w:val="20"/>
              </w:rPr>
              <w:t>Counter-application filed by the applicants, permanently stayed</w:t>
            </w:r>
          </w:p>
          <w:p w:rsidR="004A1E2B" w:rsidRPr="00330CC4" w:rsidRDefault="004A1E2B" w:rsidP="007732B1">
            <w:pPr>
              <w:jc w:val="both"/>
              <w:rPr>
                <w:rFonts w:eastAsia="Calibri"/>
                <w:sz w:val="20"/>
              </w:rPr>
            </w:pPr>
          </w:p>
        </w:tc>
      </w:tr>
      <w:tr w:rsidR="004A1E2B" w:rsidRPr="00330CC4" w:rsidTr="007732B1">
        <w:tc>
          <w:tcPr>
            <w:tcW w:w="2427" w:type="pct"/>
          </w:tcPr>
          <w:p w:rsidR="004A1E2B" w:rsidRPr="00330CC4" w:rsidRDefault="004A1E2B" w:rsidP="007732B1">
            <w:pPr>
              <w:jc w:val="both"/>
              <w:rPr>
                <w:rFonts w:eastAsia="Calibri"/>
                <w:sz w:val="20"/>
              </w:rPr>
            </w:pPr>
            <w:r w:rsidRPr="00330CC4">
              <w:rPr>
                <w:rFonts w:eastAsia="Calibri"/>
                <w:sz w:val="20"/>
              </w:rPr>
              <w:t>March 7, 2014</w:t>
            </w:r>
          </w:p>
          <w:p w:rsidR="004A1E2B" w:rsidRPr="00330CC4" w:rsidRDefault="004A1E2B" w:rsidP="007732B1">
            <w:pPr>
              <w:jc w:val="both"/>
              <w:rPr>
                <w:rFonts w:eastAsia="Calibri"/>
                <w:sz w:val="20"/>
              </w:rPr>
            </w:pPr>
            <w:r w:rsidRPr="00330CC4">
              <w:rPr>
                <w:rFonts w:eastAsia="Calibri"/>
                <w:sz w:val="20"/>
              </w:rPr>
              <w:t>Court of Appeal for Ontario</w:t>
            </w:r>
          </w:p>
          <w:p w:rsidR="004A1E2B" w:rsidRPr="00330CC4" w:rsidRDefault="004A1E2B" w:rsidP="007732B1">
            <w:pPr>
              <w:jc w:val="both"/>
              <w:rPr>
                <w:rFonts w:eastAsia="Calibri"/>
                <w:sz w:val="20"/>
              </w:rPr>
            </w:pPr>
            <w:r w:rsidRPr="00330CC4">
              <w:rPr>
                <w:rFonts w:eastAsia="Calibri"/>
                <w:sz w:val="20"/>
              </w:rPr>
              <w:t>(MacFarland, Rouleau and Lauwers JJ.A)</w:t>
            </w:r>
          </w:p>
          <w:p w:rsidR="004A1E2B" w:rsidRPr="00330CC4" w:rsidRDefault="00F677DC" w:rsidP="007732B1">
            <w:pPr>
              <w:jc w:val="both"/>
              <w:rPr>
                <w:rFonts w:eastAsia="Calibri"/>
                <w:sz w:val="20"/>
              </w:rPr>
            </w:pPr>
            <w:hyperlink r:id="rId26" w:history="1">
              <w:r w:rsidR="004A1E2B" w:rsidRPr="00330CC4">
                <w:rPr>
                  <w:rFonts w:eastAsia="Calibri"/>
                  <w:color w:val="0000FF"/>
                  <w:sz w:val="20"/>
                  <w:u w:val="single"/>
                </w:rPr>
                <w:t>2014 ONCA 216</w:t>
              </w:r>
            </w:hyperlink>
          </w:p>
          <w:p w:rsidR="004A1E2B" w:rsidRPr="00330CC4" w:rsidRDefault="004A1E2B" w:rsidP="007732B1">
            <w:pPr>
              <w:jc w:val="both"/>
              <w:rPr>
                <w:rFonts w:eastAsia="Calibri"/>
                <w:sz w:val="20"/>
              </w:rPr>
            </w:pPr>
            <w:r w:rsidRPr="00330CC4">
              <w:rPr>
                <w:rFonts w:eastAsia="Calibri"/>
                <w:sz w:val="20"/>
              </w:rPr>
              <w:t>Court file No. C57834</w:t>
            </w:r>
          </w:p>
          <w:p w:rsidR="004A1E2B" w:rsidRPr="00330CC4" w:rsidRDefault="004A1E2B" w:rsidP="007732B1">
            <w:pPr>
              <w:jc w:val="both"/>
              <w:rPr>
                <w:rFonts w:eastAsia="Calibri"/>
                <w:sz w:val="20"/>
                <w:lang w:val="fr-FR"/>
              </w:rPr>
            </w:pPr>
          </w:p>
        </w:tc>
        <w:tc>
          <w:tcPr>
            <w:tcW w:w="243" w:type="pct"/>
          </w:tcPr>
          <w:p w:rsidR="004A1E2B" w:rsidRPr="00330CC4" w:rsidRDefault="004A1E2B" w:rsidP="007732B1">
            <w:pPr>
              <w:jc w:val="both"/>
              <w:rPr>
                <w:rFonts w:eastAsia="Calibri"/>
                <w:sz w:val="20"/>
                <w:lang w:val="fr-FR"/>
              </w:rPr>
            </w:pPr>
          </w:p>
        </w:tc>
        <w:tc>
          <w:tcPr>
            <w:tcW w:w="2330" w:type="pct"/>
          </w:tcPr>
          <w:p w:rsidR="004A1E2B" w:rsidRPr="00330CC4" w:rsidRDefault="004A1E2B" w:rsidP="007732B1">
            <w:pPr>
              <w:jc w:val="both"/>
              <w:rPr>
                <w:rFonts w:eastAsia="Calibri"/>
                <w:sz w:val="20"/>
              </w:rPr>
            </w:pPr>
            <w:r w:rsidRPr="00330CC4">
              <w:rPr>
                <w:rFonts w:eastAsia="Calibri"/>
                <w:sz w:val="20"/>
              </w:rPr>
              <w:t>Appeal dismissed</w:t>
            </w:r>
          </w:p>
          <w:p w:rsidR="004A1E2B" w:rsidRPr="00330CC4" w:rsidRDefault="004A1E2B" w:rsidP="007732B1">
            <w:pPr>
              <w:jc w:val="both"/>
              <w:rPr>
                <w:rFonts w:eastAsia="Calibri"/>
                <w:sz w:val="20"/>
              </w:rPr>
            </w:pPr>
          </w:p>
        </w:tc>
      </w:tr>
      <w:tr w:rsidR="004A1E2B" w:rsidRPr="00330CC4" w:rsidTr="007732B1">
        <w:tc>
          <w:tcPr>
            <w:tcW w:w="2427" w:type="pct"/>
          </w:tcPr>
          <w:p w:rsidR="004A1E2B" w:rsidRPr="00330CC4" w:rsidRDefault="004A1E2B" w:rsidP="007732B1">
            <w:pPr>
              <w:jc w:val="both"/>
              <w:rPr>
                <w:rFonts w:eastAsia="Calibri"/>
                <w:sz w:val="20"/>
              </w:rPr>
            </w:pPr>
            <w:r w:rsidRPr="00330CC4">
              <w:rPr>
                <w:rFonts w:eastAsia="Calibri"/>
                <w:sz w:val="20"/>
              </w:rPr>
              <w:t>May 6, 2014</w:t>
            </w:r>
          </w:p>
          <w:p w:rsidR="004A1E2B" w:rsidRPr="00330CC4" w:rsidRDefault="004A1E2B" w:rsidP="007732B1">
            <w:pPr>
              <w:jc w:val="both"/>
              <w:rPr>
                <w:rFonts w:eastAsia="Calibri"/>
                <w:sz w:val="20"/>
              </w:rPr>
            </w:pPr>
            <w:r w:rsidRPr="00330CC4">
              <w:rPr>
                <w:rFonts w:eastAsia="Calibri"/>
                <w:sz w:val="20"/>
              </w:rPr>
              <w:t>Supreme Court of Canada</w:t>
            </w:r>
          </w:p>
        </w:tc>
        <w:tc>
          <w:tcPr>
            <w:tcW w:w="243" w:type="pct"/>
          </w:tcPr>
          <w:p w:rsidR="004A1E2B" w:rsidRPr="00330CC4" w:rsidRDefault="004A1E2B" w:rsidP="007732B1">
            <w:pPr>
              <w:jc w:val="both"/>
              <w:rPr>
                <w:rFonts w:eastAsia="Calibri"/>
                <w:sz w:val="20"/>
              </w:rPr>
            </w:pPr>
          </w:p>
        </w:tc>
        <w:tc>
          <w:tcPr>
            <w:tcW w:w="2330" w:type="pct"/>
          </w:tcPr>
          <w:p w:rsidR="004A1E2B" w:rsidRPr="00330CC4" w:rsidRDefault="004A1E2B" w:rsidP="007732B1">
            <w:pPr>
              <w:jc w:val="both"/>
              <w:rPr>
                <w:rFonts w:eastAsia="Calibri"/>
                <w:sz w:val="20"/>
              </w:rPr>
            </w:pPr>
            <w:r w:rsidRPr="00330CC4">
              <w:rPr>
                <w:rFonts w:eastAsia="Calibri"/>
                <w:sz w:val="20"/>
              </w:rPr>
              <w:t>Application for leave to appeal filed</w:t>
            </w:r>
          </w:p>
        </w:tc>
      </w:tr>
    </w:tbl>
    <w:p w:rsidR="00185470" w:rsidRDefault="00185470" w:rsidP="000E2959">
      <w:pPr>
        <w:rPr>
          <w:sz w:val="20"/>
          <w:szCs w:val="20"/>
        </w:rPr>
      </w:pPr>
    </w:p>
    <w:p w:rsidR="00185470" w:rsidRPr="00C50A5C" w:rsidRDefault="00F677DC" w:rsidP="00185470">
      <w:pPr>
        <w:rPr>
          <w:sz w:val="20"/>
          <w:szCs w:val="20"/>
        </w:rPr>
      </w:pPr>
      <w:r>
        <w:rPr>
          <w:sz w:val="20"/>
          <w:szCs w:val="20"/>
          <w:lang w:val="fr-CA"/>
        </w:rPr>
        <w:pict>
          <v:rect id="_x0000_i1053" style="width:2in;height:1pt" o:hrpct="0" o:hralign="center" o:hrstd="t" o:hrnoshade="t" o:hr="t" fillcolor="black [3213]" stroked="f"/>
        </w:pict>
      </w:r>
    </w:p>
    <w:p w:rsidR="00185470" w:rsidRDefault="00185470" w:rsidP="00185470">
      <w:pPr>
        <w:rPr>
          <w:sz w:val="20"/>
          <w:szCs w:val="20"/>
        </w:rPr>
      </w:pPr>
    </w:p>
    <w:p w:rsidR="007732B1" w:rsidRDefault="007732B1">
      <w:pPr>
        <w:rPr>
          <w:sz w:val="20"/>
          <w:szCs w:val="20"/>
          <w:u w:val="single"/>
          <w:lang w:val="fr-CA"/>
        </w:rPr>
      </w:pPr>
      <w:r>
        <w:rPr>
          <w:sz w:val="20"/>
          <w:szCs w:val="20"/>
          <w:u w:val="single"/>
          <w:lang w:val="fr-CA"/>
        </w:rPr>
        <w:br w:type="page"/>
      </w:r>
    </w:p>
    <w:p w:rsidR="00185470" w:rsidRPr="001B157C" w:rsidRDefault="00185470" w:rsidP="00185470">
      <w:pPr>
        <w:rPr>
          <w:sz w:val="20"/>
          <w:szCs w:val="20"/>
          <w:u w:val="single"/>
          <w:lang w:val="fr-CA"/>
        </w:rPr>
      </w:pPr>
      <w:r w:rsidRPr="001B157C">
        <w:rPr>
          <w:sz w:val="20"/>
          <w:szCs w:val="20"/>
          <w:u w:val="single"/>
          <w:lang w:val="fr-CA"/>
        </w:rPr>
        <w:lastRenderedPageBreak/>
        <w:t>RÉSUMÉ DE L’AFFAIRE</w:t>
      </w:r>
    </w:p>
    <w:p w:rsidR="00185470" w:rsidRDefault="00185470" w:rsidP="0018547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A1E2B" w:rsidRPr="00F677DC" w:rsidTr="007732B1">
        <w:tc>
          <w:tcPr>
            <w:tcW w:w="5000" w:type="pct"/>
            <w:gridSpan w:val="3"/>
          </w:tcPr>
          <w:p w:rsidR="004A1E2B" w:rsidRPr="00330CC4" w:rsidRDefault="004A1E2B" w:rsidP="007732B1">
            <w:pPr>
              <w:jc w:val="both"/>
              <w:rPr>
                <w:rFonts w:eastAsia="Calibri"/>
                <w:sz w:val="20"/>
                <w:lang w:val="fr-CA"/>
              </w:rPr>
            </w:pPr>
            <w:r w:rsidRPr="00330CC4">
              <w:rPr>
                <w:rFonts w:eastAsia="Calibri"/>
                <w:sz w:val="20"/>
                <w:lang w:val="fr-CA"/>
              </w:rPr>
              <w:t xml:space="preserve">Procédure civile — Le juge des requêtes a accordé l’ordonnance suspendant de façon définitive la demande incidente déposée par les demandeurs au motif qu’elle n’avait aucune chance raisonnable d’être accueillie — Est-ce que la Cour d’appel a commis une erreur en décidant que le juge des requêtes n’avait pas fait d’erreur? </w:t>
            </w:r>
          </w:p>
        </w:tc>
      </w:tr>
      <w:tr w:rsidR="004A1E2B" w:rsidRPr="00F677DC" w:rsidTr="007732B1">
        <w:tc>
          <w:tcPr>
            <w:tcW w:w="5000" w:type="pct"/>
            <w:gridSpan w:val="3"/>
          </w:tcPr>
          <w:p w:rsidR="004A1E2B" w:rsidRPr="00330CC4" w:rsidRDefault="004A1E2B" w:rsidP="007732B1">
            <w:pPr>
              <w:jc w:val="both"/>
              <w:rPr>
                <w:rFonts w:eastAsia="Calibri"/>
                <w:sz w:val="20"/>
                <w:lang w:val="fr-CA"/>
              </w:rPr>
            </w:pPr>
          </w:p>
        </w:tc>
      </w:tr>
      <w:tr w:rsidR="004A1E2B" w:rsidRPr="00F677DC" w:rsidTr="007732B1">
        <w:tc>
          <w:tcPr>
            <w:tcW w:w="5000" w:type="pct"/>
            <w:gridSpan w:val="3"/>
          </w:tcPr>
          <w:p w:rsidR="004A1E2B" w:rsidRPr="00330CC4" w:rsidRDefault="004A1E2B" w:rsidP="007732B1">
            <w:pPr>
              <w:jc w:val="both"/>
              <w:rPr>
                <w:rFonts w:eastAsia="Calibri"/>
                <w:sz w:val="20"/>
                <w:lang w:val="fr-CA"/>
              </w:rPr>
            </w:pPr>
            <w:r w:rsidRPr="00330CC4">
              <w:rPr>
                <w:rFonts w:eastAsia="Calibri"/>
                <w:sz w:val="20"/>
                <w:lang w:val="fr-CA"/>
              </w:rPr>
              <w:t xml:space="preserve">En 2009, le procureur général de l’Ontario a déposé une demande en vertu de la </w:t>
            </w:r>
            <w:r w:rsidRPr="00330CC4">
              <w:rPr>
                <w:rFonts w:eastAsia="Calibri"/>
                <w:i/>
                <w:sz w:val="20"/>
                <w:lang w:val="fr-CA"/>
              </w:rPr>
              <w:t>Loi de 2001 sur les recours civils</w:t>
            </w:r>
            <w:r w:rsidRPr="00330CC4">
              <w:rPr>
                <w:rFonts w:eastAsia="Calibri"/>
                <w:sz w:val="20"/>
                <w:lang w:val="fr-CA"/>
              </w:rPr>
              <w:t xml:space="preserve">, 2001, L.O. 2001, c. 28 en vue d’obtenir une </w:t>
            </w:r>
            <w:r w:rsidRPr="00330CC4">
              <w:rPr>
                <w:rFonts w:eastAsia="Calibri"/>
                <w:color w:val="000000"/>
                <w:sz w:val="20"/>
                <w:lang w:val="fr-CA"/>
              </w:rPr>
              <w:t>ordonnance de confiscation d’une partie de la propriété des demandeurs à titre de produit de la criminalité. La propriété en cause avait été saisie par la police en lien avec une enquête à l’égard d’une prétendue opération de distribution de drogues illégales.</w:t>
            </w:r>
            <w:r w:rsidRPr="00330CC4">
              <w:rPr>
                <w:rFonts w:eastAsia="Calibri"/>
                <w:sz w:val="20"/>
                <w:lang w:val="fr-CA"/>
              </w:rPr>
              <w:t xml:space="preserve"> </w:t>
            </w:r>
          </w:p>
          <w:p w:rsidR="004A1E2B" w:rsidRPr="00330CC4" w:rsidRDefault="004A1E2B" w:rsidP="007732B1">
            <w:pPr>
              <w:jc w:val="both"/>
              <w:rPr>
                <w:rFonts w:eastAsia="Calibri"/>
                <w:sz w:val="20"/>
                <w:lang w:val="fr-CA"/>
              </w:rPr>
            </w:pPr>
          </w:p>
          <w:p w:rsidR="004A1E2B" w:rsidRPr="00330CC4" w:rsidRDefault="004A1E2B" w:rsidP="007732B1">
            <w:pPr>
              <w:jc w:val="both"/>
              <w:rPr>
                <w:rFonts w:eastAsia="Calibri"/>
                <w:sz w:val="20"/>
                <w:lang w:val="fr-CA"/>
              </w:rPr>
            </w:pPr>
            <w:r w:rsidRPr="00330CC4">
              <w:rPr>
                <w:rFonts w:eastAsia="Calibri"/>
                <w:sz w:val="20"/>
                <w:lang w:val="fr-CA"/>
              </w:rPr>
              <w:t xml:space="preserve">En réponse à la demande, les demandeurs ont déposé une demande incidente contre le procureur général et la Commission de services policiers de Toronto (CSPT). Parmi les réparations demandées par les demandeurs il y avait une ordonnance annulant la demande du procureur général et une ordonnance accordant une indemnité de 4 milliards de dollars aux demandeurs.  </w:t>
            </w:r>
          </w:p>
          <w:p w:rsidR="004A1E2B" w:rsidRPr="00330CC4" w:rsidRDefault="004A1E2B" w:rsidP="007732B1">
            <w:pPr>
              <w:jc w:val="both"/>
              <w:rPr>
                <w:rFonts w:eastAsia="Calibri"/>
                <w:sz w:val="20"/>
                <w:lang w:val="fr-CA"/>
              </w:rPr>
            </w:pPr>
          </w:p>
          <w:p w:rsidR="004A1E2B" w:rsidRPr="00330CC4" w:rsidRDefault="004A1E2B" w:rsidP="007732B1">
            <w:pPr>
              <w:jc w:val="both"/>
              <w:rPr>
                <w:rFonts w:eastAsia="Calibri"/>
                <w:sz w:val="20"/>
                <w:lang w:val="fr-CA"/>
              </w:rPr>
            </w:pPr>
            <w:r w:rsidRPr="00330CC4">
              <w:rPr>
                <w:rFonts w:eastAsia="Calibri"/>
                <w:sz w:val="20"/>
                <w:lang w:val="fr-CA"/>
              </w:rPr>
              <w:t xml:space="preserve">Le procureur général et la CSPT ont déposé des requêtes en vertu de la règle 21 des </w:t>
            </w:r>
            <w:r w:rsidRPr="00330CC4">
              <w:rPr>
                <w:rFonts w:eastAsia="Calibri"/>
                <w:i/>
                <w:sz w:val="20"/>
                <w:lang w:val="fr-CA"/>
              </w:rPr>
              <w:t>Règles de procédure civile</w:t>
            </w:r>
            <w:r w:rsidRPr="00330CC4">
              <w:rPr>
                <w:rFonts w:eastAsia="Calibri"/>
                <w:sz w:val="20"/>
                <w:lang w:val="fr-CA"/>
              </w:rPr>
              <w:t>, R.R.O. 1990, Règl. 194 en vue d’obtenir une ordonnance suspendant ou rejetant la demande incidente au motif qu’elle était frivole, vexatoire ou qu’elle constituait autrement un abus de procédure.</w:t>
            </w:r>
          </w:p>
          <w:p w:rsidR="004A1E2B" w:rsidRPr="00330CC4" w:rsidRDefault="004A1E2B" w:rsidP="007732B1">
            <w:pPr>
              <w:jc w:val="both"/>
              <w:rPr>
                <w:rFonts w:eastAsia="Calibri"/>
                <w:sz w:val="20"/>
                <w:lang w:val="fr-CA"/>
              </w:rPr>
            </w:pPr>
          </w:p>
        </w:tc>
      </w:tr>
      <w:tr w:rsidR="004A1E2B" w:rsidRPr="00F677DC" w:rsidTr="007732B1">
        <w:tc>
          <w:tcPr>
            <w:tcW w:w="2427" w:type="pct"/>
          </w:tcPr>
          <w:p w:rsidR="004A1E2B" w:rsidRPr="00330CC4" w:rsidRDefault="004A1E2B" w:rsidP="007732B1">
            <w:pPr>
              <w:jc w:val="both"/>
              <w:rPr>
                <w:rFonts w:eastAsia="Calibri"/>
                <w:sz w:val="20"/>
                <w:lang w:val="fr-CA"/>
              </w:rPr>
            </w:pPr>
            <w:r w:rsidRPr="00330CC4">
              <w:rPr>
                <w:rFonts w:eastAsia="Calibri"/>
                <w:sz w:val="20"/>
                <w:lang w:val="fr-CA"/>
              </w:rPr>
              <w:t>3 juillet 2013</w:t>
            </w:r>
          </w:p>
          <w:p w:rsidR="004A1E2B" w:rsidRPr="00330CC4" w:rsidRDefault="004A1E2B" w:rsidP="007732B1">
            <w:pPr>
              <w:jc w:val="both"/>
              <w:rPr>
                <w:rFonts w:eastAsia="Calibri"/>
                <w:sz w:val="20"/>
                <w:lang w:val="fr-CA"/>
              </w:rPr>
            </w:pPr>
            <w:r w:rsidRPr="00330CC4">
              <w:rPr>
                <w:rFonts w:eastAsia="Calibri"/>
                <w:sz w:val="20"/>
                <w:lang w:val="fr-CA"/>
              </w:rPr>
              <w:t xml:space="preserve">Cour supérieure de justice de l’Ontario </w:t>
            </w:r>
          </w:p>
          <w:p w:rsidR="004A1E2B" w:rsidRPr="00330CC4" w:rsidRDefault="004A1E2B" w:rsidP="007732B1">
            <w:pPr>
              <w:jc w:val="both"/>
              <w:rPr>
                <w:rFonts w:eastAsia="Calibri"/>
                <w:sz w:val="20"/>
              </w:rPr>
            </w:pPr>
            <w:r w:rsidRPr="00330CC4">
              <w:rPr>
                <w:rFonts w:eastAsia="Calibri"/>
                <w:sz w:val="20"/>
              </w:rPr>
              <w:t>(Juge Stinson)</w:t>
            </w:r>
          </w:p>
          <w:p w:rsidR="004A1E2B" w:rsidRPr="00330CC4" w:rsidRDefault="00F677DC" w:rsidP="007732B1">
            <w:pPr>
              <w:jc w:val="both"/>
              <w:rPr>
                <w:rFonts w:eastAsia="Calibri"/>
                <w:sz w:val="20"/>
              </w:rPr>
            </w:pPr>
            <w:hyperlink r:id="rId27" w:history="1">
              <w:r w:rsidR="004A1E2B" w:rsidRPr="00330CC4">
                <w:rPr>
                  <w:rFonts w:eastAsia="Calibri"/>
                  <w:color w:val="0000FF"/>
                  <w:sz w:val="20"/>
                  <w:u w:val="single"/>
                </w:rPr>
                <w:t>2013 ONSC 5940</w:t>
              </w:r>
            </w:hyperlink>
          </w:p>
          <w:p w:rsidR="004A1E2B" w:rsidRPr="00330CC4" w:rsidRDefault="004A1E2B" w:rsidP="007732B1">
            <w:pPr>
              <w:jc w:val="both"/>
              <w:rPr>
                <w:rFonts w:eastAsia="Calibri"/>
                <w:sz w:val="20"/>
              </w:rPr>
            </w:pPr>
          </w:p>
        </w:tc>
        <w:tc>
          <w:tcPr>
            <w:tcW w:w="243" w:type="pct"/>
          </w:tcPr>
          <w:p w:rsidR="004A1E2B" w:rsidRPr="00330CC4" w:rsidRDefault="004A1E2B" w:rsidP="007732B1">
            <w:pPr>
              <w:jc w:val="both"/>
              <w:rPr>
                <w:rFonts w:eastAsia="Calibri"/>
                <w:sz w:val="20"/>
              </w:rPr>
            </w:pPr>
          </w:p>
        </w:tc>
        <w:tc>
          <w:tcPr>
            <w:tcW w:w="2330" w:type="pct"/>
          </w:tcPr>
          <w:p w:rsidR="004A1E2B" w:rsidRPr="00330CC4" w:rsidRDefault="004A1E2B" w:rsidP="007732B1">
            <w:pPr>
              <w:jc w:val="both"/>
              <w:rPr>
                <w:rFonts w:eastAsia="Calibri"/>
                <w:sz w:val="20"/>
                <w:lang w:val="fr-CA"/>
              </w:rPr>
            </w:pPr>
            <w:r w:rsidRPr="00330CC4">
              <w:rPr>
                <w:rFonts w:eastAsia="Calibri"/>
                <w:sz w:val="20"/>
                <w:lang w:val="fr-CA"/>
              </w:rPr>
              <w:t xml:space="preserve">Demande incidente déposée par les demandeurs, suspendue de façon définitive </w:t>
            </w:r>
          </w:p>
          <w:p w:rsidR="004A1E2B" w:rsidRPr="00330CC4" w:rsidRDefault="004A1E2B" w:rsidP="007732B1">
            <w:pPr>
              <w:jc w:val="both"/>
              <w:rPr>
                <w:rFonts w:eastAsia="Calibri"/>
                <w:sz w:val="20"/>
                <w:lang w:val="fr-CA"/>
              </w:rPr>
            </w:pPr>
          </w:p>
        </w:tc>
      </w:tr>
      <w:tr w:rsidR="004A1E2B" w:rsidRPr="00330CC4" w:rsidTr="007732B1">
        <w:tc>
          <w:tcPr>
            <w:tcW w:w="2427" w:type="pct"/>
          </w:tcPr>
          <w:p w:rsidR="004A1E2B" w:rsidRPr="00330CC4" w:rsidRDefault="004A1E2B" w:rsidP="007732B1">
            <w:pPr>
              <w:jc w:val="both"/>
              <w:rPr>
                <w:rFonts w:eastAsia="Calibri"/>
                <w:sz w:val="20"/>
                <w:lang w:val="fr-CA"/>
              </w:rPr>
            </w:pPr>
            <w:r w:rsidRPr="00330CC4">
              <w:rPr>
                <w:rFonts w:eastAsia="Calibri"/>
                <w:sz w:val="20"/>
                <w:lang w:val="fr-CA"/>
              </w:rPr>
              <w:t>7 mars 2014</w:t>
            </w:r>
          </w:p>
          <w:p w:rsidR="004A1E2B" w:rsidRPr="00330CC4" w:rsidRDefault="004A1E2B" w:rsidP="007732B1">
            <w:pPr>
              <w:jc w:val="both"/>
              <w:rPr>
                <w:rFonts w:eastAsia="Calibri"/>
                <w:sz w:val="20"/>
                <w:lang w:val="fr-CA"/>
              </w:rPr>
            </w:pPr>
            <w:r w:rsidRPr="00330CC4">
              <w:rPr>
                <w:rFonts w:eastAsia="Calibri"/>
                <w:sz w:val="20"/>
                <w:lang w:val="fr-CA"/>
              </w:rPr>
              <w:t>Cour d’appel de l’Ontario</w:t>
            </w:r>
          </w:p>
          <w:p w:rsidR="004A1E2B" w:rsidRPr="00330CC4" w:rsidRDefault="004A1E2B" w:rsidP="007732B1">
            <w:pPr>
              <w:jc w:val="both"/>
              <w:rPr>
                <w:rFonts w:eastAsia="Calibri"/>
                <w:sz w:val="20"/>
                <w:lang w:val="fr-CA"/>
              </w:rPr>
            </w:pPr>
            <w:r w:rsidRPr="00330CC4">
              <w:rPr>
                <w:rFonts w:eastAsia="Calibri"/>
                <w:sz w:val="20"/>
                <w:lang w:val="fr-CA"/>
              </w:rPr>
              <w:t>(Juges MacFarland, Rouleau et Lauwers)</w:t>
            </w:r>
          </w:p>
          <w:p w:rsidR="004A1E2B" w:rsidRPr="00330CC4" w:rsidRDefault="00F677DC" w:rsidP="007732B1">
            <w:pPr>
              <w:jc w:val="both"/>
              <w:rPr>
                <w:rFonts w:eastAsia="Calibri"/>
                <w:sz w:val="20"/>
                <w:lang w:val="fr-CA"/>
              </w:rPr>
            </w:pPr>
            <w:hyperlink r:id="rId28" w:history="1">
              <w:r w:rsidR="004A1E2B" w:rsidRPr="00330CC4">
                <w:rPr>
                  <w:rFonts w:eastAsia="Calibri"/>
                  <w:color w:val="0000FF"/>
                  <w:sz w:val="20"/>
                  <w:u w:val="single"/>
                  <w:lang w:val="fr-CA"/>
                </w:rPr>
                <w:t>2014 ONCA 216</w:t>
              </w:r>
            </w:hyperlink>
          </w:p>
          <w:p w:rsidR="004A1E2B" w:rsidRPr="00330CC4" w:rsidRDefault="004A1E2B" w:rsidP="007732B1">
            <w:pPr>
              <w:jc w:val="both"/>
              <w:rPr>
                <w:rFonts w:eastAsia="Calibri"/>
                <w:sz w:val="20"/>
                <w:lang w:val="fr-CA"/>
              </w:rPr>
            </w:pPr>
            <w:r w:rsidRPr="00330CC4">
              <w:rPr>
                <w:rFonts w:eastAsia="Calibri"/>
                <w:sz w:val="20"/>
                <w:lang w:val="fr-CA"/>
              </w:rPr>
              <w:t>Numéro de dossier de la Cour C57834</w:t>
            </w:r>
          </w:p>
          <w:p w:rsidR="004A1E2B" w:rsidRPr="00330CC4" w:rsidRDefault="004A1E2B" w:rsidP="007732B1">
            <w:pPr>
              <w:jc w:val="both"/>
              <w:rPr>
                <w:rFonts w:eastAsia="Calibri"/>
                <w:sz w:val="20"/>
                <w:lang w:val="fr-FR"/>
              </w:rPr>
            </w:pPr>
          </w:p>
        </w:tc>
        <w:tc>
          <w:tcPr>
            <w:tcW w:w="243" w:type="pct"/>
          </w:tcPr>
          <w:p w:rsidR="004A1E2B" w:rsidRPr="00330CC4" w:rsidRDefault="004A1E2B" w:rsidP="007732B1">
            <w:pPr>
              <w:jc w:val="both"/>
              <w:rPr>
                <w:rFonts w:eastAsia="Calibri"/>
                <w:sz w:val="20"/>
                <w:lang w:val="fr-FR"/>
              </w:rPr>
            </w:pPr>
          </w:p>
        </w:tc>
        <w:tc>
          <w:tcPr>
            <w:tcW w:w="2330" w:type="pct"/>
          </w:tcPr>
          <w:p w:rsidR="004A1E2B" w:rsidRPr="00330CC4" w:rsidRDefault="004A1E2B" w:rsidP="007732B1">
            <w:pPr>
              <w:jc w:val="both"/>
              <w:rPr>
                <w:rFonts w:eastAsia="Calibri"/>
                <w:sz w:val="20"/>
              </w:rPr>
            </w:pPr>
            <w:r w:rsidRPr="00330CC4">
              <w:rPr>
                <w:rFonts w:eastAsia="Calibri"/>
                <w:sz w:val="20"/>
              </w:rPr>
              <w:t>Appel rejeté</w:t>
            </w:r>
          </w:p>
          <w:p w:rsidR="004A1E2B" w:rsidRPr="00330CC4" w:rsidRDefault="004A1E2B" w:rsidP="007732B1">
            <w:pPr>
              <w:jc w:val="both"/>
              <w:rPr>
                <w:rFonts w:eastAsia="Calibri"/>
                <w:sz w:val="20"/>
              </w:rPr>
            </w:pPr>
          </w:p>
        </w:tc>
      </w:tr>
      <w:tr w:rsidR="004A1E2B" w:rsidRPr="00330CC4" w:rsidTr="007732B1">
        <w:tc>
          <w:tcPr>
            <w:tcW w:w="2427" w:type="pct"/>
          </w:tcPr>
          <w:p w:rsidR="004A1E2B" w:rsidRPr="00330CC4" w:rsidRDefault="004A1E2B" w:rsidP="007732B1">
            <w:pPr>
              <w:jc w:val="both"/>
              <w:rPr>
                <w:rFonts w:eastAsia="Calibri"/>
                <w:sz w:val="20"/>
                <w:lang w:val="fr-CA"/>
              </w:rPr>
            </w:pPr>
            <w:r w:rsidRPr="00330CC4">
              <w:rPr>
                <w:rFonts w:eastAsia="Calibri"/>
                <w:sz w:val="20"/>
                <w:lang w:val="fr-CA"/>
              </w:rPr>
              <w:t>6 mai 2014</w:t>
            </w:r>
          </w:p>
          <w:p w:rsidR="004A1E2B" w:rsidRPr="00330CC4" w:rsidRDefault="004A1E2B" w:rsidP="007732B1">
            <w:pPr>
              <w:jc w:val="both"/>
              <w:rPr>
                <w:rFonts w:eastAsia="Calibri"/>
                <w:sz w:val="20"/>
                <w:lang w:val="fr-CA"/>
              </w:rPr>
            </w:pPr>
            <w:r w:rsidRPr="00330CC4">
              <w:rPr>
                <w:rFonts w:eastAsia="Calibri"/>
                <w:sz w:val="20"/>
                <w:lang w:val="fr-CA"/>
              </w:rPr>
              <w:t>Cour suprême du Canada</w:t>
            </w:r>
          </w:p>
        </w:tc>
        <w:tc>
          <w:tcPr>
            <w:tcW w:w="243" w:type="pct"/>
          </w:tcPr>
          <w:p w:rsidR="004A1E2B" w:rsidRPr="00330CC4" w:rsidRDefault="004A1E2B" w:rsidP="007732B1">
            <w:pPr>
              <w:jc w:val="both"/>
              <w:rPr>
                <w:rFonts w:eastAsia="Calibri"/>
                <w:sz w:val="20"/>
                <w:lang w:val="fr-CA"/>
              </w:rPr>
            </w:pPr>
          </w:p>
        </w:tc>
        <w:tc>
          <w:tcPr>
            <w:tcW w:w="2330" w:type="pct"/>
          </w:tcPr>
          <w:p w:rsidR="004A1E2B" w:rsidRPr="00330CC4" w:rsidRDefault="004A1E2B" w:rsidP="007732B1">
            <w:pPr>
              <w:jc w:val="both"/>
              <w:rPr>
                <w:rFonts w:eastAsia="Calibri"/>
                <w:sz w:val="20"/>
              </w:rPr>
            </w:pPr>
            <w:r w:rsidRPr="00330CC4">
              <w:rPr>
                <w:rFonts w:eastAsia="Calibri"/>
                <w:sz w:val="20"/>
              </w:rPr>
              <w:t>Demande d’autorisation d’appel déposée</w:t>
            </w:r>
          </w:p>
        </w:tc>
      </w:tr>
    </w:tbl>
    <w:p w:rsidR="00185470" w:rsidRDefault="00185470" w:rsidP="000E2959">
      <w:pPr>
        <w:rPr>
          <w:sz w:val="20"/>
          <w:szCs w:val="20"/>
        </w:rPr>
      </w:pPr>
    </w:p>
    <w:p w:rsidR="00185470" w:rsidRDefault="00F677DC" w:rsidP="000E2959">
      <w:pPr>
        <w:rPr>
          <w:sz w:val="20"/>
          <w:szCs w:val="20"/>
        </w:rPr>
      </w:pPr>
      <w:r>
        <w:rPr>
          <w:sz w:val="20"/>
          <w:szCs w:val="20"/>
          <w:lang w:val="fr-CA"/>
        </w:rPr>
        <w:pict>
          <v:rect id="_x0000_i1054" style="width:2in;height:1pt" o:hrpct="0" o:hralign="center" o:hrstd="t" o:hrnoshade="t" o:hr="t" fillcolor="black [3213]" stroked="f"/>
        </w:pict>
      </w:r>
    </w:p>
    <w:p w:rsidR="00185470" w:rsidRDefault="00185470" w:rsidP="00185470">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B4E4F" w:rsidRPr="006F63FD" w:rsidTr="00AB4E4F">
        <w:trPr>
          <w:cantSplit/>
        </w:trPr>
        <w:tc>
          <w:tcPr>
            <w:tcW w:w="1458" w:type="dxa"/>
          </w:tcPr>
          <w:p w:rsidR="00AB4E4F" w:rsidRPr="006F63FD" w:rsidRDefault="00AB4E4F" w:rsidP="00AB4E4F">
            <w:pPr>
              <w:rPr>
                <w:sz w:val="20"/>
                <w:szCs w:val="20"/>
              </w:rPr>
            </w:pPr>
            <w:r w:rsidRPr="006F63FD">
              <w:rPr>
                <w:rStyle w:val="SCCFileNumberChar"/>
                <w:sz w:val="20"/>
                <w:szCs w:val="20"/>
              </w:rPr>
              <w:t>35888</w:t>
            </w:r>
          </w:p>
          <w:p w:rsidR="00AB4E4F" w:rsidRPr="006F63FD" w:rsidRDefault="00AB4E4F" w:rsidP="00AB4E4F">
            <w:pPr>
              <w:rPr>
                <w:b/>
                <w:sz w:val="20"/>
                <w:szCs w:val="20"/>
                <w:lang w:val="fr-CA"/>
              </w:rPr>
            </w:pPr>
          </w:p>
        </w:tc>
        <w:tc>
          <w:tcPr>
            <w:tcW w:w="8118" w:type="dxa"/>
          </w:tcPr>
          <w:p w:rsidR="00AB4E4F" w:rsidRPr="006F63FD" w:rsidRDefault="00AB4E4F" w:rsidP="00AB4E4F">
            <w:pPr>
              <w:rPr>
                <w:sz w:val="20"/>
                <w:szCs w:val="20"/>
              </w:rPr>
            </w:pPr>
            <w:r w:rsidRPr="006F63FD">
              <w:rPr>
                <w:rStyle w:val="SCCLsocChar"/>
                <w:sz w:val="20"/>
                <w:szCs w:val="20"/>
                <w:lang w:val="en-CA"/>
              </w:rPr>
              <w:t>R.V. v. R.P.</w:t>
            </w:r>
            <w:r w:rsidRPr="006F63FD">
              <w:rPr>
                <w:sz w:val="20"/>
                <w:szCs w:val="20"/>
              </w:rPr>
              <w:t xml:space="preserve"> (Alta.) (Civil) (By Leave)</w:t>
            </w:r>
          </w:p>
          <w:p w:rsidR="00AB4E4F" w:rsidRPr="006F63FD" w:rsidRDefault="00AB4E4F" w:rsidP="00AB4E4F">
            <w:pPr>
              <w:rPr>
                <w:sz w:val="20"/>
                <w:szCs w:val="20"/>
              </w:rPr>
            </w:pPr>
          </w:p>
        </w:tc>
      </w:tr>
      <w:tr w:rsidR="00AB4E4F" w:rsidRPr="006F63FD" w:rsidTr="00AB4E4F">
        <w:trPr>
          <w:cantSplit/>
        </w:trPr>
        <w:tc>
          <w:tcPr>
            <w:tcW w:w="1458" w:type="dxa"/>
          </w:tcPr>
          <w:p w:rsidR="00AB4E4F" w:rsidRPr="006F63FD" w:rsidRDefault="00AB4E4F" w:rsidP="00AB4E4F">
            <w:pPr>
              <w:rPr>
                <w:sz w:val="20"/>
                <w:szCs w:val="20"/>
              </w:rPr>
            </w:pPr>
            <w:r w:rsidRPr="006F63FD">
              <w:rPr>
                <w:sz w:val="20"/>
                <w:szCs w:val="20"/>
              </w:rPr>
              <w:t>Coram :</w:t>
            </w:r>
          </w:p>
        </w:tc>
        <w:tc>
          <w:tcPr>
            <w:tcW w:w="8118" w:type="dxa"/>
          </w:tcPr>
          <w:p w:rsidR="00AB4E4F" w:rsidRPr="006F63FD" w:rsidRDefault="00AB4E4F" w:rsidP="00AB4E4F">
            <w:pPr>
              <w:rPr>
                <w:sz w:val="20"/>
                <w:szCs w:val="20"/>
              </w:rPr>
            </w:pPr>
            <w:r w:rsidRPr="006F63FD">
              <w:rPr>
                <w:rStyle w:val="SCCCoramChar"/>
                <w:sz w:val="20"/>
                <w:szCs w:val="20"/>
                <w:lang w:val="en-CA"/>
              </w:rPr>
              <w:t>McLachlin C.J. and Cromwell and Wagner JJ.</w:t>
            </w:r>
          </w:p>
          <w:p w:rsidR="00AB4E4F" w:rsidRPr="006F63FD" w:rsidRDefault="00AB4E4F" w:rsidP="00AB4E4F">
            <w:pPr>
              <w:rPr>
                <w:sz w:val="20"/>
                <w:szCs w:val="20"/>
                <w:u w:val="single"/>
              </w:rPr>
            </w:pPr>
          </w:p>
        </w:tc>
      </w:tr>
      <w:tr w:rsidR="00AB4E4F" w:rsidRPr="00F677DC" w:rsidTr="00AB4E4F">
        <w:trPr>
          <w:cantSplit/>
        </w:trPr>
        <w:tc>
          <w:tcPr>
            <w:tcW w:w="9576" w:type="dxa"/>
            <w:gridSpan w:val="2"/>
          </w:tcPr>
          <w:p w:rsidR="00AB4E4F" w:rsidRPr="006F63FD" w:rsidRDefault="00AB4E4F" w:rsidP="00AB4E4F">
            <w:pPr>
              <w:pStyle w:val="SCCShortJudgment"/>
              <w:rPr>
                <w:szCs w:val="20"/>
              </w:rPr>
            </w:pPr>
            <w:r w:rsidRPr="006F63FD">
              <w:rPr>
                <w:szCs w:val="20"/>
              </w:rPr>
              <w:t>The application for leave to appeal from the judgment of the Court of Appeal of Alberta (Calgary), Number 1301-0229-AC, 2014 ABCA 109, dated March 18, 2014, is dismissed with costs.</w:t>
            </w:r>
          </w:p>
          <w:p w:rsidR="00AB4E4F" w:rsidRPr="006F63FD" w:rsidRDefault="00AB4E4F" w:rsidP="00AB4E4F">
            <w:pPr>
              <w:pStyle w:val="SCCShortJudgment"/>
              <w:ind w:firstLine="0"/>
              <w:rPr>
                <w:szCs w:val="20"/>
              </w:rPr>
            </w:pPr>
          </w:p>
          <w:p w:rsidR="00AB4E4F" w:rsidRPr="006F63FD" w:rsidRDefault="00AB4E4F" w:rsidP="00AB4E4F">
            <w:pPr>
              <w:pStyle w:val="SCCShortJudgment"/>
              <w:rPr>
                <w:szCs w:val="20"/>
                <w:lang w:val="fr-CA"/>
              </w:rPr>
            </w:pPr>
            <w:r w:rsidRPr="006F63FD">
              <w:rPr>
                <w:szCs w:val="20"/>
                <w:lang w:val="fr-CA"/>
              </w:rPr>
              <w:t>La demande d’autorisation d’appel de l’arrêt de la Cour d'appel de l’Alberta (Calgary), numéro 1301-0229-AC, 2014 ABCA 109, daté du 18 mars 2014, est rejetée avec dépens.</w:t>
            </w:r>
          </w:p>
        </w:tc>
      </w:tr>
    </w:tbl>
    <w:p w:rsidR="00185470" w:rsidRDefault="00185470" w:rsidP="00185470">
      <w:pPr>
        <w:rPr>
          <w:sz w:val="20"/>
          <w:szCs w:val="20"/>
          <w:lang w:val="fr-CA"/>
        </w:rPr>
      </w:pPr>
    </w:p>
    <w:p w:rsidR="007732B1" w:rsidRPr="007753CE" w:rsidRDefault="007732B1">
      <w:pPr>
        <w:rPr>
          <w:sz w:val="20"/>
          <w:szCs w:val="20"/>
          <w:u w:val="single"/>
          <w:lang w:val="fr-CA"/>
        </w:rPr>
      </w:pPr>
      <w:r w:rsidRPr="007753CE">
        <w:rPr>
          <w:sz w:val="20"/>
          <w:szCs w:val="20"/>
          <w:u w:val="single"/>
          <w:lang w:val="fr-CA"/>
        </w:rPr>
        <w:br w:type="page"/>
      </w:r>
    </w:p>
    <w:p w:rsidR="00185470" w:rsidRPr="001B157C" w:rsidRDefault="00185470" w:rsidP="00185470">
      <w:pPr>
        <w:rPr>
          <w:sz w:val="20"/>
          <w:szCs w:val="20"/>
          <w:u w:val="single"/>
        </w:rPr>
      </w:pPr>
      <w:r w:rsidRPr="001B157C">
        <w:rPr>
          <w:sz w:val="20"/>
          <w:szCs w:val="20"/>
          <w:u w:val="single"/>
        </w:rPr>
        <w:lastRenderedPageBreak/>
        <w:t>CASE SUMMARY</w:t>
      </w:r>
    </w:p>
    <w:p w:rsidR="00185470" w:rsidRDefault="00185470" w:rsidP="0018547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12EB9" w:rsidRPr="00330CC4" w:rsidTr="007732B1">
        <w:tc>
          <w:tcPr>
            <w:tcW w:w="5000" w:type="pct"/>
            <w:gridSpan w:val="3"/>
          </w:tcPr>
          <w:p w:rsidR="00012EB9" w:rsidRPr="00330CC4" w:rsidRDefault="00012EB9" w:rsidP="007732B1">
            <w:pPr>
              <w:jc w:val="both"/>
              <w:rPr>
                <w:rFonts w:eastAsia="Calibri"/>
                <w:smallCaps/>
                <w:sz w:val="20"/>
              </w:rPr>
            </w:pPr>
            <w:r w:rsidRPr="00330CC4">
              <w:rPr>
                <w:rFonts w:eastAsia="Calibri"/>
                <w:smallCaps/>
                <w:sz w:val="20"/>
              </w:rPr>
              <w:t>(</w:t>
            </w:r>
            <w:r>
              <w:rPr>
                <w:rFonts w:eastAsia="Calibri"/>
                <w:smallCaps/>
                <w:sz w:val="20"/>
              </w:rPr>
              <w:t>P</w:t>
            </w:r>
            <w:r w:rsidRPr="00330CC4">
              <w:rPr>
                <w:rFonts w:eastAsia="Calibri"/>
                <w:smallCaps/>
                <w:sz w:val="20"/>
              </w:rPr>
              <w:t xml:space="preserve">ublication </w:t>
            </w:r>
            <w:r>
              <w:rPr>
                <w:rFonts w:eastAsia="Calibri"/>
                <w:smallCaps/>
                <w:sz w:val="20"/>
              </w:rPr>
              <w:t>B</w:t>
            </w:r>
            <w:r w:rsidRPr="00330CC4">
              <w:rPr>
                <w:rFonts w:eastAsia="Calibri"/>
                <w:smallCaps/>
                <w:sz w:val="20"/>
              </w:rPr>
              <w:t xml:space="preserve">an in </w:t>
            </w:r>
            <w:r>
              <w:rPr>
                <w:rFonts w:eastAsia="Calibri"/>
                <w:smallCaps/>
                <w:sz w:val="20"/>
              </w:rPr>
              <w:t>C</w:t>
            </w:r>
            <w:r w:rsidRPr="00330CC4">
              <w:rPr>
                <w:rFonts w:eastAsia="Calibri"/>
                <w:smallCaps/>
                <w:sz w:val="20"/>
              </w:rPr>
              <w:t xml:space="preserve">ase) (Publication </w:t>
            </w:r>
            <w:r>
              <w:rPr>
                <w:rFonts w:eastAsia="Calibri"/>
                <w:smallCaps/>
                <w:sz w:val="20"/>
              </w:rPr>
              <w:t>B</w:t>
            </w:r>
            <w:r w:rsidRPr="00330CC4">
              <w:rPr>
                <w:rFonts w:eastAsia="Calibri"/>
                <w:smallCaps/>
                <w:sz w:val="20"/>
              </w:rPr>
              <w:t xml:space="preserve">an on </w:t>
            </w:r>
            <w:r>
              <w:rPr>
                <w:rFonts w:eastAsia="Calibri"/>
                <w:smallCaps/>
                <w:sz w:val="20"/>
              </w:rPr>
              <w:t>P</w:t>
            </w:r>
            <w:r w:rsidRPr="00330CC4">
              <w:rPr>
                <w:rFonts w:eastAsia="Calibri"/>
                <w:smallCaps/>
                <w:sz w:val="20"/>
              </w:rPr>
              <w:t>arty)</w:t>
            </w:r>
          </w:p>
          <w:p w:rsidR="00012EB9" w:rsidRPr="00330CC4" w:rsidRDefault="00012EB9" w:rsidP="007732B1">
            <w:pPr>
              <w:jc w:val="both"/>
              <w:rPr>
                <w:rFonts w:eastAsia="Calibri"/>
                <w:sz w:val="20"/>
              </w:rPr>
            </w:pPr>
          </w:p>
          <w:p w:rsidR="00012EB9" w:rsidRPr="00330CC4" w:rsidRDefault="00012EB9" w:rsidP="007732B1">
            <w:pPr>
              <w:jc w:val="both"/>
              <w:rPr>
                <w:rFonts w:eastAsia="Calibri"/>
                <w:sz w:val="20"/>
              </w:rPr>
            </w:pPr>
            <w:r w:rsidRPr="00330CC4">
              <w:rPr>
                <w:rFonts w:eastAsia="Calibri"/>
                <w:sz w:val="20"/>
              </w:rPr>
              <w:t>Family law – Custody – Whether it is acceptable for one parent to unilaterally make a change in the custody and primary care of the child – Whether a self-help measure by a parent when there is consent shared parenting is an acceptable option – Whether a judge can rely on the reasons for judgment of another trial, which had a different result – Whether the parent seeking to vary a parenting and custody order is required to provide evidence of a material change of circumstance</w:t>
            </w:r>
          </w:p>
        </w:tc>
      </w:tr>
      <w:tr w:rsidR="00012EB9" w:rsidRPr="00330CC4" w:rsidTr="007732B1">
        <w:tc>
          <w:tcPr>
            <w:tcW w:w="5000" w:type="pct"/>
            <w:gridSpan w:val="3"/>
          </w:tcPr>
          <w:p w:rsidR="00012EB9" w:rsidRPr="00330CC4" w:rsidRDefault="00012EB9" w:rsidP="007732B1">
            <w:pPr>
              <w:jc w:val="both"/>
              <w:rPr>
                <w:rFonts w:eastAsia="Calibri"/>
                <w:sz w:val="20"/>
              </w:rPr>
            </w:pPr>
          </w:p>
        </w:tc>
      </w:tr>
      <w:tr w:rsidR="00012EB9" w:rsidRPr="00330CC4" w:rsidTr="007732B1">
        <w:tc>
          <w:tcPr>
            <w:tcW w:w="5000" w:type="pct"/>
            <w:gridSpan w:val="3"/>
          </w:tcPr>
          <w:p w:rsidR="00012EB9" w:rsidRPr="00330CC4" w:rsidRDefault="00012EB9" w:rsidP="007732B1">
            <w:pPr>
              <w:jc w:val="both"/>
              <w:rPr>
                <w:rFonts w:eastAsia="Calibri"/>
                <w:sz w:val="20"/>
              </w:rPr>
            </w:pPr>
            <w:r w:rsidRPr="00330CC4">
              <w:rPr>
                <w:rFonts w:eastAsia="Calibri"/>
                <w:sz w:val="20"/>
              </w:rPr>
              <w:t>A consent order directing, in part, shared custody of the child was granted in 2003.  In 2012, the mother obtained a restraining order against the father preventing him from seeing the child.  As part of that order, the parenting order was stayed.  The father appealed the restraining order but by the time the appeal was heard the issue was moot as the restraining order and stay had expired.  The panel declined to address the merits of the appeal because it was moot, but suggested that in subsequent applications, the Court of Queen’s Bench should decide the matter based on fresh evidence.  Following this, the father requested that the shared parenting plan be reinstated.  The mother was granted sole custody and no contact between the father and the son unless initiated by the son and at his discretion.  The mother was also granted child support and arrears.  The father’s appeal was dismissed.</w:t>
            </w:r>
          </w:p>
          <w:p w:rsidR="00012EB9" w:rsidRPr="00330CC4" w:rsidRDefault="00012EB9" w:rsidP="007732B1">
            <w:pPr>
              <w:jc w:val="both"/>
              <w:rPr>
                <w:rFonts w:eastAsia="Calibri"/>
                <w:sz w:val="20"/>
              </w:rPr>
            </w:pPr>
          </w:p>
        </w:tc>
      </w:tr>
      <w:tr w:rsidR="00012EB9" w:rsidRPr="00330CC4" w:rsidTr="007732B1">
        <w:tc>
          <w:tcPr>
            <w:tcW w:w="2427" w:type="pct"/>
          </w:tcPr>
          <w:p w:rsidR="00012EB9" w:rsidRPr="00330CC4" w:rsidRDefault="00012EB9" w:rsidP="007732B1">
            <w:pPr>
              <w:jc w:val="both"/>
              <w:rPr>
                <w:rFonts w:eastAsia="Calibri"/>
                <w:sz w:val="20"/>
              </w:rPr>
            </w:pPr>
            <w:r w:rsidRPr="00330CC4">
              <w:rPr>
                <w:rFonts w:eastAsia="Calibri"/>
                <w:sz w:val="20"/>
              </w:rPr>
              <w:t>July 4, 2013</w:t>
            </w:r>
          </w:p>
          <w:p w:rsidR="00012EB9" w:rsidRPr="00330CC4" w:rsidRDefault="00012EB9" w:rsidP="007732B1">
            <w:pPr>
              <w:jc w:val="both"/>
              <w:rPr>
                <w:rFonts w:eastAsia="Calibri"/>
                <w:sz w:val="20"/>
              </w:rPr>
            </w:pPr>
            <w:r w:rsidRPr="00330CC4">
              <w:rPr>
                <w:rFonts w:eastAsia="Calibri"/>
                <w:sz w:val="20"/>
              </w:rPr>
              <w:t>Court of Queen’s Bench of Alberta</w:t>
            </w:r>
          </w:p>
          <w:p w:rsidR="00012EB9" w:rsidRPr="00330CC4" w:rsidRDefault="00012EB9" w:rsidP="007732B1">
            <w:pPr>
              <w:jc w:val="both"/>
              <w:rPr>
                <w:rFonts w:eastAsia="Calibri"/>
                <w:sz w:val="20"/>
              </w:rPr>
            </w:pPr>
            <w:r w:rsidRPr="00330CC4">
              <w:rPr>
                <w:rFonts w:eastAsia="Calibri"/>
                <w:sz w:val="20"/>
              </w:rPr>
              <w:t>(Rawlins J.)</w:t>
            </w:r>
          </w:p>
          <w:p w:rsidR="00012EB9" w:rsidRPr="00330CC4" w:rsidRDefault="00012EB9" w:rsidP="007732B1">
            <w:pPr>
              <w:jc w:val="both"/>
              <w:rPr>
                <w:rFonts w:eastAsia="Calibri"/>
                <w:sz w:val="20"/>
              </w:rPr>
            </w:pPr>
            <w:r w:rsidRPr="00330CC4">
              <w:rPr>
                <w:rFonts w:eastAsia="Calibri"/>
                <w:sz w:val="20"/>
              </w:rPr>
              <w:t>FL-08934)</w:t>
            </w:r>
          </w:p>
          <w:p w:rsidR="00012EB9" w:rsidRPr="00330CC4" w:rsidRDefault="00012EB9" w:rsidP="007732B1">
            <w:pPr>
              <w:jc w:val="both"/>
              <w:rPr>
                <w:rFonts w:eastAsia="Calibri"/>
                <w:sz w:val="20"/>
              </w:rPr>
            </w:pPr>
          </w:p>
        </w:tc>
        <w:tc>
          <w:tcPr>
            <w:tcW w:w="243" w:type="pct"/>
          </w:tcPr>
          <w:p w:rsidR="00012EB9" w:rsidRPr="00330CC4" w:rsidRDefault="00012EB9" w:rsidP="007732B1">
            <w:pPr>
              <w:jc w:val="both"/>
              <w:rPr>
                <w:rFonts w:eastAsia="Calibri"/>
                <w:sz w:val="20"/>
              </w:rPr>
            </w:pPr>
          </w:p>
        </w:tc>
        <w:tc>
          <w:tcPr>
            <w:tcW w:w="2330" w:type="pct"/>
          </w:tcPr>
          <w:p w:rsidR="00012EB9" w:rsidRPr="00330CC4" w:rsidRDefault="00012EB9" w:rsidP="007732B1">
            <w:pPr>
              <w:jc w:val="both"/>
              <w:rPr>
                <w:rFonts w:eastAsia="Calibri"/>
                <w:sz w:val="20"/>
              </w:rPr>
            </w:pPr>
            <w:r w:rsidRPr="00330CC4">
              <w:rPr>
                <w:rFonts w:eastAsia="Calibri"/>
                <w:sz w:val="20"/>
              </w:rPr>
              <w:t>Mother granted sole custody of child; Contact between child and father shall be at the child’s discretion</w:t>
            </w:r>
          </w:p>
          <w:p w:rsidR="00012EB9" w:rsidRPr="00330CC4" w:rsidRDefault="00012EB9" w:rsidP="007732B1">
            <w:pPr>
              <w:jc w:val="both"/>
              <w:rPr>
                <w:rFonts w:eastAsia="Calibri"/>
                <w:sz w:val="20"/>
              </w:rPr>
            </w:pPr>
          </w:p>
        </w:tc>
      </w:tr>
      <w:tr w:rsidR="00012EB9" w:rsidRPr="00330CC4" w:rsidTr="007732B1">
        <w:tc>
          <w:tcPr>
            <w:tcW w:w="2427" w:type="pct"/>
          </w:tcPr>
          <w:p w:rsidR="00012EB9" w:rsidRPr="00330CC4" w:rsidRDefault="00012EB9" w:rsidP="007732B1">
            <w:pPr>
              <w:jc w:val="both"/>
              <w:rPr>
                <w:rFonts w:eastAsia="Calibri"/>
                <w:sz w:val="20"/>
              </w:rPr>
            </w:pPr>
            <w:r w:rsidRPr="00330CC4">
              <w:rPr>
                <w:rFonts w:eastAsia="Calibri"/>
                <w:sz w:val="20"/>
              </w:rPr>
              <w:t>March 18, 2014</w:t>
            </w:r>
          </w:p>
          <w:p w:rsidR="00012EB9" w:rsidRPr="00330CC4" w:rsidRDefault="00012EB9" w:rsidP="007732B1">
            <w:pPr>
              <w:jc w:val="both"/>
              <w:rPr>
                <w:rFonts w:eastAsia="Calibri"/>
                <w:sz w:val="20"/>
              </w:rPr>
            </w:pPr>
            <w:r w:rsidRPr="00330CC4">
              <w:rPr>
                <w:rFonts w:eastAsia="Calibri"/>
                <w:sz w:val="20"/>
              </w:rPr>
              <w:t>Court of Appeal of Alberta (Calgary)</w:t>
            </w:r>
          </w:p>
          <w:p w:rsidR="00012EB9" w:rsidRPr="00330CC4" w:rsidRDefault="00012EB9" w:rsidP="007732B1">
            <w:pPr>
              <w:jc w:val="both"/>
              <w:rPr>
                <w:rFonts w:eastAsia="Calibri"/>
                <w:sz w:val="20"/>
              </w:rPr>
            </w:pPr>
            <w:r w:rsidRPr="00330CC4">
              <w:rPr>
                <w:rFonts w:eastAsia="Calibri"/>
                <w:sz w:val="20"/>
              </w:rPr>
              <w:t>(Picard, Martin and McDonald JJ.A.)</w:t>
            </w:r>
          </w:p>
          <w:p w:rsidR="00012EB9" w:rsidRPr="00330CC4" w:rsidRDefault="00012EB9" w:rsidP="007732B1">
            <w:pPr>
              <w:jc w:val="both"/>
              <w:rPr>
                <w:rFonts w:eastAsia="Calibri"/>
                <w:sz w:val="20"/>
              </w:rPr>
            </w:pPr>
            <w:r w:rsidRPr="00330CC4">
              <w:rPr>
                <w:rFonts w:eastAsia="Calibri"/>
                <w:sz w:val="20"/>
              </w:rPr>
              <w:t>2014 ABCA 109; 1301-0229-AC</w:t>
            </w:r>
          </w:p>
          <w:p w:rsidR="00012EB9" w:rsidRPr="00330CC4" w:rsidRDefault="00F677DC" w:rsidP="007732B1">
            <w:pPr>
              <w:jc w:val="both"/>
              <w:rPr>
                <w:rFonts w:eastAsia="Calibri"/>
                <w:sz w:val="20"/>
              </w:rPr>
            </w:pPr>
            <w:hyperlink r:id="rId29" w:history="1">
              <w:r w:rsidR="00012EB9" w:rsidRPr="00330CC4">
                <w:rPr>
                  <w:rFonts w:eastAsia="Calibri"/>
                  <w:color w:val="0000FF"/>
                  <w:sz w:val="20"/>
                  <w:u w:val="single"/>
                </w:rPr>
                <w:t>http://canlii.ca/t/g66ht</w:t>
              </w:r>
            </w:hyperlink>
          </w:p>
          <w:p w:rsidR="00012EB9" w:rsidRPr="00330CC4" w:rsidRDefault="00012EB9" w:rsidP="007732B1">
            <w:pPr>
              <w:jc w:val="both"/>
              <w:rPr>
                <w:rFonts w:eastAsia="Calibri"/>
                <w:sz w:val="20"/>
              </w:rPr>
            </w:pPr>
          </w:p>
        </w:tc>
        <w:tc>
          <w:tcPr>
            <w:tcW w:w="243" w:type="pct"/>
          </w:tcPr>
          <w:p w:rsidR="00012EB9" w:rsidRPr="00330CC4" w:rsidRDefault="00012EB9" w:rsidP="007732B1">
            <w:pPr>
              <w:jc w:val="both"/>
              <w:rPr>
                <w:rFonts w:eastAsia="Calibri"/>
                <w:sz w:val="20"/>
              </w:rPr>
            </w:pPr>
          </w:p>
        </w:tc>
        <w:tc>
          <w:tcPr>
            <w:tcW w:w="2330" w:type="pct"/>
          </w:tcPr>
          <w:p w:rsidR="00012EB9" w:rsidRPr="00330CC4" w:rsidRDefault="00012EB9" w:rsidP="007732B1">
            <w:pPr>
              <w:jc w:val="both"/>
              <w:rPr>
                <w:rFonts w:eastAsia="Calibri"/>
                <w:sz w:val="20"/>
              </w:rPr>
            </w:pPr>
            <w:r w:rsidRPr="00330CC4">
              <w:rPr>
                <w:rFonts w:eastAsia="Calibri"/>
                <w:sz w:val="20"/>
              </w:rPr>
              <w:t>Appeal dismissed</w:t>
            </w:r>
          </w:p>
          <w:p w:rsidR="00012EB9" w:rsidRPr="00330CC4" w:rsidRDefault="00012EB9" w:rsidP="007732B1">
            <w:pPr>
              <w:jc w:val="both"/>
              <w:rPr>
                <w:rFonts w:eastAsia="Calibri"/>
                <w:sz w:val="20"/>
              </w:rPr>
            </w:pPr>
          </w:p>
        </w:tc>
      </w:tr>
      <w:tr w:rsidR="00012EB9" w:rsidRPr="00330CC4" w:rsidTr="007732B1">
        <w:tc>
          <w:tcPr>
            <w:tcW w:w="2427" w:type="pct"/>
          </w:tcPr>
          <w:p w:rsidR="00012EB9" w:rsidRPr="00330CC4" w:rsidRDefault="00012EB9" w:rsidP="007732B1">
            <w:pPr>
              <w:jc w:val="both"/>
              <w:rPr>
                <w:rFonts w:eastAsia="Calibri"/>
                <w:sz w:val="20"/>
              </w:rPr>
            </w:pPr>
            <w:r w:rsidRPr="00330CC4">
              <w:rPr>
                <w:rFonts w:eastAsia="Calibri"/>
                <w:sz w:val="20"/>
              </w:rPr>
              <w:t>May 12, 2014</w:t>
            </w:r>
          </w:p>
          <w:p w:rsidR="00012EB9" w:rsidRPr="00330CC4" w:rsidRDefault="00012EB9" w:rsidP="007732B1">
            <w:pPr>
              <w:jc w:val="both"/>
              <w:rPr>
                <w:rFonts w:eastAsia="Calibri"/>
                <w:sz w:val="20"/>
              </w:rPr>
            </w:pPr>
            <w:r w:rsidRPr="00330CC4">
              <w:rPr>
                <w:rFonts w:eastAsia="Calibri"/>
                <w:sz w:val="20"/>
              </w:rPr>
              <w:t>Supreme Court of Canada</w:t>
            </w:r>
          </w:p>
        </w:tc>
        <w:tc>
          <w:tcPr>
            <w:tcW w:w="243" w:type="pct"/>
          </w:tcPr>
          <w:p w:rsidR="00012EB9" w:rsidRPr="00330CC4" w:rsidRDefault="00012EB9" w:rsidP="007732B1">
            <w:pPr>
              <w:jc w:val="both"/>
              <w:rPr>
                <w:rFonts w:eastAsia="Calibri"/>
                <w:sz w:val="20"/>
              </w:rPr>
            </w:pPr>
          </w:p>
        </w:tc>
        <w:tc>
          <w:tcPr>
            <w:tcW w:w="2330" w:type="pct"/>
          </w:tcPr>
          <w:p w:rsidR="00012EB9" w:rsidRPr="00330CC4" w:rsidRDefault="00012EB9" w:rsidP="007732B1">
            <w:pPr>
              <w:jc w:val="both"/>
              <w:rPr>
                <w:rFonts w:eastAsia="Calibri"/>
                <w:sz w:val="20"/>
              </w:rPr>
            </w:pPr>
            <w:r w:rsidRPr="00330CC4">
              <w:rPr>
                <w:rFonts w:eastAsia="Calibri"/>
                <w:sz w:val="20"/>
              </w:rPr>
              <w:t>Application for leave to appeal filed</w:t>
            </w:r>
          </w:p>
        </w:tc>
      </w:tr>
    </w:tbl>
    <w:p w:rsidR="00185470" w:rsidRDefault="00185470" w:rsidP="000E2959">
      <w:pPr>
        <w:rPr>
          <w:sz w:val="20"/>
          <w:szCs w:val="20"/>
        </w:rPr>
      </w:pPr>
    </w:p>
    <w:p w:rsidR="00185470" w:rsidRPr="00C50A5C" w:rsidRDefault="00F677DC" w:rsidP="00185470">
      <w:pPr>
        <w:rPr>
          <w:sz w:val="20"/>
          <w:szCs w:val="20"/>
        </w:rPr>
      </w:pPr>
      <w:r>
        <w:rPr>
          <w:sz w:val="20"/>
          <w:szCs w:val="20"/>
          <w:lang w:val="fr-CA"/>
        </w:rPr>
        <w:pict>
          <v:rect id="_x0000_i1055" style="width:2in;height:1pt" o:hrpct="0" o:hralign="center" o:hrstd="t" o:hrnoshade="t" o:hr="t" fillcolor="black [3213]" stroked="f"/>
        </w:pict>
      </w:r>
    </w:p>
    <w:p w:rsidR="00185470" w:rsidRDefault="00185470" w:rsidP="00185470">
      <w:pPr>
        <w:rPr>
          <w:sz w:val="20"/>
          <w:szCs w:val="20"/>
        </w:rPr>
      </w:pPr>
    </w:p>
    <w:p w:rsidR="00185470" w:rsidRPr="001B157C" w:rsidRDefault="00185470" w:rsidP="00185470">
      <w:pPr>
        <w:rPr>
          <w:sz w:val="20"/>
          <w:szCs w:val="20"/>
          <w:u w:val="single"/>
          <w:lang w:val="fr-CA"/>
        </w:rPr>
      </w:pPr>
      <w:r w:rsidRPr="001B157C">
        <w:rPr>
          <w:sz w:val="20"/>
          <w:szCs w:val="20"/>
          <w:u w:val="single"/>
          <w:lang w:val="fr-CA"/>
        </w:rPr>
        <w:t>RÉSUMÉ DE L’AFFAIRE</w:t>
      </w:r>
    </w:p>
    <w:p w:rsidR="00185470" w:rsidRDefault="00185470" w:rsidP="0018547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12EB9" w:rsidRPr="00F677DC" w:rsidTr="007732B1">
        <w:tc>
          <w:tcPr>
            <w:tcW w:w="5000" w:type="pct"/>
            <w:gridSpan w:val="3"/>
          </w:tcPr>
          <w:p w:rsidR="00012EB9" w:rsidRPr="00330CC4" w:rsidRDefault="00012EB9" w:rsidP="007732B1">
            <w:pPr>
              <w:jc w:val="both"/>
              <w:rPr>
                <w:rFonts w:eastAsia="Calibri"/>
                <w:smallCaps/>
                <w:sz w:val="20"/>
                <w:lang w:val="fr-CA"/>
              </w:rPr>
            </w:pPr>
            <w:r w:rsidRPr="00330CC4">
              <w:rPr>
                <w:rFonts w:eastAsia="Calibri"/>
                <w:smallCaps/>
                <w:sz w:val="20"/>
                <w:lang w:val="fr-CA"/>
              </w:rPr>
              <w:t>(</w:t>
            </w:r>
            <w:r>
              <w:rPr>
                <w:rFonts w:eastAsia="Calibri"/>
                <w:smallCaps/>
                <w:sz w:val="20"/>
                <w:lang w:val="fr-CA"/>
              </w:rPr>
              <w:t>O</w:t>
            </w:r>
            <w:r w:rsidRPr="00330CC4">
              <w:rPr>
                <w:rFonts w:eastAsia="Calibri"/>
                <w:smallCaps/>
                <w:sz w:val="20"/>
                <w:lang w:val="fr-CA"/>
              </w:rPr>
              <w:t>rdonnance de non-publication dans le dossier) (</w:t>
            </w:r>
            <w:r>
              <w:rPr>
                <w:rFonts w:eastAsia="Calibri"/>
                <w:smallCaps/>
                <w:sz w:val="20"/>
                <w:lang w:val="fr-CA"/>
              </w:rPr>
              <w:t>O</w:t>
            </w:r>
            <w:r w:rsidRPr="00330CC4">
              <w:rPr>
                <w:rFonts w:eastAsia="Calibri"/>
                <w:smallCaps/>
                <w:sz w:val="20"/>
                <w:lang w:val="fr-CA"/>
              </w:rPr>
              <w:t>rdonnance de non-publication visant une partie)</w:t>
            </w:r>
          </w:p>
          <w:p w:rsidR="00012EB9" w:rsidRPr="00330CC4" w:rsidRDefault="00012EB9" w:rsidP="007732B1">
            <w:pPr>
              <w:jc w:val="both"/>
              <w:rPr>
                <w:rFonts w:eastAsia="Calibri"/>
                <w:sz w:val="20"/>
                <w:lang w:val="fr-CA"/>
              </w:rPr>
            </w:pPr>
          </w:p>
          <w:p w:rsidR="00012EB9" w:rsidRPr="00330CC4" w:rsidRDefault="00012EB9" w:rsidP="007732B1">
            <w:pPr>
              <w:jc w:val="both"/>
              <w:rPr>
                <w:rFonts w:eastAsia="Calibri"/>
                <w:sz w:val="20"/>
                <w:lang w:val="fr-CA"/>
              </w:rPr>
            </w:pPr>
            <w:r w:rsidRPr="00330CC4">
              <w:rPr>
                <w:rFonts w:eastAsia="Calibri"/>
                <w:sz w:val="20"/>
                <w:lang w:val="fr-CA"/>
              </w:rPr>
              <w:t xml:space="preserve">Droit de la famille – Garde – Est-il acceptable qu’un parent  modifie unilatéralement la garde de l’enfant et les soins primaires qui lui sont donnés? – Une mesure prise unilatéralement par un parent en présence d’une garde conjointe sur consentement constitue-t-elle une solution acceptable? – Le juge peut-il s’appuyer sur les motifs de jugement rédigés au terme d’un autre procès ayant connu une issue différente? – Le parent qui cherche à faire modifier une ordonnance de garde est-il tenu d’établir un changement de situation important? </w:t>
            </w:r>
          </w:p>
        </w:tc>
      </w:tr>
      <w:tr w:rsidR="00012EB9" w:rsidRPr="00F677DC" w:rsidTr="007732B1">
        <w:tc>
          <w:tcPr>
            <w:tcW w:w="5000" w:type="pct"/>
            <w:gridSpan w:val="3"/>
          </w:tcPr>
          <w:p w:rsidR="00012EB9" w:rsidRPr="00330CC4" w:rsidRDefault="00012EB9" w:rsidP="007732B1">
            <w:pPr>
              <w:jc w:val="both"/>
              <w:rPr>
                <w:rFonts w:eastAsia="Calibri"/>
                <w:sz w:val="20"/>
                <w:lang w:val="fr-CA"/>
              </w:rPr>
            </w:pPr>
          </w:p>
        </w:tc>
      </w:tr>
      <w:tr w:rsidR="00012EB9" w:rsidRPr="00330CC4" w:rsidTr="007732B1">
        <w:tc>
          <w:tcPr>
            <w:tcW w:w="5000" w:type="pct"/>
            <w:gridSpan w:val="3"/>
          </w:tcPr>
          <w:p w:rsidR="00012EB9" w:rsidRPr="00330CC4" w:rsidRDefault="00012EB9" w:rsidP="007732B1">
            <w:pPr>
              <w:jc w:val="both"/>
              <w:rPr>
                <w:rFonts w:eastAsia="Calibri"/>
                <w:sz w:val="20"/>
                <w:lang w:val="fr-CA"/>
              </w:rPr>
            </w:pPr>
            <w:r w:rsidRPr="00330CC4">
              <w:rPr>
                <w:rFonts w:eastAsia="Calibri"/>
                <w:sz w:val="20"/>
                <w:lang w:val="fr-CA"/>
              </w:rPr>
              <w:t xml:space="preserve">Une ordonnance qui prévoit notamment la garde conjointe de l’enfant a été rendue sur consentement en 2003.  En 2012, la mère a obtenu une ordonnance interdisant au père de voir l’enfant.  Cette ordonnance portait notamment suspension de l’ordonnance de garde.  Le père a fait appel de l’ordonnance de prohibition mais, au moment où son appel a été entendu, la question était devenue caduque parce que l’ordonnance de prohibition et la suspension avaient expiré.  Les juges de la Cour d’appel ont refusé de trancher l’appel au fond parce que celui-ci était théorique, mais ils </w:t>
            </w:r>
            <w:r w:rsidRPr="00330CC4">
              <w:rPr>
                <w:rFonts w:eastAsia="Calibri"/>
                <w:sz w:val="20"/>
                <w:lang w:val="fr-CA"/>
              </w:rPr>
              <w:lastRenderedPageBreak/>
              <w:t>ont suggéré qu’à l’avenir, la Cour du Banc de la Reine statue sur l’affaire compte tenu d’une nouvelle preuve.  Le père a demandé par la suite le rétablissement de la garde partagée.  La mère a obtenu la garde exclusive et l’absence de contact entre le père et le fils, sauf si le fils en prend lui-même l’initiative.  La mère s’est également vu accorder une pension alimentaire pour l’enfant et l’arriéré de pension.  L’appel du père a été rejeté.</w:t>
            </w:r>
          </w:p>
          <w:p w:rsidR="00012EB9" w:rsidRPr="00330CC4" w:rsidRDefault="00012EB9" w:rsidP="007732B1">
            <w:pPr>
              <w:jc w:val="both"/>
              <w:rPr>
                <w:rFonts w:eastAsia="Calibri"/>
                <w:sz w:val="20"/>
                <w:lang w:val="fr-CA"/>
              </w:rPr>
            </w:pPr>
          </w:p>
        </w:tc>
      </w:tr>
      <w:tr w:rsidR="00012EB9" w:rsidRPr="00F677DC" w:rsidTr="007732B1">
        <w:tc>
          <w:tcPr>
            <w:tcW w:w="2427" w:type="pct"/>
          </w:tcPr>
          <w:p w:rsidR="00012EB9" w:rsidRPr="00330CC4" w:rsidRDefault="00012EB9" w:rsidP="007732B1">
            <w:pPr>
              <w:jc w:val="both"/>
              <w:rPr>
                <w:rFonts w:eastAsia="Calibri"/>
                <w:sz w:val="20"/>
                <w:lang w:val="fr-CA"/>
              </w:rPr>
            </w:pPr>
            <w:r w:rsidRPr="00330CC4">
              <w:rPr>
                <w:rFonts w:eastAsia="Calibri"/>
                <w:sz w:val="20"/>
                <w:lang w:val="fr-CA"/>
              </w:rPr>
              <w:lastRenderedPageBreak/>
              <w:t>4 juillet 2013</w:t>
            </w:r>
          </w:p>
          <w:p w:rsidR="00012EB9" w:rsidRPr="00330CC4" w:rsidRDefault="00012EB9" w:rsidP="007732B1">
            <w:pPr>
              <w:jc w:val="both"/>
              <w:rPr>
                <w:rFonts w:eastAsia="Calibri"/>
                <w:sz w:val="20"/>
                <w:lang w:val="fr-CA"/>
              </w:rPr>
            </w:pPr>
            <w:r w:rsidRPr="00330CC4">
              <w:rPr>
                <w:rFonts w:eastAsia="Calibri"/>
                <w:sz w:val="20"/>
                <w:lang w:val="fr-CA"/>
              </w:rPr>
              <w:t>Cour du Banc de la Reine de l’Alberta</w:t>
            </w:r>
          </w:p>
          <w:p w:rsidR="00012EB9" w:rsidRPr="00330CC4" w:rsidRDefault="00012EB9" w:rsidP="007732B1">
            <w:pPr>
              <w:jc w:val="both"/>
              <w:rPr>
                <w:rFonts w:eastAsia="Calibri"/>
                <w:sz w:val="20"/>
              </w:rPr>
            </w:pPr>
            <w:r w:rsidRPr="00330CC4">
              <w:rPr>
                <w:rFonts w:eastAsia="Calibri"/>
                <w:sz w:val="20"/>
              </w:rPr>
              <w:t>(Juge Rawlins)</w:t>
            </w:r>
          </w:p>
          <w:p w:rsidR="00012EB9" w:rsidRPr="00330CC4" w:rsidRDefault="00012EB9" w:rsidP="007732B1">
            <w:pPr>
              <w:jc w:val="both"/>
              <w:rPr>
                <w:rFonts w:eastAsia="Calibri"/>
                <w:sz w:val="20"/>
              </w:rPr>
            </w:pPr>
            <w:r w:rsidRPr="00330CC4">
              <w:rPr>
                <w:rFonts w:eastAsia="Calibri"/>
                <w:sz w:val="20"/>
              </w:rPr>
              <w:t>FL-08934)</w:t>
            </w:r>
          </w:p>
          <w:p w:rsidR="00012EB9" w:rsidRPr="00330CC4" w:rsidRDefault="00012EB9" w:rsidP="007732B1">
            <w:pPr>
              <w:jc w:val="both"/>
              <w:rPr>
                <w:rFonts w:eastAsia="Calibri"/>
                <w:sz w:val="20"/>
              </w:rPr>
            </w:pPr>
          </w:p>
        </w:tc>
        <w:tc>
          <w:tcPr>
            <w:tcW w:w="243" w:type="pct"/>
          </w:tcPr>
          <w:p w:rsidR="00012EB9" w:rsidRPr="00330CC4" w:rsidRDefault="00012EB9" w:rsidP="007732B1">
            <w:pPr>
              <w:jc w:val="both"/>
              <w:rPr>
                <w:rFonts w:eastAsia="Calibri"/>
                <w:sz w:val="20"/>
              </w:rPr>
            </w:pPr>
          </w:p>
        </w:tc>
        <w:tc>
          <w:tcPr>
            <w:tcW w:w="2330" w:type="pct"/>
          </w:tcPr>
          <w:p w:rsidR="00012EB9" w:rsidRPr="00330CC4" w:rsidRDefault="00012EB9" w:rsidP="007732B1">
            <w:pPr>
              <w:jc w:val="both"/>
              <w:rPr>
                <w:rFonts w:eastAsia="Calibri"/>
                <w:sz w:val="20"/>
                <w:lang w:val="fr-CA"/>
              </w:rPr>
            </w:pPr>
            <w:r w:rsidRPr="00330CC4">
              <w:rPr>
                <w:rFonts w:eastAsia="Calibri"/>
                <w:sz w:val="20"/>
                <w:lang w:val="fr-CA"/>
              </w:rPr>
              <w:t>Garde exclusive de l’enfant accordée à la mère; il appartiendra à l’enfant de décider s’il veut renouer avec son père</w:t>
            </w:r>
          </w:p>
          <w:p w:rsidR="00012EB9" w:rsidRPr="00330CC4" w:rsidRDefault="00012EB9" w:rsidP="007732B1">
            <w:pPr>
              <w:jc w:val="both"/>
              <w:rPr>
                <w:rFonts w:eastAsia="Calibri"/>
                <w:sz w:val="20"/>
                <w:lang w:val="fr-CA"/>
              </w:rPr>
            </w:pPr>
          </w:p>
        </w:tc>
      </w:tr>
      <w:tr w:rsidR="00012EB9" w:rsidRPr="00330CC4" w:rsidTr="007732B1">
        <w:tc>
          <w:tcPr>
            <w:tcW w:w="2427" w:type="pct"/>
          </w:tcPr>
          <w:p w:rsidR="00012EB9" w:rsidRPr="00330CC4" w:rsidRDefault="00012EB9" w:rsidP="007732B1">
            <w:pPr>
              <w:jc w:val="both"/>
              <w:rPr>
                <w:rFonts w:eastAsia="Calibri"/>
                <w:sz w:val="20"/>
                <w:lang w:val="fr-CA"/>
              </w:rPr>
            </w:pPr>
            <w:r w:rsidRPr="00330CC4">
              <w:rPr>
                <w:rFonts w:eastAsia="Calibri"/>
                <w:sz w:val="20"/>
                <w:lang w:val="fr-CA"/>
              </w:rPr>
              <w:t>18 mars 2014</w:t>
            </w:r>
          </w:p>
          <w:p w:rsidR="00012EB9" w:rsidRPr="00330CC4" w:rsidRDefault="00012EB9" w:rsidP="007732B1">
            <w:pPr>
              <w:jc w:val="both"/>
              <w:rPr>
                <w:rFonts w:eastAsia="Calibri"/>
                <w:sz w:val="20"/>
                <w:lang w:val="fr-CA"/>
              </w:rPr>
            </w:pPr>
            <w:r w:rsidRPr="00330CC4">
              <w:rPr>
                <w:rFonts w:eastAsia="Calibri"/>
                <w:sz w:val="20"/>
                <w:lang w:val="fr-CA"/>
              </w:rPr>
              <w:t>Cour d’appel de l’Alberta (Calgary)</w:t>
            </w:r>
          </w:p>
          <w:p w:rsidR="00012EB9" w:rsidRPr="00330CC4" w:rsidRDefault="00012EB9" w:rsidP="007732B1">
            <w:pPr>
              <w:jc w:val="both"/>
              <w:rPr>
                <w:rFonts w:eastAsia="Calibri"/>
                <w:sz w:val="20"/>
                <w:lang w:val="fr-CA"/>
              </w:rPr>
            </w:pPr>
            <w:r w:rsidRPr="00330CC4">
              <w:rPr>
                <w:rFonts w:eastAsia="Calibri"/>
                <w:sz w:val="20"/>
                <w:lang w:val="fr-CA"/>
              </w:rPr>
              <w:t>(Juges Picard, Martin et McDonald)</w:t>
            </w:r>
          </w:p>
          <w:p w:rsidR="00012EB9" w:rsidRPr="00330CC4" w:rsidRDefault="00012EB9" w:rsidP="007732B1">
            <w:pPr>
              <w:jc w:val="both"/>
              <w:rPr>
                <w:rFonts w:eastAsia="Calibri"/>
                <w:sz w:val="20"/>
              </w:rPr>
            </w:pPr>
            <w:r w:rsidRPr="00330CC4">
              <w:rPr>
                <w:rFonts w:eastAsia="Calibri"/>
                <w:sz w:val="20"/>
              </w:rPr>
              <w:t>2014 ABCA 109; 1301-0229-AC</w:t>
            </w:r>
          </w:p>
          <w:p w:rsidR="00012EB9" w:rsidRPr="00330CC4" w:rsidRDefault="00F677DC" w:rsidP="007732B1">
            <w:pPr>
              <w:jc w:val="both"/>
              <w:rPr>
                <w:rFonts w:eastAsia="Calibri"/>
                <w:sz w:val="20"/>
              </w:rPr>
            </w:pPr>
            <w:hyperlink r:id="rId30" w:history="1">
              <w:r w:rsidR="00012EB9" w:rsidRPr="00330CC4">
                <w:rPr>
                  <w:rFonts w:eastAsia="Calibri"/>
                  <w:color w:val="0000FF"/>
                  <w:sz w:val="20"/>
                  <w:u w:val="single"/>
                </w:rPr>
                <w:t>http://canlii.ca/t/g66ht</w:t>
              </w:r>
            </w:hyperlink>
          </w:p>
          <w:p w:rsidR="00012EB9" w:rsidRPr="00330CC4" w:rsidRDefault="00012EB9" w:rsidP="007732B1">
            <w:pPr>
              <w:jc w:val="both"/>
              <w:rPr>
                <w:rFonts w:eastAsia="Calibri"/>
                <w:sz w:val="20"/>
              </w:rPr>
            </w:pPr>
          </w:p>
        </w:tc>
        <w:tc>
          <w:tcPr>
            <w:tcW w:w="243" w:type="pct"/>
          </w:tcPr>
          <w:p w:rsidR="00012EB9" w:rsidRPr="00330CC4" w:rsidRDefault="00012EB9" w:rsidP="007732B1">
            <w:pPr>
              <w:jc w:val="both"/>
              <w:rPr>
                <w:rFonts w:eastAsia="Calibri"/>
                <w:sz w:val="20"/>
              </w:rPr>
            </w:pPr>
          </w:p>
        </w:tc>
        <w:tc>
          <w:tcPr>
            <w:tcW w:w="2330" w:type="pct"/>
          </w:tcPr>
          <w:p w:rsidR="00012EB9" w:rsidRPr="00330CC4" w:rsidRDefault="00012EB9" w:rsidP="007732B1">
            <w:pPr>
              <w:jc w:val="both"/>
              <w:rPr>
                <w:rFonts w:eastAsia="Calibri"/>
                <w:sz w:val="20"/>
              </w:rPr>
            </w:pPr>
            <w:r w:rsidRPr="00330CC4">
              <w:rPr>
                <w:rFonts w:eastAsia="Calibri"/>
                <w:sz w:val="20"/>
              </w:rPr>
              <w:t>Appel rejeté</w:t>
            </w:r>
          </w:p>
          <w:p w:rsidR="00012EB9" w:rsidRPr="00330CC4" w:rsidRDefault="00012EB9" w:rsidP="007732B1">
            <w:pPr>
              <w:jc w:val="both"/>
              <w:rPr>
                <w:rFonts w:eastAsia="Calibri"/>
                <w:sz w:val="20"/>
              </w:rPr>
            </w:pPr>
          </w:p>
        </w:tc>
      </w:tr>
      <w:tr w:rsidR="00012EB9" w:rsidRPr="00330CC4" w:rsidTr="007732B1">
        <w:tc>
          <w:tcPr>
            <w:tcW w:w="2427" w:type="pct"/>
          </w:tcPr>
          <w:p w:rsidR="00012EB9" w:rsidRPr="00330CC4" w:rsidRDefault="00012EB9" w:rsidP="007732B1">
            <w:pPr>
              <w:jc w:val="both"/>
              <w:rPr>
                <w:rFonts w:eastAsia="Calibri"/>
                <w:sz w:val="20"/>
                <w:lang w:val="fr-CA"/>
              </w:rPr>
            </w:pPr>
            <w:r w:rsidRPr="00330CC4">
              <w:rPr>
                <w:rFonts w:eastAsia="Calibri"/>
                <w:sz w:val="20"/>
                <w:lang w:val="fr-CA"/>
              </w:rPr>
              <w:t>12 mai 2014</w:t>
            </w:r>
          </w:p>
          <w:p w:rsidR="00012EB9" w:rsidRPr="00330CC4" w:rsidRDefault="00012EB9" w:rsidP="007732B1">
            <w:pPr>
              <w:jc w:val="both"/>
              <w:rPr>
                <w:rFonts w:eastAsia="Calibri"/>
                <w:sz w:val="20"/>
                <w:lang w:val="fr-CA"/>
              </w:rPr>
            </w:pPr>
            <w:r w:rsidRPr="00330CC4">
              <w:rPr>
                <w:rFonts w:eastAsia="Calibri"/>
                <w:sz w:val="20"/>
                <w:lang w:val="fr-CA"/>
              </w:rPr>
              <w:t>Cour suprême du Canada</w:t>
            </w:r>
          </w:p>
        </w:tc>
        <w:tc>
          <w:tcPr>
            <w:tcW w:w="243" w:type="pct"/>
          </w:tcPr>
          <w:p w:rsidR="00012EB9" w:rsidRPr="00330CC4" w:rsidRDefault="00012EB9" w:rsidP="007732B1">
            <w:pPr>
              <w:jc w:val="both"/>
              <w:rPr>
                <w:rFonts w:eastAsia="Calibri"/>
                <w:sz w:val="20"/>
                <w:lang w:val="fr-CA"/>
              </w:rPr>
            </w:pPr>
          </w:p>
        </w:tc>
        <w:tc>
          <w:tcPr>
            <w:tcW w:w="2330" w:type="pct"/>
          </w:tcPr>
          <w:p w:rsidR="00012EB9" w:rsidRPr="00330CC4" w:rsidRDefault="00012EB9" w:rsidP="007732B1">
            <w:pPr>
              <w:jc w:val="both"/>
              <w:rPr>
                <w:rFonts w:eastAsia="Calibri"/>
                <w:sz w:val="20"/>
              </w:rPr>
            </w:pPr>
            <w:r w:rsidRPr="00330CC4">
              <w:rPr>
                <w:rFonts w:eastAsia="Calibri"/>
                <w:sz w:val="20"/>
              </w:rPr>
              <w:t xml:space="preserve">Demande d’autorisation d’appel déposée </w:t>
            </w:r>
          </w:p>
        </w:tc>
      </w:tr>
    </w:tbl>
    <w:p w:rsidR="00185470" w:rsidRDefault="00185470" w:rsidP="000E2959">
      <w:pPr>
        <w:rPr>
          <w:sz w:val="20"/>
          <w:szCs w:val="20"/>
        </w:rPr>
      </w:pPr>
    </w:p>
    <w:p w:rsidR="00185470" w:rsidRDefault="00F677DC" w:rsidP="000E2959">
      <w:pPr>
        <w:rPr>
          <w:sz w:val="20"/>
          <w:szCs w:val="20"/>
        </w:rPr>
      </w:pPr>
      <w:r>
        <w:rPr>
          <w:sz w:val="20"/>
          <w:szCs w:val="20"/>
          <w:lang w:val="fr-CA"/>
        </w:rPr>
        <w:pict>
          <v:rect id="_x0000_i1056" style="width:2in;height:1pt" o:hrpct="0" o:hralign="center" o:hrstd="t" o:hrnoshade="t" o:hr="t" fillcolor="black [3213]" stroked="f"/>
        </w:pict>
      </w:r>
    </w:p>
    <w:p w:rsidR="00185470" w:rsidRDefault="00185470"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B4E4F" w:rsidRPr="00F677DC" w:rsidTr="00AB4E4F">
        <w:trPr>
          <w:cantSplit/>
        </w:trPr>
        <w:tc>
          <w:tcPr>
            <w:tcW w:w="1458" w:type="dxa"/>
          </w:tcPr>
          <w:p w:rsidR="00AB4E4F" w:rsidRPr="006F63FD" w:rsidRDefault="00AB4E4F" w:rsidP="00AB4E4F">
            <w:pPr>
              <w:rPr>
                <w:sz w:val="20"/>
                <w:szCs w:val="20"/>
              </w:rPr>
            </w:pPr>
            <w:r w:rsidRPr="006F63FD">
              <w:rPr>
                <w:rStyle w:val="SCCFileNumberChar"/>
                <w:sz w:val="20"/>
                <w:szCs w:val="20"/>
              </w:rPr>
              <w:t>35905</w:t>
            </w:r>
          </w:p>
          <w:p w:rsidR="00AB4E4F" w:rsidRPr="006F63FD" w:rsidRDefault="00AB4E4F" w:rsidP="00AB4E4F">
            <w:pPr>
              <w:rPr>
                <w:b/>
                <w:sz w:val="20"/>
                <w:szCs w:val="20"/>
                <w:lang w:val="fr-CA"/>
              </w:rPr>
            </w:pPr>
          </w:p>
        </w:tc>
        <w:tc>
          <w:tcPr>
            <w:tcW w:w="8118" w:type="dxa"/>
          </w:tcPr>
          <w:p w:rsidR="00AB4E4F" w:rsidRPr="006F63FD" w:rsidRDefault="00AB4E4F" w:rsidP="00AB4E4F">
            <w:pPr>
              <w:rPr>
                <w:sz w:val="20"/>
                <w:szCs w:val="20"/>
                <w:lang w:val="fr-CA"/>
              </w:rPr>
            </w:pPr>
            <w:r w:rsidRPr="006F63FD">
              <w:rPr>
                <w:rStyle w:val="SCCLsocChar"/>
                <w:sz w:val="20"/>
                <w:szCs w:val="20"/>
              </w:rPr>
              <w:t>Jean-François Blais c. Sa Majesté la Reine</w:t>
            </w:r>
            <w:r w:rsidRPr="006F63FD">
              <w:rPr>
                <w:sz w:val="20"/>
                <w:szCs w:val="20"/>
                <w:lang w:val="fr-CA"/>
              </w:rPr>
              <w:t xml:space="preserve"> (Qc) (Criminelle) (Autorisation)</w:t>
            </w:r>
          </w:p>
          <w:p w:rsidR="00AB4E4F" w:rsidRPr="006F63FD" w:rsidRDefault="00AB4E4F" w:rsidP="00AB4E4F">
            <w:pPr>
              <w:rPr>
                <w:sz w:val="20"/>
                <w:szCs w:val="20"/>
                <w:lang w:val="fr-CA"/>
              </w:rPr>
            </w:pPr>
          </w:p>
        </w:tc>
      </w:tr>
      <w:tr w:rsidR="00AB4E4F" w:rsidRPr="00F677DC" w:rsidTr="00AB4E4F">
        <w:trPr>
          <w:cantSplit/>
        </w:trPr>
        <w:tc>
          <w:tcPr>
            <w:tcW w:w="1458" w:type="dxa"/>
          </w:tcPr>
          <w:p w:rsidR="00AB4E4F" w:rsidRPr="006F63FD" w:rsidRDefault="00AB4E4F" w:rsidP="00AB4E4F">
            <w:pPr>
              <w:rPr>
                <w:sz w:val="20"/>
                <w:szCs w:val="20"/>
              </w:rPr>
            </w:pPr>
            <w:r w:rsidRPr="006F63FD">
              <w:rPr>
                <w:sz w:val="20"/>
                <w:szCs w:val="20"/>
              </w:rPr>
              <w:t>Coram :</w:t>
            </w:r>
          </w:p>
        </w:tc>
        <w:tc>
          <w:tcPr>
            <w:tcW w:w="8118" w:type="dxa"/>
          </w:tcPr>
          <w:p w:rsidR="00AB4E4F" w:rsidRPr="006F63FD" w:rsidRDefault="00AB4E4F" w:rsidP="00AB4E4F">
            <w:pPr>
              <w:rPr>
                <w:sz w:val="20"/>
                <w:szCs w:val="20"/>
                <w:lang w:val="fr-CA"/>
              </w:rPr>
            </w:pPr>
            <w:r w:rsidRPr="006F63FD">
              <w:rPr>
                <w:rStyle w:val="SCCCoramChar"/>
                <w:sz w:val="20"/>
                <w:szCs w:val="20"/>
              </w:rPr>
              <w:t>La juge en chef McLachlin et les juges Cromwell et Wagner</w:t>
            </w:r>
          </w:p>
          <w:p w:rsidR="00AB4E4F" w:rsidRPr="006F63FD" w:rsidRDefault="00AB4E4F" w:rsidP="00AB4E4F">
            <w:pPr>
              <w:rPr>
                <w:sz w:val="20"/>
                <w:szCs w:val="20"/>
                <w:u w:val="single"/>
                <w:lang w:val="fr-CA"/>
              </w:rPr>
            </w:pPr>
          </w:p>
        </w:tc>
      </w:tr>
      <w:tr w:rsidR="00AB4E4F" w:rsidRPr="006F63FD" w:rsidTr="00AB4E4F">
        <w:trPr>
          <w:cantSplit/>
        </w:trPr>
        <w:tc>
          <w:tcPr>
            <w:tcW w:w="9576" w:type="dxa"/>
            <w:gridSpan w:val="2"/>
          </w:tcPr>
          <w:p w:rsidR="00AB4E4F" w:rsidRPr="006F63FD" w:rsidRDefault="00AB4E4F" w:rsidP="00AB4E4F">
            <w:pPr>
              <w:pStyle w:val="SCCShortJudgment"/>
              <w:rPr>
                <w:szCs w:val="20"/>
                <w:lang w:val="fr-CA"/>
              </w:rPr>
            </w:pPr>
            <w:r w:rsidRPr="006F63FD">
              <w:rPr>
                <w:szCs w:val="20"/>
                <w:lang w:val="fr-CA"/>
              </w:rPr>
              <w:t>La requête en prorogation du délai de signification et de dépôt de la demande d’autorisation d’appel est accueillie.  La demande d’autorisation d’appel de l’arrêt de la Cour d’appel du Québec (Montréal), numéro 500-10-005068-117, 2014 QCCA 507, daté du 13 mars 2014, est rejetée sans dépens.</w:t>
            </w:r>
          </w:p>
          <w:p w:rsidR="00AB4E4F" w:rsidRPr="006F63FD" w:rsidRDefault="00AB4E4F" w:rsidP="00AB4E4F">
            <w:pPr>
              <w:pStyle w:val="SCCShortJudgment"/>
              <w:ind w:firstLine="0"/>
              <w:rPr>
                <w:szCs w:val="20"/>
                <w:lang w:val="fr-CA"/>
              </w:rPr>
            </w:pPr>
          </w:p>
          <w:p w:rsidR="00AB4E4F" w:rsidRPr="006F63FD" w:rsidRDefault="00AB4E4F" w:rsidP="00AB4E4F">
            <w:pPr>
              <w:pStyle w:val="SCCShortJudgment"/>
              <w:rPr>
                <w:szCs w:val="20"/>
              </w:rPr>
            </w:pPr>
            <w:r w:rsidRPr="006F63FD">
              <w:rPr>
                <w:szCs w:val="20"/>
              </w:rPr>
              <w:t>The motion for an extension of time to serve and file the application for leave to appeal is granted.  The application for leave to appeal from the judgment of the Court of Appeal of Quebec (Montréal), Number 500-10-005068-117, 2014 QCCA 507, dated March 13, 2014, is dismissed without costs.</w:t>
            </w:r>
          </w:p>
        </w:tc>
      </w:tr>
    </w:tbl>
    <w:p w:rsidR="00185470" w:rsidRPr="00AB4E4F" w:rsidRDefault="00185470" w:rsidP="00185470">
      <w:pPr>
        <w:rPr>
          <w:sz w:val="20"/>
          <w:szCs w:val="20"/>
        </w:rPr>
      </w:pPr>
    </w:p>
    <w:p w:rsidR="00185470" w:rsidRPr="001B157C" w:rsidRDefault="00185470" w:rsidP="00185470">
      <w:pPr>
        <w:rPr>
          <w:sz w:val="20"/>
          <w:szCs w:val="20"/>
          <w:u w:val="single"/>
        </w:rPr>
      </w:pPr>
      <w:r w:rsidRPr="001B157C">
        <w:rPr>
          <w:sz w:val="20"/>
          <w:szCs w:val="20"/>
          <w:u w:val="single"/>
        </w:rPr>
        <w:t>CASE SUMMARY</w:t>
      </w:r>
    </w:p>
    <w:p w:rsidR="00185470" w:rsidRDefault="00185470" w:rsidP="0018547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C1621" w:rsidRPr="00330CC4" w:rsidTr="007732B1">
        <w:tc>
          <w:tcPr>
            <w:tcW w:w="5000" w:type="pct"/>
            <w:gridSpan w:val="3"/>
          </w:tcPr>
          <w:p w:rsidR="008C1621" w:rsidRPr="00330CC4" w:rsidRDefault="008C1621" w:rsidP="007732B1">
            <w:pPr>
              <w:jc w:val="both"/>
              <w:rPr>
                <w:rFonts w:eastAsia="Calibri"/>
                <w:sz w:val="20"/>
              </w:rPr>
            </w:pPr>
            <w:r w:rsidRPr="00330CC4">
              <w:rPr>
                <w:rFonts w:eastAsia="Calibri"/>
                <w:i/>
                <w:sz w:val="20"/>
              </w:rPr>
              <w:t>Canadian Charter of Rights and Freedoms</w:t>
            </w:r>
            <w:r w:rsidRPr="00330CC4">
              <w:rPr>
                <w:rFonts w:eastAsia="Calibri"/>
                <w:sz w:val="20"/>
              </w:rPr>
              <w:t xml:space="preserve"> – Criminal law – Offences – Defences – Evidence – Elements of offence – Whether trial judge denied applicant right to make full answer and defence guaranteed by s. 7 of </w:t>
            </w:r>
            <w:r w:rsidRPr="00330CC4">
              <w:rPr>
                <w:rFonts w:eastAsia="Calibri"/>
                <w:i/>
                <w:sz w:val="20"/>
              </w:rPr>
              <w:t>Charter</w:t>
            </w:r>
            <w:r w:rsidRPr="00330CC4">
              <w:rPr>
                <w:rFonts w:eastAsia="Calibri"/>
                <w:sz w:val="20"/>
              </w:rPr>
              <w:t xml:space="preserve"> – Whether trial judge infringed s. 11 of </w:t>
            </w:r>
            <w:r w:rsidRPr="00330CC4">
              <w:rPr>
                <w:rFonts w:eastAsia="Calibri"/>
                <w:i/>
                <w:sz w:val="20"/>
              </w:rPr>
              <w:t>Charter</w:t>
            </w:r>
            <w:r w:rsidRPr="00330CC4">
              <w:rPr>
                <w:rFonts w:eastAsia="Calibri"/>
                <w:sz w:val="20"/>
              </w:rPr>
              <w:t xml:space="preserve"> by refusing to allow applicant’s expert to be heard for defence – </w:t>
            </w:r>
            <w:r w:rsidRPr="00330CC4">
              <w:rPr>
                <w:rFonts w:eastAsia="Calibri"/>
                <w:i/>
                <w:sz w:val="20"/>
              </w:rPr>
              <w:t>Controlled Drugs and Substances Act</w:t>
            </w:r>
            <w:r w:rsidRPr="00330CC4">
              <w:rPr>
                <w:rFonts w:eastAsia="Calibri"/>
                <w:sz w:val="20"/>
              </w:rPr>
              <w:t>, S.C. 1996, c. 19.</w:t>
            </w:r>
          </w:p>
        </w:tc>
      </w:tr>
      <w:tr w:rsidR="008C1621" w:rsidRPr="00330CC4" w:rsidTr="007732B1">
        <w:tc>
          <w:tcPr>
            <w:tcW w:w="5000" w:type="pct"/>
            <w:gridSpan w:val="3"/>
          </w:tcPr>
          <w:p w:rsidR="008C1621" w:rsidRPr="00330CC4" w:rsidRDefault="008C1621" w:rsidP="007732B1">
            <w:pPr>
              <w:jc w:val="both"/>
              <w:rPr>
                <w:rFonts w:eastAsia="Calibri"/>
                <w:sz w:val="20"/>
              </w:rPr>
            </w:pPr>
          </w:p>
        </w:tc>
      </w:tr>
      <w:tr w:rsidR="008C1621" w:rsidRPr="00330CC4" w:rsidTr="007732B1">
        <w:tc>
          <w:tcPr>
            <w:tcW w:w="5000" w:type="pct"/>
            <w:gridSpan w:val="3"/>
          </w:tcPr>
          <w:p w:rsidR="008C1621" w:rsidRPr="00330CC4" w:rsidRDefault="008C1621" w:rsidP="007732B1">
            <w:pPr>
              <w:jc w:val="both"/>
              <w:rPr>
                <w:rFonts w:eastAsia="Calibri"/>
                <w:sz w:val="20"/>
              </w:rPr>
            </w:pPr>
            <w:r w:rsidRPr="00330CC4">
              <w:rPr>
                <w:rFonts w:eastAsia="Calibri"/>
                <w:sz w:val="20"/>
              </w:rPr>
              <w:t>The applicant was charged with producing cannabis (marijuana) contrary to s. 7(1) and (2)(</w:t>
            </w:r>
            <w:r w:rsidRPr="00330CC4">
              <w:rPr>
                <w:rFonts w:eastAsia="Calibri"/>
                <w:i/>
                <w:sz w:val="20"/>
              </w:rPr>
              <w:t>b</w:t>
            </w:r>
            <w:r w:rsidRPr="00330CC4">
              <w:rPr>
                <w:rFonts w:eastAsia="Calibri"/>
                <w:sz w:val="20"/>
              </w:rPr>
              <w:t xml:space="preserve">) of the </w:t>
            </w:r>
            <w:r w:rsidRPr="00330CC4">
              <w:rPr>
                <w:rFonts w:eastAsia="Calibri"/>
                <w:i/>
                <w:sz w:val="20"/>
              </w:rPr>
              <w:t>Controlled Drugs and Substances Act</w:t>
            </w:r>
            <w:r w:rsidRPr="00330CC4">
              <w:rPr>
                <w:rFonts w:eastAsia="Calibri"/>
                <w:sz w:val="20"/>
              </w:rPr>
              <w:t xml:space="preserve">.  The applicant was a researcher and was familiar with plants.  The issue was essentially the nature of the substances seized at his home.  The applicant argued that the court had to distinguish the various species of cannabis because, according to him, some species were not unlawful or covered by the statute in question.  The trial judge rejected the applicant’s defence based on the botanical classification.  She found that the prosecution had discharged its burden of proving, beyond a reasonable doubt, the two elements of the offence of producing cannabis, that is, the </w:t>
            </w:r>
            <w:r w:rsidRPr="00330CC4">
              <w:rPr>
                <w:rFonts w:eastAsia="Calibri"/>
                <w:i/>
                <w:sz w:val="20"/>
              </w:rPr>
              <w:t>actus reus</w:t>
            </w:r>
            <w:r w:rsidRPr="00330CC4">
              <w:rPr>
                <w:rFonts w:eastAsia="Calibri"/>
                <w:sz w:val="20"/>
              </w:rPr>
              <w:t xml:space="preserve">, which involved cultivating, propagating or harvesting the substance, and the </w:t>
            </w:r>
            <w:r w:rsidRPr="00330CC4">
              <w:rPr>
                <w:rFonts w:eastAsia="Calibri"/>
                <w:i/>
                <w:sz w:val="20"/>
              </w:rPr>
              <w:t>mens rea</w:t>
            </w:r>
            <w:r w:rsidRPr="00330CC4">
              <w:rPr>
                <w:rFonts w:eastAsia="Calibri"/>
                <w:sz w:val="20"/>
              </w:rPr>
              <w:t xml:space="preserve"> or guilty mind, which was established by knowledge of the nature of the substance produced.</w:t>
            </w:r>
          </w:p>
          <w:p w:rsidR="008C1621" w:rsidRPr="00330CC4" w:rsidRDefault="008C1621" w:rsidP="007732B1">
            <w:pPr>
              <w:jc w:val="both"/>
              <w:rPr>
                <w:rFonts w:eastAsia="Calibri"/>
                <w:sz w:val="20"/>
              </w:rPr>
            </w:pPr>
          </w:p>
        </w:tc>
      </w:tr>
      <w:tr w:rsidR="008C1621" w:rsidRPr="00330CC4" w:rsidTr="007732B1">
        <w:tc>
          <w:tcPr>
            <w:tcW w:w="2427" w:type="pct"/>
          </w:tcPr>
          <w:p w:rsidR="008C1621" w:rsidRPr="00330CC4" w:rsidRDefault="008C1621" w:rsidP="007732B1">
            <w:pPr>
              <w:jc w:val="both"/>
              <w:rPr>
                <w:rFonts w:eastAsia="Calibri"/>
                <w:sz w:val="20"/>
              </w:rPr>
            </w:pPr>
            <w:r w:rsidRPr="00330CC4">
              <w:rPr>
                <w:rFonts w:eastAsia="Calibri"/>
                <w:sz w:val="20"/>
              </w:rPr>
              <w:lastRenderedPageBreak/>
              <w:t>November 29, 2011</w:t>
            </w:r>
          </w:p>
          <w:p w:rsidR="008C1621" w:rsidRPr="00330CC4" w:rsidRDefault="008C1621" w:rsidP="007732B1">
            <w:pPr>
              <w:jc w:val="both"/>
              <w:rPr>
                <w:rFonts w:eastAsia="Calibri"/>
                <w:sz w:val="20"/>
              </w:rPr>
            </w:pPr>
            <w:r w:rsidRPr="00330CC4">
              <w:rPr>
                <w:rFonts w:eastAsia="Calibri"/>
                <w:sz w:val="20"/>
              </w:rPr>
              <w:t>Court of Québec</w:t>
            </w:r>
          </w:p>
          <w:p w:rsidR="008C1621" w:rsidRPr="00330CC4" w:rsidRDefault="008C1621" w:rsidP="007732B1">
            <w:pPr>
              <w:jc w:val="both"/>
              <w:rPr>
                <w:rFonts w:eastAsia="Calibri"/>
                <w:sz w:val="20"/>
              </w:rPr>
            </w:pPr>
            <w:r w:rsidRPr="00330CC4">
              <w:rPr>
                <w:rFonts w:eastAsia="Calibri"/>
                <w:sz w:val="20"/>
              </w:rPr>
              <w:t>(Judge Fabi)</w:t>
            </w:r>
          </w:p>
        </w:tc>
        <w:tc>
          <w:tcPr>
            <w:tcW w:w="243" w:type="pct"/>
          </w:tcPr>
          <w:p w:rsidR="008C1621" w:rsidRPr="00330CC4" w:rsidRDefault="008C1621" w:rsidP="007732B1">
            <w:pPr>
              <w:jc w:val="both"/>
              <w:rPr>
                <w:rFonts w:eastAsia="Calibri"/>
                <w:sz w:val="20"/>
              </w:rPr>
            </w:pPr>
          </w:p>
        </w:tc>
        <w:tc>
          <w:tcPr>
            <w:tcW w:w="2330" w:type="pct"/>
          </w:tcPr>
          <w:p w:rsidR="008C1621" w:rsidRPr="00330CC4" w:rsidRDefault="008C1621" w:rsidP="007732B1">
            <w:pPr>
              <w:jc w:val="both"/>
              <w:rPr>
                <w:rFonts w:eastAsia="Calibri"/>
                <w:i/>
                <w:sz w:val="20"/>
              </w:rPr>
            </w:pPr>
            <w:r w:rsidRPr="00330CC4">
              <w:rPr>
                <w:rFonts w:eastAsia="Calibri"/>
                <w:sz w:val="20"/>
              </w:rPr>
              <w:t>Applicant convicted of producing cannabis (marijuana) contrary to s. 7(1) and (2)(</w:t>
            </w:r>
            <w:r w:rsidRPr="00330CC4">
              <w:rPr>
                <w:rFonts w:eastAsia="Calibri"/>
                <w:i/>
                <w:sz w:val="20"/>
              </w:rPr>
              <w:t>b</w:t>
            </w:r>
            <w:r w:rsidRPr="00330CC4">
              <w:rPr>
                <w:rFonts w:eastAsia="Calibri"/>
                <w:sz w:val="20"/>
              </w:rPr>
              <w:t xml:space="preserve">) of </w:t>
            </w:r>
            <w:r w:rsidRPr="00330CC4">
              <w:rPr>
                <w:rFonts w:eastAsia="Calibri"/>
                <w:i/>
                <w:sz w:val="20"/>
              </w:rPr>
              <w:t>Controlled Drugs and Substances Act</w:t>
            </w:r>
          </w:p>
          <w:p w:rsidR="008C1621" w:rsidRPr="00330CC4" w:rsidRDefault="008C1621" w:rsidP="007732B1">
            <w:pPr>
              <w:jc w:val="both"/>
              <w:rPr>
                <w:rFonts w:eastAsia="Calibri"/>
                <w:sz w:val="20"/>
              </w:rPr>
            </w:pPr>
          </w:p>
        </w:tc>
      </w:tr>
      <w:tr w:rsidR="008C1621" w:rsidRPr="00330CC4" w:rsidTr="007732B1">
        <w:tc>
          <w:tcPr>
            <w:tcW w:w="2427" w:type="pct"/>
          </w:tcPr>
          <w:p w:rsidR="008C1621" w:rsidRPr="00330CC4" w:rsidRDefault="008C1621" w:rsidP="007732B1">
            <w:pPr>
              <w:jc w:val="both"/>
              <w:rPr>
                <w:rFonts w:eastAsia="Calibri"/>
                <w:sz w:val="20"/>
              </w:rPr>
            </w:pPr>
            <w:r w:rsidRPr="00330CC4">
              <w:rPr>
                <w:rFonts w:eastAsia="Calibri"/>
                <w:sz w:val="20"/>
              </w:rPr>
              <w:t>March 13, 2014</w:t>
            </w:r>
          </w:p>
          <w:p w:rsidR="008C1621" w:rsidRPr="00330CC4" w:rsidRDefault="008C1621" w:rsidP="007732B1">
            <w:pPr>
              <w:jc w:val="both"/>
              <w:rPr>
                <w:rFonts w:eastAsia="Calibri"/>
                <w:sz w:val="20"/>
              </w:rPr>
            </w:pPr>
            <w:r w:rsidRPr="00330CC4">
              <w:rPr>
                <w:rFonts w:eastAsia="Calibri"/>
                <w:sz w:val="20"/>
              </w:rPr>
              <w:t>Quebec Court of Appeal (Montréal)</w:t>
            </w:r>
          </w:p>
          <w:p w:rsidR="008C1621" w:rsidRPr="00330CC4" w:rsidRDefault="008C1621" w:rsidP="007732B1">
            <w:pPr>
              <w:jc w:val="both"/>
              <w:rPr>
                <w:rFonts w:eastAsia="Calibri"/>
                <w:sz w:val="20"/>
                <w:lang w:val="fr-CA"/>
              </w:rPr>
            </w:pPr>
            <w:r w:rsidRPr="00330CC4">
              <w:rPr>
                <w:rFonts w:eastAsia="Calibri"/>
                <w:sz w:val="20"/>
                <w:lang w:val="fr-CA"/>
              </w:rPr>
              <w:t>(Pelletier, Morissette and Gagnon JJ.A.)</w:t>
            </w:r>
          </w:p>
          <w:p w:rsidR="008C1621" w:rsidRPr="00330CC4" w:rsidRDefault="008C1621" w:rsidP="007732B1">
            <w:pPr>
              <w:jc w:val="both"/>
              <w:rPr>
                <w:rFonts w:eastAsia="Calibri"/>
                <w:sz w:val="20"/>
                <w:lang w:val="fr-CA"/>
              </w:rPr>
            </w:pPr>
          </w:p>
        </w:tc>
        <w:tc>
          <w:tcPr>
            <w:tcW w:w="243" w:type="pct"/>
          </w:tcPr>
          <w:p w:rsidR="008C1621" w:rsidRPr="00330CC4" w:rsidRDefault="008C1621" w:rsidP="007732B1">
            <w:pPr>
              <w:jc w:val="both"/>
              <w:rPr>
                <w:rFonts w:eastAsia="Calibri"/>
                <w:sz w:val="20"/>
                <w:lang w:val="fr-CA"/>
              </w:rPr>
            </w:pPr>
          </w:p>
        </w:tc>
        <w:tc>
          <w:tcPr>
            <w:tcW w:w="2330" w:type="pct"/>
          </w:tcPr>
          <w:p w:rsidR="008C1621" w:rsidRPr="00330CC4" w:rsidRDefault="008C1621" w:rsidP="007732B1">
            <w:pPr>
              <w:jc w:val="both"/>
              <w:rPr>
                <w:rFonts w:eastAsia="Calibri"/>
                <w:sz w:val="20"/>
              </w:rPr>
            </w:pPr>
            <w:r w:rsidRPr="00330CC4">
              <w:rPr>
                <w:rFonts w:eastAsia="Calibri"/>
                <w:sz w:val="20"/>
              </w:rPr>
              <w:t>Appeal dismissed</w:t>
            </w:r>
          </w:p>
          <w:p w:rsidR="008C1621" w:rsidRPr="00330CC4" w:rsidRDefault="008C1621" w:rsidP="007732B1">
            <w:pPr>
              <w:jc w:val="both"/>
              <w:rPr>
                <w:rFonts w:eastAsia="Calibri"/>
                <w:sz w:val="20"/>
              </w:rPr>
            </w:pPr>
          </w:p>
        </w:tc>
      </w:tr>
      <w:tr w:rsidR="008C1621" w:rsidRPr="00330CC4" w:rsidTr="007732B1">
        <w:tc>
          <w:tcPr>
            <w:tcW w:w="2427" w:type="pct"/>
          </w:tcPr>
          <w:p w:rsidR="008C1621" w:rsidRPr="00330CC4" w:rsidRDefault="008C1621" w:rsidP="007732B1">
            <w:pPr>
              <w:jc w:val="both"/>
              <w:rPr>
                <w:rFonts w:eastAsia="Calibri"/>
                <w:sz w:val="20"/>
              </w:rPr>
            </w:pPr>
            <w:r w:rsidRPr="00330CC4">
              <w:rPr>
                <w:rFonts w:eastAsia="Calibri"/>
                <w:sz w:val="20"/>
              </w:rPr>
              <w:t>May 23, 2014</w:t>
            </w:r>
          </w:p>
          <w:p w:rsidR="008C1621" w:rsidRPr="00330CC4" w:rsidRDefault="008C1621" w:rsidP="007732B1">
            <w:pPr>
              <w:jc w:val="both"/>
              <w:rPr>
                <w:rFonts w:eastAsia="Calibri"/>
                <w:sz w:val="20"/>
              </w:rPr>
            </w:pPr>
            <w:r w:rsidRPr="00330CC4">
              <w:rPr>
                <w:rFonts w:eastAsia="Calibri"/>
                <w:sz w:val="20"/>
              </w:rPr>
              <w:t>Supreme Court of Canada</w:t>
            </w:r>
          </w:p>
        </w:tc>
        <w:tc>
          <w:tcPr>
            <w:tcW w:w="243" w:type="pct"/>
          </w:tcPr>
          <w:p w:rsidR="008C1621" w:rsidRPr="00330CC4" w:rsidRDefault="008C1621" w:rsidP="007732B1">
            <w:pPr>
              <w:jc w:val="both"/>
              <w:rPr>
                <w:rFonts w:eastAsia="Calibri"/>
                <w:sz w:val="20"/>
              </w:rPr>
            </w:pPr>
          </w:p>
        </w:tc>
        <w:tc>
          <w:tcPr>
            <w:tcW w:w="2330" w:type="pct"/>
          </w:tcPr>
          <w:p w:rsidR="008C1621" w:rsidRPr="00330CC4" w:rsidRDefault="008C1621" w:rsidP="007732B1">
            <w:pPr>
              <w:jc w:val="both"/>
              <w:rPr>
                <w:rFonts w:eastAsia="Calibri"/>
                <w:sz w:val="20"/>
              </w:rPr>
            </w:pPr>
            <w:r w:rsidRPr="00330CC4">
              <w:rPr>
                <w:rFonts w:eastAsia="Calibri"/>
                <w:sz w:val="20"/>
              </w:rPr>
              <w:t>Application to extend time to serve and file leave application and application for leave to appeal filed</w:t>
            </w:r>
          </w:p>
        </w:tc>
      </w:tr>
    </w:tbl>
    <w:p w:rsidR="00185470" w:rsidRDefault="00185470" w:rsidP="00185470">
      <w:pPr>
        <w:rPr>
          <w:sz w:val="20"/>
          <w:szCs w:val="20"/>
        </w:rPr>
      </w:pPr>
    </w:p>
    <w:p w:rsidR="00185470" w:rsidRPr="00C50A5C" w:rsidRDefault="00F677DC" w:rsidP="00185470">
      <w:pPr>
        <w:rPr>
          <w:sz w:val="20"/>
          <w:szCs w:val="20"/>
        </w:rPr>
      </w:pPr>
      <w:r>
        <w:rPr>
          <w:sz w:val="20"/>
          <w:szCs w:val="20"/>
          <w:lang w:val="fr-CA"/>
        </w:rPr>
        <w:pict>
          <v:rect id="_x0000_i1057" style="width:2in;height:1pt" o:hrpct="0" o:hralign="center" o:hrstd="t" o:hrnoshade="t" o:hr="t" fillcolor="black [3213]" stroked="f"/>
        </w:pict>
      </w:r>
    </w:p>
    <w:p w:rsidR="00185470" w:rsidRDefault="00185470" w:rsidP="00185470">
      <w:pPr>
        <w:rPr>
          <w:sz w:val="20"/>
          <w:szCs w:val="20"/>
        </w:rPr>
      </w:pPr>
    </w:p>
    <w:p w:rsidR="00185470" w:rsidRPr="001B157C" w:rsidRDefault="00185470" w:rsidP="00185470">
      <w:pPr>
        <w:rPr>
          <w:sz w:val="20"/>
          <w:szCs w:val="20"/>
          <w:u w:val="single"/>
          <w:lang w:val="fr-CA"/>
        </w:rPr>
      </w:pPr>
      <w:r w:rsidRPr="001B157C">
        <w:rPr>
          <w:sz w:val="20"/>
          <w:szCs w:val="20"/>
          <w:u w:val="single"/>
          <w:lang w:val="fr-CA"/>
        </w:rPr>
        <w:t>RÉSUMÉ DE L’AFFAIRE</w:t>
      </w:r>
    </w:p>
    <w:p w:rsidR="00185470" w:rsidRDefault="00185470" w:rsidP="0018547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C1621" w:rsidRPr="00F677DC" w:rsidTr="007732B1">
        <w:tc>
          <w:tcPr>
            <w:tcW w:w="5000" w:type="pct"/>
            <w:gridSpan w:val="3"/>
          </w:tcPr>
          <w:p w:rsidR="008C1621" w:rsidRPr="00330CC4" w:rsidRDefault="008C1621" w:rsidP="007732B1">
            <w:pPr>
              <w:jc w:val="both"/>
              <w:rPr>
                <w:rFonts w:eastAsia="Calibri"/>
                <w:sz w:val="20"/>
                <w:lang w:val="fr-CA"/>
              </w:rPr>
            </w:pPr>
            <w:r w:rsidRPr="00330CC4">
              <w:rPr>
                <w:rFonts w:eastAsia="Calibri"/>
                <w:i/>
                <w:sz w:val="20"/>
                <w:lang w:val="fr-CA"/>
              </w:rPr>
              <w:t xml:space="preserve">Charte canadienne des droits et </w:t>
            </w:r>
            <w:r w:rsidRPr="00330CC4">
              <w:rPr>
                <w:rFonts w:eastAsia="Calibri"/>
                <w:sz w:val="20"/>
                <w:lang w:val="fr-CA"/>
              </w:rPr>
              <w:t xml:space="preserve">libertés – Droit criminel – Infractions – Moyens de défense – Preuve – Éléments de l’infraction – La juge du procès a-t-elle privé le demandeur de son droit à une défense pleine et entière garanti par l’article 7 de la </w:t>
            </w:r>
            <w:r w:rsidRPr="00330CC4">
              <w:rPr>
                <w:rFonts w:eastAsia="Calibri"/>
                <w:i/>
                <w:sz w:val="20"/>
                <w:lang w:val="fr-CA"/>
              </w:rPr>
              <w:t>Charte?</w:t>
            </w:r>
            <w:r w:rsidRPr="00330CC4">
              <w:rPr>
                <w:rFonts w:eastAsia="Calibri"/>
                <w:sz w:val="20"/>
                <w:lang w:val="fr-CA"/>
              </w:rPr>
              <w:t xml:space="preserve"> – En refusant que l’expert du demandeur soit entendu en défense, la juge du procès a-t-elle brimé l’article 11 de la </w:t>
            </w:r>
            <w:r w:rsidRPr="00330CC4">
              <w:rPr>
                <w:rFonts w:eastAsia="Calibri"/>
                <w:i/>
                <w:sz w:val="20"/>
                <w:lang w:val="fr-CA"/>
              </w:rPr>
              <w:t>Charte</w:t>
            </w:r>
            <w:r w:rsidRPr="00330CC4">
              <w:rPr>
                <w:rFonts w:eastAsia="Calibri"/>
                <w:sz w:val="20"/>
                <w:lang w:val="fr-CA"/>
              </w:rPr>
              <w:t xml:space="preserve">? – </w:t>
            </w:r>
            <w:r w:rsidRPr="00330CC4">
              <w:rPr>
                <w:rFonts w:eastAsia="Calibri"/>
                <w:i/>
                <w:sz w:val="20"/>
                <w:lang w:val="fr-CA"/>
              </w:rPr>
              <w:t>Loi réglementant certaines drogues et autres substances</w:t>
            </w:r>
            <w:r w:rsidRPr="00330CC4">
              <w:rPr>
                <w:rFonts w:eastAsia="Calibri"/>
                <w:sz w:val="20"/>
                <w:lang w:val="fr-CA"/>
              </w:rPr>
              <w:t>, L.C. 1996, ch. 19.</w:t>
            </w:r>
          </w:p>
        </w:tc>
      </w:tr>
      <w:tr w:rsidR="008C1621" w:rsidRPr="00F677DC" w:rsidTr="007732B1">
        <w:tc>
          <w:tcPr>
            <w:tcW w:w="5000" w:type="pct"/>
            <w:gridSpan w:val="3"/>
          </w:tcPr>
          <w:p w:rsidR="008C1621" w:rsidRPr="00330CC4" w:rsidRDefault="008C1621" w:rsidP="007732B1">
            <w:pPr>
              <w:jc w:val="both"/>
              <w:rPr>
                <w:rFonts w:eastAsia="Calibri"/>
                <w:sz w:val="20"/>
                <w:lang w:val="fr-CA"/>
              </w:rPr>
            </w:pPr>
          </w:p>
        </w:tc>
      </w:tr>
      <w:tr w:rsidR="008C1621" w:rsidRPr="00F677DC" w:rsidTr="007732B1">
        <w:tc>
          <w:tcPr>
            <w:tcW w:w="5000" w:type="pct"/>
            <w:gridSpan w:val="3"/>
          </w:tcPr>
          <w:p w:rsidR="008C1621" w:rsidRPr="00330CC4" w:rsidRDefault="008C1621" w:rsidP="007732B1">
            <w:pPr>
              <w:jc w:val="both"/>
              <w:rPr>
                <w:rFonts w:eastAsia="Calibri"/>
                <w:sz w:val="20"/>
                <w:lang w:val="fr-CA"/>
              </w:rPr>
            </w:pPr>
            <w:r w:rsidRPr="00330CC4">
              <w:rPr>
                <w:rFonts w:eastAsia="Calibri"/>
                <w:sz w:val="20"/>
                <w:lang w:val="fr-CA"/>
              </w:rPr>
              <w:t xml:space="preserve">Le demandeur est accusé d’avoir produit du cannabis (marihuana) contrairement à l’article 7(1)(2)b) de la </w:t>
            </w:r>
            <w:r w:rsidRPr="00330CC4">
              <w:rPr>
                <w:rFonts w:eastAsia="Calibri"/>
                <w:i/>
                <w:sz w:val="20"/>
                <w:lang w:val="fr-CA"/>
              </w:rPr>
              <w:t>Loi réglementant certaines drogues et autres substances</w:t>
            </w:r>
            <w:r w:rsidRPr="00330CC4">
              <w:rPr>
                <w:rFonts w:eastAsia="Calibri"/>
                <w:sz w:val="20"/>
                <w:lang w:val="fr-CA"/>
              </w:rPr>
              <w:t xml:space="preserve">.  Le demandeur est un chercheur et connaît bien les plantes.  Le litige porte essentiellement sur la nature des substances saisies chez lui.  Ce dernier plaide que le tribunal doit distinguer les différentes espèces de cannabis, puisque selon lui, certaines espèces ne sont pas illicites ou visées par la loi en question.  La juge de procès rejette la défense du demandeur fondé sur la classification botanique.  Elle conclut que la poursuite s’est déchargée de son fardeau de démontrer hors de tout doute raisonnable les deux éléments de l’infraction de production de cannabis, soit </w:t>
            </w:r>
            <w:r w:rsidRPr="00330CC4">
              <w:rPr>
                <w:rFonts w:eastAsia="Calibri"/>
                <w:i/>
                <w:sz w:val="20"/>
                <w:lang w:val="fr-CA"/>
              </w:rPr>
              <w:t>l’actus reus</w:t>
            </w:r>
            <w:r w:rsidRPr="00330CC4">
              <w:rPr>
                <w:rFonts w:eastAsia="Calibri"/>
                <w:sz w:val="20"/>
                <w:lang w:val="fr-CA"/>
              </w:rPr>
              <w:t xml:space="preserve"> qui consiste à cultiver, multiplier ou récolter la substance, et la </w:t>
            </w:r>
            <w:r w:rsidRPr="00330CC4">
              <w:rPr>
                <w:rFonts w:eastAsia="Calibri"/>
                <w:i/>
                <w:sz w:val="20"/>
                <w:lang w:val="fr-CA"/>
              </w:rPr>
              <w:t>mens rea</w:t>
            </w:r>
            <w:r w:rsidRPr="00330CC4">
              <w:rPr>
                <w:rFonts w:eastAsia="Calibri"/>
                <w:sz w:val="20"/>
                <w:lang w:val="fr-CA"/>
              </w:rPr>
              <w:t>, soit l’intention coupable qui s’établit par la connaissance de la nature de la substance produite.</w:t>
            </w:r>
          </w:p>
          <w:p w:rsidR="008C1621" w:rsidRPr="00330CC4" w:rsidRDefault="008C1621" w:rsidP="007732B1">
            <w:pPr>
              <w:jc w:val="both"/>
              <w:rPr>
                <w:rFonts w:eastAsia="Calibri"/>
                <w:sz w:val="20"/>
                <w:lang w:val="fr-CA"/>
              </w:rPr>
            </w:pPr>
          </w:p>
        </w:tc>
      </w:tr>
      <w:tr w:rsidR="008C1621" w:rsidRPr="00F677DC" w:rsidTr="007732B1">
        <w:tc>
          <w:tcPr>
            <w:tcW w:w="2427" w:type="pct"/>
          </w:tcPr>
          <w:p w:rsidR="008C1621" w:rsidRPr="00330CC4" w:rsidRDefault="008C1621" w:rsidP="007732B1">
            <w:pPr>
              <w:jc w:val="both"/>
              <w:rPr>
                <w:rFonts w:eastAsia="Calibri"/>
                <w:sz w:val="20"/>
                <w:lang w:val="fr-CA"/>
              </w:rPr>
            </w:pPr>
            <w:r w:rsidRPr="00330CC4">
              <w:rPr>
                <w:rFonts w:eastAsia="Calibri"/>
                <w:sz w:val="20"/>
                <w:lang w:val="fr-CA"/>
              </w:rPr>
              <w:t>Le 29 novembre 2011</w:t>
            </w:r>
          </w:p>
          <w:p w:rsidR="008C1621" w:rsidRPr="00330CC4" w:rsidRDefault="008C1621" w:rsidP="007732B1">
            <w:pPr>
              <w:jc w:val="both"/>
              <w:rPr>
                <w:rFonts w:eastAsia="Calibri"/>
                <w:sz w:val="20"/>
                <w:lang w:val="fr-CA"/>
              </w:rPr>
            </w:pPr>
            <w:r w:rsidRPr="00330CC4">
              <w:rPr>
                <w:rFonts w:eastAsia="Calibri"/>
                <w:sz w:val="20"/>
                <w:lang w:val="fr-CA"/>
              </w:rPr>
              <w:t>Cour du Québec</w:t>
            </w:r>
          </w:p>
          <w:p w:rsidR="008C1621" w:rsidRPr="00330CC4" w:rsidRDefault="008C1621" w:rsidP="007732B1">
            <w:pPr>
              <w:jc w:val="both"/>
              <w:rPr>
                <w:rFonts w:eastAsia="Calibri"/>
                <w:sz w:val="20"/>
                <w:lang w:val="fr-CA"/>
              </w:rPr>
            </w:pPr>
            <w:r w:rsidRPr="00330CC4">
              <w:rPr>
                <w:rFonts w:eastAsia="Calibri"/>
                <w:sz w:val="20"/>
                <w:lang w:val="fr-CA"/>
              </w:rPr>
              <w:t>(La juge Fabi)</w:t>
            </w:r>
          </w:p>
        </w:tc>
        <w:tc>
          <w:tcPr>
            <w:tcW w:w="243" w:type="pct"/>
          </w:tcPr>
          <w:p w:rsidR="008C1621" w:rsidRPr="00330CC4" w:rsidRDefault="008C1621" w:rsidP="007732B1">
            <w:pPr>
              <w:jc w:val="both"/>
              <w:rPr>
                <w:rFonts w:eastAsia="Calibri"/>
                <w:sz w:val="20"/>
                <w:lang w:val="fr-CA"/>
              </w:rPr>
            </w:pPr>
          </w:p>
        </w:tc>
        <w:tc>
          <w:tcPr>
            <w:tcW w:w="2330" w:type="pct"/>
          </w:tcPr>
          <w:p w:rsidR="008C1621" w:rsidRPr="00330CC4" w:rsidRDefault="008C1621" w:rsidP="007732B1">
            <w:pPr>
              <w:jc w:val="both"/>
              <w:rPr>
                <w:rFonts w:eastAsia="Calibri"/>
                <w:i/>
                <w:sz w:val="20"/>
                <w:lang w:val="fr-CA"/>
              </w:rPr>
            </w:pPr>
            <w:r w:rsidRPr="00330CC4">
              <w:rPr>
                <w:rFonts w:eastAsia="Calibri"/>
                <w:sz w:val="20"/>
                <w:lang w:val="fr-CA"/>
              </w:rPr>
              <w:t xml:space="preserve">Déclaration de culpabilité: d’avoir produit du cannabis (marihuana) contrairement à l’article 7(1)(2)b) de la </w:t>
            </w:r>
            <w:r w:rsidRPr="00330CC4">
              <w:rPr>
                <w:rFonts w:eastAsia="Calibri"/>
                <w:i/>
                <w:sz w:val="20"/>
                <w:lang w:val="fr-CA"/>
              </w:rPr>
              <w:t>Loi réglementant certaines drogues et autres substances</w:t>
            </w:r>
          </w:p>
          <w:p w:rsidR="008C1621" w:rsidRPr="00330CC4" w:rsidRDefault="008C1621" w:rsidP="007732B1">
            <w:pPr>
              <w:jc w:val="both"/>
              <w:rPr>
                <w:rFonts w:eastAsia="Calibri"/>
                <w:sz w:val="20"/>
                <w:lang w:val="fr-CA"/>
              </w:rPr>
            </w:pPr>
          </w:p>
        </w:tc>
      </w:tr>
      <w:tr w:rsidR="008C1621" w:rsidRPr="00330CC4" w:rsidTr="007732B1">
        <w:tc>
          <w:tcPr>
            <w:tcW w:w="2427" w:type="pct"/>
          </w:tcPr>
          <w:p w:rsidR="008C1621" w:rsidRPr="00330CC4" w:rsidRDefault="008C1621" w:rsidP="007732B1">
            <w:pPr>
              <w:jc w:val="both"/>
              <w:rPr>
                <w:rFonts w:eastAsia="Calibri"/>
                <w:sz w:val="20"/>
                <w:lang w:val="fr-CA"/>
              </w:rPr>
            </w:pPr>
            <w:r w:rsidRPr="00330CC4">
              <w:rPr>
                <w:rFonts w:eastAsia="Calibri"/>
                <w:sz w:val="20"/>
                <w:lang w:val="fr-CA"/>
              </w:rPr>
              <w:t>Le 13 mars 2014</w:t>
            </w:r>
          </w:p>
          <w:p w:rsidR="008C1621" w:rsidRPr="00330CC4" w:rsidRDefault="008C1621" w:rsidP="007732B1">
            <w:pPr>
              <w:jc w:val="both"/>
              <w:rPr>
                <w:rFonts w:eastAsia="Calibri"/>
                <w:sz w:val="20"/>
                <w:lang w:val="fr-CA"/>
              </w:rPr>
            </w:pPr>
            <w:r w:rsidRPr="00330CC4">
              <w:rPr>
                <w:rFonts w:eastAsia="Calibri"/>
                <w:sz w:val="20"/>
                <w:lang w:val="fr-CA"/>
              </w:rPr>
              <w:t>Cour d’appel du Québec (Montréal)</w:t>
            </w:r>
          </w:p>
          <w:p w:rsidR="008C1621" w:rsidRPr="00330CC4" w:rsidRDefault="008C1621" w:rsidP="007732B1">
            <w:pPr>
              <w:jc w:val="both"/>
              <w:rPr>
                <w:rFonts w:eastAsia="Calibri"/>
                <w:sz w:val="20"/>
                <w:lang w:val="fr-CA"/>
              </w:rPr>
            </w:pPr>
            <w:r w:rsidRPr="00330CC4">
              <w:rPr>
                <w:rFonts w:eastAsia="Calibri"/>
                <w:sz w:val="20"/>
                <w:lang w:val="fr-CA"/>
              </w:rPr>
              <w:t>(Les juges Pelletier, Morissette et Gagnon)</w:t>
            </w:r>
          </w:p>
          <w:p w:rsidR="008C1621" w:rsidRPr="00330CC4" w:rsidRDefault="008C1621" w:rsidP="007732B1">
            <w:pPr>
              <w:jc w:val="both"/>
              <w:rPr>
                <w:rFonts w:eastAsia="Calibri"/>
                <w:sz w:val="20"/>
                <w:lang w:val="fr-CA"/>
              </w:rPr>
            </w:pPr>
          </w:p>
        </w:tc>
        <w:tc>
          <w:tcPr>
            <w:tcW w:w="243" w:type="pct"/>
          </w:tcPr>
          <w:p w:rsidR="008C1621" w:rsidRPr="00330CC4" w:rsidRDefault="008C1621" w:rsidP="007732B1">
            <w:pPr>
              <w:jc w:val="both"/>
              <w:rPr>
                <w:rFonts w:eastAsia="Calibri"/>
                <w:sz w:val="20"/>
                <w:lang w:val="fr-CA"/>
              </w:rPr>
            </w:pPr>
          </w:p>
        </w:tc>
        <w:tc>
          <w:tcPr>
            <w:tcW w:w="2330" w:type="pct"/>
          </w:tcPr>
          <w:p w:rsidR="008C1621" w:rsidRPr="00330CC4" w:rsidRDefault="008C1621" w:rsidP="007732B1">
            <w:pPr>
              <w:jc w:val="both"/>
              <w:rPr>
                <w:rFonts w:eastAsia="Calibri"/>
                <w:sz w:val="20"/>
                <w:lang w:val="fr-CA"/>
              </w:rPr>
            </w:pPr>
            <w:r w:rsidRPr="00330CC4">
              <w:rPr>
                <w:rFonts w:eastAsia="Calibri"/>
                <w:sz w:val="20"/>
                <w:lang w:val="fr-CA"/>
              </w:rPr>
              <w:t>Appel rejeté</w:t>
            </w:r>
          </w:p>
          <w:p w:rsidR="008C1621" w:rsidRPr="00330CC4" w:rsidRDefault="008C1621" w:rsidP="007732B1">
            <w:pPr>
              <w:jc w:val="both"/>
              <w:rPr>
                <w:rFonts w:eastAsia="Calibri"/>
                <w:sz w:val="20"/>
                <w:lang w:val="fr-CA"/>
              </w:rPr>
            </w:pPr>
          </w:p>
        </w:tc>
      </w:tr>
      <w:tr w:rsidR="008C1621" w:rsidRPr="00F677DC" w:rsidTr="007732B1">
        <w:tc>
          <w:tcPr>
            <w:tcW w:w="2427" w:type="pct"/>
          </w:tcPr>
          <w:p w:rsidR="008C1621" w:rsidRPr="00330CC4" w:rsidRDefault="008C1621" w:rsidP="007732B1">
            <w:pPr>
              <w:jc w:val="both"/>
              <w:rPr>
                <w:rFonts w:eastAsia="Calibri"/>
                <w:sz w:val="20"/>
                <w:lang w:val="fr-CA"/>
              </w:rPr>
            </w:pPr>
            <w:r w:rsidRPr="00330CC4">
              <w:rPr>
                <w:rFonts w:eastAsia="Calibri"/>
                <w:sz w:val="20"/>
                <w:lang w:val="fr-CA"/>
              </w:rPr>
              <w:t>Le 23 mai 2014</w:t>
            </w:r>
          </w:p>
          <w:p w:rsidR="008C1621" w:rsidRPr="00330CC4" w:rsidRDefault="008C1621" w:rsidP="007732B1">
            <w:pPr>
              <w:jc w:val="both"/>
              <w:rPr>
                <w:rFonts w:eastAsia="Calibri"/>
                <w:sz w:val="20"/>
                <w:lang w:val="fr-CA"/>
              </w:rPr>
            </w:pPr>
            <w:r w:rsidRPr="00330CC4">
              <w:rPr>
                <w:rFonts w:eastAsia="Calibri"/>
                <w:sz w:val="20"/>
                <w:lang w:val="fr-CA"/>
              </w:rPr>
              <w:t>Cour suprême du Canada</w:t>
            </w:r>
          </w:p>
        </w:tc>
        <w:tc>
          <w:tcPr>
            <w:tcW w:w="243" w:type="pct"/>
          </w:tcPr>
          <w:p w:rsidR="008C1621" w:rsidRPr="00330CC4" w:rsidRDefault="008C1621" w:rsidP="007732B1">
            <w:pPr>
              <w:jc w:val="both"/>
              <w:rPr>
                <w:rFonts w:eastAsia="Calibri"/>
                <w:sz w:val="20"/>
                <w:lang w:val="fr-CA"/>
              </w:rPr>
            </w:pPr>
          </w:p>
        </w:tc>
        <w:tc>
          <w:tcPr>
            <w:tcW w:w="2330" w:type="pct"/>
          </w:tcPr>
          <w:p w:rsidR="008C1621" w:rsidRPr="00330CC4" w:rsidRDefault="008C1621" w:rsidP="007732B1">
            <w:pPr>
              <w:jc w:val="both"/>
              <w:rPr>
                <w:rFonts w:eastAsia="Calibri"/>
                <w:sz w:val="20"/>
                <w:lang w:val="fr-CA"/>
              </w:rPr>
            </w:pPr>
            <w:r w:rsidRPr="00330CC4">
              <w:rPr>
                <w:rFonts w:eastAsia="Calibri"/>
                <w:sz w:val="20"/>
                <w:lang w:val="fr-CA"/>
              </w:rPr>
              <w:t>Demande de prorogation de délai pour signifier et déposer demande d’autorisation et demande d'autorisation d'appel déposées</w:t>
            </w:r>
          </w:p>
        </w:tc>
      </w:tr>
    </w:tbl>
    <w:p w:rsidR="00185470" w:rsidRPr="008C1621" w:rsidRDefault="00185470" w:rsidP="00185470">
      <w:pPr>
        <w:rPr>
          <w:sz w:val="20"/>
          <w:szCs w:val="20"/>
          <w:lang w:val="fr-CA"/>
        </w:rPr>
      </w:pPr>
    </w:p>
    <w:p w:rsidR="00185470" w:rsidRDefault="00F677DC" w:rsidP="00185470">
      <w:pPr>
        <w:rPr>
          <w:sz w:val="20"/>
          <w:szCs w:val="20"/>
        </w:rPr>
      </w:pPr>
      <w:r>
        <w:rPr>
          <w:sz w:val="20"/>
          <w:szCs w:val="20"/>
          <w:lang w:val="fr-CA"/>
        </w:rPr>
        <w:pict>
          <v:rect id="_x0000_i1058" style="width:2in;height:1pt" o:hrpct="0" o:hralign="center" o:hrstd="t" o:hrnoshade="t" o:hr="t" fillcolor="black [3213]" stroked="f"/>
        </w:pict>
      </w:r>
    </w:p>
    <w:p w:rsidR="00185470" w:rsidRDefault="00185470" w:rsidP="00185470">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B4E4F" w:rsidRPr="00F677DC" w:rsidTr="00AB4E4F">
        <w:trPr>
          <w:cantSplit/>
        </w:trPr>
        <w:tc>
          <w:tcPr>
            <w:tcW w:w="1458" w:type="dxa"/>
          </w:tcPr>
          <w:p w:rsidR="00AB4E4F" w:rsidRPr="006F63FD" w:rsidRDefault="00AB4E4F" w:rsidP="00AB4E4F">
            <w:pPr>
              <w:rPr>
                <w:sz w:val="20"/>
                <w:szCs w:val="20"/>
              </w:rPr>
            </w:pPr>
            <w:r w:rsidRPr="006F63FD">
              <w:rPr>
                <w:rStyle w:val="SCCFileNumberChar"/>
                <w:sz w:val="20"/>
                <w:szCs w:val="20"/>
              </w:rPr>
              <w:t>35909</w:t>
            </w:r>
          </w:p>
          <w:p w:rsidR="00AB4E4F" w:rsidRPr="006F63FD" w:rsidRDefault="00AB4E4F" w:rsidP="00AB4E4F">
            <w:pPr>
              <w:rPr>
                <w:b/>
                <w:sz w:val="20"/>
                <w:szCs w:val="20"/>
                <w:lang w:val="fr-CA"/>
              </w:rPr>
            </w:pPr>
          </w:p>
        </w:tc>
        <w:tc>
          <w:tcPr>
            <w:tcW w:w="8118" w:type="dxa"/>
          </w:tcPr>
          <w:p w:rsidR="00AB4E4F" w:rsidRPr="006F63FD" w:rsidRDefault="00AB4E4F" w:rsidP="00AB4E4F">
            <w:pPr>
              <w:rPr>
                <w:sz w:val="20"/>
                <w:szCs w:val="20"/>
                <w:lang w:val="fr-CA"/>
              </w:rPr>
            </w:pPr>
            <w:r w:rsidRPr="006F63FD">
              <w:rPr>
                <w:rStyle w:val="SCCLsocChar"/>
                <w:sz w:val="20"/>
                <w:szCs w:val="20"/>
              </w:rPr>
              <w:t>Roger Chrétien c. Sa Majesté la Reine</w:t>
            </w:r>
            <w:r w:rsidRPr="006F63FD">
              <w:rPr>
                <w:sz w:val="20"/>
                <w:szCs w:val="20"/>
                <w:lang w:val="fr-CA"/>
              </w:rPr>
              <w:t xml:space="preserve"> (Qc) (Criminelle) (Autorisation)</w:t>
            </w:r>
          </w:p>
          <w:p w:rsidR="00AB4E4F" w:rsidRPr="006F63FD" w:rsidRDefault="00AB4E4F" w:rsidP="00AB4E4F">
            <w:pPr>
              <w:rPr>
                <w:sz w:val="20"/>
                <w:szCs w:val="20"/>
                <w:lang w:val="fr-CA"/>
              </w:rPr>
            </w:pPr>
          </w:p>
        </w:tc>
      </w:tr>
      <w:tr w:rsidR="00AB4E4F" w:rsidRPr="00F677DC" w:rsidTr="00AB4E4F">
        <w:trPr>
          <w:cantSplit/>
        </w:trPr>
        <w:tc>
          <w:tcPr>
            <w:tcW w:w="1458" w:type="dxa"/>
          </w:tcPr>
          <w:p w:rsidR="00AB4E4F" w:rsidRPr="006F63FD" w:rsidRDefault="00AB4E4F" w:rsidP="00AB4E4F">
            <w:pPr>
              <w:rPr>
                <w:sz w:val="20"/>
                <w:szCs w:val="20"/>
              </w:rPr>
            </w:pPr>
            <w:r w:rsidRPr="006F63FD">
              <w:rPr>
                <w:sz w:val="20"/>
                <w:szCs w:val="20"/>
              </w:rPr>
              <w:t>Coram :</w:t>
            </w:r>
          </w:p>
        </w:tc>
        <w:tc>
          <w:tcPr>
            <w:tcW w:w="8118" w:type="dxa"/>
          </w:tcPr>
          <w:p w:rsidR="00AB4E4F" w:rsidRPr="006F63FD" w:rsidRDefault="00AB4E4F" w:rsidP="00AB4E4F">
            <w:pPr>
              <w:rPr>
                <w:sz w:val="20"/>
                <w:szCs w:val="20"/>
                <w:lang w:val="fr-CA"/>
              </w:rPr>
            </w:pPr>
            <w:r w:rsidRPr="006F63FD">
              <w:rPr>
                <w:rStyle w:val="SCCCoramChar"/>
                <w:sz w:val="20"/>
                <w:szCs w:val="20"/>
              </w:rPr>
              <w:t>Les juges LeBel, Karakatsanis et Gascon</w:t>
            </w:r>
          </w:p>
          <w:p w:rsidR="00AB4E4F" w:rsidRPr="006F63FD" w:rsidRDefault="00AB4E4F" w:rsidP="00AB4E4F">
            <w:pPr>
              <w:rPr>
                <w:sz w:val="20"/>
                <w:szCs w:val="20"/>
                <w:u w:val="single"/>
                <w:lang w:val="fr-CA"/>
              </w:rPr>
            </w:pPr>
          </w:p>
        </w:tc>
      </w:tr>
      <w:tr w:rsidR="00AB4E4F" w:rsidRPr="006F63FD" w:rsidTr="00AB4E4F">
        <w:trPr>
          <w:cantSplit/>
        </w:trPr>
        <w:tc>
          <w:tcPr>
            <w:tcW w:w="9576" w:type="dxa"/>
            <w:gridSpan w:val="2"/>
          </w:tcPr>
          <w:p w:rsidR="00AB4E4F" w:rsidRPr="006F63FD" w:rsidRDefault="00AB4E4F" w:rsidP="00AB4E4F">
            <w:pPr>
              <w:pStyle w:val="SCCShortJudgment"/>
              <w:rPr>
                <w:szCs w:val="20"/>
                <w:lang w:val="fr-CA"/>
              </w:rPr>
            </w:pPr>
            <w:r w:rsidRPr="006F63FD">
              <w:rPr>
                <w:szCs w:val="20"/>
                <w:lang w:val="fr-CA"/>
              </w:rPr>
              <w:lastRenderedPageBreak/>
              <w:t>La demande d’autorisation d’appel de l’arrêt de la Cour d’appel du Québec (Québec), numéro 200-10-002939-135, 2014 QCCA 865, daté du 30 avril 2014, est rejetée sans dépens.</w:t>
            </w:r>
          </w:p>
          <w:p w:rsidR="00AB4E4F" w:rsidRPr="006F63FD" w:rsidRDefault="00AB4E4F" w:rsidP="00AB4E4F">
            <w:pPr>
              <w:pStyle w:val="SCCShortJudgment"/>
              <w:ind w:firstLine="0"/>
              <w:rPr>
                <w:szCs w:val="20"/>
                <w:lang w:val="fr-CA"/>
              </w:rPr>
            </w:pPr>
          </w:p>
          <w:p w:rsidR="00AB4E4F" w:rsidRPr="006F63FD" w:rsidRDefault="00AB4E4F" w:rsidP="00AB4E4F">
            <w:pPr>
              <w:pStyle w:val="SCCShortJudgment"/>
              <w:rPr>
                <w:szCs w:val="20"/>
              </w:rPr>
            </w:pPr>
            <w:r w:rsidRPr="006F63FD">
              <w:rPr>
                <w:szCs w:val="20"/>
              </w:rPr>
              <w:t>The application for leave to appeal from the judgment of the Court of Appeal of Quebec (Québec), Number 200-10-002939-135, 2014 QCCA 865, dated April 30, 2014, is dismissed without costs.</w:t>
            </w:r>
          </w:p>
        </w:tc>
      </w:tr>
    </w:tbl>
    <w:p w:rsidR="00185470" w:rsidRPr="00AB4E4F" w:rsidRDefault="00185470" w:rsidP="00185470">
      <w:pPr>
        <w:rPr>
          <w:sz w:val="20"/>
          <w:szCs w:val="20"/>
        </w:rPr>
      </w:pPr>
    </w:p>
    <w:p w:rsidR="00185470" w:rsidRPr="001B157C" w:rsidRDefault="00185470" w:rsidP="00185470">
      <w:pPr>
        <w:rPr>
          <w:sz w:val="20"/>
          <w:szCs w:val="20"/>
          <w:u w:val="single"/>
        </w:rPr>
      </w:pPr>
      <w:r w:rsidRPr="001B157C">
        <w:rPr>
          <w:sz w:val="20"/>
          <w:szCs w:val="20"/>
          <w:u w:val="single"/>
        </w:rPr>
        <w:t>CASE SUMMARY</w:t>
      </w:r>
    </w:p>
    <w:p w:rsidR="00185470" w:rsidRDefault="00185470" w:rsidP="0018547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C1621" w:rsidRPr="00330CC4" w:rsidTr="007732B1">
        <w:tc>
          <w:tcPr>
            <w:tcW w:w="5000" w:type="pct"/>
            <w:gridSpan w:val="3"/>
          </w:tcPr>
          <w:p w:rsidR="008C1621" w:rsidRPr="00330CC4" w:rsidRDefault="008C1621" w:rsidP="007732B1">
            <w:pPr>
              <w:jc w:val="both"/>
              <w:rPr>
                <w:rFonts w:eastAsia="Calibri"/>
                <w:sz w:val="20"/>
              </w:rPr>
            </w:pPr>
            <w:r w:rsidRPr="00330CC4">
              <w:rPr>
                <w:rFonts w:eastAsia="Calibri"/>
                <w:sz w:val="20"/>
              </w:rPr>
              <w:t>Charter of rights</w:t>
            </w:r>
            <w:r w:rsidRPr="00330CC4">
              <w:rPr>
                <w:rFonts w:eastAsia="Calibri"/>
                <w:i/>
                <w:sz w:val="20"/>
              </w:rPr>
              <w:t xml:space="preserve"> </w:t>
            </w:r>
            <w:r w:rsidRPr="00330CC4">
              <w:rPr>
                <w:rFonts w:eastAsia="Calibri"/>
                <w:sz w:val="20"/>
              </w:rPr>
              <w:t xml:space="preserve">— Criminal law — Right to counsel — Reasonable verdict — Whether Court of Appeal erred in law in refusing to declare verdict unreasonable within meaning of applicable case law — Whether Court of Appeal erred in law in finding that applicant’s right to counsel not violated — </w:t>
            </w:r>
            <w:r w:rsidRPr="00330CC4">
              <w:rPr>
                <w:rFonts w:eastAsia="Calibri"/>
                <w:i/>
                <w:sz w:val="20"/>
              </w:rPr>
              <w:t>Charter of Rights and Freedoms</w:t>
            </w:r>
            <w:r w:rsidRPr="00330CC4">
              <w:rPr>
                <w:rFonts w:eastAsia="Calibri"/>
                <w:sz w:val="20"/>
              </w:rPr>
              <w:t>, s. 10(</w:t>
            </w:r>
            <w:r w:rsidRPr="00330CC4">
              <w:rPr>
                <w:rFonts w:eastAsia="Calibri"/>
                <w:i/>
                <w:sz w:val="20"/>
              </w:rPr>
              <w:t>b</w:t>
            </w:r>
            <w:r w:rsidRPr="00330CC4">
              <w:rPr>
                <w:rFonts w:eastAsia="Calibri"/>
                <w:sz w:val="20"/>
              </w:rPr>
              <w:t>).</w:t>
            </w:r>
          </w:p>
        </w:tc>
      </w:tr>
      <w:tr w:rsidR="008C1621" w:rsidRPr="00330CC4" w:rsidTr="007732B1">
        <w:tc>
          <w:tcPr>
            <w:tcW w:w="5000" w:type="pct"/>
            <w:gridSpan w:val="3"/>
          </w:tcPr>
          <w:p w:rsidR="008C1621" w:rsidRPr="00330CC4" w:rsidRDefault="008C1621" w:rsidP="007732B1">
            <w:pPr>
              <w:jc w:val="both"/>
              <w:rPr>
                <w:rFonts w:eastAsia="Calibri"/>
                <w:sz w:val="20"/>
              </w:rPr>
            </w:pPr>
          </w:p>
        </w:tc>
      </w:tr>
      <w:tr w:rsidR="008C1621" w:rsidRPr="00330CC4" w:rsidTr="007732B1">
        <w:tc>
          <w:tcPr>
            <w:tcW w:w="5000" w:type="pct"/>
            <w:gridSpan w:val="3"/>
          </w:tcPr>
          <w:p w:rsidR="008C1621" w:rsidRPr="00330CC4" w:rsidRDefault="008C1621" w:rsidP="007732B1">
            <w:pPr>
              <w:jc w:val="both"/>
              <w:rPr>
                <w:rFonts w:eastAsia="Calibri"/>
                <w:sz w:val="20"/>
              </w:rPr>
            </w:pPr>
            <w:r w:rsidRPr="00330CC4">
              <w:rPr>
                <w:rFonts w:eastAsia="Calibri"/>
                <w:sz w:val="20"/>
              </w:rPr>
              <w:t>The applicant was charged with operating a motor vehicle while his ability to do so was impaired by alcohol and thereby causing bodily harm, and with subsequently refusing to comply with a demand made by a peace officer for the purpose of taking blood samples under s. 254(3)(</w:t>
            </w:r>
            <w:r w:rsidRPr="00330CC4">
              <w:rPr>
                <w:rFonts w:eastAsia="Calibri"/>
                <w:i/>
                <w:sz w:val="20"/>
              </w:rPr>
              <w:t>b</w:t>
            </w:r>
            <w:r w:rsidRPr="00330CC4">
              <w:rPr>
                <w:rFonts w:eastAsia="Calibri"/>
                <w:sz w:val="20"/>
              </w:rPr>
              <w:t xml:space="preserve">) of the </w:t>
            </w:r>
            <w:r w:rsidRPr="00330CC4">
              <w:rPr>
                <w:rFonts w:eastAsia="Calibri"/>
                <w:i/>
                <w:sz w:val="20"/>
              </w:rPr>
              <w:t>Criminal Code</w:t>
            </w:r>
            <w:r w:rsidRPr="00330CC4">
              <w:rPr>
                <w:rFonts w:eastAsia="Calibri"/>
                <w:sz w:val="20"/>
              </w:rPr>
              <w:t>.</w:t>
            </w:r>
          </w:p>
          <w:p w:rsidR="008C1621" w:rsidRPr="00330CC4" w:rsidRDefault="008C1621" w:rsidP="007732B1">
            <w:pPr>
              <w:jc w:val="both"/>
              <w:rPr>
                <w:rFonts w:eastAsia="Calibri"/>
                <w:sz w:val="20"/>
              </w:rPr>
            </w:pPr>
          </w:p>
          <w:p w:rsidR="008C1621" w:rsidRPr="00330CC4" w:rsidRDefault="008C1621" w:rsidP="007732B1">
            <w:pPr>
              <w:jc w:val="both"/>
              <w:rPr>
                <w:rFonts w:eastAsia="Calibri"/>
                <w:sz w:val="20"/>
              </w:rPr>
            </w:pPr>
            <w:r w:rsidRPr="00330CC4">
              <w:rPr>
                <w:rFonts w:eastAsia="Calibri"/>
                <w:sz w:val="20"/>
              </w:rPr>
              <w:t xml:space="preserve">The charges and resulting convictions arose out of a motor vehicle accident that occurred in October 2008 when the car driven by the applicant collided with a truck in which there were two individuals, one of whom was injured in the accident.  At the scene of the accident, the applicant was arrested for operating a motor vehicle while impaired.  He was later taken to the hospital.  The police then requested a blood sample from the applicant several times, but he refused.  The evidence given by the defence and the prosecution at trial differed on whether the applicant had cooperated with the police, whether he had sought to exercise his right to counsel and whether the police had given him an opportunity to contact counsel. </w:t>
            </w:r>
          </w:p>
          <w:p w:rsidR="008C1621" w:rsidRPr="00330CC4" w:rsidRDefault="008C1621" w:rsidP="007732B1">
            <w:pPr>
              <w:jc w:val="both"/>
              <w:rPr>
                <w:rFonts w:eastAsia="Calibri"/>
                <w:sz w:val="20"/>
              </w:rPr>
            </w:pPr>
          </w:p>
          <w:p w:rsidR="008C1621" w:rsidRPr="00330CC4" w:rsidRDefault="008C1621" w:rsidP="007732B1">
            <w:pPr>
              <w:jc w:val="both"/>
              <w:rPr>
                <w:rFonts w:eastAsia="Calibri"/>
                <w:sz w:val="20"/>
              </w:rPr>
            </w:pPr>
            <w:r w:rsidRPr="00330CC4">
              <w:rPr>
                <w:rFonts w:eastAsia="Calibri"/>
                <w:sz w:val="20"/>
              </w:rPr>
              <w:t>At his trial, the applicant alleged by motion that his arrest had been unlawful and that his constitutional right to counsel had been breached.  He argued that he had refused to provide a blood sample because of those violations of his rights.</w:t>
            </w:r>
          </w:p>
          <w:p w:rsidR="008C1621" w:rsidRPr="00330CC4" w:rsidRDefault="008C1621" w:rsidP="007732B1">
            <w:pPr>
              <w:jc w:val="both"/>
              <w:rPr>
                <w:rFonts w:eastAsia="Calibri"/>
                <w:sz w:val="20"/>
              </w:rPr>
            </w:pPr>
          </w:p>
        </w:tc>
      </w:tr>
      <w:tr w:rsidR="008C1621" w:rsidRPr="00330CC4" w:rsidTr="007732B1">
        <w:tc>
          <w:tcPr>
            <w:tcW w:w="2427" w:type="pct"/>
          </w:tcPr>
          <w:p w:rsidR="008C1621" w:rsidRPr="00330CC4" w:rsidRDefault="008C1621" w:rsidP="007732B1">
            <w:pPr>
              <w:jc w:val="both"/>
              <w:rPr>
                <w:rFonts w:eastAsia="Calibri"/>
                <w:sz w:val="20"/>
              </w:rPr>
            </w:pPr>
            <w:r w:rsidRPr="00330CC4">
              <w:rPr>
                <w:rFonts w:eastAsia="Calibri"/>
                <w:sz w:val="20"/>
              </w:rPr>
              <w:t>March 6, 2013</w:t>
            </w:r>
          </w:p>
          <w:p w:rsidR="008C1621" w:rsidRPr="00330CC4" w:rsidRDefault="008C1621" w:rsidP="007732B1">
            <w:pPr>
              <w:jc w:val="both"/>
              <w:rPr>
                <w:rFonts w:eastAsia="Calibri"/>
                <w:sz w:val="20"/>
              </w:rPr>
            </w:pPr>
            <w:r w:rsidRPr="00330CC4">
              <w:rPr>
                <w:rFonts w:eastAsia="Calibri"/>
                <w:sz w:val="20"/>
              </w:rPr>
              <w:t>Court of Québec</w:t>
            </w:r>
          </w:p>
          <w:p w:rsidR="008C1621" w:rsidRPr="00330CC4" w:rsidRDefault="008C1621" w:rsidP="007732B1">
            <w:pPr>
              <w:jc w:val="both"/>
              <w:rPr>
                <w:rFonts w:eastAsia="Calibri"/>
                <w:sz w:val="20"/>
              </w:rPr>
            </w:pPr>
            <w:r w:rsidRPr="00330CC4">
              <w:rPr>
                <w:rFonts w:eastAsia="Calibri"/>
                <w:sz w:val="20"/>
              </w:rPr>
              <w:t>(Judge Gagnon)</w:t>
            </w:r>
          </w:p>
          <w:bookmarkStart w:id="2" w:name="reflex-caselaw-25233624"/>
          <w:bookmarkEnd w:id="2"/>
          <w:p w:rsidR="008C1621" w:rsidRPr="00330CC4" w:rsidRDefault="00274132" w:rsidP="007732B1">
            <w:pPr>
              <w:jc w:val="both"/>
              <w:rPr>
                <w:rFonts w:eastAsia="Calibri"/>
                <w:sz w:val="20"/>
              </w:rPr>
            </w:pPr>
            <w:r w:rsidRPr="00330CC4">
              <w:rPr>
                <w:rFonts w:eastAsia="Calibri"/>
                <w:sz w:val="20"/>
              </w:rPr>
              <w:fldChar w:fldCharType="begin"/>
            </w:r>
            <w:r w:rsidR="008C1621" w:rsidRPr="00330CC4">
              <w:rPr>
                <w:rFonts w:eastAsia="Calibri"/>
                <w:sz w:val="20"/>
              </w:rPr>
              <w:instrText xml:space="preserve"> HYPERLINK "http://www.canlii.org/fr/qc/qccq/doc/2013/2013qccq3014/2013qccq3014.html" </w:instrText>
            </w:r>
            <w:r w:rsidR="00F677DC" w:rsidRPr="00330CC4">
              <w:rPr>
                <w:rFonts w:eastAsia="Calibri"/>
                <w:sz w:val="20"/>
              </w:rPr>
            </w:r>
            <w:r w:rsidRPr="00330CC4">
              <w:rPr>
                <w:rFonts w:eastAsia="Calibri"/>
                <w:sz w:val="20"/>
              </w:rPr>
              <w:fldChar w:fldCharType="separate"/>
            </w:r>
            <w:r w:rsidR="008C1621" w:rsidRPr="00330CC4">
              <w:rPr>
                <w:rFonts w:eastAsia="Calibri"/>
                <w:color w:val="0000FF"/>
                <w:sz w:val="20"/>
                <w:u w:val="single"/>
              </w:rPr>
              <w:t>2013 QCCQ 3014</w:t>
            </w:r>
            <w:r w:rsidRPr="00330CC4">
              <w:rPr>
                <w:rFonts w:eastAsia="Calibri"/>
                <w:sz w:val="20"/>
              </w:rPr>
              <w:fldChar w:fldCharType="end"/>
            </w:r>
          </w:p>
          <w:p w:rsidR="008C1621" w:rsidRPr="00330CC4" w:rsidRDefault="008C1621" w:rsidP="007732B1">
            <w:pPr>
              <w:jc w:val="both"/>
              <w:rPr>
                <w:rFonts w:eastAsia="Calibri"/>
                <w:sz w:val="20"/>
              </w:rPr>
            </w:pPr>
          </w:p>
        </w:tc>
        <w:tc>
          <w:tcPr>
            <w:tcW w:w="243" w:type="pct"/>
          </w:tcPr>
          <w:p w:rsidR="008C1621" w:rsidRPr="00330CC4" w:rsidRDefault="008C1621" w:rsidP="007732B1">
            <w:pPr>
              <w:jc w:val="both"/>
              <w:rPr>
                <w:rFonts w:eastAsia="Calibri"/>
                <w:sz w:val="20"/>
              </w:rPr>
            </w:pPr>
          </w:p>
        </w:tc>
        <w:tc>
          <w:tcPr>
            <w:tcW w:w="2330" w:type="pct"/>
          </w:tcPr>
          <w:p w:rsidR="008C1621" w:rsidRPr="00330CC4" w:rsidRDefault="008C1621" w:rsidP="007732B1">
            <w:pPr>
              <w:jc w:val="both"/>
              <w:rPr>
                <w:rFonts w:eastAsia="Calibri"/>
                <w:sz w:val="20"/>
              </w:rPr>
            </w:pPr>
            <w:r w:rsidRPr="00330CC4">
              <w:rPr>
                <w:rFonts w:eastAsia="Calibri"/>
                <w:sz w:val="20"/>
              </w:rPr>
              <w:t xml:space="preserve">Applicant convicted of impaired driving causing bodily harm and refusal to comply with demand made by peace officer to provide blood sample </w:t>
            </w:r>
          </w:p>
          <w:p w:rsidR="008C1621" w:rsidRPr="00330CC4" w:rsidRDefault="008C1621" w:rsidP="007732B1">
            <w:pPr>
              <w:jc w:val="both"/>
              <w:rPr>
                <w:rFonts w:eastAsia="Calibri"/>
                <w:sz w:val="20"/>
              </w:rPr>
            </w:pPr>
          </w:p>
        </w:tc>
      </w:tr>
      <w:tr w:rsidR="008C1621" w:rsidRPr="00330CC4" w:rsidTr="007732B1">
        <w:tc>
          <w:tcPr>
            <w:tcW w:w="2427" w:type="pct"/>
          </w:tcPr>
          <w:p w:rsidR="008C1621" w:rsidRPr="00330CC4" w:rsidRDefault="008C1621" w:rsidP="007732B1">
            <w:pPr>
              <w:jc w:val="both"/>
              <w:rPr>
                <w:rFonts w:eastAsia="Calibri"/>
                <w:sz w:val="20"/>
              </w:rPr>
            </w:pPr>
            <w:r w:rsidRPr="00330CC4">
              <w:rPr>
                <w:rFonts w:eastAsia="Calibri"/>
                <w:sz w:val="20"/>
              </w:rPr>
              <w:t>April 30, 2014</w:t>
            </w:r>
          </w:p>
          <w:p w:rsidR="008C1621" w:rsidRPr="00330CC4" w:rsidRDefault="008C1621" w:rsidP="007732B1">
            <w:pPr>
              <w:jc w:val="both"/>
              <w:rPr>
                <w:rFonts w:eastAsia="Calibri"/>
                <w:sz w:val="20"/>
              </w:rPr>
            </w:pPr>
            <w:r w:rsidRPr="00330CC4">
              <w:rPr>
                <w:rFonts w:eastAsia="Calibri"/>
                <w:sz w:val="20"/>
              </w:rPr>
              <w:t>Quebec Court of Appeal (Québec)</w:t>
            </w:r>
          </w:p>
          <w:p w:rsidR="008C1621" w:rsidRPr="00330CC4" w:rsidRDefault="008C1621" w:rsidP="007732B1">
            <w:pPr>
              <w:jc w:val="both"/>
              <w:rPr>
                <w:rFonts w:eastAsia="Calibri"/>
                <w:sz w:val="20"/>
              </w:rPr>
            </w:pPr>
            <w:r w:rsidRPr="00330CC4">
              <w:rPr>
                <w:rFonts w:eastAsia="Calibri"/>
                <w:sz w:val="20"/>
              </w:rPr>
              <w:t>(Thibault, Kasirer and Gagnon JJ.A.)</w:t>
            </w:r>
          </w:p>
          <w:bookmarkStart w:id="3" w:name="reflex-caselaw-25279978"/>
          <w:bookmarkStart w:id="4" w:name="reflex-caselaw-24938024"/>
          <w:bookmarkEnd w:id="3"/>
          <w:bookmarkEnd w:id="4"/>
          <w:p w:rsidR="008C1621" w:rsidRPr="00330CC4" w:rsidRDefault="00274132" w:rsidP="007732B1">
            <w:pPr>
              <w:jc w:val="both"/>
              <w:rPr>
                <w:rFonts w:eastAsia="Calibri"/>
                <w:sz w:val="20"/>
              </w:rPr>
            </w:pPr>
            <w:r w:rsidRPr="00330CC4">
              <w:rPr>
                <w:rFonts w:eastAsia="Calibri"/>
                <w:sz w:val="20"/>
              </w:rPr>
              <w:fldChar w:fldCharType="begin"/>
            </w:r>
            <w:r w:rsidR="008C1621" w:rsidRPr="00330CC4">
              <w:rPr>
                <w:rFonts w:eastAsia="Calibri"/>
                <w:sz w:val="20"/>
              </w:rPr>
              <w:instrText xml:space="preserve"> HYPERLINK "http://www.canlii.org/fr/qc/qcca/doc/2014/2014qcca865/2014qcca865.html" </w:instrText>
            </w:r>
            <w:r w:rsidR="00F677DC" w:rsidRPr="00330CC4">
              <w:rPr>
                <w:rFonts w:eastAsia="Calibri"/>
                <w:sz w:val="20"/>
              </w:rPr>
            </w:r>
            <w:r w:rsidRPr="00330CC4">
              <w:rPr>
                <w:rFonts w:eastAsia="Calibri"/>
                <w:sz w:val="20"/>
              </w:rPr>
              <w:fldChar w:fldCharType="separate"/>
            </w:r>
            <w:r w:rsidR="008C1621" w:rsidRPr="00330CC4">
              <w:rPr>
                <w:rFonts w:eastAsia="Calibri"/>
                <w:color w:val="0000FF"/>
                <w:sz w:val="20"/>
                <w:u w:val="single"/>
              </w:rPr>
              <w:t>2014 QCCA 865</w:t>
            </w:r>
            <w:r w:rsidRPr="00330CC4">
              <w:rPr>
                <w:rFonts w:eastAsia="Calibri"/>
                <w:sz w:val="20"/>
              </w:rPr>
              <w:fldChar w:fldCharType="end"/>
            </w:r>
          </w:p>
          <w:p w:rsidR="008C1621" w:rsidRPr="00330CC4" w:rsidRDefault="008C1621" w:rsidP="007732B1">
            <w:pPr>
              <w:jc w:val="both"/>
              <w:rPr>
                <w:rFonts w:eastAsia="Calibri"/>
                <w:sz w:val="20"/>
              </w:rPr>
            </w:pPr>
          </w:p>
        </w:tc>
        <w:tc>
          <w:tcPr>
            <w:tcW w:w="243" w:type="pct"/>
          </w:tcPr>
          <w:p w:rsidR="008C1621" w:rsidRPr="00330CC4" w:rsidRDefault="008C1621" w:rsidP="007732B1">
            <w:pPr>
              <w:jc w:val="both"/>
              <w:rPr>
                <w:rFonts w:eastAsia="Calibri"/>
                <w:sz w:val="20"/>
              </w:rPr>
            </w:pPr>
          </w:p>
        </w:tc>
        <w:tc>
          <w:tcPr>
            <w:tcW w:w="2330" w:type="pct"/>
          </w:tcPr>
          <w:p w:rsidR="008C1621" w:rsidRPr="00330CC4" w:rsidRDefault="008C1621" w:rsidP="007732B1">
            <w:pPr>
              <w:jc w:val="both"/>
              <w:rPr>
                <w:rFonts w:eastAsia="Calibri"/>
                <w:sz w:val="20"/>
              </w:rPr>
            </w:pPr>
            <w:r w:rsidRPr="00330CC4">
              <w:rPr>
                <w:rFonts w:eastAsia="Calibri"/>
                <w:sz w:val="20"/>
              </w:rPr>
              <w:t>Appeal dismissed</w:t>
            </w:r>
          </w:p>
          <w:p w:rsidR="008C1621" w:rsidRPr="00330CC4" w:rsidRDefault="008C1621" w:rsidP="007732B1">
            <w:pPr>
              <w:jc w:val="both"/>
              <w:rPr>
                <w:rFonts w:eastAsia="Calibri"/>
                <w:sz w:val="20"/>
              </w:rPr>
            </w:pPr>
          </w:p>
        </w:tc>
      </w:tr>
      <w:tr w:rsidR="008C1621" w:rsidRPr="00330CC4" w:rsidTr="007732B1">
        <w:tc>
          <w:tcPr>
            <w:tcW w:w="2427" w:type="pct"/>
          </w:tcPr>
          <w:p w:rsidR="008C1621" w:rsidRPr="00330CC4" w:rsidRDefault="008C1621" w:rsidP="007732B1">
            <w:pPr>
              <w:jc w:val="both"/>
              <w:rPr>
                <w:rFonts w:eastAsia="Calibri"/>
                <w:sz w:val="20"/>
              </w:rPr>
            </w:pPr>
            <w:r w:rsidRPr="00330CC4">
              <w:rPr>
                <w:rFonts w:eastAsia="Calibri"/>
                <w:sz w:val="20"/>
              </w:rPr>
              <w:t>May 27, 2014</w:t>
            </w:r>
          </w:p>
          <w:p w:rsidR="008C1621" w:rsidRPr="00330CC4" w:rsidRDefault="008C1621" w:rsidP="007732B1">
            <w:pPr>
              <w:jc w:val="both"/>
              <w:rPr>
                <w:rFonts w:eastAsia="Calibri"/>
                <w:sz w:val="20"/>
              </w:rPr>
            </w:pPr>
            <w:r w:rsidRPr="00330CC4">
              <w:rPr>
                <w:rFonts w:eastAsia="Calibri"/>
                <w:sz w:val="20"/>
              </w:rPr>
              <w:t>Supreme Court of Canada</w:t>
            </w:r>
          </w:p>
        </w:tc>
        <w:tc>
          <w:tcPr>
            <w:tcW w:w="243" w:type="pct"/>
          </w:tcPr>
          <w:p w:rsidR="008C1621" w:rsidRPr="00330CC4" w:rsidRDefault="008C1621" w:rsidP="007732B1">
            <w:pPr>
              <w:jc w:val="both"/>
              <w:rPr>
                <w:rFonts w:eastAsia="Calibri"/>
                <w:sz w:val="20"/>
              </w:rPr>
            </w:pPr>
          </w:p>
        </w:tc>
        <w:tc>
          <w:tcPr>
            <w:tcW w:w="2330" w:type="pct"/>
          </w:tcPr>
          <w:p w:rsidR="008C1621" w:rsidRPr="00330CC4" w:rsidRDefault="008C1621" w:rsidP="007732B1">
            <w:pPr>
              <w:jc w:val="both"/>
              <w:rPr>
                <w:rFonts w:eastAsia="Calibri"/>
                <w:sz w:val="20"/>
              </w:rPr>
            </w:pPr>
            <w:r w:rsidRPr="00330CC4">
              <w:rPr>
                <w:rFonts w:eastAsia="Calibri"/>
                <w:sz w:val="20"/>
              </w:rPr>
              <w:t>Application for leave to appeal filed</w:t>
            </w:r>
          </w:p>
        </w:tc>
      </w:tr>
    </w:tbl>
    <w:p w:rsidR="00185470" w:rsidRDefault="00185470" w:rsidP="00185470">
      <w:pPr>
        <w:rPr>
          <w:sz w:val="20"/>
          <w:szCs w:val="20"/>
        </w:rPr>
      </w:pPr>
    </w:p>
    <w:p w:rsidR="00185470" w:rsidRPr="00C50A5C" w:rsidRDefault="00F677DC" w:rsidP="00185470">
      <w:pPr>
        <w:rPr>
          <w:sz w:val="20"/>
          <w:szCs w:val="20"/>
        </w:rPr>
      </w:pPr>
      <w:r>
        <w:rPr>
          <w:sz w:val="20"/>
          <w:szCs w:val="20"/>
          <w:lang w:val="fr-CA"/>
        </w:rPr>
        <w:pict>
          <v:rect id="_x0000_i1059" style="width:2in;height:1pt" o:hrpct="0" o:hralign="center" o:hrstd="t" o:hrnoshade="t" o:hr="t" fillcolor="black [3213]" stroked="f"/>
        </w:pict>
      </w:r>
    </w:p>
    <w:p w:rsidR="00185470" w:rsidRDefault="00185470" w:rsidP="00185470">
      <w:pPr>
        <w:rPr>
          <w:sz w:val="20"/>
          <w:szCs w:val="20"/>
        </w:rPr>
      </w:pPr>
    </w:p>
    <w:p w:rsidR="00185470" w:rsidRPr="001B157C" w:rsidRDefault="00185470" w:rsidP="00185470">
      <w:pPr>
        <w:rPr>
          <w:sz w:val="20"/>
          <w:szCs w:val="20"/>
          <w:u w:val="single"/>
          <w:lang w:val="fr-CA"/>
        </w:rPr>
      </w:pPr>
      <w:r w:rsidRPr="001B157C">
        <w:rPr>
          <w:sz w:val="20"/>
          <w:szCs w:val="20"/>
          <w:u w:val="single"/>
          <w:lang w:val="fr-CA"/>
        </w:rPr>
        <w:t>RÉSUMÉ DE L’AFFAIRE</w:t>
      </w:r>
    </w:p>
    <w:p w:rsidR="00185470" w:rsidRDefault="00185470" w:rsidP="0018547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C1621" w:rsidRPr="00F677DC" w:rsidTr="007732B1">
        <w:tc>
          <w:tcPr>
            <w:tcW w:w="5000" w:type="pct"/>
            <w:gridSpan w:val="3"/>
          </w:tcPr>
          <w:p w:rsidR="008C1621" w:rsidRPr="00330CC4" w:rsidRDefault="008C1621" w:rsidP="007732B1">
            <w:pPr>
              <w:jc w:val="both"/>
              <w:rPr>
                <w:rFonts w:eastAsia="Calibri"/>
                <w:sz w:val="20"/>
                <w:lang w:val="fr-CA"/>
              </w:rPr>
            </w:pPr>
            <w:r w:rsidRPr="00330CC4">
              <w:rPr>
                <w:rFonts w:eastAsia="Calibri"/>
                <w:i/>
                <w:sz w:val="20"/>
                <w:lang w:val="fr-FR"/>
              </w:rPr>
              <w:t xml:space="preserve">Charte des droits </w:t>
            </w:r>
            <w:r w:rsidRPr="00330CC4">
              <w:rPr>
                <w:rFonts w:eastAsia="Calibri"/>
                <w:sz w:val="20"/>
                <w:lang w:val="fr-FR"/>
              </w:rPr>
              <w:t xml:space="preserve">— Droit criminel — Droit à l’assistance d’un avocat — Verdict raisonnable — La Cour d’appel a-t-elle erré en droit en refusant de déclarer le verdict déraisonnable au sens de la jurisprudence applicable? — La Cour d’appel a-t-elle erré en droit en concluant que le droit à l’assistance d’un avocat du requérant n’avait pas été violé? — </w:t>
            </w:r>
            <w:r w:rsidRPr="00330CC4">
              <w:rPr>
                <w:rFonts w:eastAsia="Calibri"/>
                <w:i/>
                <w:sz w:val="20"/>
                <w:lang w:val="fr-FR"/>
              </w:rPr>
              <w:t>Charte des droits et libertés</w:t>
            </w:r>
            <w:r w:rsidRPr="00330CC4">
              <w:rPr>
                <w:rFonts w:eastAsia="Calibri"/>
                <w:sz w:val="20"/>
                <w:lang w:val="fr-FR"/>
              </w:rPr>
              <w:t>, art. 10b).</w:t>
            </w:r>
          </w:p>
        </w:tc>
      </w:tr>
      <w:tr w:rsidR="008C1621" w:rsidRPr="00F677DC" w:rsidTr="007732B1">
        <w:tc>
          <w:tcPr>
            <w:tcW w:w="5000" w:type="pct"/>
            <w:gridSpan w:val="3"/>
          </w:tcPr>
          <w:p w:rsidR="008C1621" w:rsidRPr="00330CC4" w:rsidRDefault="008C1621" w:rsidP="007732B1">
            <w:pPr>
              <w:jc w:val="both"/>
              <w:rPr>
                <w:rFonts w:eastAsia="Calibri"/>
                <w:sz w:val="20"/>
                <w:lang w:val="fr-CA"/>
              </w:rPr>
            </w:pPr>
          </w:p>
        </w:tc>
      </w:tr>
      <w:tr w:rsidR="008C1621" w:rsidRPr="00F677DC" w:rsidTr="007732B1">
        <w:tc>
          <w:tcPr>
            <w:tcW w:w="5000" w:type="pct"/>
            <w:gridSpan w:val="3"/>
          </w:tcPr>
          <w:p w:rsidR="008C1621" w:rsidRPr="00330CC4" w:rsidRDefault="008C1621" w:rsidP="007732B1">
            <w:pPr>
              <w:jc w:val="both"/>
              <w:rPr>
                <w:rFonts w:eastAsia="Calibri"/>
                <w:sz w:val="20"/>
                <w:lang w:val="fr-CA"/>
              </w:rPr>
            </w:pPr>
            <w:r w:rsidRPr="00330CC4">
              <w:rPr>
                <w:rFonts w:eastAsia="Calibri"/>
                <w:sz w:val="20"/>
                <w:lang w:val="fr-CA"/>
              </w:rPr>
              <w:lastRenderedPageBreak/>
              <w:t>Le demandeur fut accusé d’avoir conduit un véhicule à moteur alors que sa capacité de conduire était affaiblie par l’effet de l’alcool causant ainsi des lésions corporelles, et par la suite, d’avoir refusé d’obtempérer à un ordre donné par un agent de la paix afin que puissent être prélevés des échantillons de sang, aux termes de l’article 254(3)</w:t>
            </w:r>
            <w:r w:rsidRPr="00330CC4">
              <w:rPr>
                <w:rFonts w:eastAsia="Calibri"/>
                <w:i/>
                <w:sz w:val="20"/>
                <w:lang w:val="fr-CA"/>
              </w:rPr>
              <w:t>b</w:t>
            </w:r>
            <w:r w:rsidRPr="00330CC4">
              <w:rPr>
                <w:rFonts w:eastAsia="Calibri"/>
                <w:sz w:val="20"/>
                <w:lang w:val="fr-CA"/>
              </w:rPr>
              <w:t xml:space="preserve">) du </w:t>
            </w:r>
            <w:r w:rsidRPr="00330CC4">
              <w:rPr>
                <w:rFonts w:eastAsia="Calibri"/>
                <w:i/>
                <w:sz w:val="20"/>
                <w:lang w:val="fr-CA"/>
              </w:rPr>
              <w:t>Code criminel</w:t>
            </w:r>
            <w:r w:rsidRPr="00330CC4">
              <w:rPr>
                <w:rFonts w:eastAsia="Calibri"/>
                <w:sz w:val="20"/>
                <w:lang w:val="fr-CA"/>
              </w:rPr>
              <w:t>.</w:t>
            </w:r>
          </w:p>
          <w:p w:rsidR="008C1621" w:rsidRPr="00330CC4" w:rsidRDefault="008C1621" w:rsidP="007732B1">
            <w:pPr>
              <w:jc w:val="both"/>
              <w:rPr>
                <w:rFonts w:eastAsia="Calibri"/>
                <w:sz w:val="20"/>
                <w:lang w:val="fr-CA"/>
              </w:rPr>
            </w:pPr>
          </w:p>
          <w:p w:rsidR="008C1621" w:rsidRPr="00330CC4" w:rsidRDefault="008C1621" w:rsidP="007732B1">
            <w:pPr>
              <w:jc w:val="both"/>
              <w:rPr>
                <w:rFonts w:eastAsia="Calibri"/>
                <w:sz w:val="20"/>
                <w:lang w:val="fr-CA"/>
              </w:rPr>
            </w:pPr>
            <w:r w:rsidRPr="00330CC4">
              <w:rPr>
                <w:rFonts w:eastAsia="Calibri"/>
                <w:sz w:val="20"/>
                <w:lang w:val="fr-CA"/>
              </w:rPr>
              <w:t xml:space="preserve">Les accusations, et les condamnations qui en ont suivi, découlent d’un accident de la route ayant eu lieu en octobre 2008 alors que la voiture que conduisait le demandeur est entrée en collision avec un camion dans lequel se trouvaient deux individus.  L’un d’eux fut blessé dans l’accident. Sur les lieux de l’accident, le demandeur fut mis en état d’arrestation pour conduite d’un véhicule à moteur avec les facultés affaiblies.  Le demandeur fut, par la suite, transporté à l’hôpital.  Plusieurs demandes furent par la suite formulées par les policiers visant à obtenir un échantillon de sang de la part de demandeur.  Celui-ci a refusé.  La preuve offerte par la défense et la poursuite lors du procès était contradictoire à savoir si le demandeur avait coopéré avec les policiers, s’il avait cherché à exercer son droit à un avocat et si les policiers lui avaient donné l’occasion de communiquer avec un avocat.  </w:t>
            </w:r>
          </w:p>
          <w:p w:rsidR="008C1621" w:rsidRPr="00330CC4" w:rsidRDefault="008C1621" w:rsidP="007732B1">
            <w:pPr>
              <w:jc w:val="both"/>
              <w:rPr>
                <w:rFonts w:eastAsia="Calibri"/>
                <w:sz w:val="20"/>
                <w:lang w:val="fr-CA"/>
              </w:rPr>
            </w:pPr>
          </w:p>
          <w:p w:rsidR="008C1621" w:rsidRPr="00330CC4" w:rsidRDefault="008C1621" w:rsidP="007732B1">
            <w:pPr>
              <w:jc w:val="both"/>
              <w:rPr>
                <w:rFonts w:eastAsia="Calibri"/>
                <w:sz w:val="20"/>
                <w:lang w:val="fr-CA"/>
              </w:rPr>
            </w:pPr>
            <w:r w:rsidRPr="00330CC4">
              <w:rPr>
                <w:rFonts w:eastAsia="Calibri"/>
                <w:sz w:val="20"/>
                <w:lang w:val="fr-CA"/>
              </w:rPr>
              <w:t>Lors de son procès, le demandeur a allégué, par requête, que son arrestation était illégale et que son droit constitutionnel à l’avocat n’avait pas été respecté.  Il a soutenu que c’était en raison de ces violations de ses droits qu’il avait refusé de fournir un échantillon de sang.</w:t>
            </w:r>
          </w:p>
          <w:p w:rsidR="008C1621" w:rsidRPr="00330CC4" w:rsidRDefault="008C1621" w:rsidP="007732B1">
            <w:pPr>
              <w:jc w:val="both"/>
              <w:rPr>
                <w:rFonts w:eastAsia="Calibri"/>
                <w:sz w:val="20"/>
                <w:lang w:val="fr-CA"/>
              </w:rPr>
            </w:pPr>
          </w:p>
        </w:tc>
      </w:tr>
      <w:tr w:rsidR="008C1621" w:rsidRPr="00F677DC" w:rsidTr="007732B1">
        <w:tc>
          <w:tcPr>
            <w:tcW w:w="2427" w:type="pct"/>
          </w:tcPr>
          <w:p w:rsidR="008C1621" w:rsidRPr="00330CC4" w:rsidRDefault="008C1621" w:rsidP="007732B1">
            <w:pPr>
              <w:jc w:val="both"/>
              <w:rPr>
                <w:rFonts w:eastAsia="Calibri"/>
                <w:sz w:val="20"/>
                <w:lang w:val="fr-CA"/>
              </w:rPr>
            </w:pPr>
            <w:r w:rsidRPr="00330CC4">
              <w:rPr>
                <w:rFonts w:eastAsia="Calibri"/>
                <w:sz w:val="20"/>
                <w:lang w:val="fr-CA"/>
              </w:rPr>
              <w:t>Le 6 mars 2013</w:t>
            </w:r>
          </w:p>
          <w:p w:rsidR="008C1621" w:rsidRPr="00330CC4" w:rsidRDefault="008C1621" w:rsidP="007732B1">
            <w:pPr>
              <w:jc w:val="both"/>
              <w:rPr>
                <w:rFonts w:eastAsia="Calibri"/>
                <w:sz w:val="20"/>
                <w:lang w:val="fr-CA"/>
              </w:rPr>
            </w:pPr>
            <w:r w:rsidRPr="00330CC4">
              <w:rPr>
                <w:rFonts w:eastAsia="Calibri"/>
                <w:sz w:val="20"/>
                <w:lang w:val="fr-CA"/>
              </w:rPr>
              <w:t>Cour du Québec</w:t>
            </w:r>
          </w:p>
          <w:p w:rsidR="008C1621" w:rsidRPr="00330CC4" w:rsidRDefault="008C1621" w:rsidP="007732B1">
            <w:pPr>
              <w:jc w:val="both"/>
              <w:rPr>
                <w:rFonts w:eastAsia="Calibri"/>
                <w:sz w:val="20"/>
                <w:lang w:val="fr-CA"/>
              </w:rPr>
            </w:pPr>
            <w:r w:rsidRPr="00330CC4">
              <w:rPr>
                <w:rFonts w:eastAsia="Calibri"/>
                <w:sz w:val="20"/>
                <w:lang w:val="fr-CA"/>
              </w:rPr>
              <w:t>(Le juge Gagnon)</w:t>
            </w:r>
          </w:p>
          <w:p w:rsidR="008C1621" w:rsidRPr="00330CC4" w:rsidRDefault="00F677DC" w:rsidP="007732B1">
            <w:pPr>
              <w:jc w:val="both"/>
              <w:rPr>
                <w:rFonts w:eastAsia="Calibri"/>
                <w:sz w:val="20"/>
                <w:lang w:val="fr-CA"/>
              </w:rPr>
            </w:pPr>
            <w:hyperlink r:id="rId31" w:history="1">
              <w:r w:rsidR="008C1621" w:rsidRPr="00330CC4">
                <w:rPr>
                  <w:rFonts w:eastAsia="Calibri"/>
                  <w:color w:val="0000FF"/>
                  <w:sz w:val="20"/>
                  <w:u w:val="single"/>
                  <w:lang w:val="fr-CA"/>
                </w:rPr>
                <w:t>2013 QCCQ 3014</w:t>
              </w:r>
            </w:hyperlink>
          </w:p>
          <w:p w:rsidR="008C1621" w:rsidRPr="00330CC4" w:rsidRDefault="008C1621" w:rsidP="007732B1">
            <w:pPr>
              <w:jc w:val="both"/>
              <w:rPr>
                <w:rFonts w:eastAsia="Calibri"/>
                <w:sz w:val="20"/>
                <w:lang w:val="fr-FR"/>
              </w:rPr>
            </w:pPr>
          </w:p>
        </w:tc>
        <w:tc>
          <w:tcPr>
            <w:tcW w:w="243" w:type="pct"/>
          </w:tcPr>
          <w:p w:rsidR="008C1621" w:rsidRPr="00330CC4" w:rsidRDefault="008C1621" w:rsidP="007732B1">
            <w:pPr>
              <w:jc w:val="both"/>
              <w:rPr>
                <w:rFonts w:eastAsia="Calibri"/>
                <w:sz w:val="20"/>
                <w:lang w:val="fr-FR"/>
              </w:rPr>
            </w:pPr>
          </w:p>
        </w:tc>
        <w:tc>
          <w:tcPr>
            <w:tcW w:w="2330" w:type="pct"/>
          </w:tcPr>
          <w:p w:rsidR="008C1621" w:rsidRPr="00330CC4" w:rsidRDefault="008C1621" w:rsidP="007732B1">
            <w:pPr>
              <w:jc w:val="both"/>
              <w:rPr>
                <w:rFonts w:eastAsia="Calibri"/>
                <w:sz w:val="20"/>
                <w:lang w:val="fr-CA"/>
              </w:rPr>
            </w:pPr>
            <w:r w:rsidRPr="00330CC4">
              <w:rPr>
                <w:rFonts w:eastAsia="Calibri"/>
                <w:sz w:val="20"/>
                <w:lang w:val="fr-CA"/>
              </w:rPr>
              <w:t xml:space="preserve">Verdicts de culpabilité pour conduite avec capacités affaiblies causant des lésions corporelles et refus d’obtempérer à un ordre d’un agent de la paix de fournir un échantillon de sang </w:t>
            </w:r>
          </w:p>
          <w:p w:rsidR="008C1621" w:rsidRPr="00330CC4" w:rsidRDefault="008C1621" w:rsidP="007732B1">
            <w:pPr>
              <w:jc w:val="both"/>
              <w:rPr>
                <w:rFonts w:eastAsia="Calibri"/>
                <w:sz w:val="20"/>
                <w:lang w:val="fr-CA"/>
              </w:rPr>
            </w:pPr>
          </w:p>
        </w:tc>
      </w:tr>
      <w:tr w:rsidR="008C1621" w:rsidRPr="00330CC4" w:rsidTr="007732B1">
        <w:tc>
          <w:tcPr>
            <w:tcW w:w="2427" w:type="pct"/>
          </w:tcPr>
          <w:p w:rsidR="008C1621" w:rsidRPr="00330CC4" w:rsidRDefault="008C1621" w:rsidP="007732B1">
            <w:pPr>
              <w:jc w:val="both"/>
              <w:rPr>
                <w:rFonts w:eastAsia="Calibri"/>
                <w:sz w:val="20"/>
                <w:lang w:val="fr-CA"/>
              </w:rPr>
            </w:pPr>
            <w:r w:rsidRPr="00330CC4">
              <w:rPr>
                <w:rFonts w:eastAsia="Calibri"/>
                <w:sz w:val="20"/>
                <w:lang w:val="fr-CA"/>
              </w:rPr>
              <w:t>Le 30 avril 2014</w:t>
            </w:r>
          </w:p>
          <w:p w:rsidR="008C1621" w:rsidRPr="00330CC4" w:rsidRDefault="008C1621" w:rsidP="007732B1">
            <w:pPr>
              <w:jc w:val="both"/>
              <w:rPr>
                <w:rFonts w:eastAsia="Calibri"/>
                <w:sz w:val="20"/>
                <w:lang w:val="fr-CA"/>
              </w:rPr>
            </w:pPr>
            <w:r w:rsidRPr="00330CC4">
              <w:rPr>
                <w:rFonts w:eastAsia="Calibri"/>
                <w:sz w:val="20"/>
                <w:lang w:val="fr-CA"/>
              </w:rPr>
              <w:t>Cour d’appel du Québec (Québec)</w:t>
            </w:r>
          </w:p>
          <w:p w:rsidR="008C1621" w:rsidRPr="00330CC4" w:rsidRDefault="008C1621" w:rsidP="007732B1">
            <w:pPr>
              <w:jc w:val="both"/>
              <w:rPr>
                <w:rFonts w:eastAsia="Calibri"/>
                <w:sz w:val="20"/>
                <w:lang w:val="fr-CA"/>
              </w:rPr>
            </w:pPr>
            <w:r w:rsidRPr="00330CC4">
              <w:rPr>
                <w:rFonts w:eastAsia="Calibri"/>
                <w:sz w:val="20"/>
                <w:lang w:val="fr-CA"/>
              </w:rPr>
              <w:t>(Les juges Thibault, Kasirer et Gagnon)</w:t>
            </w:r>
          </w:p>
          <w:p w:rsidR="008C1621" w:rsidRPr="00330CC4" w:rsidRDefault="00F677DC" w:rsidP="007732B1">
            <w:pPr>
              <w:jc w:val="both"/>
              <w:rPr>
                <w:rFonts w:eastAsia="Calibri"/>
                <w:sz w:val="20"/>
                <w:lang w:val="fr-CA"/>
              </w:rPr>
            </w:pPr>
            <w:hyperlink r:id="rId32" w:history="1">
              <w:r w:rsidR="008C1621" w:rsidRPr="00330CC4">
                <w:rPr>
                  <w:rFonts w:eastAsia="Calibri"/>
                  <w:color w:val="0000FF"/>
                  <w:sz w:val="20"/>
                  <w:u w:val="single"/>
                  <w:lang w:val="fr-CA"/>
                </w:rPr>
                <w:t>2014 QCCA 865</w:t>
              </w:r>
            </w:hyperlink>
          </w:p>
          <w:p w:rsidR="008C1621" w:rsidRPr="00330CC4" w:rsidRDefault="008C1621" w:rsidP="007732B1">
            <w:pPr>
              <w:jc w:val="both"/>
              <w:rPr>
                <w:rFonts w:eastAsia="Calibri"/>
                <w:sz w:val="20"/>
                <w:lang w:val="fr-FR"/>
              </w:rPr>
            </w:pPr>
          </w:p>
        </w:tc>
        <w:tc>
          <w:tcPr>
            <w:tcW w:w="243" w:type="pct"/>
          </w:tcPr>
          <w:p w:rsidR="008C1621" w:rsidRPr="00330CC4" w:rsidRDefault="008C1621" w:rsidP="007732B1">
            <w:pPr>
              <w:jc w:val="both"/>
              <w:rPr>
                <w:rFonts w:eastAsia="Calibri"/>
                <w:sz w:val="20"/>
                <w:lang w:val="fr-FR"/>
              </w:rPr>
            </w:pPr>
          </w:p>
        </w:tc>
        <w:tc>
          <w:tcPr>
            <w:tcW w:w="2330" w:type="pct"/>
          </w:tcPr>
          <w:p w:rsidR="008C1621" w:rsidRPr="00330CC4" w:rsidRDefault="008C1621" w:rsidP="007732B1">
            <w:pPr>
              <w:jc w:val="both"/>
              <w:rPr>
                <w:rFonts w:eastAsia="Calibri"/>
                <w:sz w:val="20"/>
                <w:lang w:val="fr-CA"/>
              </w:rPr>
            </w:pPr>
            <w:r w:rsidRPr="00330CC4">
              <w:rPr>
                <w:rFonts w:eastAsia="Calibri"/>
                <w:sz w:val="20"/>
                <w:lang w:val="fr-CA"/>
              </w:rPr>
              <w:t>Appel rejeté</w:t>
            </w:r>
          </w:p>
          <w:p w:rsidR="008C1621" w:rsidRPr="00330CC4" w:rsidRDefault="008C1621" w:rsidP="007732B1">
            <w:pPr>
              <w:jc w:val="both"/>
              <w:rPr>
                <w:rFonts w:eastAsia="Calibri"/>
                <w:sz w:val="20"/>
                <w:lang w:val="fr-CA"/>
              </w:rPr>
            </w:pPr>
          </w:p>
        </w:tc>
      </w:tr>
      <w:tr w:rsidR="008C1621" w:rsidRPr="00330CC4" w:rsidTr="007732B1">
        <w:tc>
          <w:tcPr>
            <w:tcW w:w="2427" w:type="pct"/>
          </w:tcPr>
          <w:p w:rsidR="008C1621" w:rsidRPr="00330CC4" w:rsidRDefault="008C1621" w:rsidP="007732B1">
            <w:pPr>
              <w:jc w:val="both"/>
              <w:rPr>
                <w:rFonts w:eastAsia="Calibri"/>
                <w:sz w:val="20"/>
                <w:lang w:val="fr-CA"/>
              </w:rPr>
            </w:pPr>
            <w:r w:rsidRPr="00330CC4">
              <w:rPr>
                <w:rFonts w:eastAsia="Calibri"/>
                <w:sz w:val="20"/>
                <w:lang w:val="fr-CA"/>
              </w:rPr>
              <w:t>Le 27 mai 2014</w:t>
            </w:r>
          </w:p>
          <w:p w:rsidR="008C1621" w:rsidRPr="00330CC4" w:rsidRDefault="008C1621" w:rsidP="007732B1">
            <w:pPr>
              <w:jc w:val="both"/>
              <w:rPr>
                <w:rFonts w:eastAsia="Calibri"/>
                <w:sz w:val="20"/>
                <w:lang w:val="fr-FR"/>
              </w:rPr>
            </w:pPr>
            <w:r w:rsidRPr="00330CC4">
              <w:rPr>
                <w:rFonts w:eastAsia="Calibri"/>
                <w:sz w:val="20"/>
                <w:lang w:val="fr-CA"/>
              </w:rPr>
              <w:t>Cour suprême du Canada</w:t>
            </w:r>
          </w:p>
        </w:tc>
        <w:tc>
          <w:tcPr>
            <w:tcW w:w="243" w:type="pct"/>
          </w:tcPr>
          <w:p w:rsidR="008C1621" w:rsidRPr="00330CC4" w:rsidRDefault="008C1621" w:rsidP="007732B1">
            <w:pPr>
              <w:jc w:val="both"/>
              <w:rPr>
                <w:rFonts w:eastAsia="Calibri"/>
                <w:sz w:val="20"/>
                <w:lang w:val="fr-FR"/>
              </w:rPr>
            </w:pPr>
          </w:p>
        </w:tc>
        <w:tc>
          <w:tcPr>
            <w:tcW w:w="2330" w:type="pct"/>
          </w:tcPr>
          <w:p w:rsidR="008C1621" w:rsidRPr="00330CC4" w:rsidRDefault="008C1621" w:rsidP="007732B1">
            <w:pPr>
              <w:jc w:val="both"/>
              <w:rPr>
                <w:rFonts w:eastAsia="Calibri"/>
                <w:sz w:val="20"/>
                <w:lang w:val="fr-CA"/>
              </w:rPr>
            </w:pPr>
            <w:r w:rsidRPr="00330CC4">
              <w:rPr>
                <w:rFonts w:eastAsia="Calibri"/>
                <w:sz w:val="20"/>
                <w:lang w:val="fr-CA"/>
              </w:rPr>
              <w:t>Demande d’autorisation d’appel déposée</w:t>
            </w:r>
          </w:p>
        </w:tc>
      </w:tr>
    </w:tbl>
    <w:p w:rsidR="00185470" w:rsidRDefault="00185470" w:rsidP="00185470">
      <w:pPr>
        <w:rPr>
          <w:sz w:val="20"/>
          <w:szCs w:val="20"/>
        </w:rPr>
      </w:pPr>
    </w:p>
    <w:p w:rsidR="00185470" w:rsidRDefault="00F677DC" w:rsidP="00185470">
      <w:pPr>
        <w:rPr>
          <w:sz w:val="20"/>
          <w:szCs w:val="20"/>
        </w:rPr>
      </w:pPr>
      <w:r>
        <w:rPr>
          <w:sz w:val="20"/>
          <w:szCs w:val="20"/>
          <w:lang w:val="fr-CA"/>
        </w:rPr>
        <w:pict>
          <v:rect id="_x0000_i1060" style="width:2in;height:1pt" o:hrpct="0" o:hralign="center" o:hrstd="t" o:hrnoshade="t" o:hr="t" fillcolor="black [3213]" stroked="f"/>
        </w:pict>
      </w:r>
    </w:p>
    <w:p w:rsidR="00185470" w:rsidRDefault="00185470" w:rsidP="00185470">
      <w:pPr>
        <w:rPr>
          <w:sz w:val="20"/>
          <w:szCs w:val="20"/>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34E7B" w:rsidRPr="00834E7B" w:rsidTr="003D0C01">
        <w:trPr>
          <w:cantSplit/>
        </w:trPr>
        <w:tc>
          <w:tcPr>
            <w:tcW w:w="1458" w:type="dxa"/>
          </w:tcPr>
          <w:p w:rsidR="00834E7B" w:rsidRPr="00834E7B" w:rsidRDefault="00834E7B" w:rsidP="00834E7B">
            <w:pPr>
              <w:rPr>
                <w:sz w:val="20"/>
                <w:szCs w:val="20"/>
              </w:rPr>
            </w:pPr>
            <w:r w:rsidRPr="00834E7B">
              <w:rPr>
                <w:b/>
                <w:sz w:val="20"/>
                <w:szCs w:val="20"/>
                <w:lang w:val="fr-CA"/>
              </w:rPr>
              <w:t>35915</w:t>
            </w:r>
          </w:p>
          <w:p w:rsidR="00834E7B" w:rsidRPr="00834E7B" w:rsidRDefault="00834E7B" w:rsidP="00834E7B">
            <w:pPr>
              <w:rPr>
                <w:b/>
                <w:sz w:val="20"/>
                <w:szCs w:val="20"/>
                <w:lang w:val="fr-CA"/>
              </w:rPr>
            </w:pPr>
          </w:p>
        </w:tc>
        <w:tc>
          <w:tcPr>
            <w:tcW w:w="8118" w:type="dxa"/>
          </w:tcPr>
          <w:p w:rsidR="00834E7B" w:rsidRPr="00834E7B" w:rsidRDefault="00834E7B" w:rsidP="00834E7B">
            <w:pPr>
              <w:rPr>
                <w:sz w:val="20"/>
                <w:szCs w:val="20"/>
              </w:rPr>
            </w:pPr>
            <w:r w:rsidRPr="00834E7B">
              <w:rPr>
                <w:b/>
                <w:sz w:val="20"/>
                <w:szCs w:val="20"/>
                <w:u w:val="single"/>
              </w:rPr>
              <w:t>Gerald Robert Ryan v. Her Majesty the Queen</w:t>
            </w:r>
            <w:r w:rsidRPr="00834E7B">
              <w:rPr>
                <w:sz w:val="20"/>
                <w:szCs w:val="20"/>
              </w:rPr>
              <w:t xml:space="preserve"> (Alta.) (Criminal) (By Leave)</w:t>
            </w:r>
          </w:p>
          <w:p w:rsidR="00834E7B" w:rsidRPr="00834E7B" w:rsidRDefault="00834E7B" w:rsidP="00834E7B">
            <w:pPr>
              <w:rPr>
                <w:sz w:val="20"/>
                <w:szCs w:val="20"/>
              </w:rPr>
            </w:pPr>
          </w:p>
        </w:tc>
      </w:tr>
      <w:tr w:rsidR="00834E7B" w:rsidRPr="00834E7B" w:rsidTr="003D0C01">
        <w:trPr>
          <w:cantSplit/>
        </w:trPr>
        <w:tc>
          <w:tcPr>
            <w:tcW w:w="1458" w:type="dxa"/>
          </w:tcPr>
          <w:p w:rsidR="00834E7B" w:rsidRPr="00834E7B" w:rsidRDefault="00834E7B" w:rsidP="00834E7B">
            <w:pPr>
              <w:rPr>
                <w:sz w:val="20"/>
                <w:szCs w:val="20"/>
              </w:rPr>
            </w:pPr>
            <w:r w:rsidRPr="00834E7B">
              <w:rPr>
                <w:sz w:val="20"/>
                <w:szCs w:val="20"/>
              </w:rPr>
              <w:t>Coram :</w:t>
            </w:r>
          </w:p>
        </w:tc>
        <w:tc>
          <w:tcPr>
            <w:tcW w:w="8118" w:type="dxa"/>
          </w:tcPr>
          <w:p w:rsidR="00834E7B" w:rsidRPr="00834E7B" w:rsidRDefault="00834E7B" w:rsidP="00834E7B">
            <w:pPr>
              <w:rPr>
                <w:sz w:val="20"/>
                <w:szCs w:val="20"/>
              </w:rPr>
            </w:pPr>
            <w:r w:rsidRPr="00834E7B">
              <w:rPr>
                <w:sz w:val="20"/>
                <w:szCs w:val="20"/>
                <w:u w:val="single"/>
              </w:rPr>
              <w:t>McLachlin C.J. and Cromwell and Wagner JJ.</w:t>
            </w:r>
          </w:p>
          <w:p w:rsidR="00834E7B" w:rsidRPr="00834E7B" w:rsidRDefault="00834E7B" w:rsidP="00834E7B">
            <w:pPr>
              <w:rPr>
                <w:sz w:val="20"/>
                <w:szCs w:val="20"/>
                <w:u w:val="single"/>
              </w:rPr>
            </w:pPr>
          </w:p>
        </w:tc>
      </w:tr>
      <w:tr w:rsidR="00834E7B" w:rsidRPr="00F677DC" w:rsidTr="003D0C01">
        <w:trPr>
          <w:cantSplit/>
        </w:trPr>
        <w:tc>
          <w:tcPr>
            <w:tcW w:w="9576" w:type="dxa"/>
            <w:gridSpan w:val="2"/>
          </w:tcPr>
          <w:p w:rsidR="00834E7B" w:rsidRPr="00834E7B" w:rsidRDefault="00834E7B" w:rsidP="00834E7B">
            <w:pPr>
              <w:ind w:firstLine="720"/>
              <w:jc w:val="both"/>
              <w:rPr>
                <w:sz w:val="20"/>
                <w:szCs w:val="20"/>
              </w:rPr>
            </w:pPr>
            <w:r w:rsidRPr="00834E7B">
              <w:rPr>
                <w:sz w:val="20"/>
                <w:szCs w:val="20"/>
              </w:rPr>
              <w:t>The motion for an extension of time to serve and file the application for leave to appeal is granted.  The motion to file a sur-reply is dismissed.  The application for leave to appeal from the judgment of the Court of Appeal of Alberta (Edmonton), Number 1103-0173-A, 2014 ABCA 85, dated February 28, 2014, is dismissed without costs.</w:t>
            </w:r>
          </w:p>
          <w:p w:rsidR="00834E7B" w:rsidRPr="00834E7B" w:rsidRDefault="00834E7B" w:rsidP="00834E7B">
            <w:pPr>
              <w:jc w:val="both"/>
              <w:rPr>
                <w:sz w:val="20"/>
                <w:szCs w:val="20"/>
              </w:rPr>
            </w:pPr>
          </w:p>
          <w:p w:rsidR="00834E7B" w:rsidRPr="00834E7B" w:rsidRDefault="00834E7B" w:rsidP="00834E7B">
            <w:pPr>
              <w:ind w:firstLine="720"/>
              <w:jc w:val="both"/>
              <w:rPr>
                <w:sz w:val="20"/>
                <w:szCs w:val="20"/>
                <w:lang w:val="fr-CA"/>
              </w:rPr>
            </w:pPr>
            <w:r w:rsidRPr="00834E7B">
              <w:rPr>
                <w:sz w:val="20"/>
                <w:szCs w:val="20"/>
                <w:lang w:val="fr-CA"/>
              </w:rPr>
              <w:t>La requête en prorogation du délai de signification et de dépôt de la demande d’autorisation d’appel est accueillie.  La requête en vue d’obtenir l’autorisation de déposer une réponse à la réplique est rejetée.  La demande d’autorisation d’appel de l’arrêt de la Cour d’appel de l’Alberta (Edmonton), numéro 1103-0173-A, 2014 ABCA 85, daté du 28 février 2014, est rejetée sans dépens.</w:t>
            </w:r>
          </w:p>
        </w:tc>
      </w:tr>
    </w:tbl>
    <w:p w:rsidR="00185470" w:rsidRPr="00AB5190" w:rsidRDefault="00185470" w:rsidP="000E2959">
      <w:pPr>
        <w:rPr>
          <w:sz w:val="20"/>
          <w:szCs w:val="20"/>
          <w:lang w:val="fr-CA"/>
        </w:rPr>
      </w:pPr>
    </w:p>
    <w:p w:rsidR="00185470" w:rsidRPr="001B157C" w:rsidRDefault="00185470" w:rsidP="00185470">
      <w:pPr>
        <w:rPr>
          <w:sz w:val="20"/>
          <w:szCs w:val="20"/>
          <w:u w:val="single"/>
        </w:rPr>
      </w:pPr>
      <w:r w:rsidRPr="001B157C">
        <w:rPr>
          <w:sz w:val="20"/>
          <w:szCs w:val="20"/>
          <w:u w:val="single"/>
        </w:rPr>
        <w:t>CASE SUMMARY</w:t>
      </w:r>
    </w:p>
    <w:p w:rsidR="00185470" w:rsidRDefault="00185470" w:rsidP="0018547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12EB9" w:rsidRPr="00330CC4" w:rsidTr="007732B1">
        <w:tc>
          <w:tcPr>
            <w:tcW w:w="5000" w:type="pct"/>
            <w:gridSpan w:val="3"/>
          </w:tcPr>
          <w:p w:rsidR="00012EB9" w:rsidRPr="00330CC4" w:rsidRDefault="00012EB9" w:rsidP="007732B1">
            <w:pPr>
              <w:jc w:val="both"/>
              <w:rPr>
                <w:rFonts w:eastAsia="Calibri"/>
                <w:sz w:val="20"/>
              </w:rPr>
            </w:pPr>
            <w:r w:rsidRPr="00330CC4">
              <w:rPr>
                <w:rFonts w:eastAsia="Calibri"/>
                <w:i/>
                <w:sz w:val="20"/>
              </w:rPr>
              <w:t>Charter of Rights and Freedoms</w:t>
            </w:r>
            <w:r w:rsidRPr="00330CC4">
              <w:rPr>
                <w:rFonts w:eastAsia="Calibri"/>
                <w:sz w:val="20"/>
              </w:rPr>
              <w:t xml:space="preserve"> – Criminal law – Evidence – Exculpatory evidence – Mr. Big evidence – Whether trier of fact should seek corroboration of exculpatory parts of a witness’s testimony if witness provides both incriminating and exculpatory evidence – Whether accused persons should be permitted to raise new </w:t>
            </w:r>
            <w:r w:rsidRPr="00330CC4">
              <w:rPr>
                <w:rFonts w:eastAsia="Calibri"/>
                <w:i/>
                <w:sz w:val="20"/>
              </w:rPr>
              <w:t>Charter</w:t>
            </w:r>
            <w:r w:rsidRPr="00330CC4">
              <w:rPr>
                <w:rFonts w:eastAsia="Calibri"/>
                <w:sz w:val="20"/>
              </w:rPr>
              <w:t xml:space="preserve"> issues on </w:t>
            </w:r>
            <w:r w:rsidRPr="00330CC4">
              <w:rPr>
                <w:rFonts w:eastAsia="Calibri"/>
                <w:sz w:val="20"/>
              </w:rPr>
              <w:lastRenderedPageBreak/>
              <w:t>appeal when there has been a development in the law in another provincial appeal court – Whether statements obtained during a Mr. Big investigation ought to have been excluded.</w:t>
            </w:r>
          </w:p>
        </w:tc>
      </w:tr>
      <w:tr w:rsidR="00012EB9" w:rsidRPr="00330CC4" w:rsidTr="007732B1">
        <w:tc>
          <w:tcPr>
            <w:tcW w:w="5000" w:type="pct"/>
            <w:gridSpan w:val="3"/>
          </w:tcPr>
          <w:p w:rsidR="00012EB9" w:rsidRPr="00330CC4" w:rsidRDefault="00012EB9" w:rsidP="007732B1">
            <w:pPr>
              <w:jc w:val="both"/>
              <w:rPr>
                <w:rFonts w:eastAsia="Calibri"/>
                <w:sz w:val="20"/>
              </w:rPr>
            </w:pPr>
          </w:p>
        </w:tc>
      </w:tr>
      <w:tr w:rsidR="00012EB9" w:rsidRPr="00330CC4" w:rsidTr="007732B1">
        <w:tc>
          <w:tcPr>
            <w:tcW w:w="5000" w:type="pct"/>
            <w:gridSpan w:val="3"/>
          </w:tcPr>
          <w:p w:rsidR="00012EB9" w:rsidRPr="00330CC4" w:rsidRDefault="00012EB9" w:rsidP="007732B1">
            <w:pPr>
              <w:autoSpaceDE w:val="0"/>
              <w:autoSpaceDN w:val="0"/>
              <w:adjustRightInd w:val="0"/>
              <w:jc w:val="both"/>
              <w:rPr>
                <w:rFonts w:eastAsia="Calibri"/>
                <w:sz w:val="20"/>
              </w:rPr>
            </w:pPr>
            <w:r w:rsidRPr="00330CC4">
              <w:rPr>
                <w:rFonts w:eastAsia="Calibri"/>
                <w:sz w:val="20"/>
              </w:rPr>
              <w:t xml:space="preserve">The applicant was charged with second degree murder.  He pleaded guilty to manslaughter but the Crown rejected the plea and a trial proceeded to determine whether the applicant had the </w:t>
            </w:r>
            <w:r w:rsidRPr="00330CC4">
              <w:rPr>
                <w:rFonts w:eastAsia="Calibri"/>
                <w:i/>
                <w:sz w:val="20"/>
              </w:rPr>
              <w:t>mens rea</w:t>
            </w:r>
            <w:r w:rsidRPr="00330CC4">
              <w:rPr>
                <w:rFonts w:eastAsia="Calibri"/>
                <w:sz w:val="20"/>
              </w:rPr>
              <w:t xml:space="preserve"> required for second degree murder.  The Crown’s case included evidence obtained in a Mr. Big operation and testimony from Mr. Ryan’s friend, Mr. Sheppard.  Mr. Sheppard testified that he witnessed the shooting and the gun discharged accidentally.  Mr. Ryan did not testify. Mr. Ryan led Mr. Big undercover officers to the remains of the body and described the killing to the undercover officers. Mr. Sheppard’s testimony supports Mr. Ryan’s version of events to the Mr. Big officers up to the moment of the shooting and after the shooting. Defence counsel agreed that the Mr. Big</w:t>
            </w:r>
            <w:r w:rsidRPr="00330CC4">
              <w:rPr>
                <w:rFonts w:eastAsia="Calibri"/>
                <w:spacing w:val="12"/>
                <w:sz w:val="20"/>
              </w:rPr>
              <w:t xml:space="preserve"> </w:t>
            </w:r>
            <w:r w:rsidRPr="00330CC4">
              <w:rPr>
                <w:rFonts w:eastAsia="Calibri"/>
                <w:spacing w:val="-1"/>
                <w:sz w:val="20"/>
              </w:rPr>
              <w:t>evidence was</w:t>
            </w:r>
            <w:r w:rsidRPr="00330CC4">
              <w:rPr>
                <w:rFonts w:eastAsia="Calibri"/>
                <w:spacing w:val="15"/>
                <w:sz w:val="20"/>
              </w:rPr>
              <w:t xml:space="preserve"> </w:t>
            </w:r>
            <w:r w:rsidRPr="00330CC4">
              <w:rPr>
                <w:rFonts w:eastAsia="Calibri"/>
                <w:spacing w:val="-1"/>
                <w:sz w:val="20"/>
              </w:rPr>
              <w:t>admissible</w:t>
            </w:r>
            <w:r w:rsidRPr="00330CC4">
              <w:rPr>
                <w:rFonts w:eastAsia="Calibri"/>
                <w:spacing w:val="15"/>
                <w:sz w:val="20"/>
              </w:rPr>
              <w:t xml:space="preserve">, </w:t>
            </w:r>
            <w:r w:rsidRPr="00330CC4">
              <w:rPr>
                <w:rFonts w:eastAsia="Calibri"/>
                <w:sz w:val="20"/>
              </w:rPr>
              <w:t xml:space="preserve">nothing in </w:t>
            </w:r>
            <w:r w:rsidRPr="00330CC4">
              <w:rPr>
                <w:rFonts w:eastAsia="Calibri"/>
                <w:spacing w:val="7"/>
                <w:sz w:val="20"/>
              </w:rPr>
              <w:t>the officers’</w:t>
            </w:r>
            <w:r w:rsidRPr="00330CC4">
              <w:rPr>
                <w:rFonts w:eastAsia="Calibri"/>
                <w:spacing w:val="8"/>
                <w:sz w:val="20"/>
              </w:rPr>
              <w:t xml:space="preserve"> </w:t>
            </w:r>
            <w:r w:rsidRPr="00330CC4">
              <w:rPr>
                <w:rFonts w:eastAsia="Calibri"/>
                <w:spacing w:val="-1"/>
                <w:sz w:val="20"/>
              </w:rPr>
              <w:t>conduct</w:t>
            </w:r>
            <w:r w:rsidRPr="00330CC4">
              <w:rPr>
                <w:rFonts w:eastAsia="Calibri"/>
                <w:spacing w:val="7"/>
                <w:sz w:val="20"/>
              </w:rPr>
              <w:t xml:space="preserve"> </w:t>
            </w:r>
            <w:r w:rsidRPr="00330CC4">
              <w:rPr>
                <w:rFonts w:eastAsia="Calibri"/>
                <w:spacing w:val="-1"/>
                <w:sz w:val="20"/>
              </w:rPr>
              <w:t>would</w:t>
            </w:r>
            <w:r w:rsidRPr="00330CC4">
              <w:rPr>
                <w:rFonts w:eastAsia="Calibri"/>
                <w:spacing w:val="4"/>
                <w:sz w:val="20"/>
              </w:rPr>
              <w:t xml:space="preserve"> </w:t>
            </w:r>
            <w:r w:rsidRPr="00330CC4">
              <w:rPr>
                <w:rFonts w:eastAsia="Calibri"/>
                <w:spacing w:val="-1"/>
                <w:sz w:val="20"/>
              </w:rPr>
              <w:t>shock</w:t>
            </w:r>
            <w:r w:rsidRPr="00330CC4">
              <w:rPr>
                <w:rFonts w:eastAsia="Calibri"/>
                <w:spacing w:val="65"/>
                <w:sz w:val="20"/>
              </w:rPr>
              <w:t xml:space="preserve"> </w:t>
            </w:r>
            <w:r w:rsidRPr="00330CC4">
              <w:rPr>
                <w:rFonts w:eastAsia="Calibri"/>
                <w:sz w:val="20"/>
              </w:rPr>
              <w:t>the</w:t>
            </w:r>
            <w:r w:rsidRPr="00330CC4">
              <w:rPr>
                <w:rFonts w:eastAsia="Calibri"/>
                <w:spacing w:val="25"/>
                <w:sz w:val="20"/>
              </w:rPr>
              <w:t xml:space="preserve"> </w:t>
            </w:r>
            <w:r w:rsidRPr="00330CC4">
              <w:rPr>
                <w:rFonts w:eastAsia="Calibri"/>
                <w:spacing w:val="-1"/>
                <w:sz w:val="20"/>
              </w:rPr>
              <w:t>community, and</w:t>
            </w:r>
            <w:r w:rsidRPr="00330CC4">
              <w:rPr>
                <w:rFonts w:eastAsia="Calibri"/>
                <w:sz w:val="20"/>
              </w:rPr>
              <w:t xml:space="preserve"> there</w:t>
            </w:r>
            <w:r w:rsidRPr="00330CC4">
              <w:rPr>
                <w:rFonts w:eastAsia="Calibri"/>
                <w:spacing w:val="3"/>
                <w:sz w:val="20"/>
              </w:rPr>
              <w:t xml:space="preserve"> </w:t>
            </w:r>
            <w:r w:rsidRPr="00330CC4">
              <w:rPr>
                <w:rFonts w:eastAsia="Calibri"/>
                <w:spacing w:val="-1"/>
                <w:sz w:val="20"/>
              </w:rPr>
              <w:t>was</w:t>
            </w:r>
            <w:r w:rsidRPr="00330CC4">
              <w:rPr>
                <w:rFonts w:eastAsia="Calibri"/>
                <w:spacing w:val="1"/>
                <w:sz w:val="20"/>
              </w:rPr>
              <w:t xml:space="preserve"> </w:t>
            </w:r>
            <w:r w:rsidRPr="00330CC4">
              <w:rPr>
                <w:rFonts w:eastAsia="Calibri"/>
                <w:sz w:val="20"/>
              </w:rPr>
              <w:t>no</w:t>
            </w:r>
            <w:r w:rsidRPr="00330CC4">
              <w:rPr>
                <w:rFonts w:eastAsia="Calibri"/>
                <w:spacing w:val="2"/>
                <w:sz w:val="20"/>
              </w:rPr>
              <w:t xml:space="preserve"> </w:t>
            </w:r>
            <w:r w:rsidRPr="00330CC4">
              <w:rPr>
                <w:rFonts w:eastAsia="Calibri"/>
                <w:spacing w:val="-1"/>
                <w:sz w:val="20"/>
              </w:rPr>
              <w:t>evidence</w:t>
            </w:r>
            <w:r w:rsidRPr="00330CC4">
              <w:rPr>
                <w:rFonts w:eastAsia="Calibri"/>
                <w:spacing w:val="3"/>
                <w:sz w:val="20"/>
              </w:rPr>
              <w:t xml:space="preserve"> </w:t>
            </w:r>
            <w:r w:rsidRPr="00330CC4">
              <w:rPr>
                <w:rFonts w:eastAsia="Calibri"/>
                <w:sz w:val="20"/>
              </w:rPr>
              <w:t>of</w:t>
            </w:r>
            <w:r w:rsidRPr="00330CC4">
              <w:rPr>
                <w:rFonts w:eastAsia="Calibri"/>
                <w:spacing w:val="45"/>
                <w:sz w:val="20"/>
              </w:rPr>
              <w:t xml:space="preserve"> </w:t>
            </w:r>
            <w:r w:rsidRPr="00330CC4">
              <w:rPr>
                <w:rFonts w:eastAsia="Calibri"/>
                <w:spacing w:val="-1"/>
                <w:sz w:val="20"/>
              </w:rPr>
              <w:t>coercion or</w:t>
            </w:r>
            <w:r w:rsidRPr="00330CC4">
              <w:rPr>
                <w:rFonts w:eastAsia="Calibri"/>
                <w:sz w:val="20"/>
              </w:rPr>
              <w:t xml:space="preserve"> threats by undercover officers.  The trial judge rejected Mr. Sheppard’s accidental discharge scenario and, relying in part of some of the Mr. Big evidence, convicted the applicant of second degree murder.</w:t>
            </w:r>
          </w:p>
          <w:p w:rsidR="00012EB9" w:rsidRPr="00330CC4" w:rsidRDefault="00012EB9" w:rsidP="007732B1">
            <w:pPr>
              <w:autoSpaceDE w:val="0"/>
              <w:autoSpaceDN w:val="0"/>
              <w:adjustRightInd w:val="0"/>
              <w:jc w:val="both"/>
              <w:rPr>
                <w:rFonts w:eastAsia="Calibri"/>
                <w:sz w:val="20"/>
              </w:rPr>
            </w:pPr>
          </w:p>
        </w:tc>
      </w:tr>
      <w:tr w:rsidR="00012EB9" w:rsidRPr="00330CC4" w:rsidTr="007732B1">
        <w:tc>
          <w:tcPr>
            <w:tcW w:w="2427" w:type="pct"/>
          </w:tcPr>
          <w:p w:rsidR="00012EB9" w:rsidRPr="00330CC4" w:rsidRDefault="00012EB9" w:rsidP="007732B1">
            <w:pPr>
              <w:jc w:val="both"/>
              <w:rPr>
                <w:rFonts w:eastAsia="Calibri"/>
                <w:sz w:val="20"/>
              </w:rPr>
            </w:pPr>
            <w:r w:rsidRPr="00330CC4">
              <w:rPr>
                <w:rFonts w:eastAsia="Calibri"/>
                <w:sz w:val="20"/>
              </w:rPr>
              <w:t>June 21, 2011</w:t>
            </w:r>
          </w:p>
          <w:p w:rsidR="00012EB9" w:rsidRPr="00330CC4" w:rsidRDefault="00012EB9" w:rsidP="007732B1">
            <w:pPr>
              <w:jc w:val="both"/>
              <w:rPr>
                <w:rFonts w:eastAsia="Calibri"/>
                <w:sz w:val="20"/>
              </w:rPr>
            </w:pPr>
            <w:r w:rsidRPr="00330CC4">
              <w:rPr>
                <w:rFonts w:eastAsia="Calibri"/>
                <w:sz w:val="20"/>
              </w:rPr>
              <w:t>Court of Queen’s Bench of Alberta</w:t>
            </w:r>
          </w:p>
          <w:p w:rsidR="00012EB9" w:rsidRPr="00330CC4" w:rsidRDefault="00012EB9" w:rsidP="007732B1">
            <w:pPr>
              <w:jc w:val="both"/>
              <w:rPr>
                <w:rFonts w:eastAsia="Calibri"/>
                <w:sz w:val="20"/>
              </w:rPr>
            </w:pPr>
            <w:r w:rsidRPr="00330CC4">
              <w:rPr>
                <w:rFonts w:eastAsia="Calibri"/>
                <w:sz w:val="20"/>
              </w:rPr>
              <w:t>(Graesser J.)</w:t>
            </w:r>
          </w:p>
          <w:p w:rsidR="00012EB9" w:rsidRPr="00330CC4" w:rsidRDefault="00012EB9" w:rsidP="007732B1">
            <w:pPr>
              <w:jc w:val="both"/>
              <w:rPr>
                <w:rFonts w:eastAsia="Calibri"/>
                <w:sz w:val="20"/>
              </w:rPr>
            </w:pPr>
            <w:r w:rsidRPr="00330CC4">
              <w:rPr>
                <w:rFonts w:eastAsia="Calibri"/>
                <w:sz w:val="20"/>
              </w:rPr>
              <w:t xml:space="preserve"> </w:t>
            </w:r>
          </w:p>
        </w:tc>
        <w:tc>
          <w:tcPr>
            <w:tcW w:w="243" w:type="pct"/>
          </w:tcPr>
          <w:p w:rsidR="00012EB9" w:rsidRPr="00330CC4" w:rsidRDefault="00012EB9" w:rsidP="007732B1">
            <w:pPr>
              <w:jc w:val="both"/>
              <w:rPr>
                <w:rFonts w:eastAsia="Calibri"/>
                <w:sz w:val="20"/>
              </w:rPr>
            </w:pPr>
          </w:p>
        </w:tc>
        <w:tc>
          <w:tcPr>
            <w:tcW w:w="2330" w:type="pct"/>
          </w:tcPr>
          <w:p w:rsidR="00012EB9" w:rsidRPr="00330CC4" w:rsidRDefault="00012EB9" w:rsidP="007732B1">
            <w:pPr>
              <w:jc w:val="both"/>
              <w:rPr>
                <w:rFonts w:eastAsia="Calibri"/>
                <w:sz w:val="20"/>
              </w:rPr>
            </w:pPr>
            <w:r w:rsidRPr="00330CC4">
              <w:rPr>
                <w:rFonts w:eastAsia="Calibri"/>
                <w:sz w:val="20"/>
              </w:rPr>
              <w:t>Conviction: second degree murder</w:t>
            </w:r>
          </w:p>
          <w:p w:rsidR="00012EB9" w:rsidRPr="00330CC4" w:rsidRDefault="00012EB9" w:rsidP="007732B1">
            <w:pPr>
              <w:jc w:val="both"/>
              <w:rPr>
                <w:rFonts w:eastAsia="Calibri"/>
                <w:sz w:val="20"/>
              </w:rPr>
            </w:pPr>
          </w:p>
        </w:tc>
      </w:tr>
      <w:tr w:rsidR="00012EB9" w:rsidRPr="00330CC4" w:rsidTr="007732B1">
        <w:tc>
          <w:tcPr>
            <w:tcW w:w="2427" w:type="pct"/>
          </w:tcPr>
          <w:p w:rsidR="00012EB9" w:rsidRPr="00330CC4" w:rsidRDefault="00012EB9" w:rsidP="007732B1">
            <w:pPr>
              <w:jc w:val="both"/>
              <w:rPr>
                <w:rFonts w:eastAsia="Calibri"/>
                <w:sz w:val="20"/>
              </w:rPr>
            </w:pPr>
            <w:r w:rsidRPr="00330CC4">
              <w:rPr>
                <w:rFonts w:eastAsia="Calibri"/>
                <w:sz w:val="20"/>
              </w:rPr>
              <w:t>February 28, 2014</w:t>
            </w:r>
          </w:p>
          <w:p w:rsidR="00012EB9" w:rsidRPr="00330CC4" w:rsidRDefault="00012EB9" w:rsidP="007732B1">
            <w:pPr>
              <w:jc w:val="both"/>
              <w:rPr>
                <w:rFonts w:eastAsia="Calibri"/>
                <w:sz w:val="20"/>
              </w:rPr>
            </w:pPr>
            <w:r w:rsidRPr="00330CC4">
              <w:rPr>
                <w:rFonts w:eastAsia="Calibri"/>
                <w:sz w:val="20"/>
              </w:rPr>
              <w:t>Court of Appeal of Alberta (Edmonton)</w:t>
            </w:r>
          </w:p>
          <w:p w:rsidR="00012EB9" w:rsidRPr="00330CC4" w:rsidRDefault="00012EB9" w:rsidP="007732B1">
            <w:pPr>
              <w:jc w:val="both"/>
              <w:rPr>
                <w:rFonts w:eastAsia="Calibri"/>
                <w:sz w:val="20"/>
              </w:rPr>
            </w:pPr>
            <w:r w:rsidRPr="00330CC4">
              <w:rPr>
                <w:rFonts w:eastAsia="Calibri"/>
                <w:sz w:val="20"/>
              </w:rPr>
              <w:t>(Berger [dissenting], Martin, Bielby JJ.A.)</w:t>
            </w:r>
          </w:p>
          <w:p w:rsidR="00012EB9" w:rsidRPr="00330CC4" w:rsidRDefault="00012EB9" w:rsidP="007732B1">
            <w:pPr>
              <w:jc w:val="both"/>
              <w:rPr>
                <w:rFonts w:eastAsia="Calibri"/>
                <w:sz w:val="20"/>
              </w:rPr>
            </w:pPr>
            <w:r w:rsidRPr="00330CC4">
              <w:rPr>
                <w:rFonts w:eastAsia="Calibri"/>
                <w:sz w:val="20"/>
              </w:rPr>
              <w:t xml:space="preserve">1103-0173-A, </w:t>
            </w:r>
            <w:hyperlink r:id="rId33" w:history="1">
              <w:r w:rsidRPr="00330CC4">
                <w:rPr>
                  <w:rFonts w:eastAsia="Calibri"/>
                  <w:color w:val="0000FF"/>
                  <w:sz w:val="20"/>
                  <w:u w:val="single"/>
                </w:rPr>
                <w:t>2014 ABCA 85</w:t>
              </w:r>
            </w:hyperlink>
          </w:p>
          <w:p w:rsidR="00012EB9" w:rsidRPr="00330CC4" w:rsidRDefault="00012EB9" w:rsidP="007732B1">
            <w:pPr>
              <w:jc w:val="both"/>
              <w:rPr>
                <w:rFonts w:eastAsia="Calibri"/>
                <w:sz w:val="20"/>
              </w:rPr>
            </w:pPr>
          </w:p>
        </w:tc>
        <w:tc>
          <w:tcPr>
            <w:tcW w:w="243" w:type="pct"/>
          </w:tcPr>
          <w:p w:rsidR="00012EB9" w:rsidRPr="00330CC4" w:rsidRDefault="00012EB9" w:rsidP="007732B1">
            <w:pPr>
              <w:jc w:val="both"/>
              <w:rPr>
                <w:rFonts w:eastAsia="Calibri"/>
                <w:sz w:val="20"/>
              </w:rPr>
            </w:pPr>
          </w:p>
        </w:tc>
        <w:tc>
          <w:tcPr>
            <w:tcW w:w="2330" w:type="pct"/>
          </w:tcPr>
          <w:p w:rsidR="00012EB9" w:rsidRPr="00330CC4" w:rsidRDefault="00012EB9" w:rsidP="007732B1">
            <w:pPr>
              <w:jc w:val="both"/>
              <w:rPr>
                <w:rFonts w:eastAsia="Calibri"/>
                <w:sz w:val="20"/>
              </w:rPr>
            </w:pPr>
            <w:r w:rsidRPr="00330CC4">
              <w:rPr>
                <w:rFonts w:eastAsia="Calibri"/>
                <w:sz w:val="20"/>
              </w:rPr>
              <w:t>Appeal dismissed</w:t>
            </w:r>
          </w:p>
          <w:p w:rsidR="00012EB9" w:rsidRPr="00330CC4" w:rsidRDefault="00012EB9" w:rsidP="007732B1">
            <w:pPr>
              <w:jc w:val="both"/>
              <w:rPr>
                <w:rFonts w:eastAsia="Calibri"/>
                <w:sz w:val="20"/>
              </w:rPr>
            </w:pPr>
          </w:p>
        </w:tc>
      </w:tr>
      <w:tr w:rsidR="00012EB9" w:rsidRPr="00330CC4" w:rsidTr="007732B1">
        <w:tc>
          <w:tcPr>
            <w:tcW w:w="2427" w:type="pct"/>
          </w:tcPr>
          <w:p w:rsidR="00012EB9" w:rsidRPr="00330CC4" w:rsidRDefault="00012EB9" w:rsidP="007732B1">
            <w:pPr>
              <w:jc w:val="both"/>
              <w:rPr>
                <w:rFonts w:eastAsia="Calibri"/>
                <w:sz w:val="20"/>
              </w:rPr>
            </w:pPr>
            <w:r w:rsidRPr="00330CC4">
              <w:rPr>
                <w:rFonts w:eastAsia="Calibri"/>
                <w:sz w:val="20"/>
              </w:rPr>
              <w:t>May 28, 2014</w:t>
            </w:r>
          </w:p>
          <w:p w:rsidR="00012EB9" w:rsidRPr="00330CC4" w:rsidRDefault="00012EB9" w:rsidP="007732B1">
            <w:pPr>
              <w:jc w:val="both"/>
              <w:rPr>
                <w:rFonts w:eastAsia="Calibri"/>
                <w:sz w:val="20"/>
              </w:rPr>
            </w:pPr>
            <w:r w:rsidRPr="00330CC4">
              <w:rPr>
                <w:rFonts w:eastAsia="Calibri"/>
                <w:sz w:val="20"/>
              </w:rPr>
              <w:t>Supreme Court of Canada</w:t>
            </w:r>
          </w:p>
          <w:p w:rsidR="00012EB9" w:rsidRPr="00330CC4" w:rsidRDefault="00012EB9" w:rsidP="007732B1">
            <w:pPr>
              <w:jc w:val="both"/>
              <w:rPr>
                <w:rFonts w:eastAsia="Calibri"/>
                <w:sz w:val="20"/>
              </w:rPr>
            </w:pPr>
          </w:p>
        </w:tc>
        <w:tc>
          <w:tcPr>
            <w:tcW w:w="243" w:type="pct"/>
          </w:tcPr>
          <w:p w:rsidR="00012EB9" w:rsidRPr="00330CC4" w:rsidRDefault="00012EB9" w:rsidP="007732B1">
            <w:pPr>
              <w:jc w:val="both"/>
              <w:rPr>
                <w:rFonts w:eastAsia="Calibri"/>
                <w:sz w:val="20"/>
              </w:rPr>
            </w:pPr>
          </w:p>
        </w:tc>
        <w:tc>
          <w:tcPr>
            <w:tcW w:w="2330" w:type="pct"/>
          </w:tcPr>
          <w:p w:rsidR="00012EB9" w:rsidRPr="00330CC4" w:rsidRDefault="00012EB9" w:rsidP="007732B1">
            <w:pPr>
              <w:jc w:val="both"/>
              <w:rPr>
                <w:rFonts w:eastAsia="Calibri"/>
                <w:sz w:val="20"/>
              </w:rPr>
            </w:pPr>
            <w:r w:rsidRPr="00330CC4">
              <w:rPr>
                <w:rFonts w:eastAsia="Calibri"/>
                <w:sz w:val="20"/>
              </w:rPr>
              <w:t>Application for extension of time to apply for leave to appeal and Application for leave to appeal filed</w:t>
            </w:r>
          </w:p>
          <w:p w:rsidR="00012EB9" w:rsidRPr="00330CC4" w:rsidRDefault="00012EB9" w:rsidP="007732B1">
            <w:pPr>
              <w:jc w:val="both"/>
              <w:rPr>
                <w:rFonts w:eastAsia="Calibri"/>
                <w:sz w:val="20"/>
              </w:rPr>
            </w:pPr>
          </w:p>
        </w:tc>
      </w:tr>
      <w:tr w:rsidR="00012EB9" w:rsidRPr="00330CC4" w:rsidTr="007732B1">
        <w:tc>
          <w:tcPr>
            <w:tcW w:w="2427" w:type="pct"/>
          </w:tcPr>
          <w:p w:rsidR="00012EB9" w:rsidRPr="00330CC4" w:rsidRDefault="00012EB9" w:rsidP="007732B1">
            <w:pPr>
              <w:jc w:val="both"/>
              <w:rPr>
                <w:rFonts w:eastAsia="Calibri"/>
                <w:sz w:val="20"/>
              </w:rPr>
            </w:pPr>
            <w:r w:rsidRPr="00330CC4">
              <w:rPr>
                <w:rFonts w:eastAsia="Calibri"/>
                <w:sz w:val="20"/>
              </w:rPr>
              <w:t xml:space="preserve">August 19, 2014-09-03 </w:t>
            </w:r>
          </w:p>
          <w:p w:rsidR="00012EB9" w:rsidRPr="00330CC4" w:rsidRDefault="00012EB9" w:rsidP="007732B1">
            <w:pPr>
              <w:jc w:val="both"/>
              <w:rPr>
                <w:rFonts w:eastAsia="Calibri"/>
                <w:sz w:val="20"/>
              </w:rPr>
            </w:pPr>
            <w:r w:rsidRPr="00330CC4">
              <w:rPr>
                <w:rFonts w:eastAsia="Calibri"/>
                <w:sz w:val="20"/>
              </w:rPr>
              <w:t>Supreme Court of Canada</w:t>
            </w:r>
          </w:p>
        </w:tc>
        <w:tc>
          <w:tcPr>
            <w:tcW w:w="243" w:type="pct"/>
          </w:tcPr>
          <w:p w:rsidR="00012EB9" w:rsidRPr="00330CC4" w:rsidRDefault="00012EB9" w:rsidP="007732B1">
            <w:pPr>
              <w:jc w:val="both"/>
              <w:rPr>
                <w:rFonts w:eastAsia="Calibri"/>
                <w:sz w:val="20"/>
              </w:rPr>
            </w:pPr>
          </w:p>
        </w:tc>
        <w:tc>
          <w:tcPr>
            <w:tcW w:w="2330" w:type="pct"/>
          </w:tcPr>
          <w:p w:rsidR="00012EB9" w:rsidRPr="00330CC4" w:rsidRDefault="00012EB9" w:rsidP="007732B1">
            <w:pPr>
              <w:jc w:val="both"/>
              <w:rPr>
                <w:rFonts w:eastAsia="Calibri"/>
                <w:sz w:val="20"/>
              </w:rPr>
            </w:pPr>
            <w:r w:rsidRPr="00330CC4">
              <w:rPr>
                <w:rFonts w:eastAsia="Calibri"/>
                <w:sz w:val="20"/>
              </w:rPr>
              <w:t>Motion to file a sur-reply filed</w:t>
            </w:r>
          </w:p>
        </w:tc>
      </w:tr>
    </w:tbl>
    <w:p w:rsidR="00185470" w:rsidRDefault="00185470" w:rsidP="00185470">
      <w:pPr>
        <w:rPr>
          <w:sz w:val="20"/>
          <w:szCs w:val="20"/>
        </w:rPr>
      </w:pPr>
    </w:p>
    <w:p w:rsidR="00185470" w:rsidRPr="00C50A5C" w:rsidRDefault="00F677DC" w:rsidP="00185470">
      <w:pPr>
        <w:rPr>
          <w:sz w:val="20"/>
          <w:szCs w:val="20"/>
        </w:rPr>
      </w:pPr>
      <w:r>
        <w:rPr>
          <w:sz w:val="20"/>
          <w:szCs w:val="20"/>
          <w:lang w:val="fr-CA"/>
        </w:rPr>
        <w:pict>
          <v:rect id="_x0000_i1061" style="width:2in;height:1pt" o:hrpct="0" o:hralign="center" o:hrstd="t" o:hrnoshade="t" o:hr="t" fillcolor="black [3213]" stroked="f"/>
        </w:pict>
      </w:r>
    </w:p>
    <w:p w:rsidR="00185470" w:rsidRDefault="00185470" w:rsidP="00185470">
      <w:pPr>
        <w:rPr>
          <w:sz w:val="20"/>
          <w:szCs w:val="20"/>
        </w:rPr>
      </w:pPr>
    </w:p>
    <w:p w:rsidR="00185470" w:rsidRPr="001B157C" w:rsidRDefault="00185470" w:rsidP="00185470">
      <w:pPr>
        <w:rPr>
          <w:sz w:val="20"/>
          <w:szCs w:val="20"/>
          <w:u w:val="single"/>
          <w:lang w:val="fr-CA"/>
        </w:rPr>
      </w:pPr>
      <w:r w:rsidRPr="001B157C">
        <w:rPr>
          <w:sz w:val="20"/>
          <w:szCs w:val="20"/>
          <w:u w:val="single"/>
          <w:lang w:val="fr-CA"/>
        </w:rPr>
        <w:t>RÉSUMÉ DE L’AFFAIRE</w:t>
      </w:r>
    </w:p>
    <w:p w:rsidR="00185470" w:rsidRDefault="00185470" w:rsidP="0018547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12EB9" w:rsidRPr="00F677DC" w:rsidTr="007732B1">
        <w:tc>
          <w:tcPr>
            <w:tcW w:w="5000" w:type="pct"/>
            <w:gridSpan w:val="3"/>
          </w:tcPr>
          <w:p w:rsidR="00012EB9" w:rsidRPr="00330CC4" w:rsidRDefault="00012EB9" w:rsidP="007732B1">
            <w:pPr>
              <w:jc w:val="both"/>
              <w:rPr>
                <w:rFonts w:eastAsia="Calibri"/>
                <w:sz w:val="20"/>
                <w:lang w:val="fr-CA"/>
              </w:rPr>
            </w:pPr>
            <w:r w:rsidRPr="00330CC4">
              <w:rPr>
                <w:rFonts w:eastAsia="Calibri"/>
                <w:i/>
                <w:sz w:val="20"/>
                <w:lang w:val="fr-CA"/>
              </w:rPr>
              <w:t>Charte des droits et libertés</w:t>
            </w:r>
            <w:r w:rsidRPr="00330CC4">
              <w:rPr>
                <w:rFonts w:eastAsia="Calibri"/>
                <w:sz w:val="20"/>
                <w:lang w:val="fr-CA"/>
              </w:rPr>
              <w:t xml:space="preserve"> – Droit criminel – Preuve – Preuve exculpatoire – Preuve issue d’une opération « Monsieur Big » – Est-ce que le juge des faits devrait chercher la corroboration des parties exculpatoires du témoignage du témoin si le témoin a fourni à la fois de la preuve incriminante et exculpatoire? – Est-ce que des personnes accusées devraient pouvoir soulever de nouvelles questions relatives à la </w:t>
            </w:r>
            <w:r w:rsidRPr="00330CC4">
              <w:rPr>
                <w:rFonts w:eastAsia="Calibri"/>
                <w:i/>
                <w:sz w:val="20"/>
                <w:lang w:val="fr-CA"/>
              </w:rPr>
              <w:t>Charte</w:t>
            </w:r>
            <w:r w:rsidRPr="00330CC4">
              <w:rPr>
                <w:rFonts w:eastAsia="Calibri"/>
                <w:sz w:val="20"/>
                <w:lang w:val="fr-CA"/>
              </w:rPr>
              <w:t xml:space="preserve"> en appel lorsqu’il y a eu une évolution du droit dans une cour d’appel d’une autre province? – Est-ce que les déclarations obtenues lors d’une opération « Monsieur Big » auraient dû être exclues? </w:t>
            </w:r>
          </w:p>
        </w:tc>
      </w:tr>
      <w:tr w:rsidR="00012EB9" w:rsidRPr="00F677DC" w:rsidTr="007732B1">
        <w:tc>
          <w:tcPr>
            <w:tcW w:w="5000" w:type="pct"/>
            <w:gridSpan w:val="3"/>
          </w:tcPr>
          <w:p w:rsidR="00012EB9" w:rsidRPr="00330CC4" w:rsidRDefault="00012EB9" w:rsidP="007732B1">
            <w:pPr>
              <w:jc w:val="both"/>
              <w:rPr>
                <w:rFonts w:eastAsia="Calibri"/>
                <w:sz w:val="20"/>
                <w:lang w:val="fr-CA"/>
              </w:rPr>
            </w:pPr>
          </w:p>
        </w:tc>
      </w:tr>
      <w:tr w:rsidR="00012EB9" w:rsidRPr="00F677DC" w:rsidTr="007732B1">
        <w:tc>
          <w:tcPr>
            <w:tcW w:w="5000" w:type="pct"/>
            <w:gridSpan w:val="3"/>
          </w:tcPr>
          <w:p w:rsidR="00012EB9" w:rsidRPr="00330CC4" w:rsidRDefault="00012EB9" w:rsidP="007732B1">
            <w:pPr>
              <w:autoSpaceDE w:val="0"/>
              <w:autoSpaceDN w:val="0"/>
              <w:adjustRightInd w:val="0"/>
              <w:jc w:val="both"/>
              <w:rPr>
                <w:rFonts w:eastAsia="Calibri"/>
                <w:sz w:val="20"/>
                <w:lang w:val="fr-CA"/>
              </w:rPr>
            </w:pPr>
            <w:r w:rsidRPr="00330CC4">
              <w:rPr>
                <w:rFonts w:eastAsia="Calibri"/>
                <w:sz w:val="20"/>
                <w:lang w:val="fr-CA"/>
              </w:rPr>
              <w:t xml:space="preserve">Le demandeur a été accusé de meurtre au deuxième degré.  Il a plaidé coupable à une accusation d’homicide, mais le ministère public a rejeté le plaidoyer et un procès a eu lieu pour déterminer si le demandeur avait la </w:t>
            </w:r>
            <w:r w:rsidRPr="00330CC4">
              <w:rPr>
                <w:rFonts w:eastAsia="Calibri"/>
                <w:i/>
                <w:sz w:val="20"/>
                <w:lang w:val="fr-CA"/>
              </w:rPr>
              <w:t>mens rea</w:t>
            </w:r>
            <w:r w:rsidRPr="00330CC4">
              <w:rPr>
                <w:rFonts w:eastAsia="Calibri"/>
                <w:sz w:val="20"/>
                <w:lang w:val="fr-CA"/>
              </w:rPr>
              <w:t xml:space="preserve"> requise pour meurtre au deuxième degré.  La preuve du ministère public comprenait de la preuve obtenue lors d’une opération « Monsieur Big » et le témoignage d’un ami de Monsieur Ryan, Monsieur Sheppard.  Celui-ci a témoigné qu’il </w:t>
            </w:r>
            <w:r w:rsidRPr="00330CC4">
              <w:rPr>
                <w:rFonts w:eastAsia="Calibri"/>
                <w:sz w:val="20"/>
                <w:lang w:val="fr-FR"/>
              </w:rPr>
              <w:t xml:space="preserve">avait été témoin de la fusillade et que </w:t>
            </w:r>
            <w:r w:rsidRPr="00330CC4">
              <w:rPr>
                <w:rFonts w:eastAsia="Calibri"/>
                <w:sz w:val="20"/>
                <w:lang w:val="fr-CA"/>
              </w:rPr>
              <w:t xml:space="preserve">le coup de feu était parti accidentellement.  Monsieur Ryan n’a pas témoigné. Monsieur Ryan a mené les agents doubles de l’opération Monsieur Big aux restes humains et leur a décrit le meurtre.  Le témoignage de Monsieur Sheppard appuie la version des événements de Monsieur Ryan jusqu’au moment de la fusillade et après celle-ci.  L’avocat de la défense a reconnu que la preuve obtenue lors de l’opération « Monsieur Big » était admissible, que rien dans le comportement des agents doubles </w:t>
            </w:r>
            <w:r w:rsidRPr="00330CC4">
              <w:rPr>
                <w:rFonts w:ascii="CG Times" w:eastAsia="Calibri" w:hAnsi="CG Times"/>
                <w:spacing w:val="-3"/>
                <w:sz w:val="20"/>
                <w:lang w:val="fr-CA"/>
              </w:rPr>
              <w:t xml:space="preserve">était de nature à choquer la collectivité et qu’il n’y avait pas de preuve de </w:t>
            </w:r>
            <w:r w:rsidRPr="00330CC4">
              <w:rPr>
                <w:rFonts w:eastAsia="Calibri"/>
                <w:sz w:val="20"/>
                <w:lang w:val="fr-FR"/>
              </w:rPr>
              <w:t xml:space="preserve">contrainte ou de menaces de la part des agents doubles.  </w:t>
            </w:r>
            <w:r w:rsidRPr="00330CC4">
              <w:rPr>
                <w:rFonts w:eastAsia="Calibri"/>
                <w:sz w:val="20"/>
                <w:lang w:val="fr-CA"/>
              </w:rPr>
              <w:t xml:space="preserve">Le juge du procès a rejeté le </w:t>
            </w:r>
            <w:r w:rsidRPr="00330CC4">
              <w:rPr>
                <w:rFonts w:eastAsia="Calibri"/>
                <w:sz w:val="20"/>
                <w:lang w:val="fr-CA"/>
              </w:rPr>
              <w:lastRenderedPageBreak/>
              <w:t>scenario de Monsieur Sheppard que le coup de feu est parti accidentellement. Et, se fondant en partie sur la preuve recueillie lors de l’opération « Monsieur Big », le juge du procès a déclaré le demandeur coupable de meurtre au deuxième degré.</w:t>
            </w:r>
          </w:p>
          <w:p w:rsidR="00012EB9" w:rsidRPr="00330CC4" w:rsidRDefault="00012EB9" w:rsidP="007732B1">
            <w:pPr>
              <w:autoSpaceDE w:val="0"/>
              <w:autoSpaceDN w:val="0"/>
              <w:adjustRightInd w:val="0"/>
              <w:jc w:val="both"/>
              <w:rPr>
                <w:rFonts w:eastAsia="Calibri"/>
                <w:sz w:val="20"/>
                <w:lang w:val="fr-CA"/>
              </w:rPr>
            </w:pPr>
          </w:p>
        </w:tc>
      </w:tr>
      <w:tr w:rsidR="00012EB9" w:rsidRPr="00F677DC" w:rsidTr="007732B1">
        <w:tc>
          <w:tcPr>
            <w:tcW w:w="2427" w:type="pct"/>
          </w:tcPr>
          <w:p w:rsidR="00012EB9" w:rsidRPr="00330CC4" w:rsidRDefault="00012EB9" w:rsidP="007732B1">
            <w:pPr>
              <w:jc w:val="both"/>
              <w:rPr>
                <w:rFonts w:eastAsia="Calibri"/>
                <w:sz w:val="20"/>
                <w:lang w:val="fr-CA"/>
              </w:rPr>
            </w:pPr>
            <w:r w:rsidRPr="00330CC4">
              <w:rPr>
                <w:rFonts w:eastAsia="Calibri"/>
                <w:sz w:val="20"/>
                <w:lang w:val="fr-CA"/>
              </w:rPr>
              <w:lastRenderedPageBreak/>
              <w:t>21 juin 2011</w:t>
            </w:r>
          </w:p>
          <w:p w:rsidR="00012EB9" w:rsidRPr="00330CC4" w:rsidRDefault="00012EB9" w:rsidP="007732B1">
            <w:pPr>
              <w:jc w:val="both"/>
              <w:rPr>
                <w:rFonts w:eastAsia="Calibri"/>
                <w:sz w:val="20"/>
                <w:lang w:val="fr-CA"/>
              </w:rPr>
            </w:pPr>
            <w:r w:rsidRPr="00330CC4">
              <w:rPr>
                <w:rFonts w:eastAsia="Calibri"/>
                <w:sz w:val="20"/>
                <w:lang w:val="fr-CA"/>
              </w:rPr>
              <w:t>Cour du Banc de la Reine de l’Alberta</w:t>
            </w:r>
          </w:p>
          <w:p w:rsidR="00012EB9" w:rsidRPr="00330CC4" w:rsidRDefault="00012EB9" w:rsidP="007732B1">
            <w:pPr>
              <w:jc w:val="both"/>
              <w:rPr>
                <w:rFonts w:eastAsia="Calibri"/>
                <w:sz w:val="20"/>
              </w:rPr>
            </w:pPr>
            <w:r w:rsidRPr="00330CC4">
              <w:rPr>
                <w:rFonts w:eastAsia="Calibri"/>
                <w:sz w:val="20"/>
              </w:rPr>
              <w:t>(Juge Graesser)</w:t>
            </w:r>
          </w:p>
          <w:p w:rsidR="00012EB9" w:rsidRPr="00330CC4" w:rsidRDefault="00012EB9" w:rsidP="007732B1">
            <w:pPr>
              <w:jc w:val="both"/>
              <w:rPr>
                <w:rFonts w:eastAsia="Calibri"/>
                <w:sz w:val="20"/>
              </w:rPr>
            </w:pPr>
            <w:r w:rsidRPr="00330CC4">
              <w:rPr>
                <w:rFonts w:eastAsia="Calibri"/>
                <w:sz w:val="20"/>
              </w:rPr>
              <w:t xml:space="preserve"> </w:t>
            </w:r>
          </w:p>
        </w:tc>
        <w:tc>
          <w:tcPr>
            <w:tcW w:w="243" w:type="pct"/>
          </w:tcPr>
          <w:p w:rsidR="00012EB9" w:rsidRPr="00330CC4" w:rsidRDefault="00012EB9" w:rsidP="007732B1">
            <w:pPr>
              <w:jc w:val="both"/>
              <w:rPr>
                <w:rFonts w:eastAsia="Calibri"/>
                <w:sz w:val="20"/>
              </w:rPr>
            </w:pPr>
          </w:p>
        </w:tc>
        <w:tc>
          <w:tcPr>
            <w:tcW w:w="2330" w:type="pct"/>
          </w:tcPr>
          <w:p w:rsidR="00012EB9" w:rsidRPr="00330CC4" w:rsidRDefault="00012EB9" w:rsidP="007732B1">
            <w:pPr>
              <w:jc w:val="both"/>
              <w:rPr>
                <w:rFonts w:eastAsia="Calibri"/>
                <w:sz w:val="20"/>
                <w:lang w:val="fr-CA"/>
              </w:rPr>
            </w:pPr>
            <w:r w:rsidRPr="00330CC4">
              <w:rPr>
                <w:rFonts w:eastAsia="Calibri"/>
                <w:sz w:val="20"/>
                <w:lang w:val="fr-CA"/>
              </w:rPr>
              <w:t>Déclaration de culpabilité: meurtre au deuxième degré</w:t>
            </w:r>
          </w:p>
          <w:p w:rsidR="00012EB9" w:rsidRPr="00330CC4" w:rsidRDefault="00012EB9" w:rsidP="007732B1">
            <w:pPr>
              <w:jc w:val="both"/>
              <w:rPr>
                <w:rFonts w:eastAsia="Calibri"/>
                <w:sz w:val="20"/>
                <w:lang w:val="fr-CA"/>
              </w:rPr>
            </w:pPr>
          </w:p>
        </w:tc>
      </w:tr>
      <w:tr w:rsidR="00012EB9" w:rsidRPr="00330CC4" w:rsidTr="007732B1">
        <w:tc>
          <w:tcPr>
            <w:tcW w:w="2427" w:type="pct"/>
          </w:tcPr>
          <w:p w:rsidR="00012EB9" w:rsidRPr="00330CC4" w:rsidRDefault="00012EB9" w:rsidP="007732B1">
            <w:pPr>
              <w:jc w:val="both"/>
              <w:rPr>
                <w:rFonts w:eastAsia="Calibri"/>
                <w:sz w:val="20"/>
                <w:lang w:val="fr-CA"/>
              </w:rPr>
            </w:pPr>
            <w:r w:rsidRPr="00330CC4">
              <w:rPr>
                <w:rFonts w:eastAsia="Calibri"/>
                <w:sz w:val="20"/>
                <w:lang w:val="fr-CA"/>
              </w:rPr>
              <w:t>28 février 2014</w:t>
            </w:r>
          </w:p>
          <w:p w:rsidR="00012EB9" w:rsidRPr="00330CC4" w:rsidRDefault="00012EB9" w:rsidP="007732B1">
            <w:pPr>
              <w:jc w:val="both"/>
              <w:rPr>
                <w:rFonts w:eastAsia="Calibri"/>
                <w:sz w:val="20"/>
                <w:lang w:val="fr-CA"/>
              </w:rPr>
            </w:pPr>
            <w:r w:rsidRPr="00330CC4">
              <w:rPr>
                <w:rFonts w:eastAsia="Calibri"/>
                <w:sz w:val="20"/>
                <w:lang w:val="fr-CA"/>
              </w:rPr>
              <w:t>Cour d’appel de l’Alberta (Edmonton)</w:t>
            </w:r>
          </w:p>
          <w:p w:rsidR="00012EB9" w:rsidRPr="00330CC4" w:rsidRDefault="00012EB9" w:rsidP="007732B1">
            <w:pPr>
              <w:jc w:val="both"/>
              <w:rPr>
                <w:rFonts w:eastAsia="Calibri"/>
                <w:sz w:val="20"/>
                <w:lang w:val="fr-CA"/>
              </w:rPr>
            </w:pPr>
            <w:r w:rsidRPr="00330CC4">
              <w:rPr>
                <w:rFonts w:eastAsia="Calibri"/>
                <w:sz w:val="20"/>
                <w:lang w:val="fr-CA"/>
              </w:rPr>
              <w:t>(Juges Berger [dissident], Martin et Bielby)</w:t>
            </w:r>
          </w:p>
          <w:p w:rsidR="00012EB9" w:rsidRPr="00330CC4" w:rsidRDefault="00012EB9" w:rsidP="007732B1">
            <w:pPr>
              <w:jc w:val="both"/>
              <w:rPr>
                <w:rFonts w:eastAsia="Calibri"/>
                <w:sz w:val="20"/>
              </w:rPr>
            </w:pPr>
            <w:r w:rsidRPr="00330CC4">
              <w:rPr>
                <w:rFonts w:eastAsia="Calibri"/>
                <w:sz w:val="20"/>
              </w:rPr>
              <w:t xml:space="preserve">1103-0173-A, </w:t>
            </w:r>
            <w:hyperlink r:id="rId34" w:history="1">
              <w:r w:rsidRPr="00330CC4">
                <w:rPr>
                  <w:rFonts w:eastAsia="Calibri"/>
                  <w:color w:val="0000FF"/>
                  <w:sz w:val="20"/>
                  <w:u w:val="single"/>
                </w:rPr>
                <w:t>2014 ABCA 85</w:t>
              </w:r>
            </w:hyperlink>
          </w:p>
          <w:p w:rsidR="00012EB9" w:rsidRPr="00330CC4" w:rsidRDefault="00012EB9" w:rsidP="007732B1">
            <w:pPr>
              <w:jc w:val="both"/>
              <w:rPr>
                <w:rFonts w:eastAsia="Calibri"/>
                <w:sz w:val="20"/>
              </w:rPr>
            </w:pPr>
          </w:p>
        </w:tc>
        <w:tc>
          <w:tcPr>
            <w:tcW w:w="243" w:type="pct"/>
          </w:tcPr>
          <w:p w:rsidR="00012EB9" w:rsidRPr="00330CC4" w:rsidRDefault="00012EB9" w:rsidP="007732B1">
            <w:pPr>
              <w:jc w:val="both"/>
              <w:rPr>
                <w:rFonts w:eastAsia="Calibri"/>
                <w:sz w:val="20"/>
              </w:rPr>
            </w:pPr>
          </w:p>
        </w:tc>
        <w:tc>
          <w:tcPr>
            <w:tcW w:w="2330" w:type="pct"/>
          </w:tcPr>
          <w:p w:rsidR="00012EB9" w:rsidRPr="00330CC4" w:rsidRDefault="00012EB9" w:rsidP="007732B1">
            <w:pPr>
              <w:jc w:val="both"/>
              <w:rPr>
                <w:rFonts w:eastAsia="Calibri"/>
                <w:sz w:val="20"/>
              </w:rPr>
            </w:pPr>
            <w:r w:rsidRPr="00330CC4">
              <w:rPr>
                <w:rFonts w:eastAsia="Calibri"/>
                <w:sz w:val="20"/>
              </w:rPr>
              <w:t>Appel rejeté</w:t>
            </w:r>
          </w:p>
          <w:p w:rsidR="00012EB9" w:rsidRPr="00330CC4" w:rsidRDefault="00012EB9" w:rsidP="007732B1">
            <w:pPr>
              <w:jc w:val="both"/>
              <w:rPr>
                <w:rFonts w:eastAsia="Calibri"/>
                <w:sz w:val="20"/>
              </w:rPr>
            </w:pPr>
          </w:p>
        </w:tc>
      </w:tr>
      <w:tr w:rsidR="00012EB9" w:rsidRPr="00F677DC" w:rsidTr="007732B1">
        <w:tc>
          <w:tcPr>
            <w:tcW w:w="2427" w:type="pct"/>
          </w:tcPr>
          <w:p w:rsidR="00012EB9" w:rsidRPr="00330CC4" w:rsidRDefault="00012EB9" w:rsidP="007732B1">
            <w:pPr>
              <w:jc w:val="both"/>
              <w:rPr>
                <w:rFonts w:eastAsia="Calibri"/>
                <w:sz w:val="20"/>
              </w:rPr>
            </w:pPr>
            <w:r w:rsidRPr="00330CC4">
              <w:rPr>
                <w:rFonts w:eastAsia="Calibri"/>
                <w:sz w:val="20"/>
              </w:rPr>
              <w:t>28 mai 2014</w:t>
            </w:r>
          </w:p>
          <w:p w:rsidR="00012EB9" w:rsidRPr="00330CC4" w:rsidRDefault="00012EB9" w:rsidP="007732B1">
            <w:pPr>
              <w:jc w:val="both"/>
              <w:rPr>
                <w:rFonts w:eastAsia="Calibri"/>
                <w:sz w:val="20"/>
              </w:rPr>
            </w:pPr>
            <w:r w:rsidRPr="00330CC4">
              <w:rPr>
                <w:rFonts w:eastAsia="Calibri"/>
                <w:sz w:val="20"/>
              </w:rPr>
              <w:t>Cour suprême du Canada</w:t>
            </w:r>
          </w:p>
          <w:p w:rsidR="00012EB9" w:rsidRPr="00330CC4" w:rsidRDefault="00012EB9" w:rsidP="007732B1">
            <w:pPr>
              <w:jc w:val="both"/>
              <w:rPr>
                <w:rFonts w:eastAsia="Calibri"/>
                <w:sz w:val="20"/>
              </w:rPr>
            </w:pPr>
          </w:p>
        </w:tc>
        <w:tc>
          <w:tcPr>
            <w:tcW w:w="243" w:type="pct"/>
          </w:tcPr>
          <w:p w:rsidR="00012EB9" w:rsidRPr="00330CC4" w:rsidRDefault="00012EB9" w:rsidP="007732B1">
            <w:pPr>
              <w:jc w:val="both"/>
              <w:rPr>
                <w:rFonts w:eastAsia="Calibri"/>
                <w:sz w:val="20"/>
              </w:rPr>
            </w:pPr>
          </w:p>
        </w:tc>
        <w:tc>
          <w:tcPr>
            <w:tcW w:w="2330" w:type="pct"/>
          </w:tcPr>
          <w:p w:rsidR="00012EB9" w:rsidRPr="00330CC4" w:rsidRDefault="00012EB9" w:rsidP="007732B1">
            <w:pPr>
              <w:jc w:val="both"/>
              <w:rPr>
                <w:rFonts w:eastAsia="Calibri"/>
                <w:sz w:val="20"/>
                <w:lang w:val="fr-CA"/>
              </w:rPr>
            </w:pPr>
            <w:r w:rsidRPr="00330CC4">
              <w:rPr>
                <w:rFonts w:eastAsia="Calibri"/>
                <w:sz w:val="20"/>
                <w:lang w:val="fr-CA"/>
              </w:rPr>
              <w:t xml:space="preserve">Requête en prorogation du délai de signification et de dépôt de la demande d’autorisation d’appel et demande d’autorisation d’appel, déposées </w:t>
            </w:r>
          </w:p>
          <w:p w:rsidR="00012EB9" w:rsidRPr="00330CC4" w:rsidRDefault="00012EB9" w:rsidP="007732B1">
            <w:pPr>
              <w:jc w:val="both"/>
              <w:rPr>
                <w:rFonts w:eastAsia="Calibri"/>
                <w:sz w:val="20"/>
                <w:lang w:val="fr-CA"/>
              </w:rPr>
            </w:pPr>
          </w:p>
        </w:tc>
      </w:tr>
      <w:tr w:rsidR="00012EB9" w:rsidRPr="00F677DC" w:rsidTr="007732B1">
        <w:tc>
          <w:tcPr>
            <w:tcW w:w="2427" w:type="pct"/>
          </w:tcPr>
          <w:p w:rsidR="00012EB9" w:rsidRPr="00330CC4" w:rsidRDefault="00012EB9" w:rsidP="007732B1">
            <w:pPr>
              <w:jc w:val="both"/>
              <w:rPr>
                <w:rFonts w:eastAsia="Calibri"/>
                <w:sz w:val="20"/>
                <w:lang w:val="fr-CA"/>
              </w:rPr>
            </w:pPr>
            <w:r w:rsidRPr="00330CC4">
              <w:rPr>
                <w:rFonts w:eastAsia="Calibri"/>
                <w:sz w:val="20"/>
                <w:lang w:val="fr-CA"/>
              </w:rPr>
              <w:t xml:space="preserve">19 août 2014 </w:t>
            </w:r>
          </w:p>
          <w:p w:rsidR="00012EB9" w:rsidRPr="00330CC4" w:rsidRDefault="00012EB9" w:rsidP="007732B1">
            <w:pPr>
              <w:jc w:val="both"/>
              <w:rPr>
                <w:rFonts w:eastAsia="Calibri"/>
                <w:sz w:val="20"/>
                <w:lang w:val="fr-CA"/>
              </w:rPr>
            </w:pPr>
            <w:r w:rsidRPr="00330CC4">
              <w:rPr>
                <w:rFonts w:eastAsia="Calibri"/>
                <w:sz w:val="20"/>
                <w:lang w:val="fr-CA"/>
              </w:rPr>
              <w:t>Cour suprême du Canada</w:t>
            </w:r>
          </w:p>
        </w:tc>
        <w:tc>
          <w:tcPr>
            <w:tcW w:w="243" w:type="pct"/>
          </w:tcPr>
          <w:p w:rsidR="00012EB9" w:rsidRPr="00330CC4" w:rsidRDefault="00012EB9" w:rsidP="007732B1">
            <w:pPr>
              <w:jc w:val="both"/>
              <w:rPr>
                <w:rFonts w:eastAsia="Calibri"/>
                <w:sz w:val="20"/>
                <w:lang w:val="fr-CA"/>
              </w:rPr>
            </w:pPr>
          </w:p>
        </w:tc>
        <w:tc>
          <w:tcPr>
            <w:tcW w:w="2330" w:type="pct"/>
          </w:tcPr>
          <w:p w:rsidR="00012EB9" w:rsidRPr="00330CC4" w:rsidRDefault="00012EB9" w:rsidP="007732B1">
            <w:pPr>
              <w:jc w:val="both"/>
              <w:rPr>
                <w:rFonts w:eastAsia="Calibri"/>
                <w:sz w:val="20"/>
                <w:lang w:val="fr-CA"/>
              </w:rPr>
            </w:pPr>
            <w:r w:rsidRPr="00330CC4">
              <w:rPr>
                <w:rFonts w:eastAsia="Calibri"/>
                <w:sz w:val="20"/>
                <w:lang w:val="fr-CA"/>
              </w:rPr>
              <w:t xml:space="preserve">Requête en vue d’obtenir l’autorisation de déposer une réponse à la réplique, déposée </w:t>
            </w:r>
          </w:p>
        </w:tc>
      </w:tr>
    </w:tbl>
    <w:p w:rsidR="00185470" w:rsidRPr="00012EB9" w:rsidRDefault="00185470" w:rsidP="00185470">
      <w:pPr>
        <w:rPr>
          <w:sz w:val="20"/>
          <w:szCs w:val="20"/>
          <w:lang w:val="fr-CA"/>
        </w:rPr>
      </w:pPr>
    </w:p>
    <w:p w:rsidR="00185470" w:rsidRDefault="00F677DC" w:rsidP="00185470">
      <w:pPr>
        <w:rPr>
          <w:sz w:val="20"/>
          <w:szCs w:val="20"/>
        </w:rPr>
      </w:pPr>
      <w:r>
        <w:rPr>
          <w:sz w:val="20"/>
          <w:szCs w:val="20"/>
          <w:lang w:val="fr-CA"/>
        </w:rPr>
        <w:pict>
          <v:rect id="_x0000_i1062" style="width:2in;height:1pt" o:hrpct="0" o:hralign="center" o:hrstd="t" o:hrnoshade="t" o:hr="t" fillcolor="black [3213]" stroked="f"/>
        </w:pict>
      </w:r>
    </w:p>
    <w:p w:rsidR="00185470" w:rsidRDefault="00185470" w:rsidP="00185470">
      <w:pPr>
        <w:rPr>
          <w:sz w:val="20"/>
          <w:szCs w:val="20"/>
          <w:lang w:val="fr-CA"/>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34E7B" w:rsidRPr="00834E7B" w:rsidTr="003D0C01">
        <w:trPr>
          <w:cantSplit/>
        </w:trPr>
        <w:tc>
          <w:tcPr>
            <w:tcW w:w="1458" w:type="dxa"/>
          </w:tcPr>
          <w:p w:rsidR="00834E7B" w:rsidRPr="00834E7B" w:rsidRDefault="00834E7B" w:rsidP="00834E7B">
            <w:pPr>
              <w:rPr>
                <w:sz w:val="20"/>
                <w:szCs w:val="20"/>
              </w:rPr>
            </w:pPr>
            <w:r w:rsidRPr="00834E7B">
              <w:rPr>
                <w:b/>
                <w:sz w:val="20"/>
                <w:lang w:val="fr-CA"/>
              </w:rPr>
              <w:t>35922</w:t>
            </w:r>
          </w:p>
          <w:p w:rsidR="00834E7B" w:rsidRPr="00834E7B" w:rsidRDefault="00834E7B" w:rsidP="00834E7B">
            <w:pPr>
              <w:rPr>
                <w:b/>
                <w:sz w:val="20"/>
                <w:szCs w:val="20"/>
                <w:lang w:val="fr-CA"/>
              </w:rPr>
            </w:pPr>
          </w:p>
        </w:tc>
        <w:tc>
          <w:tcPr>
            <w:tcW w:w="8118" w:type="dxa"/>
          </w:tcPr>
          <w:p w:rsidR="00834E7B" w:rsidRPr="00834E7B" w:rsidRDefault="00834E7B" w:rsidP="00834E7B">
            <w:pPr>
              <w:rPr>
                <w:sz w:val="20"/>
                <w:szCs w:val="20"/>
              </w:rPr>
            </w:pPr>
            <w:r w:rsidRPr="00834E7B">
              <w:rPr>
                <w:b/>
                <w:sz w:val="20"/>
                <w:u w:val="single"/>
              </w:rPr>
              <w:t>Joseph Stephen Rooke v. University of Waterloo</w:t>
            </w:r>
            <w:r w:rsidRPr="00834E7B">
              <w:rPr>
                <w:sz w:val="20"/>
                <w:szCs w:val="20"/>
              </w:rPr>
              <w:t xml:space="preserve"> (Ont.) (Civil) (By Leave)</w:t>
            </w:r>
          </w:p>
          <w:p w:rsidR="00834E7B" w:rsidRPr="00834E7B" w:rsidRDefault="00834E7B" w:rsidP="00834E7B">
            <w:pPr>
              <w:rPr>
                <w:sz w:val="20"/>
                <w:szCs w:val="20"/>
              </w:rPr>
            </w:pPr>
          </w:p>
        </w:tc>
      </w:tr>
      <w:tr w:rsidR="00834E7B" w:rsidRPr="00834E7B" w:rsidTr="003D0C01">
        <w:trPr>
          <w:cantSplit/>
        </w:trPr>
        <w:tc>
          <w:tcPr>
            <w:tcW w:w="1458" w:type="dxa"/>
          </w:tcPr>
          <w:p w:rsidR="00834E7B" w:rsidRPr="00834E7B" w:rsidRDefault="00834E7B" w:rsidP="00834E7B">
            <w:pPr>
              <w:rPr>
                <w:sz w:val="20"/>
                <w:szCs w:val="20"/>
              </w:rPr>
            </w:pPr>
            <w:r w:rsidRPr="00834E7B">
              <w:rPr>
                <w:sz w:val="20"/>
                <w:szCs w:val="20"/>
              </w:rPr>
              <w:t>Coram :</w:t>
            </w:r>
          </w:p>
        </w:tc>
        <w:tc>
          <w:tcPr>
            <w:tcW w:w="8118" w:type="dxa"/>
          </w:tcPr>
          <w:p w:rsidR="00834E7B" w:rsidRPr="00834E7B" w:rsidRDefault="00834E7B" w:rsidP="00834E7B">
            <w:pPr>
              <w:rPr>
                <w:sz w:val="20"/>
                <w:szCs w:val="20"/>
              </w:rPr>
            </w:pPr>
            <w:r w:rsidRPr="00834E7B">
              <w:rPr>
                <w:sz w:val="20"/>
                <w:u w:val="single"/>
              </w:rPr>
              <w:t>Abella, Rothstein and Moldaver JJ.</w:t>
            </w:r>
          </w:p>
          <w:p w:rsidR="00834E7B" w:rsidRPr="00834E7B" w:rsidRDefault="00834E7B" w:rsidP="00834E7B">
            <w:pPr>
              <w:rPr>
                <w:sz w:val="20"/>
                <w:szCs w:val="20"/>
                <w:u w:val="single"/>
              </w:rPr>
            </w:pPr>
          </w:p>
        </w:tc>
      </w:tr>
      <w:tr w:rsidR="00834E7B" w:rsidRPr="00F677DC" w:rsidTr="003D0C01">
        <w:trPr>
          <w:cantSplit/>
        </w:trPr>
        <w:tc>
          <w:tcPr>
            <w:tcW w:w="9576" w:type="dxa"/>
            <w:gridSpan w:val="2"/>
          </w:tcPr>
          <w:p w:rsidR="00834E7B" w:rsidRPr="00834E7B" w:rsidRDefault="00834E7B" w:rsidP="00834E7B">
            <w:pPr>
              <w:ind w:firstLine="720"/>
              <w:jc w:val="both"/>
              <w:rPr>
                <w:sz w:val="20"/>
                <w:szCs w:val="20"/>
              </w:rPr>
            </w:pPr>
            <w:r w:rsidRPr="00834E7B">
              <w:rPr>
                <w:sz w:val="20"/>
                <w:szCs w:val="20"/>
              </w:rPr>
              <w:t>The motion for an extension of time to serve and file the application for leave to appeal from the judgment of the Court of Appeal for Ontario, Number C55978, 2013 ONCA 527, dated August 22, 2013 is dismissed without costs.  In any event, had such a motion been granted, the application for leave to appeal and the motion to file a lengthy memorandum would have been dismissed.</w:t>
            </w:r>
          </w:p>
          <w:p w:rsidR="00834E7B" w:rsidRPr="00834E7B" w:rsidRDefault="00834E7B" w:rsidP="00834E7B">
            <w:pPr>
              <w:jc w:val="both"/>
              <w:rPr>
                <w:sz w:val="20"/>
                <w:szCs w:val="20"/>
              </w:rPr>
            </w:pPr>
          </w:p>
          <w:p w:rsidR="00834E7B" w:rsidRPr="00834E7B" w:rsidRDefault="00834E7B" w:rsidP="00834E7B">
            <w:pPr>
              <w:ind w:firstLine="720"/>
              <w:jc w:val="both"/>
              <w:rPr>
                <w:sz w:val="20"/>
                <w:szCs w:val="20"/>
                <w:lang w:val="fr-CA"/>
              </w:rPr>
            </w:pPr>
            <w:r w:rsidRPr="00834E7B">
              <w:rPr>
                <w:sz w:val="20"/>
                <w:szCs w:val="20"/>
                <w:lang w:val="fr-CA"/>
              </w:rPr>
              <w:t>La requête en prorogation du délai de signification et de dépôt de la demande d’autorisation d’appel de l’arrêt de la Cour d’appel de l’Ontario, numéro C55978, 2013 ONCA 527, daté du 22 août 2013, est rejetée sans dépens. Quoiqu’il en soit, même si la requête avait été accueillie, la demande d’autorisation d’appel et la requête par déposer un mémoire volumineux auraient été rejetées.</w:t>
            </w:r>
          </w:p>
        </w:tc>
      </w:tr>
    </w:tbl>
    <w:p w:rsidR="00185470" w:rsidRPr="0016547E" w:rsidRDefault="00185470" w:rsidP="00185470">
      <w:pPr>
        <w:rPr>
          <w:sz w:val="20"/>
          <w:szCs w:val="20"/>
          <w:lang w:val="fr-CA"/>
        </w:rPr>
      </w:pPr>
    </w:p>
    <w:p w:rsidR="00185470" w:rsidRPr="001B157C" w:rsidRDefault="00185470" w:rsidP="00185470">
      <w:pPr>
        <w:rPr>
          <w:sz w:val="20"/>
          <w:szCs w:val="20"/>
          <w:u w:val="single"/>
        </w:rPr>
      </w:pPr>
      <w:r w:rsidRPr="001B157C">
        <w:rPr>
          <w:sz w:val="20"/>
          <w:szCs w:val="20"/>
          <w:u w:val="single"/>
        </w:rPr>
        <w:t>CASE SUMMARY</w:t>
      </w:r>
    </w:p>
    <w:p w:rsidR="00185470" w:rsidRDefault="00185470" w:rsidP="0018547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A1E2B" w:rsidRPr="00330CC4" w:rsidTr="007732B1">
        <w:tc>
          <w:tcPr>
            <w:tcW w:w="5000" w:type="pct"/>
            <w:gridSpan w:val="3"/>
          </w:tcPr>
          <w:p w:rsidR="004A1E2B" w:rsidRPr="00330CC4" w:rsidRDefault="004A1E2B" w:rsidP="007732B1">
            <w:pPr>
              <w:jc w:val="both"/>
              <w:rPr>
                <w:sz w:val="20"/>
                <w:lang w:eastAsia="en-CA"/>
              </w:rPr>
            </w:pPr>
            <w:r w:rsidRPr="00330CC4">
              <w:rPr>
                <w:i/>
                <w:sz w:val="20"/>
                <w:lang w:eastAsia="en-CA"/>
              </w:rPr>
              <w:t>Charter of Rights</w:t>
            </w:r>
            <w:r w:rsidRPr="00330CC4">
              <w:rPr>
                <w:sz w:val="20"/>
                <w:lang w:eastAsia="en-CA"/>
              </w:rPr>
              <w:t xml:space="preserve"> – Constitutional law – Aboriginal peoples – Canadian institutions – Applicant seeking declaration that university policy imposing obligation on all students to purchase supplementary health and dental coverage was in violation of his </w:t>
            </w:r>
            <w:r w:rsidRPr="00330CC4">
              <w:rPr>
                <w:i/>
                <w:sz w:val="20"/>
                <w:lang w:eastAsia="en-CA"/>
              </w:rPr>
              <w:t>Charter</w:t>
            </w:r>
            <w:r w:rsidRPr="00330CC4">
              <w:rPr>
                <w:sz w:val="20"/>
                <w:lang w:eastAsia="en-CA"/>
              </w:rPr>
              <w:t xml:space="preserve"> rights – Whether University denied or infringed applicant’s s. 24(1) </w:t>
            </w:r>
            <w:r w:rsidRPr="00330CC4">
              <w:rPr>
                <w:i/>
                <w:sz w:val="20"/>
                <w:lang w:eastAsia="en-CA"/>
              </w:rPr>
              <w:t xml:space="preserve">Charter </w:t>
            </w:r>
            <w:r w:rsidRPr="00330CC4">
              <w:rPr>
                <w:sz w:val="20"/>
                <w:lang w:eastAsia="en-CA"/>
              </w:rPr>
              <w:t xml:space="preserve">rights as status Indian – Whether motions judge rendered proper and just decision based on “doctrine of mootness” consistent with </w:t>
            </w:r>
            <w:r w:rsidRPr="00330CC4">
              <w:rPr>
                <w:i/>
                <w:sz w:val="20"/>
                <w:lang w:eastAsia="en-CA"/>
              </w:rPr>
              <w:t xml:space="preserve">Charter </w:t>
            </w:r>
            <w:r w:rsidRPr="00330CC4">
              <w:rPr>
                <w:sz w:val="20"/>
                <w:lang w:eastAsia="en-CA"/>
              </w:rPr>
              <w:t>– Whether decision of appellate court should be quashed and matter returned Court of Appeal with directions.</w:t>
            </w:r>
          </w:p>
        </w:tc>
      </w:tr>
      <w:tr w:rsidR="004A1E2B" w:rsidRPr="00330CC4" w:rsidTr="007732B1">
        <w:tc>
          <w:tcPr>
            <w:tcW w:w="5000" w:type="pct"/>
            <w:gridSpan w:val="3"/>
          </w:tcPr>
          <w:p w:rsidR="004A1E2B" w:rsidRPr="00330CC4" w:rsidRDefault="004A1E2B" w:rsidP="007732B1">
            <w:pPr>
              <w:jc w:val="both"/>
              <w:rPr>
                <w:rFonts w:eastAsia="Calibri"/>
                <w:sz w:val="20"/>
              </w:rPr>
            </w:pPr>
          </w:p>
        </w:tc>
      </w:tr>
      <w:tr w:rsidR="004A1E2B" w:rsidRPr="00330CC4" w:rsidTr="007732B1">
        <w:tc>
          <w:tcPr>
            <w:tcW w:w="5000" w:type="pct"/>
            <w:gridSpan w:val="3"/>
          </w:tcPr>
          <w:p w:rsidR="004A1E2B" w:rsidRPr="00330CC4" w:rsidRDefault="004A1E2B" w:rsidP="007732B1">
            <w:pPr>
              <w:jc w:val="both"/>
              <w:rPr>
                <w:rFonts w:eastAsia="Calibri"/>
                <w:sz w:val="20"/>
              </w:rPr>
            </w:pPr>
            <w:r w:rsidRPr="00330CC4">
              <w:rPr>
                <w:rFonts w:eastAsia="Calibri"/>
                <w:sz w:val="20"/>
              </w:rPr>
              <w:t xml:space="preserve">Mr. Rooke brought an application to have a University of Waterloo policy requiring all students to purchase its supplementary health and dental coverage, declared a violation of his rights as a status Indian under the </w:t>
            </w:r>
            <w:r w:rsidRPr="00330CC4">
              <w:rPr>
                <w:rFonts w:eastAsia="Calibri"/>
                <w:i/>
                <w:sz w:val="20"/>
              </w:rPr>
              <w:t>Charter.</w:t>
            </w:r>
          </w:p>
          <w:p w:rsidR="004A1E2B" w:rsidRPr="00330CC4" w:rsidRDefault="004A1E2B" w:rsidP="007732B1">
            <w:pPr>
              <w:jc w:val="both"/>
              <w:rPr>
                <w:rFonts w:eastAsia="Calibri"/>
                <w:sz w:val="20"/>
              </w:rPr>
            </w:pPr>
          </w:p>
        </w:tc>
      </w:tr>
      <w:tr w:rsidR="004A1E2B" w:rsidRPr="00330CC4" w:rsidTr="007732B1">
        <w:trPr>
          <w:cantSplit/>
        </w:trPr>
        <w:tc>
          <w:tcPr>
            <w:tcW w:w="2427" w:type="pct"/>
          </w:tcPr>
          <w:p w:rsidR="004A1E2B" w:rsidRPr="00330CC4" w:rsidRDefault="004A1E2B" w:rsidP="007732B1">
            <w:pPr>
              <w:jc w:val="both"/>
              <w:rPr>
                <w:rFonts w:eastAsia="Calibri"/>
                <w:sz w:val="20"/>
              </w:rPr>
            </w:pPr>
            <w:r w:rsidRPr="00330CC4">
              <w:rPr>
                <w:rFonts w:eastAsia="Calibri"/>
                <w:sz w:val="20"/>
              </w:rPr>
              <w:lastRenderedPageBreak/>
              <w:t>July 23, 2012</w:t>
            </w:r>
          </w:p>
          <w:p w:rsidR="004A1E2B" w:rsidRPr="00330CC4" w:rsidRDefault="004A1E2B" w:rsidP="007732B1">
            <w:pPr>
              <w:jc w:val="both"/>
              <w:rPr>
                <w:rFonts w:eastAsia="Calibri"/>
                <w:sz w:val="20"/>
              </w:rPr>
            </w:pPr>
            <w:r w:rsidRPr="00330CC4">
              <w:rPr>
                <w:rFonts w:eastAsia="Calibri"/>
                <w:sz w:val="20"/>
              </w:rPr>
              <w:t>Ontario Superior Court of Justice</w:t>
            </w:r>
          </w:p>
          <w:p w:rsidR="004A1E2B" w:rsidRPr="00330CC4" w:rsidRDefault="004A1E2B" w:rsidP="007732B1">
            <w:pPr>
              <w:jc w:val="both"/>
              <w:rPr>
                <w:rFonts w:eastAsia="Calibri"/>
                <w:sz w:val="20"/>
              </w:rPr>
            </w:pPr>
            <w:r w:rsidRPr="00330CC4">
              <w:rPr>
                <w:rFonts w:eastAsia="Calibri"/>
                <w:sz w:val="20"/>
              </w:rPr>
              <w:t>(Flynn J.)</w:t>
            </w:r>
          </w:p>
          <w:p w:rsidR="004A1E2B" w:rsidRPr="00330CC4" w:rsidRDefault="004A1E2B" w:rsidP="007732B1">
            <w:pPr>
              <w:jc w:val="both"/>
              <w:rPr>
                <w:rFonts w:eastAsia="Calibri"/>
                <w:sz w:val="20"/>
              </w:rPr>
            </w:pPr>
            <w:r w:rsidRPr="00330CC4">
              <w:rPr>
                <w:rFonts w:eastAsia="Calibri"/>
                <w:sz w:val="20"/>
              </w:rPr>
              <w:t>Unreported</w:t>
            </w:r>
          </w:p>
          <w:p w:rsidR="004A1E2B" w:rsidRPr="00330CC4" w:rsidRDefault="004A1E2B" w:rsidP="007732B1">
            <w:pPr>
              <w:jc w:val="both"/>
              <w:rPr>
                <w:rFonts w:eastAsia="Calibri"/>
                <w:sz w:val="20"/>
              </w:rPr>
            </w:pPr>
          </w:p>
        </w:tc>
        <w:tc>
          <w:tcPr>
            <w:tcW w:w="243" w:type="pct"/>
          </w:tcPr>
          <w:p w:rsidR="004A1E2B" w:rsidRPr="00330CC4" w:rsidRDefault="004A1E2B" w:rsidP="007732B1">
            <w:pPr>
              <w:jc w:val="both"/>
              <w:rPr>
                <w:rFonts w:eastAsia="Calibri"/>
                <w:sz w:val="20"/>
              </w:rPr>
            </w:pPr>
          </w:p>
        </w:tc>
        <w:tc>
          <w:tcPr>
            <w:tcW w:w="2330" w:type="pct"/>
          </w:tcPr>
          <w:p w:rsidR="004A1E2B" w:rsidRPr="00330CC4" w:rsidRDefault="004A1E2B" w:rsidP="007732B1">
            <w:pPr>
              <w:jc w:val="both"/>
              <w:rPr>
                <w:rFonts w:eastAsia="Calibri"/>
                <w:sz w:val="20"/>
              </w:rPr>
            </w:pPr>
            <w:r w:rsidRPr="00330CC4">
              <w:rPr>
                <w:rFonts w:eastAsia="Calibri"/>
                <w:sz w:val="20"/>
              </w:rPr>
              <w:t>Applicant’s application for declaration dismissed</w:t>
            </w:r>
          </w:p>
          <w:p w:rsidR="004A1E2B" w:rsidRPr="00330CC4" w:rsidRDefault="004A1E2B" w:rsidP="007732B1">
            <w:pPr>
              <w:jc w:val="both"/>
              <w:rPr>
                <w:rFonts w:eastAsia="Calibri"/>
                <w:sz w:val="20"/>
              </w:rPr>
            </w:pPr>
          </w:p>
          <w:p w:rsidR="004A1E2B" w:rsidRPr="00330CC4" w:rsidRDefault="004A1E2B" w:rsidP="007732B1">
            <w:pPr>
              <w:jc w:val="both"/>
              <w:rPr>
                <w:rFonts w:eastAsia="Calibri"/>
                <w:sz w:val="20"/>
              </w:rPr>
            </w:pPr>
          </w:p>
        </w:tc>
      </w:tr>
      <w:tr w:rsidR="004A1E2B" w:rsidRPr="00330CC4" w:rsidTr="007732B1">
        <w:trPr>
          <w:cantSplit/>
        </w:trPr>
        <w:tc>
          <w:tcPr>
            <w:tcW w:w="2427" w:type="pct"/>
          </w:tcPr>
          <w:p w:rsidR="004A1E2B" w:rsidRPr="00330CC4" w:rsidRDefault="004A1E2B" w:rsidP="007732B1">
            <w:pPr>
              <w:jc w:val="both"/>
              <w:rPr>
                <w:rFonts w:eastAsia="Calibri"/>
                <w:sz w:val="20"/>
              </w:rPr>
            </w:pPr>
            <w:r w:rsidRPr="00330CC4">
              <w:rPr>
                <w:rFonts w:eastAsia="Calibri"/>
                <w:sz w:val="20"/>
              </w:rPr>
              <w:t>August 2</w:t>
            </w:r>
            <w:r>
              <w:rPr>
                <w:rFonts w:eastAsia="Calibri"/>
                <w:sz w:val="20"/>
              </w:rPr>
              <w:t>2</w:t>
            </w:r>
            <w:r w:rsidRPr="00330CC4">
              <w:rPr>
                <w:rFonts w:eastAsia="Calibri"/>
                <w:sz w:val="20"/>
              </w:rPr>
              <w:t>, 2013</w:t>
            </w:r>
          </w:p>
          <w:p w:rsidR="004A1E2B" w:rsidRPr="00330CC4" w:rsidRDefault="004A1E2B" w:rsidP="007732B1">
            <w:pPr>
              <w:jc w:val="both"/>
              <w:rPr>
                <w:rFonts w:eastAsia="Calibri"/>
                <w:sz w:val="20"/>
              </w:rPr>
            </w:pPr>
            <w:r w:rsidRPr="00330CC4">
              <w:rPr>
                <w:rFonts w:eastAsia="Calibri"/>
                <w:sz w:val="20"/>
              </w:rPr>
              <w:t>Court of Appeal for Ontario</w:t>
            </w:r>
          </w:p>
          <w:p w:rsidR="004A1E2B" w:rsidRPr="00330CC4" w:rsidRDefault="004A1E2B" w:rsidP="007732B1">
            <w:pPr>
              <w:jc w:val="both"/>
              <w:rPr>
                <w:rFonts w:eastAsia="Calibri"/>
                <w:sz w:val="20"/>
              </w:rPr>
            </w:pPr>
            <w:r w:rsidRPr="00330CC4">
              <w:rPr>
                <w:rFonts w:eastAsia="Calibri"/>
                <w:sz w:val="20"/>
              </w:rPr>
              <w:t>(Goudge, Watt and Pepall JJ.A.)</w:t>
            </w:r>
          </w:p>
          <w:p w:rsidR="004A1E2B" w:rsidRPr="00330CC4" w:rsidRDefault="004A1E2B" w:rsidP="007732B1">
            <w:pPr>
              <w:jc w:val="both"/>
              <w:rPr>
                <w:rFonts w:eastAsia="Calibri"/>
                <w:sz w:val="20"/>
              </w:rPr>
            </w:pPr>
          </w:p>
        </w:tc>
        <w:tc>
          <w:tcPr>
            <w:tcW w:w="243" w:type="pct"/>
          </w:tcPr>
          <w:p w:rsidR="004A1E2B" w:rsidRPr="00330CC4" w:rsidRDefault="004A1E2B" w:rsidP="007732B1">
            <w:pPr>
              <w:jc w:val="both"/>
              <w:rPr>
                <w:rFonts w:eastAsia="Calibri"/>
                <w:sz w:val="20"/>
              </w:rPr>
            </w:pPr>
          </w:p>
        </w:tc>
        <w:tc>
          <w:tcPr>
            <w:tcW w:w="2330" w:type="pct"/>
          </w:tcPr>
          <w:p w:rsidR="004A1E2B" w:rsidRPr="00330CC4" w:rsidRDefault="004A1E2B" w:rsidP="007732B1">
            <w:pPr>
              <w:jc w:val="both"/>
              <w:rPr>
                <w:rFonts w:eastAsia="Calibri"/>
                <w:sz w:val="20"/>
              </w:rPr>
            </w:pPr>
            <w:r w:rsidRPr="00330CC4">
              <w:rPr>
                <w:rFonts w:eastAsia="Calibri"/>
                <w:sz w:val="20"/>
              </w:rPr>
              <w:t>Appeal dismissed</w:t>
            </w:r>
          </w:p>
          <w:p w:rsidR="004A1E2B" w:rsidRPr="00330CC4" w:rsidRDefault="004A1E2B" w:rsidP="007732B1">
            <w:pPr>
              <w:jc w:val="both"/>
              <w:rPr>
                <w:rFonts w:eastAsia="Calibri"/>
                <w:sz w:val="20"/>
              </w:rPr>
            </w:pPr>
          </w:p>
        </w:tc>
      </w:tr>
      <w:tr w:rsidR="004A1E2B" w:rsidRPr="00330CC4" w:rsidTr="007732B1">
        <w:trPr>
          <w:cantSplit/>
        </w:trPr>
        <w:tc>
          <w:tcPr>
            <w:tcW w:w="2427" w:type="pct"/>
          </w:tcPr>
          <w:p w:rsidR="004A1E2B" w:rsidRPr="00330CC4" w:rsidRDefault="004A1E2B" w:rsidP="007732B1">
            <w:pPr>
              <w:jc w:val="both"/>
              <w:rPr>
                <w:rFonts w:eastAsia="Calibri"/>
                <w:sz w:val="20"/>
              </w:rPr>
            </w:pPr>
            <w:r w:rsidRPr="00330CC4">
              <w:rPr>
                <w:rFonts w:eastAsia="Calibri"/>
                <w:sz w:val="20"/>
              </w:rPr>
              <w:t>May 8, 2014</w:t>
            </w:r>
          </w:p>
          <w:p w:rsidR="004A1E2B" w:rsidRPr="00330CC4" w:rsidRDefault="004A1E2B" w:rsidP="007732B1">
            <w:pPr>
              <w:jc w:val="both"/>
              <w:rPr>
                <w:rFonts w:eastAsia="Calibri"/>
                <w:sz w:val="20"/>
              </w:rPr>
            </w:pPr>
            <w:r w:rsidRPr="00330CC4">
              <w:rPr>
                <w:rFonts w:eastAsia="Calibri"/>
                <w:sz w:val="20"/>
              </w:rPr>
              <w:t>Supreme Court of Canada</w:t>
            </w:r>
          </w:p>
          <w:p w:rsidR="004A1E2B" w:rsidRPr="00330CC4" w:rsidRDefault="004A1E2B" w:rsidP="007732B1">
            <w:pPr>
              <w:jc w:val="both"/>
              <w:rPr>
                <w:rFonts w:eastAsia="Calibri"/>
                <w:sz w:val="20"/>
              </w:rPr>
            </w:pPr>
          </w:p>
        </w:tc>
        <w:tc>
          <w:tcPr>
            <w:tcW w:w="243" w:type="pct"/>
          </w:tcPr>
          <w:p w:rsidR="004A1E2B" w:rsidRPr="00330CC4" w:rsidRDefault="004A1E2B" w:rsidP="007732B1">
            <w:pPr>
              <w:jc w:val="both"/>
              <w:rPr>
                <w:rFonts w:eastAsia="Calibri"/>
                <w:sz w:val="20"/>
              </w:rPr>
            </w:pPr>
          </w:p>
        </w:tc>
        <w:tc>
          <w:tcPr>
            <w:tcW w:w="2330" w:type="pct"/>
          </w:tcPr>
          <w:p w:rsidR="004A1E2B" w:rsidRPr="00330CC4" w:rsidRDefault="004A1E2B" w:rsidP="007732B1">
            <w:pPr>
              <w:jc w:val="both"/>
              <w:rPr>
                <w:rFonts w:eastAsia="Calibri"/>
                <w:sz w:val="20"/>
              </w:rPr>
            </w:pPr>
            <w:r w:rsidRPr="00330CC4">
              <w:rPr>
                <w:rFonts w:eastAsia="Calibri"/>
                <w:sz w:val="20"/>
              </w:rPr>
              <w:t>Application for leave to appeal filed</w:t>
            </w:r>
          </w:p>
          <w:p w:rsidR="004A1E2B" w:rsidRPr="00330CC4" w:rsidRDefault="004A1E2B" w:rsidP="007732B1">
            <w:pPr>
              <w:jc w:val="both"/>
              <w:rPr>
                <w:rFonts w:eastAsia="Calibri"/>
                <w:sz w:val="20"/>
              </w:rPr>
            </w:pPr>
          </w:p>
        </w:tc>
      </w:tr>
      <w:tr w:rsidR="004A1E2B" w:rsidRPr="00330CC4" w:rsidTr="007732B1">
        <w:trPr>
          <w:cantSplit/>
        </w:trPr>
        <w:tc>
          <w:tcPr>
            <w:tcW w:w="2427" w:type="pct"/>
          </w:tcPr>
          <w:p w:rsidR="004A1E2B" w:rsidRPr="00330CC4" w:rsidRDefault="004A1E2B" w:rsidP="007732B1">
            <w:pPr>
              <w:jc w:val="both"/>
              <w:rPr>
                <w:rFonts w:eastAsia="Calibri"/>
                <w:sz w:val="20"/>
              </w:rPr>
            </w:pPr>
            <w:r w:rsidRPr="00330CC4">
              <w:rPr>
                <w:rFonts w:eastAsia="Calibri"/>
                <w:sz w:val="20"/>
              </w:rPr>
              <w:t>June 2, 2014</w:t>
            </w:r>
          </w:p>
          <w:p w:rsidR="004A1E2B" w:rsidRPr="00330CC4" w:rsidRDefault="004A1E2B" w:rsidP="007732B1">
            <w:pPr>
              <w:jc w:val="both"/>
              <w:rPr>
                <w:rFonts w:eastAsia="Calibri"/>
                <w:sz w:val="20"/>
              </w:rPr>
            </w:pPr>
            <w:r w:rsidRPr="00330CC4">
              <w:rPr>
                <w:rFonts w:eastAsia="Calibri"/>
                <w:sz w:val="20"/>
              </w:rPr>
              <w:t>Supreme Court of Canada</w:t>
            </w:r>
          </w:p>
        </w:tc>
        <w:tc>
          <w:tcPr>
            <w:tcW w:w="243" w:type="pct"/>
          </w:tcPr>
          <w:p w:rsidR="004A1E2B" w:rsidRPr="00330CC4" w:rsidRDefault="004A1E2B" w:rsidP="007732B1">
            <w:pPr>
              <w:jc w:val="both"/>
              <w:rPr>
                <w:rFonts w:eastAsia="Calibri"/>
                <w:sz w:val="20"/>
              </w:rPr>
            </w:pPr>
          </w:p>
        </w:tc>
        <w:tc>
          <w:tcPr>
            <w:tcW w:w="2330" w:type="pct"/>
          </w:tcPr>
          <w:p w:rsidR="004A1E2B" w:rsidRPr="00330CC4" w:rsidRDefault="004A1E2B" w:rsidP="007732B1">
            <w:pPr>
              <w:jc w:val="both"/>
              <w:rPr>
                <w:rFonts w:eastAsia="Calibri"/>
                <w:sz w:val="20"/>
              </w:rPr>
            </w:pPr>
            <w:r w:rsidRPr="00330CC4">
              <w:rPr>
                <w:rFonts w:eastAsia="Calibri"/>
                <w:sz w:val="20"/>
              </w:rPr>
              <w:t>Motion to extend time to serve and file leave application filed</w:t>
            </w:r>
          </w:p>
        </w:tc>
      </w:tr>
    </w:tbl>
    <w:p w:rsidR="00185470" w:rsidRDefault="00185470" w:rsidP="00185470">
      <w:pPr>
        <w:rPr>
          <w:sz w:val="20"/>
          <w:szCs w:val="20"/>
        </w:rPr>
      </w:pPr>
    </w:p>
    <w:p w:rsidR="00185470" w:rsidRPr="00C50A5C" w:rsidRDefault="00F677DC" w:rsidP="00185470">
      <w:pPr>
        <w:rPr>
          <w:sz w:val="20"/>
          <w:szCs w:val="20"/>
        </w:rPr>
      </w:pPr>
      <w:r>
        <w:rPr>
          <w:sz w:val="20"/>
          <w:szCs w:val="20"/>
          <w:lang w:val="fr-CA"/>
        </w:rPr>
        <w:pict>
          <v:rect id="_x0000_i1063" style="width:2in;height:1pt" o:hrpct="0" o:hralign="center" o:hrstd="t" o:hrnoshade="t" o:hr="t" fillcolor="black [3213]" stroked="f"/>
        </w:pict>
      </w:r>
    </w:p>
    <w:p w:rsidR="00185470" w:rsidRDefault="00185470" w:rsidP="00185470">
      <w:pPr>
        <w:rPr>
          <w:sz w:val="20"/>
          <w:szCs w:val="20"/>
        </w:rPr>
      </w:pPr>
    </w:p>
    <w:p w:rsidR="00185470" w:rsidRPr="001B157C" w:rsidRDefault="00185470" w:rsidP="00185470">
      <w:pPr>
        <w:rPr>
          <w:sz w:val="20"/>
          <w:szCs w:val="20"/>
          <w:u w:val="single"/>
          <w:lang w:val="fr-CA"/>
        </w:rPr>
      </w:pPr>
      <w:r w:rsidRPr="001B157C">
        <w:rPr>
          <w:sz w:val="20"/>
          <w:szCs w:val="20"/>
          <w:u w:val="single"/>
          <w:lang w:val="fr-CA"/>
        </w:rPr>
        <w:t>RÉSUMÉ DE L’AFFAIRE</w:t>
      </w:r>
    </w:p>
    <w:p w:rsidR="00185470" w:rsidRDefault="00185470" w:rsidP="0018547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A1E2B" w:rsidRPr="00F677DC" w:rsidTr="007732B1">
        <w:tc>
          <w:tcPr>
            <w:tcW w:w="5000" w:type="pct"/>
            <w:gridSpan w:val="3"/>
          </w:tcPr>
          <w:p w:rsidR="004A1E2B" w:rsidRPr="00330CC4" w:rsidRDefault="004A1E2B" w:rsidP="007732B1">
            <w:pPr>
              <w:jc w:val="both"/>
              <w:rPr>
                <w:rFonts w:eastAsia="Calibri"/>
                <w:sz w:val="20"/>
                <w:lang w:val="fr-CA"/>
              </w:rPr>
            </w:pPr>
            <w:r w:rsidRPr="00330CC4">
              <w:rPr>
                <w:rFonts w:eastAsia="Calibri"/>
                <w:i/>
                <w:sz w:val="20"/>
                <w:lang w:val="fr-CA"/>
              </w:rPr>
              <w:t xml:space="preserve">Charte des droits </w:t>
            </w:r>
            <w:r w:rsidRPr="00330CC4">
              <w:rPr>
                <w:rFonts w:eastAsia="Calibri"/>
                <w:sz w:val="20"/>
                <w:lang w:val="fr-CA"/>
              </w:rPr>
              <w:t xml:space="preserve">– Droit constitutionnel – Peuples autochtones – Institutions canadiennes – Demandeur a présenté une demande pour que la directive de l’université, qui exige que tous les étudiants achètent l’assurance santé et l’assurance dentaire supplémentaires, soit déclarée contraire à ses droits à titre d’Indien inscrit garantis par la </w:t>
            </w:r>
            <w:r w:rsidRPr="00330CC4">
              <w:rPr>
                <w:rFonts w:eastAsia="Calibri"/>
                <w:i/>
                <w:sz w:val="20"/>
                <w:lang w:val="fr-CA"/>
              </w:rPr>
              <w:t xml:space="preserve">Charte </w:t>
            </w:r>
            <w:r w:rsidRPr="00330CC4">
              <w:rPr>
                <w:rFonts w:eastAsia="Calibri"/>
                <w:sz w:val="20"/>
                <w:lang w:val="fr-CA"/>
              </w:rPr>
              <w:t xml:space="preserve">– Est-ce que l’Université a porté atteinte aux droits du demandeur à titre d’Indien inscrit garantis par l’art. 24(1) de la </w:t>
            </w:r>
            <w:r w:rsidRPr="00330CC4">
              <w:rPr>
                <w:rFonts w:eastAsia="Calibri"/>
                <w:i/>
                <w:sz w:val="20"/>
                <w:lang w:val="fr-CA"/>
              </w:rPr>
              <w:t>Charte</w:t>
            </w:r>
            <w:r w:rsidRPr="00330CC4">
              <w:rPr>
                <w:rFonts w:eastAsia="Calibri"/>
                <w:sz w:val="20"/>
                <w:lang w:val="fr-CA"/>
              </w:rPr>
              <w:t xml:space="preserve">? – Est-ce que le juge saisi de la requête a rendu une décision juste fondée sur la “doctrine du caractère théorique” et conforme à la </w:t>
            </w:r>
            <w:r w:rsidRPr="00330CC4">
              <w:rPr>
                <w:rFonts w:eastAsia="Calibri"/>
                <w:i/>
                <w:sz w:val="20"/>
                <w:lang w:val="fr-CA"/>
              </w:rPr>
              <w:t>Charte</w:t>
            </w:r>
            <w:r w:rsidRPr="00330CC4">
              <w:rPr>
                <w:rFonts w:eastAsia="Calibri"/>
                <w:sz w:val="20"/>
                <w:lang w:val="fr-CA"/>
              </w:rPr>
              <w:t>?</w:t>
            </w:r>
            <w:r w:rsidRPr="00330CC4">
              <w:rPr>
                <w:rFonts w:eastAsia="Calibri"/>
                <w:i/>
                <w:sz w:val="20"/>
                <w:lang w:val="fr-CA"/>
              </w:rPr>
              <w:t xml:space="preserve"> </w:t>
            </w:r>
            <w:r w:rsidRPr="00330CC4">
              <w:rPr>
                <w:rFonts w:eastAsia="Calibri"/>
                <w:sz w:val="20"/>
                <w:lang w:val="fr-CA"/>
              </w:rPr>
              <w:t xml:space="preserve">– Est-ce que la décision de la Cour d’appel devrait être annulée et l’affaire renvoyée à la Cour d’appel assortie de directives? </w:t>
            </w:r>
          </w:p>
        </w:tc>
      </w:tr>
      <w:tr w:rsidR="004A1E2B" w:rsidRPr="00F677DC" w:rsidTr="007732B1">
        <w:tc>
          <w:tcPr>
            <w:tcW w:w="5000" w:type="pct"/>
            <w:gridSpan w:val="3"/>
          </w:tcPr>
          <w:p w:rsidR="004A1E2B" w:rsidRPr="00330CC4" w:rsidRDefault="004A1E2B" w:rsidP="007732B1">
            <w:pPr>
              <w:jc w:val="both"/>
              <w:rPr>
                <w:rFonts w:eastAsia="Calibri"/>
                <w:sz w:val="20"/>
                <w:lang w:val="fr-CA"/>
              </w:rPr>
            </w:pPr>
          </w:p>
        </w:tc>
      </w:tr>
      <w:tr w:rsidR="004A1E2B" w:rsidRPr="00F677DC" w:rsidTr="007732B1">
        <w:tc>
          <w:tcPr>
            <w:tcW w:w="5000" w:type="pct"/>
            <w:gridSpan w:val="3"/>
          </w:tcPr>
          <w:p w:rsidR="004A1E2B" w:rsidRPr="00330CC4" w:rsidRDefault="004A1E2B" w:rsidP="007732B1">
            <w:pPr>
              <w:jc w:val="both"/>
              <w:rPr>
                <w:rFonts w:eastAsia="Calibri"/>
                <w:sz w:val="20"/>
                <w:lang w:val="fr-CA"/>
              </w:rPr>
            </w:pPr>
            <w:r w:rsidRPr="00330CC4">
              <w:rPr>
                <w:rFonts w:eastAsia="Calibri"/>
                <w:sz w:val="20"/>
                <w:lang w:val="fr-CA"/>
              </w:rPr>
              <w:t xml:space="preserve">Monsieur Rooke a présenté une demande pour que la directive de l’Université de Waterloo, qui exige que tous les étudiants achètent l’assurance santé et l’assurance dentaire supplémentaires de l’Université, soit déclarée contraire à ses droits à titre d’Indien inscrit garantis par la </w:t>
            </w:r>
            <w:r w:rsidRPr="00330CC4">
              <w:rPr>
                <w:rFonts w:eastAsia="Calibri"/>
                <w:i/>
                <w:sz w:val="20"/>
                <w:lang w:val="fr-CA"/>
              </w:rPr>
              <w:t>Charte</w:t>
            </w:r>
            <w:r w:rsidRPr="00330CC4">
              <w:rPr>
                <w:rFonts w:eastAsia="Calibri"/>
                <w:sz w:val="20"/>
                <w:lang w:val="fr-CA"/>
              </w:rPr>
              <w:t>.</w:t>
            </w:r>
          </w:p>
          <w:p w:rsidR="004A1E2B" w:rsidRPr="00330CC4" w:rsidRDefault="004A1E2B" w:rsidP="007732B1">
            <w:pPr>
              <w:jc w:val="both"/>
              <w:rPr>
                <w:rFonts w:eastAsia="Calibri"/>
                <w:sz w:val="20"/>
                <w:lang w:val="fr-CA"/>
              </w:rPr>
            </w:pPr>
          </w:p>
        </w:tc>
      </w:tr>
      <w:tr w:rsidR="004A1E2B" w:rsidRPr="00F677DC" w:rsidTr="007732B1">
        <w:tc>
          <w:tcPr>
            <w:tcW w:w="2427" w:type="pct"/>
          </w:tcPr>
          <w:p w:rsidR="004A1E2B" w:rsidRPr="00330CC4" w:rsidRDefault="004A1E2B" w:rsidP="007732B1">
            <w:pPr>
              <w:jc w:val="both"/>
              <w:rPr>
                <w:rFonts w:eastAsia="Calibri"/>
                <w:sz w:val="20"/>
                <w:lang w:val="fr-CA"/>
              </w:rPr>
            </w:pPr>
            <w:r w:rsidRPr="00330CC4">
              <w:rPr>
                <w:rFonts w:eastAsia="Calibri"/>
                <w:sz w:val="20"/>
                <w:lang w:val="fr-CA"/>
              </w:rPr>
              <w:t>23 juillet 2012</w:t>
            </w:r>
          </w:p>
          <w:p w:rsidR="004A1E2B" w:rsidRPr="00330CC4" w:rsidRDefault="004A1E2B" w:rsidP="007732B1">
            <w:pPr>
              <w:jc w:val="both"/>
              <w:rPr>
                <w:rFonts w:eastAsia="Calibri"/>
                <w:sz w:val="20"/>
                <w:lang w:val="fr-CA"/>
              </w:rPr>
            </w:pPr>
            <w:r w:rsidRPr="00330CC4">
              <w:rPr>
                <w:rFonts w:eastAsia="Calibri"/>
                <w:sz w:val="20"/>
                <w:lang w:val="fr-CA"/>
              </w:rPr>
              <w:t xml:space="preserve">Cour supérieure de justice de l’Ontario </w:t>
            </w:r>
          </w:p>
          <w:p w:rsidR="004A1E2B" w:rsidRPr="00330CC4" w:rsidRDefault="004A1E2B" w:rsidP="007732B1">
            <w:pPr>
              <w:jc w:val="both"/>
              <w:rPr>
                <w:rFonts w:eastAsia="Calibri"/>
                <w:sz w:val="20"/>
              </w:rPr>
            </w:pPr>
            <w:r w:rsidRPr="00330CC4">
              <w:rPr>
                <w:rFonts w:eastAsia="Calibri"/>
                <w:sz w:val="20"/>
              </w:rPr>
              <w:t>(Juge Flynn)</w:t>
            </w:r>
          </w:p>
          <w:p w:rsidR="004A1E2B" w:rsidRPr="00330CC4" w:rsidRDefault="004A1E2B" w:rsidP="007732B1">
            <w:pPr>
              <w:jc w:val="both"/>
              <w:rPr>
                <w:rFonts w:eastAsia="Calibri"/>
                <w:sz w:val="20"/>
              </w:rPr>
            </w:pPr>
            <w:r w:rsidRPr="00330CC4">
              <w:rPr>
                <w:rFonts w:eastAsia="Calibri"/>
                <w:sz w:val="20"/>
              </w:rPr>
              <w:t>Non publié</w:t>
            </w:r>
          </w:p>
          <w:p w:rsidR="004A1E2B" w:rsidRPr="00330CC4" w:rsidRDefault="004A1E2B" w:rsidP="007732B1">
            <w:pPr>
              <w:jc w:val="both"/>
              <w:rPr>
                <w:rFonts w:eastAsia="Calibri"/>
                <w:sz w:val="20"/>
              </w:rPr>
            </w:pPr>
          </w:p>
        </w:tc>
        <w:tc>
          <w:tcPr>
            <w:tcW w:w="243" w:type="pct"/>
          </w:tcPr>
          <w:p w:rsidR="004A1E2B" w:rsidRPr="00330CC4" w:rsidRDefault="004A1E2B" w:rsidP="007732B1">
            <w:pPr>
              <w:jc w:val="both"/>
              <w:rPr>
                <w:rFonts w:eastAsia="Calibri"/>
                <w:sz w:val="20"/>
              </w:rPr>
            </w:pPr>
          </w:p>
        </w:tc>
        <w:tc>
          <w:tcPr>
            <w:tcW w:w="2330" w:type="pct"/>
          </w:tcPr>
          <w:p w:rsidR="004A1E2B" w:rsidRPr="00330CC4" w:rsidRDefault="004A1E2B" w:rsidP="007732B1">
            <w:pPr>
              <w:jc w:val="both"/>
              <w:rPr>
                <w:rFonts w:eastAsia="Calibri"/>
                <w:sz w:val="20"/>
                <w:lang w:val="fr-CA"/>
              </w:rPr>
            </w:pPr>
            <w:r w:rsidRPr="00330CC4">
              <w:rPr>
                <w:rFonts w:eastAsia="Calibri"/>
                <w:sz w:val="20"/>
                <w:lang w:val="fr-CA"/>
              </w:rPr>
              <w:t xml:space="preserve">Demande de déclaration du demandeur rejetée </w:t>
            </w:r>
          </w:p>
          <w:p w:rsidR="004A1E2B" w:rsidRPr="00330CC4" w:rsidRDefault="004A1E2B" w:rsidP="007732B1">
            <w:pPr>
              <w:jc w:val="both"/>
              <w:rPr>
                <w:rFonts w:eastAsia="Calibri"/>
                <w:sz w:val="20"/>
                <w:lang w:val="fr-CA"/>
              </w:rPr>
            </w:pPr>
          </w:p>
        </w:tc>
      </w:tr>
      <w:tr w:rsidR="004A1E2B" w:rsidRPr="00330CC4" w:rsidTr="007732B1">
        <w:tc>
          <w:tcPr>
            <w:tcW w:w="2427" w:type="pct"/>
          </w:tcPr>
          <w:p w:rsidR="004A1E2B" w:rsidRPr="00330CC4" w:rsidRDefault="004A1E2B" w:rsidP="007732B1">
            <w:pPr>
              <w:jc w:val="both"/>
              <w:rPr>
                <w:rFonts w:eastAsia="Calibri"/>
                <w:sz w:val="20"/>
                <w:lang w:val="fr-CA"/>
              </w:rPr>
            </w:pPr>
            <w:r w:rsidRPr="00330CC4">
              <w:rPr>
                <w:rFonts w:eastAsia="Calibri"/>
                <w:sz w:val="20"/>
                <w:lang w:val="fr-CA"/>
              </w:rPr>
              <w:t>2</w:t>
            </w:r>
            <w:r>
              <w:rPr>
                <w:rFonts w:eastAsia="Calibri"/>
                <w:sz w:val="20"/>
                <w:lang w:val="fr-CA"/>
              </w:rPr>
              <w:t>2</w:t>
            </w:r>
            <w:r w:rsidRPr="00330CC4">
              <w:rPr>
                <w:rFonts w:eastAsia="Calibri"/>
                <w:sz w:val="20"/>
                <w:lang w:val="fr-CA"/>
              </w:rPr>
              <w:t xml:space="preserve"> août 2013</w:t>
            </w:r>
          </w:p>
          <w:p w:rsidR="004A1E2B" w:rsidRPr="00330CC4" w:rsidRDefault="004A1E2B" w:rsidP="007732B1">
            <w:pPr>
              <w:jc w:val="both"/>
              <w:rPr>
                <w:rFonts w:eastAsia="Calibri"/>
                <w:sz w:val="20"/>
                <w:lang w:val="fr-CA"/>
              </w:rPr>
            </w:pPr>
            <w:r w:rsidRPr="00330CC4">
              <w:rPr>
                <w:rFonts w:eastAsia="Calibri"/>
                <w:sz w:val="20"/>
                <w:lang w:val="fr-CA"/>
              </w:rPr>
              <w:t>Cour d’appel de l’Ontario</w:t>
            </w:r>
          </w:p>
          <w:p w:rsidR="004A1E2B" w:rsidRPr="00330CC4" w:rsidRDefault="004A1E2B" w:rsidP="007732B1">
            <w:pPr>
              <w:jc w:val="both"/>
              <w:rPr>
                <w:rFonts w:eastAsia="Calibri"/>
                <w:sz w:val="20"/>
                <w:lang w:val="fr-CA"/>
              </w:rPr>
            </w:pPr>
            <w:r w:rsidRPr="00330CC4">
              <w:rPr>
                <w:rFonts w:eastAsia="Calibri"/>
                <w:sz w:val="20"/>
                <w:lang w:val="fr-CA"/>
              </w:rPr>
              <w:t>(Juges Goudge, Watt et Pepall)</w:t>
            </w:r>
          </w:p>
          <w:p w:rsidR="004A1E2B" w:rsidRPr="00330CC4" w:rsidRDefault="004A1E2B" w:rsidP="007732B1">
            <w:pPr>
              <w:jc w:val="both"/>
              <w:rPr>
                <w:rFonts w:eastAsia="Calibri"/>
                <w:sz w:val="20"/>
                <w:lang w:val="fr-CA"/>
              </w:rPr>
            </w:pPr>
          </w:p>
        </w:tc>
        <w:tc>
          <w:tcPr>
            <w:tcW w:w="243" w:type="pct"/>
          </w:tcPr>
          <w:p w:rsidR="004A1E2B" w:rsidRPr="00330CC4" w:rsidRDefault="004A1E2B" w:rsidP="007732B1">
            <w:pPr>
              <w:jc w:val="both"/>
              <w:rPr>
                <w:rFonts w:eastAsia="Calibri"/>
                <w:sz w:val="20"/>
                <w:lang w:val="fr-CA"/>
              </w:rPr>
            </w:pPr>
          </w:p>
        </w:tc>
        <w:tc>
          <w:tcPr>
            <w:tcW w:w="2330" w:type="pct"/>
          </w:tcPr>
          <w:p w:rsidR="004A1E2B" w:rsidRPr="00330CC4" w:rsidRDefault="004A1E2B" w:rsidP="007732B1">
            <w:pPr>
              <w:jc w:val="both"/>
              <w:rPr>
                <w:rFonts w:eastAsia="Calibri"/>
                <w:sz w:val="20"/>
              </w:rPr>
            </w:pPr>
            <w:r w:rsidRPr="00330CC4">
              <w:rPr>
                <w:rFonts w:eastAsia="Calibri"/>
                <w:sz w:val="20"/>
              </w:rPr>
              <w:t>Appel rejeté</w:t>
            </w:r>
          </w:p>
          <w:p w:rsidR="004A1E2B" w:rsidRPr="00330CC4" w:rsidRDefault="004A1E2B" w:rsidP="007732B1">
            <w:pPr>
              <w:jc w:val="both"/>
              <w:rPr>
                <w:rFonts w:eastAsia="Calibri"/>
                <w:sz w:val="20"/>
              </w:rPr>
            </w:pPr>
          </w:p>
        </w:tc>
      </w:tr>
      <w:tr w:rsidR="004A1E2B" w:rsidRPr="00330CC4" w:rsidTr="007732B1">
        <w:tc>
          <w:tcPr>
            <w:tcW w:w="2427" w:type="pct"/>
          </w:tcPr>
          <w:p w:rsidR="004A1E2B" w:rsidRPr="00330CC4" w:rsidRDefault="004A1E2B" w:rsidP="007732B1">
            <w:pPr>
              <w:jc w:val="both"/>
              <w:rPr>
                <w:rFonts w:eastAsia="Calibri"/>
                <w:sz w:val="20"/>
                <w:lang w:val="fr-CA"/>
              </w:rPr>
            </w:pPr>
            <w:r w:rsidRPr="00330CC4">
              <w:rPr>
                <w:rFonts w:eastAsia="Calibri"/>
                <w:sz w:val="20"/>
                <w:lang w:val="fr-CA"/>
              </w:rPr>
              <w:t>8 mai 2014</w:t>
            </w:r>
          </w:p>
          <w:p w:rsidR="004A1E2B" w:rsidRPr="00330CC4" w:rsidRDefault="004A1E2B" w:rsidP="007732B1">
            <w:pPr>
              <w:jc w:val="both"/>
              <w:rPr>
                <w:rFonts w:eastAsia="Calibri"/>
                <w:sz w:val="20"/>
                <w:lang w:val="fr-CA"/>
              </w:rPr>
            </w:pPr>
            <w:r w:rsidRPr="00330CC4">
              <w:rPr>
                <w:rFonts w:eastAsia="Calibri"/>
                <w:sz w:val="20"/>
                <w:lang w:val="fr-CA"/>
              </w:rPr>
              <w:t>Cour suprême du Canada</w:t>
            </w:r>
          </w:p>
          <w:p w:rsidR="004A1E2B" w:rsidRPr="00330CC4" w:rsidRDefault="004A1E2B" w:rsidP="007732B1">
            <w:pPr>
              <w:jc w:val="both"/>
              <w:rPr>
                <w:rFonts w:eastAsia="Calibri"/>
                <w:sz w:val="20"/>
                <w:lang w:val="fr-CA"/>
              </w:rPr>
            </w:pPr>
          </w:p>
        </w:tc>
        <w:tc>
          <w:tcPr>
            <w:tcW w:w="243" w:type="pct"/>
          </w:tcPr>
          <w:p w:rsidR="004A1E2B" w:rsidRPr="00330CC4" w:rsidRDefault="004A1E2B" w:rsidP="007732B1">
            <w:pPr>
              <w:jc w:val="both"/>
              <w:rPr>
                <w:rFonts w:eastAsia="Calibri"/>
                <w:sz w:val="20"/>
                <w:lang w:val="fr-CA"/>
              </w:rPr>
            </w:pPr>
          </w:p>
        </w:tc>
        <w:tc>
          <w:tcPr>
            <w:tcW w:w="2330" w:type="pct"/>
          </w:tcPr>
          <w:p w:rsidR="004A1E2B" w:rsidRPr="00330CC4" w:rsidRDefault="004A1E2B" w:rsidP="007732B1">
            <w:pPr>
              <w:jc w:val="both"/>
              <w:rPr>
                <w:rFonts w:eastAsia="Calibri"/>
                <w:sz w:val="20"/>
              </w:rPr>
            </w:pPr>
            <w:r w:rsidRPr="00330CC4">
              <w:rPr>
                <w:rFonts w:eastAsia="Calibri"/>
                <w:sz w:val="20"/>
              </w:rPr>
              <w:t xml:space="preserve">Demande d’autorisation d’appel déposée </w:t>
            </w:r>
          </w:p>
          <w:p w:rsidR="004A1E2B" w:rsidRPr="00330CC4" w:rsidRDefault="004A1E2B" w:rsidP="007732B1">
            <w:pPr>
              <w:jc w:val="both"/>
              <w:rPr>
                <w:rFonts w:eastAsia="Calibri"/>
                <w:sz w:val="20"/>
              </w:rPr>
            </w:pPr>
          </w:p>
        </w:tc>
      </w:tr>
      <w:tr w:rsidR="004A1E2B" w:rsidRPr="00F677DC" w:rsidTr="007732B1">
        <w:tc>
          <w:tcPr>
            <w:tcW w:w="2427" w:type="pct"/>
          </w:tcPr>
          <w:p w:rsidR="004A1E2B" w:rsidRPr="00330CC4" w:rsidRDefault="004A1E2B" w:rsidP="007732B1">
            <w:pPr>
              <w:jc w:val="both"/>
              <w:rPr>
                <w:rFonts w:eastAsia="Calibri"/>
                <w:sz w:val="20"/>
                <w:lang w:val="fr-CA"/>
              </w:rPr>
            </w:pPr>
            <w:r w:rsidRPr="00330CC4">
              <w:rPr>
                <w:rFonts w:eastAsia="Calibri"/>
                <w:sz w:val="20"/>
                <w:lang w:val="fr-CA"/>
              </w:rPr>
              <w:t>2 juin 2014</w:t>
            </w:r>
          </w:p>
          <w:p w:rsidR="004A1E2B" w:rsidRPr="00330CC4" w:rsidRDefault="004A1E2B" w:rsidP="007732B1">
            <w:pPr>
              <w:jc w:val="both"/>
              <w:rPr>
                <w:rFonts w:eastAsia="Calibri"/>
                <w:sz w:val="20"/>
                <w:lang w:val="fr-CA"/>
              </w:rPr>
            </w:pPr>
            <w:r w:rsidRPr="00330CC4">
              <w:rPr>
                <w:rFonts w:eastAsia="Calibri"/>
                <w:sz w:val="20"/>
                <w:lang w:val="fr-CA"/>
              </w:rPr>
              <w:t>Cour suprême du Canada</w:t>
            </w:r>
          </w:p>
        </w:tc>
        <w:tc>
          <w:tcPr>
            <w:tcW w:w="243" w:type="pct"/>
          </w:tcPr>
          <w:p w:rsidR="004A1E2B" w:rsidRPr="00330CC4" w:rsidRDefault="004A1E2B" w:rsidP="007732B1">
            <w:pPr>
              <w:jc w:val="both"/>
              <w:rPr>
                <w:rFonts w:eastAsia="Calibri"/>
                <w:sz w:val="20"/>
                <w:lang w:val="fr-CA"/>
              </w:rPr>
            </w:pPr>
          </w:p>
        </w:tc>
        <w:tc>
          <w:tcPr>
            <w:tcW w:w="2330" w:type="pct"/>
          </w:tcPr>
          <w:p w:rsidR="004A1E2B" w:rsidRPr="00330CC4" w:rsidRDefault="004A1E2B" w:rsidP="007732B1">
            <w:pPr>
              <w:jc w:val="both"/>
              <w:rPr>
                <w:rFonts w:eastAsia="Calibri"/>
                <w:sz w:val="20"/>
                <w:lang w:val="fr-CA"/>
              </w:rPr>
            </w:pPr>
            <w:r w:rsidRPr="00330CC4">
              <w:rPr>
                <w:rFonts w:eastAsia="Calibri"/>
                <w:sz w:val="20"/>
                <w:lang w:val="fr-CA"/>
              </w:rPr>
              <w:t xml:space="preserve">Requête en prorogation du délai de signification et de dépôt de la demande d’autorisation d’appel déposée </w:t>
            </w:r>
          </w:p>
        </w:tc>
      </w:tr>
    </w:tbl>
    <w:p w:rsidR="00185470" w:rsidRPr="004A1E2B" w:rsidRDefault="00185470" w:rsidP="00185470">
      <w:pPr>
        <w:rPr>
          <w:sz w:val="20"/>
          <w:szCs w:val="20"/>
          <w:lang w:val="fr-CA"/>
        </w:rPr>
      </w:pPr>
    </w:p>
    <w:p w:rsidR="00185470" w:rsidRDefault="00F677DC" w:rsidP="00185470">
      <w:pPr>
        <w:rPr>
          <w:sz w:val="20"/>
          <w:szCs w:val="20"/>
        </w:rPr>
      </w:pPr>
      <w:r>
        <w:rPr>
          <w:sz w:val="20"/>
          <w:szCs w:val="20"/>
          <w:lang w:val="fr-CA"/>
        </w:rPr>
        <w:pict>
          <v:rect id="_x0000_i1064" style="width:2in;height:1pt" o:hrpct="0" o:hralign="center" o:hrstd="t" o:hrnoshade="t" o:hr="t" fillcolor="black [3213]" stroked="f"/>
        </w:pict>
      </w:r>
    </w:p>
    <w:p w:rsidR="00185470" w:rsidRDefault="00185470" w:rsidP="00185470">
      <w:pPr>
        <w:rPr>
          <w:sz w:val="20"/>
          <w:szCs w:val="20"/>
        </w:rPr>
      </w:pPr>
    </w:p>
    <w:tbl>
      <w:tblPr>
        <w:tblStyle w:val="TableGrid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34E7B" w:rsidRPr="00834E7B" w:rsidTr="003D0C01">
        <w:trPr>
          <w:cantSplit/>
        </w:trPr>
        <w:tc>
          <w:tcPr>
            <w:tcW w:w="1458" w:type="dxa"/>
          </w:tcPr>
          <w:p w:rsidR="00834E7B" w:rsidRPr="00834E7B" w:rsidRDefault="00834E7B" w:rsidP="00834E7B">
            <w:pPr>
              <w:rPr>
                <w:sz w:val="20"/>
                <w:szCs w:val="20"/>
              </w:rPr>
            </w:pPr>
            <w:r w:rsidRPr="00834E7B">
              <w:rPr>
                <w:b/>
                <w:sz w:val="20"/>
                <w:lang w:val="fr-CA"/>
              </w:rPr>
              <w:lastRenderedPageBreak/>
              <w:t>35928</w:t>
            </w:r>
          </w:p>
          <w:p w:rsidR="00834E7B" w:rsidRPr="00834E7B" w:rsidRDefault="00834E7B" w:rsidP="00834E7B">
            <w:pPr>
              <w:rPr>
                <w:b/>
                <w:sz w:val="20"/>
                <w:szCs w:val="20"/>
                <w:lang w:val="fr-CA"/>
              </w:rPr>
            </w:pPr>
          </w:p>
        </w:tc>
        <w:tc>
          <w:tcPr>
            <w:tcW w:w="8118" w:type="dxa"/>
          </w:tcPr>
          <w:p w:rsidR="00834E7B" w:rsidRPr="00834E7B" w:rsidRDefault="00834E7B" w:rsidP="00834E7B">
            <w:pPr>
              <w:rPr>
                <w:sz w:val="20"/>
                <w:szCs w:val="20"/>
              </w:rPr>
            </w:pPr>
            <w:r w:rsidRPr="00834E7B">
              <w:rPr>
                <w:b/>
                <w:sz w:val="20"/>
                <w:u w:val="single"/>
              </w:rPr>
              <w:t>S.H.</w:t>
            </w:r>
            <w:r w:rsidR="008A7E93">
              <w:rPr>
                <w:b/>
                <w:sz w:val="20"/>
                <w:u w:val="single"/>
              </w:rPr>
              <w:t xml:space="preserve"> and</w:t>
            </w:r>
            <w:r w:rsidRPr="00834E7B">
              <w:rPr>
                <w:b/>
                <w:sz w:val="20"/>
                <w:u w:val="single"/>
              </w:rPr>
              <w:t xml:space="preserve"> M.D. v. Minister of Social Development</w:t>
            </w:r>
            <w:r w:rsidRPr="00834E7B">
              <w:rPr>
                <w:sz w:val="20"/>
                <w:szCs w:val="20"/>
              </w:rPr>
              <w:t xml:space="preserve"> (N.B.) (Civil) (By Leave)</w:t>
            </w:r>
          </w:p>
          <w:p w:rsidR="00834E7B" w:rsidRPr="00834E7B" w:rsidRDefault="00834E7B" w:rsidP="00834E7B">
            <w:pPr>
              <w:rPr>
                <w:sz w:val="20"/>
                <w:szCs w:val="20"/>
              </w:rPr>
            </w:pPr>
          </w:p>
        </w:tc>
      </w:tr>
      <w:tr w:rsidR="00834E7B" w:rsidRPr="00834E7B" w:rsidTr="003D0C01">
        <w:trPr>
          <w:cantSplit/>
        </w:trPr>
        <w:tc>
          <w:tcPr>
            <w:tcW w:w="1458" w:type="dxa"/>
          </w:tcPr>
          <w:p w:rsidR="00834E7B" w:rsidRPr="00834E7B" w:rsidRDefault="00834E7B" w:rsidP="00834E7B">
            <w:pPr>
              <w:rPr>
                <w:sz w:val="20"/>
                <w:szCs w:val="20"/>
              </w:rPr>
            </w:pPr>
            <w:r w:rsidRPr="00834E7B">
              <w:rPr>
                <w:sz w:val="20"/>
                <w:szCs w:val="20"/>
              </w:rPr>
              <w:t>Coram :</w:t>
            </w:r>
          </w:p>
        </w:tc>
        <w:tc>
          <w:tcPr>
            <w:tcW w:w="8118" w:type="dxa"/>
          </w:tcPr>
          <w:p w:rsidR="00834E7B" w:rsidRPr="00834E7B" w:rsidRDefault="00834E7B" w:rsidP="00834E7B">
            <w:pPr>
              <w:rPr>
                <w:sz w:val="20"/>
                <w:szCs w:val="20"/>
              </w:rPr>
            </w:pPr>
            <w:r w:rsidRPr="00834E7B">
              <w:rPr>
                <w:sz w:val="20"/>
                <w:u w:val="single"/>
              </w:rPr>
              <w:t>Abella, Rothstein and Moldaver JJ.</w:t>
            </w:r>
          </w:p>
          <w:p w:rsidR="00834E7B" w:rsidRPr="00834E7B" w:rsidRDefault="00834E7B" w:rsidP="00834E7B">
            <w:pPr>
              <w:rPr>
                <w:sz w:val="20"/>
                <w:szCs w:val="20"/>
                <w:u w:val="single"/>
              </w:rPr>
            </w:pPr>
          </w:p>
        </w:tc>
      </w:tr>
      <w:tr w:rsidR="00834E7B" w:rsidRPr="00F677DC" w:rsidTr="003D0C01">
        <w:trPr>
          <w:cantSplit/>
        </w:trPr>
        <w:tc>
          <w:tcPr>
            <w:tcW w:w="9576" w:type="dxa"/>
            <w:gridSpan w:val="2"/>
          </w:tcPr>
          <w:p w:rsidR="00834E7B" w:rsidRPr="00834E7B" w:rsidRDefault="00834E7B" w:rsidP="00834E7B">
            <w:pPr>
              <w:ind w:firstLine="720"/>
              <w:jc w:val="both"/>
              <w:rPr>
                <w:sz w:val="20"/>
                <w:szCs w:val="20"/>
              </w:rPr>
            </w:pPr>
            <w:r w:rsidRPr="00834E7B">
              <w:rPr>
                <w:sz w:val="20"/>
                <w:szCs w:val="20"/>
              </w:rPr>
              <w:t>The motion for an extension of time to serve and file the application for leave to appeal is granted. The application for leave to appeal from the judgment of the Court of Appeal of New Brunswick, Number 95-13-CA, 2014 NBCA 20, dated April 9, 2014, is dismissed without costs.</w:t>
            </w:r>
          </w:p>
          <w:p w:rsidR="00834E7B" w:rsidRPr="00834E7B" w:rsidRDefault="00834E7B" w:rsidP="00834E7B">
            <w:pPr>
              <w:jc w:val="both"/>
              <w:rPr>
                <w:sz w:val="20"/>
                <w:szCs w:val="20"/>
              </w:rPr>
            </w:pPr>
          </w:p>
          <w:p w:rsidR="00834E7B" w:rsidRPr="00834E7B" w:rsidRDefault="00834E7B" w:rsidP="00834E7B">
            <w:pPr>
              <w:ind w:firstLine="720"/>
              <w:jc w:val="both"/>
              <w:rPr>
                <w:sz w:val="20"/>
                <w:szCs w:val="20"/>
                <w:lang w:val="fr-CA"/>
              </w:rPr>
            </w:pPr>
            <w:r w:rsidRPr="00834E7B">
              <w:rPr>
                <w:sz w:val="20"/>
                <w:szCs w:val="20"/>
                <w:lang w:val="fr-CA"/>
              </w:rPr>
              <w:t>La requête en prorogation du délai de signification et de dépôt de la demande d’autorisation d’appel est accueillie. La demande d’autorisation d’appel de l’arrêt de la Cour d’appel du Nouveau-Brunswick, numéro 95-13-CA, 2014 NBCA 20, daté du 9 avril 2014, est rejetée sans dépens.</w:t>
            </w:r>
          </w:p>
        </w:tc>
      </w:tr>
    </w:tbl>
    <w:p w:rsidR="00185470" w:rsidRPr="00834E7B" w:rsidRDefault="00185470" w:rsidP="000E2959">
      <w:pPr>
        <w:rPr>
          <w:sz w:val="20"/>
          <w:szCs w:val="20"/>
          <w:lang w:val="fr-CA"/>
        </w:rPr>
      </w:pPr>
    </w:p>
    <w:p w:rsidR="00185470" w:rsidRPr="001B157C" w:rsidRDefault="00185470" w:rsidP="00185470">
      <w:pPr>
        <w:rPr>
          <w:sz w:val="20"/>
          <w:szCs w:val="20"/>
          <w:u w:val="single"/>
        </w:rPr>
      </w:pPr>
      <w:r w:rsidRPr="001B157C">
        <w:rPr>
          <w:sz w:val="20"/>
          <w:szCs w:val="20"/>
          <w:u w:val="single"/>
        </w:rPr>
        <w:t>CASE SUMMARY</w:t>
      </w:r>
    </w:p>
    <w:p w:rsidR="00185470" w:rsidRDefault="00185470" w:rsidP="0018547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A1E2B" w:rsidRPr="00330CC4" w:rsidTr="007732B1">
        <w:tc>
          <w:tcPr>
            <w:tcW w:w="5000" w:type="pct"/>
            <w:gridSpan w:val="3"/>
          </w:tcPr>
          <w:p w:rsidR="004A1E2B" w:rsidRPr="00330CC4" w:rsidRDefault="004A1E2B" w:rsidP="007732B1">
            <w:pPr>
              <w:jc w:val="both"/>
              <w:rPr>
                <w:rFonts w:eastAsia="Calibri"/>
                <w:smallCaps/>
                <w:sz w:val="20"/>
              </w:rPr>
            </w:pPr>
            <w:r w:rsidRPr="00330CC4">
              <w:rPr>
                <w:rFonts w:eastAsia="Calibri"/>
                <w:smallCaps/>
                <w:sz w:val="20"/>
              </w:rPr>
              <w:t xml:space="preserve">(Publication </w:t>
            </w:r>
            <w:r>
              <w:rPr>
                <w:rFonts w:eastAsia="Calibri"/>
                <w:smallCaps/>
                <w:sz w:val="20"/>
              </w:rPr>
              <w:t>B</w:t>
            </w:r>
            <w:r w:rsidRPr="00330CC4">
              <w:rPr>
                <w:rFonts w:eastAsia="Calibri"/>
                <w:smallCaps/>
                <w:sz w:val="20"/>
              </w:rPr>
              <w:t xml:space="preserve">an in </w:t>
            </w:r>
            <w:r>
              <w:rPr>
                <w:rFonts w:eastAsia="Calibri"/>
                <w:smallCaps/>
                <w:sz w:val="20"/>
              </w:rPr>
              <w:t>C</w:t>
            </w:r>
            <w:r w:rsidRPr="00330CC4">
              <w:rPr>
                <w:rFonts w:eastAsia="Calibri"/>
                <w:smallCaps/>
                <w:sz w:val="20"/>
              </w:rPr>
              <w:t>ase) (</w:t>
            </w:r>
            <w:r>
              <w:rPr>
                <w:rFonts w:eastAsia="Calibri"/>
                <w:smallCaps/>
                <w:sz w:val="20"/>
              </w:rPr>
              <w:t>P</w:t>
            </w:r>
            <w:r w:rsidRPr="00330CC4">
              <w:rPr>
                <w:rFonts w:eastAsia="Calibri"/>
                <w:smallCaps/>
                <w:sz w:val="20"/>
              </w:rPr>
              <w:t xml:space="preserve">ublication </w:t>
            </w:r>
            <w:r>
              <w:rPr>
                <w:rFonts w:eastAsia="Calibri"/>
                <w:smallCaps/>
                <w:sz w:val="20"/>
              </w:rPr>
              <w:t>B</w:t>
            </w:r>
            <w:r w:rsidRPr="00330CC4">
              <w:rPr>
                <w:rFonts w:eastAsia="Calibri"/>
                <w:smallCaps/>
                <w:sz w:val="20"/>
              </w:rPr>
              <w:t xml:space="preserve">an on </w:t>
            </w:r>
            <w:r>
              <w:rPr>
                <w:rFonts w:eastAsia="Calibri"/>
                <w:smallCaps/>
                <w:sz w:val="20"/>
              </w:rPr>
              <w:t>P</w:t>
            </w:r>
            <w:r w:rsidRPr="00330CC4">
              <w:rPr>
                <w:rFonts w:eastAsia="Calibri"/>
                <w:smallCaps/>
                <w:sz w:val="20"/>
              </w:rPr>
              <w:t xml:space="preserve">arty) (Court </w:t>
            </w:r>
            <w:r>
              <w:rPr>
                <w:rFonts w:eastAsia="Calibri"/>
                <w:smallCaps/>
                <w:sz w:val="20"/>
              </w:rPr>
              <w:t>F</w:t>
            </w:r>
            <w:r w:rsidRPr="00330CC4">
              <w:rPr>
                <w:rFonts w:eastAsia="Calibri"/>
                <w:smallCaps/>
                <w:sz w:val="20"/>
              </w:rPr>
              <w:t xml:space="preserve">ile </w:t>
            </w:r>
            <w:r>
              <w:rPr>
                <w:rFonts w:eastAsia="Calibri"/>
                <w:smallCaps/>
                <w:sz w:val="20"/>
              </w:rPr>
              <w:t>C</w:t>
            </w:r>
            <w:r w:rsidRPr="00330CC4">
              <w:rPr>
                <w:rFonts w:eastAsia="Calibri"/>
                <w:smallCaps/>
                <w:sz w:val="20"/>
              </w:rPr>
              <w:t xml:space="preserve">ontains </w:t>
            </w:r>
            <w:r>
              <w:rPr>
                <w:rFonts w:eastAsia="Calibri"/>
                <w:smallCaps/>
                <w:sz w:val="20"/>
              </w:rPr>
              <w:t>I</w:t>
            </w:r>
            <w:r w:rsidRPr="00330CC4">
              <w:rPr>
                <w:rFonts w:eastAsia="Calibri"/>
                <w:smallCaps/>
                <w:sz w:val="20"/>
              </w:rPr>
              <w:t xml:space="preserve">nformation </w:t>
            </w:r>
            <w:r>
              <w:rPr>
                <w:rFonts w:eastAsia="Calibri"/>
                <w:smallCaps/>
                <w:sz w:val="20"/>
              </w:rPr>
              <w:t>T</w:t>
            </w:r>
            <w:r w:rsidRPr="00330CC4">
              <w:rPr>
                <w:rFonts w:eastAsia="Calibri"/>
                <w:smallCaps/>
                <w:sz w:val="20"/>
              </w:rPr>
              <w:t xml:space="preserve">hat is not </w:t>
            </w:r>
            <w:r>
              <w:rPr>
                <w:rFonts w:eastAsia="Calibri"/>
                <w:smallCaps/>
                <w:sz w:val="20"/>
              </w:rPr>
              <w:t>A</w:t>
            </w:r>
            <w:r w:rsidRPr="00330CC4">
              <w:rPr>
                <w:rFonts w:eastAsia="Calibri"/>
                <w:smallCaps/>
                <w:sz w:val="20"/>
              </w:rPr>
              <w:t xml:space="preserve">vailable for </w:t>
            </w:r>
            <w:r>
              <w:rPr>
                <w:rFonts w:eastAsia="Calibri"/>
                <w:smallCaps/>
                <w:sz w:val="20"/>
              </w:rPr>
              <w:t>I</w:t>
            </w:r>
            <w:r w:rsidRPr="00330CC4">
              <w:rPr>
                <w:rFonts w:eastAsia="Calibri"/>
                <w:smallCaps/>
                <w:sz w:val="20"/>
              </w:rPr>
              <w:t xml:space="preserve">nspection by the </w:t>
            </w:r>
            <w:r>
              <w:rPr>
                <w:rFonts w:eastAsia="Calibri"/>
                <w:smallCaps/>
                <w:sz w:val="20"/>
              </w:rPr>
              <w:t>P</w:t>
            </w:r>
            <w:r w:rsidRPr="00330CC4">
              <w:rPr>
                <w:rFonts w:eastAsia="Calibri"/>
                <w:smallCaps/>
                <w:sz w:val="20"/>
              </w:rPr>
              <w:t>ublic)</w:t>
            </w:r>
          </w:p>
          <w:p w:rsidR="004A1E2B" w:rsidRPr="00330CC4" w:rsidRDefault="004A1E2B" w:rsidP="007732B1">
            <w:pPr>
              <w:jc w:val="both"/>
              <w:rPr>
                <w:rFonts w:eastAsia="Calibri"/>
                <w:sz w:val="20"/>
              </w:rPr>
            </w:pPr>
          </w:p>
          <w:p w:rsidR="004A1E2B" w:rsidRPr="00330CC4" w:rsidRDefault="004A1E2B" w:rsidP="007732B1">
            <w:pPr>
              <w:jc w:val="both"/>
              <w:rPr>
                <w:rFonts w:eastAsia="Calibri"/>
                <w:sz w:val="20"/>
              </w:rPr>
            </w:pPr>
            <w:r w:rsidRPr="00330CC4">
              <w:rPr>
                <w:rFonts w:eastAsia="Calibri"/>
                <w:sz w:val="20"/>
              </w:rPr>
              <w:t>Family law – Guardianship – Best interests of the child – Whether the trial judge erred in conducting a global assessment of the best interests of the children – Whether the trial judge erred by taking on the role of an expert witness and by making impermissible expert inferences – Whether counsel for the Minister exhibited argumentative bias in its inclusion of evidence and in its presentation of the case, and if so, whether affected parties’ procedural fairness rights were breached – Whether there was institutional delay in this case which must be remedied.</w:t>
            </w:r>
          </w:p>
          <w:p w:rsidR="004A1E2B" w:rsidRPr="00330CC4" w:rsidRDefault="004A1E2B" w:rsidP="007732B1">
            <w:pPr>
              <w:jc w:val="both"/>
              <w:rPr>
                <w:rFonts w:eastAsia="Calibri"/>
                <w:sz w:val="20"/>
              </w:rPr>
            </w:pPr>
          </w:p>
        </w:tc>
      </w:tr>
      <w:tr w:rsidR="004A1E2B" w:rsidRPr="00330CC4" w:rsidTr="007732B1">
        <w:tc>
          <w:tcPr>
            <w:tcW w:w="5000" w:type="pct"/>
            <w:gridSpan w:val="3"/>
          </w:tcPr>
          <w:p w:rsidR="004A1E2B" w:rsidRPr="00330CC4" w:rsidRDefault="004A1E2B" w:rsidP="007732B1">
            <w:pPr>
              <w:jc w:val="both"/>
              <w:rPr>
                <w:rFonts w:eastAsia="Calibri"/>
                <w:sz w:val="20"/>
              </w:rPr>
            </w:pPr>
            <w:r w:rsidRPr="00330CC4">
              <w:rPr>
                <w:rFonts w:eastAsia="Calibri"/>
                <w:sz w:val="20"/>
              </w:rPr>
              <w:t xml:space="preserve">In 2010, the respondent Minister sought guardianship of three of the applicant parents’ children, now aged 9, 8 and 6.  A guardianship order was granted but later overturned by the Court of Appeal (see </w:t>
            </w:r>
            <w:hyperlink r:id="rId35" w:history="1">
              <w:r w:rsidRPr="00330CC4">
                <w:rPr>
                  <w:rFonts w:eastAsia="Calibri"/>
                  <w:color w:val="0000FF"/>
                  <w:sz w:val="20"/>
                  <w:u w:val="single"/>
                </w:rPr>
                <w:t>2013 NBCA 35</w:t>
              </w:r>
            </w:hyperlink>
            <w:r w:rsidRPr="00330CC4">
              <w:rPr>
                <w:rFonts w:eastAsia="Calibri"/>
                <w:sz w:val="20"/>
              </w:rPr>
              <w:t>).  At re-trial in 2013, guardianship was once again awarded to the Minister.  The trial judge characterized the parents’ neglect of the children as “outrageous”, and found that the children were “developmentally delayed”, had suffered “untold stress”, and were “scared, angry, defiant, aggressive, anxious, frustrated and absolutely starved and craving for love, affection, attention and just simple understanding”.  In his view, it was in the children’s best interests that a guardianship order be granted.  The trial judge did not award the parents access rights.  However, the children’s siblings and half-siblings were reserved access on the basis that the children would need them in the future to “come to grips with where they have been”, for “understanding” and for “mutual support”.  The Court of Appeal dismissed the parents’ appeal.</w:t>
            </w:r>
          </w:p>
        </w:tc>
      </w:tr>
      <w:tr w:rsidR="004A1E2B" w:rsidRPr="00330CC4" w:rsidTr="007732B1">
        <w:tc>
          <w:tcPr>
            <w:tcW w:w="5000" w:type="pct"/>
            <w:gridSpan w:val="3"/>
          </w:tcPr>
          <w:p w:rsidR="004A1E2B" w:rsidRPr="00330CC4" w:rsidRDefault="004A1E2B" w:rsidP="007732B1">
            <w:pPr>
              <w:jc w:val="both"/>
              <w:rPr>
                <w:rFonts w:eastAsia="Calibri"/>
                <w:sz w:val="20"/>
              </w:rPr>
            </w:pPr>
          </w:p>
        </w:tc>
      </w:tr>
      <w:tr w:rsidR="004A1E2B" w:rsidRPr="00330CC4" w:rsidTr="007732B1">
        <w:tc>
          <w:tcPr>
            <w:tcW w:w="2427" w:type="pct"/>
          </w:tcPr>
          <w:p w:rsidR="004A1E2B" w:rsidRPr="00330CC4" w:rsidRDefault="004A1E2B" w:rsidP="007732B1">
            <w:pPr>
              <w:jc w:val="both"/>
              <w:rPr>
                <w:rFonts w:eastAsia="Calibri"/>
                <w:sz w:val="20"/>
              </w:rPr>
            </w:pPr>
            <w:r w:rsidRPr="00330CC4">
              <w:rPr>
                <w:rFonts w:eastAsia="Calibri"/>
                <w:sz w:val="20"/>
              </w:rPr>
              <w:t>August 20, 2013</w:t>
            </w:r>
          </w:p>
          <w:p w:rsidR="004A1E2B" w:rsidRPr="00330CC4" w:rsidRDefault="004A1E2B" w:rsidP="007732B1">
            <w:pPr>
              <w:jc w:val="both"/>
              <w:rPr>
                <w:rFonts w:eastAsia="Calibri"/>
                <w:sz w:val="20"/>
              </w:rPr>
            </w:pPr>
            <w:r w:rsidRPr="00330CC4">
              <w:rPr>
                <w:rFonts w:eastAsia="Calibri"/>
                <w:sz w:val="20"/>
              </w:rPr>
              <w:t>Court of Queen’s Bench of New Brunswick</w:t>
            </w:r>
          </w:p>
          <w:p w:rsidR="004A1E2B" w:rsidRPr="00330CC4" w:rsidRDefault="004A1E2B" w:rsidP="007732B1">
            <w:pPr>
              <w:jc w:val="both"/>
              <w:rPr>
                <w:rFonts w:eastAsia="Calibri"/>
                <w:sz w:val="20"/>
              </w:rPr>
            </w:pPr>
            <w:r w:rsidRPr="00330CC4">
              <w:rPr>
                <w:rFonts w:eastAsia="Calibri"/>
                <w:sz w:val="20"/>
              </w:rPr>
              <w:t>(Walsh J.)</w:t>
            </w:r>
          </w:p>
          <w:p w:rsidR="004A1E2B" w:rsidRPr="00330CC4" w:rsidRDefault="004A1E2B" w:rsidP="007732B1">
            <w:pPr>
              <w:jc w:val="both"/>
              <w:rPr>
                <w:rFonts w:eastAsia="Calibri"/>
                <w:sz w:val="20"/>
              </w:rPr>
            </w:pPr>
            <w:r w:rsidRPr="00330CC4">
              <w:rPr>
                <w:rFonts w:eastAsia="Calibri"/>
                <w:sz w:val="20"/>
              </w:rPr>
              <w:t>2013 NBQB 263</w:t>
            </w:r>
          </w:p>
          <w:p w:rsidR="004A1E2B" w:rsidRPr="00330CC4" w:rsidRDefault="004A1E2B" w:rsidP="007732B1">
            <w:pPr>
              <w:jc w:val="both"/>
              <w:rPr>
                <w:rFonts w:eastAsia="Calibri"/>
                <w:sz w:val="20"/>
              </w:rPr>
            </w:pPr>
          </w:p>
        </w:tc>
        <w:tc>
          <w:tcPr>
            <w:tcW w:w="243" w:type="pct"/>
          </w:tcPr>
          <w:p w:rsidR="004A1E2B" w:rsidRPr="00330CC4" w:rsidRDefault="004A1E2B" w:rsidP="007732B1">
            <w:pPr>
              <w:jc w:val="both"/>
              <w:rPr>
                <w:rFonts w:eastAsia="Calibri"/>
                <w:sz w:val="20"/>
              </w:rPr>
            </w:pPr>
          </w:p>
        </w:tc>
        <w:tc>
          <w:tcPr>
            <w:tcW w:w="2330" w:type="pct"/>
          </w:tcPr>
          <w:p w:rsidR="004A1E2B" w:rsidRPr="00330CC4" w:rsidRDefault="004A1E2B" w:rsidP="007732B1">
            <w:pPr>
              <w:jc w:val="both"/>
              <w:rPr>
                <w:rFonts w:eastAsia="Calibri"/>
                <w:sz w:val="20"/>
              </w:rPr>
            </w:pPr>
            <w:r w:rsidRPr="00330CC4">
              <w:rPr>
                <w:rFonts w:eastAsia="Calibri"/>
                <w:sz w:val="20"/>
              </w:rPr>
              <w:t xml:space="preserve">Guardianship of three of applicants’ children transferred to the respondent pursuant to s. 56(1) of the </w:t>
            </w:r>
            <w:r w:rsidRPr="00330CC4">
              <w:rPr>
                <w:rFonts w:eastAsia="Calibri"/>
                <w:i/>
                <w:sz w:val="20"/>
              </w:rPr>
              <w:t>Family Services Act</w:t>
            </w:r>
            <w:r w:rsidRPr="00330CC4">
              <w:rPr>
                <w:rFonts w:eastAsia="Calibri"/>
                <w:sz w:val="20"/>
              </w:rPr>
              <w:t>, S.N.B. 1980, c. F-2.2</w:t>
            </w:r>
          </w:p>
          <w:p w:rsidR="004A1E2B" w:rsidRPr="00330CC4" w:rsidRDefault="004A1E2B" w:rsidP="007732B1">
            <w:pPr>
              <w:jc w:val="both"/>
              <w:rPr>
                <w:rFonts w:eastAsia="Calibri"/>
                <w:sz w:val="20"/>
              </w:rPr>
            </w:pPr>
          </w:p>
        </w:tc>
      </w:tr>
      <w:tr w:rsidR="004A1E2B" w:rsidRPr="00330CC4" w:rsidTr="007732B1">
        <w:tc>
          <w:tcPr>
            <w:tcW w:w="2427" w:type="pct"/>
          </w:tcPr>
          <w:p w:rsidR="004A1E2B" w:rsidRPr="00330CC4" w:rsidRDefault="004A1E2B" w:rsidP="007732B1">
            <w:pPr>
              <w:jc w:val="both"/>
              <w:rPr>
                <w:rFonts w:eastAsia="Calibri"/>
                <w:sz w:val="20"/>
              </w:rPr>
            </w:pPr>
            <w:r w:rsidRPr="00330CC4">
              <w:rPr>
                <w:rFonts w:eastAsia="Calibri"/>
                <w:sz w:val="20"/>
              </w:rPr>
              <w:t>April 9, 2014</w:t>
            </w:r>
          </w:p>
          <w:p w:rsidR="004A1E2B" w:rsidRPr="00330CC4" w:rsidRDefault="004A1E2B" w:rsidP="007732B1">
            <w:pPr>
              <w:jc w:val="both"/>
              <w:rPr>
                <w:rFonts w:eastAsia="Calibri"/>
                <w:sz w:val="20"/>
              </w:rPr>
            </w:pPr>
            <w:r w:rsidRPr="00330CC4">
              <w:rPr>
                <w:rFonts w:eastAsia="Calibri"/>
                <w:sz w:val="20"/>
              </w:rPr>
              <w:t>Court of Appeal of New Brunswick</w:t>
            </w:r>
          </w:p>
          <w:p w:rsidR="004A1E2B" w:rsidRPr="00330CC4" w:rsidRDefault="004A1E2B" w:rsidP="007732B1">
            <w:pPr>
              <w:jc w:val="both"/>
              <w:rPr>
                <w:rFonts w:eastAsia="Calibri"/>
                <w:sz w:val="20"/>
              </w:rPr>
            </w:pPr>
            <w:r w:rsidRPr="00330CC4">
              <w:rPr>
                <w:rFonts w:eastAsia="Calibri"/>
                <w:sz w:val="20"/>
              </w:rPr>
              <w:t>(Larlee, Richard and Quigg JJ.A.)</w:t>
            </w:r>
          </w:p>
          <w:p w:rsidR="004A1E2B" w:rsidRPr="00330CC4" w:rsidRDefault="004A1E2B" w:rsidP="007732B1">
            <w:pPr>
              <w:jc w:val="both"/>
              <w:rPr>
                <w:rFonts w:eastAsia="Calibri"/>
                <w:sz w:val="20"/>
              </w:rPr>
            </w:pPr>
            <w:r w:rsidRPr="00330CC4">
              <w:rPr>
                <w:rFonts w:eastAsia="Calibri"/>
                <w:sz w:val="20"/>
              </w:rPr>
              <w:t>95-13-CA</w:t>
            </w:r>
          </w:p>
          <w:p w:rsidR="004A1E2B" w:rsidRPr="00330CC4" w:rsidRDefault="00F677DC" w:rsidP="007732B1">
            <w:pPr>
              <w:jc w:val="both"/>
              <w:rPr>
                <w:rFonts w:eastAsia="Calibri"/>
                <w:sz w:val="20"/>
              </w:rPr>
            </w:pPr>
            <w:hyperlink r:id="rId36" w:history="1">
              <w:r w:rsidR="004A1E2B" w:rsidRPr="00330CC4">
                <w:rPr>
                  <w:rFonts w:eastAsia="Calibri"/>
                  <w:color w:val="0000FF"/>
                  <w:sz w:val="20"/>
                  <w:u w:val="single"/>
                </w:rPr>
                <w:t>2014 NBCA 20</w:t>
              </w:r>
            </w:hyperlink>
          </w:p>
          <w:p w:rsidR="004A1E2B" w:rsidRPr="00330CC4" w:rsidRDefault="004A1E2B" w:rsidP="007732B1">
            <w:pPr>
              <w:jc w:val="both"/>
              <w:rPr>
                <w:rFonts w:eastAsia="Calibri"/>
                <w:sz w:val="20"/>
              </w:rPr>
            </w:pPr>
          </w:p>
        </w:tc>
        <w:tc>
          <w:tcPr>
            <w:tcW w:w="243" w:type="pct"/>
          </w:tcPr>
          <w:p w:rsidR="004A1E2B" w:rsidRPr="00330CC4" w:rsidRDefault="004A1E2B" w:rsidP="007732B1">
            <w:pPr>
              <w:jc w:val="both"/>
              <w:rPr>
                <w:rFonts w:eastAsia="Calibri"/>
                <w:sz w:val="20"/>
              </w:rPr>
            </w:pPr>
          </w:p>
        </w:tc>
        <w:tc>
          <w:tcPr>
            <w:tcW w:w="2330" w:type="pct"/>
          </w:tcPr>
          <w:p w:rsidR="004A1E2B" w:rsidRPr="00330CC4" w:rsidRDefault="004A1E2B" w:rsidP="007732B1">
            <w:pPr>
              <w:jc w:val="both"/>
              <w:rPr>
                <w:rFonts w:eastAsia="Calibri"/>
                <w:sz w:val="20"/>
              </w:rPr>
            </w:pPr>
            <w:r w:rsidRPr="00330CC4">
              <w:rPr>
                <w:rFonts w:eastAsia="Calibri"/>
                <w:sz w:val="20"/>
              </w:rPr>
              <w:t>Appeal dismissed</w:t>
            </w:r>
          </w:p>
          <w:p w:rsidR="004A1E2B" w:rsidRPr="00330CC4" w:rsidRDefault="004A1E2B" w:rsidP="007732B1">
            <w:pPr>
              <w:jc w:val="both"/>
              <w:rPr>
                <w:rFonts w:eastAsia="Calibri"/>
                <w:sz w:val="20"/>
              </w:rPr>
            </w:pPr>
          </w:p>
        </w:tc>
      </w:tr>
      <w:tr w:rsidR="004A1E2B" w:rsidRPr="00330CC4" w:rsidTr="007732B1">
        <w:tc>
          <w:tcPr>
            <w:tcW w:w="2427" w:type="pct"/>
          </w:tcPr>
          <w:p w:rsidR="004A1E2B" w:rsidRPr="00330CC4" w:rsidRDefault="004A1E2B" w:rsidP="007732B1">
            <w:pPr>
              <w:jc w:val="both"/>
              <w:rPr>
                <w:rFonts w:eastAsia="Calibri"/>
                <w:sz w:val="20"/>
              </w:rPr>
            </w:pPr>
            <w:r w:rsidRPr="00330CC4">
              <w:rPr>
                <w:rFonts w:eastAsia="Calibri"/>
                <w:sz w:val="20"/>
              </w:rPr>
              <w:t>June 5, 2014</w:t>
            </w:r>
          </w:p>
          <w:p w:rsidR="004A1E2B" w:rsidRPr="00330CC4" w:rsidRDefault="004A1E2B" w:rsidP="007732B1">
            <w:pPr>
              <w:jc w:val="both"/>
              <w:rPr>
                <w:rFonts w:eastAsia="Calibri"/>
                <w:sz w:val="20"/>
              </w:rPr>
            </w:pPr>
            <w:r w:rsidRPr="00330CC4">
              <w:rPr>
                <w:rFonts w:eastAsia="Calibri"/>
                <w:sz w:val="20"/>
              </w:rPr>
              <w:t>Supreme Court of Canada</w:t>
            </w:r>
          </w:p>
          <w:p w:rsidR="004A1E2B" w:rsidRPr="00330CC4" w:rsidRDefault="004A1E2B" w:rsidP="007732B1">
            <w:pPr>
              <w:jc w:val="both"/>
              <w:rPr>
                <w:rFonts w:eastAsia="Calibri"/>
                <w:sz w:val="20"/>
              </w:rPr>
            </w:pPr>
          </w:p>
        </w:tc>
        <w:tc>
          <w:tcPr>
            <w:tcW w:w="243" w:type="pct"/>
          </w:tcPr>
          <w:p w:rsidR="004A1E2B" w:rsidRPr="00330CC4" w:rsidRDefault="004A1E2B" w:rsidP="007732B1">
            <w:pPr>
              <w:jc w:val="both"/>
              <w:rPr>
                <w:rFonts w:eastAsia="Calibri"/>
                <w:sz w:val="20"/>
              </w:rPr>
            </w:pPr>
          </w:p>
        </w:tc>
        <w:tc>
          <w:tcPr>
            <w:tcW w:w="2330" w:type="pct"/>
          </w:tcPr>
          <w:p w:rsidR="004A1E2B" w:rsidRPr="00330CC4" w:rsidRDefault="004A1E2B" w:rsidP="007732B1">
            <w:pPr>
              <w:jc w:val="both"/>
              <w:rPr>
                <w:rFonts w:eastAsia="Calibri"/>
                <w:sz w:val="20"/>
              </w:rPr>
            </w:pPr>
            <w:r w:rsidRPr="00330CC4">
              <w:rPr>
                <w:rFonts w:eastAsia="Calibri"/>
                <w:sz w:val="20"/>
              </w:rPr>
              <w:t>Motion for extension of time to file and serve application for leave to appeal filed</w:t>
            </w:r>
          </w:p>
          <w:p w:rsidR="004A1E2B" w:rsidRPr="00330CC4" w:rsidRDefault="004A1E2B" w:rsidP="007732B1">
            <w:pPr>
              <w:jc w:val="both"/>
              <w:rPr>
                <w:rFonts w:eastAsia="Calibri"/>
                <w:sz w:val="20"/>
              </w:rPr>
            </w:pPr>
          </w:p>
        </w:tc>
      </w:tr>
    </w:tbl>
    <w:p w:rsidR="007732B1" w:rsidRDefault="007732B1">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A1E2B" w:rsidRPr="00330CC4" w:rsidTr="007732B1">
        <w:tc>
          <w:tcPr>
            <w:tcW w:w="2427" w:type="pct"/>
          </w:tcPr>
          <w:p w:rsidR="004A1E2B" w:rsidRPr="00330CC4" w:rsidRDefault="004A1E2B" w:rsidP="007732B1">
            <w:pPr>
              <w:jc w:val="both"/>
              <w:rPr>
                <w:rFonts w:eastAsia="Calibri"/>
                <w:sz w:val="20"/>
              </w:rPr>
            </w:pPr>
            <w:r w:rsidRPr="00330CC4">
              <w:rPr>
                <w:rFonts w:eastAsia="Calibri"/>
                <w:sz w:val="20"/>
              </w:rPr>
              <w:lastRenderedPageBreak/>
              <w:t>July 7, 2014</w:t>
            </w:r>
          </w:p>
          <w:p w:rsidR="004A1E2B" w:rsidRPr="00330CC4" w:rsidRDefault="004A1E2B" w:rsidP="007732B1">
            <w:pPr>
              <w:jc w:val="both"/>
              <w:rPr>
                <w:rFonts w:eastAsia="Calibri"/>
                <w:sz w:val="20"/>
              </w:rPr>
            </w:pPr>
            <w:r w:rsidRPr="00330CC4">
              <w:rPr>
                <w:rFonts w:eastAsia="Calibri"/>
                <w:sz w:val="20"/>
              </w:rPr>
              <w:t>Supreme Court of Canada</w:t>
            </w:r>
          </w:p>
        </w:tc>
        <w:tc>
          <w:tcPr>
            <w:tcW w:w="243" w:type="pct"/>
          </w:tcPr>
          <w:p w:rsidR="004A1E2B" w:rsidRPr="00330CC4" w:rsidRDefault="004A1E2B" w:rsidP="007732B1">
            <w:pPr>
              <w:jc w:val="both"/>
              <w:rPr>
                <w:rFonts w:eastAsia="Calibri"/>
                <w:sz w:val="20"/>
              </w:rPr>
            </w:pPr>
          </w:p>
        </w:tc>
        <w:tc>
          <w:tcPr>
            <w:tcW w:w="2330" w:type="pct"/>
          </w:tcPr>
          <w:p w:rsidR="004A1E2B" w:rsidRPr="00330CC4" w:rsidRDefault="004A1E2B" w:rsidP="007732B1">
            <w:pPr>
              <w:jc w:val="both"/>
              <w:rPr>
                <w:rFonts w:eastAsia="Calibri"/>
                <w:sz w:val="20"/>
              </w:rPr>
            </w:pPr>
            <w:r w:rsidRPr="00330CC4">
              <w:rPr>
                <w:rFonts w:eastAsia="Calibri"/>
                <w:sz w:val="20"/>
              </w:rPr>
              <w:t>Application for leave to appeal filed</w:t>
            </w:r>
          </w:p>
        </w:tc>
      </w:tr>
    </w:tbl>
    <w:p w:rsidR="00185470" w:rsidRDefault="00185470" w:rsidP="00185470">
      <w:pPr>
        <w:rPr>
          <w:sz w:val="20"/>
          <w:szCs w:val="20"/>
        </w:rPr>
      </w:pPr>
    </w:p>
    <w:p w:rsidR="00185470" w:rsidRPr="00C50A5C" w:rsidRDefault="00F677DC" w:rsidP="00185470">
      <w:pPr>
        <w:rPr>
          <w:sz w:val="20"/>
          <w:szCs w:val="20"/>
        </w:rPr>
      </w:pPr>
      <w:r>
        <w:rPr>
          <w:sz w:val="20"/>
          <w:szCs w:val="20"/>
          <w:lang w:val="fr-CA"/>
        </w:rPr>
        <w:pict>
          <v:rect id="_x0000_i1065" style="width:2in;height:1pt" o:hrpct="0" o:hralign="center" o:hrstd="t" o:hrnoshade="t" o:hr="t" fillcolor="black [3213]" stroked="f"/>
        </w:pict>
      </w:r>
    </w:p>
    <w:p w:rsidR="00185470" w:rsidRDefault="00185470" w:rsidP="00185470">
      <w:pPr>
        <w:rPr>
          <w:sz w:val="20"/>
          <w:szCs w:val="20"/>
        </w:rPr>
      </w:pPr>
    </w:p>
    <w:p w:rsidR="00185470" w:rsidRPr="001B157C" w:rsidRDefault="00185470" w:rsidP="00185470">
      <w:pPr>
        <w:rPr>
          <w:sz w:val="20"/>
          <w:szCs w:val="20"/>
          <w:u w:val="single"/>
          <w:lang w:val="fr-CA"/>
        </w:rPr>
      </w:pPr>
      <w:r w:rsidRPr="001B157C">
        <w:rPr>
          <w:sz w:val="20"/>
          <w:szCs w:val="20"/>
          <w:u w:val="single"/>
          <w:lang w:val="fr-CA"/>
        </w:rPr>
        <w:t>RÉSUMÉ DE L’AFFAIRE</w:t>
      </w:r>
    </w:p>
    <w:p w:rsidR="00185470" w:rsidRDefault="00185470" w:rsidP="0018547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A1E2B" w:rsidRPr="00F677DC" w:rsidTr="007732B1">
        <w:tc>
          <w:tcPr>
            <w:tcW w:w="5000" w:type="pct"/>
            <w:gridSpan w:val="3"/>
          </w:tcPr>
          <w:p w:rsidR="004A1E2B" w:rsidRPr="00330CC4" w:rsidRDefault="004A1E2B" w:rsidP="007732B1">
            <w:pPr>
              <w:widowControl w:val="0"/>
              <w:jc w:val="both"/>
              <w:rPr>
                <w:rFonts w:eastAsia="Calibri"/>
                <w:smallCaps/>
                <w:sz w:val="20"/>
                <w:lang w:val="fr-CA"/>
              </w:rPr>
            </w:pPr>
            <w:r w:rsidRPr="00330CC4">
              <w:rPr>
                <w:rFonts w:eastAsia="Calibri"/>
                <w:smallCaps/>
                <w:sz w:val="20"/>
                <w:lang w:val="fr-CA"/>
              </w:rPr>
              <w:t>(Ordonnance de non-publication dans le dossier)</w:t>
            </w:r>
          </w:p>
          <w:p w:rsidR="004A1E2B" w:rsidRPr="00330CC4" w:rsidRDefault="004A1E2B" w:rsidP="007732B1">
            <w:pPr>
              <w:jc w:val="both"/>
              <w:rPr>
                <w:rFonts w:eastAsia="Calibri"/>
                <w:smallCaps/>
                <w:sz w:val="20"/>
                <w:lang w:val="fr-CA"/>
              </w:rPr>
            </w:pPr>
            <w:r w:rsidRPr="00330CC4">
              <w:rPr>
                <w:rFonts w:eastAsia="Calibri"/>
                <w:smallCaps/>
                <w:sz w:val="20"/>
                <w:lang w:val="fr-CA"/>
              </w:rPr>
              <w:t xml:space="preserve">(Ordonnance de non-publication visant une partie) </w:t>
            </w:r>
          </w:p>
          <w:p w:rsidR="004A1E2B" w:rsidRPr="00330CC4" w:rsidRDefault="004A1E2B" w:rsidP="007732B1">
            <w:pPr>
              <w:jc w:val="both"/>
              <w:rPr>
                <w:rFonts w:eastAsia="Calibri"/>
                <w:smallCaps/>
                <w:sz w:val="20"/>
                <w:lang w:val="fr-CA"/>
              </w:rPr>
            </w:pPr>
            <w:r w:rsidRPr="00330CC4">
              <w:rPr>
                <w:rFonts w:eastAsia="Calibri"/>
                <w:bCs/>
                <w:smallCaps/>
                <w:sz w:val="20"/>
                <w:lang w:val="fr-FR"/>
              </w:rPr>
              <w:t>(</w:t>
            </w:r>
            <w:r>
              <w:rPr>
                <w:rFonts w:eastAsia="Calibri"/>
                <w:bCs/>
                <w:smallCaps/>
                <w:sz w:val="20"/>
                <w:lang w:val="fr-FR"/>
              </w:rPr>
              <w:t>L</w:t>
            </w:r>
            <w:r w:rsidRPr="00330CC4">
              <w:rPr>
                <w:rFonts w:eastAsia="Calibri"/>
                <w:bCs/>
                <w:smallCaps/>
                <w:sz w:val="20"/>
                <w:lang w:val="fr-FR"/>
              </w:rPr>
              <w:t>e dossier de la Cour renferme des données que le public n'est pas autorisé à consulter)</w:t>
            </w:r>
            <w:r w:rsidRPr="00330CC4">
              <w:rPr>
                <w:rFonts w:eastAsia="Calibri"/>
                <w:smallCaps/>
                <w:sz w:val="20"/>
                <w:lang w:val="fr-CA"/>
              </w:rPr>
              <w:t xml:space="preserve"> </w:t>
            </w:r>
          </w:p>
          <w:p w:rsidR="004A1E2B" w:rsidRPr="00330CC4" w:rsidRDefault="004A1E2B" w:rsidP="007732B1">
            <w:pPr>
              <w:jc w:val="both"/>
              <w:rPr>
                <w:rFonts w:eastAsia="Calibri"/>
                <w:sz w:val="20"/>
                <w:lang w:val="fr-CA"/>
              </w:rPr>
            </w:pPr>
          </w:p>
          <w:p w:rsidR="004A1E2B" w:rsidRPr="00330CC4" w:rsidRDefault="004A1E2B" w:rsidP="007732B1">
            <w:pPr>
              <w:jc w:val="both"/>
              <w:rPr>
                <w:rFonts w:eastAsia="Calibri"/>
                <w:sz w:val="20"/>
                <w:lang w:val="fr-CA"/>
              </w:rPr>
            </w:pPr>
            <w:r w:rsidRPr="00330CC4">
              <w:rPr>
                <w:rFonts w:eastAsia="Calibri"/>
                <w:sz w:val="20"/>
                <w:lang w:val="fr-CA"/>
              </w:rPr>
              <w:t>Droit de la famille – Ordonnance de tutelle – Intérêt supérieur des enfants – Le juge du procès a-t-il commis une erreur en effectuant une évaluation globale de l’intérêt supérieur des enfants?  – Est-ce que le juge du procès a commis une erreur en tenant le rôle de témoin expert et en faisant des inférences interdites aux experts? – Est-ce que l’avocat du ministre a fait preuve d’un préjugé argumentatif dans son inclusion des éléments de preuve et dans sa présentation de la cause?  Si oui, est-ce que le droit à l’équité procédurale des parties concernées a été violé? – Est-ce qu’il y a eu un délai institutionnel qui doit faire l’objet d’une réparation dans la présente cause?</w:t>
            </w:r>
          </w:p>
          <w:p w:rsidR="004A1E2B" w:rsidRPr="00330CC4" w:rsidRDefault="004A1E2B" w:rsidP="007732B1">
            <w:pPr>
              <w:jc w:val="both"/>
              <w:rPr>
                <w:rFonts w:eastAsia="Calibri"/>
                <w:sz w:val="20"/>
                <w:lang w:val="fr-CA"/>
              </w:rPr>
            </w:pPr>
          </w:p>
        </w:tc>
      </w:tr>
      <w:tr w:rsidR="004A1E2B" w:rsidRPr="00330CC4" w:rsidTr="007732B1">
        <w:tc>
          <w:tcPr>
            <w:tcW w:w="5000" w:type="pct"/>
            <w:gridSpan w:val="3"/>
          </w:tcPr>
          <w:p w:rsidR="004A1E2B" w:rsidRPr="00330CC4" w:rsidRDefault="004A1E2B" w:rsidP="007732B1">
            <w:pPr>
              <w:jc w:val="both"/>
              <w:rPr>
                <w:rFonts w:eastAsia="Calibri"/>
                <w:sz w:val="20"/>
                <w:lang w:val="fr-CA"/>
              </w:rPr>
            </w:pPr>
            <w:r w:rsidRPr="00330CC4">
              <w:rPr>
                <w:rFonts w:eastAsia="Calibri"/>
                <w:sz w:val="20"/>
                <w:lang w:val="fr-CA"/>
              </w:rPr>
              <w:t xml:space="preserve">En 2010, le ministre intimé a demandé la tutelle de trois des enfants des demandeurs, qui sont aujourd’hui âgés de 9 ans, 8 ans et 6 ans.  Une ordonnance de tutelle a été accordée puis par la suite infirmée par la Cour d’appel (voir </w:t>
            </w:r>
            <w:hyperlink r:id="rId37" w:history="1">
              <w:r w:rsidRPr="00330CC4">
                <w:rPr>
                  <w:rFonts w:eastAsia="Calibri"/>
                  <w:color w:val="0000FF"/>
                  <w:sz w:val="20"/>
                  <w:u w:val="single"/>
                  <w:lang w:val="fr-CA"/>
                </w:rPr>
                <w:t>2013 NBCA 35</w:t>
              </w:r>
            </w:hyperlink>
            <w:r w:rsidRPr="00330CC4">
              <w:rPr>
                <w:rFonts w:eastAsia="Calibri"/>
                <w:sz w:val="20"/>
                <w:lang w:val="fr-CA"/>
              </w:rPr>
              <w:t xml:space="preserve">).  L’ordonnance de tutelle a été ré-instruite en 2013 et accordée de nouveau au ministre.  Le juge du procès a qualifié le degré de négligence des parents de « scandaleux » et il a conclu que les trois enfants accusaient encore du retard dans leur développement.  De plus, le juge a trouvé que les enfants avaient ont subi un « stress indicible » et qu’ils étaient « effrayés, fâchés, rebelles, agressifs, anxieux, frustrés et absolument privés et assoiffés d’amour, d’affection, d’attention et tout simplement de compréhension ».  À son avis, il était dans l’intérêt supérieur des enfants que l’ordonnance de tutelle soit accordée.  Le juge du procès n’a pas accordé aux parents des droits d’accès aux enfants.  Or, les droits d’accès ont été réservés à la fratrie, aux demi-frères et aux demi-sœurs des trois enfants parce que les enfants auront besoin les uns des autres « pour démêler ce qu’ils ont vécu et trouver de la compréhension et un soutien mutuel ».  La Cour d’appel a rejeté l’appel des parents. </w:t>
            </w:r>
          </w:p>
        </w:tc>
      </w:tr>
      <w:tr w:rsidR="004A1E2B" w:rsidRPr="00330CC4" w:rsidTr="007732B1">
        <w:tc>
          <w:tcPr>
            <w:tcW w:w="5000" w:type="pct"/>
            <w:gridSpan w:val="3"/>
          </w:tcPr>
          <w:p w:rsidR="004A1E2B" w:rsidRPr="00330CC4" w:rsidRDefault="004A1E2B" w:rsidP="007732B1">
            <w:pPr>
              <w:jc w:val="both"/>
              <w:rPr>
                <w:rFonts w:eastAsia="Calibri"/>
                <w:sz w:val="20"/>
                <w:lang w:val="fr-CA"/>
              </w:rPr>
            </w:pPr>
          </w:p>
        </w:tc>
      </w:tr>
      <w:tr w:rsidR="004A1E2B" w:rsidRPr="00F677DC" w:rsidTr="007732B1">
        <w:tc>
          <w:tcPr>
            <w:tcW w:w="2427" w:type="pct"/>
          </w:tcPr>
          <w:p w:rsidR="004A1E2B" w:rsidRPr="00330CC4" w:rsidRDefault="004A1E2B" w:rsidP="007732B1">
            <w:pPr>
              <w:jc w:val="both"/>
              <w:rPr>
                <w:rFonts w:eastAsia="Calibri"/>
                <w:sz w:val="20"/>
                <w:lang w:val="fr-CA"/>
              </w:rPr>
            </w:pPr>
            <w:r w:rsidRPr="00330CC4">
              <w:rPr>
                <w:rFonts w:eastAsia="Calibri"/>
                <w:sz w:val="20"/>
                <w:lang w:val="fr-CA"/>
              </w:rPr>
              <w:t>20 août 2013</w:t>
            </w:r>
          </w:p>
          <w:p w:rsidR="004A1E2B" w:rsidRPr="00330CC4" w:rsidRDefault="004A1E2B" w:rsidP="007732B1">
            <w:pPr>
              <w:jc w:val="both"/>
              <w:rPr>
                <w:rFonts w:eastAsia="Calibri"/>
                <w:sz w:val="20"/>
                <w:lang w:val="fr-CA"/>
              </w:rPr>
            </w:pPr>
            <w:r w:rsidRPr="00330CC4">
              <w:rPr>
                <w:rFonts w:eastAsia="Calibri"/>
                <w:spacing w:val="-3"/>
                <w:sz w:val="20"/>
                <w:lang w:val="fr-CA"/>
              </w:rPr>
              <w:t xml:space="preserve">Cour du Banc de la Reine du Nouveau-Brunswick </w:t>
            </w:r>
            <w:r w:rsidRPr="00330CC4">
              <w:rPr>
                <w:rFonts w:eastAsia="Calibri"/>
                <w:sz w:val="20"/>
                <w:lang w:val="fr-CA"/>
              </w:rPr>
              <w:t xml:space="preserve"> </w:t>
            </w:r>
          </w:p>
          <w:p w:rsidR="004A1E2B" w:rsidRPr="00330CC4" w:rsidRDefault="004A1E2B" w:rsidP="007732B1">
            <w:pPr>
              <w:jc w:val="both"/>
              <w:rPr>
                <w:rFonts w:eastAsia="Calibri"/>
                <w:sz w:val="20"/>
                <w:lang w:val="fr-CA"/>
              </w:rPr>
            </w:pPr>
            <w:r w:rsidRPr="00330CC4">
              <w:rPr>
                <w:rFonts w:eastAsia="Calibri"/>
                <w:sz w:val="20"/>
                <w:lang w:val="fr-CA"/>
              </w:rPr>
              <w:t>(Juge Walsh)</w:t>
            </w:r>
          </w:p>
          <w:p w:rsidR="004A1E2B" w:rsidRPr="00330CC4" w:rsidRDefault="004A1E2B" w:rsidP="007732B1">
            <w:pPr>
              <w:jc w:val="both"/>
              <w:rPr>
                <w:rFonts w:eastAsia="Calibri"/>
                <w:sz w:val="20"/>
                <w:lang w:val="fr-CA"/>
              </w:rPr>
            </w:pPr>
            <w:r w:rsidRPr="00330CC4">
              <w:rPr>
                <w:rFonts w:eastAsia="Calibri"/>
                <w:sz w:val="20"/>
                <w:lang w:val="fr-CA"/>
              </w:rPr>
              <w:t>2013 NBQB 263</w:t>
            </w:r>
          </w:p>
          <w:p w:rsidR="004A1E2B" w:rsidRPr="00330CC4" w:rsidRDefault="004A1E2B" w:rsidP="007732B1">
            <w:pPr>
              <w:jc w:val="both"/>
              <w:rPr>
                <w:rFonts w:eastAsia="Calibri"/>
                <w:sz w:val="20"/>
                <w:lang w:val="fr-CA"/>
              </w:rPr>
            </w:pPr>
          </w:p>
        </w:tc>
        <w:tc>
          <w:tcPr>
            <w:tcW w:w="243" w:type="pct"/>
          </w:tcPr>
          <w:p w:rsidR="004A1E2B" w:rsidRPr="00330CC4" w:rsidRDefault="004A1E2B" w:rsidP="007732B1">
            <w:pPr>
              <w:jc w:val="both"/>
              <w:rPr>
                <w:rFonts w:eastAsia="Calibri"/>
                <w:sz w:val="20"/>
                <w:lang w:val="fr-CA"/>
              </w:rPr>
            </w:pPr>
          </w:p>
        </w:tc>
        <w:tc>
          <w:tcPr>
            <w:tcW w:w="2330" w:type="pct"/>
          </w:tcPr>
          <w:p w:rsidR="004A1E2B" w:rsidRPr="00330CC4" w:rsidRDefault="004A1E2B" w:rsidP="007732B1">
            <w:pPr>
              <w:jc w:val="both"/>
              <w:rPr>
                <w:rFonts w:eastAsia="Calibri"/>
                <w:sz w:val="20"/>
                <w:lang w:val="fr-CA"/>
              </w:rPr>
            </w:pPr>
            <w:r w:rsidRPr="00330CC4">
              <w:rPr>
                <w:rFonts w:eastAsia="Calibri"/>
                <w:sz w:val="20"/>
                <w:lang w:val="fr-CA"/>
              </w:rPr>
              <w:t xml:space="preserve">Tutelle de trois des enfants des demandeurs est transférée à l’intimé en vertu de l’art. 56(1) de la </w:t>
            </w:r>
            <w:r w:rsidRPr="00330CC4">
              <w:rPr>
                <w:rFonts w:eastAsia="Calibri"/>
                <w:i/>
                <w:sz w:val="20"/>
                <w:lang w:val="fr-CA"/>
              </w:rPr>
              <w:t>Loi sur les services à la famille</w:t>
            </w:r>
            <w:r w:rsidRPr="00330CC4">
              <w:rPr>
                <w:rFonts w:eastAsia="Calibri"/>
                <w:sz w:val="20"/>
                <w:lang w:val="fr-CA"/>
              </w:rPr>
              <w:t>, L.N.-B. 1980, c. F-2.2</w:t>
            </w:r>
          </w:p>
          <w:p w:rsidR="004A1E2B" w:rsidRPr="00330CC4" w:rsidRDefault="004A1E2B" w:rsidP="007732B1">
            <w:pPr>
              <w:jc w:val="both"/>
              <w:rPr>
                <w:rFonts w:eastAsia="Calibri"/>
                <w:sz w:val="20"/>
                <w:lang w:val="fr-CA"/>
              </w:rPr>
            </w:pPr>
          </w:p>
        </w:tc>
      </w:tr>
      <w:tr w:rsidR="004A1E2B" w:rsidRPr="00330CC4" w:rsidTr="007732B1">
        <w:tc>
          <w:tcPr>
            <w:tcW w:w="2427" w:type="pct"/>
          </w:tcPr>
          <w:p w:rsidR="004A1E2B" w:rsidRPr="00330CC4" w:rsidRDefault="004A1E2B" w:rsidP="007732B1">
            <w:pPr>
              <w:jc w:val="both"/>
              <w:rPr>
                <w:rFonts w:eastAsia="Calibri"/>
                <w:sz w:val="20"/>
                <w:lang w:val="fr-CA"/>
              </w:rPr>
            </w:pPr>
            <w:r w:rsidRPr="00330CC4">
              <w:rPr>
                <w:rFonts w:eastAsia="Calibri"/>
                <w:sz w:val="20"/>
                <w:lang w:val="fr-CA"/>
              </w:rPr>
              <w:t>9 avril 2014</w:t>
            </w:r>
          </w:p>
          <w:p w:rsidR="004A1E2B" w:rsidRPr="00330CC4" w:rsidRDefault="004A1E2B" w:rsidP="007732B1">
            <w:pPr>
              <w:jc w:val="both"/>
              <w:rPr>
                <w:rFonts w:eastAsia="Calibri"/>
                <w:sz w:val="20"/>
                <w:lang w:val="fr-CA"/>
              </w:rPr>
            </w:pPr>
            <w:r w:rsidRPr="00330CC4">
              <w:rPr>
                <w:rFonts w:eastAsia="Calibri"/>
                <w:sz w:val="20"/>
                <w:lang w:val="fr-CA"/>
              </w:rPr>
              <w:t>Cour d’appel du Nouveau-Brunswick</w:t>
            </w:r>
          </w:p>
          <w:p w:rsidR="004A1E2B" w:rsidRPr="00330CC4" w:rsidRDefault="004A1E2B" w:rsidP="007732B1">
            <w:pPr>
              <w:jc w:val="both"/>
              <w:rPr>
                <w:rFonts w:eastAsia="Calibri"/>
                <w:sz w:val="20"/>
                <w:lang w:val="fr-CA"/>
              </w:rPr>
            </w:pPr>
            <w:r w:rsidRPr="00330CC4">
              <w:rPr>
                <w:rFonts w:eastAsia="Calibri"/>
                <w:sz w:val="20"/>
                <w:lang w:val="fr-CA"/>
              </w:rPr>
              <w:t>(Juges Larlee, Richard et Quigg)</w:t>
            </w:r>
          </w:p>
          <w:p w:rsidR="004A1E2B" w:rsidRPr="00330CC4" w:rsidRDefault="004A1E2B" w:rsidP="007732B1">
            <w:pPr>
              <w:jc w:val="both"/>
              <w:rPr>
                <w:rFonts w:eastAsia="Calibri"/>
                <w:sz w:val="20"/>
                <w:lang w:val="fr-CA"/>
              </w:rPr>
            </w:pPr>
            <w:r w:rsidRPr="00330CC4">
              <w:rPr>
                <w:rFonts w:eastAsia="Calibri"/>
                <w:sz w:val="20"/>
                <w:lang w:val="fr-CA"/>
              </w:rPr>
              <w:t>95-13-CA</w:t>
            </w:r>
          </w:p>
          <w:p w:rsidR="004A1E2B" w:rsidRPr="00330CC4" w:rsidRDefault="00F677DC" w:rsidP="007732B1">
            <w:pPr>
              <w:jc w:val="both"/>
              <w:rPr>
                <w:rFonts w:eastAsia="Calibri"/>
                <w:sz w:val="20"/>
              </w:rPr>
            </w:pPr>
            <w:hyperlink r:id="rId38" w:history="1">
              <w:r w:rsidR="004A1E2B" w:rsidRPr="00330CC4">
                <w:rPr>
                  <w:rFonts w:eastAsia="Calibri"/>
                  <w:color w:val="0000FF"/>
                  <w:sz w:val="20"/>
                  <w:u w:val="single"/>
                </w:rPr>
                <w:t>2014 NBCA 20</w:t>
              </w:r>
            </w:hyperlink>
          </w:p>
          <w:p w:rsidR="004A1E2B" w:rsidRPr="00330CC4" w:rsidRDefault="004A1E2B" w:rsidP="007732B1">
            <w:pPr>
              <w:jc w:val="both"/>
              <w:rPr>
                <w:rFonts w:eastAsia="Calibri"/>
                <w:sz w:val="20"/>
              </w:rPr>
            </w:pPr>
          </w:p>
        </w:tc>
        <w:tc>
          <w:tcPr>
            <w:tcW w:w="243" w:type="pct"/>
          </w:tcPr>
          <w:p w:rsidR="004A1E2B" w:rsidRPr="00330CC4" w:rsidRDefault="004A1E2B" w:rsidP="007732B1">
            <w:pPr>
              <w:jc w:val="both"/>
              <w:rPr>
                <w:rFonts w:eastAsia="Calibri"/>
                <w:sz w:val="20"/>
              </w:rPr>
            </w:pPr>
          </w:p>
        </w:tc>
        <w:tc>
          <w:tcPr>
            <w:tcW w:w="2330" w:type="pct"/>
          </w:tcPr>
          <w:p w:rsidR="004A1E2B" w:rsidRPr="00330CC4" w:rsidRDefault="004A1E2B" w:rsidP="007732B1">
            <w:pPr>
              <w:jc w:val="both"/>
              <w:rPr>
                <w:rFonts w:eastAsia="Calibri"/>
                <w:sz w:val="20"/>
              </w:rPr>
            </w:pPr>
            <w:r w:rsidRPr="00330CC4">
              <w:rPr>
                <w:rFonts w:eastAsia="Calibri"/>
                <w:sz w:val="20"/>
              </w:rPr>
              <w:t>Appel rejeté</w:t>
            </w:r>
          </w:p>
          <w:p w:rsidR="004A1E2B" w:rsidRPr="00330CC4" w:rsidRDefault="004A1E2B" w:rsidP="007732B1">
            <w:pPr>
              <w:jc w:val="both"/>
              <w:rPr>
                <w:rFonts w:eastAsia="Calibri"/>
                <w:sz w:val="20"/>
              </w:rPr>
            </w:pPr>
          </w:p>
        </w:tc>
      </w:tr>
      <w:tr w:rsidR="004A1E2B" w:rsidRPr="00F677DC" w:rsidTr="007732B1">
        <w:tc>
          <w:tcPr>
            <w:tcW w:w="2427" w:type="pct"/>
          </w:tcPr>
          <w:p w:rsidR="004A1E2B" w:rsidRPr="00330CC4" w:rsidRDefault="004A1E2B" w:rsidP="007732B1">
            <w:pPr>
              <w:jc w:val="both"/>
              <w:rPr>
                <w:rFonts w:eastAsia="Calibri"/>
                <w:sz w:val="20"/>
              </w:rPr>
            </w:pPr>
            <w:r w:rsidRPr="00330CC4">
              <w:rPr>
                <w:rFonts w:eastAsia="Calibri"/>
                <w:sz w:val="20"/>
              </w:rPr>
              <w:t>5 juin 2014</w:t>
            </w:r>
          </w:p>
          <w:p w:rsidR="004A1E2B" w:rsidRPr="00330CC4" w:rsidRDefault="004A1E2B" w:rsidP="007732B1">
            <w:pPr>
              <w:jc w:val="both"/>
              <w:rPr>
                <w:rFonts w:eastAsia="Calibri"/>
                <w:sz w:val="20"/>
              </w:rPr>
            </w:pPr>
            <w:r w:rsidRPr="00330CC4">
              <w:rPr>
                <w:rFonts w:eastAsia="Calibri"/>
                <w:sz w:val="20"/>
                <w:lang w:val="fr-CA"/>
              </w:rPr>
              <w:t>Cour suprême du Canada</w:t>
            </w:r>
            <w:r w:rsidRPr="00330CC4">
              <w:rPr>
                <w:rFonts w:eastAsia="Calibri"/>
                <w:sz w:val="20"/>
              </w:rPr>
              <w:t xml:space="preserve"> </w:t>
            </w:r>
          </w:p>
          <w:p w:rsidR="004A1E2B" w:rsidRPr="00330CC4" w:rsidRDefault="004A1E2B" w:rsidP="007732B1">
            <w:pPr>
              <w:jc w:val="both"/>
              <w:rPr>
                <w:rFonts w:eastAsia="Calibri"/>
                <w:sz w:val="20"/>
              </w:rPr>
            </w:pPr>
          </w:p>
        </w:tc>
        <w:tc>
          <w:tcPr>
            <w:tcW w:w="243" w:type="pct"/>
          </w:tcPr>
          <w:p w:rsidR="004A1E2B" w:rsidRPr="00330CC4" w:rsidRDefault="004A1E2B" w:rsidP="007732B1">
            <w:pPr>
              <w:jc w:val="both"/>
              <w:rPr>
                <w:rFonts w:eastAsia="Calibri"/>
                <w:sz w:val="20"/>
              </w:rPr>
            </w:pPr>
          </w:p>
        </w:tc>
        <w:tc>
          <w:tcPr>
            <w:tcW w:w="2330" w:type="pct"/>
          </w:tcPr>
          <w:p w:rsidR="004A1E2B" w:rsidRPr="00330CC4" w:rsidRDefault="004A1E2B" w:rsidP="007732B1">
            <w:pPr>
              <w:jc w:val="both"/>
              <w:rPr>
                <w:rFonts w:eastAsia="Calibri"/>
                <w:sz w:val="20"/>
                <w:lang w:val="fr-CA"/>
              </w:rPr>
            </w:pPr>
            <w:r w:rsidRPr="00330CC4">
              <w:rPr>
                <w:rFonts w:eastAsia="Calibri"/>
                <w:sz w:val="20"/>
                <w:lang w:val="fr-CA"/>
              </w:rPr>
              <w:t xml:space="preserve">Requête en prorogation du délai de signification et de dépôt de la demande d’autorisation d’appel déposée </w:t>
            </w:r>
          </w:p>
          <w:p w:rsidR="004A1E2B" w:rsidRPr="00330CC4" w:rsidRDefault="004A1E2B" w:rsidP="007732B1">
            <w:pPr>
              <w:jc w:val="both"/>
              <w:rPr>
                <w:rFonts w:eastAsia="Calibri"/>
                <w:sz w:val="20"/>
                <w:lang w:val="fr-CA"/>
              </w:rPr>
            </w:pPr>
          </w:p>
        </w:tc>
      </w:tr>
      <w:tr w:rsidR="004A1E2B" w:rsidRPr="00330CC4" w:rsidTr="007732B1">
        <w:tc>
          <w:tcPr>
            <w:tcW w:w="2427" w:type="pct"/>
          </w:tcPr>
          <w:p w:rsidR="004A1E2B" w:rsidRPr="00330CC4" w:rsidRDefault="004A1E2B" w:rsidP="007732B1">
            <w:pPr>
              <w:jc w:val="both"/>
              <w:rPr>
                <w:rFonts w:eastAsia="Calibri"/>
                <w:sz w:val="20"/>
                <w:lang w:val="fr-CA"/>
              </w:rPr>
            </w:pPr>
            <w:r w:rsidRPr="00330CC4">
              <w:rPr>
                <w:rFonts w:eastAsia="Calibri"/>
                <w:sz w:val="20"/>
                <w:lang w:val="fr-CA"/>
              </w:rPr>
              <w:t>7 juillet 2014</w:t>
            </w:r>
          </w:p>
          <w:p w:rsidR="004A1E2B" w:rsidRPr="00330CC4" w:rsidRDefault="004A1E2B" w:rsidP="007732B1">
            <w:pPr>
              <w:jc w:val="both"/>
              <w:rPr>
                <w:rFonts w:eastAsia="Calibri"/>
                <w:sz w:val="20"/>
                <w:lang w:val="fr-CA"/>
              </w:rPr>
            </w:pPr>
            <w:r w:rsidRPr="00330CC4">
              <w:rPr>
                <w:rFonts w:eastAsia="Calibri"/>
                <w:sz w:val="20"/>
                <w:lang w:val="fr-CA"/>
              </w:rPr>
              <w:t>Cour suprême du Canada</w:t>
            </w:r>
          </w:p>
        </w:tc>
        <w:tc>
          <w:tcPr>
            <w:tcW w:w="243" w:type="pct"/>
          </w:tcPr>
          <w:p w:rsidR="004A1E2B" w:rsidRPr="00330CC4" w:rsidRDefault="004A1E2B" w:rsidP="007732B1">
            <w:pPr>
              <w:jc w:val="both"/>
              <w:rPr>
                <w:rFonts w:eastAsia="Calibri"/>
                <w:sz w:val="20"/>
                <w:lang w:val="fr-CA"/>
              </w:rPr>
            </w:pPr>
          </w:p>
        </w:tc>
        <w:tc>
          <w:tcPr>
            <w:tcW w:w="2330" w:type="pct"/>
          </w:tcPr>
          <w:p w:rsidR="004A1E2B" w:rsidRPr="00330CC4" w:rsidRDefault="004A1E2B" w:rsidP="007732B1">
            <w:pPr>
              <w:jc w:val="both"/>
              <w:rPr>
                <w:rFonts w:eastAsia="Calibri"/>
                <w:sz w:val="20"/>
              </w:rPr>
            </w:pPr>
            <w:r w:rsidRPr="00330CC4">
              <w:rPr>
                <w:rFonts w:eastAsia="Calibri"/>
                <w:color w:val="000000"/>
                <w:sz w:val="20"/>
                <w:lang w:val="fr-CA"/>
              </w:rPr>
              <w:t>Demande d’autorisation d’appel</w:t>
            </w:r>
            <w:r w:rsidRPr="00330CC4">
              <w:rPr>
                <w:rFonts w:eastAsia="Calibri"/>
                <w:sz w:val="20"/>
                <w:lang w:val="fr-CA"/>
              </w:rPr>
              <w:t xml:space="preserve"> déposée</w:t>
            </w:r>
          </w:p>
        </w:tc>
      </w:tr>
    </w:tbl>
    <w:p w:rsidR="00185470" w:rsidRDefault="00185470" w:rsidP="00185470">
      <w:pPr>
        <w:rPr>
          <w:sz w:val="20"/>
          <w:szCs w:val="20"/>
        </w:rPr>
      </w:pPr>
    </w:p>
    <w:p w:rsidR="00185470" w:rsidRDefault="00F677DC" w:rsidP="00185470">
      <w:pPr>
        <w:rPr>
          <w:sz w:val="20"/>
          <w:szCs w:val="20"/>
        </w:rPr>
      </w:pPr>
      <w:r>
        <w:rPr>
          <w:sz w:val="20"/>
          <w:szCs w:val="20"/>
          <w:lang w:val="fr-CA"/>
        </w:rPr>
        <w:pict>
          <v:rect id="_x0000_i1066" style="width:2in;height:1pt" o:hrpct="0" o:hralign="center" o:hrstd="t" o:hrnoshade="t" o:hr="t" fillcolor="black [3213]" stroked="f"/>
        </w:pict>
      </w:r>
    </w:p>
    <w:p w:rsidR="00185470" w:rsidRDefault="00185470" w:rsidP="00185470">
      <w:pPr>
        <w:rPr>
          <w:sz w:val="20"/>
          <w:szCs w:val="20"/>
          <w:lang w:val="fr-CA"/>
        </w:rPr>
      </w:pPr>
    </w:p>
    <w:tbl>
      <w:tblPr>
        <w:tblStyle w:val="TableGrid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34E7B" w:rsidRPr="00834E7B" w:rsidTr="003D0C01">
        <w:trPr>
          <w:cantSplit/>
        </w:trPr>
        <w:tc>
          <w:tcPr>
            <w:tcW w:w="1458" w:type="dxa"/>
          </w:tcPr>
          <w:p w:rsidR="00834E7B" w:rsidRPr="00834E7B" w:rsidRDefault="00834E7B" w:rsidP="00834E7B">
            <w:pPr>
              <w:rPr>
                <w:sz w:val="20"/>
                <w:szCs w:val="20"/>
              </w:rPr>
            </w:pPr>
            <w:r w:rsidRPr="00834E7B">
              <w:rPr>
                <w:b/>
                <w:sz w:val="20"/>
                <w:lang w:val="fr-CA"/>
              </w:rPr>
              <w:lastRenderedPageBreak/>
              <w:t>35936</w:t>
            </w:r>
          </w:p>
          <w:p w:rsidR="00834E7B" w:rsidRPr="00834E7B" w:rsidRDefault="00834E7B" w:rsidP="00834E7B">
            <w:pPr>
              <w:rPr>
                <w:b/>
                <w:sz w:val="20"/>
                <w:szCs w:val="20"/>
                <w:lang w:val="fr-CA"/>
              </w:rPr>
            </w:pPr>
          </w:p>
        </w:tc>
        <w:tc>
          <w:tcPr>
            <w:tcW w:w="8118" w:type="dxa"/>
          </w:tcPr>
          <w:p w:rsidR="00834E7B" w:rsidRPr="00834E7B" w:rsidRDefault="00834E7B" w:rsidP="00834E7B">
            <w:pPr>
              <w:rPr>
                <w:sz w:val="20"/>
                <w:szCs w:val="20"/>
              </w:rPr>
            </w:pPr>
            <w:r w:rsidRPr="00834E7B">
              <w:rPr>
                <w:b/>
                <w:sz w:val="20"/>
                <w:u w:val="single"/>
                <w:lang w:val="fr-CA"/>
              </w:rPr>
              <w:t>Paul Abi-Mansour v. Public Service Commission</w:t>
            </w:r>
            <w:r w:rsidRPr="00834E7B">
              <w:rPr>
                <w:sz w:val="20"/>
                <w:szCs w:val="20"/>
                <w:lang w:val="fr-CA"/>
              </w:rPr>
              <w:t xml:space="preserve"> (F.C.) </w:t>
            </w:r>
            <w:r w:rsidRPr="00834E7B">
              <w:rPr>
                <w:sz w:val="20"/>
                <w:szCs w:val="20"/>
              </w:rPr>
              <w:t>(Civil) (By Leave)</w:t>
            </w:r>
          </w:p>
          <w:p w:rsidR="00834E7B" w:rsidRPr="00834E7B" w:rsidRDefault="00834E7B" w:rsidP="00834E7B">
            <w:pPr>
              <w:rPr>
                <w:sz w:val="20"/>
                <w:szCs w:val="20"/>
              </w:rPr>
            </w:pPr>
          </w:p>
        </w:tc>
      </w:tr>
      <w:tr w:rsidR="00834E7B" w:rsidRPr="00834E7B" w:rsidTr="003D0C01">
        <w:trPr>
          <w:cantSplit/>
        </w:trPr>
        <w:tc>
          <w:tcPr>
            <w:tcW w:w="1458" w:type="dxa"/>
          </w:tcPr>
          <w:p w:rsidR="00834E7B" w:rsidRPr="00834E7B" w:rsidRDefault="00834E7B" w:rsidP="00834E7B">
            <w:pPr>
              <w:rPr>
                <w:sz w:val="20"/>
                <w:szCs w:val="20"/>
              </w:rPr>
            </w:pPr>
            <w:r w:rsidRPr="00834E7B">
              <w:rPr>
                <w:sz w:val="20"/>
                <w:szCs w:val="20"/>
              </w:rPr>
              <w:t>Coram :</w:t>
            </w:r>
          </w:p>
        </w:tc>
        <w:tc>
          <w:tcPr>
            <w:tcW w:w="8118" w:type="dxa"/>
          </w:tcPr>
          <w:p w:rsidR="00834E7B" w:rsidRPr="00834E7B" w:rsidRDefault="00834E7B" w:rsidP="00834E7B">
            <w:pPr>
              <w:rPr>
                <w:sz w:val="20"/>
                <w:szCs w:val="20"/>
              </w:rPr>
            </w:pPr>
            <w:r w:rsidRPr="00834E7B">
              <w:rPr>
                <w:sz w:val="20"/>
                <w:u w:val="single"/>
              </w:rPr>
              <w:t>McLachlin C.J. and Cromwell and Wagner JJ.</w:t>
            </w:r>
          </w:p>
          <w:p w:rsidR="00834E7B" w:rsidRPr="00834E7B" w:rsidRDefault="00834E7B" w:rsidP="00834E7B">
            <w:pPr>
              <w:rPr>
                <w:sz w:val="20"/>
                <w:szCs w:val="20"/>
                <w:u w:val="single"/>
              </w:rPr>
            </w:pPr>
          </w:p>
        </w:tc>
      </w:tr>
      <w:tr w:rsidR="00834E7B" w:rsidRPr="00F677DC" w:rsidTr="003D0C01">
        <w:trPr>
          <w:cantSplit/>
        </w:trPr>
        <w:tc>
          <w:tcPr>
            <w:tcW w:w="9576" w:type="dxa"/>
            <w:gridSpan w:val="2"/>
          </w:tcPr>
          <w:p w:rsidR="00834E7B" w:rsidRPr="00834E7B" w:rsidRDefault="00834E7B" w:rsidP="00834E7B">
            <w:pPr>
              <w:ind w:firstLine="720"/>
              <w:jc w:val="both"/>
              <w:rPr>
                <w:sz w:val="20"/>
                <w:szCs w:val="20"/>
              </w:rPr>
            </w:pPr>
            <w:r w:rsidRPr="00834E7B">
              <w:rPr>
                <w:sz w:val="20"/>
                <w:szCs w:val="20"/>
              </w:rPr>
              <w:t>The motion for an extension of time to serve and file the application for leave to appeal is granted.  The application for leave to appeal from the judgment of the Federal Court of Appeal, Number A-82-13, 2014 FCA 60, dated March 5, 2014, is dismissed with costs.</w:t>
            </w:r>
          </w:p>
          <w:p w:rsidR="00834E7B" w:rsidRPr="00834E7B" w:rsidRDefault="00834E7B" w:rsidP="00834E7B">
            <w:pPr>
              <w:jc w:val="both"/>
              <w:rPr>
                <w:sz w:val="20"/>
                <w:szCs w:val="20"/>
              </w:rPr>
            </w:pPr>
          </w:p>
          <w:p w:rsidR="00834E7B" w:rsidRPr="00834E7B" w:rsidRDefault="00834E7B" w:rsidP="00834E7B">
            <w:pPr>
              <w:ind w:firstLine="720"/>
              <w:jc w:val="both"/>
              <w:rPr>
                <w:sz w:val="20"/>
                <w:szCs w:val="20"/>
                <w:lang w:val="fr-CA"/>
              </w:rPr>
            </w:pPr>
            <w:r w:rsidRPr="00834E7B">
              <w:rPr>
                <w:sz w:val="20"/>
                <w:szCs w:val="20"/>
                <w:lang w:val="fr-CA"/>
              </w:rPr>
              <w:t>La requête en prorogation du délai de signification et de dépôt de la demande d’autorisation d’appel est accueillie.  La demande d’autorisation d’appel de l’arrêt de la Cour d’appel fédérale, numéro A-82-13, 2014 CAF 60, daté du 5 mars 2014, est rejetée avec dépens.</w:t>
            </w:r>
          </w:p>
        </w:tc>
      </w:tr>
    </w:tbl>
    <w:p w:rsidR="00185470" w:rsidRPr="0016547E" w:rsidRDefault="00185470" w:rsidP="00185470">
      <w:pPr>
        <w:rPr>
          <w:sz w:val="20"/>
          <w:szCs w:val="20"/>
          <w:lang w:val="fr-CA"/>
        </w:rPr>
      </w:pPr>
    </w:p>
    <w:p w:rsidR="00185470" w:rsidRPr="001B157C" w:rsidRDefault="00185470" w:rsidP="00185470">
      <w:pPr>
        <w:rPr>
          <w:sz w:val="20"/>
          <w:szCs w:val="20"/>
          <w:u w:val="single"/>
        </w:rPr>
      </w:pPr>
      <w:r w:rsidRPr="001B157C">
        <w:rPr>
          <w:sz w:val="20"/>
          <w:szCs w:val="20"/>
          <w:u w:val="single"/>
        </w:rPr>
        <w:t>CASE SUMMARY</w:t>
      </w:r>
    </w:p>
    <w:p w:rsidR="00185470" w:rsidRDefault="00185470" w:rsidP="0018547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04DB4" w:rsidRPr="00330CC4" w:rsidTr="007732B1">
        <w:tc>
          <w:tcPr>
            <w:tcW w:w="5000" w:type="pct"/>
            <w:gridSpan w:val="3"/>
          </w:tcPr>
          <w:p w:rsidR="00504DB4" w:rsidRPr="00330CC4" w:rsidRDefault="00504DB4" w:rsidP="007732B1">
            <w:pPr>
              <w:jc w:val="both"/>
              <w:rPr>
                <w:rFonts w:eastAsia="Calibri"/>
                <w:sz w:val="20"/>
              </w:rPr>
            </w:pPr>
            <w:r w:rsidRPr="00330CC4">
              <w:rPr>
                <w:rFonts w:eastAsia="Calibri"/>
                <w:sz w:val="20"/>
              </w:rPr>
              <w:t xml:space="preserve">Civil procedure – Parties – Addition – Applicant screened out of competition for position with Public Service Commission – Applicant filing complaint with Public Service Staffing Tribunal pursuant to the </w:t>
            </w:r>
            <w:r w:rsidRPr="00330CC4">
              <w:rPr>
                <w:rFonts w:eastAsia="Calibri"/>
                <w:i/>
                <w:sz w:val="20"/>
              </w:rPr>
              <w:t>Public Service Employment Act</w:t>
            </w:r>
            <w:r w:rsidRPr="00330CC4">
              <w:rPr>
                <w:rFonts w:eastAsia="Calibri"/>
                <w:sz w:val="20"/>
              </w:rPr>
              <w:t>, S.C. 2003, c. 22 and requesting that Treasury Board be added as a party to proceedings – Tribunal denying request.</w:t>
            </w:r>
          </w:p>
        </w:tc>
      </w:tr>
      <w:tr w:rsidR="00504DB4" w:rsidRPr="00330CC4" w:rsidTr="007732B1">
        <w:tc>
          <w:tcPr>
            <w:tcW w:w="5000" w:type="pct"/>
            <w:gridSpan w:val="3"/>
          </w:tcPr>
          <w:p w:rsidR="00504DB4" w:rsidRPr="00330CC4" w:rsidRDefault="00504DB4" w:rsidP="007732B1">
            <w:pPr>
              <w:jc w:val="both"/>
              <w:rPr>
                <w:rFonts w:eastAsia="Calibri"/>
                <w:sz w:val="20"/>
              </w:rPr>
            </w:pPr>
          </w:p>
        </w:tc>
      </w:tr>
      <w:tr w:rsidR="00504DB4" w:rsidRPr="00330CC4" w:rsidTr="007732B1">
        <w:tc>
          <w:tcPr>
            <w:tcW w:w="5000" w:type="pct"/>
            <w:gridSpan w:val="3"/>
          </w:tcPr>
          <w:p w:rsidR="00504DB4" w:rsidRPr="00330CC4" w:rsidRDefault="00504DB4" w:rsidP="007732B1">
            <w:pPr>
              <w:jc w:val="both"/>
              <w:rPr>
                <w:rFonts w:eastAsia="Calibri"/>
                <w:sz w:val="20"/>
              </w:rPr>
            </w:pPr>
            <w:r w:rsidRPr="00330CC4">
              <w:rPr>
                <w:rFonts w:eastAsia="Calibri"/>
                <w:sz w:val="20"/>
              </w:rPr>
              <w:t xml:space="preserve">Mr. Abi-Mansour applied for an employment opportunity advertised by the Public Service Commission in late 2010, but was screened out of the selection process.  He filed a complaint under the </w:t>
            </w:r>
            <w:r w:rsidRPr="00330CC4">
              <w:rPr>
                <w:rFonts w:eastAsia="Calibri"/>
                <w:i/>
                <w:sz w:val="20"/>
              </w:rPr>
              <w:t>Public Service Employment Act</w:t>
            </w:r>
            <w:r w:rsidRPr="00330CC4">
              <w:rPr>
                <w:rFonts w:eastAsia="Calibri"/>
                <w:sz w:val="20"/>
              </w:rPr>
              <w:t>, making certain allegations that involved Treasury Board.  His request that the Public Service Staffing Tribunal add Treasury Board as a party to the proceeding was refused.</w:t>
            </w:r>
          </w:p>
          <w:p w:rsidR="00504DB4" w:rsidRPr="00330CC4" w:rsidRDefault="00504DB4" w:rsidP="007732B1">
            <w:pPr>
              <w:jc w:val="both"/>
              <w:rPr>
                <w:rFonts w:eastAsia="Calibri"/>
                <w:sz w:val="20"/>
              </w:rPr>
            </w:pPr>
          </w:p>
        </w:tc>
      </w:tr>
      <w:tr w:rsidR="00504DB4" w:rsidRPr="00330CC4" w:rsidTr="007732B1">
        <w:tc>
          <w:tcPr>
            <w:tcW w:w="2427" w:type="pct"/>
          </w:tcPr>
          <w:p w:rsidR="00504DB4" w:rsidRPr="00330CC4" w:rsidRDefault="00504DB4" w:rsidP="007732B1">
            <w:pPr>
              <w:jc w:val="both"/>
              <w:rPr>
                <w:rFonts w:eastAsia="Calibri"/>
                <w:sz w:val="20"/>
              </w:rPr>
            </w:pPr>
            <w:r w:rsidRPr="00330CC4">
              <w:rPr>
                <w:rFonts w:eastAsia="Calibri"/>
                <w:sz w:val="20"/>
              </w:rPr>
              <w:t>February 7, 2013</w:t>
            </w:r>
          </w:p>
          <w:p w:rsidR="00504DB4" w:rsidRPr="00330CC4" w:rsidRDefault="00504DB4" w:rsidP="007732B1">
            <w:pPr>
              <w:jc w:val="both"/>
              <w:rPr>
                <w:rFonts w:eastAsia="Calibri"/>
                <w:sz w:val="20"/>
              </w:rPr>
            </w:pPr>
            <w:r w:rsidRPr="00330CC4">
              <w:rPr>
                <w:rFonts w:eastAsia="Calibri"/>
                <w:sz w:val="20"/>
              </w:rPr>
              <w:t>Federal Court</w:t>
            </w:r>
          </w:p>
          <w:p w:rsidR="00504DB4" w:rsidRPr="00330CC4" w:rsidRDefault="00504DB4" w:rsidP="007732B1">
            <w:pPr>
              <w:jc w:val="both"/>
              <w:rPr>
                <w:rFonts w:eastAsia="Calibri"/>
                <w:sz w:val="20"/>
              </w:rPr>
            </w:pPr>
            <w:r w:rsidRPr="00330CC4">
              <w:rPr>
                <w:rFonts w:eastAsia="Calibri"/>
                <w:sz w:val="20"/>
              </w:rPr>
              <w:t>(Gagné J.)</w:t>
            </w:r>
          </w:p>
          <w:p w:rsidR="00504DB4" w:rsidRDefault="00504DB4" w:rsidP="007732B1">
            <w:pPr>
              <w:jc w:val="both"/>
              <w:rPr>
                <w:rFonts w:eastAsia="Calibri"/>
                <w:sz w:val="20"/>
              </w:rPr>
            </w:pPr>
            <w:r w:rsidRPr="00330CC4">
              <w:rPr>
                <w:rFonts w:eastAsia="Calibri"/>
                <w:sz w:val="20"/>
              </w:rPr>
              <w:t>Unreported</w:t>
            </w:r>
          </w:p>
          <w:p w:rsidR="008C1621" w:rsidRPr="00330CC4" w:rsidRDefault="008C1621" w:rsidP="007732B1">
            <w:pPr>
              <w:jc w:val="both"/>
              <w:rPr>
                <w:rFonts w:eastAsia="Calibri"/>
                <w:sz w:val="20"/>
              </w:rPr>
            </w:pPr>
          </w:p>
        </w:tc>
        <w:tc>
          <w:tcPr>
            <w:tcW w:w="243" w:type="pct"/>
          </w:tcPr>
          <w:p w:rsidR="00504DB4" w:rsidRPr="00330CC4" w:rsidRDefault="00504DB4" w:rsidP="007732B1">
            <w:pPr>
              <w:jc w:val="both"/>
              <w:rPr>
                <w:rFonts w:eastAsia="Calibri"/>
                <w:sz w:val="20"/>
              </w:rPr>
            </w:pPr>
          </w:p>
        </w:tc>
        <w:tc>
          <w:tcPr>
            <w:tcW w:w="2330" w:type="pct"/>
          </w:tcPr>
          <w:p w:rsidR="00504DB4" w:rsidRPr="00330CC4" w:rsidRDefault="00504DB4" w:rsidP="007732B1">
            <w:pPr>
              <w:jc w:val="both"/>
              <w:rPr>
                <w:rFonts w:eastAsia="Calibri"/>
                <w:sz w:val="20"/>
              </w:rPr>
            </w:pPr>
            <w:r w:rsidRPr="00330CC4">
              <w:rPr>
                <w:rFonts w:eastAsia="Calibri"/>
                <w:sz w:val="20"/>
              </w:rPr>
              <w:t>Applicant’s application for judicial review of decision by Public Service Staffing Tribunal dismissed</w:t>
            </w:r>
          </w:p>
          <w:p w:rsidR="00504DB4" w:rsidRPr="00330CC4" w:rsidRDefault="00504DB4" w:rsidP="007732B1">
            <w:pPr>
              <w:jc w:val="both"/>
              <w:rPr>
                <w:rFonts w:eastAsia="Calibri"/>
                <w:sz w:val="20"/>
              </w:rPr>
            </w:pPr>
          </w:p>
          <w:p w:rsidR="00504DB4" w:rsidRPr="00330CC4" w:rsidRDefault="00504DB4" w:rsidP="007732B1">
            <w:pPr>
              <w:jc w:val="both"/>
              <w:rPr>
                <w:rFonts w:eastAsia="Calibri"/>
                <w:sz w:val="20"/>
              </w:rPr>
            </w:pPr>
          </w:p>
        </w:tc>
      </w:tr>
      <w:tr w:rsidR="00504DB4" w:rsidRPr="00330CC4" w:rsidTr="007732B1">
        <w:tc>
          <w:tcPr>
            <w:tcW w:w="2427" w:type="pct"/>
          </w:tcPr>
          <w:p w:rsidR="00504DB4" w:rsidRPr="00330CC4" w:rsidRDefault="00504DB4" w:rsidP="007732B1">
            <w:pPr>
              <w:jc w:val="both"/>
              <w:rPr>
                <w:rFonts w:eastAsia="Calibri"/>
                <w:sz w:val="20"/>
              </w:rPr>
            </w:pPr>
            <w:r w:rsidRPr="00330CC4">
              <w:rPr>
                <w:rFonts w:eastAsia="Calibri"/>
                <w:sz w:val="20"/>
              </w:rPr>
              <w:t>March 5, 2014</w:t>
            </w:r>
          </w:p>
          <w:p w:rsidR="00504DB4" w:rsidRPr="00330CC4" w:rsidRDefault="00504DB4" w:rsidP="007732B1">
            <w:pPr>
              <w:jc w:val="both"/>
              <w:rPr>
                <w:rFonts w:eastAsia="Calibri"/>
                <w:sz w:val="20"/>
              </w:rPr>
            </w:pPr>
            <w:r w:rsidRPr="00330CC4">
              <w:rPr>
                <w:rFonts w:eastAsia="Calibri"/>
                <w:sz w:val="20"/>
              </w:rPr>
              <w:t>Federal Court of Appeal</w:t>
            </w:r>
          </w:p>
          <w:p w:rsidR="00504DB4" w:rsidRPr="00C71619" w:rsidRDefault="00504DB4" w:rsidP="007732B1">
            <w:pPr>
              <w:jc w:val="both"/>
              <w:rPr>
                <w:rFonts w:eastAsia="Calibri"/>
                <w:sz w:val="20"/>
              </w:rPr>
            </w:pPr>
            <w:r w:rsidRPr="00C71619">
              <w:rPr>
                <w:rFonts w:eastAsia="Calibri"/>
                <w:sz w:val="20"/>
              </w:rPr>
              <w:t>(Pelletier, Gauthier and Mainville JJ.A.)</w:t>
            </w:r>
          </w:p>
          <w:p w:rsidR="00504DB4" w:rsidRPr="00330CC4" w:rsidRDefault="00504DB4" w:rsidP="007732B1">
            <w:pPr>
              <w:jc w:val="both"/>
              <w:rPr>
                <w:rFonts w:eastAsia="Calibri"/>
                <w:sz w:val="20"/>
              </w:rPr>
            </w:pPr>
            <w:r w:rsidRPr="00330CC4">
              <w:rPr>
                <w:rFonts w:eastAsia="Calibri"/>
                <w:sz w:val="20"/>
              </w:rPr>
              <w:t>2014 FCA 60</w:t>
            </w:r>
          </w:p>
          <w:p w:rsidR="00504DB4" w:rsidRPr="00330CC4" w:rsidRDefault="00504DB4" w:rsidP="007732B1">
            <w:pPr>
              <w:jc w:val="both"/>
              <w:rPr>
                <w:rFonts w:eastAsia="Calibri"/>
                <w:sz w:val="20"/>
                <w:lang w:val="fr-CA"/>
              </w:rPr>
            </w:pPr>
          </w:p>
        </w:tc>
        <w:tc>
          <w:tcPr>
            <w:tcW w:w="243" w:type="pct"/>
          </w:tcPr>
          <w:p w:rsidR="00504DB4" w:rsidRPr="00330CC4" w:rsidRDefault="00504DB4" w:rsidP="007732B1">
            <w:pPr>
              <w:jc w:val="both"/>
              <w:rPr>
                <w:rFonts w:eastAsia="Calibri"/>
                <w:sz w:val="20"/>
                <w:lang w:val="fr-CA"/>
              </w:rPr>
            </w:pPr>
          </w:p>
        </w:tc>
        <w:tc>
          <w:tcPr>
            <w:tcW w:w="2330" w:type="pct"/>
          </w:tcPr>
          <w:p w:rsidR="00504DB4" w:rsidRPr="00330CC4" w:rsidRDefault="00504DB4" w:rsidP="007732B1">
            <w:pPr>
              <w:jc w:val="both"/>
              <w:rPr>
                <w:rFonts w:eastAsia="Calibri"/>
                <w:sz w:val="20"/>
              </w:rPr>
            </w:pPr>
            <w:r w:rsidRPr="00330CC4">
              <w:rPr>
                <w:rFonts w:eastAsia="Calibri"/>
                <w:sz w:val="20"/>
              </w:rPr>
              <w:t>Appeal dismissed</w:t>
            </w:r>
          </w:p>
          <w:p w:rsidR="00504DB4" w:rsidRPr="00330CC4" w:rsidRDefault="00504DB4" w:rsidP="007732B1">
            <w:pPr>
              <w:jc w:val="both"/>
              <w:rPr>
                <w:rFonts w:eastAsia="Calibri"/>
                <w:sz w:val="20"/>
              </w:rPr>
            </w:pPr>
          </w:p>
        </w:tc>
      </w:tr>
      <w:tr w:rsidR="00504DB4" w:rsidRPr="00330CC4" w:rsidTr="007732B1">
        <w:tc>
          <w:tcPr>
            <w:tcW w:w="2427" w:type="pct"/>
          </w:tcPr>
          <w:p w:rsidR="00504DB4" w:rsidRPr="00330CC4" w:rsidRDefault="00504DB4" w:rsidP="007732B1">
            <w:pPr>
              <w:jc w:val="both"/>
              <w:rPr>
                <w:rFonts w:eastAsia="Calibri"/>
                <w:sz w:val="20"/>
              </w:rPr>
            </w:pPr>
            <w:r w:rsidRPr="00330CC4">
              <w:rPr>
                <w:rFonts w:eastAsia="Calibri"/>
                <w:sz w:val="20"/>
              </w:rPr>
              <w:t>June 11, 2014</w:t>
            </w:r>
          </w:p>
          <w:p w:rsidR="00504DB4" w:rsidRPr="00330CC4" w:rsidRDefault="00504DB4" w:rsidP="007732B1">
            <w:pPr>
              <w:jc w:val="both"/>
              <w:rPr>
                <w:rFonts w:eastAsia="Calibri"/>
                <w:sz w:val="20"/>
              </w:rPr>
            </w:pPr>
            <w:r w:rsidRPr="00330CC4">
              <w:rPr>
                <w:rFonts w:eastAsia="Calibri"/>
                <w:sz w:val="20"/>
              </w:rPr>
              <w:t>Supreme Court of Canada</w:t>
            </w:r>
          </w:p>
        </w:tc>
        <w:tc>
          <w:tcPr>
            <w:tcW w:w="243" w:type="pct"/>
          </w:tcPr>
          <w:p w:rsidR="00504DB4" w:rsidRPr="00330CC4" w:rsidRDefault="00504DB4" w:rsidP="007732B1">
            <w:pPr>
              <w:jc w:val="both"/>
              <w:rPr>
                <w:rFonts w:eastAsia="Calibri"/>
                <w:sz w:val="20"/>
              </w:rPr>
            </w:pPr>
          </w:p>
        </w:tc>
        <w:tc>
          <w:tcPr>
            <w:tcW w:w="2330" w:type="pct"/>
          </w:tcPr>
          <w:p w:rsidR="00504DB4" w:rsidRPr="00330CC4" w:rsidRDefault="00504DB4" w:rsidP="007732B1">
            <w:pPr>
              <w:jc w:val="both"/>
              <w:rPr>
                <w:rFonts w:eastAsia="Calibri"/>
                <w:sz w:val="20"/>
              </w:rPr>
            </w:pPr>
            <w:r w:rsidRPr="00330CC4">
              <w:rPr>
                <w:rFonts w:eastAsia="Calibri"/>
                <w:sz w:val="20"/>
              </w:rPr>
              <w:t>Motion for extension of time in which to serve and file application for leave to appeal and application for leave to appeal filed</w:t>
            </w:r>
          </w:p>
        </w:tc>
      </w:tr>
    </w:tbl>
    <w:p w:rsidR="00185470" w:rsidRDefault="00185470" w:rsidP="00185470">
      <w:pPr>
        <w:rPr>
          <w:sz w:val="20"/>
          <w:szCs w:val="20"/>
        </w:rPr>
      </w:pPr>
    </w:p>
    <w:p w:rsidR="00185470" w:rsidRPr="00C50A5C" w:rsidRDefault="00F677DC" w:rsidP="00185470">
      <w:pPr>
        <w:rPr>
          <w:sz w:val="20"/>
          <w:szCs w:val="20"/>
        </w:rPr>
      </w:pPr>
      <w:r>
        <w:rPr>
          <w:sz w:val="20"/>
          <w:szCs w:val="20"/>
          <w:lang w:val="fr-CA"/>
        </w:rPr>
        <w:pict>
          <v:rect id="_x0000_i1067" style="width:2in;height:1pt" o:hrpct="0" o:hralign="center" o:hrstd="t" o:hrnoshade="t" o:hr="t" fillcolor="black [3213]" stroked="f"/>
        </w:pict>
      </w:r>
    </w:p>
    <w:p w:rsidR="00185470" w:rsidRDefault="00185470" w:rsidP="00185470">
      <w:pPr>
        <w:rPr>
          <w:sz w:val="20"/>
          <w:szCs w:val="20"/>
        </w:rPr>
      </w:pPr>
    </w:p>
    <w:p w:rsidR="00185470" w:rsidRPr="001B157C" w:rsidRDefault="00185470" w:rsidP="00185470">
      <w:pPr>
        <w:rPr>
          <w:sz w:val="20"/>
          <w:szCs w:val="20"/>
          <w:u w:val="single"/>
          <w:lang w:val="fr-CA"/>
        </w:rPr>
      </w:pPr>
      <w:r w:rsidRPr="001B157C">
        <w:rPr>
          <w:sz w:val="20"/>
          <w:szCs w:val="20"/>
          <w:u w:val="single"/>
          <w:lang w:val="fr-CA"/>
        </w:rPr>
        <w:t>RÉSUMÉ DE L’AFFAIRE</w:t>
      </w:r>
    </w:p>
    <w:p w:rsidR="00185470" w:rsidRDefault="00185470" w:rsidP="0018547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04DB4" w:rsidRPr="00F677DC" w:rsidTr="007732B1">
        <w:tc>
          <w:tcPr>
            <w:tcW w:w="5000" w:type="pct"/>
            <w:gridSpan w:val="3"/>
          </w:tcPr>
          <w:p w:rsidR="00504DB4" w:rsidRPr="00330CC4" w:rsidRDefault="00504DB4" w:rsidP="007732B1">
            <w:pPr>
              <w:jc w:val="both"/>
              <w:rPr>
                <w:rFonts w:eastAsia="Calibri"/>
                <w:sz w:val="20"/>
                <w:lang w:val="fr-CA"/>
              </w:rPr>
            </w:pPr>
            <w:r w:rsidRPr="00330CC4">
              <w:rPr>
                <w:rFonts w:eastAsia="Calibri"/>
                <w:sz w:val="20"/>
                <w:lang w:val="fr-CA"/>
              </w:rPr>
              <w:t xml:space="preserve">Procédure civile – Parties – Ajout – Demandeur a été éliminé à la présélection lors d’un concours pour un poste avec la Commission de la fonction publique – Demandeur a déposé une plainte auprès du Tribunal de la dotation de la fonction publique en vertu de la </w:t>
            </w:r>
            <w:r w:rsidRPr="00330CC4">
              <w:rPr>
                <w:rFonts w:eastAsia="Calibri"/>
                <w:i/>
                <w:sz w:val="20"/>
                <w:lang w:val="fr-CA"/>
              </w:rPr>
              <w:t>Loi sur l’emploi dans la fonction publique</w:t>
            </w:r>
            <w:r w:rsidRPr="00330CC4">
              <w:rPr>
                <w:rFonts w:eastAsia="Calibri"/>
                <w:sz w:val="20"/>
                <w:lang w:val="fr-CA"/>
              </w:rPr>
              <w:t xml:space="preserve">, L.C. 2003, c. 22 et a demandé que le Conseil du Trésor soit ajouté comme partie à la procédure – La demande a été refusée par le Tribunal. </w:t>
            </w:r>
          </w:p>
        </w:tc>
      </w:tr>
      <w:tr w:rsidR="00504DB4" w:rsidRPr="00F677DC" w:rsidTr="007732B1">
        <w:tc>
          <w:tcPr>
            <w:tcW w:w="5000" w:type="pct"/>
            <w:gridSpan w:val="3"/>
          </w:tcPr>
          <w:p w:rsidR="00504DB4" w:rsidRPr="00330CC4" w:rsidRDefault="00504DB4" w:rsidP="007732B1">
            <w:pPr>
              <w:jc w:val="both"/>
              <w:rPr>
                <w:rFonts w:eastAsia="Calibri"/>
                <w:sz w:val="20"/>
                <w:lang w:val="fr-CA"/>
              </w:rPr>
            </w:pPr>
          </w:p>
        </w:tc>
      </w:tr>
      <w:tr w:rsidR="00504DB4" w:rsidRPr="00F677DC" w:rsidTr="007732B1">
        <w:tc>
          <w:tcPr>
            <w:tcW w:w="5000" w:type="pct"/>
            <w:gridSpan w:val="3"/>
          </w:tcPr>
          <w:p w:rsidR="00504DB4" w:rsidRPr="00330CC4" w:rsidRDefault="00504DB4" w:rsidP="007732B1">
            <w:pPr>
              <w:jc w:val="both"/>
              <w:rPr>
                <w:rFonts w:eastAsia="Calibri"/>
                <w:sz w:val="20"/>
                <w:lang w:val="fr-CA"/>
              </w:rPr>
            </w:pPr>
            <w:r w:rsidRPr="00330CC4">
              <w:rPr>
                <w:rFonts w:eastAsia="Calibri"/>
                <w:sz w:val="20"/>
                <w:lang w:val="fr-CA"/>
              </w:rPr>
              <w:t xml:space="preserve">Monsieur Abi-Mansour a postulé pour obtenir un emploi annoncé par la Commission de la fonction publique à la fin de 2010, mais il a été éliminé à la présélection.  Il a déposé une plainte en vertu de la </w:t>
            </w:r>
            <w:r w:rsidRPr="00330CC4">
              <w:rPr>
                <w:rFonts w:eastAsia="Calibri"/>
                <w:i/>
                <w:sz w:val="20"/>
                <w:lang w:val="fr-CA"/>
              </w:rPr>
              <w:t xml:space="preserve">Loi sur l’emploi dans la fonction </w:t>
            </w:r>
            <w:r w:rsidRPr="00330CC4">
              <w:rPr>
                <w:rFonts w:eastAsia="Calibri"/>
                <w:i/>
                <w:sz w:val="20"/>
                <w:lang w:val="fr-CA"/>
              </w:rPr>
              <w:lastRenderedPageBreak/>
              <w:t>publique</w:t>
            </w:r>
            <w:r w:rsidRPr="00330CC4">
              <w:rPr>
                <w:rFonts w:eastAsia="Calibri"/>
                <w:sz w:val="20"/>
                <w:lang w:val="fr-CA"/>
              </w:rPr>
              <w:t xml:space="preserve"> en faisant certaines allégations impliquant le Conseil du Trésor.  Sa demande d’ajouter le Conseil du Trésor comme partie à la procédure présentée au Tribunal de la dotation de la fonction publique a été refusée.</w:t>
            </w:r>
          </w:p>
          <w:p w:rsidR="00504DB4" w:rsidRPr="00330CC4" w:rsidRDefault="00504DB4" w:rsidP="007732B1">
            <w:pPr>
              <w:jc w:val="both"/>
              <w:rPr>
                <w:rFonts w:eastAsia="Calibri"/>
                <w:sz w:val="20"/>
                <w:lang w:val="fr-CA"/>
              </w:rPr>
            </w:pPr>
          </w:p>
        </w:tc>
      </w:tr>
      <w:tr w:rsidR="00504DB4" w:rsidRPr="00F677DC" w:rsidTr="007732B1">
        <w:tc>
          <w:tcPr>
            <w:tcW w:w="2427" w:type="pct"/>
          </w:tcPr>
          <w:p w:rsidR="00504DB4" w:rsidRPr="00330CC4" w:rsidRDefault="00504DB4" w:rsidP="007732B1">
            <w:pPr>
              <w:jc w:val="both"/>
              <w:rPr>
                <w:rFonts w:eastAsia="Calibri"/>
                <w:sz w:val="20"/>
                <w:lang w:val="fr-CA"/>
              </w:rPr>
            </w:pPr>
            <w:r w:rsidRPr="00330CC4">
              <w:rPr>
                <w:rFonts w:eastAsia="Calibri"/>
                <w:sz w:val="20"/>
                <w:lang w:val="fr-CA"/>
              </w:rPr>
              <w:lastRenderedPageBreak/>
              <w:t>7 février 2013</w:t>
            </w:r>
          </w:p>
          <w:p w:rsidR="00504DB4" w:rsidRPr="00330CC4" w:rsidRDefault="00504DB4" w:rsidP="007732B1">
            <w:pPr>
              <w:jc w:val="both"/>
              <w:rPr>
                <w:rFonts w:eastAsia="Calibri"/>
                <w:sz w:val="20"/>
                <w:lang w:val="fr-CA"/>
              </w:rPr>
            </w:pPr>
            <w:r w:rsidRPr="00330CC4">
              <w:rPr>
                <w:rFonts w:eastAsia="Calibri"/>
                <w:sz w:val="20"/>
                <w:lang w:val="fr-CA"/>
              </w:rPr>
              <w:t xml:space="preserve">Cour fédérale </w:t>
            </w:r>
          </w:p>
          <w:p w:rsidR="00504DB4" w:rsidRPr="00330CC4" w:rsidRDefault="00504DB4" w:rsidP="007732B1">
            <w:pPr>
              <w:jc w:val="both"/>
              <w:rPr>
                <w:rFonts w:eastAsia="Calibri"/>
                <w:sz w:val="20"/>
                <w:lang w:val="fr-CA"/>
              </w:rPr>
            </w:pPr>
            <w:r w:rsidRPr="00330CC4">
              <w:rPr>
                <w:rFonts w:eastAsia="Calibri"/>
                <w:sz w:val="20"/>
                <w:lang w:val="fr-CA"/>
              </w:rPr>
              <w:t>(Juge Gagné)</w:t>
            </w:r>
          </w:p>
          <w:p w:rsidR="00504DB4" w:rsidRPr="00330CC4" w:rsidRDefault="00504DB4" w:rsidP="007732B1">
            <w:pPr>
              <w:jc w:val="both"/>
              <w:rPr>
                <w:rFonts w:eastAsia="Calibri"/>
                <w:sz w:val="20"/>
              </w:rPr>
            </w:pPr>
            <w:r w:rsidRPr="00330CC4">
              <w:rPr>
                <w:rFonts w:eastAsia="Calibri"/>
                <w:sz w:val="20"/>
              </w:rPr>
              <w:t>Non publié</w:t>
            </w:r>
          </w:p>
          <w:p w:rsidR="00504DB4" w:rsidRPr="00330CC4" w:rsidRDefault="00504DB4" w:rsidP="007732B1">
            <w:pPr>
              <w:jc w:val="both"/>
              <w:rPr>
                <w:rFonts w:eastAsia="Calibri"/>
                <w:sz w:val="20"/>
              </w:rPr>
            </w:pPr>
          </w:p>
        </w:tc>
        <w:tc>
          <w:tcPr>
            <w:tcW w:w="243" w:type="pct"/>
          </w:tcPr>
          <w:p w:rsidR="00504DB4" w:rsidRPr="00330CC4" w:rsidRDefault="00504DB4" w:rsidP="007732B1">
            <w:pPr>
              <w:jc w:val="both"/>
              <w:rPr>
                <w:rFonts w:eastAsia="Calibri"/>
                <w:sz w:val="20"/>
              </w:rPr>
            </w:pPr>
          </w:p>
        </w:tc>
        <w:tc>
          <w:tcPr>
            <w:tcW w:w="2330" w:type="pct"/>
          </w:tcPr>
          <w:p w:rsidR="00504DB4" w:rsidRPr="00330CC4" w:rsidRDefault="00504DB4" w:rsidP="007732B1">
            <w:pPr>
              <w:jc w:val="both"/>
              <w:rPr>
                <w:rFonts w:eastAsia="Calibri"/>
                <w:sz w:val="20"/>
                <w:lang w:val="fr-CA"/>
              </w:rPr>
            </w:pPr>
            <w:r w:rsidRPr="00330CC4">
              <w:rPr>
                <w:rFonts w:eastAsia="Calibri"/>
                <w:sz w:val="20"/>
                <w:lang w:val="fr-CA"/>
              </w:rPr>
              <w:t xml:space="preserve">Demande de révision judiciaire de la décision du Tribunal de la dotation de la fonction publique du demandeur, rejetée </w:t>
            </w:r>
          </w:p>
          <w:p w:rsidR="00504DB4" w:rsidRPr="00330CC4" w:rsidRDefault="00504DB4" w:rsidP="007732B1">
            <w:pPr>
              <w:jc w:val="both"/>
              <w:rPr>
                <w:rFonts w:eastAsia="Calibri"/>
                <w:sz w:val="20"/>
                <w:lang w:val="fr-CA"/>
              </w:rPr>
            </w:pPr>
          </w:p>
        </w:tc>
      </w:tr>
      <w:tr w:rsidR="00504DB4" w:rsidRPr="00330CC4" w:rsidTr="007732B1">
        <w:tc>
          <w:tcPr>
            <w:tcW w:w="2427" w:type="pct"/>
          </w:tcPr>
          <w:p w:rsidR="00504DB4" w:rsidRPr="00330CC4" w:rsidRDefault="00504DB4" w:rsidP="007732B1">
            <w:pPr>
              <w:jc w:val="both"/>
              <w:rPr>
                <w:rFonts w:eastAsia="Calibri"/>
                <w:sz w:val="20"/>
                <w:lang w:val="fr-CA"/>
              </w:rPr>
            </w:pPr>
            <w:r w:rsidRPr="00330CC4">
              <w:rPr>
                <w:rFonts w:eastAsia="Calibri"/>
                <w:sz w:val="20"/>
                <w:lang w:val="fr-CA"/>
              </w:rPr>
              <w:t>5 mars 2014</w:t>
            </w:r>
          </w:p>
          <w:p w:rsidR="00504DB4" w:rsidRPr="00330CC4" w:rsidRDefault="00504DB4" w:rsidP="007732B1">
            <w:pPr>
              <w:jc w:val="both"/>
              <w:rPr>
                <w:rFonts w:eastAsia="Calibri"/>
                <w:sz w:val="20"/>
                <w:lang w:val="fr-CA"/>
              </w:rPr>
            </w:pPr>
            <w:r w:rsidRPr="00330CC4">
              <w:rPr>
                <w:rFonts w:eastAsia="Calibri"/>
                <w:sz w:val="20"/>
                <w:lang w:val="fr-CA"/>
              </w:rPr>
              <w:t>Cour d’appel fédérale</w:t>
            </w:r>
          </w:p>
          <w:p w:rsidR="00504DB4" w:rsidRPr="00330CC4" w:rsidRDefault="00504DB4" w:rsidP="007732B1">
            <w:pPr>
              <w:jc w:val="both"/>
              <w:rPr>
                <w:rFonts w:eastAsia="Calibri"/>
                <w:sz w:val="20"/>
                <w:lang w:val="fr-CA"/>
              </w:rPr>
            </w:pPr>
            <w:r w:rsidRPr="00330CC4">
              <w:rPr>
                <w:rFonts w:eastAsia="Calibri"/>
                <w:sz w:val="20"/>
                <w:lang w:val="fr-CA"/>
              </w:rPr>
              <w:t>(Juges Pelletier, Gauthier et Mainville)</w:t>
            </w:r>
          </w:p>
          <w:p w:rsidR="00504DB4" w:rsidRPr="00330CC4" w:rsidRDefault="00504DB4" w:rsidP="007732B1">
            <w:pPr>
              <w:jc w:val="both"/>
              <w:rPr>
                <w:rFonts w:eastAsia="Calibri"/>
                <w:sz w:val="20"/>
              </w:rPr>
            </w:pPr>
            <w:r w:rsidRPr="00330CC4">
              <w:rPr>
                <w:rFonts w:eastAsia="Calibri"/>
                <w:sz w:val="20"/>
              </w:rPr>
              <w:t>2014 FCA 60</w:t>
            </w:r>
          </w:p>
          <w:p w:rsidR="00504DB4" w:rsidRPr="00330CC4" w:rsidRDefault="00504DB4" w:rsidP="007732B1">
            <w:pPr>
              <w:jc w:val="both"/>
              <w:rPr>
                <w:rFonts w:eastAsia="Calibri"/>
                <w:sz w:val="20"/>
                <w:lang w:val="fr-CA"/>
              </w:rPr>
            </w:pPr>
          </w:p>
        </w:tc>
        <w:tc>
          <w:tcPr>
            <w:tcW w:w="243" w:type="pct"/>
          </w:tcPr>
          <w:p w:rsidR="00504DB4" w:rsidRPr="00330CC4" w:rsidRDefault="00504DB4" w:rsidP="007732B1">
            <w:pPr>
              <w:jc w:val="both"/>
              <w:rPr>
                <w:rFonts w:eastAsia="Calibri"/>
                <w:sz w:val="20"/>
                <w:lang w:val="fr-CA"/>
              </w:rPr>
            </w:pPr>
          </w:p>
        </w:tc>
        <w:tc>
          <w:tcPr>
            <w:tcW w:w="2330" w:type="pct"/>
          </w:tcPr>
          <w:p w:rsidR="00504DB4" w:rsidRPr="00330CC4" w:rsidRDefault="00504DB4" w:rsidP="007732B1">
            <w:pPr>
              <w:jc w:val="both"/>
              <w:rPr>
                <w:rFonts w:eastAsia="Calibri"/>
                <w:sz w:val="20"/>
              </w:rPr>
            </w:pPr>
            <w:r w:rsidRPr="00330CC4">
              <w:rPr>
                <w:rFonts w:eastAsia="Calibri"/>
                <w:sz w:val="20"/>
              </w:rPr>
              <w:t>Appel rejeté</w:t>
            </w:r>
          </w:p>
          <w:p w:rsidR="00504DB4" w:rsidRPr="00330CC4" w:rsidRDefault="00504DB4" w:rsidP="007732B1">
            <w:pPr>
              <w:jc w:val="both"/>
              <w:rPr>
                <w:rFonts w:eastAsia="Calibri"/>
                <w:sz w:val="20"/>
              </w:rPr>
            </w:pPr>
          </w:p>
        </w:tc>
      </w:tr>
      <w:tr w:rsidR="00504DB4" w:rsidRPr="00F677DC" w:rsidTr="007732B1">
        <w:tc>
          <w:tcPr>
            <w:tcW w:w="2427" w:type="pct"/>
          </w:tcPr>
          <w:p w:rsidR="00504DB4" w:rsidRPr="00330CC4" w:rsidRDefault="00504DB4" w:rsidP="007732B1">
            <w:pPr>
              <w:jc w:val="both"/>
              <w:rPr>
                <w:rFonts w:eastAsia="Calibri"/>
                <w:sz w:val="20"/>
                <w:lang w:val="fr-CA"/>
              </w:rPr>
            </w:pPr>
            <w:r w:rsidRPr="00330CC4">
              <w:rPr>
                <w:rFonts w:eastAsia="Calibri"/>
                <w:sz w:val="20"/>
                <w:lang w:val="fr-CA"/>
              </w:rPr>
              <w:t>11 juin 2014</w:t>
            </w:r>
          </w:p>
          <w:p w:rsidR="00504DB4" w:rsidRPr="00330CC4" w:rsidRDefault="00504DB4" w:rsidP="007732B1">
            <w:pPr>
              <w:jc w:val="both"/>
              <w:rPr>
                <w:rFonts w:eastAsia="Calibri"/>
                <w:sz w:val="20"/>
                <w:lang w:val="fr-CA"/>
              </w:rPr>
            </w:pPr>
            <w:r w:rsidRPr="00330CC4">
              <w:rPr>
                <w:rFonts w:eastAsia="Calibri"/>
                <w:sz w:val="20"/>
                <w:lang w:val="fr-CA"/>
              </w:rPr>
              <w:t>Cour suprême du Canada</w:t>
            </w:r>
          </w:p>
        </w:tc>
        <w:tc>
          <w:tcPr>
            <w:tcW w:w="243" w:type="pct"/>
          </w:tcPr>
          <w:p w:rsidR="00504DB4" w:rsidRPr="00330CC4" w:rsidRDefault="00504DB4" w:rsidP="007732B1">
            <w:pPr>
              <w:jc w:val="both"/>
              <w:rPr>
                <w:rFonts w:eastAsia="Calibri"/>
                <w:sz w:val="20"/>
                <w:lang w:val="fr-CA"/>
              </w:rPr>
            </w:pPr>
          </w:p>
        </w:tc>
        <w:tc>
          <w:tcPr>
            <w:tcW w:w="2330" w:type="pct"/>
          </w:tcPr>
          <w:p w:rsidR="00504DB4" w:rsidRPr="00330CC4" w:rsidRDefault="00504DB4" w:rsidP="007732B1">
            <w:pPr>
              <w:jc w:val="both"/>
              <w:rPr>
                <w:rFonts w:eastAsia="Calibri"/>
                <w:sz w:val="20"/>
                <w:lang w:val="fr-CA"/>
              </w:rPr>
            </w:pPr>
            <w:r w:rsidRPr="00330CC4">
              <w:rPr>
                <w:rFonts w:eastAsia="Calibri"/>
                <w:sz w:val="20"/>
                <w:lang w:val="fr-CA"/>
              </w:rPr>
              <w:t>Requête en prorogation du délai de signification et de dépôt de la demande d’autorisation d’appel et demande d’autorisation d’appel, déposées</w:t>
            </w:r>
          </w:p>
        </w:tc>
      </w:tr>
    </w:tbl>
    <w:p w:rsidR="00185470" w:rsidRPr="00504DB4" w:rsidRDefault="00185470" w:rsidP="00185470">
      <w:pPr>
        <w:rPr>
          <w:sz w:val="20"/>
          <w:szCs w:val="20"/>
          <w:lang w:val="fr-CA"/>
        </w:rPr>
      </w:pPr>
    </w:p>
    <w:p w:rsidR="00185470" w:rsidRDefault="00F677DC" w:rsidP="00185470">
      <w:pPr>
        <w:rPr>
          <w:sz w:val="20"/>
          <w:szCs w:val="20"/>
        </w:rPr>
      </w:pPr>
      <w:r>
        <w:rPr>
          <w:sz w:val="20"/>
          <w:szCs w:val="20"/>
          <w:lang w:val="fr-CA"/>
        </w:rPr>
        <w:pict>
          <v:rect id="_x0000_i1068" style="width:2in;height:1pt" o:hrpct="0" o:hralign="center" o:hrstd="t" o:hrnoshade="t" o:hr="t" fillcolor="black [3213]" stroked="f"/>
        </w:pict>
      </w:r>
    </w:p>
    <w:p w:rsidR="00185470" w:rsidRDefault="00185470" w:rsidP="00185470">
      <w:pPr>
        <w:rPr>
          <w:sz w:val="20"/>
          <w:szCs w:val="20"/>
        </w:rPr>
      </w:pPr>
    </w:p>
    <w:tbl>
      <w:tblPr>
        <w:tblStyle w:val="TableGrid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34E7B" w:rsidRPr="00834E7B" w:rsidTr="003D0C01">
        <w:trPr>
          <w:cantSplit/>
        </w:trPr>
        <w:tc>
          <w:tcPr>
            <w:tcW w:w="1458" w:type="dxa"/>
          </w:tcPr>
          <w:p w:rsidR="00834E7B" w:rsidRPr="00834E7B" w:rsidRDefault="00834E7B" w:rsidP="00834E7B">
            <w:pPr>
              <w:rPr>
                <w:sz w:val="20"/>
                <w:szCs w:val="20"/>
              </w:rPr>
            </w:pPr>
            <w:r w:rsidRPr="00834E7B">
              <w:rPr>
                <w:b/>
                <w:sz w:val="20"/>
                <w:lang w:val="fr-CA"/>
              </w:rPr>
              <w:t>35943</w:t>
            </w:r>
          </w:p>
          <w:p w:rsidR="00834E7B" w:rsidRPr="00834E7B" w:rsidRDefault="00834E7B" w:rsidP="00834E7B">
            <w:pPr>
              <w:rPr>
                <w:b/>
                <w:sz w:val="20"/>
                <w:szCs w:val="20"/>
                <w:lang w:val="fr-CA"/>
              </w:rPr>
            </w:pPr>
          </w:p>
        </w:tc>
        <w:tc>
          <w:tcPr>
            <w:tcW w:w="8118" w:type="dxa"/>
          </w:tcPr>
          <w:p w:rsidR="00834E7B" w:rsidRPr="00834E7B" w:rsidRDefault="00834E7B" w:rsidP="00834E7B">
            <w:pPr>
              <w:rPr>
                <w:sz w:val="20"/>
                <w:szCs w:val="20"/>
              </w:rPr>
            </w:pPr>
            <w:r w:rsidRPr="00834E7B">
              <w:rPr>
                <w:b/>
                <w:sz w:val="20"/>
                <w:u w:val="single"/>
              </w:rPr>
              <w:t>Ralph Ivan Doncaster v. Jennifer Lynn Field</w:t>
            </w:r>
            <w:r w:rsidRPr="00834E7B">
              <w:rPr>
                <w:sz w:val="20"/>
                <w:szCs w:val="20"/>
              </w:rPr>
              <w:t xml:space="preserve"> (N.S.) (Civil) (By Leave)</w:t>
            </w:r>
          </w:p>
          <w:p w:rsidR="00834E7B" w:rsidRPr="00834E7B" w:rsidRDefault="00834E7B" w:rsidP="00834E7B">
            <w:pPr>
              <w:rPr>
                <w:sz w:val="20"/>
                <w:szCs w:val="20"/>
              </w:rPr>
            </w:pPr>
          </w:p>
        </w:tc>
      </w:tr>
      <w:tr w:rsidR="00834E7B" w:rsidRPr="00834E7B" w:rsidTr="003D0C01">
        <w:trPr>
          <w:cantSplit/>
        </w:trPr>
        <w:tc>
          <w:tcPr>
            <w:tcW w:w="1458" w:type="dxa"/>
          </w:tcPr>
          <w:p w:rsidR="00834E7B" w:rsidRPr="00834E7B" w:rsidRDefault="00834E7B" w:rsidP="00834E7B">
            <w:pPr>
              <w:rPr>
                <w:sz w:val="20"/>
                <w:szCs w:val="20"/>
              </w:rPr>
            </w:pPr>
            <w:r w:rsidRPr="00834E7B">
              <w:rPr>
                <w:sz w:val="20"/>
                <w:szCs w:val="20"/>
              </w:rPr>
              <w:t>Coram :</w:t>
            </w:r>
          </w:p>
        </w:tc>
        <w:tc>
          <w:tcPr>
            <w:tcW w:w="8118" w:type="dxa"/>
          </w:tcPr>
          <w:p w:rsidR="00834E7B" w:rsidRPr="00834E7B" w:rsidRDefault="00834E7B" w:rsidP="00834E7B">
            <w:pPr>
              <w:rPr>
                <w:sz w:val="20"/>
                <w:szCs w:val="20"/>
              </w:rPr>
            </w:pPr>
            <w:r w:rsidRPr="00834E7B">
              <w:rPr>
                <w:sz w:val="20"/>
                <w:u w:val="single"/>
              </w:rPr>
              <w:t>Abella, Rothstein and Moldaver JJ.</w:t>
            </w:r>
          </w:p>
          <w:p w:rsidR="00834E7B" w:rsidRPr="00834E7B" w:rsidRDefault="00834E7B" w:rsidP="00834E7B">
            <w:pPr>
              <w:rPr>
                <w:sz w:val="20"/>
                <w:szCs w:val="20"/>
                <w:u w:val="single"/>
              </w:rPr>
            </w:pPr>
          </w:p>
        </w:tc>
      </w:tr>
      <w:tr w:rsidR="00834E7B" w:rsidRPr="00F677DC" w:rsidTr="003D0C01">
        <w:trPr>
          <w:cantSplit/>
        </w:trPr>
        <w:tc>
          <w:tcPr>
            <w:tcW w:w="9576" w:type="dxa"/>
            <w:gridSpan w:val="2"/>
          </w:tcPr>
          <w:p w:rsidR="00834E7B" w:rsidRPr="00834E7B" w:rsidRDefault="00834E7B" w:rsidP="00834E7B">
            <w:pPr>
              <w:ind w:firstLine="720"/>
              <w:jc w:val="both"/>
              <w:rPr>
                <w:sz w:val="20"/>
                <w:szCs w:val="20"/>
              </w:rPr>
            </w:pPr>
            <w:r w:rsidRPr="00834E7B">
              <w:rPr>
                <w:sz w:val="20"/>
                <w:szCs w:val="20"/>
              </w:rPr>
              <w:t>The application for leave to appeal from the judgment of the Nova Scotia Court of Appeal, Number CA 413485, 2014 NSCA 39, dated April 15, 2014, is dismissed with costs.</w:t>
            </w:r>
          </w:p>
          <w:p w:rsidR="00834E7B" w:rsidRPr="00834E7B" w:rsidRDefault="00834E7B" w:rsidP="00834E7B">
            <w:pPr>
              <w:jc w:val="both"/>
              <w:rPr>
                <w:sz w:val="20"/>
                <w:szCs w:val="20"/>
              </w:rPr>
            </w:pPr>
          </w:p>
          <w:p w:rsidR="00834E7B" w:rsidRPr="00834E7B" w:rsidRDefault="00834E7B" w:rsidP="00834E7B">
            <w:pPr>
              <w:ind w:firstLine="720"/>
              <w:jc w:val="both"/>
              <w:rPr>
                <w:sz w:val="20"/>
                <w:szCs w:val="20"/>
                <w:lang w:val="fr-CA"/>
              </w:rPr>
            </w:pPr>
            <w:r w:rsidRPr="00834E7B">
              <w:rPr>
                <w:sz w:val="20"/>
                <w:szCs w:val="20"/>
                <w:lang w:val="fr-CA"/>
              </w:rPr>
              <w:t>La demande d’autorisation d’appel de l’arrêt de la Cour d’appel de la Nouvelle-Écosse, numéro CA 413485, 2014 NSCA 39, daté du 15 avril 2014, est rejetée avec dépens.</w:t>
            </w:r>
          </w:p>
        </w:tc>
      </w:tr>
    </w:tbl>
    <w:p w:rsidR="00185470" w:rsidRPr="00834E7B" w:rsidRDefault="00185470" w:rsidP="000E2959">
      <w:pPr>
        <w:rPr>
          <w:sz w:val="20"/>
          <w:szCs w:val="20"/>
          <w:lang w:val="fr-CA"/>
        </w:rPr>
      </w:pPr>
    </w:p>
    <w:p w:rsidR="00185470" w:rsidRPr="001B157C" w:rsidRDefault="00185470" w:rsidP="00185470">
      <w:pPr>
        <w:rPr>
          <w:sz w:val="20"/>
          <w:szCs w:val="20"/>
          <w:u w:val="single"/>
        </w:rPr>
      </w:pPr>
      <w:r w:rsidRPr="001B157C">
        <w:rPr>
          <w:sz w:val="20"/>
          <w:szCs w:val="20"/>
          <w:u w:val="single"/>
        </w:rPr>
        <w:t>CASE SUMMARY</w:t>
      </w:r>
    </w:p>
    <w:p w:rsidR="00185470" w:rsidRDefault="00185470" w:rsidP="0018547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A1E2B" w:rsidRPr="00330CC4" w:rsidTr="007732B1">
        <w:tc>
          <w:tcPr>
            <w:tcW w:w="5000" w:type="pct"/>
            <w:gridSpan w:val="3"/>
          </w:tcPr>
          <w:p w:rsidR="004A1E2B" w:rsidRPr="00330CC4" w:rsidRDefault="004A1E2B" w:rsidP="007732B1">
            <w:pPr>
              <w:jc w:val="both"/>
              <w:rPr>
                <w:rFonts w:eastAsia="Calibri"/>
                <w:sz w:val="20"/>
              </w:rPr>
            </w:pPr>
            <w:r w:rsidRPr="00330CC4">
              <w:rPr>
                <w:rFonts w:eastAsia="Calibri"/>
                <w:i/>
                <w:sz w:val="20"/>
              </w:rPr>
              <w:t>Charter of Rights and Freedoms</w:t>
            </w:r>
            <w:r w:rsidRPr="00330CC4">
              <w:rPr>
                <w:rFonts w:eastAsia="Calibri"/>
                <w:sz w:val="20"/>
              </w:rPr>
              <w:t xml:space="preserve"> – Discrimination – Family law – Custody – Courts – Reasonable Apprehension of Bias – Whether judge determining custody and access was tainted by having presided over previous appeal from a peace bond – Whether applicant’s disabilities were properly considered when determining bests interests of children – Whether courts correctly applied s. 16(9) of </w:t>
            </w:r>
            <w:r w:rsidRPr="00330CC4">
              <w:rPr>
                <w:rFonts w:eastAsia="Calibri"/>
                <w:i/>
                <w:sz w:val="20"/>
              </w:rPr>
              <w:t>Divorce Act</w:t>
            </w:r>
            <w:r w:rsidRPr="00330CC4">
              <w:rPr>
                <w:rFonts w:eastAsia="Calibri"/>
                <w:sz w:val="20"/>
              </w:rPr>
              <w:t>, R.S.C. 1985, c. 3 (2nd Supp) with respect to past conduct – Whether courts correctly applied maximum contact principle.</w:t>
            </w:r>
          </w:p>
        </w:tc>
      </w:tr>
      <w:tr w:rsidR="004A1E2B" w:rsidRPr="00330CC4" w:rsidTr="007732B1">
        <w:tc>
          <w:tcPr>
            <w:tcW w:w="5000" w:type="pct"/>
            <w:gridSpan w:val="3"/>
          </w:tcPr>
          <w:p w:rsidR="004A1E2B" w:rsidRPr="00330CC4" w:rsidRDefault="004A1E2B" w:rsidP="007732B1">
            <w:pPr>
              <w:jc w:val="both"/>
              <w:rPr>
                <w:rFonts w:eastAsia="Calibri"/>
                <w:sz w:val="20"/>
              </w:rPr>
            </w:pPr>
          </w:p>
        </w:tc>
      </w:tr>
      <w:tr w:rsidR="004A1E2B" w:rsidRPr="00330CC4" w:rsidTr="007732B1">
        <w:tc>
          <w:tcPr>
            <w:tcW w:w="5000" w:type="pct"/>
            <w:gridSpan w:val="3"/>
          </w:tcPr>
          <w:p w:rsidR="004A1E2B" w:rsidRPr="00330CC4" w:rsidRDefault="004A1E2B" w:rsidP="007732B1">
            <w:pPr>
              <w:jc w:val="both"/>
              <w:rPr>
                <w:rFonts w:eastAsia="Calibri"/>
                <w:sz w:val="20"/>
              </w:rPr>
            </w:pPr>
            <w:r w:rsidRPr="00330CC4">
              <w:rPr>
                <w:rFonts w:eastAsia="Calibri"/>
                <w:sz w:val="20"/>
              </w:rPr>
              <w:t>After Mr. Doncaster and Ms. Field separated in 2011, they commenced shared custody of their children.  In March 2012, based on events in early 2012, the Supreme Court of Nova Scotia (Family Division) granted interim sole custody to Ms. Fields and denied access to Mr. Doncaster.  In March, 2013, Mr. Doncaster unsuccessfully sought to re-gain access and shared custody.</w:t>
            </w:r>
          </w:p>
          <w:p w:rsidR="004A1E2B" w:rsidRPr="00330CC4" w:rsidRDefault="004A1E2B" w:rsidP="007732B1">
            <w:pPr>
              <w:jc w:val="both"/>
              <w:rPr>
                <w:rFonts w:eastAsia="Calibri"/>
                <w:sz w:val="20"/>
              </w:rPr>
            </w:pPr>
          </w:p>
        </w:tc>
      </w:tr>
      <w:tr w:rsidR="004A1E2B" w:rsidRPr="00330CC4" w:rsidTr="007732B1">
        <w:tc>
          <w:tcPr>
            <w:tcW w:w="2427" w:type="pct"/>
          </w:tcPr>
          <w:p w:rsidR="004A1E2B" w:rsidRPr="00330CC4" w:rsidRDefault="004A1E2B" w:rsidP="007732B1">
            <w:pPr>
              <w:jc w:val="both"/>
              <w:rPr>
                <w:rFonts w:eastAsia="Calibri"/>
                <w:sz w:val="20"/>
              </w:rPr>
            </w:pPr>
            <w:r w:rsidRPr="00330CC4">
              <w:rPr>
                <w:rFonts w:eastAsia="Calibri"/>
                <w:sz w:val="20"/>
              </w:rPr>
              <w:t>March 7, 2013</w:t>
            </w:r>
          </w:p>
          <w:p w:rsidR="004A1E2B" w:rsidRPr="00330CC4" w:rsidRDefault="004A1E2B" w:rsidP="007732B1">
            <w:pPr>
              <w:jc w:val="both"/>
              <w:rPr>
                <w:rFonts w:eastAsia="Calibri"/>
                <w:sz w:val="20"/>
              </w:rPr>
            </w:pPr>
            <w:r w:rsidRPr="00330CC4">
              <w:rPr>
                <w:rFonts w:eastAsia="Calibri"/>
                <w:sz w:val="20"/>
              </w:rPr>
              <w:t>Supreme Court of Nova Scotia</w:t>
            </w:r>
          </w:p>
          <w:p w:rsidR="004A1E2B" w:rsidRPr="00330CC4" w:rsidRDefault="004A1E2B" w:rsidP="007732B1">
            <w:pPr>
              <w:jc w:val="both"/>
              <w:rPr>
                <w:rFonts w:eastAsia="Calibri"/>
                <w:sz w:val="20"/>
              </w:rPr>
            </w:pPr>
            <w:r w:rsidRPr="00330CC4">
              <w:rPr>
                <w:rFonts w:eastAsia="Calibri"/>
                <w:sz w:val="20"/>
              </w:rPr>
              <w:t>(Family Division)</w:t>
            </w:r>
          </w:p>
          <w:p w:rsidR="004A1E2B" w:rsidRPr="00330CC4" w:rsidRDefault="004A1E2B" w:rsidP="007732B1">
            <w:pPr>
              <w:jc w:val="both"/>
              <w:rPr>
                <w:rFonts w:eastAsia="Calibri"/>
                <w:sz w:val="20"/>
              </w:rPr>
            </w:pPr>
            <w:r w:rsidRPr="00330CC4">
              <w:rPr>
                <w:rFonts w:eastAsia="Calibri"/>
                <w:sz w:val="20"/>
              </w:rPr>
              <w:t>(Bourgeois J.)</w:t>
            </w:r>
          </w:p>
          <w:p w:rsidR="004A1E2B" w:rsidRPr="00330CC4" w:rsidRDefault="00F677DC" w:rsidP="007732B1">
            <w:pPr>
              <w:jc w:val="both"/>
              <w:rPr>
                <w:rFonts w:eastAsia="Calibri"/>
                <w:sz w:val="20"/>
              </w:rPr>
            </w:pPr>
            <w:hyperlink r:id="rId39" w:history="1">
              <w:r w:rsidR="004A1E2B" w:rsidRPr="00330CC4">
                <w:rPr>
                  <w:rFonts w:eastAsia="Calibri"/>
                  <w:color w:val="0000FF"/>
                  <w:sz w:val="20"/>
                  <w:u w:val="single"/>
                </w:rPr>
                <w:t>2013 NSSC 85</w:t>
              </w:r>
            </w:hyperlink>
          </w:p>
          <w:p w:rsidR="004A1E2B" w:rsidRPr="00330CC4" w:rsidRDefault="004A1E2B" w:rsidP="007732B1">
            <w:pPr>
              <w:jc w:val="both"/>
              <w:rPr>
                <w:rFonts w:eastAsia="Calibri"/>
                <w:sz w:val="20"/>
              </w:rPr>
            </w:pPr>
          </w:p>
        </w:tc>
        <w:tc>
          <w:tcPr>
            <w:tcW w:w="243" w:type="pct"/>
          </w:tcPr>
          <w:p w:rsidR="004A1E2B" w:rsidRPr="00330CC4" w:rsidRDefault="004A1E2B" w:rsidP="007732B1">
            <w:pPr>
              <w:jc w:val="both"/>
              <w:rPr>
                <w:rFonts w:eastAsia="Calibri"/>
                <w:sz w:val="20"/>
              </w:rPr>
            </w:pPr>
          </w:p>
        </w:tc>
        <w:tc>
          <w:tcPr>
            <w:tcW w:w="2330" w:type="pct"/>
          </w:tcPr>
          <w:p w:rsidR="004A1E2B" w:rsidRPr="00330CC4" w:rsidRDefault="004A1E2B" w:rsidP="007732B1">
            <w:pPr>
              <w:jc w:val="both"/>
              <w:rPr>
                <w:rFonts w:eastAsia="Calibri"/>
                <w:sz w:val="20"/>
              </w:rPr>
            </w:pPr>
            <w:r w:rsidRPr="00330CC4">
              <w:rPr>
                <w:rFonts w:eastAsia="Calibri"/>
                <w:sz w:val="20"/>
              </w:rPr>
              <w:t xml:space="preserve">Applicant’s spouse granted interim sole custody over four children, Applicant denied access to children except in accordance with reasons, Applicant required to undertake treatment, Limited written communication with children through counsellors permitted upon compliance with conditions </w:t>
            </w:r>
          </w:p>
          <w:p w:rsidR="004A1E2B" w:rsidRPr="00330CC4" w:rsidRDefault="004A1E2B" w:rsidP="007732B1">
            <w:pPr>
              <w:jc w:val="both"/>
              <w:rPr>
                <w:rFonts w:eastAsia="Calibri"/>
                <w:sz w:val="20"/>
              </w:rPr>
            </w:pPr>
          </w:p>
        </w:tc>
      </w:tr>
      <w:tr w:rsidR="004A1E2B" w:rsidRPr="00330CC4" w:rsidTr="007732B1">
        <w:tc>
          <w:tcPr>
            <w:tcW w:w="2427" w:type="pct"/>
          </w:tcPr>
          <w:p w:rsidR="004A1E2B" w:rsidRPr="00330CC4" w:rsidRDefault="004A1E2B" w:rsidP="007732B1">
            <w:pPr>
              <w:jc w:val="both"/>
              <w:rPr>
                <w:rFonts w:eastAsia="Calibri"/>
                <w:sz w:val="20"/>
              </w:rPr>
            </w:pPr>
            <w:r w:rsidRPr="00330CC4">
              <w:rPr>
                <w:rFonts w:eastAsia="Calibri"/>
                <w:sz w:val="20"/>
              </w:rPr>
              <w:lastRenderedPageBreak/>
              <w:t>July 5, 2013</w:t>
            </w:r>
          </w:p>
          <w:p w:rsidR="004A1E2B" w:rsidRPr="00330CC4" w:rsidRDefault="004A1E2B" w:rsidP="007732B1">
            <w:pPr>
              <w:jc w:val="both"/>
              <w:rPr>
                <w:rFonts w:eastAsia="Calibri"/>
                <w:sz w:val="20"/>
              </w:rPr>
            </w:pPr>
            <w:r w:rsidRPr="00330CC4">
              <w:rPr>
                <w:rFonts w:eastAsia="Calibri"/>
                <w:sz w:val="20"/>
              </w:rPr>
              <w:t>Supreme Court of Nova Scotia</w:t>
            </w:r>
          </w:p>
          <w:p w:rsidR="004A1E2B" w:rsidRPr="00330CC4" w:rsidRDefault="004A1E2B" w:rsidP="007732B1">
            <w:pPr>
              <w:jc w:val="both"/>
              <w:rPr>
                <w:rFonts w:eastAsia="Calibri"/>
                <w:sz w:val="20"/>
              </w:rPr>
            </w:pPr>
            <w:r w:rsidRPr="00330CC4">
              <w:rPr>
                <w:rFonts w:eastAsia="Calibri"/>
                <w:sz w:val="20"/>
              </w:rPr>
              <w:t>(Family Division)</w:t>
            </w:r>
          </w:p>
          <w:p w:rsidR="004A1E2B" w:rsidRPr="00330CC4" w:rsidRDefault="004A1E2B" w:rsidP="007732B1">
            <w:pPr>
              <w:jc w:val="both"/>
              <w:rPr>
                <w:rFonts w:eastAsia="Calibri"/>
                <w:sz w:val="20"/>
              </w:rPr>
            </w:pPr>
            <w:r w:rsidRPr="00330CC4">
              <w:rPr>
                <w:rFonts w:eastAsia="Calibri"/>
                <w:sz w:val="20"/>
              </w:rPr>
              <w:t>(Bourgeois J.)</w:t>
            </w:r>
          </w:p>
          <w:p w:rsidR="004A1E2B" w:rsidRPr="00330CC4" w:rsidRDefault="00F677DC" w:rsidP="007732B1">
            <w:pPr>
              <w:jc w:val="both"/>
              <w:rPr>
                <w:rFonts w:eastAsia="Calibri"/>
                <w:sz w:val="20"/>
              </w:rPr>
            </w:pPr>
            <w:hyperlink r:id="rId40" w:history="1">
              <w:r w:rsidR="004A1E2B" w:rsidRPr="00330CC4">
                <w:rPr>
                  <w:rFonts w:eastAsia="Calibri"/>
                  <w:color w:val="0000FF"/>
                  <w:sz w:val="20"/>
                  <w:u w:val="single"/>
                </w:rPr>
                <w:t>2013 NSSC 85</w:t>
              </w:r>
            </w:hyperlink>
          </w:p>
          <w:p w:rsidR="004A1E2B" w:rsidRPr="00330CC4" w:rsidRDefault="004A1E2B" w:rsidP="007732B1">
            <w:pPr>
              <w:jc w:val="both"/>
              <w:rPr>
                <w:rFonts w:eastAsia="Calibri"/>
                <w:sz w:val="20"/>
              </w:rPr>
            </w:pPr>
          </w:p>
        </w:tc>
        <w:tc>
          <w:tcPr>
            <w:tcW w:w="243" w:type="pct"/>
          </w:tcPr>
          <w:p w:rsidR="004A1E2B" w:rsidRPr="00330CC4" w:rsidRDefault="004A1E2B" w:rsidP="007732B1">
            <w:pPr>
              <w:jc w:val="both"/>
              <w:rPr>
                <w:rFonts w:eastAsia="Calibri"/>
                <w:sz w:val="20"/>
              </w:rPr>
            </w:pPr>
          </w:p>
        </w:tc>
        <w:tc>
          <w:tcPr>
            <w:tcW w:w="2330" w:type="pct"/>
          </w:tcPr>
          <w:p w:rsidR="004A1E2B" w:rsidRPr="00330CC4" w:rsidRDefault="004A1E2B" w:rsidP="007732B1">
            <w:pPr>
              <w:jc w:val="both"/>
              <w:rPr>
                <w:rFonts w:eastAsia="Calibri"/>
                <w:sz w:val="20"/>
              </w:rPr>
            </w:pPr>
            <w:r w:rsidRPr="00330CC4">
              <w:rPr>
                <w:rFonts w:eastAsia="Calibri"/>
                <w:sz w:val="20"/>
              </w:rPr>
              <w:t>Motion to enforce role of children’s counsellor in limited written communications dismissed</w:t>
            </w:r>
          </w:p>
        </w:tc>
      </w:tr>
      <w:tr w:rsidR="004A1E2B" w:rsidRPr="00330CC4" w:rsidTr="007732B1">
        <w:tc>
          <w:tcPr>
            <w:tcW w:w="2427" w:type="pct"/>
          </w:tcPr>
          <w:p w:rsidR="004A1E2B" w:rsidRPr="00330CC4" w:rsidRDefault="004A1E2B" w:rsidP="007732B1">
            <w:pPr>
              <w:jc w:val="both"/>
              <w:rPr>
                <w:rFonts w:eastAsia="Calibri"/>
                <w:sz w:val="20"/>
              </w:rPr>
            </w:pPr>
            <w:r w:rsidRPr="00330CC4">
              <w:rPr>
                <w:rFonts w:eastAsia="Calibri"/>
                <w:sz w:val="20"/>
              </w:rPr>
              <w:t>April 15, 2014</w:t>
            </w:r>
          </w:p>
          <w:p w:rsidR="004A1E2B" w:rsidRPr="00330CC4" w:rsidRDefault="004A1E2B" w:rsidP="007732B1">
            <w:pPr>
              <w:jc w:val="both"/>
              <w:rPr>
                <w:rFonts w:eastAsia="Calibri"/>
                <w:sz w:val="20"/>
              </w:rPr>
            </w:pPr>
            <w:r w:rsidRPr="00330CC4">
              <w:rPr>
                <w:rFonts w:eastAsia="Calibri"/>
                <w:sz w:val="20"/>
              </w:rPr>
              <w:t>Nova Scotia Court of Appeal</w:t>
            </w:r>
          </w:p>
          <w:p w:rsidR="004A1E2B" w:rsidRPr="00330CC4" w:rsidRDefault="004A1E2B" w:rsidP="007732B1">
            <w:pPr>
              <w:jc w:val="both"/>
              <w:rPr>
                <w:rFonts w:eastAsia="Calibri"/>
                <w:sz w:val="20"/>
              </w:rPr>
            </w:pPr>
            <w:r w:rsidRPr="00330CC4">
              <w:rPr>
                <w:rFonts w:eastAsia="Calibri"/>
                <w:sz w:val="20"/>
              </w:rPr>
              <w:t>(Oland, MacDonald, Farrar JJ.A.)</w:t>
            </w:r>
          </w:p>
          <w:p w:rsidR="004A1E2B" w:rsidRPr="00330CC4" w:rsidRDefault="004A1E2B" w:rsidP="007732B1">
            <w:pPr>
              <w:jc w:val="both"/>
              <w:rPr>
                <w:rFonts w:eastAsia="Calibri"/>
                <w:sz w:val="20"/>
              </w:rPr>
            </w:pPr>
            <w:r w:rsidRPr="00330CC4">
              <w:rPr>
                <w:rFonts w:eastAsia="Calibri"/>
                <w:sz w:val="20"/>
              </w:rPr>
              <w:t xml:space="preserve">CA413485; </w:t>
            </w:r>
            <w:hyperlink r:id="rId41" w:history="1">
              <w:r w:rsidRPr="00330CC4">
                <w:rPr>
                  <w:rFonts w:eastAsia="Calibri"/>
                  <w:color w:val="0000FF"/>
                  <w:sz w:val="20"/>
                  <w:u w:val="single"/>
                </w:rPr>
                <w:t>2014 NSCA 39</w:t>
              </w:r>
            </w:hyperlink>
          </w:p>
          <w:p w:rsidR="004A1E2B" w:rsidRPr="00330CC4" w:rsidRDefault="004A1E2B" w:rsidP="007732B1">
            <w:pPr>
              <w:jc w:val="both"/>
              <w:rPr>
                <w:rFonts w:eastAsia="Calibri"/>
                <w:sz w:val="20"/>
              </w:rPr>
            </w:pPr>
          </w:p>
        </w:tc>
        <w:tc>
          <w:tcPr>
            <w:tcW w:w="243" w:type="pct"/>
          </w:tcPr>
          <w:p w:rsidR="004A1E2B" w:rsidRPr="00330CC4" w:rsidRDefault="004A1E2B" w:rsidP="007732B1">
            <w:pPr>
              <w:jc w:val="both"/>
              <w:rPr>
                <w:rFonts w:eastAsia="Calibri"/>
                <w:sz w:val="20"/>
              </w:rPr>
            </w:pPr>
          </w:p>
        </w:tc>
        <w:tc>
          <w:tcPr>
            <w:tcW w:w="2330" w:type="pct"/>
          </w:tcPr>
          <w:p w:rsidR="004A1E2B" w:rsidRPr="00330CC4" w:rsidRDefault="004A1E2B" w:rsidP="007732B1">
            <w:pPr>
              <w:jc w:val="both"/>
              <w:rPr>
                <w:rFonts w:eastAsia="Calibri"/>
                <w:sz w:val="20"/>
              </w:rPr>
            </w:pPr>
            <w:r w:rsidRPr="00330CC4">
              <w:rPr>
                <w:rFonts w:eastAsia="Calibri"/>
                <w:sz w:val="20"/>
              </w:rPr>
              <w:t>Fresh evidence motion and Appeal dismissed</w:t>
            </w:r>
          </w:p>
          <w:p w:rsidR="004A1E2B" w:rsidRPr="00330CC4" w:rsidRDefault="004A1E2B" w:rsidP="007732B1">
            <w:pPr>
              <w:jc w:val="both"/>
              <w:rPr>
                <w:rFonts w:eastAsia="Calibri"/>
                <w:sz w:val="20"/>
              </w:rPr>
            </w:pPr>
          </w:p>
        </w:tc>
      </w:tr>
      <w:tr w:rsidR="004A1E2B" w:rsidRPr="00330CC4" w:rsidTr="007732B1">
        <w:tc>
          <w:tcPr>
            <w:tcW w:w="2427" w:type="pct"/>
          </w:tcPr>
          <w:p w:rsidR="004A1E2B" w:rsidRPr="00330CC4" w:rsidRDefault="004A1E2B" w:rsidP="007732B1">
            <w:pPr>
              <w:jc w:val="both"/>
              <w:rPr>
                <w:rFonts w:eastAsia="Calibri"/>
                <w:sz w:val="20"/>
              </w:rPr>
            </w:pPr>
            <w:r w:rsidRPr="00330CC4">
              <w:rPr>
                <w:rFonts w:eastAsia="Calibri"/>
                <w:sz w:val="20"/>
              </w:rPr>
              <w:t>June 13, 2014</w:t>
            </w:r>
          </w:p>
          <w:p w:rsidR="004A1E2B" w:rsidRPr="00330CC4" w:rsidRDefault="004A1E2B" w:rsidP="007732B1">
            <w:pPr>
              <w:jc w:val="both"/>
              <w:rPr>
                <w:rFonts w:eastAsia="Calibri"/>
                <w:sz w:val="20"/>
              </w:rPr>
            </w:pPr>
            <w:r w:rsidRPr="00330CC4">
              <w:rPr>
                <w:rFonts w:eastAsia="Calibri"/>
                <w:sz w:val="20"/>
              </w:rPr>
              <w:t>Supreme Court of Canada</w:t>
            </w:r>
          </w:p>
        </w:tc>
        <w:tc>
          <w:tcPr>
            <w:tcW w:w="243" w:type="pct"/>
          </w:tcPr>
          <w:p w:rsidR="004A1E2B" w:rsidRPr="00330CC4" w:rsidRDefault="004A1E2B" w:rsidP="007732B1">
            <w:pPr>
              <w:jc w:val="both"/>
              <w:rPr>
                <w:rFonts w:eastAsia="Calibri"/>
                <w:sz w:val="20"/>
              </w:rPr>
            </w:pPr>
          </w:p>
        </w:tc>
        <w:tc>
          <w:tcPr>
            <w:tcW w:w="2330" w:type="pct"/>
          </w:tcPr>
          <w:p w:rsidR="004A1E2B" w:rsidRPr="00330CC4" w:rsidRDefault="004A1E2B" w:rsidP="007732B1">
            <w:pPr>
              <w:jc w:val="both"/>
              <w:rPr>
                <w:rFonts w:eastAsia="Calibri"/>
                <w:sz w:val="20"/>
              </w:rPr>
            </w:pPr>
            <w:r w:rsidRPr="00330CC4">
              <w:rPr>
                <w:rFonts w:eastAsia="Calibri"/>
                <w:sz w:val="20"/>
              </w:rPr>
              <w:t>Application for leave to appeal filed</w:t>
            </w:r>
          </w:p>
        </w:tc>
      </w:tr>
    </w:tbl>
    <w:p w:rsidR="00185470" w:rsidRDefault="00185470" w:rsidP="00185470">
      <w:pPr>
        <w:rPr>
          <w:sz w:val="20"/>
          <w:szCs w:val="20"/>
        </w:rPr>
      </w:pPr>
    </w:p>
    <w:p w:rsidR="00185470" w:rsidRPr="00C50A5C" w:rsidRDefault="00F677DC" w:rsidP="00185470">
      <w:pPr>
        <w:rPr>
          <w:sz w:val="20"/>
          <w:szCs w:val="20"/>
        </w:rPr>
      </w:pPr>
      <w:r>
        <w:rPr>
          <w:sz w:val="20"/>
          <w:szCs w:val="20"/>
          <w:lang w:val="fr-CA"/>
        </w:rPr>
        <w:pict>
          <v:rect id="_x0000_i1069" style="width:2in;height:1pt" o:hrpct="0" o:hralign="center" o:hrstd="t" o:hrnoshade="t" o:hr="t" fillcolor="black [3213]" stroked="f"/>
        </w:pict>
      </w:r>
    </w:p>
    <w:p w:rsidR="00185470" w:rsidRDefault="00185470" w:rsidP="00185470">
      <w:pPr>
        <w:rPr>
          <w:sz w:val="20"/>
          <w:szCs w:val="20"/>
        </w:rPr>
      </w:pPr>
    </w:p>
    <w:p w:rsidR="00185470" w:rsidRPr="001B157C" w:rsidRDefault="00185470" w:rsidP="00185470">
      <w:pPr>
        <w:rPr>
          <w:sz w:val="20"/>
          <w:szCs w:val="20"/>
          <w:u w:val="single"/>
          <w:lang w:val="fr-CA"/>
        </w:rPr>
      </w:pPr>
      <w:r w:rsidRPr="001B157C">
        <w:rPr>
          <w:sz w:val="20"/>
          <w:szCs w:val="20"/>
          <w:u w:val="single"/>
          <w:lang w:val="fr-CA"/>
        </w:rPr>
        <w:t>RÉSUMÉ DE L’AFFAIRE</w:t>
      </w:r>
    </w:p>
    <w:p w:rsidR="00185470" w:rsidRDefault="00185470" w:rsidP="0018547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A1E2B" w:rsidRPr="00F677DC" w:rsidTr="007732B1">
        <w:tc>
          <w:tcPr>
            <w:tcW w:w="5000" w:type="pct"/>
            <w:gridSpan w:val="3"/>
          </w:tcPr>
          <w:p w:rsidR="004A1E2B" w:rsidRPr="00330CC4" w:rsidRDefault="004A1E2B" w:rsidP="007732B1">
            <w:pPr>
              <w:jc w:val="both"/>
              <w:rPr>
                <w:rFonts w:eastAsia="Calibri"/>
                <w:sz w:val="20"/>
                <w:lang w:val="fr-CA"/>
              </w:rPr>
            </w:pPr>
            <w:r w:rsidRPr="00330CC4">
              <w:rPr>
                <w:rFonts w:eastAsia="Calibri"/>
                <w:i/>
                <w:sz w:val="20"/>
                <w:lang w:val="fr-CA"/>
              </w:rPr>
              <w:t xml:space="preserve">Charte des droits et libertés </w:t>
            </w:r>
            <w:r w:rsidRPr="00330CC4">
              <w:rPr>
                <w:rFonts w:eastAsia="Calibri"/>
                <w:sz w:val="20"/>
                <w:lang w:val="fr-CA"/>
              </w:rPr>
              <w:t xml:space="preserve">– Discrimination – Droit de la famille – Garde – Tribunaux – </w:t>
            </w:r>
            <w:r w:rsidRPr="00330CC4">
              <w:rPr>
                <w:rFonts w:eastAsia="Calibri"/>
                <w:iCs/>
                <w:sz w:val="20"/>
                <w:lang w:val="fr-CA"/>
              </w:rPr>
              <w:t>Crainte raisonnable de partialité</w:t>
            </w:r>
            <w:r w:rsidRPr="00330CC4">
              <w:rPr>
                <w:rFonts w:eastAsia="Calibri"/>
                <w:sz w:val="20"/>
                <w:lang w:val="fr-CA"/>
              </w:rPr>
              <w:t xml:space="preserve"> – Est-ce que le juge était partial lors des décisions en matière de garde et d’accès en raison du fait qu’il avait siégé lors d’un appel précédent au sujet d’un engagement de ne pas troubler l’ordre public? – Est-ce que les incapacités du demandeur ont été adéquatement prises en compte pour déterminer l’intérêt supérieur des enfants? – Est-ce que les tribunaux ont appliqué correctement l’art. 16(9) de la </w:t>
            </w:r>
            <w:r w:rsidRPr="00330CC4">
              <w:rPr>
                <w:rFonts w:eastAsia="Calibri"/>
                <w:i/>
                <w:sz w:val="20"/>
                <w:lang w:val="fr-CA"/>
              </w:rPr>
              <w:t>Loi sur le divorce</w:t>
            </w:r>
            <w:r w:rsidRPr="00330CC4">
              <w:rPr>
                <w:rFonts w:eastAsia="Calibri"/>
                <w:sz w:val="20"/>
                <w:lang w:val="fr-CA"/>
              </w:rPr>
              <w:t xml:space="preserve">, L.R.C. 1985, c. 3 (2e suppl.) relativement à la conduite antérieure? – Est-ce que les tribunaux ont appliqué correctement le </w:t>
            </w:r>
            <w:r w:rsidRPr="00330CC4">
              <w:rPr>
                <w:rFonts w:ascii="CG Times" w:eastAsia="Calibri" w:hAnsi="CG Times"/>
                <w:spacing w:val="-3"/>
                <w:sz w:val="20"/>
                <w:lang w:val="fr-CA"/>
              </w:rPr>
              <w:t>principe du «</w:t>
            </w:r>
            <w:r w:rsidRPr="00330CC4">
              <w:rPr>
                <w:rFonts w:ascii="CG Times" w:eastAsia="Calibri" w:hAnsi="CG Times" w:hint="eastAsia"/>
                <w:spacing w:val="-3"/>
                <w:sz w:val="20"/>
                <w:lang w:val="fr-CA"/>
              </w:rPr>
              <w:t> </w:t>
            </w:r>
            <w:r w:rsidRPr="00330CC4">
              <w:rPr>
                <w:rFonts w:ascii="CG Times" w:eastAsia="Calibri" w:hAnsi="CG Times"/>
                <w:spacing w:val="-3"/>
                <w:sz w:val="20"/>
                <w:lang w:val="fr-CA"/>
              </w:rPr>
              <w:t>contact maximum</w:t>
            </w:r>
            <w:r w:rsidRPr="00330CC4">
              <w:rPr>
                <w:rFonts w:ascii="CG Times" w:eastAsia="Calibri" w:hAnsi="CG Times" w:hint="eastAsia"/>
                <w:spacing w:val="-3"/>
                <w:sz w:val="20"/>
                <w:lang w:val="fr-CA"/>
              </w:rPr>
              <w:t> </w:t>
            </w:r>
            <w:r w:rsidRPr="00330CC4">
              <w:rPr>
                <w:rFonts w:ascii="CG Times" w:eastAsia="Calibri" w:hAnsi="CG Times"/>
                <w:spacing w:val="-3"/>
                <w:sz w:val="20"/>
                <w:lang w:val="fr-CA"/>
              </w:rPr>
              <w:t>»?</w:t>
            </w:r>
          </w:p>
        </w:tc>
      </w:tr>
      <w:tr w:rsidR="004A1E2B" w:rsidRPr="00F677DC" w:rsidTr="007732B1">
        <w:tc>
          <w:tcPr>
            <w:tcW w:w="5000" w:type="pct"/>
            <w:gridSpan w:val="3"/>
          </w:tcPr>
          <w:p w:rsidR="004A1E2B" w:rsidRPr="00330CC4" w:rsidRDefault="004A1E2B" w:rsidP="007732B1">
            <w:pPr>
              <w:jc w:val="both"/>
              <w:rPr>
                <w:rFonts w:eastAsia="Calibri"/>
                <w:sz w:val="20"/>
                <w:lang w:val="fr-CA"/>
              </w:rPr>
            </w:pPr>
          </w:p>
        </w:tc>
      </w:tr>
      <w:tr w:rsidR="004A1E2B" w:rsidRPr="00F677DC" w:rsidTr="007732B1">
        <w:tc>
          <w:tcPr>
            <w:tcW w:w="5000" w:type="pct"/>
            <w:gridSpan w:val="3"/>
          </w:tcPr>
          <w:p w:rsidR="004A1E2B" w:rsidRPr="00330CC4" w:rsidRDefault="004A1E2B" w:rsidP="007732B1">
            <w:pPr>
              <w:jc w:val="both"/>
              <w:rPr>
                <w:rFonts w:eastAsia="Calibri"/>
                <w:sz w:val="20"/>
                <w:lang w:val="fr-CA"/>
              </w:rPr>
            </w:pPr>
            <w:r w:rsidRPr="00330CC4">
              <w:rPr>
                <w:rFonts w:eastAsia="Calibri"/>
                <w:sz w:val="20"/>
                <w:lang w:val="fr-CA"/>
              </w:rPr>
              <w:t>Après la séparation de Monsieur Doncaster et Madame Field en 2011, les parents avaient la garde partagée de leurs enfants. En mars 2012, en raison d’événements ayant eu lieu plus tôt en 2012, la Cour suprême de la Nouvelle-Écosse (Division de la famille) a accordé la garde exclusive provisoire à Madame Field et a refusé d’autoriser l’accès aux enfants à Monsieur Doncaster.  En mars 2013, Monsieur Doncaster a tenté, sans succès, d’obtenir à nouveau la garde partagée et le droit d’accès.</w:t>
            </w:r>
          </w:p>
          <w:p w:rsidR="004A1E2B" w:rsidRPr="00330CC4" w:rsidRDefault="004A1E2B" w:rsidP="007732B1">
            <w:pPr>
              <w:jc w:val="both"/>
              <w:rPr>
                <w:rFonts w:eastAsia="Calibri"/>
                <w:sz w:val="20"/>
                <w:lang w:val="fr-CA"/>
              </w:rPr>
            </w:pPr>
          </w:p>
        </w:tc>
      </w:tr>
      <w:tr w:rsidR="004A1E2B" w:rsidRPr="00F677DC" w:rsidTr="007732B1">
        <w:tc>
          <w:tcPr>
            <w:tcW w:w="2427" w:type="pct"/>
          </w:tcPr>
          <w:p w:rsidR="004A1E2B" w:rsidRPr="00330CC4" w:rsidRDefault="004A1E2B" w:rsidP="007732B1">
            <w:pPr>
              <w:jc w:val="both"/>
              <w:rPr>
                <w:rFonts w:eastAsia="Calibri"/>
                <w:sz w:val="20"/>
                <w:lang w:val="fr-CA"/>
              </w:rPr>
            </w:pPr>
            <w:r w:rsidRPr="00330CC4">
              <w:rPr>
                <w:rFonts w:eastAsia="Calibri"/>
                <w:sz w:val="20"/>
                <w:lang w:val="fr-CA"/>
              </w:rPr>
              <w:t>7 mars 2013</w:t>
            </w:r>
          </w:p>
          <w:p w:rsidR="004A1E2B" w:rsidRPr="00330CC4" w:rsidRDefault="004A1E2B" w:rsidP="007732B1">
            <w:pPr>
              <w:jc w:val="both"/>
              <w:rPr>
                <w:rFonts w:eastAsia="Calibri"/>
                <w:sz w:val="20"/>
                <w:lang w:val="fr-CA"/>
              </w:rPr>
            </w:pPr>
            <w:r w:rsidRPr="00330CC4">
              <w:rPr>
                <w:rFonts w:eastAsia="Calibri"/>
                <w:sz w:val="20"/>
                <w:lang w:val="fr-CA"/>
              </w:rPr>
              <w:t xml:space="preserve">Cour suprême de la Nouvelle-Écosse </w:t>
            </w:r>
          </w:p>
          <w:p w:rsidR="004A1E2B" w:rsidRPr="00330CC4" w:rsidRDefault="004A1E2B" w:rsidP="007732B1">
            <w:pPr>
              <w:jc w:val="both"/>
              <w:rPr>
                <w:rFonts w:eastAsia="Calibri"/>
                <w:sz w:val="20"/>
                <w:lang w:val="fr-CA"/>
              </w:rPr>
            </w:pPr>
            <w:r w:rsidRPr="00330CC4">
              <w:rPr>
                <w:rFonts w:eastAsia="Calibri"/>
                <w:sz w:val="20"/>
                <w:lang w:val="fr-CA"/>
              </w:rPr>
              <w:t>(</w:t>
            </w:r>
            <w:r w:rsidRPr="00330CC4">
              <w:rPr>
                <w:rFonts w:eastAsia="Calibri"/>
                <w:sz w:val="20"/>
                <w:lang w:val="fr-FR"/>
              </w:rPr>
              <w:t>Division de la famille</w:t>
            </w:r>
            <w:r w:rsidRPr="00330CC4">
              <w:rPr>
                <w:rFonts w:eastAsia="Calibri"/>
                <w:sz w:val="20"/>
                <w:lang w:val="fr-CA"/>
              </w:rPr>
              <w:t>)</w:t>
            </w:r>
          </w:p>
          <w:p w:rsidR="004A1E2B" w:rsidRPr="00330CC4" w:rsidRDefault="004A1E2B" w:rsidP="007732B1">
            <w:pPr>
              <w:jc w:val="both"/>
              <w:rPr>
                <w:rFonts w:eastAsia="Calibri"/>
                <w:sz w:val="20"/>
                <w:lang w:val="fr-CA"/>
              </w:rPr>
            </w:pPr>
            <w:r w:rsidRPr="00330CC4">
              <w:rPr>
                <w:rFonts w:eastAsia="Calibri"/>
                <w:sz w:val="20"/>
                <w:lang w:val="fr-CA"/>
              </w:rPr>
              <w:t>(Juge Bourgeois)</w:t>
            </w:r>
          </w:p>
          <w:p w:rsidR="004A1E2B" w:rsidRPr="00330CC4" w:rsidRDefault="00F677DC" w:rsidP="007732B1">
            <w:pPr>
              <w:jc w:val="both"/>
              <w:rPr>
                <w:rFonts w:eastAsia="Calibri"/>
                <w:sz w:val="20"/>
              </w:rPr>
            </w:pPr>
            <w:hyperlink r:id="rId42" w:history="1">
              <w:r w:rsidR="004A1E2B" w:rsidRPr="00330CC4">
                <w:rPr>
                  <w:rFonts w:eastAsia="Calibri"/>
                  <w:color w:val="0000FF"/>
                  <w:sz w:val="20"/>
                  <w:u w:val="single"/>
                </w:rPr>
                <w:t>2013 NSSC 85</w:t>
              </w:r>
            </w:hyperlink>
          </w:p>
          <w:p w:rsidR="004A1E2B" w:rsidRPr="00330CC4" w:rsidRDefault="004A1E2B" w:rsidP="007732B1">
            <w:pPr>
              <w:jc w:val="both"/>
              <w:rPr>
                <w:rFonts w:eastAsia="Calibri"/>
                <w:sz w:val="20"/>
              </w:rPr>
            </w:pPr>
          </w:p>
        </w:tc>
        <w:tc>
          <w:tcPr>
            <w:tcW w:w="243" w:type="pct"/>
          </w:tcPr>
          <w:p w:rsidR="004A1E2B" w:rsidRPr="00330CC4" w:rsidRDefault="004A1E2B" w:rsidP="007732B1">
            <w:pPr>
              <w:jc w:val="both"/>
              <w:rPr>
                <w:rFonts w:eastAsia="Calibri"/>
                <w:sz w:val="20"/>
              </w:rPr>
            </w:pPr>
          </w:p>
        </w:tc>
        <w:tc>
          <w:tcPr>
            <w:tcW w:w="2330" w:type="pct"/>
          </w:tcPr>
          <w:p w:rsidR="004A1E2B" w:rsidRPr="00330CC4" w:rsidRDefault="004A1E2B" w:rsidP="007732B1">
            <w:pPr>
              <w:jc w:val="both"/>
              <w:rPr>
                <w:rFonts w:eastAsia="Calibri"/>
                <w:sz w:val="20"/>
                <w:lang w:val="fr-CA"/>
              </w:rPr>
            </w:pPr>
            <w:r w:rsidRPr="00330CC4">
              <w:rPr>
                <w:rFonts w:eastAsia="Calibri"/>
                <w:sz w:val="20"/>
                <w:lang w:val="fr-CA"/>
              </w:rPr>
              <w:t xml:space="preserve">L’épouse du demandeur s’est vu accorder la garde exclusive des quatre enfants, le demandeur s’est vu refuser l’accès aux enfants sauf conformément aux motifs, le demandeur s’est vu imposer l’obligation de suivre un traitement et la communication écrite limitée avec les enfants par le biais des avocats a été autorisée avec le respect des conditions </w:t>
            </w:r>
          </w:p>
          <w:p w:rsidR="004A1E2B" w:rsidRPr="00330CC4" w:rsidRDefault="004A1E2B" w:rsidP="007732B1">
            <w:pPr>
              <w:jc w:val="both"/>
              <w:rPr>
                <w:rFonts w:eastAsia="Calibri"/>
                <w:sz w:val="20"/>
                <w:lang w:val="fr-CA"/>
              </w:rPr>
            </w:pPr>
          </w:p>
        </w:tc>
      </w:tr>
      <w:tr w:rsidR="004A1E2B" w:rsidRPr="00F677DC" w:rsidTr="007732B1">
        <w:tc>
          <w:tcPr>
            <w:tcW w:w="2427" w:type="pct"/>
          </w:tcPr>
          <w:p w:rsidR="004A1E2B" w:rsidRPr="00330CC4" w:rsidRDefault="004A1E2B" w:rsidP="007732B1">
            <w:pPr>
              <w:jc w:val="both"/>
              <w:rPr>
                <w:rFonts w:eastAsia="Calibri"/>
                <w:sz w:val="20"/>
                <w:lang w:val="fr-CA"/>
              </w:rPr>
            </w:pPr>
            <w:r w:rsidRPr="00330CC4">
              <w:rPr>
                <w:rFonts w:eastAsia="Calibri"/>
                <w:sz w:val="20"/>
                <w:lang w:val="fr-CA"/>
              </w:rPr>
              <w:t>5 juillet 2013</w:t>
            </w:r>
          </w:p>
          <w:p w:rsidR="004A1E2B" w:rsidRPr="00330CC4" w:rsidRDefault="004A1E2B" w:rsidP="007732B1">
            <w:pPr>
              <w:jc w:val="both"/>
              <w:rPr>
                <w:rFonts w:eastAsia="Calibri"/>
                <w:sz w:val="20"/>
                <w:lang w:val="fr-CA"/>
              </w:rPr>
            </w:pPr>
            <w:r w:rsidRPr="00330CC4">
              <w:rPr>
                <w:rFonts w:eastAsia="Calibri"/>
                <w:sz w:val="20"/>
                <w:lang w:val="fr-CA"/>
              </w:rPr>
              <w:t xml:space="preserve">Cour suprême de la Nouvelle-Écosse </w:t>
            </w:r>
          </w:p>
          <w:p w:rsidR="004A1E2B" w:rsidRPr="00330CC4" w:rsidRDefault="004A1E2B" w:rsidP="007732B1">
            <w:pPr>
              <w:jc w:val="both"/>
              <w:rPr>
                <w:rFonts w:eastAsia="Calibri"/>
                <w:sz w:val="20"/>
                <w:lang w:val="fr-CA"/>
              </w:rPr>
            </w:pPr>
            <w:r w:rsidRPr="00330CC4">
              <w:rPr>
                <w:rFonts w:eastAsia="Calibri"/>
                <w:sz w:val="20"/>
                <w:lang w:val="fr-CA"/>
              </w:rPr>
              <w:t>(</w:t>
            </w:r>
            <w:r w:rsidRPr="00330CC4">
              <w:rPr>
                <w:rFonts w:eastAsia="Calibri"/>
                <w:sz w:val="20"/>
                <w:lang w:val="fr-FR"/>
              </w:rPr>
              <w:t>Division de la famille</w:t>
            </w:r>
            <w:r w:rsidRPr="00330CC4">
              <w:rPr>
                <w:rFonts w:eastAsia="Calibri"/>
                <w:sz w:val="20"/>
                <w:lang w:val="fr-CA"/>
              </w:rPr>
              <w:t>)</w:t>
            </w:r>
          </w:p>
          <w:p w:rsidR="004A1E2B" w:rsidRPr="00330CC4" w:rsidRDefault="004A1E2B" w:rsidP="007732B1">
            <w:pPr>
              <w:jc w:val="both"/>
              <w:rPr>
                <w:rFonts w:eastAsia="Calibri"/>
                <w:sz w:val="20"/>
                <w:lang w:val="fr-CA"/>
              </w:rPr>
            </w:pPr>
            <w:r w:rsidRPr="00330CC4">
              <w:rPr>
                <w:rFonts w:eastAsia="Calibri"/>
                <w:sz w:val="20"/>
                <w:lang w:val="fr-CA"/>
              </w:rPr>
              <w:t>(Juge Bourgeois)</w:t>
            </w:r>
          </w:p>
          <w:p w:rsidR="004A1E2B" w:rsidRPr="00330CC4" w:rsidRDefault="00F677DC" w:rsidP="007732B1">
            <w:pPr>
              <w:jc w:val="both"/>
              <w:rPr>
                <w:rFonts w:eastAsia="Calibri"/>
                <w:sz w:val="20"/>
              </w:rPr>
            </w:pPr>
            <w:hyperlink r:id="rId43" w:history="1">
              <w:r w:rsidR="004A1E2B" w:rsidRPr="00330CC4">
                <w:rPr>
                  <w:rFonts w:eastAsia="Calibri"/>
                  <w:color w:val="0000FF"/>
                  <w:sz w:val="20"/>
                  <w:u w:val="single"/>
                </w:rPr>
                <w:t>2013 NSSC 85</w:t>
              </w:r>
            </w:hyperlink>
          </w:p>
          <w:p w:rsidR="004A1E2B" w:rsidRPr="00330CC4" w:rsidRDefault="004A1E2B" w:rsidP="007732B1">
            <w:pPr>
              <w:jc w:val="both"/>
              <w:rPr>
                <w:rFonts w:eastAsia="Calibri"/>
                <w:sz w:val="20"/>
              </w:rPr>
            </w:pPr>
          </w:p>
        </w:tc>
        <w:tc>
          <w:tcPr>
            <w:tcW w:w="243" w:type="pct"/>
          </w:tcPr>
          <w:p w:rsidR="004A1E2B" w:rsidRPr="00330CC4" w:rsidRDefault="004A1E2B" w:rsidP="007732B1">
            <w:pPr>
              <w:jc w:val="both"/>
              <w:rPr>
                <w:rFonts w:eastAsia="Calibri"/>
                <w:sz w:val="20"/>
              </w:rPr>
            </w:pPr>
          </w:p>
        </w:tc>
        <w:tc>
          <w:tcPr>
            <w:tcW w:w="2330" w:type="pct"/>
          </w:tcPr>
          <w:p w:rsidR="004A1E2B" w:rsidRPr="00330CC4" w:rsidRDefault="004A1E2B" w:rsidP="007732B1">
            <w:pPr>
              <w:jc w:val="both"/>
              <w:rPr>
                <w:rFonts w:eastAsia="Calibri"/>
                <w:sz w:val="20"/>
                <w:lang w:val="fr-CA"/>
              </w:rPr>
            </w:pPr>
            <w:r w:rsidRPr="00330CC4">
              <w:rPr>
                <w:rFonts w:eastAsia="Calibri"/>
                <w:sz w:val="20"/>
                <w:lang w:val="fr-CA"/>
              </w:rPr>
              <w:t>Requête pour assurer l’exécution du rôle de l’avocat des enfants dans le cadre des communications écrites limitées, rejetée</w:t>
            </w:r>
          </w:p>
        </w:tc>
      </w:tr>
      <w:tr w:rsidR="004A1E2B" w:rsidRPr="00F677DC" w:rsidTr="007732B1">
        <w:tc>
          <w:tcPr>
            <w:tcW w:w="2427" w:type="pct"/>
          </w:tcPr>
          <w:p w:rsidR="004A1E2B" w:rsidRPr="00330CC4" w:rsidRDefault="004A1E2B" w:rsidP="007732B1">
            <w:pPr>
              <w:jc w:val="both"/>
              <w:rPr>
                <w:rFonts w:eastAsia="Calibri"/>
                <w:sz w:val="20"/>
                <w:lang w:val="fr-CA"/>
              </w:rPr>
            </w:pPr>
            <w:r w:rsidRPr="00330CC4">
              <w:rPr>
                <w:rFonts w:eastAsia="Calibri"/>
                <w:sz w:val="20"/>
                <w:lang w:val="fr-CA"/>
              </w:rPr>
              <w:t>15 avril 2014</w:t>
            </w:r>
          </w:p>
          <w:p w:rsidR="004A1E2B" w:rsidRPr="00330CC4" w:rsidRDefault="004A1E2B" w:rsidP="007732B1">
            <w:pPr>
              <w:jc w:val="both"/>
              <w:rPr>
                <w:rFonts w:eastAsia="Calibri"/>
                <w:sz w:val="20"/>
                <w:lang w:val="fr-CA"/>
              </w:rPr>
            </w:pPr>
            <w:r w:rsidRPr="00330CC4">
              <w:rPr>
                <w:rFonts w:eastAsia="Calibri"/>
                <w:sz w:val="20"/>
                <w:lang w:val="fr-CA"/>
              </w:rPr>
              <w:t xml:space="preserve">Cour d’appel de la Nouvelle-Écosse </w:t>
            </w:r>
          </w:p>
          <w:p w:rsidR="004A1E2B" w:rsidRPr="00330CC4" w:rsidRDefault="004A1E2B" w:rsidP="007732B1">
            <w:pPr>
              <w:jc w:val="both"/>
              <w:rPr>
                <w:rFonts w:eastAsia="Calibri"/>
                <w:sz w:val="20"/>
                <w:lang w:val="fr-CA"/>
              </w:rPr>
            </w:pPr>
            <w:r w:rsidRPr="00330CC4">
              <w:rPr>
                <w:rFonts w:eastAsia="Calibri"/>
                <w:sz w:val="20"/>
                <w:lang w:val="fr-CA"/>
              </w:rPr>
              <w:t>(Juges Oland, MacDonald et Farrar)</w:t>
            </w:r>
          </w:p>
          <w:p w:rsidR="004A1E2B" w:rsidRPr="00330CC4" w:rsidRDefault="004A1E2B" w:rsidP="007732B1">
            <w:pPr>
              <w:jc w:val="both"/>
              <w:rPr>
                <w:rFonts w:eastAsia="Calibri"/>
                <w:sz w:val="20"/>
              </w:rPr>
            </w:pPr>
            <w:r w:rsidRPr="00330CC4">
              <w:rPr>
                <w:rFonts w:eastAsia="Calibri"/>
                <w:sz w:val="20"/>
              </w:rPr>
              <w:t xml:space="preserve">CA413485; </w:t>
            </w:r>
            <w:hyperlink r:id="rId44" w:history="1">
              <w:r w:rsidRPr="00330CC4">
                <w:rPr>
                  <w:rFonts w:eastAsia="Calibri"/>
                  <w:color w:val="0000FF"/>
                  <w:sz w:val="20"/>
                  <w:u w:val="single"/>
                </w:rPr>
                <w:t>2014 NSCA 39</w:t>
              </w:r>
            </w:hyperlink>
          </w:p>
          <w:p w:rsidR="004A1E2B" w:rsidRPr="00330CC4" w:rsidRDefault="004A1E2B" w:rsidP="007732B1">
            <w:pPr>
              <w:jc w:val="both"/>
              <w:rPr>
                <w:rFonts w:eastAsia="Calibri"/>
                <w:sz w:val="20"/>
              </w:rPr>
            </w:pPr>
          </w:p>
        </w:tc>
        <w:tc>
          <w:tcPr>
            <w:tcW w:w="243" w:type="pct"/>
          </w:tcPr>
          <w:p w:rsidR="004A1E2B" w:rsidRPr="00330CC4" w:rsidRDefault="004A1E2B" w:rsidP="007732B1">
            <w:pPr>
              <w:jc w:val="both"/>
              <w:rPr>
                <w:rFonts w:eastAsia="Calibri"/>
                <w:sz w:val="20"/>
              </w:rPr>
            </w:pPr>
          </w:p>
        </w:tc>
        <w:tc>
          <w:tcPr>
            <w:tcW w:w="2330" w:type="pct"/>
          </w:tcPr>
          <w:p w:rsidR="004A1E2B" w:rsidRPr="00330CC4" w:rsidRDefault="004A1E2B" w:rsidP="007732B1">
            <w:pPr>
              <w:jc w:val="both"/>
              <w:rPr>
                <w:rFonts w:eastAsia="Calibri"/>
                <w:sz w:val="20"/>
                <w:lang w:val="fr-CA"/>
              </w:rPr>
            </w:pPr>
            <w:r w:rsidRPr="00330CC4">
              <w:rPr>
                <w:rFonts w:eastAsia="Calibri"/>
                <w:sz w:val="20"/>
                <w:lang w:val="fr-CA"/>
              </w:rPr>
              <w:t>Requête pour production de nouvelle preuve et appel rejeté</w:t>
            </w:r>
          </w:p>
          <w:p w:rsidR="004A1E2B" w:rsidRPr="00330CC4" w:rsidRDefault="004A1E2B" w:rsidP="007732B1">
            <w:pPr>
              <w:jc w:val="both"/>
              <w:rPr>
                <w:rFonts w:eastAsia="Calibri"/>
                <w:sz w:val="20"/>
                <w:lang w:val="fr-CA"/>
              </w:rPr>
            </w:pPr>
          </w:p>
        </w:tc>
      </w:tr>
      <w:tr w:rsidR="004A1E2B" w:rsidRPr="00330CC4" w:rsidTr="007732B1">
        <w:tc>
          <w:tcPr>
            <w:tcW w:w="2427" w:type="pct"/>
          </w:tcPr>
          <w:p w:rsidR="004A1E2B" w:rsidRPr="00330CC4" w:rsidRDefault="004A1E2B" w:rsidP="007732B1">
            <w:pPr>
              <w:jc w:val="both"/>
              <w:rPr>
                <w:rFonts w:eastAsia="Calibri"/>
                <w:sz w:val="20"/>
                <w:lang w:val="fr-CA"/>
              </w:rPr>
            </w:pPr>
            <w:r w:rsidRPr="00330CC4">
              <w:rPr>
                <w:rFonts w:eastAsia="Calibri"/>
                <w:sz w:val="20"/>
                <w:lang w:val="fr-CA"/>
              </w:rPr>
              <w:lastRenderedPageBreak/>
              <w:t>13 juin 2014</w:t>
            </w:r>
          </w:p>
          <w:p w:rsidR="004A1E2B" w:rsidRPr="00330CC4" w:rsidRDefault="004A1E2B" w:rsidP="007732B1">
            <w:pPr>
              <w:jc w:val="both"/>
              <w:rPr>
                <w:rFonts w:eastAsia="Calibri"/>
                <w:sz w:val="20"/>
                <w:lang w:val="fr-CA"/>
              </w:rPr>
            </w:pPr>
            <w:r w:rsidRPr="00330CC4">
              <w:rPr>
                <w:rFonts w:eastAsia="Calibri"/>
                <w:sz w:val="20"/>
                <w:lang w:val="fr-CA"/>
              </w:rPr>
              <w:t>Cour suprême du Canada</w:t>
            </w:r>
          </w:p>
        </w:tc>
        <w:tc>
          <w:tcPr>
            <w:tcW w:w="243" w:type="pct"/>
          </w:tcPr>
          <w:p w:rsidR="004A1E2B" w:rsidRPr="00330CC4" w:rsidRDefault="004A1E2B" w:rsidP="007732B1">
            <w:pPr>
              <w:jc w:val="both"/>
              <w:rPr>
                <w:rFonts w:eastAsia="Calibri"/>
                <w:sz w:val="20"/>
                <w:lang w:val="fr-CA"/>
              </w:rPr>
            </w:pPr>
          </w:p>
        </w:tc>
        <w:tc>
          <w:tcPr>
            <w:tcW w:w="2330" w:type="pct"/>
          </w:tcPr>
          <w:p w:rsidR="004A1E2B" w:rsidRPr="00330CC4" w:rsidRDefault="004A1E2B" w:rsidP="007732B1">
            <w:pPr>
              <w:jc w:val="both"/>
              <w:rPr>
                <w:rFonts w:eastAsia="Calibri"/>
                <w:sz w:val="20"/>
              </w:rPr>
            </w:pPr>
            <w:r w:rsidRPr="00330CC4">
              <w:rPr>
                <w:rFonts w:eastAsia="Calibri"/>
                <w:sz w:val="20"/>
              </w:rPr>
              <w:t>Demande d’autorisation d’appel déposée</w:t>
            </w:r>
          </w:p>
        </w:tc>
      </w:tr>
    </w:tbl>
    <w:p w:rsidR="00185470" w:rsidRDefault="00185470" w:rsidP="00185470">
      <w:pPr>
        <w:rPr>
          <w:sz w:val="20"/>
          <w:szCs w:val="20"/>
        </w:rPr>
      </w:pPr>
    </w:p>
    <w:p w:rsidR="00185470" w:rsidRDefault="00F677DC" w:rsidP="00185470">
      <w:pPr>
        <w:rPr>
          <w:sz w:val="20"/>
          <w:szCs w:val="20"/>
        </w:rPr>
      </w:pPr>
      <w:r>
        <w:rPr>
          <w:sz w:val="20"/>
          <w:szCs w:val="20"/>
          <w:lang w:val="fr-CA"/>
        </w:rPr>
        <w:pict>
          <v:rect id="_x0000_i1070" style="width:2in;height:1pt" o:hrpct="0" o:hralign="center" o:hrstd="t" o:hrnoshade="t" o:hr="t" fillcolor="black [3213]" stroked="f"/>
        </w:pict>
      </w:r>
    </w:p>
    <w:p w:rsidR="00185470" w:rsidRDefault="00185470" w:rsidP="00185470">
      <w:pPr>
        <w:rPr>
          <w:sz w:val="20"/>
          <w:szCs w:val="20"/>
          <w:lang w:val="fr-CA"/>
        </w:rPr>
      </w:pPr>
    </w:p>
    <w:tbl>
      <w:tblPr>
        <w:tblStyle w:val="TableGrid9"/>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34E7B" w:rsidRPr="00834E7B" w:rsidTr="003D0C01">
        <w:trPr>
          <w:cantSplit/>
        </w:trPr>
        <w:tc>
          <w:tcPr>
            <w:tcW w:w="1458" w:type="dxa"/>
          </w:tcPr>
          <w:p w:rsidR="00834E7B" w:rsidRPr="00834E7B" w:rsidRDefault="00834E7B" w:rsidP="00834E7B">
            <w:pPr>
              <w:rPr>
                <w:sz w:val="20"/>
                <w:szCs w:val="20"/>
              </w:rPr>
            </w:pPr>
            <w:r w:rsidRPr="00834E7B">
              <w:rPr>
                <w:b/>
                <w:sz w:val="20"/>
                <w:lang w:val="fr-CA"/>
              </w:rPr>
              <w:t>35949</w:t>
            </w:r>
          </w:p>
          <w:p w:rsidR="00834E7B" w:rsidRPr="00834E7B" w:rsidRDefault="00834E7B" w:rsidP="00834E7B">
            <w:pPr>
              <w:rPr>
                <w:b/>
                <w:sz w:val="20"/>
                <w:szCs w:val="20"/>
                <w:lang w:val="fr-CA"/>
              </w:rPr>
            </w:pPr>
          </w:p>
        </w:tc>
        <w:tc>
          <w:tcPr>
            <w:tcW w:w="8118" w:type="dxa"/>
          </w:tcPr>
          <w:p w:rsidR="00834E7B" w:rsidRPr="00834E7B" w:rsidRDefault="00834E7B" w:rsidP="00834E7B">
            <w:pPr>
              <w:rPr>
                <w:sz w:val="20"/>
                <w:szCs w:val="20"/>
              </w:rPr>
            </w:pPr>
            <w:r w:rsidRPr="00834E7B">
              <w:rPr>
                <w:b/>
                <w:sz w:val="20"/>
                <w:u w:val="single"/>
              </w:rPr>
              <w:t>Mixail Gladuhov v. Sylvia Swider</w:t>
            </w:r>
            <w:r w:rsidRPr="00834E7B">
              <w:rPr>
                <w:sz w:val="20"/>
                <w:szCs w:val="20"/>
              </w:rPr>
              <w:t xml:space="preserve"> (Ont.) (Civil) (By Leave)</w:t>
            </w:r>
          </w:p>
          <w:p w:rsidR="00834E7B" w:rsidRPr="00834E7B" w:rsidRDefault="00834E7B" w:rsidP="00834E7B">
            <w:pPr>
              <w:rPr>
                <w:sz w:val="20"/>
                <w:szCs w:val="20"/>
              </w:rPr>
            </w:pPr>
          </w:p>
        </w:tc>
      </w:tr>
      <w:tr w:rsidR="00834E7B" w:rsidRPr="00834E7B" w:rsidTr="003D0C01">
        <w:trPr>
          <w:cantSplit/>
        </w:trPr>
        <w:tc>
          <w:tcPr>
            <w:tcW w:w="1458" w:type="dxa"/>
          </w:tcPr>
          <w:p w:rsidR="00834E7B" w:rsidRPr="00834E7B" w:rsidRDefault="00834E7B" w:rsidP="00834E7B">
            <w:pPr>
              <w:rPr>
                <w:sz w:val="20"/>
                <w:szCs w:val="20"/>
              </w:rPr>
            </w:pPr>
            <w:r w:rsidRPr="00834E7B">
              <w:rPr>
                <w:sz w:val="20"/>
                <w:szCs w:val="20"/>
              </w:rPr>
              <w:t>Coram :</w:t>
            </w:r>
          </w:p>
        </w:tc>
        <w:tc>
          <w:tcPr>
            <w:tcW w:w="8118" w:type="dxa"/>
          </w:tcPr>
          <w:p w:rsidR="00834E7B" w:rsidRPr="00834E7B" w:rsidRDefault="00834E7B" w:rsidP="00834E7B">
            <w:pPr>
              <w:rPr>
                <w:sz w:val="20"/>
                <w:szCs w:val="20"/>
              </w:rPr>
            </w:pPr>
            <w:r w:rsidRPr="00834E7B">
              <w:rPr>
                <w:sz w:val="20"/>
                <w:u w:val="single"/>
              </w:rPr>
              <w:t>McLachlin C.J. and Cromwell and Wagner JJ.</w:t>
            </w:r>
          </w:p>
          <w:p w:rsidR="00834E7B" w:rsidRPr="00834E7B" w:rsidRDefault="00834E7B" w:rsidP="00834E7B">
            <w:pPr>
              <w:rPr>
                <w:sz w:val="20"/>
                <w:szCs w:val="20"/>
                <w:u w:val="single"/>
              </w:rPr>
            </w:pPr>
          </w:p>
        </w:tc>
      </w:tr>
      <w:tr w:rsidR="00834E7B" w:rsidRPr="00F677DC" w:rsidTr="003D0C01">
        <w:trPr>
          <w:cantSplit/>
        </w:trPr>
        <w:tc>
          <w:tcPr>
            <w:tcW w:w="9576" w:type="dxa"/>
            <w:gridSpan w:val="2"/>
          </w:tcPr>
          <w:p w:rsidR="00834E7B" w:rsidRPr="00834E7B" w:rsidRDefault="00834E7B" w:rsidP="00834E7B">
            <w:pPr>
              <w:ind w:firstLine="720"/>
              <w:jc w:val="both"/>
              <w:rPr>
                <w:sz w:val="20"/>
                <w:szCs w:val="20"/>
              </w:rPr>
            </w:pPr>
            <w:r w:rsidRPr="00834E7B">
              <w:rPr>
                <w:sz w:val="20"/>
                <w:szCs w:val="20"/>
              </w:rPr>
              <w:t>The motion for an extension of time to serve and file the application for leave to appeal is granted.  The application for leave to appeal from the judgment of the Court of Appeal for Ontario, Number C57371, 2014 ONCA 304, dated April 2, 2014, is dismissed without costs.</w:t>
            </w:r>
          </w:p>
          <w:p w:rsidR="00834E7B" w:rsidRPr="00834E7B" w:rsidRDefault="00834E7B" w:rsidP="00834E7B">
            <w:pPr>
              <w:jc w:val="both"/>
              <w:rPr>
                <w:sz w:val="20"/>
                <w:szCs w:val="20"/>
              </w:rPr>
            </w:pPr>
          </w:p>
          <w:p w:rsidR="00834E7B" w:rsidRPr="00834E7B" w:rsidRDefault="00834E7B" w:rsidP="00834E7B">
            <w:pPr>
              <w:ind w:firstLine="720"/>
              <w:jc w:val="both"/>
              <w:rPr>
                <w:sz w:val="20"/>
                <w:szCs w:val="20"/>
                <w:lang w:val="fr-CA"/>
              </w:rPr>
            </w:pPr>
            <w:r w:rsidRPr="00834E7B">
              <w:rPr>
                <w:sz w:val="20"/>
                <w:szCs w:val="20"/>
                <w:lang w:val="fr-CA"/>
              </w:rPr>
              <w:t>La requête en prorogation du délai de signification et de dépôt de la demande d’autorisation d’appel est accueillie.  La demande d’autorisation d’appel de l’arrêt de la Cour d’appel de l’Ontario, numéro C57371, 2014 ONCA 304, daté du 2 avril 2014, est rejetée sans dépens.</w:t>
            </w:r>
          </w:p>
        </w:tc>
      </w:tr>
    </w:tbl>
    <w:p w:rsidR="00185470" w:rsidRDefault="00185470" w:rsidP="00185470">
      <w:pPr>
        <w:rPr>
          <w:sz w:val="20"/>
          <w:szCs w:val="20"/>
          <w:lang w:val="fr-CA"/>
        </w:rPr>
      </w:pPr>
    </w:p>
    <w:p w:rsidR="00185470" w:rsidRPr="0016547E" w:rsidRDefault="00185470" w:rsidP="00185470">
      <w:pPr>
        <w:rPr>
          <w:sz w:val="20"/>
          <w:szCs w:val="20"/>
          <w:lang w:val="fr-CA"/>
        </w:rPr>
      </w:pPr>
    </w:p>
    <w:p w:rsidR="00185470" w:rsidRPr="001B157C" w:rsidRDefault="00185470" w:rsidP="00185470">
      <w:pPr>
        <w:rPr>
          <w:sz w:val="20"/>
          <w:szCs w:val="20"/>
          <w:u w:val="single"/>
        </w:rPr>
      </w:pPr>
      <w:r w:rsidRPr="001B157C">
        <w:rPr>
          <w:sz w:val="20"/>
          <w:szCs w:val="20"/>
          <w:u w:val="single"/>
        </w:rPr>
        <w:t>CASE SUMMARY</w:t>
      </w:r>
    </w:p>
    <w:p w:rsidR="00185470" w:rsidRDefault="00185470" w:rsidP="0018547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12EB9" w:rsidRPr="00330CC4" w:rsidTr="007732B1">
        <w:tc>
          <w:tcPr>
            <w:tcW w:w="5000" w:type="pct"/>
            <w:gridSpan w:val="3"/>
          </w:tcPr>
          <w:p w:rsidR="00012EB9" w:rsidRPr="00330CC4" w:rsidRDefault="00012EB9" w:rsidP="007732B1">
            <w:pPr>
              <w:jc w:val="both"/>
              <w:rPr>
                <w:rFonts w:eastAsia="Calibri"/>
                <w:sz w:val="20"/>
              </w:rPr>
            </w:pPr>
            <w:r w:rsidRPr="00330CC4">
              <w:rPr>
                <w:rFonts w:eastAsia="Calibri"/>
                <w:sz w:val="20"/>
              </w:rPr>
              <w:t>Judgments and orders – Summary judgment – Motion judge striking applicant’s claim against respondent as disclosing no reasonable cause of action – Whether police action justifies protection from harassment and prosecution of citizens’ rights and freedom – Whether there was proper information recorded for investigation to avoid applicant’s arrest – Whether there is a question of law and criminal action on the part of officers who acted in bad faith to try to imprison citizens on fraudulent statements.</w:t>
            </w:r>
          </w:p>
        </w:tc>
      </w:tr>
      <w:tr w:rsidR="00012EB9" w:rsidRPr="00330CC4" w:rsidTr="007732B1">
        <w:tc>
          <w:tcPr>
            <w:tcW w:w="5000" w:type="pct"/>
            <w:gridSpan w:val="3"/>
          </w:tcPr>
          <w:p w:rsidR="00012EB9" w:rsidRPr="00330CC4" w:rsidRDefault="00012EB9" w:rsidP="007732B1">
            <w:pPr>
              <w:jc w:val="both"/>
              <w:rPr>
                <w:rFonts w:eastAsia="Calibri"/>
                <w:sz w:val="20"/>
              </w:rPr>
            </w:pPr>
          </w:p>
        </w:tc>
      </w:tr>
      <w:tr w:rsidR="00012EB9" w:rsidRPr="00330CC4" w:rsidTr="007732B1">
        <w:tc>
          <w:tcPr>
            <w:tcW w:w="5000" w:type="pct"/>
            <w:gridSpan w:val="3"/>
          </w:tcPr>
          <w:p w:rsidR="00012EB9" w:rsidRPr="00330CC4" w:rsidRDefault="00012EB9" w:rsidP="007732B1">
            <w:pPr>
              <w:jc w:val="both"/>
              <w:rPr>
                <w:rFonts w:eastAsia="Calibri"/>
                <w:sz w:val="20"/>
              </w:rPr>
            </w:pPr>
            <w:r w:rsidRPr="00330CC4">
              <w:rPr>
                <w:rFonts w:eastAsia="Calibri"/>
                <w:sz w:val="20"/>
              </w:rPr>
              <w:t>Mr. Gladuhov sued the respondent police officer, P.C. Swider, alleging that he had suffered damages as a result of the constable’s alleged false testimony at a criminal trial in which Mr. Gladuhov was the defendant.  P.C. Swider brought a motion under Rules 21 and 20 to strike the applicant’s claim and to dismiss the action against her.</w:t>
            </w:r>
          </w:p>
          <w:p w:rsidR="00012EB9" w:rsidRPr="00330CC4" w:rsidRDefault="00012EB9" w:rsidP="007732B1">
            <w:pPr>
              <w:jc w:val="both"/>
              <w:rPr>
                <w:rFonts w:eastAsia="Calibri"/>
                <w:sz w:val="20"/>
              </w:rPr>
            </w:pPr>
          </w:p>
        </w:tc>
      </w:tr>
      <w:tr w:rsidR="00012EB9" w:rsidRPr="00330CC4" w:rsidTr="007732B1">
        <w:tc>
          <w:tcPr>
            <w:tcW w:w="2427" w:type="pct"/>
          </w:tcPr>
          <w:p w:rsidR="00012EB9" w:rsidRPr="00330CC4" w:rsidRDefault="00012EB9" w:rsidP="007732B1">
            <w:pPr>
              <w:jc w:val="both"/>
              <w:rPr>
                <w:rFonts w:eastAsia="Calibri"/>
                <w:sz w:val="20"/>
              </w:rPr>
            </w:pPr>
            <w:r w:rsidRPr="00330CC4">
              <w:rPr>
                <w:rFonts w:eastAsia="Calibri"/>
                <w:sz w:val="20"/>
              </w:rPr>
              <w:t>June 26, 2013</w:t>
            </w:r>
          </w:p>
          <w:p w:rsidR="00012EB9" w:rsidRPr="00330CC4" w:rsidRDefault="00012EB9" w:rsidP="007732B1">
            <w:pPr>
              <w:jc w:val="both"/>
              <w:rPr>
                <w:rFonts w:eastAsia="Calibri"/>
                <w:sz w:val="20"/>
              </w:rPr>
            </w:pPr>
            <w:r w:rsidRPr="00330CC4">
              <w:rPr>
                <w:rFonts w:eastAsia="Calibri"/>
                <w:sz w:val="20"/>
              </w:rPr>
              <w:t>Ontario Superior Court of Justice</w:t>
            </w:r>
          </w:p>
          <w:p w:rsidR="00012EB9" w:rsidRPr="00330CC4" w:rsidRDefault="00012EB9" w:rsidP="007732B1">
            <w:pPr>
              <w:jc w:val="both"/>
              <w:rPr>
                <w:rFonts w:eastAsia="Calibri"/>
                <w:sz w:val="20"/>
              </w:rPr>
            </w:pPr>
            <w:r w:rsidRPr="00330CC4">
              <w:rPr>
                <w:rFonts w:eastAsia="Calibri"/>
                <w:sz w:val="20"/>
              </w:rPr>
              <w:t>(Macdonald J.)</w:t>
            </w:r>
          </w:p>
          <w:p w:rsidR="00012EB9" w:rsidRPr="00330CC4" w:rsidRDefault="00012EB9" w:rsidP="007732B1">
            <w:pPr>
              <w:jc w:val="both"/>
              <w:rPr>
                <w:rFonts w:eastAsia="Calibri"/>
                <w:sz w:val="20"/>
              </w:rPr>
            </w:pPr>
            <w:r w:rsidRPr="00330CC4">
              <w:rPr>
                <w:rFonts w:eastAsia="Calibri"/>
                <w:sz w:val="20"/>
              </w:rPr>
              <w:t>2013 ONSC 5376</w:t>
            </w:r>
          </w:p>
          <w:p w:rsidR="00012EB9" w:rsidRPr="00330CC4" w:rsidRDefault="00012EB9" w:rsidP="007732B1">
            <w:pPr>
              <w:jc w:val="both"/>
              <w:rPr>
                <w:rFonts w:eastAsia="Calibri"/>
                <w:sz w:val="20"/>
              </w:rPr>
            </w:pPr>
          </w:p>
        </w:tc>
        <w:tc>
          <w:tcPr>
            <w:tcW w:w="243" w:type="pct"/>
          </w:tcPr>
          <w:p w:rsidR="00012EB9" w:rsidRPr="00330CC4" w:rsidRDefault="00012EB9" w:rsidP="007732B1">
            <w:pPr>
              <w:jc w:val="both"/>
              <w:rPr>
                <w:rFonts w:eastAsia="Calibri"/>
                <w:sz w:val="20"/>
              </w:rPr>
            </w:pPr>
          </w:p>
        </w:tc>
        <w:tc>
          <w:tcPr>
            <w:tcW w:w="2330" w:type="pct"/>
          </w:tcPr>
          <w:p w:rsidR="00012EB9" w:rsidRPr="00330CC4" w:rsidRDefault="00012EB9" w:rsidP="007732B1">
            <w:pPr>
              <w:jc w:val="both"/>
              <w:rPr>
                <w:rFonts w:eastAsia="Calibri"/>
                <w:sz w:val="20"/>
              </w:rPr>
            </w:pPr>
            <w:r w:rsidRPr="00330CC4">
              <w:rPr>
                <w:rFonts w:eastAsia="Calibri"/>
                <w:sz w:val="20"/>
              </w:rPr>
              <w:t>Respondent’s motion for order striking applicant’s claim and dismissing action against her granted</w:t>
            </w:r>
          </w:p>
          <w:p w:rsidR="00012EB9" w:rsidRPr="00330CC4" w:rsidRDefault="00012EB9" w:rsidP="007732B1">
            <w:pPr>
              <w:jc w:val="both"/>
              <w:rPr>
                <w:rFonts w:eastAsia="Calibri"/>
                <w:sz w:val="20"/>
              </w:rPr>
            </w:pPr>
          </w:p>
          <w:p w:rsidR="00012EB9" w:rsidRPr="00330CC4" w:rsidRDefault="00012EB9" w:rsidP="007732B1">
            <w:pPr>
              <w:jc w:val="both"/>
              <w:rPr>
                <w:rFonts w:eastAsia="Calibri"/>
                <w:sz w:val="20"/>
              </w:rPr>
            </w:pPr>
          </w:p>
        </w:tc>
      </w:tr>
      <w:tr w:rsidR="00012EB9" w:rsidRPr="00330CC4" w:rsidTr="007732B1">
        <w:tc>
          <w:tcPr>
            <w:tcW w:w="2427" w:type="pct"/>
          </w:tcPr>
          <w:p w:rsidR="00012EB9" w:rsidRPr="00330CC4" w:rsidRDefault="00012EB9" w:rsidP="007732B1">
            <w:pPr>
              <w:jc w:val="both"/>
              <w:rPr>
                <w:rFonts w:eastAsia="Calibri"/>
                <w:sz w:val="20"/>
              </w:rPr>
            </w:pPr>
            <w:r w:rsidRPr="00330CC4">
              <w:rPr>
                <w:rFonts w:eastAsia="Calibri"/>
                <w:sz w:val="20"/>
              </w:rPr>
              <w:t>April 2, 2014</w:t>
            </w:r>
          </w:p>
          <w:p w:rsidR="00012EB9" w:rsidRPr="00330CC4" w:rsidRDefault="00012EB9" w:rsidP="007732B1">
            <w:pPr>
              <w:jc w:val="both"/>
              <w:rPr>
                <w:rFonts w:eastAsia="Calibri"/>
                <w:sz w:val="20"/>
              </w:rPr>
            </w:pPr>
            <w:r w:rsidRPr="00330CC4">
              <w:rPr>
                <w:rFonts w:eastAsia="Calibri"/>
                <w:sz w:val="20"/>
              </w:rPr>
              <w:t>Court of Appeal for Ontario</w:t>
            </w:r>
          </w:p>
          <w:p w:rsidR="00012EB9" w:rsidRPr="00330CC4" w:rsidRDefault="00012EB9" w:rsidP="007732B1">
            <w:pPr>
              <w:jc w:val="both"/>
              <w:rPr>
                <w:rFonts w:eastAsia="Calibri"/>
                <w:sz w:val="20"/>
              </w:rPr>
            </w:pPr>
            <w:r w:rsidRPr="00330CC4">
              <w:rPr>
                <w:rFonts w:eastAsia="Calibri"/>
                <w:sz w:val="20"/>
              </w:rPr>
              <w:t>(Feldman, Rouleau and Hourigan JJ.A.)</w:t>
            </w:r>
          </w:p>
          <w:p w:rsidR="00012EB9" w:rsidRPr="00330CC4" w:rsidRDefault="00012EB9" w:rsidP="007732B1">
            <w:pPr>
              <w:jc w:val="both"/>
              <w:rPr>
                <w:rFonts w:eastAsia="Calibri"/>
                <w:sz w:val="20"/>
              </w:rPr>
            </w:pPr>
            <w:r w:rsidRPr="00330CC4">
              <w:rPr>
                <w:rFonts w:eastAsia="Calibri"/>
                <w:sz w:val="20"/>
              </w:rPr>
              <w:t>2014 ONCA 304</w:t>
            </w:r>
          </w:p>
          <w:p w:rsidR="00012EB9" w:rsidRPr="00330CC4" w:rsidRDefault="00012EB9" w:rsidP="007732B1">
            <w:pPr>
              <w:jc w:val="both"/>
              <w:rPr>
                <w:rFonts w:eastAsia="Calibri"/>
                <w:sz w:val="20"/>
              </w:rPr>
            </w:pPr>
          </w:p>
        </w:tc>
        <w:tc>
          <w:tcPr>
            <w:tcW w:w="243" w:type="pct"/>
          </w:tcPr>
          <w:p w:rsidR="00012EB9" w:rsidRPr="00330CC4" w:rsidRDefault="00012EB9" w:rsidP="007732B1">
            <w:pPr>
              <w:jc w:val="both"/>
              <w:rPr>
                <w:rFonts w:eastAsia="Calibri"/>
                <w:sz w:val="20"/>
              </w:rPr>
            </w:pPr>
          </w:p>
        </w:tc>
        <w:tc>
          <w:tcPr>
            <w:tcW w:w="2330" w:type="pct"/>
          </w:tcPr>
          <w:p w:rsidR="00012EB9" w:rsidRPr="00330CC4" w:rsidRDefault="00012EB9" w:rsidP="007732B1">
            <w:pPr>
              <w:jc w:val="both"/>
              <w:rPr>
                <w:rFonts w:eastAsia="Calibri"/>
                <w:sz w:val="20"/>
              </w:rPr>
            </w:pPr>
            <w:r w:rsidRPr="00330CC4">
              <w:rPr>
                <w:rFonts w:eastAsia="Calibri"/>
                <w:sz w:val="20"/>
              </w:rPr>
              <w:t>Applicant’s appeal dismissed</w:t>
            </w:r>
          </w:p>
          <w:p w:rsidR="00012EB9" w:rsidRPr="00330CC4" w:rsidRDefault="00012EB9" w:rsidP="007732B1">
            <w:pPr>
              <w:jc w:val="both"/>
              <w:rPr>
                <w:rFonts w:eastAsia="Calibri"/>
                <w:sz w:val="20"/>
              </w:rPr>
            </w:pPr>
          </w:p>
        </w:tc>
      </w:tr>
      <w:tr w:rsidR="00012EB9" w:rsidRPr="00330CC4" w:rsidTr="007732B1">
        <w:tc>
          <w:tcPr>
            <w:tcW w:w="2427" w:type="pct"/>
          </w:tcPr>
          <w:p w:rsidR="00012EB9" w:rsidRPr="00330CC4" w:rsidRDefault="00012EB9" w:rsidP="007732B1">
            <w:pPr>
              <w:jc w:val="both"/>
              <w:rPr>
                <w:rFonts w:eastAsia="Calibri"/>
                <w:sz w:val="20"/>
              </w:rPr>
            </w:pPr>
            <w:r w:rsidRPr="00330CC4">
              <w:rPr>
                <w:rFonts w:eastAsia="Calibri"/>
                <w:sz w:val="20"/>
              </w:rPr>
              <w:t>June 12, 2014</w:t>
            </w:r>
          </w:p>
          <w:p w:rsidR="00012EB9" w:rsidRPr="00330CC4" w:rsidRDefault="00012EB9" w:rsidP="007732B1">
            <w:pPr>
              <w:jc w:val="both"/>
              <w:rPr>
                <w:rFonts w:eastAsia="Calibri"/>
                <w:sz w:val="20"/>
              </w:rPr>
            </w:pPr>
            <w:r w:rsidRPr="00330CC4">
              <w:rPr>
                <w:rFonts w:eastAsia="Calibri"/>
                <w:sz w:val="20"/>
              </w:rPr>
              <w:t>Supreme Court of Canada</w:t>
            </w:r>
          </w:p>
        </w:tc>
        <w:tc>
          <w:tcPr>
            <w:tcW w:w="243" w:type="pct"/>
          </w:tcPr>
          <w:p w:rsidR="00012EB9" w:rsidRPr="00330CC4" w:rsidRDefault="00012EB9" w:rsidP="007732B1">
            <w:pPr>
              <w:jc w:val="both"/>
              <w:rPr>
                <w:rFonts w:eastAsia="Calibri"/>
                <w:sz w:val="20"/>
              </w:rPr>
            </w:pPr>
          </w:p>
        </w:tc>
        <w:tc>
          <w:tcPr>
            <w:tcW w:w="2330" w:type="pct"/>
          </w:tcPr>
          <w:p w:rsidR="00012EB9" w:rsidRPr="00330CC4" w:rsidRDefault="00012EB9" w:rsidP="007732B1">
            <w:pPr>
              <w:jc w:val="both"/>
              <w:rPr>
                <w:rFonts w:eastAsia="Calibri"/>
                <w:sz w:val="20"/>
              </w:rPr>
            </w:pPr>
            <w:r w:rsidRPr="00330CC4">
              <w:rPr>
                <w:rFonts w:eastAsia="Calibri"/>
                <w:sz w:val="20"/>
              </w:rPr>
              <w:t>Motion to extend time to serve and file application for leave to appeal and application for leave to appeal filed</w:t>
            </w:r>
          </w:p>
        </w:tc>
      </w:tr>
    </w:tbl>
    <w:p w:rsidR="00185470" w:rsidRDefault="00185470" w:rsidP="00185470">
      <w:pPr>
        <w:rPr>
          <w:sz w:val="20"/>
          <w:szCs w:val="20"/>
        </w:rPr>
      </w:pPr>
    </w:p>
    <w:p w:rsidR="00185470" w:rsidRPr="00C50A5C" w:rsidRDefault="00F677DC" w:rsidP="00185470">
      <w:pPr>
        <w:rPr>
          <w:sz w:val="20"/>
          <w:szCs w:val="20"/>
        </w:rPr>
      </w:pPr>
      <w:r>
        <w:rPr>
          <w:sz w:val="20"/>
          <w:szCs w:val="20"/>
          <w:lang w:val="fr-CA"/>
        </w:rPr>
        <w:pict>
          <v:rect id="_x0000_i1071" style="width:2in;height:1pt" o:hrpct="0" o:hralign="center" o:hrstd="t" o:hrnoshade="t" o:hr="t" fillcolor="black [3213]" stroked="f"/>
        </w:pict>
      </w:r>
    </w:p>
    <w:p w:rsidR="00185470" w:rsidRDefault="00185470" w:rsidP="00185470">
      <w:pPr>
        <w:rPr>
          <w:sz w:val="20"/>
          <w:szCs w:val="20"/>
        </w:rPr>
      </w:pPr>
    </w:p>
    <w:p w:rsidR="00185470" w:rsidRPr="001B157C" w:rsidRDefault="00185470" w:rsidP="00185470">
      <w:pPr>
        <w:rPr>
          <w:sz w:val="20"/>
          <w:szCs w:val="20"/>
          <w:u w:val="single"/>
          <w:lang w:val="fr-CA"/>
        </w:rPr>
      </w:pPr>
      <w:r w:rsidRPr="001B157C">
        <w:rPr>
          <w:sz w:val="20"/>
          <w:szCs w:val="20"/>
          <w:u w:val="single"/>
          <w:lang w:val="fr-CA"/>
        </w:rPr>
        <w:t>RÉSUMÉ DE L’AFFAIRE</w:t>
      </w:r>
    </w:p>
    <w:p w:rsidR="00185470" w:rsidRDefault="00185470" w:rsidP="0018547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12EB9" w:rsidRPr="00F677DC" w:rsidTr="007732B1">
        <w:tc>
          <w:tcPr>
            <w:tcW w:w="5000" w:type="pct"/>
            <w:gridSpan w:val="3"/>
          </w:tcPr>
          <w:p w:rsidR="00012EB9" w:rsidRPr="00330CC4" w:rsidRDefault="00012EB9" w:rsidP="007732B1">
            <w:pPr>
              <w:jc w:val="both"/>
              <w:rPr>
                <w:rFonts w:eastAsia="Calibri"/>
                <w:sz w:val="20"/>
                <w:lang w:val="fr-CA"/>
              </w:rPr>
            </w:pPr>
            <w:r w:rsidRPr="00330CC4">
              <w:rPr>
                <w:rFonts w:eastAsia="Calibri"/>
                <w:sz w:val="20"/>
                <w:lang w:val="fr-CA"/>
              </w:rPr>
              <w:t xml:space="preserve">Jugements et ordonnances – Jugement sommaire – Juge saisi de la requête a ordonné la radiation de la réclamation du </w:t>
            </w:r>
            <w:r w:rsidRPr="00330CC4">
              <w:rPr>
                <w:rFonts w:eastAsia="Calibri"/>
                <w:sz w:val="20"/>
                <w:lang w:val="fr-CA"/>
              </w:rPr>
              <w:lastRenderedPageBreak/>
              <w:t xml:space="preserve">demandeur contre l’intimée car elle ne révélait pas de cause d’action valable – Est-ce que l’intervention policière justifie la protection des citoyens contre le harcèlement et la poursuite de leurs droits et libertés? – Est-ce que les renseignements appropriés ont été enregistrés aux fins de l’enquête de façon à éviter l’arrestation du demandeur? – Y a-t-il une question de droit et d’intervention criminelle de la part des policiers qui agissent de mauvaise foi pour tenter d’emprisonner des citoyens sur la base de fausses déclarations? </w:t>
            </w:r>
          </w:p>
        </w:tc>
      </w:tr>
      <w:tr w:rsidR="00012EB9" w:rsidRPr="00F677DC" w:rsidTr="007732B1">
        <w:tc>
          <w:tcPr>
            <w:tcW w:w="5000" w:type="pct"/>
            <w:gridSpan w:val="3"/>
          </w:tcPr>
          <w:p w:rsidR="00012EB9" w:rsidRPr="00330CC4" w:rsidRDefault="00012EB9" w:rsidP="007732B1">
            <w:pPr>
              <w:jc w:val="both"/>
              <w:rPr>
                <w:rFonts w:eastAsia="Calibri"/>
                <w:sz w:val="20"/>
                <w:lang w:val="fr-CA"/>
              </w:rPr>
            </w:pPr>
          </w:p>
        </w:tc>
      </w:tr>
      <w:tr w:rsidR="00012EB9" w:rsidRPr="00F677DC" w:rsidTr="007732B1">
        <w:tc>
          <w:tcPr>
            <w:tcW w:w="5000" w:type="pct"/>
            <w:gridSpan w:val="3"/>
          </w:tcPr>
          <w:p w:rsidR="00012EB9" w:rsidRPr="00330CC4" w:rsidRDefault="00012EB9" w:rsidP="007732B1">
            <w:pPr>
              <w:jc w:val="both"/>
              <w:rPr>
                <w:rFonts w:eastAsia="Calibri"/>
                <w:sz w:val="20"/>
                <w:lang w:val="fr-CA"/>
              </w:rPr>
            </w:pPr>
            <w:r w:rsidRPr="00330CC4">
              <w:rPr>
                <w:rFonts w:eastAsia="Calibri"/>
                <w:sz w:val="20"/>
                <w:lang w:val="fr-CA"/>
              </w:rPr>
              <w:t>Monsieur Gladuhov a intenté une action contre la policière intimée, P.C. Swider, prétendant qu’il avait subi des dommages occasionnés par le prétendu faux témoignage de la policière lors d’un procès criminel dans lequel il était le défendeur. P.C. Swider a déposé une requête en vertu des règles 21 et 20 pour radier la réclamation du demandeur et pour rejeter l’action contre elle.</w:t>
            </w:r>
          </w:p>
          <w:p w:rsidR="00012EB9" w:rsidRPr="00330CC4" w:rsidRDefault="00012EB9" w:rsidP="007732B1">
            <w:pPr>
              <w:jc w:val="both"/>
              <w:rPr>
                <w:rFonts w:eastAsia="Calibri"/>
                <w:sz w:val="20"/>
                <w:lang w:val="fr-CA"/>
              </w:rPr>
            </w:pPr>
          </w:p>
        </w:tc>
      </w:tr>
      <w:tr w:rsidR="00012EB9" w:rsidRPr="00F677DC" w:rsidTr="007732B1">
        <w:tc>
          <w:tcPr>
            <w:tcW w:w="2427" w:type="pct"/>
          </w:tcPr>
          <w:p w:rsidR="00012EB9" w:rsidRPr="00330CC4" w:rsidRDefault="00012EB9" w:rsidP="007732B1">
            <w:pPr>
              <w:jc w:val="both"/>
              <w:rPr>
                <w:rFonts w:eastAsia="Calibri"/>
                <w:sz w:val="20"/>
                <w:lang w:val="fr-CA"/>
              </w:rPr>
            </w:pPr>
            <w:r w:rsidRPr="00330CC4">
              <w:rPr>
                <w:rFonts w:eastAsia="Calibri"/>
                <w:sz w:val="20"/>
                <w:lang w:val="fr-CA"/>
              </w:rPr>
              <w:t>26 juin 2013</w:t>
            </w:r>
          </w:p>
          <w:p w:rsidR="00012EB9" w:rsidRPr="00330CC4" w:rsidRDefault="00012EB9" w:rsidP="007732B1">
            <w:pPr>
              <w:jc w:val="both"/>
              <w:rPr>
                <w:rFonts w:eastAsia="Calibri"/>
                <w:sz w:val="20"/>
                <w:lang w:val="fr-CA"/>
              </w:rPr>
            </w:pPr>
            <w:r w:rsidRPr="00330CC4">
              <w:rPr>
                <w:rFonts w:eastAsia="Calibri"/>
                <w:sz w:val="20"/>
                <w:lang w:val="fr-CA"/>
              </w:rPr>
              <w:t xml:space="preserve">Cour supérieure de justice de l’Ontario </w:t>
            </w:r>
          </w:p>
          <w:p w:rsidR="00012EB9" w:rsidRPr="00330CC4" w:rsidRDefault="00012EB9" w:rsidP="007732B1">
            <w:pPr>
              <w:jc w:val="both"/>
              <w:rPr>
                <w:rFonts w:eastAsia="Calibri"/>
                <w:sz w:val="20"/>
              </w:rPr>
            </w:pPr>
            <w:r w:rsidRPr="00330CC4">
              <w:rPr>
                <w:rFonts w:eastAsia="Calibri"/>
                <w:sz w:val="20"/>
              </w:rPr>
              <w:t>(Juge Macdonald)</w:t>
            </w:r>
          </w:p>
          <w:p w:rsidR="00012EB9" w:rsidRPr="00330CC4" w:rsidRDefault="00012EB9" w:rsidP="007732B1">
            <w:pPr>
              <w:jc w:val="both"/>
              <w:rPr>
                <w:rFonts w:eastAsia="Calibri"/>
                <w:sz w:val="20"/>
              </w:rPr>
            </w:pPr>
            <w:r w:rsidRPr="00330CC4">
              <w:rPr>
                <w:rFonts w:eastAsia="Calibri"/>
                <w:sz w:val="20"/>
              </w:rPr>
              <w:t>2013 ONSC 5376</w:t>
            </w:r>
          </w:p>
          <w:p w:rsidR="00012EB9" w:rsidRPr="00330CC4" w:rsidRDefault="00012EB9" w:rsidP="007732B1">
            <w:pPr>
              <w:jc w:val="both"/>
              <w:rPr>
                <w:rFonts w:eastAsia="Calibri"/>
                <w:sz w:val="20"/>
              </w:rPr>
            </w:pPr>
          </w:p>
        </w:tc>
        <w:tc>
          <w:tcPr>
            <w:tcW w:w="243" w:type="pct"/>
          </w:tcPr>
          <w:p w:rsidR="00012EB9" w:rsidRPr="00330CC4" w:rsidRDefault="00012EB9" w:rsidP="007732B1">
            <w:pPr>
              <w:jc w:val="both"/>
              <w:rPr>
                <w:rFonts w:eastAsia="Calibri"/>
                <w:sz w:val="20"/>
              </w:rPr>
            </w:pPr>
          </w:p>
        </w:tc>
        <w:tc>
          <w:tcPr>
            <w:tcW w:w="2330" w:type="pct"/>
          </w:tcPr>
          <w:p w:rsidR="00012EB9" w:rsidRPr="00330CC4" w:rsidRDefault="00012EB9" w:rsidP="007732B1">
            <w:pPr>
              <w:jc w:val="both"/>
              <w:rPr>
                <w:rFonts w:eastAsia="Calibri"/>
                <w:sz w:val="20"/>
                <w:lang w:val="fr-CA"/>
              </w:rPr>
            </w:pPr>
            <w:r w:rsidRPr="00330CC4">
              <w:rPr>
                <w:rFonts w:eastAsia="Calibri"/>
                <w:sz w:val="20"/>
                <w:lang w:val="fr-CA"/>
              </w:rPr>
              <w:t xml:space="preserve">Requête de l’intimée en vue d’obtenir une ordonnance radiant la réclamation du demandeur et rejetant l’action intentée contre elle, accordée  </w:t>
            </w:r>
          </w:p>
          <w:p w:rsidR="00012EB9" w:rsidRPr="00330CC4" w:rsidRDefault="00012EB9" w:rsidP="007732B1">
            <w:pPr>
              <w:jc w:val="both"/>
              <w:rPr>
                <w:rFonts w:eastAsia="Calibri"/>
                <w:sz w:val="20"/>
                <w:lang w:val="fr-CA"/>
              </w:rPr>
            </w:pPr>
          </w:p>
        </w:tc>
      </w:tr>
      <w:tr w:rsidR="00012EB9" w:rsidRPr="00330CC4" w:rsidTr="007732B1">
        <w:tc>
          <w:tcPr>
            <w:tcW w:w="2427" w:type="pct"/>
          </w:tcPr>
          <w:p w:rsidR="00012EB9" w:rsidRPr="00330CC4" w:rsidRDefault="00012EB9" w:rsidP="007732B1">
            <w:pPr>
              <w:jc w:val="both"/>
              <w:rPr>
                <w:rFonts w:eastAsia="Calibri"/>
                <w:sz w:val="20"/>
                <w:lang w:val="fr-CA"/>
              </w:rPr>
            </w:pPr>
            <w:r w:rsidRPr="00330CC4">
              <w:rPr>
                <w:rFonts w:eastAsia="Calibri"/>
                <w:sz w:val="20"/>
                <w:lang w:val="fr-CA"/>
              </w:rPr>
              <w:t>2 avril 2014</w:t>
            </w:r>
          </w:p>
          <w:p w:rsidR="00012EB9" w:rsidRPr="00330CC4" w:rsidRDefault="00012EB9" w:rsidP="007732B1">
            <w:pPr>
              <w:jc w:val="both"/>
              <w:rPr>
                <w:rFonts w:eastAsia="Calibri"/>
                <w:sz w:val="20"/>
                <w:lang w:val="fr-CA"/>
              </w:rPr>
            </w:pPr>
            <w:r w:rsidRPr="00330CC4">
              <w:rPr>
                <w:rFonts w:eastAsia="Calibri"/>
                <w:sz w:val="20"/>
                <w:lang w:val="fr-CA"/>
              </w:rPr>
              <w:t>Cour d’appel de l’Ontario</w:t>
            </w:r>
          </w:p>
          <w:p w:rsidR="00012EB9" w:rsidRPr="00330CC4" w:rsidRDefault="00012EB9" w:rsidP="007732B1">
            <w:pPr>
              <w:jc w:val="both"/>
              <w:rPr>
                <w:rFonts w:eastAsia="Calibri"/>
                <w:sz w:val="20"/>
                <w:lang w:val="fr-CA"/>
              </w:rPr>
            </w:pPr>
            <w:r w:rsidRPr="00330CC4">
              <w:rPr>
                <w:rFonts w:eastAsia="Calibri"/>
                <w:sz w:val="20"/>
                <w:lang w:val="fr-CA"/>
              </w:rPr>
              <w:t>(Juges Feldman, Rouleau et Hourigan)</w:t>
            </w:r>
          </w:p>
          <w:p w:rsidR="00012EB9" w:rsidRDefault="00012EB9" w:rsidP="007732B1">
            <w:pPr>
              <w:jc w:val="both"/>
              <w:rPr>
                <w:rFonts w:eastAsia="Calibri"/>
                <w:sz w:val="20"/>
              </w:rPr>
            </w:pPr>
            <w:r w:rsidRPr="00330CC4">
              <w:rPr>
                <w:rFonts w:eastAsia="Calibri"/>
                <w:sz w:val="20"/>
              </w:rPr>
              <w:t>2014 ONCA 304</w:t>
            </w:r>
          </w:p>
          <w:p w:rsidR="008C1621" w:rsidRPr="00330CC4" w:rsidRDefault="008C1621" w:rsidP="007732B1">
            <w:pPr>
              <w:jc w:val="both"/>
              <w:rPr>
                <w:rFonts w:eastAsia="Calibri"/>
                <w:sz w:val="20"/>
              </w:rPr>
            </w:pPr>
          </w:p>
        </w:tc>
        <w:tc>
          <w:tcPr>
            <w:tcW w:w="243" w:type="pct"/>
          </w:tcPr>
          <w:p w:rsidR="00012EB9" w:rsidRPr="00330CC4" w:rsidRDefault="00012EB9" w:rsidP="007732B1">
            <w:pPr>
              <w:jc w:val="both"/>
              <w:rPr>
                <w:rFonts w:eastAsia="Calibri"/>
                <w:sz w:val="20"/>
              </w:rPr>
            </w:pPr>
          </w:p>
        </w:tc>
        <w:tc>
          <w:tcPr>
            <w:tcW w:w="2330" w:type="pct"/>
          </w:tcPr>
          <w:p w:rsidR="00012EB9" w:rsidRPr="00330CC4" w:rsidRDefault="00012EB9" w:rsidP="007732B1">
            <w:pPr>
              <w:jc w:val="both"/>
              <w:rPr>
                <w:rFonts w:eastAsia="Calibri"/>
                <w:sz w:val="20"/>
              </w:rPr>
            </w:pPr>
            <w:r w:rsidRPr="00330CC4">
              <w:rPr>
                <w:rFonts w:eastAsia="Calibri"/>
                <w:sz w:val="20"/>
              </w:rPr>
              <w:t>Appel du demandeur, rejeté</w:t>
            </w:r>
          </w:p>
          <w:p w:rsidR="00012EB9" w:rsidRPr="00330CC4" w:rsidRDefault="00012EB9" w:rsidP="007732B1">
            <w:pPr>
              <w:jc w:val="both"/>
              <w:rPr>
                <w:rFonts w:eastAsia="Calibri"/>
                <w:sz w:val="20"/>
              </w:rPr>
            </w:pPr>
          </w:p>
        </w:tc>
      </w:tr>
      <w:tr w:rsidR="00012EB9" w:rsidRPr="00DA7379" w:rsidTr="007732B1">
        <w:tc>
          <w:tcPr>
            <w:tcW w:w="2427" w:type="pct"/>
          </w:tcPr>
          <w:p w:rsidR="00012EB9" w:rsidRPr="00330CC4" w:rsidRDefault="00012EB9" w:rsidP="007732B1">
            <w:pPr>
              <w:jc w:val="both"/>
              <w:rPr>
                <w:rFonts w:eastAsia="Calibri"/>
                <w:sz w:val="20"/>
                <w:lang w:val="fr-CA"/>
              </w:rPr>
            </w:pPr>
            <w:r w:rsidRPr="00330CC4">
              <w:rPr>
                <w:rFonts w:eastAsia="Calibri"/>
                <w:sz w:val="20"/>
                <w:lang w:val="fr-CA"/>
              </w:rPr>
              <w:t>12 juin 2014</w:t>
            </w:r>
          </w:p>
          <w:p w:rsidR="00012EB9" w:rsidRPr="00330CC4" w:rsidRDefault="00012EB9" w:rsidP="007732B1">
            <w:pPr>
              <w:jc w:val="both"/>
              <w:rPr>
                <w:rFonts w:eastAsia="Calibri"/>
                <w:sz w:val="20"/>
                <w:lang w:val="fr-CA"/>
              </w:rPr>
            </w:pPr>
            <w:r w:rsidRPr="00330CC4">
              <w:rPr>
                <w:rFonts w:eastAsia="Calibri"/>
                <w:sz w:val="20"/>
                <w:lang w:val="fr-CA"/>
              </w:rPr>
              <w:t>Cour suprême du Canada</w:t>
            </w:r>
          </w:p>
        </w:tc>
        <w:tc>
          <w:tcPr>
            <w:tcW w:w="243" w:type="pct"/>
          </w:tcPr>
          <w:p w:rsidR="00012EB9" w:rsidRPr="00330CC4" w:rsidRDefault="00012EB9" w:rsidP="007732B1">
            <w:pPr>
              <w:jc w:val="both"/>
              <w:rPr>
                <w:rFonts w:eastAsia="Calibri"/>
                <w:sz w:val="20"/>
                <w:lang w:val="fr-CA"/>
              </w:rPr>
            </w:pPr>
          </w:p>
        </w:tc>
        <w:tc>
          <w:tcPr>
            <w:tcW w:w="2330" w:type="pct"/>
          </w:tcPr>
          <w:p w:rsidR="00012EB9" w:rsidRPr="00330CC4" w:rsidRDefault="00012EB9" w:rsidP="007732B1">
            <w:pPr>
              <w:jc w:val="both"/>
              <w:rPr>
                <w:rFonts w:eastAsia="Calibri"/>
                <w:sz w:val="20"/>
                <w:lang w:val="fr-CA"/>
              </w:rPr>
            </w:pPr>
            <w:r w:rsidRPr="00330CC4">
              <w:rPr>
                <w:rFonts w:eastAsia="Calibri"/>
                <w:sz w:val="20"/>
                <w:lang w:val="fr-CA"/>
              </w:rPr>
              <w:t>Requête en prorogation du délai de signification et de dépôt de la demande d’autorisation d’appel et demande d’autorisation d’appel, déposées</w:t>
            </w:r>
          </w:p>
        </w:tc>
      </w:tr>
    </w:tbl>
    <w:p w:rsidR="00185470" w:rsidRPr="00012EB9" w:rsidRDefault="00185470" w:rsidP="00185470">
      <w:pPr>
        <w:rPr>
          <w:sz w:val="20"/>
          <w:szCs w:val="20"/>
          <w:lang w:val="fr-CA"/>
        </w:rPr>
      </w:pPr>
    </w:p>
    <w:p w:rsidR="00185470" w:rsidRDefault="00F677DC" w:rsidP="00185470">
      <w:pPr>
        <w:rPr>
          <w:sz w:val="20"/>
          <w:szCs w:val="20"/>
        </w:rPr>
      </w:pPr>
      <w:r>
        <w:rPr>
          <w:sz w:val="20"/>
          <w:szCs w:val="20"/>
          <w:lang w:val="fr-CA"/>
        </w:rPr>
        <w:pict>
          <v:rect id="_x0000_i1072" style="width:2in;height:1pt" o:hrpct="0" o:hralign="center" o:hrstd="t" o:hrnoshade="t" o:hr="t" fillcolor="black [3213]" stroked="f"/>
        </w:pict>
      </w:r>
    </w:p>
    <w:p w:rsidR="00185470" w:rsidRDefault="00185470" w:rsidP="00185470">
      <w:pPr>
        <w:rPr>
          <w:sz w:val="20"/>
          <w:szCs w:val="20"/>
        </w:rPr>
      </w:pPr>
    </w:p>
    <w:tbl>
      <w:tblPr>
        <w:tblStyle w:val="TableGrid10"/>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34E7B" w:rsidRPr="00834E7B" w:rsidTr="003D0C01">
        <w:trPr>
          <w:cantSplit/>
        </w:trPr>
        <w:tc>
          <w:tcPr>
            <w:tcW w:w="1458" w:type="dxa"/>
          </w:tcPr>
          <w:p w:rsidR="00834E7B" w:rsidRPr="00834E7B" w:rsidRDefault="00834E7B" w:rsidP="00834E7B">
            <w:pPr>
              <w:rPr>
                <w:sz w:val="20"/>
                <w:szCs w:val="20"/>
              </w:rPr>
            </w:pPr>
            <w:r w:rsidRPr="00834E7B">
              <w:rPr>
                <w:b/>
                <w:sz w:val="20"/>
                <w:lang w:val="fr-CA"/>
              </w:rPr>
              <w:t>35953</w:t>
            </w:r>
          </w:p>
          <w:p w:rsidR="00834E7B" w:rsidRPr="00834E7B" w:rsidRDefault="00834E7B" w:rsidP="00834E7B">
            <w:pPr>
              <w:rPr>
                <w:b/>
                <w:sz w:val="20"/>
                <w:szCs w:val="20"/>
                <w:lang w:val="fr-CA"/>
              </w:rPr>
            </w:pPr>
          </w:p>
        </w:tc>
        <w:tc>
          <w:tcPr>
            <w:tcW w:w="8118" w:type="dxa"/>
          </w:tcPr>
          <w:p w:rsidR="00834E7B" w:rsidRPr="00834E7B" w:rsidRDefault="00834E7B" w:rsidP="00834E7B">
            <w:pPr>
              <w:jc w:val="both"/>
              <w:rPr>
                <w:sz w:val="20"/>
                <w:szCs w:val="20"/>
              </w:rPr>
            </w:pPr>
            <w:r w:rsidRPr="00834E7B">
              <w:rPr>
                <w:b/>
                <w:sz w:val="20"/>
                <w:u w:val="single"/>
              </w:rPr>
              <w:t>Danny Moss v. Keith G. Collins Ltd., as Trustee of the Estate of Daniel Moss, a Bankrupt</w:t>
            </w:r>
            <w:r w:rsidRPr="00834E7B">
              <w:rPr>
                <w:sz w:val="20"/>
                <w:szCs w:val="20"/>
              </w:rPr>
              <w:t xml:space="preserve"> (Man.) (Civil) (By Leave)</w:t>
            </w:r>
          </w:p>
          <w:p w:rsidR="00834E7B" w:rsidRPr="00834E7B" w:rsidRDefault="00834E7B" w:rsidP="00834E7B">
            <w:pPr>
              <w:jc w:val="both"/>
              <w:rPr>
                <w:sz w:val="20"/>
                <w:szCs w:val="20"/>
              </w:rPr>
            </w:pPr>
          </w:p>
        </w:tc>
      </w:tr>
      <w:tr w:rsidR="00834E7B" w:rsidRPr="00834E7B" w:rsidTr="003D0C01">
        <w:trPr>
          <w:cantSplit/>
        </w:trPr>
        <w:tc>
          <w:tcPr>
            <w:tcW w:w="1458" w:type="dxa"/>
          </w:tcPr>
          <w:p w:rsidR="00834E7B" w:rsidRPr="00834E7B" w:rsidRDefault="00834E7B" w:rsidP="00834E7B">
            <w:pPr>
              <w:rPr>
                <w:sz w:val="20"/>
                <w:szCs w:val="20"/>
              </w:rPr>
            </w:pPr>
            <w:r w:rsidRPr="00834E7B">
              <w:rPr>
                <w:sz w:val="20"/>
                <w:szCs w:val="20"/>
              </w:rPr>
              <w:t>Coram :</w:t>
            </w:r>
          </w:p>
        </w:tc>
        <w:tc>
          <w:tcPr>
            <w:tcW w:w="8118" w:type="dxa"/>
          </w:tcPr>
          <w:p w:rsidR="00834E7B" w:rsidRPr="00834E7B" w:rsidRDefault="00834E7B" w:rsidP="00834E7B">
            <w:pPr>
              <w:rPr>
                <w:sz w:val="20"/>
                <w:szCs w:val="20"/>
              </w:rPr>
            </w:pPr>
            <w:r w:rsidRPr="00834E7B">
              <w:rPr>
                <w:sz w:val="20"/>
                <w:u w:val="single"/>
              </w:rPr>
              <w:t>McLachlin C.J. and Cromwell and Wagner JJ.</w:t>
            </w:r>
          </w:p>
          <w:p w:rsidR="00834E7B" w:rsidRPr="00834E7B" w:rsidRDefault="00834E7B" w:rsidP="00834E7B">
            <w:pPr>
              <w:rPr>
                <w:sz w:val="20"/>
                <w:szCs w:val="20"/>
                <w:u w:val="single"/>
              </w:rPr>
            </w:pPr>
          </w:p>
        </w:tc>
      </w:tr>
      <w:tr w:rsidR="00834E7B" w:rsidRPr="00DA7379" w:rsidTr="003D0C01">
        <w:trPr>
          <w:cantSplit/>
        </w:trPr>
        <w:tc>
          <w:tcPr>
            <w:tcW w:w="9576" w:type="dxa"/>
            <w:gridSpan w:val="2"/>
          </w:tcPr>
          <w:p w:rsidR="00834E7B" w:rsidRPr="00834E7B" w:rsidRDefault="00834E7B" w:rsidP="00834E7B">
            <w:pPr>
              <w:ind w:firstLine="720"/>
              <w:jc w:val="both"/>
              <w:rPr>
                <w:sz w:val="20"/>
                <w:szCs w:val="20"/>
              </w:rPr>
            </w:pPr>
            <w:r w:rsidRPr="00834E7B">
              <w:rPr>
                <w:sz w:val="20"/>
                <w:szCs w:val="20"/>
              </w:rPr>
              <w:t>The application for leave to appeal from the judgment of the Court of Appeal of Manitoba, Number AI 13-30-08098, 2014 MBCA 46, dated May 5, 2014, is dismissed with costs.</w:t>
            </w:r>
          </w:p>
          <w:p w:rsidR="00834E7B" w:rsidRPr="00834E7B" w:rsidRDefault="00834E7B" w:rsidP="00834E7B">
            <w:pPr>
              <w:jc w:val="both"/>
              <w:rPr>
                <w:sz w:val="20"/>
                <w:szCs w:val="20"/>
              </w:rPr>
            </w:pPr>
          </w:p>
          <w:p w:rsidR="00834E7B" w:rsidRPr="00834E7B" w:rsidRDefault="00834E7B" w:rsidP="00834E7B">
            <w:pPr>
              <w:ind w:firstLine="720"/>
              <w:jc w:val="both"/>
              <w:rPr>
                <w:sz w:val="20"/>
                <w:szCs w:val="20"/>
                <w:lang w:val="fr-CA"/>
              </w:rPr>
            </w:pPr>
            <w:r w:rsidRPr="00834E7B">
              <w:rPr>
                <w:sz w:val="20"/>
                <w:szCs w:val="20"/>
                <w:lang w:val="fr-CA"/>
              </w:rPr>
              <w:t>La demande d’autorisation d’appel de l’arrêt de la Cour d’appel du Manitoba, numéro AI 13-30-08098, 2014 MBCA 46, daté du 5 mai 2014, est rejetée avec dépens.</w:t>
            </w:r>
          </w:p>
        </w:tc>
      </w:tr>
    </w:tbl>
    <w:p w:rsidR="00185470" w:rsidRPr="00834E7B" w:rsidRDefault="00185470" w:rsidP="000E2959">
      <w:pPr>
        <w:rPr>
          <w:sz w:val="20"/>
          <w:szCs w:val="20"/>
          <w:lang w:val="fr-CA"/>
        </w:rPr>
      </w:pPr>
    </w:p>
    <w:p w:rsidR="00185470" w:rsidRPr="0016547E" w:rsidRDefault="00185470" w:rsidP="00185470">
      <w:pPr>
        <w:rPr>
          <w:sz w:val="20"/>
          <w:szCs w:val="20"/>
          <w:lang w:val="fr-CA"/>
        </w:rPr>
      </w:pPr>
    </w:p>
    <w:p w:rsidR="00185470" w:rsidRPr="001B157C" w:rsidRDefault="00185470" w:rsidP="00185470">
      <w:pPr>
        <w:rPr>
          <w:sz w:val="20"/>
          <w:szCs w:val="20"/>
          <w:u w:val="single"/>
        </w:rPr>
      </w:pPr>
      <w:r w:rsidRPr="001B157C">
        <w:rPr>
          <w:sz w:val="20"/>
          <w:szCs w:val="20"/>
          <w:u w:val="single"/>
        </w:rPr>
        <w:t>CASE SUMMARY</w:t>
      </w:r>
    </w:p>
    <w:p w:rsidR="00185470" w:rsidRDefault="00185470" w:rsidP="0018547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04DB4" w:rsidRPr="00330CC4" w:rsidTr="007732B1">
        <w:tc>
          <w:tcPr>
            <w:tcW w:w="5000" w:type="pct"/>
            <w:gridSpan w:val="3"/>
          </w:tcPr>
          <w:p w:rsidR="00504DB4" w:rsidRPr="00330CC4" w:rsidRDefault="00504DB4" w:rsidP="007732B1">
            <w:pPr>
              <w:jc w:val="both"/>
              <w:rPr>
                <w:rFonts w:eastAsia="Calibri"/>
                <w:sz w:val="20"/>
              </w:rPr>
            </w:pPr>
            <w:r w:rsidRPr="00330CC4">
              <w:rPr>
                <w:rFonts w:eastAsia="Calibri"/>
                <w:sz w:val="20"/>
              </w:rPr>
              <w:t>Civil procedure – Costs – Security for costs – Whether Court of Appeal erred in law and principle in ordering security for costs when Rule 56.01(c) was not applicable in this case – Whether Court of appeal erred in ignoring the decisions of higher courts</w:t>
            </w:r>
          </w:p>
        </w:tc>
      </w:tr>
      <w:tr w:rsidR="00504DB4" w:rsidRPr="00330CC4" w:rsidTr="007732B1">
        <w:tc>
          <w:tcPr>
            <w:tcW w:w="5000" w:type="pct"/>
            <w:gridSpan w:val="3"/>
          </w:tcPr>
          <w:p w:rsidR="00504DB4" w:rsidRPr="00330CC4" w:rsidRDefault="00504DB4" w:rsidP="007732B1">
            <w:pPr>
              <w:jc w:val="both"/>
              <w:rPr>
                <w:rFonts w:eastAsia="Calibri"/>
                <w:sz w:val="20"/>
              </w:rPr>
            </w:pPr>
          </w:p>
        </w:tc>
      </w:tr>
      <w:tr w:rsidR="00504DB4" w:rsidRPr="00330CC4" w:rsidTr="007732B1">
        <w:tc>
          <w:tcPr>
            <w:tcW w:w="5000" w:type="pct"/>
            <w:gridSpan w:val="3"/>
          </w:tcPr>
          <w:p w:rsidR="00504DB4" w:rsidRPr="00330CC4" w:rsidRDefault="00504DB4" w:rsidP="007732B1">
            <w:pPr>
              <w:jc w:val="both"/>
              <w:rPr>
                <w:rFonts w:eastAsia="Calibri"/>
                <w:sz w:val="20"/>
              </w:rPr>
            </w:pPr>
            <w:r w:rsidRPr="00330CC4">
              <w:rPr>
                <w:rFonts w:eastAsia="Calibri"/>
                <w:sz w:val="20"/>
              </w:rPr>
              <w:t xml:space="preserve">In 1996, Mr. Moss made an assignment in bankruptcy in which the respondent was appointed as his trustee.  The administration of his estate involved substantial litigation over the course of many years.  During this time Mr. Moss remained an undischarged bankrupt.  Throughout, he did not pay costs awards made against him nor did he comply with a 2005 order requiring him to post security for costs.  Finally, Mr. Moss, his wife and his daughter entered into </w:t>
            </w:r>
            <w:r w:rsidRPr="00330CC4">
              <w:rPr>
                <w:rFonts w:eastAsia="Calibri"/>
                <w:sz w:val="20"/>
              </w:rPr>
              <w:lastRenderedPageBreak/>
              <w:t xml:space="preserve">comprehensive minutes of settlement with the trustee in which the outstanding costs awards were resolved.  These minutes of settlement received court approval and in accordance with its terms, Mr. Moss applied for and received his discharge in 2011 and the Moss family released the trustee and its counsel from all causes of action that had accrued to the date the settlement. Mr. Moss subsequently moved for leave to commence an action against the trustee in bankruptcy, alleging, </w:t>
            </w:r>
            <w:r w:rsidRPr="00330CC4">
              <w:rPr>
                <w:rFonts w:eastAsia="Calibri"/>
                <w:i/>
                <w:sz w:val="20"/>
              </w:rPr>
              <w:t>inter alia</w:t>
            </w:r>
            <w:r w:rsidRPr="00330CC4">
              <w:rPr>
                <w:rFonts w:eastAsia="Calibri"/>
                <w:sz w:val="20"/>
              </w:rPr>
              <w:t>, fraud, misrepresentation, coercion, duress and malicious intent on the part of the trustee.</w:t>
            </w:r>
          </w:p>
          <w:p w:rsidR="00504DB4" w:rsidRPr="00330CC4" w:rsidRDefault="00504DB4" w:rsidP="007732B1">
            <w:pPr>
              <w:jc w:val="both"/>
              <w:rPr>
                <w:rFonts w:eastAsia="Calibri"/>
                <w:sz w:val="20"/>
              </w:rPr>
            </w:pPr>
          </w:p>
        </w:tc>
      </w:tr>
      <w:tr w:rsidR="00504DB4" w:rsidRPr="00330CC4" w:rsidTr="007732B1">
        <w:tc>
          <w:tcPr>
            <w:tcW w:w="2427" w:type="pct"/>
          </w:tcPr>
          <w:p w:rsidR="00504DB4" w:rsidRPr="00330CC4" w:rsidRDefault="00504DB4" w:rsidP="007732B1">
            <w:pPr>
              <w:jc w:val="both"/>
              <w:rPr>
                <w:rFonts w:eastAsia="Calibri"/>
                <w:sz w:val="20"/>
              </w:rPr>
            </w:pPr>
            <w:r w:rsidRPr="00330CC4">
              <w:rPr>
                <w:rFonts w:eastAsia="Calibri"/>
                <w:sz w:val="20"/>
              </w:rPr>
              <w:lastRenderedPageBreak/>
              <w:t>July 12, 2013</w:t>
            </w:r>
          </w:p>
          <w:p w:rsidR="00504DB4" w:rsidRPr="00330CC4" w:rsidRDefault="00504DB4" w:rsidP="007732B1">
            <w:pPr>
              <w:jc w:val="both"/>
              <w:rPr>
                <w:rFonts w:eastAsia="Calibri"/>
                <w:sz w:val="20"/>
              </w:rPr>
            </w:pPr>
            <w:r w:rsidRPr="00330CC4">
              <w:rPr>
                <w:rFonts w:eastAsia="Calibri"/>
                <w:sz w:val="20"/>
              </w:rPr>
              <w:t>Court of Queen’s Bench of Manitoba</w:t>
            </w:r>
          </w:p>
          <w:p w:rsidR="00504DB4" w:rsidRPr="00330CC4" w:rsidRDefault="00504DB4" w:rsidP="007732B1">
            <w:pPr>
              <w:jc w:val="both"/>
              <w:rPr>
                <w:rFonts w:eastAsia="Calibri"/>
                <w:sz w:val="20"/>
              </w:rPr>
            </w:pPr>
            <w:r w:rsidRPr="00330CC4">
              <w:rPr>
                <w:rFonts w:eastAsia="Calibri"/>
                <w:sz w:val="20"/>
              </w:rPr>
              <w:t>(Lee, Registrar)</w:t>
            </w:r>
          </w:p>
          <w:p w:rsidR="00504DB4" w:rsidRPr="00330CC4" w:rsidRDefault="00504DB4" w:rsidP="007732B1">
            <w:pPr>
              <w:jc w:val="both"/>
              <w:rPr>
                <w:rFonts w:eastAsia="Calibri"/>
                <w:sz w:val="20"/>
              </w:rPr>
            </w:pPr>
            <w:r w:rsidRPr="00330CC4">
              <w:rPr>
                <w:rFonts w:eastAsia="Calibri"/>
                <w:sz w:val="20"/>
              </w:rPr>
              <w:t xml:space="preserve">2013 MBQB 178 </w:t>
            </w:r>
          </w:p>
          <w:p w:rsidR="00504DB4" w:rsidRPr="00330CC4" w:rsidRDefault="00504DB4" w:rsidP="007732B1">
            <w:pPr>
              <w:jc w:val="both"/>
              <w:rPr>
                <w:rFonts w:eastAsia="Calibri"/>
                <w:sz w:val="20"/>
              </w:rPr>
            </w:pPr>
          </w:p>
        </w:tc>
        <w:tc>
          <w:tcPr>
            <w:tcW w:w="243" w:type="pct"/>
          </w:tcPr>
          <w:p w:rsidR="00504DB4" w:rsidRPr="00330CC4" w:rsidRDefault="00504DB4" w:rsidP="007732B1">
            <w:pPr>
              <w:jc w:val="both"/>
              <w:rPr>
                <w:rFonts w:eastAsia="Calibri"/>
                <w:sz w:val="20"/>
              </w:rPr>
            </w:pPr>
          </w:p>
        </w:tc>
        <w:tc>
          <w:tcPr>
            <w:tcW w:w="2330" w:type="pct"/>
          </w:tcPr>
          <w:p w:rsidR="00504DB4" w:rsidRPr="00330CC4" w:rsidRDefault="00504DB4" w:rsidP="007732B1">
            <w:pPr>
              <w:jc w:val="both"/>
              <w:rPr>
                <w:rFonts w:eastAsia="Calibri"/>
                <w:sz w:val="20"/>
              </w:rPr>
            </w:pPr>
            <w:r w:rsidRPr="00330CC4">
              <w:rPr>
                <w:rFonts w:eastAsia="Calibri"/>
                <w:sz w:val="20"/>
              </w:rPr>
              <w:t xml:space="preserve">Applicant’s motion for leave to commence action against trustee in bankruptcy under </w:t>
            </w:r>
            <w:r w:rsidRPr="00330CC4">
              <w:rPr>
                <w:rFonts w:eastAsia="Calibri"/>
                <w:i/>
                <w:sz w:val="20"/>
              </w:rPr>
              <w:t>Bankruptcy and Insolvency Act</w:t>
            </w:r>
            <w:r w:rsidRPr="00330CC4">
              <w:rPr>
                <w:rFonts w:eastAsia="Calibri"/>
                <w:sz w:val="20"/>
              </w:rPr>
              <w:t>, R.S.C. 1985, c. B-3 dismissed</w:t>
            </w:r>
          </w:p>
          <w:p w:rsidR="00504DB4" w:rsidRPr="00330CC4" w:rsidRDefault="00504DB4" w:rsidP="007732B1">
            <w:pPr>
              <w:jc w:val="both"/>
              <w:rPr>
                <w:rFonts w:eastAsia="Calibri"/>
                <w:sz w:val="20"/>
              </w:rPr>
            </w:pPr>
          </w:p>
          <w:p w:rsidR="00504DB4" w:rsidRPr="00330CC4" w:rsidRDefault="00504DB4" w:rsidP="007732B1">
            <w:pPr>
              <w:jc w:val="both"/>
              <w:rPr>
                <w:rFonts w:eastAsia="Calibri"/>
                <w:sz w:val="20"/>
              </w:rPr>
            </w:pPr>
          </w:p>
        </w:tc>
      </w:tr>
      <w:tr w:rsidR="00504DB4" w:rsidRPr="00330CC4" w:rsidTr="007732B1">
        <w:tc>
          <w:tcPr>
            <w:tcW w:w="2427" w:type="pct"/>
          </w:tcPr>
          <w:p w:rsidR="00504DB4" w:rsidRPr="00330CC4" w:rsidRDefault="00504DB4" w:rsidP="007732B1">
            <w:pPr>
              <w:jc w:val="both"/>
              <w:rPr>
                <w:rFonts w:eastAsia="Calibri"/>
                <w:sz w:val="20"/>
              </w:rPr>
            </w:pPr>
            <w:r w:rsidRPr="00330CC4">
              <w:rPr>
                <w:rFonts w:eastAsia="Calibri"/>
                <w:sz w:val="20"/>
              </w:rPr>
              <w:t>December 10, 2013</w:t>
            </w:r>
          </w:p>
          <w:p w:rsidR="00504DB4" w:rsidRPr="00330CC4" w:rsidRDefault="00504DB4" w:rsidP="007732B1">
            <w:pPr>
              <w:jc w:val="both"/>
              <w:rPr>
                <w:rFonts w:eastAsia="Calibri"/>
                <w:sz w:val="20"/>
              </w:rPr>
            </w:pPr>
            <w:r w:rsidRPr="00330CC4">
              <w:rPr>
                <w:rFonts w:eastAsia="Calibri"/>
                <w:sz w:val="20"/>
              </w:rPr>
              <w:t>Court of Queen’s Bench of Manitoba</w:t>
            </w:r>
          </w:p>
          <w:p w:rsidR="00504DB4" w:rsidRPr="00330CC4" w:rsidRDefault="00504DB4" w:rsidP="007732B1">
            <w:pPr>
              <w:jc w:val="both"/>
              <w:rPr>
                <w:rFonts w:eastAsia="Calibri"/>
                <w:sz w:val="20"/>
              </w:rPr>
            </w:pPr>
            <w:r w:rsidRPr="00330CC4">
              <w:rPr>
                <w:rFonts w:eastAsia="Calibri"/>
                <w:sz w:val="20"/>
              </w:rPr>
              <w:t>(Hanssen J.)</w:t>
            </w:r>
          </w:p>
          <w:p w:rsidR="00504DB4" w:rsidRPr="00330CC4" w:rsidRDefault="00504DB4" w:rsidP="007732B1">
            <w:pPr>
              <w:jc w:val="both"/>
              <w:rPr>
                <w:rFonts w:eastAsia="Calibri"/>
                <w:sz w:val="20"/>
              </w:rPr>
            </w:pPr>
            <w:r w:rsidRPr="00330CC4">
              <w:rPr>
                <w:rFonts w:eastAsia="Calibri"/>
                <w:sz w:val="20"/>
              </w:rPr>
              <w:t>Unreported</w:t>
            </w:r>
          </w:p>
          <w:p w:rsidR="00504DB4" w:rsidRPr="00330CC4" w:rsidRDefault="00504DB4" w:rsidP="007732B1">
            <w:pPr>
              <w:jc w:val="both"/>
              <w:rPr>
                <w:rFonts w:eastAsia="Calibri"/>
                <w:sz w:val="20"/>
              </w:rPr>
            </w:pPr>
          </w:p>
        </w:tc>
        <w:tc>
          <w:tcPr>
            <w:tcW w:w="243" w:type="pct"/>
          </w:tcPr>
          <w:p w:rsidR="00504DB4" w:rsidRPr="00330CC4" w:rsidRDefault="00504DB4" w:rsidP="007732B1">
            <w:pPr>
              <w:jc w:val="both"/>
              <w:rPr>
                <w:rFonts w:eastAsia="Calibri"/>
                <w:sz w:val="20"/>
              </w:rPr>
            </w:pPr>
          </w:p>
        </w:tc>
        <w:tc>
          <w:tcPr>
            <w:tcW w:w="2330" w:type="pct"/>
          </w:tcPr>
          <w:p w:rsidR="00504DB4" w:rsidRPr="00330CC4" w:rsidRDefault="00504DB4" w:rsidP="007732B1">
            <w:pPr>
              <w:jc w:val="both"/>
              <w:rPr>
                <w:rFonts w:eastAsia="Calibri"/>
                <w:sz w:val="20"/>
              </w:rPr>
            </w:pPr>
            <w:r w:rsidRPr="00330CC4">
              <w:rPr>
                <w:rFonts w:eastAsia="Calibri"/>
                <w:sz w:val="20"/>
              </w:rPr>
              <w:t>On appeal, applicant ordered to pay security for costs in the amount of $15,000. Applicant prohibited from filing further motions or proceedings in connection with his bankruptcy until security paid.</w:t>
            </w:r>
          </w:p>
          <w:p w:rsidR="00504DB4" w:rsidRPr="00330CC4" w:rsidRDefault="00504DB4" w:rsidP="007732B1">
            <w:pPr>
              <w:jc w:val="both"/>
              <w:rPr>
                <w:rFonts w:eastAsia="Calibri"/>
                <w:sz w:val="20"/>
              </w:rPr>
            </w:pPr>
          </w:p>
        </w:tc>
      </w:tr>
      <w:tr w:rsidR="00504DB4" w:rsidRPr="00330CC4" w:rsidTr="007732B1">
        <w:tc>
          <w:tcPr>
            <w:tcW w:w="2427" w:type="pct"/>
          </w:tcPr>
          <w:p w:rsidR="00504DB4" w:rsidRPr="00330CC4" w:rsidRDefault="00504DB4" w:rsidP="007732B1">
            <w:pPr>
              <w:jc w:val="both"/>
              <w:rPr>
                <w:rFonts w:eastAsia="Calibri"/>
                <w:sz w:val="20"/>
              </w:rPr>
            </w:pPr>
            <w:r w:rsidRPr="00330CC4">
              <w:rPr>
                <w:rFonts w:eastAsia="Calibri"/>
                <w:sz w:val="20"/>
              </w:rPr>
              <w:t>May 5, 2014</w:t>
            </w:r>
          </w:p>
          <w:p w:rsidR="00504DB4" w:rsidRPr="00330CC4" w:rsidRDefault="00504DB4" w:rsidP="007732B1">
            <w:pPr>
              <w:jc w:val="both"/>
              <w:rPr>
                <w:rFonts w:eastAsia="Calibri"/>
                <w:sz w:val="20"/>
              </w:rPr>
            </w:pPr>
            <w:r w:rsidRPr="00330CC4">
              <w:rPr>
                <w:rFonts w:eastAsia="Calibri"/>
                <w:sz w:val="20"/>
              </w:rPr>
              <w:t>Court of Appeal of Manitoba</w:t>
            </w:r>
          </w:p>
          <w:p w:rsidR="00504DB4" w:rsidRPr="00330CC4" w:rsidRDefault="00504DB4" w:rsidP="007732B1">
            <w:pPr>
              <w:jc w:val="both"/>
              <w:rPr>
                <w:rFonts w:eastAsia="Calibri"/>
                <w:sz w:val="20"/>
              </w:rPr>
            </w:pPr>
            <w:r w:rsidRPr="00330CC4">
              <w:rPr>
                <w:rFonts w:eastAsia="Calibri"/>
                <w:sz w:val="20"/>
              </w:rPr>
              <w:t>(Hamilton, Beard and Cameron JJ.A.)</w:t>
            </w:r>
          </w:p>
          <w:p w:rsidR="00504DB4" w:rsidRPr="00330CC4" w:rsidRDefault="00504DB4" w:rsidP="007732B1">
            <w:pPr>
              <w:jc w:val="both"/>
              <w:rPr>
                <w:rFonts w:eastAsia="Calibri"/>
                <w:sz w:val="20"/>
              </w:rPr>
            </w:pPr>
            <w:r w:rsidRPr="00330CC4">
              <w:rPr>
                <w:rFonts w:eastAsia="Calibri"/>
                <w:sz w:val="20"/>
              </w:rPr>
              <w:t>2014 MBCA 46</w:t>
            </w:r>
          </w:p>
          <w:p w:rsidR="00504DB4" w:rsidRPr="00330CC4" w:rsidRDefault="00504DB4" w:rsidP="007732B1">
            <w:pPr>
              <w:jc w:val="both"/>
              <w:rPr>
                <w:rFonts w:eastAsia="Calibri"/>
                <w:sz w:val="20"/>
              </w:rPr>
            </w:pPr>
          </w:p>
        </w:tc>
        <w:tc>
          <w:tcPr>
            <w:tcW w:w="243" w:type="pct"/>
          </w:tcPr>
          <w:p w:rsidR="00504DB4" w:rsidRPr="00330CC4" w:rsidRDefault="00504DB4" w:rsidP="007732B1">
            <w:pPr>
              <w:jc w:val="both"/>
              <w:rPr>
                <w:rFonts w:eastAsia="Calibri"/>
                <w:sz w:val="20"/>
              </w:rPr>
            </w:pPr>
          </w:p>
        </w:tc>
        <w:tc>
          <w:tcPr>
            <w:tcW w:w="2330" w:type="pct"/>
          </w:tcPr>
          <w:p w:rsidR="00504DB4" w:rsidRPr="00330CC4" w:rsidRDefault="00504DB4" w:rsidP="007732B1">
            <w:pPr>
              <w:jc w:val="both"/>
              <w:rPr>
                <w:rFonts w:eastAsia="Calibri"/>
                <w:sz w:val="20"/>
              </w:rPr>
            </w:pPr>
            <w:r w:rsidRPr="00330CC4">
              <w:rPr>
                <w:rFonts w:eastAsia="Calibri"/>
                <w:sz w:val="20"/>
              </w:rPr>
              <w:t>Applicant’s application for leave to appeal order for security for costs denied with costs.  Applicant not entitled to proceed with appeal from decision of Registrar until security for costs and costs both paid.</w:t>
            </w:r>
          </w:p>
          <w:p w:rsidR="00504DB4" w:rsidRPr="00330CC4" w:rsidRDefault="00504DB4" w:rsidP="007732B1">
            <w:pPr>
              <w:jc w:val="both"/>
              <w:rPr>
                <w:rFonts w:eastAsia="Calibri"/>
                <w:sz w:val="20"/>
              </w:rPr>
            </w:pPr>
          </w:p>
        </w:tc>
      </w:tr>
      <w:tr w:rsidR="00504DB4" w:rsidRPr="00330CC4" w:rsidTr="007732B1">
        <w:tc>
          <w:tcPr>
            <w:tcW w:w="2427" w:type="pct"/>
          </w:tcPr>
          <w:p w:rsidR="00504DB4" w:rsidRPr="00330CC4" w:rsidRDefault="00504DB4" w:rsidP="007732B1">
            <w:pPr>
              <w:jc w:val="both"/>
              <w:rPr>
                <w:rFonts w:eastAsia="Calibri"/>
                <w:sz w:val="20"/>
              </w:rPr>
            </w:pPr>
            <w:r w:rsidRPr="00330CC4">
              <w:rPr>
                <w:rFonts w:eastAsia="Calibri"/>
                <w:sz w:val="20"/>
              </w:rPr>
              <w:t>June 20, 2014</w:t>
            </w:r>
          </w:p>
          <w:p w:rsidR="00504DB4" w:rsidRPr="00330CC4" w:rsidRDefault="00504DB4" w:rsidP="007732B1">
            <w:pPr>
              <w:jc w:val="both"/>
              <w:rPr>
                <w:rFonts w:eastAsia="Calibri"/>
                <w:sz w:val="20"/>
              </w:rPr>
            </w:pPr>
            <w:r w:rsidRPr="00330CC4">
              <w:rPr>
                <w:rFonts w:eastAsia="Calibri"/>
                <w:sz w:val="20"/>
              </w:rPr>
              <w:t>Supreme Court of Canada</w:t>
            </w:r>
          </w:p>
        </w:tc>
        <w:tc>
          <w:tcPr>
            <w:tcW w:w="243" w:type="pct"/>
          </w:tcPr>
          <w:p w:rsidR="00504DB4" w:rsidRPr="00330CC4" w:rsidRDefault="00504DB4" w:rsidP="007732B1">
            <w:pPr>
              <w:jc w:val="both"/>
              <w:rPr>
                <w:rFonts w:eastAsia="Calibri"/>
                <w:sz w:val="20"/>
              </w:rPr>
            </w:pPr>
          </w:p>
        </w:tc>
        <w:tc>
          <w:tcPr>
            <w:tcW w:w="2330" w:type="pct"/>
          </w:tcPr>
          <w:p w:rsidR="00504DB4" w:rsidRPr="00330CC4" w:rsidRDefault="00504DB4" w:rsidP="007732B1">
            <w:pPr>
              <w:jc w:val="both"/>
              <w:rPr>
                <w:rFonts w:eastAsia="Calibri"/>
                <w:sz w:val="20"/>
              </w:rPr>
            </w:pPr>
            <w:r w:rsidRPr="00330CC4">
              <w:rPr>
                <w:rFonts w:eastAsia="Calibri"/>
                <w:sz w:val="20"/>
              </w:rPr>
              <w:t>Application for leave to appeal filed</w:t>
            </w:r>
          </w:p>
        </w:tc>
      </w:tr>
    </w:tbl>
    <w:p w:rsidR="00185470" w:rsidRDefault="00185470" w:rsidP="00185470">
      <w:pPr>
        <w:rPr>
          <w:sz w:val="20"/>
          <w:szCs w:val="20"/>
        </w:rPr>
      </w:pPr>
    </w:p>
    <w:p w:rsidR="00185470" w:rsidRPr="00C50A5C" w:rsidRDefault="00F677DC" w:rsidP="00185470">
      <w:pPr>
        <w:rPr>
          <w:sz w:val="20"/>
          <w:szCs w:val="20"/>
        </w:rPr>
      </w:pPr>
      <w:r>
        <w:rPr>
          <w:sz w:val="20"/>
          <w:szCs w:val="20"/>
          <w:lang w:val="fr-CA"/>
        </w:rPr>
        <w:pict>
          <v:rect id="_x0000_i1073" style="width:2in;height:1pt" o:hrpct="0" o:hralign="center" o:hrstd="t" o:hrnoshade="t" o:hr="t" fillcolor="black [3213]" stroked="f"/>
        </w:pict>
      </w:r>
    </w:p>
    <w:p w:rsidR="00185470" w:rsidRDefault="00185470" w:rsidP="00185470">
      <w:pPr>
        <w:rPr>
          <w:sz w:val="20"/>
          <w:szCs w:val="20"/>
        </w:rPr>
      </w:pPr>
    </w:p>
    <w:p w:rsidR="00185470" w:rsidRPr="001B157C" w:rsidRDefault="00185470" w:rsidP="00185470">
      <w:pPr>
        <w:rPr>
          <w:sz w:val="20"/>
          <w:szCs w:val="20"/>
          <w:u w:val="single"/>
          <w:lang w:val="fr-CA"/>
        </w:rPr>
      </w:pPr>
      <w:r w:rsidRPr="001B157C">
        <w:rPr>
          <w:sz w:val="20"/>
          <w:szCs w:val="20"/>
          <w:u w:val="single"/>
          <w:lang w:val="fr-CA"/>
        </w:rPr>
        <w:t>RÉSUMÉ DE L’AFFAIRE</w:t>
      </w:r>
    </w:p>
    <w:p w:rsidR="00185470" w:rsidRDefault="00185470" w:rsidP="0018547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309"/>
        <w:gridCol w:w="4594"/>
      </w:tblGrid>
      <w:tr w:rsidR="00504DB4" w:rsidRPr="00DA7379" w:rsidTr="007732B1">
        <w:tc>
          <w:tcPr>
            <w:tcW w:w="5000" w:type="pct"/>
            <w:gridSpan w:val="3"/>
          </w:tcPr>
          <w:p w:rsidR="00504DB4" w:rsidRPr="00330CC4" w:rsidRDefault="00504DB4" w:rsidP="007732B1">
            <w:pPr>
              <w:jc w:val="both"/>
              <w:rPr>
                <w:rFonts w:eastAsia="Calibri"/>
                <w:sz w:val="20"/>
                <w:lang w:val="fr-CA"/>
              </w:rPr>
            </w:pPr>
            <w:r w:rsidRPr="00330CC4">
              <w:rPr>
                <w:rFonts w:eastAsia="Calibri"/>
                <w:sz w:val="20"/>
                <w:lang w:val="fr-CA"/>
              </w:rPr>
              <w:t xml:space="preserve">Procédure civile – Dépens – Cautionnement pour dépens – Est-ce que la Cour d’appel a commis une erreur de droit et de principe en ordonnant un cautionnement pour dépens alors que la règle 56.01c) n’était pas applicable dans la présente cause? – Est-ce que la Cour d’appel a commis une erreur en ignorant les décisions des tribunaux supérieurs? </w:t>
            </w:r>
          </w:p>
        </w:tc>
      </w:tr>
      <w:tr w:rsidR="00504DB4" w:rsidRPr="00DA7379" w:rsidTr="007732B1">
        <w:tc>
          <w:tcPr>
            <w:tcW w:w="5000" w:type="pct"/>
            <w:gridSpan w:val="3"/>
          </w:tcPr>
          <w:p w:rsidR="00504DB4" w:rsidRPr="00330CC4" w:rsidRDefault="00504DB4" w:rsidP="007732B1">
            <w:pPr>
              <w:jc w:val="both"/>
              <w:rPr>
                <w:rFonts w:eastAsia="Calibri"/>
                <w:sz w:val="20"/>
                <w:lang w:val="fr-CA"/>
              </w:rPr>
            </w:pPr>
          </w:p>
        </w:tc>
      </w:tr>
      <w:tr w:rsidR="00504DB4" w:rsidRPr="00DA7379" w:rsidTr="007732B1">
        <w:tc>
          <w:tcPr>
            <w:tcW w:w="5000" w:type="pct"/>
            <w:gridSpan w:val="3"/>
          </w:tcPr>
          <w:p w:rsidR="00504DB4" w:rsidRPr="00330CC4" w:rsidRDefault="00504DB4" w:rsidP="007732B1">
            <w:pPr>
              <w:jc w:val="both"/>
              <w:rPr>
                <w:rFonts w:eastAsia="Calibri"/>
                <w:sz w:val="20"/>
                <w:lang w:val="fr-CA"/>
              </w:rPr>
            </w:pPr>
            <w:r w:rsidRPr="00330CC4">
              <w:rPr>
                <w:rFonts w:eastAsia="Calibri"/>
                <w:sz w:val="20"/>
                <w:lang w:val="fr-CA"/>
              </w:rPr>
              <w:t xml:space="preserve">En 1996, Monsieur Moss a fait cession de ses biens et dans le cadre de cette cession l’intimé a été nommé syndic.  L’administration des actifs de Monsieur Moss a entrainé des litiges importants au cours de nombreuses années.  Durant cette période, Monsieur Moss est demeuré un failli non libéré.  Tout au long, il n’a pas payé les dépens adjugés contre lui, ni ne s’est conformé à une ordonnance de 2005 l’enjoignant de déposer un cautionnement pour dépens.  Finalement, Monsieur Moss, son épouse et sa fille ont établi un protocole d’entente détaillée avec le syndic dans lequel la question des dépens impayés a été réglée.  Ce protocole d’entente a été entériné par la cour et en conformité avec ses modalités, Monsieur Moss a demandé et obtenu sa libération de la faillite en 2011.  Par la suite, la famille Moss a signé une quittance au nom du syndic et de son avocat relativement à toute cause d’action survenue avant la date du protocole d’entente.  Monsieur Moss a subséquemment déposé une requête pour intenter une action contre le syndic de faillite alléguant notamment de la fraude, des fausses déclarations, de la contrainte et des intentions malveillantes de la part du syndic. </w:t>
            </w:r>
          </w:p>
          <w:p w:rsidR="00504DB4" w:rsidRPr="00330CC4" w:rsidRDefault="00504DB4" w:rsidP="007732B1">
            <w:pPr>
              <w:jc w:val="both"/>
              <w:rPr>
                <w:rFonts w:eastAsia="Calibri"/>
                <w:sz w:val="20"/>
                <w:lang w:val="fr-CA"/>
              </w:rPr>
            </w:pPr>
          </w:p>
        </w:tc>
      </w:tr>
      <w:tr w:rsidR="00504DB4" w:rsidRPr="00DA7379" w:rsidTr="007732B1">
        <w:tc>
          <w:tcPr>
            <w:tcW w:w="2427" w:type="pct"/>
          </w:tcPr>
          <w:p w:rsidR="00504DB4" w:rsidRPr="00330CC4" w:rsidRDefault="00504DB4" w:rsidP="007732B1">
            <w:pPr>
              <w:jc w:val="both"/>
              <w:rPr>
                <w:rFonts w:eastAsia="Calibri"/>
                <w:sz w:val="20"/>
                <w:lang w:val="fr-CA"/>
              </w:rPr>
            </w:pPr>
            <w:r w:rsidRPr="00330CC4">
              <w:rPr>
                <w:rFonts w:eastAsia="Calibri"/>
                <w:sz w:val="20"/>
                <w:lang w:val="fr-CA"/>
              </w:rPr>
              <w:t>12 juillet 2013</w:t>
            </w:r>
          </w:p>
          <w:p w:rsidR="00504DB4" w:rsidRPr="00330CC4" w:rsidRDefault="00504DB4" w:rsidP="007732B1">
            <w:pPr>
              <w:jc w:val="both"/>
              <w:rPr>
                <w:rFonts w:eastAsia="Calibri"/>
                <w:sz w:val="20"/>
                <w:lang w:val="fr-CA"/>
              </w:rPr>
            </w:pPr>
            <w:r w:rsidRPr="00330CC4">
              <w:rPr>
                <w:rFonts w:eastAsia="Calibri"/>
                <w:sz w:val="20"/>
                <w:lang w:val="fr-CA"/>
              </w:rPr>
              <w:t>Cour du Banc de la Reine du Manitoba</w:t>
            </w:r>
          </w:p>
          <w:p w:rsidR="00504DB4" w:rsidRPr="00330CC4" w:rsidRDefault="00504DB4" w:rsidP="007732B1">
            <w:pPr>
              <w:jc w:val="both"/>
              <w:rPr>
                <w:rFonts w:eastAsia="Calibri"/>
                <w:sz w:val="20"/>
              </w:rPr>
            </w:pPr>
            <w:r w:rsidRPr="00330CC4">
              <w:rPr>
                <w:rFonts w:eastAsia="Calibri"/>
                <w:sz w:val="20"/>
              </w:rPr>
              <w:t>(registraire Lee)</w:t>
            </w:r>
          </w:p>
          <w:p w:rsidR="00504DB4" w:rsidRPr="00330CC4" w:rsidRDefault="00504DB4" w:rsidP="007732B1">
            <w:pPr>
              <w:jc w:val="both"/>
              <w:rPr>
                <w:rFonts w:eastAsia="Calibri"/>
                <w:sz w:val="20"/>
              </w:rPr>
            </w:pPr>
            <w:r w:rsidRPr="00330CC4">
              <w:rPr>
                <w:rFonts w:eastAsia="Calibri"/>
                <w:sz w:val="20"/>
              </w:rPr>
              <w:t xml:space="preserve">2013 MBQB 178 </w:t>
            </w:r>
          </w:p>
          <w:p w:rsidR="00504DB4" w:rsidRPr="00330CC4" w:rsidRDefault="00504DB4" w:rsidP="007732B1">
            <w:pPr>
              <w:jc w:val="both"/>
              <w:rPr>
                <w:rFonts w:eastAsia="Calibri"/>
                <w:sz w:val="20"/>
              </w:rPr>
            </w:pPr>
          </w:p>
        </w:tc>
        <w:tc>
          <w:tcPr>
            <w:tcW w:w="162" w:type="pct"/>
          </w:tcPr>
          <w:p w:rsidR="00504DB4" w:rsidRPr="00330CC4" w:rsidRDefault="00504DB4" w:rsidP="007732B1">
            <w:pPr>
              <w:jc w:val="both"/>
              <w:rPr>
                <w:rFonts w:eastAsia="Calibri"/>
                <w:sz w:val="20"/>
              </w:rPr>
            </w:pPr>
          </w:p>
        </w:tc>
        <w:tc>
          <w:tcPr>
            <w:tcW w:w="2411" w:type="pct"/>
          </w:tcPr>
          <w:p w:rsidR="00504DB4" w:rsidRPr="00330CC4" w:rsidRDefault="00504DB4" w:rsidP="007732B1">
            <w:pPr>
              <w:jc w:val="both"/>
              <w:rPr>
                <w:rFonts w:eastAsia="Calibri"/>
                <w:sz w:val="20"/>
                <w:lang w:val="fr-CA"/>
              </w:rPr>
            </w:pPr>
            <w:r w:rsidRPr="00330CC4">
              <w:rPr>
                <w:rFonts w:eastAsia="Calibri"/>
                <w:sz w:val="20"/>
                <w:lang w:val="fr-CA"/>
              </w:rPr>
              <w:t xml:space="preserve">Requête du demandeur en vue d’obtenir l’autorisation d’intenter une action contre le syndic de faillite en vertu de la </w:t>
            </w:r>
            <w:r w:rsidRPr="00330CC4">
              <w:rPr>
                <w:rFonts w:eastAsia="Calibri"/>
                <w:i/>
                <w:sz w:val="20"/>
                <w:lang w:val="fr-CA"/>
              </w:rPr>
              <w:t>Loi sur la faillite et l’insolvabilité</w:t>
            </w:r>
            <w:r w:rsidRPr="00330CC4">
              <w:rPr>
                <w:rFonts w:eastAsia="Calibri"/>
                <w:sz w:val="20"/>
                <w:lang w:val="fr-CA"/>
              </w:rPr>
              <w:t>, L.R.C. 1985, c. B-3, rejetée</w:t>
            </w:r>
          </w:p>
          <w:p w:rsidR="00504DB4" w:rsidRPr="00330CC4" w:rsidRDefault="00504DB4" w:rsidP="007732B1">
            <w:pPr>
              <w:jc w:val="both"/>
              <w:rPr>
                <w:rFonts w:eastAsia="Calibri"/>
                <w:sz w:val="20"/>
                <w:lang w:val="fr-CA"/>
              </w:rPr>
            </w:pPr>
          </w:p>
        </w:tc>
      </w:tr>
      <w:tr w:rsidR="00504DB4" w:rsidRPr="00DA7379" w:rsidTr="007732B1">
        <w:tc>
          <w:tcPr>
            <w:tcW w:w="2427" w:type="pct"/>
          </w:tcPr>
          <w:p w:rsidR="00504DB4" w:rsidRPr="00330CC4" w:rsidRDefault="00504DB4" w:rsidP="007732B1">
            <w:pPr>
              <w:jc w:val="both"/>
              <w:rPr>
                <w:rFonts w:eastAsia="Calibri"/>
                <w:sz w:val="20"/>
                <w:lang w:val="fr-CA"/>
              </w:rPr>
            </w:pPr>
            <w:r w:rsidRPr="00330CC4">
              <w:rPr>
                <w:rFonts w:eastAsia="Calibri"/>
                <w:sz w:val="20"/>
                <w:lang w:val="fr-CA"/>
              </w:rPr>
              <w:lastRenderedPageBreak/>
              <w:t>10 décembre 2013</w:t>
            </w:r>
          </w:p>
          <w:p w:rsidR="00504DB4" w:rsidRPr="00330CC4" w:rsidRDefault="00504DB4" w:rsidP="007732B1">
            <w:pPr>
              <w:jc w:val="both"/>
              <w:rPr>
                <w:rFonts w:eastAsia="Calibri"/>
                <w:sz w:val="20"/>
                <w:lang w:val="fr-CA"/>
              </w:rPr>
            </w:pPr>
            <w:r w:rsidRPr="00330CC4">
              <w:rPr>
                <w:rFonts w:eastAsia="Calibri"/>
                <w:sz w:val="20"/>
                <w:lang w:val="fr-CA"/>
              </w:rPr>
              <w:t>Cour du Banc de la Reine du Manitoba</w:t>
            </w:r>
          </w:p>
          <w:p w:rsidR="00504DB4" w:rsidRPr="00330CC4" w:rsidRDefault="00504DB4" w:rsidP="007732B1">
            <w:pPr>
              <w:jc w:val="both"/>
              <w:rPr>
                <w:rFonts w:eastAsia="Calibri"/>
                <w:sz w:val="20"/>
              </w:rPr>
            </w:pPr>
            <w:r w:rsidRPr="00330CC4">
              <w:rPr>
                <w:rFonts w:eastAsia="Calibri"/>
                <w:sz w:val="20"/>
              </w:rPr>
              <w:t>(Juge Hanssen)</w:t>
            </w:r>
          </w:p>
          <w:p w:rsidR="00504DB4" w:rsidRPr="00330CC4" w:rsidRDefault="00504DB4" w:rsidP="007732B1">
            <w:pPr>
              <w:jc w:val="both"/>
              <w:rPr>
                <w:rFonts w:eastAsia="Calibri"/>
                <w:sz w:val="20"/>
              </w:rPr>
            </w:pPr>
            <w:r w:rsidRPr="00330CC4">
              <w:rPr>
                <w:rFonts w:eastAsia="Calibri"/>
                <w:sz w:val="20"/>
              </w:rPr>
              <w:t>Non publié</w:t>
            </w:r>
          </w:p>
          <w:p w:rsidR="00504DB4" w:rsidRPr="00330CC4" w:rsidRDefault="00504DB4" w:rsidP="007732B1">
            <w:pPr>
              <w:jc w:val="both"/>
              <w:rPr>
                <w:rFonts w:eastAsia="Calibri"/>
                <w:sz w:val="20"/>
              </w:rPr>
            </w:pPr>
          </w:p>
        </w:tc>
        <w:tc>
          <w:tcPr>
            <w:tcW w:w="162" w:type="pct"/>
          </w:tcPr>
          <w:p w:rsidR="00504DB4" w:rsidRPr="00330CC4" w:rsidRDefault="00504DB4" w:rsidP="007732B1">
            <w:pPr>
              <w:jc w:val="both"/>
              <w:rPr>
                <w:rFonts w:eastAsia="Calibri"/>
                <w:sz w:val="20"/>
              </w:rPr>
            </w:pPr>
          </w:p>
        </w:tc>
        <w:tc>
          <w:tcPr>
            <w:tcW w:w="2411" w:type="pct"/>
          </w:tcPr>
          <w:p w:rsidR="00504DB4" w:rsidRPr="00330CC4" w:rsidRDefault="00504DB4" w:rsidP="007732B1">
            <w:pPr>
              <w:jc w:val="both"/>
              <w:rPr>
                <w:rFonts w:eastAsia="Calibri"/>
                <w:sz w:val="20"/>
                <w:lang w:val="fr-CA"/>
              </w:rPr>
            </w:pPr>
            <w:r w:rsidRPr="00330CC4">
              <w:rPr>
                <w:rFonts w:eastAsia="Calibri"/>
                <w:sz w:val="20"/>
                <w:lang w:val="fr-CA"/>
              </w:rPr>
              <w:t>En appel, ordonnance émise enjoignant le demandeur de déposer un cautionnement pour dépens au montant de 15 000 $.  Interdiction, applicable au demandeur, de déposer d’autres requêtes ou procédures liées à sa faillite jusqu’à ce que le cautionnement soit déposé.</w:t>
            </w:r>
          </w:p>
          <w:p w:rsidR="00504DB4" w:rsidRPr="00330CC4" w:rsidRDefault="00504DB4" w:rsidP="007732B1">
            <w:pPr>
              <w:jc w:val="both"/>
              <w:rPr>
                <w:rFonts w:eastAsia="Calibri"/>
                <w:sz w:val="20"/>
                <w:lang w:val="fr-CA"/>
              </w:rPr>
            </w:pPr>
          </w:p>
        </w:tc>
      </w:tr>
      <w:tr w:rsidR="00504DB4" w:rsidRPr="00DA7379" w:rsidTr="007732B1">
        <w:tc>
          <w:tcPr>
            <w:tcW w:w="2427" w:type="pct"/>
          </w:tcPr>
          <w:p w:rsidR="00504DB4" w:rsidRPr="00330CC4" w:rsidRDefault="00504DB4" w:rsidP="007732B1">
            <w:pPr>
              <w:jc w:val="both"/>
              <w:rPr>
                <w:rFonts w:eastAsia="Calibri"/>
                <w:sz w:val="20"/>
                <w:lang w:val="fr-CA"/>
              </w:rPr>
            </w:pPr>
            <w:r w:rsidRPr="00330CC4">
              <w:rPr>
                <w:rFonts w:eastAsia="Calibri"/>
                <w:sz w:val="20"/>
                <w:lang w:val="fr-CA"/>
              </w:rPr>
              <w:t>5 mai 2014</w:t>
            </w:r>
          </w:p>
          <w:p w:rsidR="00504DB4" w:rsidRPr="00330CC4" w:rsidRDefault="00504DB4" w:rsidP="007732B1">
            <w:pPr>
              <w:jc w:val="both"/>
              <w:rPr>
                <w:rFonts w:eastAsia="Calibri"/>
                <w:sz w:val="20"/>
                <w:lang w:val="fr-CA"/>
              </w:rPr>
            </w:pPr>
            <w:r w:rsidRPr="00330CC4">
              <w:rPr>
                <w:rFonts w:eastAsia="Calibri"/>
                <w:sz w:val="20"/>
                <w:lang w:val="fr-CA"/>
              </w:rPr>
              <w:t>Cour d’appel du Manitoba</w:t>
            </w:r>
          </w:p>
          <w:p w:rsidR="00504DB4" w:rsidRPr="00330CC4" w:rsidRDefault="00504DB4" w:rsidP="007732B1">
            <w:pPr>
              <w:jc w:val="both"/>
              <w:rPr>
                <w:rFonts w:eastAsia="Calibri"/>
                <w:sz w:val="20"/>
                <w:lang w:val="fr-CA"/>
              </w:rPr>
            </w:pPr>
            <w:r w:rsidRPr="00330CC4">
              <w:rPr>
                <w:rFonts w:eastAsia="Calibri"/>
                <w:sz w:val="20"/>
                <w:lang w:val="fr-CA"/>
              </w:rPr>
              <w:t>(Juges Hamilton, Beard et Cameron)</w:t>
            </w:r>
          </w:p>
          <w:p w:rsidR="00504DB4" w:rsidRPr="00330CC4" w:rsidRDefault="00504DB4" w:rsidP="007732B1">
            <w:pPr>
              <w:jc w:val="both"/>
              <w:rPr>
                <w:rFonts w:eastAsia="Calibri"/>
                <w:sz w:val="20"/>
              </w:rPr>
            </w:pPr>
            <w:r w:rsidRPr="00330CC4">
              <w:rPr>
                <w:rFonts w:eastAsia="Calibri"/>
                <w:sz w:val="20"/>
              </w:rPr>
              <w:t>2014 MBCA 46</w:t>
            </w:r>
          </w:p>
          <w:p w:rsidR="00504DB4" w:rsidRPr="00330CC4" w:rsidRDefault="00504DB4" w:rsidP="007732B1">
            <w:pPr>
              <w:jc w:val="both"/>
              <w:rPr>
                <w:rFonts w:eastAsia="Calibri"/>
                <w:sz w:val="20"/>
              </w:rPr>
            </w:pPr>
          </w:p>
        </w:tc>
        <w:tc>
          <w:tcPr>
            <w:tcW w:w="162" w:type="pct"/>
          </w:tcPr>
          <w:p w:rsidR="00504DB4" w:rsidRPr="00330CC4" w:rsidRDefault="00504DB4" w:rsidP="007732B1">
            <w:pPr>
              <w:jc w:val="both"/>
              <w:rPr>
                <w:rFonts w:eastAsia="Calibri"/>
                <w:sz w:val="20"/>
              </w:rPr>
            </w:pPr>
          </w:p>
        </w:tc>
        <w:tc>
          <w:tcPr>
            <w:tcW w:w="2411" w:type="pct"/>
          </w:tcPr>
          <w:p w:rsidR="00504DB4" w:rsidRPr="00330CC4" w:rsidRDefault="00504DB4" w:rsidP="007732B1">
            <w:pPr>
              <w:jc w:val="both"/>
              <w:rPr>
                <w:rFonts w:eastAsia="Calibri"/>
                <w:sz w:val="20"/>
                <w:lang w:val="fr-CA"/>
              </w:rPr>
            </w:pPr>
            <w:r w:rsidRPr="00330CC4">
              <w:rPr>
                <w:rFonts w:eastAsia="Calibri"/>
                <w:sz w:val="20"/>
                <w:lang w:val="fr-CA"/>
              </w:rPr>
              <w:t xml:space="preserve">La demande d’autorisation d’appel du demandeur pour interjeter appel de l’ordonnance l’enjoignant de payer le cautionnement est refusée avec dépens.  Le demandeur n’a pas le droit de procéder à l’appel de la décision du registraire jusqu’à ce que le cautionnement et les dépens soient payés. </w:t>
            </w:r>
          </w:p>
          <w:p w:rsidR="00504DB4" w:rsidRPr="00330CC4" w:rsidRDefault="00504DB4" w:rsidP="007732B1">
            <w:pPr>
              <w:jc w:val="both"/>
              <w:rPr>
                <w:rFonts w:eastAsia="Calibri"/>
                <w:sz w:val="20"/>
                <w:lang w:val="fr-CA"/>
              </w:rPr>
            </w:pPr>
          </w:p>
        </w:tc>
      </w:tr>
      <w:tr w:rsidR="00504DB4" w:rsidRPr="00330CC4" w:rsidTr="007732B1">
        <w:tc>
          <w:tcPr>
            <w:tcW w:w="2427" w:type="pct"/>
          </w:tcPr>
          <w:p w:rsidR="00504DB4" w:rsidRPr="00330CC4" w:rsidRDefault="00504DB4" w:rsidP="007732B1">
            <w:pPr>
              <w:jc w:val="both"/>
              <w:rPr>
                <w:rFonts w:eastAsia="Calibri"/>
                <w:sz w:val="20"/>
                <w:lang w:val="fr-CA"/>
              </w:rPr>
            </w:pPr>
            <w:r w:rsidRPr="00330CC4">
              <w:rPr>
                <w:rFonts w:eastAsia="Calibri"/>
                <w:sz w:val="20"/>
                <w:lang w:val="fr-CA"/>
              </w:rPr>
              <w:t>20 juin 2014</w:t>
            </w:r>
          </w:p>
          <w:p w:rsidR="00504DB4" w:rsidRPr="00330CC4" w:rsidRDefault="00504DB4" w:rsidP="007732B1">
            <w:pPr>
              <w:jc w:val="both"/>
              <w:rPr>
                <w:rFonts w:eastAsia="Calibri"/>
                <w:sz w:val="20"/>
                <w:lang w:val="fr-CA"/>
              </w:rPr>
            </w:pPr>
            <w:r w:rsidRPr="00330CC4">
              <w:rPr>
                <w:rFonts w:eastAsia="Calibri"/>
                <w:sz w:val="20"/>
                <w:lang w:val="fr-CA"/>
              </w:rPr>
              <w:t>Cour suprême du Canada</w:t>
            </w:r>
          </w:p>
        </w:tc>
        <w:tc>
          <w:tcPr>
            <w:tcW w:w="162" w:type="pct"/>
          </w:tcPr>
          <w:p w:rsidR="00504DB4" w:rsidRPr="00330CC4" w:rsidRDefault="00504DB4" w:rsidP="007732B1">
            <w:pPr>
              <w:jc w:val="both"/>
              <w:rPr>
                <w:rFonts w:eastAsia="Calibri"/>
                <w:sz w:val="20"/>
                <w:lang w:val="fr-CA"/>
              </w:rPr>
            </w:pPr>
          </w:p>
        </w:tc>
        <w:tc>
          <w:tcPr>
            <w:tcW w:w="2411" w:type="pct"/>
          </w:tcPr>
          <w:p w:rsidR="00504DB4" w:rsidRPr="00330CC4" w:rsidRDefault="00504DB4" w:rsidP="007732B1">
            <w:pPr>
              <w:jc w:val="both"/>
              <w:rPr>
                <w:rFonts w:eastAsia="Calibri"/>
                <w:sz w:val="20"/>
              </w:rPr>
            </w:pPr>
            <w:r w:rsidRPr="00330CC4">
              <w:rPr>
                <w:rFonts w:eastAsia="Calibri"/>
                <w:sz w:val="20"/>
              </w:rPr>
              <w:t>Demande d’autorisation d’appel déposée</w:t>
            </w:r>
          </w:p>
        </w:tc>
      </w:tr>
    </w:tbl>
    <w:p w:rsidR="00185470" w:rsidRDefault="00185470" w:rsidP="00185470">
      <w:pPr>
        <w:rPr>
          <w:sz w:val="20"/>
          <w:szCs w:val="20"/>
        </w:rPr>
      </w:pPr>
    </w:p>
    <w:p w:rsidR="00185470" w:rsidRDefault="00F677DC" w:rsidP="00185470">
      <w:pPr>
        <w:rPr>
          <w:sz w:val="20"/>
          <w:szCs w:val="20"/>
        </w:rPr>
      </w:pPr>
      <w:r>
        <w:rPr>
          <w:sz w:val="20"/>
          <w:szCs w:val="20"/>
          <w:lang w:val="fr-CA"/>
        </w:rPr>
        <w:pict>
          <v:rect id="_x0000_i1074" style="width:2in;height:1pt" o:hrpct="0" o:hralign="center" o:hrstd="t" o:hrnoshade="t" o:hr="t" fillcolor="black [3213]" stroked="f"/>
        </w:pict>
      </w:r>
    </w:p>
    <w:p w:rsidR="00185470" w:rsidRDefault="00185470" w:rsidP="00185470">
      <w:pPr>
        <w:rPr>
          <w:sz w:val="20"/>
          <w:szCs w:val="20"/>
          <w:lang w:val="fr-CA"/>
        </w:rPr>
      </w:pPr>
    </w:p>
    <w:tbl>
      <w:tblPr>
        <w:tblStyle w:val="TableGrid1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34E7B" w:rsidRPr="00834E7B" w:rsidTr="003D0C01">
        <w:trPr>
          <w:cantSplit/>
        </w:trPr>
        <w:tc>
          <w:tcPr>
            <w:tcW w:w="1458" w:type="dxa"/>
          </w:tcPr>
          <w:p w:rsidR="00834E7B" w:rsidRPr="00834E7B" w:rsidRDefault="00834E7B" w:rsidP="00834E7B">
            <w:pPr>
              <w:rPr>
                <w:sz w:val="20"/>
                <w:szCs w:val="20"/>
              </w:rPr>
            </w:pPr>
            <w:r w:rsidRPr="00834E7B">
              <w:rPr>
                <w:b/>
                <w:sz w:val="20"/>
                <w:lang w:val="fr-CA"/>
              </w:rPr>
              <w:t>35958</w:t>
            </w:r>
          </w:p>
          <w:p w:rsidR="00834E7B" w:rsidRPr="00834E7B" w:rsidRDefault="00834E7B" w:rsidP="00834E7B">
            <w:pPr>
              <w:rPr>
                <w:b/>
                <w:sz w:val="20"/>
                <w:szCs w:val="20"/>
                <w:lang w:val="fr-CA"/>
              </w:rPr>
            </w:pPr>
          </w:p>
        </w:tc>
        <w:tc>
          <w:tcPr>
            <w:tcW w:w="8118" w:type="dxa"/>
          </w:tcPr>
          <w:p w:rsidR="00834E7B" w:rsidRPr="00834E7B" w:rsidRDefault="00834E7B" w:rsidP="00834E7B">
            <w:pPr>
              <w:jc w:val="both"/>
              <w:rPr>
                <w:sz w:val="20"/>
                <w:szCs w:val="20"/>
              </w:rPr>
            </w:pPr>
            <w:r w:rsidRPr="00834E7B">
              <w:rPr>
                <w:b/>
                <w:sz w:val="20"/>
                <w:u w:val="single"/>
              </w:rPr>
              <w:t>Francis Anthonimuthu Appulonappa v. Her Majesty the Queen AND BETWEEN Hamalraj Handasamy v. Her Majesty the Queen AND BETWEEN Jeyachandran Kanagarajah v. Her Majesty the Queen AND BETWEEN Vignarajah Thevarajah v. Her Majesty the Queen</w:t>
            </w:r>
            <w:r w:rsidRPr="00834E7B">
              <w:rPr>
                <w:sz w:val="20"/>
                <w:szCs w:val="20"/>
              </w:rPr>
              <w:t xml:space="preserve"> (B.C.) (Criminal) (By Leave)</w:t>
            </w:r>
          </w:p>
          <w:p w:rsidR="00834E7B" w:rsidRPr="00834E7B" w:rsidRDefault="00834E7B" w:rsidP="00834E7B">
            <w:pPr>
              <w:jc w:val="both"/>
              <w:rPr>
                <w:sz w:val="20"/>
                <w:szCs w:val="20"/>
              </w:rPr>
            </w:pPr>
          </w:p>
        </w:tc>
      </w:tr>
      <w:tr w:rsidR="00834E7B" w:rsidRPr="00834E7B" w:rsidTr="003D0C01">
        <w:trPr>
          <w:cantSplit/>
        </w:trPr>
        <w:tc>
          <w:tcPr>
            <w:tcW w:w="1458" w:type="dxa"/>
          </w:tcPr>
          <w:p w:rsidR="00834E7B" w:rsidRPr="00834E7B" w:rsidRDefault="00834E7B" w:rsidP="00834E7B">
            <w:pPr>
              <w:rPr>
                <w:sz w:val="20"/>
                <w:szCs w:val="20"/>
              </w:rPr>
            </w:pPr>
            <w:r w:rsidRPr="00834E7B">
              <w:rPr>
                <w:sz w:val="20"/>
                <w:szCs w:val="20"/>
              </w:rPr>
              <w:t>Coram :</w:t>
            </w:r>
          </w:p>
        </w:tc>
        <w:tc>
          <w:tcPr>
            <w:tcW w:w="8118" w:type="dxa"/>
          </w:tcPr>
          <w:p w:rsidR="00834E7B" w:rsidRPr="00834E7B" w:rsidRDefault="00834E7B" w:rsidP="00834E7B">
            <w:pPr>
              <w:rPr>
                <w:sz w:val="20"/>
                <w:szCs w:val="20"/>
              </w:rPr>
            </w:pPr>
            <w:r w:rsidRPr="00834E7B">
              <w:rPr>
                <w:sz w:val="20"/>
                <w:u w:val="single"/>
              </w:rPr>
              <w:t>Abella, Rothstein and Moldaver JJ.</w:t>
            </w:r>
          </w:p>
          <w:p w:rsidR="00834E7B" w:rsidRPr="00834E7B" w:rsidRDefault="00834E7B" w:rsidP="00834E7B">
            <w:pPr>
              <w:rPr>
                <w:sz w:val="20"/>
                <w:szCs w:val="20"/>
                <w:u w:val="single"/>
              </w:rPr>
            </w:pPr>
          </w:p>
        </w:tc>
      </w:tr>
      <w:tr w:rsidR="00834E7B" w:rsidRPr="00DA7379" w:rsidTr="003D0C01">
        <w:trPr>
          <w:cantSplit/>
        </w:trPr>
        <w:tc>
          <w:tcPr>
            <w:tcW w:w="9576" w:type="dxa"/>
            <w:gridSpan w:val="2"/>
          </w:tcPr>
          <w:p w:rsidR="00834E7B" w:rsidRPr="00834E7B" w:rsidRDefault="00834E7B" w:rsidP="00834E7B">
            <w:pPr>
              <w:ind w:firstLine="720"/>
              <w:jc w:val="both"/>
              <w:rPr>
                <w:sz w:val="20"/>
                <w:szCs w:val="20"/>
              </w:rPr>
            </w:pPr>
            <w:r w:rsidRPr="00834E7B">
              <w:rPr>
                <w:sz w:val="20"/>
                <w:szCs w:val="20"/>
              </w:rPr>
              <w:t xml:space="preserve">The motion to join the applications for leave to appeal is granted. The application for leave to appeal from the judgment of the Court of Appeal for British Columbia (Vancouver), Numbers CA040592; CA040593; CA040594; CA040595; 2014 BCCA 163, dated April 30, 2014, is granted without costs. The appeal will be heard with </w:t>
            </w:r>
            <w:r w:rsidRPr="00E820FB">
              <w:rPr>
                <w:i/>
                <w:sz w:val="20"/>
                <w:szCs w:val="20"/>
              </w:rPr>
              <w:t>B010 v. Minister of Citizenship and Immigration</w:t>
            </w:r>
            <w:r w:rsidRPr="00834E7B">
              <w:rPr>
                <w:sz w:val="20"/>
                <w:szCs w:val="20"/>
              </w:rPr>
              <w:t xml:space="preserve"> (35388), </w:t>
            </w:r>
            <w:r w:rsidRPr="00E820FB">
              <w:rPr>
                <w:i/>
                <w:sz w:val="20"/>
                <w:szCs w:val="20"/>
              </w:rPr>
              <w:t>Jesus Rodriguez Hernandez v. Minister of Public Safety and Emergency Preparedness</w:t>
            </w:r>
            <w:r w:rsidRPr="00834E7B">
              <w:rPr>
                <w:sz w:val="20"/>
                <w:szCs w:val="20"/>
              </w:rPr>
              <w:t xml:space="preserve"> (35677), </w:t>
            </w:r>
            <w:r w:rsidRPr="00E820FB">
              <w:rPr>
                <w:i/>
                <w:sz w:val="20"/>
                <w:szCs w:val="20"/>
              </w:rPr>
              <w:t>B306 v. Minister of Public Safety and Emergency Preparedness</w:t>
            </w:r>
            <w:r w:rsidRPr="00834E7B">
              <w:rPr>
                <w:sz w:val="20"/>
                <w:szCs w:val="20"/>
              </w:rPr>
              <w:t xml:space="preserve"> (35685) and </w:t>
            </w:r>
            <w:r w:rsidRPr="00E820FB">
              <w:rPr>
                <w:i/>
                <w:sz w:val="20"/>
                <w:szCs w:val="20"/>
              </w:rPr>
              <w:t>J.P. et al. v. Minister of Public Safety and Emergency Preparedness</w:t>
            </w:r>
            <w:r w:rsidRPr="00834E7B">
              <w:rPr>
                <w:sz w:val="20"/>
                <w:szCs w:val="20"/>
              </w:rPr>
              <w:t xml:space="preserve"> (35688). The schedule for serving and filing the materials shall be set by the Registrar.</w:t>
            </w:r>
          </w:p>
          <w:p w:rsidR="00834E7B" w:rsidRPr="00834E7B" w:rsidRDefault="00834E7B" w:rsidP="00834E7B">
            <w:pPr>
              <w:jc w:val="both"/>
              <w:rPr>
                <w:sz w:val="20"/>
                <w:szCs w:val="20"/>
              </w:rPr>
            </w:pPr>
          </w:p>
          <w:p w:rsidR="00834E7B" w:rsidRPr="00834E7B" w:rsidRDefault="00834E7B" w:rsidP="00834E7B">
            <w:pPr>
              <w:ind w:firstLine="720"/>
              <w:jc w:val="both"/>
              <w:rPr>
                <w:sz w:val="20"/>
                <w:szCs w:val="20"/>
                <w:lang w:val="fr-CA"/>
              </w:rPr>
            </w:pPr>
            <w:r w:rsidRPr="00834E7B">
              <w:rPr>
                <w:sz w:val="20"/>
                <w:szCs w:val="20"/>
                <w:lang w:val="fr-CA"/>
              </w:rPr>
              <w:t xml:space="preserve">La requête pour réunir les demandes d’autorisation d’appel est accueillie. La demande d’autorisation d’appel de l’arrêt de la Cour d’appel de la Colombie-Britannique (Vancouver), numéros CA040592; CA040593; CA040594; CA040595; 2014 BCCA 163, daté du 30 avril 2014, est accueillie sans dépens. Cet appel sera entendu avec </w:t>
            </w:r>
            <w:r w:rsidRPr="00E820FB">
              <w:rPr>
                <w:i/>
                <w:sz w:val="20"/>
                <w:szCs w:val="20"/>
                <w:lang w:val="fr-CA"/>
              </w:rPr>
              <w:t>B010 c. Ministre de la Citoyenneté et de l’Immigration</w:t>
            </w:r>
            <w:r w:rsidRPr="00834E7B">
              <w:rPr>
                <w:sz w:val="20"/>
                <w:szCs w:val="20"/>
                <w:lang w:val="fr-CA"/>
              </w:rPr>
              <w:t xml:space="preserve"> (35388), </w:t>
            </w:r>
            <w:r w:rsidRPr="00E820FB">
              <w:rPr>
                <w:i/>
                <w:sz w:val="20"/>
                <w:szCs w:val="20"/>
                <w:lang w:val="fr-CA"/>
              </w:rPr>
              <w:t>Jesus Rodriguez Hernandez c. Ministre de la Sécurité publique et de la Protection civile</w:t>
            </w:r>
            <w:r w:rsidRPr="00834E7B">
              <w:rPr>
                <w:sz w:val="20"/>
                <w:szCs w:val="20"/>
                <w:lang w:val="fr-CA"/>
              </w:rPr>
              <w:t xml:space="preserve"> (35677), </w:t>
            </w:r>
            <w:r w:rsidRPr="00E820FB">
              <w:rPr>
                <w:i/>
                <w:sz w:val="20"/>
                <w:szCs w:val="20"/>
                <w:lang w:val="fr-CA"/>
              </w:rPr>
              <w:t>B306 c. Ministre de la Sécurité publique et de la Protection civile</w:t>
            </w:r>
            <w:r w:rsidRPr="00834E7B">
              <w:rPr>
                <w:sz w:val="20"/>
                <w:szCs w:val="20"/>
                <w:lang w:val="fr-CA"/>
              </w:rPr>
              <w:t xml:space="preserve"> (35685) et </w:t>
            </w:r>
            <w:r w:rsidRPr="00E820FB">
              <w:rPr>
                <w:i/>
                <w:sz w:val="20"/>
                <w:szCs w:val="20"/>
                <w:lang w:val="fr-CA"/>
              </w:rPr>
              <w:t>J.P. et al. c. Ministre de la Sécurité publique et de la Protection civile</w:t>
            </w:r>
            <w:r w:rsidRPr="00834E7B">
              <w:rPr>
                <w:sz w:val="20"/>
                <w:szCs w:val="20"/>
                <w:lang w:val="fr-CA"/>
              </w:rPr>
              <w:t xml:space="preserve"> (35688). L’échéancier pour la signification et le dépôt des documents sera fixé par le registraire.</w:t>
            </w:r>
          </w:p>
        </w:tc>
      </w:tr>
    </w:tbl>
    <w:p w:rsidR="00185470" w:rsidRPr="00834E7B" w:rsidRDefault="00185470" w:rsidP="00185470">
      <w:pPr>
        <w:rPr>
          <w:sz w:val="20"/>
          <w:szCs w:val="20"/>
          <w:lang w:val="fr-CA"/>
        </w:rPr>
      </w:pPr>
    </w:p>
    <w:p w:rsidR="00185470" w:rsidRPr="001B157C" w:rsidRDefault="00185470" w:rsidP="00185470">
      <w:pPr>
        <w:rPr>
          <w:sz w:val="20"/>
          <w:szCs w:val="20"/>
          <w:u w:val="single"/>
        </w:rPr>
      </w:pPr>
      <w:r w:rsidRPr="001B157C">
        <w:rPr>
          <w:sz w:val="20"/>
          <w:szCs w:val="20"/>
          <w:u w:val="single"/>
        </w:rPr>
        <w:t>CASE SUMMARY</w:t>
      </w:r>
    </w:p>
    <w:p w:rsidR="00185470" w:rsidRDefault="00185470" w:rsidP="0018547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87F01" w:rsidRPr="007966AB" w:rsidTr="00AB4E4F">
        <w:tc>
          <w:tcPr>
            <w:tcW w:w="5000" w:type="pct"/>
            <w:gridSpan w:val="3"/>
          </w:tcPr>
          <w:p w:rsidR="00C87F01" w:rsidRPr="007966AB" w:rsidRDefault="00C87F01" w:rsidP="00AB4E4F">
            <w:pPr>
              <w:jc w:val="both"/>
              <w:rPr>
                <w:rFonts w:eastAsia="Calibri"/>
                <w:smallCaps/>
                <w:sz w:val="20"/>
              </w:rPr>
            </w:pPr>
            <w:r w:rsidRPr="007966AB">
              <w:rPr>
                <w:rFonts w:eastAsia="Calibri"/>
                <w:smallCaps/>
                <w:sz w:val="20"/>
              </w:rPr>
              <w:t>(</w:t>
            </w:r>
            <w:r>
              <w:rPr>
                <w:rFonts w:eastAsia="Calibri"/>
                <w:smallCaps/>
                <w:sz w:val="20"/>
              </w:rPr>
              <w:t>P</w:t>
            </w:r>
            <w:r w:rsidRPr="007966AB">
              <w:rPr>
                <w:rFonts w:eastAsia="Calibri"/>
                <w:smallCaps/>
                <w:sz w:val="20"/>
              </w:rPr>
              <w:t xml:space="preserve">ublication </w:t>
            </w:r>
            <w:r>
              <w:rPr>
                <w:rFonts w:eastAsia="Calibri"/>
                <w:smallCaps/>
                <w:sz w:val="20"/>
              </w:rPr>
              <w:t>B</w:t>
            </w:r>
            <w:r w:rsidRPr="007966AB">
              <w:rPr>
                <w:rFonts w:eastAsia="Calibri"/>
                <w:smallCaps/>
                <w:sz w:val="20"/>
              </w:rPr>
              <w:t xml:space="preserve">an in </w:t>
            </w:r>
            <w:r>
              <w:rPr>
                <w:rFonts w:eastAsia="Calibri"/>
                <w:smallCaps/>
                <w:sz w:val="20"/>
              </w:rPr>
              <w:t>C</w:t>
            </w:r>
            <w:r w:rsidRPr="007966AB">
              <w:rPr>
                <w:rFonts w:eastAsia="Calibri"/>
                <w:smallCaps/>
                <w:sz w:val="20"/>
              </w:rPr>
              <w:t>ase)</w:t>
            </w:r>
          </w:p>
          <w:p w:rsidR="00C87F01" w:rsidRPr="007966AB" w:rsidRDefault="00C87F01" w:rsidP="00AB4E4F">
            <w:pPr>
              <w:jc w:val="both"/>
              <w:rPr>
                <w:rFonts w:eastAsia="Calibri"/>
                <w:sz w:val="20"/>
              </w:rPr>
            </w:pPr>
          </w:p>
        </w:tc>
      </w:tr>
      <w:tr w:rsidR="00C87F01" w:rsidRPr="007966AB" w:rsidTr="00AB4E4F">
        <w:tc>
          <w:tcPr>
            <w:tcW w:w="5000" w:type="pct"/>
            <w:gridSpan w:val="3"/>
          </w:tcPr>
          <w:p w:rsidR="00C87F01" w:rsidRPr="007966AB" w:rsidRDefault="00C87F01" w:rsidP="00AB4E4F">
            <w:pPr>
              <w:jc w:val="both"/>
              <w:rPr>
                <w:rFonts w:eastAsia="Calibri"/>
                <w:sz w:val="20"/>
              </w:rPr>
            </w:pPr>
            <w:r w:rsidRPr="007966AB">
              <w:rPr>
                <w:rFonts w:eastAsia="Calibri"/>
                <w:i/>
                <w:sz w:val="20"/>
              </w:rPr>
              <w:t>Charter of Rights</w:t>
            </w:r>
            <w:r w:rsidRPr="007966AB">
              <w:rPr>
                <w:rFonts w:eastAsia="Calibri"/>
                <w:sz w:val="20"/>
              </w:rPr>
              <w:t xml:space="preserve"> – Constitutional law – Right to life, liberty and security of the person – Overbreadth – Provision of the </w:t>
            </w:r>
            <w:r w:rsidRPr="007966AB">
              <w:rPr>
                <w:rFonts w:eastAsia="Calibri"/>
                <w:i/>
                <w:sz w:val="20"/>
              </w:rPr>
              <w:t>Immigration and Refugee Protection Act</w:t>
            </w:r>
            <w:r w:rsidRPr="007966AB">
              <w:rPr>
                <w:rFonts w:eastAsia="Calibri"/>
                <w:sz w:val="20"/>
              </w:rPr>
              <w:t xml:space="preserve"> making it an offence to knowingly aid or abet the coming into Canada of one or more persons who are not in possession of a visa, passport or other document required by that Act – Whether the provision is overbroad and therefore unjustifiably infringes s. 7 of the </w:t>
            </w:r>
            <w:r w:rsidRPr="007966AB">
              <w:rPr>
                <w:rFonts w:eastAsia="Calibri"/>
                <w:i/>
                <w:sz w:val="20"/>
              </w:rPr>
              <w:t>Canadian Charter of Rights and Freedoms</w:t>
            </w:r>
            <w:r w:rsidRPr="007966AB">
              <w:rPr>
                <w:rFonts w:eastAsia="Calibri"/>
                <w:sz w:val="20"/>
              </w:rPr>
              <w:t xml:space="preserve">? – </w:t>
            </w:r>
            <w:r w:rsidRPr="007966AB">
              <w:rPr>
                <w:rFonts w:eastAsia="Calibri"/>
                <w:i/>
                <w:sz w:val="20"/>
              </w:rPr>
              <w:t>Immigration and Refugee Protection Act</w:t>
            </w:r>
            <w:r w:rsidRPr="007966AB">
              <w:rPr>
                <w:rFonts w:eastAsia="Calibri"/>
                <w:sz w:val="20"/>
              </w:rPr>
              <w:t>, S.C. 2001, c. 27, s. 117.</w:t>
            </w:r>
          </w:p>
          <w:p w:rsidR="00C87F01" w:rsidRPr="007966AB" w:rsidRDefault="00C87F01" w:rsidP="00AB4E4F">
            <w:pPr>
              <w:jc w:val="both"/>
              <w:rPr>
                <w:rFonts w:eastAsia="Calibri"/>
                <w:sz w:val="20"/>
              </w:rPr>
            </w:pPr>
          </w:p>
        </w:tc>
      </w:tr>
      <w:tr w:rsidR="00C87F01" w:rsidRPr="007966AB" w:rsidTr="00AB4E4F">
        <w:tc>
          <w:tcPr>
            <w:tcW w:w="5000" w:type="pct"/>
            <w:gridSpan w:val="3"/>
          </w:tcPr>
          <w:p w:rsidR="00C87F01" w:rsidRPr="007966AB" w:rsidRDefault="00C87F01" w:rsidP="00AB4E4F">
            <w:pPr>
              <w:jc w:val="both"/>
              <w:rPr>
                <w:rFonts w:eastAsia="Calibri"/>
                <w:sz w:val="20"/>
              </w:rPr>
            </w:pPr>
            <w:r w:rsidRPr="007966AB">
              <w:rPr>
                <w:rFonts w:eastAsia="Calibri"/>
                <w:sz w:val="20"/>
              </w:rPr>
              <w:lastRenderedPageBreak/>
              <w:t xml:space="preserve">On October 17, 2009, Canadian authorities intercepted a freight ship off the west coast of Vancouver Island with 76 Sri Lankan Tamils aboard. None had proper documentation to enter the country, and all sought refugee status.  Each passenger paid, or promised to pay, between $30,000 and 40,000 for the voyage.  The Crown alleged that the four applicants, who were on board, had organized the voyage, and that they were the captain and chief crew members of the ship. It charged them under s. 117 of the </w:t>
            </w:r>
            <w:r w:rsidRPr="007966AB">
              <w:rPr>
                <w:rFonts w:eastAsia="Calibri"/>
                <w:i/>
                <w:sz w:val="20"/>
              </w:rPr>
              <w:t>Immigration and Refugee Protection Act</w:t>
            </w:r>
            <w:r w:rsidRPr="007966AB">
              <w:rPr>
                <w:rFonts w:eastAsia="Calibri"/>
                <w:sz w:val="20"/>
              </w:rPr>
              <w:t xml:space="preserve"> (“</w:t>
            </w:r>
            <w:r w:rsidRPr="007966AB">
              <w:rPr>
                <w:rFonts w:eastAsia="Calibri"/>
                <w:i/>
                <w:sz w:val="20"/>
              </w:rPr>
              <w:t>IRPA</w:t>
            </w:r>
            <w:r w:rsidRPr="007966AB">
              <w:rPr>
                <w:rFonts w:eastAsia="Calibri"/>
                <w:sz w:val="20"/>
              </w:rPr>
              <w:t>”), with what is known colloquially as the offence of “human smuggling”</w:t>
            </w:r>
            <w:r w:rsidRPr="007966AB">
              <w:rPr>
                <w:rFonts w:eastAsia="Calibri"/>
                <w:i/>
                <w:sz w:val="20"/>
              </w:rPr>
              <w:t>.</w:t>
            </w:r>
            <w:r w:rsidRPr="007966AB">
              <w:rPr>
                <w:rFonts w:eastAsia="Calibri"/>
                <w:sz w:val="20"/>
              </w:rPr>
              <w:t xml:space="preserve"> Prior to their trial, the applicants sought an order declaring that s. 117 unjustifiably infringes s. 7 of the </w:t>
            </w:r>
            <w:r w:rsidRPr="007966AB">
              <w:rPr>
                <w:rFonts w:eastAsia="Calibri"/>
                <w:i/>
                <w:sz w:val="20"/>
              </w:rPr>
              <w:t>Canadian Charter of Rights and Freedom</w:t>
            </w:r>
            <w:r w:rsidRPr="007966AB">
              <w:rPr>
                <w:rFonts w:eastAsia="Calibri"/>
                <w:sz w:val="20"/>
              </w:rPr>
              <w:t xml:space="preserve"> and is therefore of no force or effect.  They claimed that s. 117 was overbroad and inconsistent with the principles of fundamental justice, as it criminalized the acts of certain persons (i.e. humanitarian workers and close family members helping each other) which were not intended to be prosecuted.  The Supreme Court of British Columbia found in favour of the applicants, but the Court of Appeal overturned the decision.</w:t>
            </w:r>
          </w:p>
          <w:p w:rsidR="00C87F01" w:rsidRPr="007966AB" w:rsidRDefault="00C87F01" w:rsidP="00AB4E4F">
            <w:pPr>
              <w:jc w:val="both"/>
              <w:rPr>
                <w:rFonts w:eastAsia="Calibri"/>
                <w:sz w:val="20"/>
              </w:rPr>
            </w:pPr>
          </w:p>
        </w:tc>
      </w:tr>
      <w:tr w:rsidR="00C87F01" w:rsidRPr="007966AB" w:rsidTr="00AB4E4F">
        <w:tc>
          <w:tcPr>
            <w:tcW w:w="2427" w:type="pct"/>
          </w:tcPr>
          <w:p w:rsidR="00C87F01" w:rsidRPr="007966AB" w:rsidRDefault="00C87F01" w:rsidP="00AB4E4F">
            <w:pPr>
              <w:jc w:val="both"/>
              <w:rPr>
                <w:rFonts w:eastAsia="Calibri"/>
                <w:sz w:val="20"/>
              </w:rPr>
            </w:pPr>
            <w:r w:rsidRPr="007966AB">
              <w:rPr>
                <w:rFonts w:eastAsia="Calibri"/>
                <w:sz w:val="20"/>
              </w:rPr>
              <w:t>January 11, 2013</w:t>
            </w:r>
          </w:p>
          <w:p w:rsidR="00C87F01" w:rsidRPr="007966AB" w:rsidRDefault="00C87F01" w:rsidP="00AB4E4F">
            <w:pPr>
              <w:jc w:val="both"/>
              <w:rPr>
                <w:rFonts w:eastAsia="Calibri"/>
                <w:sz w:val="20"/>
              </w:rPr>
            </w:pPr>
            <w:r w:rsidRPr="007966AB">
              <w:rPr>
                <w:rFonts w:eastAsia="Calibri"/>
                <w:sz w:val="20"/>
              </w:rPr>
              <w:t>Supreme Court of British Columbia</w:t>
            </w:r>
          </w:p>
          <w:p w:rsidR="00C87F01" w:rsidRPr="007966AB" w:rsidRDefault="00C87F01" w:rsidP="00AB4E4F">
            <w:pPr>
              <w:jc w:val="both"/>
              <w:rPr>
                <w:rFonts w:eastAsia="Calibri"/>
                <w:sz w:val="20"/>
              </w:rPr>
            </w:pPr>
            <w:r w:rsidRPr="007966AB">
              <w:rPr>
                <w:rFonts w:eastAsia="Calibri"/>
                <w:sz w:val="20"/>
              </w:rPr>
              <w:t>(Silverman J.)</w:t>
            </w:r>
          </w:p>
          <w:p w:rsidR="00C87F01" w:rsidRPr="007966AB" w:rsidRDefault="00F677DC" w:rsidP="00AB4E4F">
            <w:pPr>
              <w:jc w:val="both"/>
              <w:rPr>
                <w:rFonts w:eastAsia="Calibri"/>
                <w:sz w:val="20"/>
              </w:rPr>
            </w:pPr>
            <w:hyperlink r:id="rId45" w:history="1">
              <w:r w:rsidR="00C87F01" w:rsidRPr="00D30537">
                <w:rPr>
                  <w:rFonts w:eastAsia="Calibri"/>
                  <w:color w:val="0000FF"/>
                  <w:sz w:val="20"/>
                  <w:u w:val="single"/>
                </w:rPr>
                <w:t>2013 BCSC 31</w:t>
              </w:r>
            </w:hyperlink>
            <w:r w:rsidR="00C87F01" w:rsidRPr="007966AB">
              <w:rPr>
                <w:rFonts w:eastAsia="Calibri"/>
                <w:sz w:val="20"/>
              </w:rPr>
              <w:t xml:space="preserve"> </w:t>
            </w:r>
          </w:p>
          <w:p w:rsidR="00C87F01" w:rsidRPr="007966AB" w:rsidRDefault="00C87F01" w:rsidP="00AB4E4F">
            <w:pPr>
              <w:jc w:val="both"/>
              <w:rPr>
                <w:rFonts w:eastAsia="Calibri"/>
                <w:sz w:val="20"/>
              </w:rPr>
            </w:pPr>
          </w:p>
        </w:tc>
        <w:tc>
          <w:tcPr>
            <w:tcW w:w="243" w:type="pct"/>
          </w:tcPr>
          <w:p w:rsidR="00C87F01" w:rsidRPr="007966AB" w:rsidRDefault="00C87F01" w:rsidP="00AB4E4F">
            <w:pPr>
              <w:jc w:val="both"/>
              <w:rPr>
                <w:rFonts w:eastAsia="Calibri"/>
                <w:sz w:val="20"/>
              </w:rPr>
            </w:pPr>
          </w:p>
        </w:tc>
        <w:tc>
          <w:tcPr>
            <w:tcW w:w="2330" w:type="pct"/>
          </w:tcPr>
          <w:p w:rsidR="00C87F01" w:rsidRPr="007966AB" w:rsidRDefault="00C87F01" w:rsidP="00AB4E4F">
            <w:pPr>
              <w:jc w:val="both"/>
              <w:rPr>
                <w:rFonts w:eastAsia="Calibri"/>
                <w:sz w:val="20"/>
              </w:rPr>
            </w:pPr>
            <w:r w:rsidRPr="007966AB">
              <w:rPr>
                <w:rFonts w:eastAsia="Calibri"/>
                <w:sz w:val="20"/>
              </w:rPr>
              <w:t xml:space="preserve">Application to declare that s. 117 of the </w:t>
            </w:r>
            <w:r w:rsidRPr="007966AB">
              <w:rPr>
                <w:rFonts w:eastAsia="Calibri"/>
                <w:i/>
                <w:sz w:val="20"/>
              </w:rPr>
              <w:t>Immigration and Refugee Protection Act</w:t>
            </w:r>
            <w:r w:rsidRPr="007966AB">
              <w:rPr>
                <w:rFonts w:eastAsia="Calibri"/>
                <w:sz w:val="20"/>
              </w:rPr>
              <w:t xml:space="preserve"> is overbroad and infringes s. 7 of the </w:t>
            </w:r>
            <w:r w:rsidRPr="007966AB">
              <w:rPr>
                <w:rFonts w:eastAsia="Calibri"/>
                <w:i/>
                <w:sz w:val="20"/>
              </w:rPr>
              <w:t>Charter</w:t>
            </w:r>
            <w:r w:rsidRPr="007966AB">
              <w:rPr>
                <w:rFonts w:eastAsia="Calibri"/>
                <w:sz w:val="20"/>
              </w:rPr>
              <w:t xml:space="preserve"> granted.</w:t>
            </w:r>
          </w:p>
          <w:p w:rsidR="00C87F01" w:rsidRPr="007966AB" w:rsidRDefault="00C87F01" w:rsidP="00AB4E4F">
            <w:pPr>
              <w:jc w:val="both"/>
              <w:rPr>
                <w:rFonts w:eastAsia="Calibri"/>
                <w:sz w:val="20"/>
              </w:rPr>
            </w:pPr>
          </w:p>
        </w:tc>
      </w:tr>
      <w:tr w:rsidR="00C87F01" w:rsidRPr="007966AB" w:rsidTr="00AB4E4F">
        <w:tc>
          <w:tcPr>
            <w:tcW w:w="2427" w:type="pct"/>
          </w:tcPr>
          <w:p w:rsidR="00C87F01" w:rsidRPr="007966AB" w:rsidRDefault="00C87F01" w:rsidP="00AB4E4F">
            <w:pPr>
              <w:jc w:val="both"/>
              <w:rPr>
                <w:rFonts w:eastAsia="Calibri"/>
                <w:sz w:val="20"/>
              </w:rPr>
            </w:pPr>
            <w:r w:rsidRPr="007966AB">
              <w:rPr>
                <w:rFonts w:eastAsia="Calibri"/>
                <w:sz w:val="20"/>
              </w:rPr>
              <w:t>January 25, 2013</w:t>
            </w:r>
          </w:p>
          <w:p w:rsidR="00C87F01" w:rsidRPr="007966AB" w:rsidRDefault="00C87F01" w:rsidP="00AB4E4F">
            <w:pPr>
              <w:jc w:val="both"/>
              <w:rPr>
                <w:rFonts w:eastAsia="Calibri"/>
                <w:sz w:val="20"/>
              </w:rPr>
            </w:pPr>
            <w:r w:rsidRPr="007966AB">
              <w:rPr>
                <w:rFonts w:eastAsia="Calibri"/>
                <w:sz w:val="20"/>
              </w:rPr>
              <w:t>Supreme Court of British Columbia</w:t>
            </w:r>
          </w:p>
          <w:p w:rsidR="00C87F01" w:rsidRPr="007966AB" w:rsidRDefault="00C87F01" w:rsidP="00AB4E4F">
            <w:pPr>
              <w:jc w:val="both"/>
              <w:rPr>
                <w:rFonts w:eastAsia="Calibri"/>
                <w:sz w:val="20"/>
              </w:rPr>
            </w:pPr>
            <w:r w:rsidRPr="007966AB">
              <w:rPr>
                <w:rFonts w:eastAsia="Calibri"/>
                <w:sz w:val="20"/>
              </w:rPr>
              <w:t>(Silverman J.)</w:t>
            </w:r>
          </w:p>
          <w:p w:rsidR="00C87F01" w:rsidRPr="007966AB" w:rsidRDefault="00F677DC" w:rsidP="00AB4E4F">
            <w:pPr>
              <w:jc w:val="both"/>
              <w:rPr>
                <w:rFonts w:eastAsia="Calibri"/>
                <w:sz w:val="20"/>
              </w:rPr>
            </w:pPr>
            <w:hyperlink r:id="rId46" w:history="1">
              <w:r w:rsidR="00C87F01" w:rsidRPr="00D30537">
                <w:rPr>
                  <w:rFonts w:eastAsia="Calibri"/>
                  <w:color w:val="0000FF"/>
                  <w:sz w:val="20"/>
                  <w:u w:val="single"/>
                </w:rPr>
                <w:t>2013 BCSC 198</w:t>
              </w:r>
            </w:hyperlink>
          </w:p>
          <w:p w:rsidR="00C87F01" w:rsidRPr="007966AB" w:rsidRDefault="00C87F01" w:rsidP="00AB4E4F">
            <w:pPr>
              <w:jc w:val="both"/>
              <w:rPr>
                <w:rFonts w:eastAsia="Calibri"/>
                <w:sz w:val="20"/>
              </w:rPr>
            </w:pPr>
          </w:p>
        </w:tc>
        <w:tc>
          <w:tcPr>
            <w:tcW w:w="243" w:type="pct"/>
          </w:tcPr>
          <w:p w:rsidR="00C87F01" w:rsidRPr="007966AB" w:rsidRDefault="00C87F01" w:rsidP="00AB4E4F">
            <w:pPr>
              <w:jc w:val="both"/>
              <w:rPr>
                <w:rFonts w:eastAsia="Calibri"/>
                <w:sz w:val="20"/>
              </w:rPr>
            </w:pPr>
          </w:p>
        </w:tc>
        <w:tc>
          <w:tcPr>
            <w:tcW w:w="2330" w:type="pct"/>
          </w:tcPr>
          <w:p w:rsidR="00C87F01" w:rsidRPr="007966AB" w:rsidRDefault="00C87F01" w:rsidP="00AB4E4F">
            <w:pPr>
              <w:jc w:val="both"/>
              <w:rPr>
                <w:rFonts w:eastAsia="Calibri"/>
                <w:sz w:val="20"/>
              </w:rPr>
            </w:pPr>
            <w:r w:rsidRPr="007966AB">
              <w:rPr>
                <w:rFonts w:eastAsia="Calibri"/>
                <w:sz w:val="20"/>
              </w:rPr>
              <w:t xml:space="preserve">Motion to suspend the declaration of invalidity of s. 117 of the </w:t>
            </w:r>
            <w:r w:rsidRPr="007966AB">
              <w:rPr>
                <w:rFonts w:eastAsia="Calibri"/>
                <w:i/>
                <w:sz w:val="20"/>
              </w:rPr>
              <w:t>Immigration and Refugee Act</w:t>
            </w:r>
            <w:r w:rsidRPr="007966AB">
              <w:rPr>
                <w:rFonts w:eastAsia="Calibri"/>
                <w:sz w:val="20"/>
              </w:rPr>
              <w:t xml:space="preserve"> granted. </w:t>
            </w:r>
          </w:p>
          <w:p w:rsidR="00C87F01" w:rsidRPr="007966AB" w:rsidRDefault="00C87F01" w:rsidP="00AB4E4F">
            <w:pPr>
              <w:jc w:val="both"/>
              <w:rPr>
                <w:rFonts w:eastAsia="Calibri"/>
                <w:sz w:val="20"/>
              </w:rPr>
            </w:pPr>
          </w:p>
          <w:p w:rsidR="00C87F01" w:rsidRPr="007966AB" w:rsidRDefault="00C87F01" w:rsidP="00AB4E4F">
            <w:pPr>
              <w:jc w:val="both"/>
              <w:rPr>
                <w:rFonts w:eastAsia="Calibri"/>
                <w:sz w:val="20"/>
              </w:rPr>
            </w:pPr>
            <w:r w:rsidRPr="007966AB">
              <w:rPr>
                <w:rFonts w:eastAsia="Calibri"/>
                <w:sz w:val="20"/>
              </w:rPr>
              <w:t xml:space="preserve">Indictments against the applicants quashed. </w:t>
            </w:r>
          </w:p>
        </w:tc>
      </w:tr>
      <w:tr w:rsidR="00C87F01" w:rsidRPr="007966AB" w:rsidTr="00AB4E4F">
        <w:tc>
          <w:tcPr>
            <w:tcW w:w="2427" w:type="pct"/>
          </w:tcPr>
          <w:p w:rsidR="00C87F01" w:rsidRPr="007966AB" w:rsidRDefault="00C87F01" w:rsidP="00AB4E4F">
            <w:pPr>
              <w:jc w:val="both"/>
              <w:rPr>
                <w:rFonts w:eastAsia="Calibri"/>
                <w:sz w:val="20"/>
              </w:rPr>
            </w:pPr>
            <w:r w:rsidRPr="007966AB">
              <w:rPr>
                <w:rFonts w:eastAsia="Calibri"/>
                <w:sz w:val="20"/>
              </w:rPr>
              <w:t>April 30, 2014</w:t>
            </w:r>
          </w:p>
          <w:p w:rsidR="00C87F01" w:rsidRPr="007966AB" w:rsidRDefault="00C87F01" w:rsidP="00AB4E4F">
            <w:pPr>
              <w:jc w:val="both"/>
              <w:rPr>
                <w:rFonts w:eastAsia="Calibri"/>
                <w:sz w:val="20"/>
              </w:rPr>
            </w:pPr>
            <w:r w:rsidRPr="007966AB">
              <w:rPr>
                <w:rFonts w:eastAsia="Calibri"/>
                <w:sz w:val="20"/>
              </w:rPr>
              <w:t>Court of Appeal for British Columbia \(Vancouver)</w:t>
            </w:r>
          </w:p>
          <w:p w:rsidR="00C87F01" w:rsidRPr="007966AB" w:rsidRDefault="00C87F01" w:rsidP="00AB4E4F">
            <w:pPr>
              <w:jc w:val="both"/>
              <w:rPr>
                <w:rFonts w:eastAsia="Calibri"/>
                <w:sz w:val="20"/>
              </w:rPr>
            </w:pPr>
            <w:r w:rsidRPr="007966AB">
              <w:rPr>
                <w:rFonts w:eastAsia="Calibri"/>
                <w:sz w:val="20"/>
              </w:rPr>
              <w:t>(Neilson, Bennett and Hinkson JJ.A.)</w:t>
            </w:r>
          </w:p>
          <w:p w:rsidR="00C87F01" w:rsidRPr="007966AB" w:rsidRDefault="00F677DC" w:rsidP="00AB4E4F">
            <w:pPr>
              <w:jc w:val="both"/>
              <w:rPr>
                <w:rFonts w:eastAsia="Calibri"/>
                <w:sz w:val="20"/>
              </w:rPr>
            </w:pPr>
            <w:hyperlink r:id="rId47" w:history="1">
              <w:r w:rsidR="00C87F01" w:rsidRPr="00D30537">
                <w:rPr>
                  <w:rFonts w:eastAsia="Calibri"/>
                  <w:color w:val="0000FF"/>
                  <w:sz w:val="20"/>
                  <w:u w:val="single"/>
                </w:rPr>
                <w:t>2014 BCCA 163</w:t>
              </w:r>
            </w:hyperlink>
          </w:p>
          <w:p w:rsidR="00C87F01" w:rsidRPr="007966AB" w:rsidRDefault="00C87F01" w:rsidP="00AB4E4F">
            <w:pPr>
              <w:jc w:val="both"/>
              <w:rPr>
                <w:rFonts w:eastAsia="Calibri"/>
                <w:sz w:val="20"/>
              </w:rPr>
            </w:pPr>
            <w:r w:rsidRPr="007966AB">
              <w:rPr>
                <w:rFonts w:eastAsia="Calibri"/>
                <w:sz w:val="20"/>
              </w:rPr>
              <w:t>Dockets: CA040592; CA040593; CA040594;</w:t>
            </w:r>
          </w:p>
          <w:p w:rsidR="00C87F01" w:rsidRPr="007966AB" w:rsidRDefault="00C87F01" w:rsidP="00AB4E4F">
            <w:pPr>
              <w:jc w:val="both"/>
              <w:rPr>
                <w:rFonts w:eastAsia="Calibri"/>
                <w:sz w:val="20"/>
              </w:rPr>
            </w:pPr>
            <w:r w:rsidRPr="007966AB">
              <w:rPr>
                <w:rFonts w:eastAsia="Calibri"/>
                <w:sz w:val="20"/>
              </w:rPr>
              <w:t xml:space="preserve">CA040595 </w:t>
            </w:r>
          </w:p>
          <w:p w:rsidR="00C87F01" w:rsidRPr="007966AB" w:rsidRDefault="00C87F01" w:rsidP="00AB4E4F">
            <w:pPr>
              <w:jc w:val="both"/>
              <w:rPr>
                <w:rFonts w:eastAsia="Calibri"/>
                <w:sz w:val="20"/>
              </w:rPr>
            </w:pPr>
          </w:p>
        </w:tc>
        <w:tc>
          <w:tcPr>
            <w:tcW w:w="243" w:type="pct"/>
          </w:tcPr>
          <w:p w:rsidR="00C87F01" w:rsidRPr="007966AB" w:rsidRDefault="00C87F01" w:rsidP="00AB4E4F">
            <w:pPr>
              <w:jc w:val="both"/>
              <w:rPr>
                <w:rFonts w:eastAsia="Calibri"/>
                <w:sz w:val="20"/>
              </w:rPr>
            </w:pPr>
          </w:p>
        </w:tc>
        <w:tc>
          <w:tcPr>
            <w:tcW w:w="2330" w:type="pct"/>
          </w:tcPr>
          <w:p w:rsidR="00C87F01" w:rsidRPr="007966AB" w:rsidRDefault="00C87F01" w:rsidP="00AB4E4F">
            <w:pPr>
              <w:jc w:val="both"/>
              <w:rPr>
                <w:rFonts w:eastAsia="Calibri"/>
                <w:sz w:val="20"/>
              </w:rPr>
            </w:pPr>
            <w:r w:rsidRPr="007966AB">
              <w:rPr>
                <w:rFonts w:eastAsia="Calibri"/>
                <w:sz w:val="20"/>
              </w:rPr>
              <w:t>Appeals allowed; Acquittals set aside and new trials ordered</w:t>
            </w:r>
          </w:p>
          <w:p w:rsidR="00C87F01" w:rsidRPr="007966AB" w:rsidRDefault="00C87F01" w:rsidP="00AB4E4F">
            <w:pPr>
              <w:jc w:val="both"/>
              <w:rPr>
                <w:rFonts w:eastAsia="Calibri"/>
                <w:sz w:val="20"/>
              </w:rPr>
            </w:pPr>
          </w:p>
        </w:tc>
      </w:tr>
      <w:tr w:rsidR="00C87F01" w:rsidRPr="007966AB" w:rsidTr="00AB4E4F">
        <w:tc>
          <w:tcPr>
            <w:tcW w:w="2427" w:type="pct"/>
          </w:tcPr>
          <w:p w:rsidR="00C87F01" w:rsidRPr="007966AB" w:rsidRDefault="00C87F01" w:rsidP="00AB4E4F">
            <w:pPr>
              <w:jc w:val="both"/>
              <w:rPr>
                <w:rFonts w:eastAsia="Calibri"/>
                <w:sz w:val="20"/>
              </w:rPr>
            </w:pPr>
            <w:r w:rsidRPr="007966AB">
              <w:rPr>
                <w:rFonts w:eastAsia="Calibri"/>
                <w:sz w:val="20"/>
              </w:rPr>
              <w:t>June 27, 2014</w:t>
            </w:r>
          </w:p>
          <w:p w:rsidR="00C87F01" w:rsidRPr="007966AB" w:rsidRDefault="00C87F01" w:rsidP="00AB4E4F">
            <w:pPr>
              <w:jc w:val="both"/>
              <w:rPr>
                <w:rFonts w:eastAsia="Calibri"/>
                <w:sz w:val="20"/>
              </w:rPr>
            </w:pPr>
            <w:r w:rsidRPr="007966AB">
              <w:rPr>
                <w:rFonts w:eastAsia="Calibri"/>
                <w:sz w:val="20"/>
              </w:rPr>
              <w:t>Supreme Court of Canada</w:t>
            </w:r>
          </w:p>
        </w:tc>
        <w:tc>
          <w:tcPr>
            <w:tcW w:w="243" w:type="pct"/>
          </w:tcPr>
          <w:p w:rsidR="00C87F01" w:rsidRPr="007966AB" w:rsidRDefault="00C87F01" w:rsidP="00AB4E4F">
            <w:pPr>
              <w:jc w:val="both"/>
              <w:rPr>
                <w:rFonts w:eastAsia="Calibri"/>
                <w:sz w:val="20"/>
              </w:rPr>
            </w:pPr>
          </w:p>
        </w:tc>
        <w:tc>
          <w:tcPr>
            <w:tcW w:w="2330" w:type="pct"/>
          </w:tcPr>
          <w:p w:rsidR="00C87F01" w:rsidRPr="007966AB" w:rsidRDefault="00C87F01" w:rsidP="00AB4E4F">
            <w:pPr>
              <w:jc w:val="both"/>
              <w:rPr>
                <w:rFonts w:eastAsia="Calibri"/>
                <w:sz w:val="20"/>
              </w:rPr>
            </w:pPr>
            <w:r w:rsidRPr="007966AB">
              <w:rPr>
                <w:rFonts w:eastAsia="Calibri"/>
                <w:sz w:val="20"/>
              </w:rPr>
              <w:t>Application for leave to appeal filed</w:t>
            </w:r>
          </w:p>
        </w:tc>
      </w:tr>
    </w:tbl>
    <w:p w:rsidR="00185470" w:rsidRDefault="00185470" w:rsidP="00185470">
      <w:pPr>
        <w:rPr>
          <w:sz w:val="20"/>
          <w:szCs w:val="20"/>
        </w:rPr>
      </w:pPr>
    </w:p>
    <w:p w:rsidR="00185470" w:rsidRPr="00C50A5C" w:rsidRDefault="00F677DC" w:rsidP="00185470">
      <w:pPr>
        <w:rPr>
          <w:sz w:val="20"/>
          <w:szCs w:val="20"/>
        </w:rPr>
      </w:pPr>
      <w:r>
        <w:rPr>
          <w:sz w:val="20"/>
          <w:szCs w:val="20"/>
          <w:lang w:val="fr-CA"/>
        </w:rPr>
        <w:pict>
          <v:rect id="_x0000_i1075" style="width:2in;height:1pt" o:hrpct="0" o:hralign="center" o:hrstd="t" o:hrnoshade="t" o:hr="t" fillcolor="black [3213]" stroked="f"/>
        </w:pict>
      </w:r>
    </w:p>
    <w:p w:rsidR="00185470" w:rsidRDefault="00185470" w:rsidP="00185470">
      <w:pPr>
        <w:rPr>
          <w:sz w:val="20"/>
          <w:szCs w:val="20"/>
        </w:rPr>
      </w:pPr>
    </w:p>
    <w:p w:rsidR="00185470" w:rsidRPr="001B157C" w:rsidRDefault="00185470" w:rsidP="00185470">
      <w:pPr>
        <w:rPr>
          <w:sz w:val="20"/>
          <w:szCs w:val="20"/>
          <w:u w:val="single"/>
          <w:lang w:val="fr-CA"/>
        </w:rPr>
      </w:pPr>
      <w:r w:rsidRPr="001B157C">
        <w:rPr>
          <w:sz w:val="20"/>
          <w:szCs w:val="20"/>
          <w:u w:val="single"/>
          <w:lang w:val="fr-CA"/>
        </w:rPr>
        <w:t>RÉSUMÉ DE L’AFFAIRE</w:t>
      </w:r>
    </w:p>
    <w:p w:rsidR="00185470" w:rsidRDefault="00185470" w:rsidP="0018547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87F01" w:rsidRPr="00DA7379" w:rsidTr="00AB4E4F">
        <w:tc>
          <w:tcPr>
            <w:tcW w:w="5000" w:type="pct"/>
            <w:gridSpan w:val="3"/>
          </w:tcPr>
          <w:p w:rsidR="00C87F01" w:rsidRPr="007966AB" w:rsidRDefault="00C87F01" w:rsidP="00AB4E4F">
            <w:pPr>
              <w:jc w:val="both"/>
              <w:rPr>
                <w:rFonts w:eastAsia="Calibri"/>
                <w:smallCaps/>
                <w:sz w:val="20"/>
                <w:lang w:val="fr-CA"/>
              </w:rPr>
            </w:pPr>
            <w:r w:rsidRPr="007966AB">
              <w:rPr>
                <w:rFonts w:eastAsia="Calibri"/>
                <w:smallCaps/>
                <w:sz w:val="20"/>
                <w:lang w:val="fr-CA"/>
              </w:rPr>
              <w:t>(Ordonnance de non publication dans le dossier)</w:t>
            </w:r>
          </w:p>
          <w:p w:rsidR="00C87F01" w:rsidRPr="007966AB" w:rsidRDefault="00C87F01" w:rsidP="00AB4E4F">
            <w:pPr>
              <w:jc w:val="both"/>
              <w:rPr>
                <w:rFonts w:eastAsia="Calibri"/>
                <w:sz w:val="20"/>
                <w:lang w:val="fr-CA"/>
              </w:rPr>
            </w:pPr>
          </w:p>
        </w:tc>
      </w:tr>
      <w:tr w:rsidR="00C87F01" w:rsidRPr="00DA7379" w:rsidTr="00AB4E4F">
        <w:tc>
          <w:tcPr>
            <w:tcW w:w="5000" w:type="pct"/>
            <w:gridSpan w:val="3"/>
          </w:tcPr>
          <w:p w:rsidR="00C87F01" w:rsidRPr="007966AB" w:rsidRDefault="00C87F01" w:rsidP="00AB4E4F">
            <w:pPr>
              <w:jc w:val="both"/>
              <w:rPr>
                <w:rFonts w:eastAsia="Calibri"/>
                <w:sz w:val="20"/>
                <w:lang w:val="fr-CA"/>
              </w:rPr>
            </w:pPr>
            <w:r w:rsidRPr="007966AB">
              <w:rPr>
                <w:rFonts w:eastAsia="Calibri"/>
                <w:i/>
                <w:sz w:val="20"/>
                <w:lang w:val="fr-CA"/>
              </w:rPr>
              <w:t xml:space="preserve">Charte des droits </w:t>
            </w:r>
            <w:r w:rsidRPr="007966AB">
              <w:rPr>
                <w:rFonts w:eastAsia="Calibri"/>
                <w:sz w:val="20"/>
                <w:lang w:val="fr-CA"/>
              </w:rPr>
              <w:t xml:space="preserve">– Droit constitutionnel – Droit à la vie, à la liberté et à la sécurité de la personne – Portée excessive – Aux termes d’une disposition de la </w:t>
            </w:r>
            <w:r w:rsidRPr="007966AB">
              <w:rPr>
                <w:rFonts w:eastAsia="Calibri"/>
                <w:i/>
                <w:sz w:val="20"/>
                <w:lang w:val="fr-CA"/>
              </w:rPr>
              <w:t>Loi sur l’immigration et la protection des réfugiés</w:t>
            </w:r>
            <w:r w:rsidRPr="007966AB">
              <w:rPr>
                <w:rFonts w:eastAsia="Calibri"/>
                <w:sz w:val="20"/>
                <w:lang w:val="fr-CA"/>
              </w:rPr>
              <w:t xml:space="preserve">, est coupable d’une infraction quiconque sciemment aide ou encourage l’entrée au Canada d’une ou de plusieurs personnes qui ne sont pas munies d’un visa, d’un passeport ou d’un autre document exigé par cette loi – Est-ce que la disposition a une portée excessive et par conséquent viole-t-elle d’une manière injustifiable l’art. 7 de la </w:t>
            </w:r>
            <w:r w:rsidRPr="007966AB">
              <w:rPr>
                <w:rFonts w:eastAsia="Calibri"/>
                <w:i/>
                <w:sz w:val="20"/>
                <w:lang w:val="fr-CA"/>
              </w:rPr>
              <w:t>Charte canadienne des droits et libertés</w:t>
            </w:r>
            <w:r w:rsidRPr="007966AB">
              <w:rPr>
                <w:rFonts w:eastAsia="Calibri"/>
                <w:sz w:val="20"/>
                <w:lang w:val="fr-CA"/>
              </w:rPr>
              <w:t xml:space="preserve">? – </w:t>
            </w:r>
            <w:r w:rsidRPr="007966AB">
              <w:rPr>
                <w:rFonts w:eastAsia="Calibri"/>
                <w:i/>
                <w:sz w:val="20"/>
                <w:lang w:val="fr-CA"/>
              </w:rPr>
              <w:t xml:space="preserve">Loi sur l’immigration et la protection des réfugiés, </w:t>
            </w:r>
            <w:r w:rsidRPr="007966AB">
              <w:rPr>
                <w:rFonts w:eastAsia="Calibri"/>
                <w:sz w:val="20"/>
                <w:lang w:val="fr-CA"/>
              </w:rPr>
              <w:t>L.C. 2001, c. 27, art. 117.</w:t>
            </w:r>
          </w:p>
          <w:p w:rsidR="00C87F01" w:rsidRPr="007966AB" w:rsidRDefault="00C87F01" w:rsidP="00AB4E4F">
            <w:pPr>
              <w:jc w:val="both"/>
              <w:rPr>
                <w:rFonts w:eastAsia="Calibri"/>
                <w:sz w:val="20"/>
                <w:lang w:val="fr-CA"/>
              </w:rPr>
            </w:pPr>
          </w:p>
        </w:tc>
      </w:tr>
      <w:tr w:rsidR="00C87F01" w:rsidRPr="00DA7379" w:rsidTr="00AB4E4F">
        <w:tc>
          <w:tcPr>
            <w:tcW w:w="5000" w:type="pct"/>
            <w:gridSpan w:val="3"/>
          </w:tcPr>
          <w:p w:rsidR="00C87F01" w:rsidRPr="007966AB" w:rsidRDefault="00C87F01" w:rsidP="00AB4E4F">
            <w:pPr>
              <w:jc w:val="both"/>
              <w:rPr>
                <w:rFonts w:eastAsia="Calibri"/>
                <w:sz w:val="20"/>
                <w:lang w:val="fr-CA"/>
              </w:rPr>
            </w:pPr>
            <w:r w:rsidRPr="007966AB">
              <w:rPr>
                <w:rFonts w:eastAsia="Calibri"/>
                <w:sz w:val="20"/>
                <w:lang w:val="fr-CA"/>
              </w:rPr>
              <w:t xml:space="preserve">Le 17 octobre 2009, les autorités canadiennes ont intercepté un navire près la côte ouest de l’île de Vancouver avec à son bord 76 Tamouls Sri Lankais.  Aucun n’avait la documentation adéquate pour entrer au pays et tous demandaient le statut de réfugié.  Chaque passager avait payé, ou promis de payer, entre 30 000$ et 40 000$ pour le voyage.  Le ministère public a allégué que les quatre demandeurs, qui se trouvaient à bord du navire, ont organisé le voyage et qu’ils agissaient à titre de capitaine et de membres de l’équipage en chef du navire.  Le ministère public les a accusés de l’infraction surnommée “le passage de clandestins” en vertu de l’art. 117 de la </w:t>
            </w:r>
            <w:r w:rsidRPr="007966AB">
              <w:rPr>
                <w:rFonts w:eastAsia="Calibri"/>
                <w:i/>
                <w:sz w:val="20"/>
                <w:lang w:val="fr-CA"/>
              </w:rPr>
              <w:t xml:space="preserve">Loi sur l’immigration et la </w:t>
            </w:r>
            <w:r w:rsidRPr="007966AB">
              <w:rPr>
                <w:rFonts w:eastAsia="Calibri"/>
                <w:i/>
                <w:sz w:val="20"/>
                <w:lang w:val="fr-CA"/>
              </w:rPr>
              <w:lastRenderedPageBreak/>
              <w:t>protection des réfugiés</w:t>
            </w:r>
            <w:r w:rsidRPr="007966AB">
              <w:rPr>
                <w:rFonts w:eastAsia="Calibri"/>
                <w:sz w:val="20"/>
                <w:lang w:val="fr-CA"/>
              </w:rPr>
              <w:t xml:space="preserve">. Avant leur procès, les demandeurs ont demandé une ordonnance déclarant que l’art. 117 viole d’une manière injustifiable l’art. 7 de la </w:t>
            </w:r>
            <w:r w:rsidRPr="007966AB">
              <w:rPr>
                <w:rFonts w:eastAsia="Calibri"/>
                <w:i/>
                <w:sz w:val="20"/>
                <w:lang w:val="fr-CA"/>
              </w:rPr>
              <w:t xml:space="preserve">Charte canadienne des droits et libertés </w:t>
            </w:r>
            <w:r w:rsidRPr="007966AB">
              <w:rPr>
                <w:rFonts w:eastAsia="Calibri"/>
                <w:sz w:val="20"/>
                <w:lang w:val="fr-CA"/>
              </w:rPr>
              <w:t>et est, par conséquent, inopérant.  Les demandeurs ont allégué que l’art. 117 avait une portée excessive et qu’il était incompatible avec les principes de justice fondamentale, puisqu’il criminalise les gestes de certaines personnes (notamment les travailleurs humanitaires et les proches parents qui s’entraident) qui n’étaient pas censées être poursuivies en justice.  La Cour suprême de la Colombie-Britannique a donné gain de cause aux demandeurs, mais la Cour d’appel a infirmé la décision.</w:t>
            </w:r>
          </w:p>
          <w:p w:rsidR="00C87F01" w:rsidRPr="007966AB" w:rsidRDefault="00C87F01" w:rsidP="00AB4E4F">
            <w:pPr>
              <w:jc w:val="both"/>
              <w:rPr>
                <w:rFonts w:eastAsia="Calibri"/>
                <w:sz w:val="20"/>
                <w:lang w:val="fr-CA"/>
              </w:rPr>
            </w:pPr>
          </w:p>
        </w:tc>
      </w:tr>
      <w:tr w:rsidR="00C87F01" w:rsidRPr="00DA7379" w:rsidTr="00AB4E4F">
        <w:tc>
          <w:tcPr>
            <w:tcW w:w="2427" w:type="pct"/>
          </w:tcPr>
          <w:p w:rsidR="00C87F01" w:rsidRPr="007966AB" w:rsidRDefault="00C87F01" w:rsidP="00AB4E4F">
            <w:pPr>
              <w:jc w:val="both"/>
              <w:rPr>
                <w:rFonts w:eastAsia="Calibri"/>
                <w:sz w:val="20"/>
                <w:lang w:val="fr-CA"/>
              </w:rPr>
            </w:pPr>
            <w:r w:rsidRPr="007966AB">
              <w:rPr>
                <w:rFonts w:eastAsia="Calibri"/>
                <w:sz w:val="20"/>
                <w:lang w:val="fr-CA"/>
              </w:rPr>
              <w:lastRenderedPageBreak/>
              <w:t>11 janvier 2013</w:t>
            </w:r>
          </w:p>
          <w:p w:rsidR="00C87F01" w:rsidRPr="007966AB" w:rsidRDefault="00C87F01" w:rsidP="00AB4E4F">
            <w:pPr>
              <w:jc w:val="both"/>
              <w:rPr>
                <w:rFonts w:eastAsia="Calibri"/>
                <w:sz w:val="20"/>
                <w:lang w:val="fr-CA"/>
              </w:rPr>
            </w:pPr>
            <w:r w:rsidRPr="007966AB">
              <w:rPr>
                <w:rFonts w:eastAsia="Calibri"/>
                <w:sz w:val="20"/>
                <w:lang w:val="fr-CA"/>
              </w:rPr>
              <w:t xml:space="preserve">Cour suprême de la Colombie-Britannique </w:t>
            </w:r>
          </w:p>
          <w:p w:rsidR="00C87F01" w:rsidRPr="007966AB" w:rsidRDefault="00C87F01" w:rsidP="00AB4E4F">
            <w:pPr>
              <w:jc w:val="both"/>
              <w:rPr>
                <w:rFonts w:eastAsia="Calibri"/>
                <w:sz w:val="20"/>
              </w:rPr>
            </w:pPr>
            <w:r w:rsidRPr="007966AB">
              <w:rPr>
                <w:rFonts w:eastAsia="Calibri"/>
                <w:sz w:val="20"/>
              </w:rPr>
              <w:t>(Juge Silverman)</w:t>
            </w:r>
          </w:p>
          <w:p w:rsidR="00C87F01" w:rsidRPr="007966AB" w:rsidRDefault="00F677DC" w:rsidP="00AB4E4F">
            <w:pPr>
              <w:jc w:val="both"/>
              <w:rPr>
                <w:rFonts w:eastAsia="Calibri"/>
                <w:sz w:val="20"/>
              </w:rPr>
            </w:pPr>
            <w:hyperlink r:id="rId48" w:history="1">
              <w:r w:rsidR="00C87F01" w:rsidRPr="00D30537">
                <w:rPr>
                  <w:rFonts w:eastAsia="Calibri"/>
                  <w:color w:val="0000FF"/>
                  <w:sz w:val="20"/>
                  <w:u w:val="single"/>
                </w:rPr>
                <w:t>2013 BCSC 31</w:t>
              </w:r>
            </w:hyperlink>
            <w:r w:rsidR="00C87F01" w:rsidRPr="007966AB">
              <w:rPr>
                <w:rFonts w:eastAsia="Calibri"/>
                <w:sz w:val="20"/>
              </w:rPr>
              <w:t xml:space="preserve"> </w:t>
            </w:r>
          </w:p>
          <w:p w:rsidR="00C87F01" w:rsidRPr="007966AB" w:rsidRDefault="00C87F01" w:rsidP="00AB4E4F">
            <w:pPr>
              <w:jc w:val="both"/>
              <w:rPr>
                <w:rFonts w:eastAsia="Calibri"/>
                <w:sz w:val="20"/>
              </w:rPr>
            </w:pPr>
          </w:p>
        </w:tc>
        <w:tc>
          <w:tcPr>
            <w:tcW w:w="243" w:type="pct"/>
          </w:tcPr>
          <w:p w:rsidR="00C87F01" w:rsidRPr="007966AB" w:rsidRDefault="00C87F01" w:rsidP="00AB4E4F">
            <w:pPr>
              <w:jc w:val="both"/>
              <w:rPr>
                <w:rFonts w:eastAsia="Calibri"/>
                <w:sz w:val="20"/>
              </w:rPr>
            </w:pPr>
          </w:p>
        </w:tc>
        <w:tc>
          <w:tcPr>
            <w:tcW w:w="2330" w:type="pct"/>
          </w:tcPr>
          <w:p w:rsidR="00C87F01" w:rsidRPr="007966AB" w:rsidRDefault="00C87F01" w:rsidP="00AB4E4F">
            <w:pPr>
              <w:jc w:val="both"/>
              <w:rPr>
                <w:rFonts w:eastAsia="Calibri"/>
                <w:sz w:val="20"/>
                <w:lang w:val="fr-CA"/>
              </w:rPr>
            </w:pPr>
            <w:r w:rsidRPr="007966AB">
              <w:rPr>
                <w:rFonts w:eastAsia="Calibri"/>
                <w:sz w:val="20"/>
                <w:lang w:val="fr-CA"/>
              </w:rPr>
              <w:t xml:space="preserve">Demande en vue d’obtenir une déclaration à l’effet que l’art. 117 de la </w:t>
            </w:r>
            <w:r w:rsidRPr="007966AB">
              <w:rPr>
                <w:rFonts w:eastAsia="Calibri"/>
                <w:i/>
                <w:sz w:val="20"/>
                <w:lang w:val="fr-CA"/>
              </w:rPr>
              <w:t>Loi sur l’immigration et la protection des réfugiés</w:t>
            </w:r>
            <w:r w:rsidRPr="007966AB">
              <w:rPr>
                <w:rFonts w:eastAsia="Calibri"/>
                <w:sz w:val="20"/>
                <w:lang w:val="fr-CA"/>
              </w:rPr>
              <w:t xml:space="preserve"> a une portée excessive et viole l’art. 7 de la </w:t>
            </w:r>
            <w:r w:rsidRPr="007966AB">
              <w:rPr>
                <w:rFonts w:eastAsia="Calibri"/>
                <w:i/>
                <w:sz w:val="20"/>
                <w:lang w:val="fr-CA"/>
              </w:rPr>
              <w:t>Charte</w:t>
            </w:r>
            <w:r w:rsidRPr="007966AB">
              <w:rPr>
                <w:rFonts w:eastAsia="Calibri"/>
                <w:sz w:val="20"/>
                <w:lang w:val="fr-CA"/>
              </w:rPr>
              <w:t>, accordée.</w:t>
            </w:r>
          </w:p>
          <w:p w:rsidR="00C87F01" w:rsidRPr="007966AB" w:rsidRDefault="00C87F01" w:rsidP="00AB4E4F">
            <w:pPr>
              <w:jc w:val="both"/>
              <w:rPr>
                <w:rFonts w:eastAsia="Calibri"/>
                <w:sz w:val="20"/>
                <w:lang w:val="fr-CA"/>
              </w:rPr>
            </w:pPr>
          </w:p>
        </w:tc>
      </w:tr>
      <w:tr w:rsidR="00C87F01" w:rsidRPr="00DA7379" w:rsidTr="00AB4E4F">
        <w:tc>
          <w:tcPr>
            <w:tcW w:w="2427" w:type="pct"/>
          </w:tcPr>
          <w:p w:rsidR="00C87F01" w:rsidRPr="007966AB" w:rsidRDefault="00C87F01" w:rsidP="00AB4E4F">
            <w:pPr>
              <w:jc w:val="both"/>
              <w:rPr>
                <w:rFonts w:eastAsia="Calibri"/>
                <w:sz w:val="20"/>
                <w:lang w:val="fr-CA"/>
              </w:rPr>
            </w:pPr>
            <w:r w:rsidRPr="007966AB">
              <w:rPr>
                <w:rFonts w:eastAsia="Calibri"/>
                <w:sz w:val="20"/>
                <w:lang w:val="fr-CA"/>
              </w:rPr>
              <w:t>25 janvier 2013</w:t>
            </w:r>
          </w:p>
          <w:p w:rsidR="00C87F01" w:rsidRPr="007966AB" w:rsidRDefault="00C87F01" w:rsidP="00AB4E4F">
            <w:pPr>
              <w:jc w:val="both"/>
              <w:rPr>
                <w:rFonts w:eastAsia="Calibri"/>
                <w:sz w:val="20"/>
                <w:lang w:val="fr-CA"/>
              </w:rPr>
            </w:pPr>
            <w:r w:rsidRPr="007966AB">
              <w:rPr>
                <w:rFonts w:eastAsia="Calibri"/>
                <w:sz w:val="20"/>
                <w:lang w:val="fr-CA"/>
              </w:rPr>
              <w:t>Cour suprême de la Colombie-Britannique (Juge Silverman)</w:t>
            </w:r>
          </w:p>
          <w:p w:rsidR="00C87F01" w:rsidRPr="007966AB" w:rsidRDefault="00F677DC" w:rsidP="00AB4E4F">
            <w:pPr>
              <w:jc w:val="both"/>
              <w:rPr>
                <w:rFonts w:eastAsia="Calibri"/>
                <w:sz w:val="20"/>
                <w:lang w:val="fr-CA"/>
              </w:rPr>
            </w:pPr>
            <w:hyperlink r:id="rId49" w:history="1">
              <w:r w:rsidR="00C87F01" w:rsidRPr="00D30537">
                <w:rPr>
                  <w:rFonts w:eastAsia="Calibri"/>
                  <w:color w:val="0000FF"/>
                  <w:sz w:val="20"/>
                  <w:u w:val="single"/>
                  <w:lang w:val="fr-CA"/>
                </w:rPr>
                <w:t>2013 BCSC 198</w:t>
              </w:r>
            </w:hyperlink>
          </w:p>
          <w:p w:rsidR="00C87F01" w:rsidRPr="007966AB" w:rsidRDefault="00C87F01" w:rsidP="00AB4E4F">
            <w:pPr>
              <w:jc w:val="both"/>
              <w:rPr>
                <w:rFonts w:eastAsia="Calibri"/>
                <w:sz w:val="20"/>
                <w:lang w:val="fr-CA"/>
              </w:rPr>
            </w:pPr>
          </w:p>
          <w:p w:rsidR="00C87F01" w:rsidRPr="007966AB" w:rsidRDefault="00C87F01" w:rsidP="00AB4E4F">
            <w:pPr>
              <w:jc w:val="both"/>
              <w:rPr>
                <w:rFonts w:eastAsia="Calibri"/>
                <w:sz w:val="20"/>
                <w:lang w:val="fr-CA"/>
              </w:rPr>
            </w:pPr>
          </w:p>
        </w:tc>
        <w:tc>
          <w:tcPr>
            <w:tcW w:w="243" w:type="pct"/>
          </w:tcPr>
          <w:p w:rsidR="00C87F01" w:rsidRPr="007966AB" w:rsidRDefault="00C87F01" w:rsidP="00AB4E4F">
            <w:pPr>
              <w:jc w:val="both"/>
              <w:rPr>
                <w:rFonts w:eastAsia="Calibri"/>
                <w:sz w:val="20"/>
                <w:lang w:val="fr-CA"/>
              </w:rPr>
            </w:pPr>
          </w:p>
        </w:tc>
        <w:tc>
          <w:tcPr>
            <w:tcW w:w="2330" w:type="pct"/>
          </w:tcPr>
          <w:p w:rsidR="00C87F01" w:rsidRPr="007966AB" w:rsidRDefault="00C87F01" w:rsidP="00AB4E4F">
            <w:pPr>
              <w:jc w:val="both"/>
              <w:rPr>
                <w:rFonts w:eastAsia="Calibri"/>
                <w:sz w:val="20"/>
                <w:lang w:val="fr-CA"/>
              </w:rPr>
            </w:pPr>
            <w:r w:rsidRPr="007966AB">
              <w:rPr>
                <w:rFonts w:eastAsia="Calibri"/>
                <w:sz w:val="20"/>
                <w:lang w:val="fr-CA"/>
              </w:rPr>
              <w:t xml:space="preserve">Requête en vue d’obtenir la suspension de la déclaration d’invalidité de l’art. 117 de la </w:t>
            </w:r>
            <w:r w:rsidRPr="007966AB">
              <w:rPr>
                <w:rFonts w:eastAsia="Calibri"/>
                <w:i/>
                <w:sz w:val="20"/>
                <w:lang w:val="fr-CA"/>
              </w:rPr>
              <w:t>Loi sur l’immigration et la protection des réfugiés</w:t>
            </w:r>
            <w:r w:rsidRPr="007966AB">
              <w:rPr>
                <w:rFonts w:eastAsia="Calibri"/>
                <w:sz w:val="20"/>
                <w:lang w:val="fr-CA"/>
              </w:rPr>
              <w:t xml:space="preserve">, accordée. </w:t>
            </w:r>
          </w:p>
          <w:p w:rsidR="00C87F01" w:rsidRPr="007966AB" w:rsidRDefault="00C87F01" w:rsidP="00AB4E4F">
            <w:pPr>
              <w:jc w:val="both"/>
              <w:rPr>
                <w:rFonts w:eastAsia="Calibri"/>
                <w:sz w:val="20"/>
                <w:lang w:val="fr-CA"/>
              </w:rPr>
            </w:pPr>
          </w:p>
          <w:p w:rsidR="00C87F01" w:rsidRPr="007966AB" w:rsidRDefault="00C87F01" w:rsidP="00AB4E4F">
            <w:pPr>
              <w:jc w:val="both"/>
              <w:rPr>
                <w:rFonts w:eastAsia="Calibri"/>
                <w:sz w:val="20"/>
                <w:lang w:val="fr-CA"/>
              </w:rPr>
            </w:pPr>
            <w:r w:rsidRPr="007966AB">
              <w:rPr>
                <w:rFonts w:eastAsia="Calibri"/>
                <w:sz w:val="20"/>
                <w:lang w:val="fr-CA"/>
              </w:rPr>
              <w:t xml:space="preserve">Actes d’accusation contre les demandeurs, annulés. </w:t>
            </w:r>
          </w:p>
          <w:p w:rsidR="00C87F01" w:rsidRPr="007966AB" w:rsidRDefault="00C87F01" w:rsidP="00AB4E4F">
            <w:pPr>
              <w:jc w:val="both"/>
              <w:rPr>
                <w:rFonts w:eastAsia="Calibri"/>
                <w:sz w:val="20"/>
                <w:lang w:val="fr-CA"/>
              </w:rPr>
            </w:pPr>
          </w:p>
        </w:tc>
      </w:tr>
      <w:tr w:rsidR="00C87F01" w:rsidRPr="00DA7379" w:rsidTr="00AB4E4F">
        <w:tc>
          <w:tcPr>
            <w:tcW w:w="2427" w:type="pct"/>
          </w:tcPr>
          <w:p w:rsidR="00C87F01" w:rsidRPr="007966AB" w:rsidRDefault="00C87F01" w:rsidP="00AB4E4F">
            <w:pPr>
              <w:jc w:val="both"/>
              <w:rPr>
                <w:rFonts w:eastAsia="Calibri"/>
                <w:sz w:val="20"/>
                <w:lang w:val="fr-CA"/>
              </w:rPr>
            </w:pPr>
            <w:r w:rsidRPr="007966AB">
              <w:rPr>
                <w:rFonts w:eastAsia="Calibri"/>
                <w:sz w:val="20"/>
                <w:lang w:val="fr-CA"/>
              </w:rPr>
              <w:t>30 avril 2014</w:t>
            </w:r>
          </w:p>
          <w:p w:rsidR="00C87F01" w:rsidRPr="007966AB" w:rsidRDefault="00C87F01" w:rsidP="00AB4E4F">
            <w:pPr>
              <w:jc w:val="both"/>
              <w:rPr>
                <w:rFonts w:eastAsia="Calibri"/>
                <w:sz w:val="20"/>
                <w:lang w:val="fr-CA"/>
              </w:rPr>
            </w:pPr>
            <w:r w:rsidRPr="007966AB">
              <w:rPr>
                <w:rFonts w:eastAsia="Calibri"/>
                <w:sz w:val="20"/>
                <w:lang w:val="fr-CA"/>
              </w:rPr>
              <w:t>Cour d’appel de la Colombie-Britannique (Vancouver)</w:t>
            </w:r>
          </w:p>
          <w:p w:rsidR="00C87F01" w:rsidRPr="007966AB" w:rsidRDefault="00C87F01" w:rsidP="00AB4E4F">
            <w:pPr>
              <w:jc w:val="both"/>
              <w:rPr>
                <w:rFonts w:eastAsia="Calibri"/>
                <w:sz w:val="20"/>
                <w:lang w:val="fr-CA"/>
              </w:rPr>
            </w:pPr>
            <w:r w:rsidRPr="007966AB">
              <w:rPr>
                <w:rFonts w:eastAsia="Calibri"/>
                <w:sz w:val="20"/>
                <w:lang w:val="fr-CA"/>
              </w:rPr>
              <w:t>(Juges Neilson, Bennett et Hinkson)</w:t>
            </w:r>
          </w:p>
          <w:p w:rsidR="00C87F01" w:rsidRPr="007966AB" w:rsidRDefault="00F677DC" w:rsidP="00AB4E4F">
            <w:pPr>
              <w:jc w:val="both"/>
              <w:rPr>
                <w:rFonts w:eastAsia="Calibri"/>
                <w:sz w:val="20"/>
                <w:lang w:val="fr-CA"/>
              </w:rPr>
            </w:pPr>
            <w:hyperlink r:id="rId50" w:history="1">
              <w:r w:rsidR="00C87F01" w:rsidRPr="00D30537">
                <w:rPr>
                  <w:rFonts w:eastAsia="Calibri"/>
                  <w:color w:val="0000FF"/>
                  <w:sz w:val="20"/>
                  <w:u w:val="single"/>
                  <w:lang w:val="fr-CA"/>
                </w:rPr>
                <w:t>2014 BCCA 163</w:t>
              </w:r>
            </w:hyperlink>
          </w:p>
          <w:p w:rsidR="00C87F01" w:rsidRPr="007966AB" w:rsidRDefault="00C87F01" w:rsidP="00AB4E4F">
            <w:pPr>
              <w:jc w:val="both"/>
              <w:rPr>
                <w:rFonts w:eastAsia="Calibri"/>
                <w:sz w:val="20"/>
                <w:lang w:val="fr-CA"/>
              </w:rPr>
            </w:pPr>
            <w:r w:rsidRPr="007966AB">
              <w:rPr>
                <w:rFonts w:eastAsia="Calibri"/>
                <w:sz w:val="20"/>
                <w:lang w:val="fr-CA"/>
              </w:rPr>
              <w:t>Dossiers: CA040592; CA040593; CA040594;</w:t>
            </w:r>
          </w:p>
          <w:p w:rsidR="00C87F01" w:rsidRPr="007966AB" w:rsidRDefault="00C87F01" w:rsidP="00AB4E4F">
            <w:pPr>
              <w:jc w:val="both"/>
              <w:rPr>
                <w:rFonts w:eastAsia="Calibri"/>
                <w:sz w:val="20"/>
              </w:rPr>
            </w:pPr>
            <w:r w:rsidRPr="007966AB">
              <w:rPr>
                <w:rFonts w:eastAsia="Calibri"/>
                <w:sz w:val="20"/>
              </w:rPr>
              <w:t xml:space="preserve">CA040595 </w:t>
            </w:r>
          </w:p>
          <w:p w:rsidR="00C87F01" w:rsidRPr="007966AB" w:rsidRDefault="00C87F01" w:rsidP="00AB4E4F">
            <w:pPr>
              <w:jc w:val="both"/>
              <w:rPr>
                <w:rFonts w:eastAsia="Calibri"/>
                <w:sz w:val="20"/>
              </w:rPr>
            </w:pPr>
          </w:p>
        </w:tc>
        <w:tc>
          <w:tcPr>
            <w:tcW w:w="243" w:type="pct"/>
          </w:tcPr>
          <w:p w:rsidR="00C87F01" w:rsidRPr="007966AB" w:rsidRDefault="00C87F01" w:rsidP="00AB4E4F">
            <w:pPr>
              <w:jc w:val="both"/>
              <w:rPr>
                <w:rFonts w:eastAsia="Calibri"/>
                <w:sz w:val="20"/>
              </w:rPr>
            </w:pPr>
          </w:p>
        </w:tc>
        <w:tc>
          <w:tcPr>
            <w:tcW w:w="2330" w:type="pct"/>
          </w:tcPr>
          <w:p w:rsidR="00C87F01" w:rsidRPr="007966AB" w:rsidRDefault="00C87F01" w:rsidP="00AB4E4F">
            <w:pPr>
              <w:jc w:val="both"/>
              <w:rPr>
                <w:rFonts w:eastAsia="Calibri"/>
                <w:sz w:val="20"/>
                <w:lang w:val="fr-CA"/>
              </w:rPr>
            </w:pPr>
            <w:r w:rsidRPr="007966AB">
              <w:rPr>
                <w:rFonts w:eastAsia="Calibri"/>
                <w:sz w:val="20"/>
                <w:lang w:val="fr-CA"/>
              </w:rPr>
              <w:t xml:space="preserve">Appels accueillis; acquittements infirmés et de nouveaux procès sont ordonnés </w:t>
            </w:r>
          </w:p>
          <w:p w:rsidR="00C87F01" w:rsidRPr="007966AB" w:rsidRDefault="00C87F01" w:rsidP="00AB4E4F">
            <w:pPr>
              <w:jc w:val="both"/>
              <w:rPr>
                <w:rFonts w:eastAsia="Calibri"/>
                <w:sz w:val="20"/>
                <w:lang w:val="fr-CA"/>
              </w:rPr>
            </w:pPr>
          </w:p>
        </w:tc>
      </w:tr>
      <w:tr w:rsidR="00C87F01" w:rsidRPr="007966AB" w:rsidTr="00AB4E4F">
        <w:tc>
          <w:tcPr>
            <w:tcW w:w="2427" w:type="pct"/>
          </w:tcPr>
          <w:p w:rsidR="00C87F01" w:rsidRPr="007966AB" w:rsidRDefault="00C87F01" w:rsidP="00AB4E4F">
            <w:pPr>
              <w:jc w:val="both"/>
              <w:rPr>
                <w:rFonts w:eastAsia="Calibri"/>
                <w:sz w:val="20"/>
                <w:lang w:val="fr-CA"/>
              </w:rPr>
            </w:pPr>
            <w:r w:rsidRPr="007966AB">
              <w:rPr>
                <w:rFonts w:eastAsia="Calibri"/>
                <w:sz w:val="20"/>
                <w:lang w:val="fr-CA"/>
              </w:rPr>
              <w:t>27 juin 2014</w:t>
            </w:r>
          </w:p>
          <w:p w:rsidR="00C87F01" w:rsidRPr="007966AB" w:rsidRDefault="00C87F01" w:rsidP="00AB4E4F">
            <w:pPr>
              <w:jc w:val="both"/>
              <w:rPr>
                <w:rFonts w:eastAsia="Calibri"/>
                <w:sz w:val="20"/>
                <w:lang w:val="fr-CA"/>
              </w:rPr>
            </w:pPr>
            <w:r w:rsidRPr="007966AB">
              <w:rPr>
                <w:rFonts w:eastAsia="Calibri"/>
                <w:sz w:val="20"/>
                <w:lang w:val="fr-CA"/>
              </w:rPr>
              <w:t>Cour suprême du Canada</w:t>
            </w:r>
          </w:p>
        </w:tc>
        <w:tc>
          <w:tcPr>
            <w:tcW w:w="243" w:type="pct"/>
          </w:tcPr>
          <w:p w:rsidR="00C87F01" w:rsidRPr="007966AB" w:rsidRDefault="00C87F01" w:rsidP="00AB4E4F">
            <w:pPr>
              <w:jc w:val="both"/>
              <w:rPr>
                <w:rFonts w:eastAsia="Calibri"/>
                <w:sz w:val="20"/>
                <w:lang w:val="fr-CA"/>
              </w:rPr>
            </w:pPr>
          </w:p>
        </w:tc>
        <w:tc>
          <w:tcPr>
            <w:tcW w:w="2330" w:type="pct"/>
          </w:tcPr>
          <w:p w:rsidR="00C87F01" w:rsidRPr="007966AB" w:rsidRDefault="00C87F01" w:rsidP="00AB4E4F">
            <w:pPr>
              <w:jc w:val="both"/>
              <w:rPr>
                <w:rFonts w:eastAsia="Calibri"/>
                <w:sz w:val="20"/>
              </w:rPr>
            </w:pPr>
            <w:r w:rsidRPr="007966AB">
              <w:rPr>
                <w:rFonts w:eastAsia="Calibri"/>
                <w:sz w:val="20"/>
              </w:rPr>
              <w:t xml:space="preserve">Demande d’autorisation d’appel déposée </w:t>
            </w:r>
          </w:p>
          <w:p w:rsidR="00C87F01" w:rsidRPr="007966AB" w:rsidRDefault="00C87F01" w:rsidP="00AB4E4F">
            <w:pPr>
              <w:jc w:val="both"/>
              <w:rPr>
                <w:rFonts w:eastAsia="Calibri"/>
                <w:sz w:val="20"/>
              </w:rPr>
            </w:pPr>
          </w:p>
        </w:tc>
      </w:tr>
    </w:tbl>
    <w:p w:rsidR="00185470" w:rsidRDefault="00185470" w:rsidP="00185470">
      <w:pPr>
        <w:rPr>
          <w:sz w:val="20"/>
          <w:szCs w:val="20"/>
        </w:rPr>
      </w:pPr>
    </w:p>
    <w:p w:rsidR="00185470" w:rsidRDefault="00F677DC" w:rsidP="00185470">
      <w:pPr>
        <w:rPr>
          <w:sz w:val="20"/>
          <w:szCs w:val="20"/>
        </w:rPr>
      </w:pPr>
      <w:r>
        <w:rPr>
          <w:sz w:val="20"/>
          <w:szCs w:val="20"/>
          <w:lang w:val="fr-CA"/>
        </w:rPr>
        <w:pict>
          <v:rect id="_x0000_i1076" style="width:2in;height:1pt" o:hrpct="0" o:hralign="center" o:hrstd="t" o:hrnoshade="t" o:hr="t" fillcolor="black [3213]" stroked="f"/>
        </w:pict>
      </w:r>
    </w:p>
    <w:p w:rsidR="00185470" w:rsidRDefault="00185470" w:rsidP="00185470">
      <w:pPr>
        <w:rPr>
          <w:sz w:val="20"/>
          <w:szCs w:val="20"/>
        </w:rPr>
      </w:pPr>
    </w:p>
    <w:tbl>
      <w:tblPr>
        <w:tblStyle w:val="TableGrid1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34E7B" w:rsidRPr="00834E7B" w:rsidTr="003D0C01">
        <w:trPr>
          <w:cantSplit/>
        </w:trPr>
        <w:tc>
          <w:tcPr>
            <w:tcW w:w="1458" w:type="dxa"/>
          </w:tcPr>
          <w:p w:rsidR="00834E7B" w:rsidRPr="00834E7B" w:rsidRDefault="00834E7B" w:rsidP="00834E7B">
            <w:pPr>
              <w:rPr>
                <w:sz w:val="20"/>
                <w:szCs w:val="20"/>
              </w:rPr>
            </w:pPr>
            <w:r w:rsidRPr="00834E7B">
              <w:rPr>
                <w:b/>
                <w:sz w:val="20"/>
                <w:lang w:val="fr-CA"/>
              </w:rPr>
              <w:t>35965</w:t>
            </w:r>
          </w:p>
          <w:p w:rsidR="00834E7B" w:rsidRPr="00834E7B" w:rsidRDefault="00834E7B" w:rsidP="00834E7B">
            <w:pPr>
              <w:rPr>
                <w:b/>
                <w:sz w:val="20"/>
                <w:szCs w:val="20"/>
                <w:lang w:val="fr-CA"/>
              </w:rPr>
            </w:pPr>
          </w:p>
        </w:tc>
        <w:tc>
          <w:tcPr>
            <w:tcW w:w="8118" w:type="dxa"/>
          </w:tcPr>
          <w:p w:rsidR="00834E7B" w:rsidRPr="00834E7B" w:rsidRDefault="00834E7B" w:rsidP="00834E7B">
            <w:pPr>
              <w:rPr>
                <w:sz w:val="20"/>
                <w:szCs w:val="20"/>
              </w:rPr>
            </w:pPr>
            <w:r w:rsidRPr="00834E7B">
              <w:rPr>
                <w:b/>
                <w:sz w:val="20"/>
                <w:u w:val="single"/>
              </w:rPr>
              <w:t>Noël Ayangma v. Prince Edward Island Teachers</w:t>
            </w:r>
            <w:r w:rsidR="005009A6">
              <w:rPr>
                <w:b/>
                <w:sz w:val="20"/>
                <w:u w:val="single"/>
              </w:rPr>
              <w:t>’</w:t>
            </w:r>
            <w:r w:rsidRPr="00834E7B">
              <w:rPr>
                <w:b/>
                <w:sz w:val="20"/>
                <w:u w:val="single"/>
              </w:rPr>
              <w:t xml:space="preserve"> Federation</w:t>
            </w:r>
            <w:r w:rsidRPr="00834E7B">
              <w:rPr>
                <w:sz w:val="20"/>
                <w:szCs w:val="20"/>
              </w:rPr>
              <w:t xml:space="preserve"> (P.E.I.) (Civil) (By Leave)</w:t>
            </w:r>
          </w:p>
          <w:p w:rsidR="00834E7B" w:rsidRPr="00834E7B" w:rsidRDefault="00834E7B" w:rsidP="00834E7B">
            <w:pPr>
              <w:rPr>
                <w:sz w:val="20"/>
                <w:szCs w:val="20"/>
              </w:rPr>
            </w:pPr>
          </w:p>
        </w:tc>
      </w:tr>
      <w:tr w:rsidR="00834E7B" w:rsidRPr="00834E7B" w:rsidTr="003D0C01">
        <w:trPr>
          <w:cantSplit/>
        </w:trPr>
        <w:tc>
          <w:tcPr>
            <w:tcW w:w="1458" w:type="dxa"/>
          </w:tcPr>
          <w:p w:rsidR="00834E7B" w:rsidRPr="00834E7B" w:rsidRDefault="00834E7B" w:rsidP="00834E7B">
            <w:pPr>
              <w:rPr>
                <w:sz w:val="20"/>
                <w:szCs w:val="20"/>
              </w:rPr>
            </w:pPr>
            <w:r w:rsidRPr="00834E7B">
              <w:rPr>
                <w:sz w:val="20"/>
                <w:szCs w:val="20"/>
              </w:rPr>
              <w:t>Coram :</w:t>
            </w:r>
          </w:p>
        </w:tc>
        <w:tc>
          <w:tcPr>
            <w:tcW w:w="8118" w:type="dxa"/>
          </w:tcPr>
          <w:p w:rsidR="00834E7B" w:rsidRPr="00834E7B" w:rsidRDefault="00834E7B" w:rsidP="00834E7B">
            <w:pPr>
              <w:rPr>
                <w:sz w:val="20"/>
                <w:szCs w:val="20"/>
              </w:rPr>
            </w:pPr>
            <w:r w:rsidRPr="00834E7B">
              <w:rPr>
                <w:sz w:val="20"/>
                <w:u w:val="single"/>
              </w:rPr>
              <w:t>McLachlin C.J. and Cromwell and Wagner JJ.</w:t>
            </w:r>
          </w:p>
          <w:p w:rsidR="00834E7B" w:rsidRPr="00834E7B" w:rsidRDefault="00834E7B" w:rsidP="00834E7B">
            <w:pPr>
              <w:rPr>
                <w:sz w:val="20"/>
                <w:szCs w:val="20"/>
                <w:u w:val="single"/>
              </w:rPr>
            </w:pPr>
          </w:p>
        </w:tc>
      </w:tr>
      <w:tr w:rsidR="00834E7B" w:rsidRPr="00DA7379" w:rsidTr="003D0C01">
        <w:trPr>
          <w:cantSplit/>
        </w:trPr>
        <w:tc>
          <w:tcPr>
            <w:tcW w:w="9576" w:type="dxa"/>
            <w:gridSpan w:val="2"/>
          </w:tcPr>
          <w:p w:rsidR="00834E7B" w:rsidRPr="00834E7B" w:rsidRDefault="00834E7B" w:rsidP="00834E7B">
            <w:pPr>
              <w:ind w:firstLine="720"/>
              <w:jc w:val="both"/>
              <w:rPr>
                <w:sz w:val="20"/>
                <w:szCs w:val="20"/>
              </w:rPr>
            </w:pPr>
            <w:r w:rsidRPr="00834E7B">
              <w:rPr>
                <w:sz w:val="20"/>
                <w:szCs w:val="20"/>
              </w:rPr>
              <w:t>The application for leave to appeal from the judgment of the Prince Edward Island Court of Appeal, Number S1-CA-1272, 2014 PECA 9, dated May 15, 2014, is dismissed with costs.</w:t>
            </w:r>
          </w:p>
          <w:p w:rsidR="00834E7B" w:rsidRPr="00834E7B" w:rsidRDefault="00834E7B" w:rsidP="00834E7B">
            <w:pPr>
              <w:jc w:val="both"/>
              <w:rPr>
                <w:sz w:val="20"/>
                <w:szCs w:val="20"/>
              </w:rPr>
            </w:pPr>
          </w:p>
          <w:p w:rsidR="00834E7B" w:rsidRPr="00834E7B" w:rsidRDefault="00834E7B" w:rsidP="00834E7B">
            <w:pPr>
              <w:ind w:firstLine="720"/>
              <w:jc w:val="both"/>
              <w:rPr>
                <w:sz w:val="20"/>
                <w:szCs w:val="20"/>
                <w:lang w:val="fr-CA"/>
              </w:rPr>
            </w:pPr>
            <w:r w:rsidRPr="00834E7B">
              <w:rPr>
                <w:sz w:val="20"/>
                <w:szCs w:val="20"/>
                <w:lang w:val="fr-CA"/>
              </w:rPr>
              <w:t>La demande d’autorisation d’appel de l’arrêt de la Cour d’appel de l’Île-du-Prince-Édouard, numéro S1-CA-1272, 2014 PECA 9, daté du 15 mai 2014, est rejetée avec dépens.</w:t>
            </w:r>
          </w:p>
        </w:tc>
      </w:tr>
    </w:tbl>
    <w:p w:rsidR="002245C6" w:rsidRPr="0016547E" w:rsidRDefault="002245C6" w:rsidP="002245C6">
      <w:pPr>
        <w:rPr>
          <w:sz w:val="20"/>
          <w:szCs w:val="20"/>
          <w:lang w:val="fr-CA"/>
        </w:rPr>
      </w:pPr>
    </w:p>
    <w:p w:rsidR="002245C6" w:rsidRPr="001B157C" w:rsidRDefault="002245C6" w:rsidP="002245C6">
      <w:pPr>
        <w:rPr>
          <w:sz w:val="20"/>
          <w:szCs w:val="20"/>
          <w:u w:val="single"/>
        </w:rPr>
      </w:pPr>
      <w:r w:rsidRPr="001B157C">
        <w:rPr>
          <w:sz w:val="20"/>
          <w:szCs w:val="20"/>
          <w:u w:val="single"/>
        </w:rPr>
        <w:t>CASE SUMMARY</w:t>
      </w:r>
    </w:p>
    <w:p w:rsidR="002245C6" w:rsidRDefault="002245C6" w:rsidP="002245C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C1621" w:rsidRPr="00330CC4" w:rsidTr="007732B1">
        <w:tc>
          <w:tcPr>
            <w:tcW w:w="5000" w:type="pct"/>
            <w:gridSpan w:val="3"/>
          </w:tcPr>
          <w:p w:rsidR="008C1621" w:rsidRPr="00330CC4" w:rsidRDefault="008C1621" w:rsidP="007732B1">
            <w:pPr>
              <w:jc w:val="both"/>
              <w:rPr>
                <w:rFonts w:eastAsia="Calibri"/>
                <w:sz w:val="20"/>
              </w:rPr>
            </w:pPr>
            <w:r w:rsidRPr="00330CC4">
              <w:rPr>
                <w:rFonts w:eastAsia="Calibri"/>
                <w:sz w:val="20"/>
              </w:rPr>
              <w:t>Judgments and orders – Summary judgment – Applicant suing respondent union for breach of duty of fair representation for failing to file grievances on his behalf against his employer –  Applicant purportedly settling action against employer and having signed a release – Union taking position that release was a bar to grievance procedure – Applicant and union both applying for summary judgment – Whether motions judge granted respondent’s motion without either hearing respondent’s motion or giving applicant fundamental right to be heard – Whether motions judge erred in ignoring prohibition in Rule 50.03 against use of pre-trial material as a basis for granting summary judgment to a party.</w:t>
            </w:r>
          </w:p>
        </w:tc>
      </w:tr>
      <w:tr w:rsidR="008C1621" w:rsidRPr="00330CC4" w:rsidTr="007732B1">
        <w:tc>
          <w:tcPr>
            <w:tcW w:w="5000" w:type="pct"/>
            <w:gridSpan w:val="3"/>
          </w:tcPr>
          <w:p w:rsidR="008C1621" w:rsidRPr="00330CC4" w:rsidRDefault="008C1621" w:rsidP="007732B1">
            <w:pPr>
              <w:jc w:val="both"/>
              <w:rPr>
                <w:rFonts w:eastAsia="Calibri"/>
                <w:sz w:val="20"/>
              </w:rPr>
            </w:pPr>
          </w:p>
        </w:tc>
      </w:tr>
      <w:tr w:rsidR="008C1621" w:rsidRPr="00330CC4" w:rsidTr="007732B1">
        <w:tc>
          <w:tcPr>
            <w:tcW w:w="5000" w:type="pct"/>
            <w:gridSpan w:val="3"/>
          </w:tcPr>
          <w:p w:rsidR="008C1621" w:rsidRPr="00330CC4" w:rsidRDefault="008C1621" w:rsidP="007732B1">
            <w:pPr>
              <w:jc w:val="both"/>
              <w:rPr>
                <w:rFonts w:eastAsia="Calibri"/>
                <w:sz w:val="20"/>
              </w:rPr>
            </w:pPr>
            <w:r w:rsidRPr="00330CC4">
              <w:rPr>
                <w:rFonts w:eastAsia="Calibri"/>
                <w:sz w:val="20"/>
              </w:rPr>
              <w:lastRenderedPageBreak/>
              <w:t>In February 2012, Mr. Ayangma settled proceedings that he had commenced against his employer, the Eastern School District (“ESD”).  In accordance with the terms of settlement, Mr. Ayangma was paid the sum of approximately $370,000 in consideration for his releasing and discharging the ESD from all liability arising from his past and future actions and grievances.  He provided the Teachers’ Federation, his union and bargaining agent, with a copy of the release.  He then sought to have the Teachers’ Federation file two grievances against ESD on his behalf.  The Teachers’ Federation conducted an investigation, and after obtaining legal advice, determined that the grievances pertained to matters that were discharged by the release.  The Teachers’ Federation declined to file the grievances.  Mr. Ayangma commenced an action against the Teacher’s Federation, alleging that it had breached its duty of fair representation by failing to file the two grievances on his behalf against his employer.  Both parties then moved for summary judgment.</w:t>
            </w:r>
          </w:p>
          <w:p w:rsidR="008C1621" w:rsidRPr="00330CC4" w:rsidRDefault="008C1621" w:rsidP="007732B1">
            <w:pPr>
              <w:jc w:val="both"/>
              <w:rPr>
                <w:rFonts w:eastAsia="Calibri"/>
                <w:sz w:val="20"/>
              </w:rPr>
            </w:pPr>
          </w:p>
        </w:tc>
      </w:tr>
      <w:tr w:rsidR="008C1621" w:rsidRPr="00330CC4" w:rsidTr="007732B1">
        <w:tc>
          <w:tcPr>
            <w:tcW w:w="2427" w:type="pct"/>
          </w:tcPr>
          <w:p w:rsidR="008C1621" w:rsidRPr="00330CC4" w:rsidRDefault="008C1621" w:rsidP="007732B1">
            <w:pPr>
              <w:jc w:val="both"/>
              <w:rPr>
                <w:rFonts w:eastAsia="Calibri"/>
                <w:sz w:val="20"/>
              </w:rPr>
            </w:pPr>
            <w:r w:rsidRPr="00330CC4">
              <w:rPr>
                <w:rFonts w:eastAsia="Calibri"/>
                <w:sz w:val="20"/>
              </w:rPr>
              <w:t>June 28, 2013</w:t>
            </w:r>
          </w:p>
          <w:p w:rsidR="008C1621" w:rsidRPr="00330CC4" w:rsidRDefault="008C1621" w:rsidP="007732B1">
            <w:pPr>
              <w:jc w:val="both"/>
              <w:rPr>
                <w:rFonts w:eastAsia="Calibri"/>
                <w:sz w:val="20"/>
              </w:rPr>
            </w:pPr>
            <w:r w:rsidRPr="00330CC4">
              <w:rPr>
                <w:rFonts w:eastAsia="Calibri"/>
                <w:sz w:val="20"/>
              </w:rPr>
              <w:t>Supreme Court of Prince Edward Island, Trial Division</w:t>
            </w:r>
          </w:p>
          <w:p w:rsidR="008C1621" w:rsidRPr="00330CC4" w:rsidRDefault="008C1621" w:rsidP="007732B1">
            <w:pPr>
              <w:jc w:val="both"/>
              <w:rPr>
                <w:rFonts w:eastAsia="Calibri"/>
                <w:sz w:val="20"/>
              </w:rPr>
            </w:pPr>
            <w:r w:rsidRPr="00330CC4">
              <w:rPr>
                <w:rFonts w:eastAsia="Calibri"/>
                <w:sz w:val="20"/>
              </w:rPr>
              <w:t>(Mitchell J.)</w:t>
            </w:r>
          </w:p>
          <w:p w:rsidR="008C1621" w:rsidRPr="00330CC4" w:rsidRDefault="008C1621" w:rsidP="007732B1">
            <w:pPr>
              <w:jc w:val="both"/>
              <w:rPr>
                <w:rFonts w:eastAsia="Calibri"/>
                <w:sz w:val="20"/>
              </w:rPr>
            </w:pPr>
            <w:r w:rsidRPr="00330CC4">
              <w:rPr>
                <w:rFonts w:eastAsia="Calibri"/>
                <w:sz w:val="20"/>
              </w:rPr>
              <w:t>Unreported</w:t>
            </w:r>
          </w:p>
        </w:tc>
        <w:tc>
          <w:tcPr>
            <w:tcW w:w="243" w:type="pct"/>
          </w:tcPr>
          <w:p w:rsidR="008C1621" w:rsidRPr="00330CC4" w:rsidRDefault="008C1621" w:rsidP="007732B1">
            <w:pPr>
              <w:jc w:val="both"/>
              <w:rPr>
                <w:rFonts w:eastAsia="Calibri"/>
                <w:sz w:val="20"/>
              </w:rPr>
            </w:pPr>
          </w:p>
        </w:tc>
        <w:tc>
          <w:tcPr>
            <w:tcW w:w="2330" w:type="pct"/>
          </w:tcPr>
          <w:p w:rsidR="008C1621" w:rsidRPr="00330CC4" w:rsidRDefault="008C1621" w:rsidP="007732B1">
            <w:pPr>
              <w:jc w:val="both"/>
              <w:rPr>
                <w:rFonts w:eastAsia="Calibri"/>
                <w:sz w:val="20"/>
              </w:rPr>
            </w:pPr>
            <w:r w:rsidRPr="00330CC4">
              <w:rPr>
                <w:rFonts w:eastAsia="Calibri"/>
                <w:sz w:val="20"/>
              </w:rPr>
              <w:t>Respondent’s motion for summary judgment granted; Applicant’s motion for summary judgment dismissed; Applicant’s action dismissed</w:t>
            </w:r>
          </w:p>
          <w:p w:rsidR="008C1621" w:rsidRPr="00330CC4" w:rsidRDefault="008C1621" w:rsidP="007732B1">
            <w:pPr>
              <w:jc w:val="both"/>
              <w:rPr>
                <w:rFonts w:eastAsia="Calibri"/>
                <w:sz w:val="20"/>
              </w:rPr>
            </w:pPr>
          </w:p>
          <w:p w:rsidR="008C1621" w:rsidRPr="00330CC4" w:rsidRDefault="008C1621" w:rsidP="007732B1">
            <w:pPr>
              <w:jc w:val="both"/>
              <w:rPr>
                <w:rFonts w:eastAsia="Calibri"/>
                <w:sz w:val="20"/>
              </w:rPr>
            </w:pPr>
          </w:p>
        </w:tc>
      </w:tr>
      <w:tr w:rsidR="008C1621" w:rsidRPr="00330CC4" w:rsidTr="007732B1">
        <w:tc>
          <w:tcPr>
            <w:tcW w:w="2427" w:type="pct"/>
          </w:tcPr>
          <w:p w:rsidR="008C1621" w:rsidRPr="00330CC4" w:rsidRDefault="008C1621" w:rsidP="007732B1">
            <w:pPr>
              <w:jc w:val="both"/>
              <w:rPr>
                <w:rFonts w:eastAsia="Calibri"/>
                <w:sz w:val="20"/>
              </w:rPr>
            </w:pPr>
            <w:r w:rsidRPr="00330CC4">
              <w:rPr>
                <w:rFonts w:eastAsia="Calibri"/>
                <w:sz w:val="20"/>
              </w:rPr>
              <w:t>May 15, 2014</w:t>
            </w:r>
          </w:p>
          <w:p w:rsidR="008C1621" w:rsidRPr="00330CC4" w:rsidRDefault="008C1621" w:rsidP="007732B1">
            <w:pPr>
              <w:jc w:val="both"/>
              <w:rPr>
                <w:rFonts w:eastAsia="Calibri"/>
                <w:sz w:val="20"/>
              </w:rPr>
            </w:pPr>
            <w:r w:rsidRPr="00330CC4">
              <w:rPr>
                <w:rFonts w:eastAsia="Calibri"/>
                <w:sz w:val="20"/>
              </w:rPr>
              <w:t>Prince Edward Island Court of Appeal</w:t>
            </w:r>
          </w:p>
          <w:p w:rsidR="008C1621" w:rsidRPr="00330CC4" w:rsidRDefault="008C1621" w:rsidP="007732B1">
            <w:pPr>
              <w:jc w:val="both"/>
              <w:rPr>
                <w:rFonts w:eastAsia="Calibri"/>
                <w:sz w:val="20"/>
              </w:rPr>
            </w:pPr>
            <w:r w:rsidRPr="00330CC4">
              <w:rPr>
                <w:rFonts w:eastAsia="Calibri"/>
                <w:sz w:val="20"/>
              </w:rPr>
              <w:t>(Murphy, Jenkins and Key JJ.A.)</w:t>
            </w:r>
          </w:p>
          <w:p w:rsidR="008C1621" w:rsidRPr="00330CC4" w:rsidRDefault="00F677DC" w:rsidP="007732B1">
            <w:pPr>
              <w:jc w:val="both"/>
              <w:rPr>
                <w:rFonts w:eastAsia="Calibri"/>
                <w:sz w:val="20"/>
              </w:rPr>
            </w:pPr>
            <w:hyperlink r:id="rId51" w:history="1">
              <w:r w:rsidR="008C1621" w:rsidRPr="00330CC4">
                <w:rPr>
                  <w:rFonts w:eastAsia="Calibri"/>
                  <w:color w:val="0000FF"/>
                  <w:sz w:val="20"/>
                  <w:u w:val="single"/>
                </w:rPr>
                <w:t>2014 PECA 9</w:t>
              </w:r>
            </w:hyperlink>
          </w:p>
          <w:p w:rsidR="008C1621" w:rsidRPr="00330CC4" w:rsidRDefault="008C1621" w:rsidP="007732B1">
            <w:pPr>
              <w:jc w:val="both"/>
              <w:rPr>
                <w:rFonts w:eastAsia="Calibri"/>
                <w:sz w:val="20"/>
              </w:rPr>
            </w:pPr>
          </w:p>
        </w:tc>
        <w:tc>
          <w:tcPr>
            <w:tcW w:w="243" w:type="pct"/>
          </w:tcPr>
          <w:p w:rsidR="008C1621" w:rsidRPr="00330CC4" w:rsidRDefault="008C1621" w:rsidP="007732B1">
            <w:pPr>
              <w:jc w:val="both"/>
              <w:rPr>
                <w:rFonts w:eastAsia="Calibri"/>
                <w:sz w:val="20"/>
              </w:rPr>
            </w:pPr>
          </w:p>
        </w:tc>
        <w:tc>
          <w:tcPr>
            <w:tcW w:w="2330" w:type="pct"/>
          </w:tcPr>
          <w:p w:rsidR="008C1621" w:rsidRPr="00330CC4" w:rsidRDefault="008C1621" w:rsidP="007732B1">
            <w:pPr>
              <w:jc w:val="both"/>
              <w:rPr>
                <w:rFonts w:eastAsia="Calibri"/>
                <w:sz w:val="20"/>
              </w:rPr>
            </w:pPr>
            <w:r w:rsidRPr="00330CC4">
              <w:rPr>
                <w:rFonts w:eastAsia="Calibri"/>
                <w:sz w:val="20"/>
              </w:rPr>
              <w:t>Applicant’s appeal dismissed</w:t>
            </w:r>
          </w:p>
          <w:p w:rsidR="008C1621" w:rsidRPr="00330CC4" w:rsidRDefault="008C1621" w:rsidP="007732B1">
            <w:pPr>
              <w:jc w:val="both"/>
              <w:rPr>
                <w:rFonts w:eastAsia="Calibri"/>
                <w:sz w:val="20"/>
              </w:rPr>
            </w:pPr>
          </w:p>
        </w:tc>
      </w:tr>
      <w:tr w:rsidR="008C1621" w:rsidRPr="00330CC4" w:rsidTr="007732B1">
        <w:tc>
          <w:tcPr>
            <w:tcW w:w="2427" w:type="pct"/>
          </w:tcPr>
          <w:p w:rsidR="008C1621" w:rsidRPr="00330CC4" w:rsidRDefault="008C1621" w:rsidP="007732B1">
            <w:pPr>
              <w:jc w:val="both"/>
              <w:rPr>
                <w:rFonts w:eastAsia="Calibri"/>
                <w:sz w:val="20"/>
              </w:rPr>
            </w:pPr>
            <w:r w:rsidRPr="00330CC4">
              <w:rPr>
                <w:rFonts w:eastAsia="Calibri"/>
                <w:sz w:val="20"/>
              </w:rPr>
              <w:t>June 19, 2014</w:t>
            </w:r>
          </w:p>
          <w:p w:rsidR="008C1621" w:rsidRPr="00330CC4" w:rsidRDefault="008C1621" w:rsidP="007732B1">
            <w:pPr>
              <w:jc w:val="both"/>
              <w:rPr>
                <w:rFonts w:eastAsia="Calibri"/>
                <w:sz w:val="20"/>
              </w:rPr>
            </w:pPr>
            <w:r w:rsidRPr="00330CC4">
              <w:rPr>
                <w:rFonts w:eastAsia="Calibri"/>
                <w:sz w:val="20"/>
              </w:rPr>
              <w:t>Supreme Court of Canada</w:t>
            </w:r>
          </w:p>
        </w:tc>
        <w:tc>
          <w:tcPr>
            <w:tcW w:w="243" w:type="pct"/>
          </w:tcPr>
          <w:p w:rsidR="008C1621" w:rsidRPr="00330CC4" w:rsidRDefault="008C1621" w:rsidP="007732B1">
            <w:pPr>
              <w:jc w:val="both"/>
              <w:rPr>
                <w:rFonts w:eastAsia="Calibri"/>
                <w:sz w:val="20"/>
              </w:rPr>
            </w:pPr>
          </w:p>
        </w:tc>
        <w:tc>
          <w:tcPr>
            <w:tcW w:w="2330" w:type="pct"/>
          </w:tcPr>
          <w:p w:rsidR="008C1621" w:rsidRPr="00330CC4" w:rsidRDefault="008C1621" w:rsidP="007732B1">
            <w:pPr>
              <w:jc w:val="both"/>
              <w:rPr>
                <w:rFonts w:eastAsia="Calibri"/>
                <w:sz w:val="20"/>
              </w:rPr>
            </w:pPr>
            <w:r w:rsidRPr="00330CC4">
              <w:rPr>
                <w:rFonts w:eastAsia="Calibri"/>
                <w:sz w:val="20"/>
              </w:rPr>
              <w:t>Application for leave to appeal filed</w:t>
            </w:r>
          </w:p>
        </w:tc>
      </w:tr>
    </w:tbl>
    <w:p w:rsidR="002245C6" w:rsidRDefault="002245C6" w:rsidP="002245C6">
      <w:pPr>
        <w:rPr>
          <w:sz w:val="20"/>
          <w:szCs w:val="20"/>
        </w:rPr>
      </w:pPr>
    </w:p>
    <w:p w:rsidR="002245C6" w:rsidRPr="00C50A5C" w:rsidRDefault="00F677DC" w:rsidP="002245C6">
      <w:pPr>
        <w:rPr>
          <w:sz w:val="20"/>
          <w:szCs w:val="20"/>
        </w:rPr>
      </w:pPr>
      <w:r>
        <w:rPr>
          <w:sz w:val="20"/>
          <w:szCs w:val="20"/>
          <w:lang w:val="fr-CA"/>
        </w:rPr>
        <w:pict>
          <v:rect id="_x0000_i1077" style="width:2in;height:1pt" o:hrpct="0" o:hralign="center" o:hrstd="t" o:hrnoshade="t" o:hr="t" fillcolor="black [3213]" stroked="f"/>
        </w:pict>
      </w:r>
    </w:p>
    <w:p w:rsidR="002245C6" w:rsidRDefault="002245C6" w:rsidP="002245C6">
      <w:pPr>
        <w:rPr>
          <w:sz w:val="20"/>
          <w:szCs w:val="20"/>
        </w:rPr>
      </w:pPr>
    </w:p>
    <w:p w:rsidR="002245C6" w:rsidRPr="001B157C" w:rsidRDefault="002245C6" w:rsidP="002245C6">
      <w:pPr>
        <w:rPr>
          <w:sz w:val="20"/>
          <w:szCs w:val="20"/>
          <w:u w:val="single"/>
          <w:lang w:val="fr-CA"/>
        </w:rPr>
      </w:pPr>
      <w:r w:rsidRPr="001B157C">
        <w:rPr>
          <w:sz w:val="20"/>
          <w:szCs w:val="20"/>
          <w:u w:val="single"/>
          <w:lang w:val="fr-CA"/>
        </w:rPr>
        <w:t>RÉSUMÉ DE L’AFFAIRE</w:t>
      </w:r>
    </w:p>
    <w:p w:rsidR="002245C6" w:rsidRDefault="002245C6" w:rsidP="002245C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C1621" w:rsidRPr="00DA7379" w:rsidTr="007732B1">
        <w:tc>
          <w:tcPr>
            <w:tcW w:w="5000" w:type="pct"/>
            <w:gridSpan w:val="3"/>
          </w:tcPr>
          <w:p w:rsidR="008C1621" w:rsidRPr="00330CC4" w:rsidRDefault="008C1621" w:rsidP="007732B1">
            <w:pPr>
              <w:jc w:val="both"/>
              <w:rPr>
                <w:rFonts w:eastAsia="Calibri"/>
                <w:sz w:val="20"/>
                <w:lang w:val="fr-CA"/>
              </w:rPr>
            </w:pPr>
            <w:r w:rsidRPr="00330CC4">
              <w:rPr>
                <w:rFonts w:eastAsia="Calibri"/>
                <w:sz w:val="20"/>
                <w:lang w:val="fr-CA"/>
              </w:rPr>
              <w:t xml:space="preserve">Jugements et ordonnances – Jugement sommaire – Le demandeur a intenté une poursuite contre le syndicat intimé pour manquement à son devoir de juste représentation car le syndicat n’a pas déposé les griefs en son nom auprès de son employeur – Le demandeur a prétendument réglé la poursuite contre son employeur et signé une quittance – La position du syndicat : la quittance faisait obstacle à la procédure de grief – Le demandeur et le syndicat ont tous les deux demandé un jugement sommaire – Est-ce que le juge des requêtes a accordé la motion de l’intimé soit sans entendre la motion de l’intimé, soit sans accorder au demandeur son droit fondamental d’être entendu? – Est-ce que le juge des requêtes a commis une erreur en ignorant la prohibition de la règle 50.03 contre l’utilisation de documents obtenus en conférence préparatoire comme fondement pour accorder un jugement sommaire à une partie? </w:t>
            </w:r>
          </w:p>
        </w:tc>
      </w:tr>
      <w:tr w:rsidR="008C1621" w:rsidRPr="00DA7379" w:rsidTr="007732B1">
        <w:tc>
          <w:tcPr>
            <w:tcW w:w="5000" w:type="pct"/>
            <w:gridSpan w:val="3"/>
          </w:tcPr>
          <w:p w:rsidR="008C1621" w:rsidRPr="00330CC4" w:rsidRDefault="008C1621" w:rsidP="007732B1">
            <w:pPr>
              <w:jc w:val="both"/>
              <w:rPr>
                <w:rFonts w:eastAsia="Calibri"/>
                <w:sz w:val="20"/>
                <w:lang w:val="fr-CA"/>
              </w:rPr>
            </w:pPr>
          </w:p>
        </w:tc>
      </w:tr>
      <w:tr w:rsidR="008C1621" w:rsidRPr="00330CC4" w:rsidTr="007732B1">
        <w:tc>
          <w:tcPr>
            <w:tcW w:w="5000" w:type="pct"/>
            <w:gridSpan w:val="3"/>
          </w:tcPr>
          <w:p w:rsidR="008C1621" w:rsidRPr="00330CC4" w:rsidRDefault="008C1621" w:rsidP="007732B1">
            <w:pPr>
              <w:jc w:val="both"/>
              <w:rPr>
                <w:rFonts w:eastAsia="Calibri"/>
                <w:sz w:val="20"/>
                <w:lang w:val="fr-CA"/>
              </w:rPr>
            </w:pPr>
            <w:r w:rsidRPr="00330CC4">
              <w:rPr>
                <w:rFonts w:eastAsia="Calibri"/>
                <w:sz w:val="20"/>
                <w:lang w:val="fr-CA"/>
              </w:rPr>
              <w:t>En février 2012, Monsieur Ayangma a réglé la poursuite qu’il avait intentée contre son employeur, l’Eastern School District (“ESD”).  En conformité avec les termes de ce règlement, Monsieur Ayangma a reçu une somme approximative de 370 000 $ en contrepartie de sa signature de la quittance en faveur d’ESD de toute responsabilité découlant de ses gestes et griefs antérieurs et ultérieurs.  Il a remis une copie de la quittance à son syndicat (Prince Edward Island Teachers’ Federation) et à son agent négociateur.  Il a par la suite demandé au syndicat de déposer deux griefs en son nom contre l’ESD.  Le syndicat a mené une enquête et, après avoir obtenu un avis juridique, il a déterminé que les griefs concernaient des questions qui avaient été libérées par la quittance.  Le syndicat n’a pas déposé les griefs.  Monsieur Ayangma a intenté une poursuite contre le syndicat, alléguant que le syndicat avait manqué à son devoir de juste représentation à son égard en refusant de déposer les deux griefs en son nom contre son employeur.  Les deux parties ont demandé un jugement sommaire.</w:t>
            </w:r>
          </w:p>
          <w:p w:rsidR="008C1621" w:rsidRPr="00330CC4" w:rsidRDefault="008C1621" w:rsidP="007732B1">
            <w:pPr>
              <w:jc w:val="both"/>
              <w:rPr>
                <w:rFonts w:eastAsia="Calibri"/>
                <w:sz w:val="20"/>
                <w:lang w:val="fr-CA"/>
              </w:rPr>
            </w:pPr>
          </w:p>
        </w:tc>
      </w:tr>
      <w:tr w:rsidR="008C1621" w:rsidRPr="00DA7379" w:rsidTr="007732B1">
        <w:trPr>
          <w:cantSplit/>
        </w:trPr>
        <w:tc>
          <w:tcPr>
            <w:tcW w:w="2427" w:type="pct"/>
          </w:tcPr>
          <w:p w:rsidR="008C1621" w:rsidRPr="00330CC4" w:rsidRDefault="008C1621" w:rsidP="007732B1">
            <w:pPr>
              <w:jc w:val="both"/>
              <w:rPr>
                <w:rFonts w:eastAsia="Calibri"/>
                <w:sz w:val="20"/>
                <w:lang w:val="fr-CA"/>
              </w:rPr>
            </w:pPr>
            <w:r w:rsidRPr="00330CC4">
              <w:rPr>
                <w:rFonts w:eastAsia="Calibri"/>
                <w:sz w:val="20"/>
                <w:lang w:val="fr-CA"/>
              </w:rPr>
              <w:lastRenderedPageBreak/>
              <w:t>28 juin 2013</w:t>
            </w:r>
          </w:p>
          <w:p w:rsidR="008C1621" w:rsidRPr="00330CC4" w:rsidRDefault="008C1621" w:rsidP="007732B1">
            <w:pPr>
              <w:jc w:val="both"/>
              <w:rPr>
                <w:rFonts w:eastAsia="Calibri"/>
                <w:sz w:val="20"/>
                <w:lang w:val="fr-CA"/>
              </w:rPr>
            </w:pPr>
            <w:r w:rsidRPr="00330CC4">
              <w:rPr>
                <w:rFonts w:eastAsia="Calibri"/>
                <w:sz w:val="20"/>
                <w:lang w:val="fr-CA"/>
              </w:rPr>
              <w:t>Cour suprême de l’Île-du-Prince-Édouard, section d’appel</w:t>
            </w:r>
          </w:p>
          <w:p w:rsidR="008C1621" w:rsidRPr="00330CC4" w:rsidRDefault="008C1621" w:rsidP="007732B1">
            <w:pPr>
              <w:jc w:val="both"/>
              <w:rPr>
                <w:rFonts w:eastAsia="Calibri"/>
                <w:sz w:val="20"/>
              </w:rPr>
            </w:pPr>
            <w:r w:rsidRPr="00330CC4">
              <w:rPr>
                <w:rFonts w:eastAsia="Calibri"/>
                <w:sz w:val="20"/>
              </w:rPr>
              <w:t>(Juge Mitchell)</w:t>
            </w:r>
          </w:p>
          <w:p w:rsidR="008C1621" w:rsidRPr="00330CC4" w:rsidRDefault="008C1621" w:rsidP="007732B1">
            <w:pPr>
              <w:jc w:val="both"/>
              <w:rPr>
                <w:rFonts w:eastAsia="Calibri"/>
                <w:sz w:val="20"/>
              </w:rPr>
            </w:pPr>
            <w:r w:rsidRPr="00330CC4">
              <w:rPr>
                <w:rFonts w:eastAsia="Calibri"/>
                <w:sz w:val="20"/>
              </w:rPr>
              <w:t>Non publié</w:t>
            </w:r>
          </w:p>
          <w:p w:rsidR="008C1621" w:rsidRPr="00330CC4" w:rsidRDefault="008C1621" w:rsidP="007732B1">
            <w:pPr>
              <w:jc w:val="both"/>
              <w:rPr>
                <w:rFonts w:eastAsia="Calibri"/>
                <w:sz w:val="20"/>
              </w:rPr>
            </w:pPr>
          </w:p>
        </w:tc>
        <w:tc>
          <w:tcPr>
            <w:tcW w:w="243" w:type="pct"/>
          </w:tcPr>
          <w:p w:rsidR="008C1621" w:rsidRPr="00330CC4" w:rsidRDefault="008C1621" w:rsidP="007732B1">
            <w:pPr>
              <w:jc w:val="both"/>
              <w:rPr>
                <w:rFonts w:eastAsia="Calibri"/>
                <w:sz w:val="20"/>
              </w:rPr>
            </w:pPr>
          </w:p>
        </w:tc>
        <w:tc>
          <w:tcPr>
            <w:tcW w:w="2330" w:type="pct"/>
          </w:tcPr>
          <w:p w:rsidR="008C1621" w:rsidRPr="00330CC4" w:rsidRDefault="008C1621" w:rsidP="007732B1">
            <w:pPr>
              <w:jc w:val="both"/>
              <w:rPr>
                <w:rFonts w:eastAsia="Calibri"/>
                <w:sz w:val="20"/>
                <w:lang w:val="fr-CA"/>
              </w:rPr>
            </w:pPr>
            <w:r w:rsidRPr="00330CC4">
              <w:rPr>
                <w:rFonts w:eastAsia="Calibri"/>
                <w:sz w:val="20"/>
                <w:lang w:val="fr-CA"/>
              </w:rPr>
              <w:t>Requête de l’intimé pour un jugement sommaire, accordée; Requête du demandeur pour un jugement sommaire, refusée; Demande du demandeur rejetée</w:t>
            </w:r>
          </w:p>
          <w:p w:rsidR="008C1621" w:rsidRPr="00330CC4" w:rsidRDefault="008C1621" w:rsidP="007732B1">
            <w:pPr>
              <w:jc w:val="both"/>
              <w:rPr>
                <w:rFonts w:eastAsia="Calibri"/>
                <w:sz w:val="20"/>
                <w:lang w:val="fr-CA"/>
              </w:rPr>
            </w:pPr>
          </w:p>
          <w:p w:rsidR="008C1621" w:rsidRPr="00330CC4" w:rsidRDefault="008C1621" w:rsidP="007732B1">
            <w:pPr>
              <w:jc w:val="both"/>
              <w:rPr>
                <w:rFonts w:eastAsia="Calibri"/>
                <w:sz w:val="20"/>
                <w:lang w:val="fr-CA"/>
              </w:rPr>
            </w:pPr>
          </w:p>
        </w:tc>
      </w:tr>
      <w:tr w:rsidR="008C1621" w:rsidRPr="00330CC4" w:rsidTr="007732B1">
        <w:trPr>
          <w:cantSplit/>
        </w:trPr>
        <w:tc>
          <w:tcPr>
            <w:tcW w:w="2427" w:type="pct"/>
          </w:tcPr>
          <w:p w:rsidR="008C1621" w:rsidRPr="00330CC4" w:rsidRDefault="008C1621" w:rsidP="007732B1">
            <w:pPr>
              <w:jc w:val="both"/>
              <w:rPr>
                <w:rFonts w:eastAsia="Calibri"/>
                <w:sz w:val="20"/>
                <w:lang w:val="fr-CA"/>
              </w:rPr>
            </w:pPr>
            <w:r w:rsidRPr="00330CC4">
              <w:rPr>
                <w:rFonts w:eastAsia="Calibri"/>
                <w:sz w:val="20"/>
                <w:lang w:val="fr-CA"/>
              </w:rPr>
              <w:t>15 mai 2014</w:t>
            </w:r>
          </w:p>
          <w:p w:rsidR="008C1621" w:rsidRPr="00330CC4" w:rsidRDefault="008C1621" w:rsidP="007732B1">
            <w:pPr>
              <w:jc w:val="both"/>
              <w:rPr>
                <w:rFonts w:eastAsia="Calibri"/>
                <w:sz w:val="20"/>
                <w:lang w:val="fr-CA"/>
              </w:rPr>
            </w:pPr>
            <w:r w:rsidRPr="00330CC4">
              <w:rPr>
                <w:rFonts w:eastAsia="Calibri"/>
                <w:sz w:val="20"/>
                <w:lang w:val="fr-CA"/>
              </w:rPr>
              <w:t xml:space="preserve">Cour d’appel de l’Île-du-Prince-Édouard </w:t>
            </w:r>
          </w:p>
          <w:p w:rsidR="008C1621" w:rsidRPr="00330CC4" w:rsidRDefault="008C1621" w:rsidP="007732B1">
            <w:pPr>
              <w:jc w:val="both"/>
              <w:rPr>
                <w:rFonts w:eastAsia="Calibri"/>
                <w:sz w:val="20"/>
                <w:lang w:val="fr-CA"/>
              </w:rPr>
            </w:pPr>
            <w:r w:rsidRPr="00330CC4">
              <w:rPr>
                <w:rFonts w:eastAsia="Calibri"/>
                <w:sz w:val="20"/>
                <w:lang w:val="fr-CA"/>
              </w:rPr>
              <w:t>(Juges Murphy, Jenkins et Key)</w:t>
            </w:r>
          </w:p>
          <w:p w:rsidR="008C1621" w:rsidRPr="00330CC4" w:rsidRDefault="00F677DC" w:rsidP="007732B1">
            <w:pPr>
              <w:jc w:val="both"/>
              <w:rPr>
                <w:rFonts w:eastAsia="Calibri"/>
                <w:sz w:val="20"/>
              </w:rPr>
            </w:pPr>
            <w:hyperlink r:id="rId52" w:history="1">
              <w:r w:rsidR="008C1621" w:rsidRPr="00330CC4">
                <w:rPr>
                  <w:rFonts w:eastAsia="Calibri"/>
                  <w:color w:val="0000FF"/>
                  <w:sz w:val="20"/>
                  <w:u w:val="single"/>
                </w:rPr>
                <w:t>2014 PECA 9</w:t>
              </w:r>
            </w:hyperlink>
          </w:p>
          <w:p w:rsidR="008C1621" w:rsidRPr="00330CC4" w:rsidRDefault="008C1621" w:rsidP="007732B1">
            <w:pPr>
              <w:jc w:val="both"/>
              <w:rPr>
                <w:rFonts w:eastAsia="Calibri"/>
                <w:sz w:val="20"/>
              </w:rPr>
            </w:pPr>
          </w:p>
        </w:tc>
        <w:tc>
          <w:tcPr>
            <w:tcW w:w="243" w:type="pct"/>
          </w:tcPr>
          <w:p w:rsidR="008C1621" w:rsidRPr="00330CC4" w:rsidRDefault="008C1621" w:rsidP="007732B1">
            <w:pPr>
              <w:jc w:val="both"/>
              <w:rPr>
                <w:rFonts w:eastAsia="Calibri"/>
                <w:sz w:val="20"/>
              </w:rPr>
            </w:pPr>
          </w:p>
        </w:tc>
        <w:tc>
          <w:tcPr>
            <w:tcW w:w="2330" w:type="pct"/>
          </w:tcPr>
          <w:p w:rsidR="008C1621" w:rsidRPr="00330CC4" w:rsidRDefault="008C1621" w:rsidP="007732B1">
            <w:pPr>
              <w:jc w:val="both"/>
              <w:rPr>
                <w:rFonts w:eastAsia="Calibri"/>
                <w:sz w:val="20"/>
              </w:rPr>
            </w:pPr>
            <w:r w:rsidRPr="00330CC4">
              <w:rPr>
                <w:rFonts w:eastAsia="Calibri"/>
                <w:sz w:val="20"/>
              </w:rPr>
              <w:t xml:space="preserve">Appel du demandeur rejeté </w:t>
            </w:r>
          </w:p>
          <w:p w:rsidR="008C1621" w:rsidRPr="00330CC4" w:rsidRDefault="008C1621" w:rsidP="007732B1">
            <w:pPr>
              <w:jc w:val="both"/>
              <w:rPr>
                <w:rFonts w:eastAsia="Calibri"/>
                <w:sz w:val="20"/>
              </w:rPr>
            </w:pPr>
          </w:p>
        </w:tc>
      </w:tr>
      <w:tr w:rsidR="008C1621" w:rsidRPr="00330CC4" w:rsidTr="007732B1">
        <w:trPr>
          <w:cantSplit/>
        </w:trPr>
        <w:tc>
          <w:tcPr>
            <w:tcW w:w="2427" w:type="pct"/>
          </w:tcPr>
          <w:p w:rsidR="008C1621" w:rsidRPr="00330CC4" w:rsidRDefault="008C1621" w:rsidP="007732B1">
            <w:pPr>
              <w:jc w:val="both"/>
              <w:rPr>
                <w:rFonts w:eastAsia="Calibri"/>
                <w:sz w:val="20"/>
                <w:lang w:val="fr-CA"/>
              </w:rPr>
            </w:pPr>
            <w:r w:rsidRPr="00330CC4">
              <w:rPr>
                <w:rFonts w:eastAsia="Calibri"/>
                <w:sz w:val="20"/>
                <w:lang w:val="fr-CA"/>
              </w:rPr>
              <w:t>19 juin 2014</w:t>
            </w:r>
          </w:p>
          <w:p w:rsidR="008C1621" w:rsidRPr="00330CC4" w:rsidRDefault="008C1621" w:rsidP="007732B1">
            <w:pPr>
              <w:jc w:val="both"/>
              <w:rPr>
                <w:rFonts w:eastAsia="Calibri"/>
                <w:sz w:val="20"/>
                <w:lang w:val="fr-CA"/>
              </w:rPr>
            </w:pPr>
            <w:r w:rsidRPr="00330CC4">
              <w:rPr>
                <w:rFonts w:eastAsia="Calibri"/>
                <w:sz w:val="20"/>
                <w:lang w:val="fr-CA"/>
              </w:rPr>
              <w:t>Cour suprême du Canada</w:t>
            </w:r>
          </w:p>
        </w:tc>
        <w:tc>
          <w:tcPr>
            <w:tcW w:w="243" w:type="pct"/>
          </w:tcPr>
          <w:p w:rsidR="008C1621" w:rsidRPr="00330CC4" w:rsidRDefault="008C1621" w:rsidP="007732B1">
            <w:pPr>
              <w:jc w:val="both"/>
              <w:rPr>
                <w:rFonts w:eastAsia="Calibri"/>
                <w:sz w:val="20"/>
                <w:lang w:val="fr-CA"/>
              </w:rPr>
            </w:pPr>
          </w:p>
        </w:tc>
        <w:tc>
          <w:tcPr>
            <w:tcW w:w="2330" w:type="pct"/>
          </w:tcPr>
          <w:p w:rsidR="008C1621" w:rsidRPr="00330CC4" w:rsidRDefault="008C1621" w:rsidP="007732B1">
            <w:pPr>
              <w:jc w:val="both"/>
              <w:rPr>
                <w:rFonts w:eastAsia="Calibri"/>
                <w:sz w:val="20"/>
              </w:rPr>
            </w:pPr>
            <w:r w:rsidRPr="00330CC4">
              <w:rPr>
                <w:rFonts w:eastAsia="Calibri"/>
                <w:sz w:val="20"/>
              </w:rPr>
              <w:t>Demande d’autorisation d’appel déposée</w:t>
            </w:r>
          </w:p>
        </w:tc>
      </w:tr>
    </w:tbl>
    <w:p w:rsidR="002245C6" w:rsidRDefault="002245C6" w:rsidP="002245C6">
      <w:pPr>
        <w:rPr>
          <w:sz w:val="20"/>
          <w:szCs w:val="20"/>
        </w:rPr>
      </w:pPr>
    </w:p>
    <w:p w:rsidR="002245C6" w:rsidRDefault="00F677DC" w:rsidP="002245C6">
      <w:pPr>
        <w:rPr>
          <w:sz w:val="20"/>
          <w:szCs w:val="20"/>
        </w:rPr>
      </w:pPr>
      <w:r>
        <w:rPr>
          <w:sz w:val="20"/>
          <w:szCs w:val="20"/>
          <w:lang w:val="fr-CA"/>
        </w:rPr>
        <w:pict>
          <v:rect id="_x0000_i1078" style="width:2in;height:1pt" o:hrpct="0" o:hralign="center" o:hrstd="t" o:hrnoshade="t" o:hr="t" fillcolor="black [3213]" stroked="f"/>
        </w:pict>
      </w:r>
    </w:p>
    <w:p w:rsidR="002245C6" w:rsidRDefault="002245C6" w:rsidP="002245C6">
      <w:pPr>
        <w:rPr>
          <w:sz w:val="20"/>
          <w:szCs w:val="20"/>
        </w:rPr>
      </w:pPr>
    </w:p>
    <w:p w:rsidR="00B55477" w:rsidRPr="00C50A5C" w:rsidRDefault="00B55477" w:rsidP="00B55477">
      <w:pPr>
        <w:rPr>
          <w:b/>
          <w:sz w:val="20"/>
          <w:szCs w:val="20"/>
        </w:rPr>
      </w:pPr>
      <w:r>
        <w:rPr>
          <w:b/>
          <w:sz w:val="20"/>
          <w:szCs w:val="20"/>
        </w:rPr>
        <w:t>OCTOBER 9</w:t>
      </w:r>
      <w:r w:rsidRPr="00C50A5C">
        <w:rPr>
          <w:b/>
          <w:sz w:val="20"/>
          <w:szCs w:val="20"/>
        </w:rPr>
        <w:t>, 201</w:t>
      </w:r>
      <w:r>
        <w:rPr>
          <w:b/>
          <w:sz w:val="20"/>
          <w:szCs w:val="20"/>
        </w:rPr>
        <w:t>4</w:t>
      </w:r>
      <w:r w:rsidRPr="00C50A5C">
        <w:rPr>
          <w:b/>
          <w:sz w:val="20"/>
          <w:szCs w:val="20"/>
        </w:rPr>
        <w:t xml:space="preserve"> / LE </w:t>
      </w:r>
      <w:r>
        <w:rPr>
          <w:b/>
          <w:sz w:val="20"/>
          <w:szCs w:val="20"/>
        </w:rPr>
        <w:t>9 OCTOBRE</w:t>
      </w:r>
      <w:r w:rsidRPr="00C50A5C">
        <w:rPr>
          <w:b/>
          <w:sz w:val="20"/>
          <w:szCs w:val="20"/>
        </w:rPr>
        <w:t xml:space="preserve"> 201</w:t>
      </w:r>
      <w:r>
        <w:rPr>
          <w:b/>
          <w:sz w:val="20"/>
          <w:szCs w:val="20"/>
        </w:rPr>
        <w:t>4</w:t>
      </w:r>
    </w:p>
    <w:p w:rsidR="00B55477" w:rsidRPr="005A6690" w:rsidRDefault="00B55477" w:rsidP="00B55477">
      <w:pPr>
        <w:tabs>
          <w:tab w:val="left" w:pos="288"/>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ind w:left="1728"/>
        <w:rPr>
          <w:rFonts w:eastAsia="PMingLiU"/>
          <w:sz w:val="20"/>
          <w:szCs w:val="20"/>
          <w:lang w:val="en-GB"/>
        </w:rPr>
      </w:pPr>
    </w:p>
    <w:p w:rsidR="00B55477" w:rsidRPr="005A6690" w:rsidRDefault="00B55477" w:rsidP="00B55477">
      <w:pPr>
        <w:jc w:val="both"/>
        <w:rPr>
          <w:rFonts w:eastAsia="PMingLiU"/>
          <w:sz w:val="20"/>
          <w:szCs w:val="20"/>
          <w:lang w:val="en-GB"/>
        </w:rPr>
      </w:pPr>
      <w:r w:rsidRPr="005A6690">
        <w:rPr>
          <w:rFonts w:eastAsia="PMingLiU"/>
          <w:sz w:val="20"/>
          <w:szCs w:val="20"/>
          <w:lang w:val="en-GB"/>
        </w:rPr>
        <w:t xml:space="preserve">The schedule for serving and filing the materials in </w:t>
      </w:r>
      <w:r w:rsidRPr="005A6690">
        <w:rPr>
          <w:rFonts w:eastAsia="PMingLiU"/>
          <w:i/>
          <w:iCs/>
          <w:sz w:val="20"/>
          <w:szCs w:val="20"/>
          <w:lang w:val="en-GB"/>
        </w:rPr>
        <w:t xml:space="preserve">Appulonappa et al. v. R. </w:t>
      </w:r>
      <w:r w:rsidRPr="005A6690">
        <w:rPr>
          <w:rFonts w:eastAsia="PMingLiU"/>
          <w:sz w:val="20"/>
          <w:szCs w:val="20"/>
          <w:lang w:val="en-GB"/>
        </w:rPr>
        <w:t>(File no. 35958) was set as follows by the Registrar:</w:t>
      </w:r>
    </w:p>
    <w:p w:rsidR="00B55477" w:rsidRPr="005A6690" w:rsidRDefault="00B55477" w:rsidP="00B55477">
      <w:pPr>
        <w:jc w:val="both"/>
        <w:rPr>
          <w:rFonts w:eastAsia="PMingLiU"/>
          <w:sz w:val="20"/>
          <w:szCs w:val="20"/>
          <w:lang w:val="en-GB"/>
        </w:rPr>
      </w:pPr>
    </w:p>
    <w:p w:rsidR="00B55477" w:rsidRPr="005A6690" w:rsidRDefault="00B55477" w:rsidP="00B55477">
      <w:pPr>
        <w:pStyle w:val="ListParagraph"/>
        <w:numPr>
          <w:ilvl w:val="0"/>
          <w:numId w:val="13"/>
        </w:numPr>
        <w:ind w:left="720" w:hanging="720"/>
        <w:jc w:val="both"/>
        <w:rPr>
          <w:rFonts w:eastAsia="PMingLiU" w:cs="Times New Roman"/>
          <w:sz w:val="20"/>
          <w:szCs w:val="20"/>
          <w:lang w:val="en-GB"/>
        </w:rPr>
      </w:pPr>
      <w:r w:rsidRPr="005A6690">
        <w:rPr>
          <w:rFonts w:eastAsia="PMingLiU" w:cs="Times New Roman"/>
          <w:sz w:val="20"/>
          <w:szCs w:val="20"/>
          <w:lang w:val="en-GB"/>
        </w:rPr>
        <w:t xml:space="preserve">The notice of appeal shall be served and filed </w:t>
      </w:r>
      <w:r w:rsidRPr="005A6690">
        <w:rPr>
          <w:rFonts w:cs="Times New Roman"/>
          <w:sz w:val="20"/>
          <w:szCs w:val="20"/>
        </w:rPr>
        <w:t>on or before</w:t>
      </w:r>
      <w:r w:rsidRPr="005A6690">
        <w:rPr>
          <w:rFonts w:eastAsia="PMingLiU" w:cs="Times New Roman"/>
          <w:sz w:val="20"/>
          <w:szCs w:val="20"/>
          <w:lang w:val="en-GB"/>
        </w:rPr>
        <w:t xml:space="preserve"> October 16, 2014.</w:t>
      </w:r>
    </w:p>
    <w:p w:rsidR="00B55477" w:rsidRPr="005A6690" w:rsidRDefault="00B55477" w:rsidP="00B55477">
      <w:pPr>
        <w:pStyle w:val="ListParagraph"/>
        <w:ind w:hanging="720"/>
        <w:jc w:val="both"/>
        <w:rPr>
          <w:rFonts w:eastAsia="PMingLiU" w:cs="Times New Roman"/>
          <w:sz w:val="20"/>
          <w:szCs w:val="20"/>
          <w:lang w:val="en-GB"/>
        </w:rPr>
      </w:pPr>
    </w:p>
    <w:p w:rsidR="00B55477" w:rsidRPr="005A6690" w:rsidRDefault="00B55477" w:rsidP="00B55477">
      <w:pPr>
        <w:pStyle w:val="ListParagraph"/>
        <w:numPr>
          <w:ilvl w:val="0"/>
          <w:numId w:val="13"/>
        </w:numPr>
        <w:ind w:left="720" w:hanging="720"/>
        <w:jc w:val="both"/>
        <w:rPr>
          <w:rFonts w:eastAsia="PMingLiU" w:cs="Times New Roman"/>
          <w:sz w:val="20"/>
          <w:szCs w:val="20"/>
          <w:lang w:val="en-GB"/>
        </w:rPr>
      </w:pPr>
      <w:r w:rsidRPr="005A6690">
        <w:rPr>
          <w:rFonts w:eastAsia="PMingLiU" w:cs="Times New Roman"/>
          <w:sz w:val="20"/>
          <w:szCs w:val="20"/>
          <w:lang w:val="en-GB"/>
        </w:rPr>
        <w:t xml:space="preserve">Any motion to state constitutional questions shall be served and filed </w:t>
      </w:r>
      <w:r w:rsidRPr="005A6690">
        <w:rPr>
          <w:rFonts w:cs="Times New Roman"/>
          <w:sz w:val="20"/>
          <w:szCs w:val="20"/>
        </w:rPr>
        <w:t>on or before</w:t>
      </w:r>
      <w:r w:rsidRPr="005A6690">
        <w:rPr>
          <w:rFonts w:eastAsia="PMingLiU" w:cs="Times New Roman"/>
          <w:sz w:val="20"/>
          <w:szCs w:val="20"/>
          <w:lang w:val="en-GB"/>
        </w:rPr>
        <w:t xml:space="preserve"> October 23, 2014.</w:t>
      </w:r>
    </w:p>
    <w:p w:rsidR="00B55477" w:rsidRPr="005A6690" w:rsidRDefault="00B55477" w:rsidP="00B55477">
      <w:pPr>
        <w:pStyle w:val="ListParagraph"/>
        <w:ind w:hanging="720"/>
        <w:jc w:val="both"/>
        <w:rPr>
          <w:rFonts w:eastAsia="PMingLiU" w:cs="Times New Roman"/>
          <w:sz w:val="20"/>
          <w:szCs w:val="20"/>
          <w:lang w:val="en-GB"/>
        </w:rPr>
      </w:pPr>
    </w:p>
    <w:p w:rsidR="00B55477" w:rsidRPr="005A6690" w:rsidRDefault="00B55477" w:rsidP="00B55477">
      <w:pPr>
        <w:pStyle w:val="ListParagraph"/>
        <w:numPr>
          <w:ilvl w:val="0"/>
          <w:numId w:val="13"/>
        </w:numPr>
        <w:ind w:left="720" w:hanging="720"/>
        <w:jc w:val="both"/>
        <w:rPr>
          <w:rFonts w:eastAsia="PMingLiU" w:cs="Times New Roman"/>
          <w:sz w:val="20"/>
          <w:szCs w:val="20"/>
          <w:lang w:val="en-GB"/>
        </w:rPr>
      </w:pPr>
      <w:r w:rsidRPr="005A6690">
        <w:rPr>
          <w:rFonts w:eastAsia="PMingLiU" w:cs="Times New Roman"/>
          <w:sz w:val="20"/>
          <w:szCs w:val="20"/>
          <w:lang w:val="en-GB"/>
        </w:rPr>
        <w:t xml:space="preserve">Responses to any motion to state constitutional questions shall be served and filed </w:t>
      </w:r>
      <w:r w:rsidRPr="005A6690">
        <w:rPr>
          <w:rFonts w:cs="Times New Roman"/>
          <w:sz w:val="20"/>
          <w:szCs w:val="20"/>
        </w:rPr>
        <w:t>on or before</w:t>
      </w:r>
      <w:r w:rsidRPr="005A6690">
        <w:rPr>
          <w:rFonts w:eastAsia="PMingLiU" w:cs="Times New Roman"/>
          <w:sz w:val="20"/>
          <w:szCs w:val="20"/>
          <w:lang w:val="en-GB"/>
        </w:rPr>
        <w:t xml:space="preserve"> October 28, 2014.</w:t>
      </w:r>
    </w:p>
    <w:p w:rsidR="00B55477" w:rsidRPr="005A6690" w:rsidRDefault="00B55477" w:rsidP="00B55477">
      <w:pPr>
        <w:pStyle w:val="ListParagraph"/>
        <w:ind w:hanging="720"/>
        <w:jc w:val="both"/>
        <w:rPr>
          <w:rFonts w:eastAsia="PMingLiU" w:cs="Times New Roman"/>
          <w:sz w:val="20"/>
          <w:szCs w:val="20"/>
          <w:lang w:val="en-GB"/>
        </w:rPr>
      </w:pPr>
    </w:p>
    <w:p w:rsidR="00B55477" w:rsidRPr="005A6690" w:rsidRDefault="00B55477" w:rsidP="00B55477">
      <w:pPr>
        <w:pStyle w:val="ListParagraph"/>
        <w:numPr>
          <w:ilvl w:val="0"/>
          <w:numId w:val="13"/>
        </w:numPr>
        <w:ind w:left="720" w:hanging="720"/>
        <w:jc w:val="both"/>
        <w:rPr>
          <w:rFonts w:eastAsia="PMingLiU" w:cs="Times New Roman"/>
          <w:sz w:val="20"/>
          <w:szCs w:val="20"/>
          <w:lang w:val="en-GB"/>
        </w:rPr>
      </w:pPr>
      <w:r w:rsidRPr="005A6690">
        <w:rPr>
          <w:rFonts w:eastAsia="PMingLiU" w:cs="Times New Roman"/>
          <w:sz w:val="20"/>
          <w:szCs w:val="20"/>
          <w:lang w:val="en-GB"/>
        </w:rPr>
        <w:t xml:space="preserve">Replies to any responses to a motion to state constitutional questions shall be served and filed </w:t>
      </w:r>
      <w:r w:rsidRPr="005A6690">
        <w:rPr>
          <w:rFonts w:cs="Times New Roman"/>
          <w:sz w:val="20"/>
          <w:szCs w:val="20"/>
        </w:rPr>
        <w:t>on or before</w:t>
      </w:r>
      <w:r w:rsidRPr="005A6690">
        <w:rPr>
          <w:rFonts w:eastAsia="PMingLiU" w:cs="Times New Roman"/>
          <w:sz w:val="20"/>
          <w:szCs w:val="20"/>
          <w:lang w:val="en-GB"/>
        </w:rPr>
        <w:t xml:space="preserve"> October 30, 2014.</w:t>
      </w:r>
    </w:p>
    <w:p w:rsidR="00B55477" w:rsidRPr="005A6690" w:rsidRDefault="00B55477" w:rsidP="00B55477">
      <w:pPr>
        <w:pStyle w:val="ListParagraph"/>
        <w:ind w:hanging="720"/>
        <w:jc w:val="both"/>
        <w:rPr>
          <w:rFonts w:eastAsia="PMingLiU" w:cs="Times New Roman"/>
          <w:sz w:val="20"/>
          <w:szCs w:val="20"/>
          <w:lang w:val="en-GB"/>
        </w:rPr>
      </w:pPr>
    </w:p>
    <w:p w:rsidR="00B55477" w:rsidRPr="005A6690" w:rsidRDefault="00B55477" w:rsidP="00B55477">
      <w:pPr>
        <w:pStyle w:val="ListParagraph"/>
        <w:numPr>
          <w:ilvl w:val="0"/>
          <w:numId w:val="13"/>
        </w:numPr>
        <w:ind w:left="720" w:hanging="720"/>
        <w:jc w:val="both"/>
        <w:rPr>
          <w:rFonts w:eastAsia="PMingLiU" w:cs="Times New Roman"/>
          <w:sz w:val="20"/>
          <w:szCs w:val="20"/>
          <w:lang w:val="en-GB"/>
        </w:rPr>
      </w:pPr>
      <w:r w:rsidRPr="005A6690">
        <w:rPr>
          <w:rFonts w:eastAsia="PMingLiU" w:cs="Times New Roman"/>
          <w:sz w:val="20"/>
          <w:szCs w:val="20"/>
          <w:lang w:val="en-GB"/>
        </w:rPr>
        <w:t xml:space="preserve">The appellants’ records, factums, and books of authorities shall be served and filed </w:t>
      </w:r>
      <w:r w:rsidRPr="005A6690">
        <w:rPr>
          <w:rFonts w:cs="Times New Roman"/>
          <w:sz w:val="20"/>
          <w:szCs w:val="20"/>
        </w:rPr>
        <w:t>on or before</w:t>
      </w:r>
      <w:r w:rsidRPr="005A6690">
        <w:rPr>
          <w:rFonts w:eastAsia="PMingLiU" w:cs="Times New Roman"/>
          <w:sz w:val="20"/>
          <w:szCs w:val="20"/>
          <w:lang w:val="en-GB"/>
        </w:rPr>
        <w:t xml:space="preserve"> December 9, 2014.</w:t>
      </w:r>
    </w:p>
    <w:p w:rsidR="00B55477" w:rsidRPr="005A6690" w:rsidRDefault="00B55477" w:rsidP="00B55477">
      <w:pPr>
        <w:pStyle w:val="ListParagraph"/>
        <w:ind w:hanging="720"/>
        <w:jc w:val="both"/>
        <w:rPr>
          <w:rFonts w:eastAsia="PMingLiU" w:cs="Times New Roman"/>
          <w:sz w:val="20"/>
          <w:szCs w:val="20"/>
          <w:lang w:val="en-GB"/>
        </w:rPr>
      </w:pPr>
    </w:p>
    <w:p w:rsidR="00B55477" w:rsidRPr="005A6690" w:rsidRDefault="00B55477" w:rsidP="00B55477">
      <w:pPr>
        <w:pStyle w:val="ListParagraph"/>
        <w:numPr>
          <w:ilvl w:val="0"/>
          <w:numId w:val="13"/>
        </w:numPr>
        <w:ind w:left="720" w:hanging="720"/>
        <w:jc w:val="both"/>
        <w:rPr>
          <w:rFonts w:eastAsia="PMingLiU" w:cs="Times New Roman"/>
          <w:sz w:val="20"/>
          <w:szCs w:val="20"/>
          <w:lang w:val="en-GB"/>
        </w:rPr>
      </w:pPr>
      <w:r w:rsidRPr="005A6690">
        <w:rPr>
          <w:rFonts w:cs="Times New Roman"/>
          <w:sz w:val="20"/>
          <w:szCs w:val="20"/>
        </w:rPr>
        <w:t xml:space="preserve">Any person wishing to intervene in this appeal under Rule 55 of the </w:t>
      </w:r>
      <w:r w:rsidRPr="005A6690">
        <w:rPr>
          <w:rFonts w:cs="Times New Roman"/>
          <w:i/>
          <w:sz w:val="20"/>
          <w:szCs w:val="20"/>
        </w:rPr>
        <w:t>Rules of the Supreme Court of Canada</w:t>
      </w:r>
      <w:r w:rsidRPr="005A6690">
        <w:rPr>
          <w:rFonts w:cs="Times New Roman"/>
          <w:sz w:val="20"/>
          <w:szCs w:val="20"/>
        </w:rPr>
        <w:t xml:space="preserve"> shall serve and file a motion for leave to intervene on or before December 23, 2014.</w:t>
      </w:r>
    </w:p>
    <w:p w:rsidR="00B55477" w:rsidRPr="005A6690" w:rsidRDefault="00B55477" w:rsidP="00B55477">
      <w:pPr>
        <w:pStyle w:val="ListParagraph"/>
        <w:ind w:hanging="720"/>
        <w:jc w:val="both"/>
        <w:rPr>
          <w:rFonts w:eastAsia="PMingLiU" w:cs="Times New Roman"/>
          <w:sz w:val="20"/>
          <w:szCs w:val="20"/>
          <w:lang w:val="en-GB"/>
        </w:rPr>
      </w:pPr>
    </w:p>
    <w:p w:rsidR="00B55477" w:rsidRPr="005A6690" w:rsidRDefault="00B55477" w:rsidP="00B55477">
      <w:pPr>
        <w:pStyle w:val="ListParagraph"/>
        <w:numPr>
          <w:ilvl w:val="0"/>
          <w:numId w:val="13"/>
        </w:numPr>
        <w:ind w:left="720" w:hanging="720"/>
        <w:jc w:val="both"/>
        <w:rPr>
          <w:rFonts w:eastAsia="PMingLiU" w:cs="Times New Roman"/>
          <w:sz w:val="20"/>
          <w:szCs w:val="20"/>
          <w:lang w:val="en-GB"/>
        </w:rPr>
      </w:pPr>
      <w:r w:rsidRPr="005A6690">
        <w:rPr>
          <w:rFonts w:cs="Times New Roman"/>
          <w:sz w:val="20"/>
          <w:szCs w:val="20"/>
        </w:rPr>
        <w:t>The appellants and respondent shall serve and file their responses, if any, to the motions for leave to intervene on or before December 30, 2014.</w:t>
      </w:r>
    </w:p>
    <w:p w:rsidR="00B55477" w:rsidRPr="005A6690" w:rsidRDefault="00B55477" w:rsidP="00B55477">
      <w:pPr>
        <w:pStyle w:val="ListParagraph"/>
        <w:ind w:hanging="720"/>
        <w:jc w:val="both"/>
        <w:rPr>
          <w:rFonts w:eastAsia="PMingLiU" w:cs="Times New Roman"/>
          <w:sz w:val="20"/>
          <w:szCs w:val="20"/>
          <w:lang w:val="en-GB"/>
        </w:rPr>
      </w:pPr>
    </w:p>
    <w:p w:rsidR="00B55477" w:rsidRPr="005A6690" w:rsidRDefault="00B55477" w:rsidP="00B55477">
      <w:pPr>
        <w:pStyle w:val="ListParagraph"/>
        <w:numPr>
          <w:ilvl w:val="0"/>
          <w:numId w:val="13"/>
        </w:numPr>
        <w:ind w:left="720" w:hanging="720"/>
        <w:jc w:val="both"/>
        <w:rPr>
          <w:rFonts w:eastAsia="PMingLiU" w:cs="Times New Roman"/>
          <w:sz w:val="20"/>
          <w:szCs w:val="20"/>
          <w:lang w:val="en-GB"/>
        </w:rPr>
      </w:pPr>
      <w:r w:rsidRPr="005A6690">
        <w:rPr>
          <w:rFonts w:cs="Times New Roman"/>
          <w:sz w:val="20"/>
          <w:szCs w:val="20"/>
        </w:rPr>
        <w:t>Replies to any responses to the motions for leave to intervene shall be served and filed on or before January 2, 2015.</w:t>
      </w:r>
    </w:p>
    <w:p w:rsidR="00B55477" w:rsidRPr="005A6690" w:rsidRDefault="00B55477" w:rsidP="00B55477">
      <w:pPr>
        <w:pStyle w:val="ListParagraph"/>
        <w:ind w:hanging="720"/>
        <w:jc w:val="both"/>
        <w:rPr>
          <w:rFonts w:eastAsia="PMingLiU" w:cs="Times New Roman"/>
          <w:sz w:val="20"/>
          <w:szCs w:val="20"/>
          <w:lang w:val="en-GB"/>
        </w:rPr>
      </w:pPr>
    </w:p>
    <w:p w:rsidR="00B55477" w:rsidRPr="005A6690" w:rsidRDefault="00B55477" w:rsidP="00B55477">
      <w:pPr>
        <w:pStyle w:val="ListParagraph"/>
        <w:numPr>
          <w:ilvl w:val="0"/>
          <w:numId w:val="13"/>
        </w:numPr>
        <w:ind w:left="720" w:hanging="720"/>
        <w:jc w:val="both"/>
        <w:rPr>
          <w:rFonts w:eastAsia="PMingLiU" w:cs="Times New Roman"/>
          <w:sz w:val="20"/>
          <w:szCs w:val="20"/>
          <w:lang w:val="en-GB"/>
        </w:rPr>
      </w:pPr>
      <w:r w:rsidRPr="005A6690">
        <w:rPr>
          <w:rFonts w:cs="Times New Roman"/>
          <w:sz w:val="20"/>
          <w:szCs w:val="20"/>
        </w:rPr>
        <w:t>The respondent’s record, factum and book of authorities shall be served and filed on or before January 20, 2015.</w:t>
      </w:r>
    </w:p>
    <w:p w:rsidR="00B55477" w:rsidRPr="005A6690" w:rsidRDefault="00B55477" w:rsidP="00B55477">
      <w:pPr>
        <w:pStyle w:val="ListParagraph"/>
        <w:ind w:hanging="720"/>
        <w:jc w:val="both"/>
        <w:rPr>
          <w:rFonts w:eastAsia="PMingLiU" w:cs="Times New Roman"/>
          <w:sz w:val="20"/>
          <w:szCs w:val="20"/>
          <w:lang w:val="en-GB"/>
        </w:rPr>
      </w:pPr>
    </w:p>
    <w:p w:rsidR="00B55477" w:rsidRPr="005A6690" w:rsidRDefault="00B55477" w:rsidP="00B55477">
      <w:pPr>
        <w:pStyle w:val="ListParagraph"/>
        <w:numPr>
          <w:ilvl w:val="0"/>
          <w:numId w:val="13"/>
        </w:numPr>
        <w:ind w:left="720" w:hanging="720"/>
        <w:jc w:val="both"/>
        <w:rPr>
          <w:rFonts w:eastAsia="PMingLiU" w:cs="Times New Roman"/>
          <w:sz w:val="20"/>
          <w:szCs w:val="20"/>
          <w:lang w:val="en-GB"/>
        </w:rPr>
      </w:pPr>
      <w:r w:rsidRPr="005A6690">
        <w:rPr>
          <w:rFonts w:eastAsia="PMingLiU" w:cs="Times New Roman"/>
          <w:sz w:val="20"/>
          <w:szCs w:val="20"/>
          <w:lang w:val="en-GB"/>
        </w:rPr>
        <w:t xml:space="preserve">Any interveners granted leave to intervene under Rule 59 of the </w:t>
      </w:r>
      <w:r w:rsidRPr="005A6690">
        <w:rPr>
          <w:rFonts w:eastAsia="PMingLiU" w:cs="Times New Roman"/>
          <w:i/>
          <w:sz w:val="20"/>
          <w:szCs w:val="20"/>
          <w:lang w:val="en-GB"/>
        </w:rPr>
        <w:t>Rules of the Supreme Court of Canada</w:t>
      </w:r>
      <w:r w:rsidRPr="005A6690">
        <w:rPr>
          <w:rFonts w:eastAsia="PMingLiU" w:cs="Times New Roman"/>
          <w:sz w:val="20"/>
          <w:szCs w:val="20"/>
          <w:lang w:val="en-GB"/>
        </w:rPr>
        <w:t xml:space="preserve"> shall serve and file their factum and book of authorities on or before February 2, 2015.</w:t>
      </w:r>
    </w:p>
    <w:p w:rsidR="00B55477" w:rsidRPr="005A6690" w:rsidRDefault="00B55477" w:rsidP="00B55477">
      <w:pPr>
        <w:pStyle w:val="ListParagraph"/>
        <w:ind w:hanging="720"/>
        <w:jc w:val="both"/>
        <w:rPr>
          <w:rFonts w:eastAsia="PMingLiU" w:cs="Times New Roman"/>
          <w:sz w:val="20"/>
          <w:szCs w:val="20"/>
          <w:lang w:val="en-GB"/>
        </w:rPr>
      </w:pPr>
    </w:p>
    <w:p w:rsidR="00B55477" w:rsidRPr="005A6690" w:rsidRDefault="00B55477" w:rsidP="00B55477">
      <w:pPr>
        <w:pStyle w:val="ListParagraph"/>
        <w:widowControl w:val="0"/>
        <w:numPr>
          <w:ilvl w:val="0"/>
          <w:numId w:val="13"/>
        </w:numPr>
        <w:autoSpaceDE w:val="0"/>
        <w:autoSpaceDN w:val="0"/>
        <w:adjustRightInd w:val="0"/>
        <w:ind w:left="720" w:hanging="720"/>
        <w:jc w:val="both"/>
        <w:rPr>
          <w:rFonts w:cs="Times New Roman"/>
          <w:sz w:val="20"/>
          <w:szCs w:val="20"/>
        </w:rPr>
      </w:pPr>
      <w:r w:rsidRPr="005A6690">
        <w:rPr>
          <w:rFonts w:cs="Times New Roman"/>
          <w:sz w:val="20"/>
          <w:szCs w:val="20"/>
        </w:rPr>
        <w:t xml:space="preserve">Any attorney general wishing to intervene pursuant to par. 61(4) of the </w:t>
      </w:r>
      <w:r w:rsidRPr="005A6690">
        <w:rPr>
          <w:rFonts w:cs="Times New Roman"/>
          <w:i/>
          <w:sz w:val="20"/>
          <w:szCs w:val="20"/>
        </w:rPr>
        <w:t>Rules of the Supreme Court of Canada</w:t>
      </w:r>
      <w:r w:rsidRPr="005A6690">
        <w:rPr>
          <w:rFonts w:cs="Times New Roman"/>
          <w:sz w:val="20"/>
          <w:szCs w:val="20"/>
        </w:rPr>
        <w:t xml:space="preserve"> shall serve and file their factum and book of authorities on or before February 2, 2015.</w:t>
      </w:r>
    </w:p>
    <w:p w:rsidR="00D54A7B" w:rsidRDefault="00D54A7B">
      <w:pPr>
        <w:rPr>
          <w:rFonts w:cs="Times New Roman"/>
          <w:sz w:val="20"/>
          <w:szCs w:val="20"/>
        </w:rPr>
      </w:pPr>
    </w:p>
    <w:p w:rsidR="00D54A7B" w:rsidRDefault="00D54A7B">
      <w:pPr>
        <w:rPr>
          <w:rFonts w:cs="Times New Roman"/>
          <w:sz w:val="20"/>
          <w:szCs w:val="20"/>
        </w:rPr>
      </w:pPr>
      <w:r>
        <w:rPr>
          <w:rFonts w:cs="Times New Roman"/>
          <w:sz w:val="20"/>
          <w:szCs w:val="20"/>
        </w:rPr>
        <w:br w:type="page"/>
      </w:r>
    </w:p>
    <w:p w:rsidR="00B55477" w:rsidRPr="005A6690" w:rsidRDefault="00B55477" w:rsidP="00B55477">
      <w:pPr>
        <w:pStyle w:val="ListParagraph"/>
        <w:widowControl w:val="0"/>
        <w:numPr>
          <w:ilvl w:val="0"/>
          <w:numId w:val="13"/>
        </w:numPr>
        <w:autoSpaceDE w:val="0"/>
        <w:autoSpaceDN w:val="0"/>
        <w:adjustRightInd w:val="0"/>
        <w:ind w:left="720" w:hanging="720"/>
        <w:jc w:val="both"/>
        <w:rPr>
          <w:rFonts w:cs="Times New Roman"/>
          <w:sz w:val="20"/>
          <w:szCs w:val="20"/>
        </w:rPr>
      </w:pPr>
      <w:r w:rsidRPr="005A6690">
        <w:rPr>
          <w:rFonts w:eastAsia="PMingLiU" w:cs="Times New Roman"/>
          <w:sz w:val="20"/>
          <w:szCs w:val="20"/>
          <w:lang w:val="en-GB"/>
        </w:rPr>
        <w:lastRenderedPageBreak/>
        <w:t>The appeal is scheduled to be heard on February 16 and 17, 2015.</w:t>
      </w:r>
    </w:p>
    <w:p w:rsidR="00B55477" w:rsidRPr="005A6690" w:rsidRDefault="00B55477" w:rsidP="00B55477">
      <w:pPr>
        <w:jc w:val="both"/>
        <w:rPr>
          <w:rFonts w:eastAsia="PMingLiU"/>
          <w:sz w:val="20"/>
          <w:szCs w:val="20"/>
        </w:rPr>
      </w:pPr>
    </w:p>
    <w:p w:rsidR="00B55477" w:rsidRPr="005A6690" w:rsidRDefault="00B55477" w:rsidP="00B55477">
      <w:pPr>
        <w:jc w:val="both"/>
        <w:rPr>
          <w:rFonts w:eastAsia="PMingLiU"/>
          <w:sz w:val="20"/>
          <w:szCs w:val="20"/>
        </w:rPr>
      </w:pPr>
    </w:p>
    <w:p w:rsidR="00B55477" w:rsidRPr="005A6690" w:rsidRDefault="00B55477" w:rsidP="00B55477">
      <w:pPr>
        <w:jc w:val="both"/>
        <w:rPr>
          <w:rFonts w:eastAsia="PMingLiU"/>
          <w:sz w:val="20"/>
          <w:szCs w:val="20"/>
          <w:lang w:val="en-GB"/>
        </w:rPr>
      </w:pPr>
    </w:p>
    <w:p w:rsidR="00B55477" w:rsidRPr="005A6690" w:rsidRDefault="00B55477" w:rsidP="00B55477">
      <w:pPr>
        <w:jc w:val="both"/>
        <w:rPr>
          <w:rFonts w:eastAsia="PMingLiU"/>
          <w:sz w:val="20"/>
          <w:szCs w:val="20"/>
          <w:lang w:val="fr-CA"/>
        </w:rPr>
      </w:pPr>
      <w:r w:rsidRPr="005A6690">
        <w:rPr>
          <w:rFonts w:eastAsia="PMingLiU"/>
          <w:sz w:val="20"/>
          <w:szCs w:val="20"/>
          <w:lang w:val="fr-CA"/>
        </w:rPr>
        <w:t xml:space="preserve">Le registraire a établi l’échéancier suivant pour la signification et le dépôt des documents dans le pourvoi </w:t>
      </w:r>
      <w:r w:rsidRPr="005A6690">
        <w:rPr>
          <w:rFonts w:eastAsia="PMingLiU"/>
          <w:i/>
          <w:iCs/>
          <w:sz w:val="20"/>
          <w:szCs w:val="20"/>
          <w:lang w:val="fr-CA"/>
        </w:rPr>
        <w:t xml:space="preserve">Appulonappa et autres c. R. </w:t>
      </w:r>
      <w:r w:rsidRPr="005A6690">
        <w:rPr>
          <w:rFonts w:eastAsia="PMingLiU"/>
          <w:sz w:val="20"/>
          <w:szCs w:val="20"/>
          <w:lang w:val="fr-CA"/>
        </w:rPr>
        <w:t>(Dossier n° 35958) :</w:t>
      </w:r>
    </w:p>
    <w:p w:rsidR="00B55477" w:rsidRPr="005A6690" w:rsidRDefault="00B55477" w:rsidP="00B55477">
      <w:pPr>
        <w:ind w:left="720" w:hanging="720"/>
        <w:jc w:val="both"/>
        <w:rPr>
          <w:rFonts w:eastAsia="PMingLiU"/>
          <w:sz w:val="20"/>
          <w:szCs w:val="20"/>
          <w:lang w:val="fr-CA"/>
        </w:rPr>
      </w:pPr>
    </w:p>
    <w:p w:rsidR="00B55477" w:rsidRPr="005A6690" w:rsidRDefault="00B55477" w:rsidP="00B55477">
      <w:pPr>
        <w:pStyle w:val="ListParagraph"/>
        <w:numPr>
          <w:ilvl w:val="0"/>
          <w:numId w:val="14"/>
        </w:numPr>
        <w:ind w:left="720"/>
        <w:jc w:val="both"/>
        <w:rPr>
          <w:rFonts w:eastAsia="PMingLiU"/>
          <w:sz w:val="20"/>
          <w:szCs w:val="20"/>
          <w:lang w:val="fr-CA"/>
        </w:rPr>
      </w:pPr>
      <w:r w:rsidRPr="005A6690">
        <w:rPr>
          <w:rFonts w:eastAsia="PMingLiU"/>
          <w:sz w:val="20"/>
          <w:szCs w:val="20"/>
          <w:lang w:val="fr-CA"/>
        </w:rPr>
        <w:t>L’avis d’appel sera signifié et déposé au plus tard le 16 octobre 2014.</w:t>
      </w:r>
    </w:p>
    <w:p w:rsidR="00B55477" w:rsidRPr="005A6690" w:rsidRDefault="00B55477" w:rsidP="00B55477">
      <w:pPr>
        <w:pStyle w:val="ListParagraph"/>
        <w:ind w:hanging="720"/>
        <w:jc w:val="both"/>
        <w:rPr>
          <w:rFonts w:eastAsia="PMingLiU"/>
          <w:sz w:val="20"/>
          <w:szCs w:val="20"/>
          <w:lang w:val="fr-CA"/>
        </w:rPr>
      </w:pPr>
    </w:p>
    <w:p w:rsidR="00B55477" w:rsidRPr="005A6690" w:rsidRDefault="00B55477" w:rsidP="00B55477">
      <w:pPr>
        <w:pStyle w:val="ListParagraph"/>
        <w:numPr>
          <w:ilvl w:val="0"/>
          <w:numId w:val="14"/>
        </w:numPr>
        <w:ind w:left="720"/>
        <w:jc w:val="both"/>
        <w:rPr>
          <w:rFonts w:eastAsia="PMingLiU"/>
          <w:sz w:val="20"/>
          <w:szCs w:val="20"/>
          <w:lang w:val="fr-CA"/>
        </w:rPr>
      </w:pPr>
      <w:r w:rsidRPr="005A6690">
        <w:rPr>
          <w:rFonts w:eastAsia="PMingLiU"/>
          <w:sz w:val="20"/>
          <w:szCs w:val="20"/>
          <w:lang w:val="fr-CA"/>
        </w:rPr>
        <w:t>La requête en formulation de questions constitutionnelles, s'il en est, sera signifiée et déposée au plus tard le 23 octobre 2014.</w:t>
      </w:r>
    </w:p>
    <w:p w:rsidR="00B55477" w:rsidRPr="005A6690" w:rsidRDefault="00B55477" w:rsidP="00B55477">
      <w:pPr>
        <w:pStyle w:val="ListParagraph"/>
        <w:ind w:hanging="720"/>
        <w:jc w:val="both"/>
        <w:rPr>
          <w:rFonts w:eastAsia="PMingLiU"/>
          <w:sz w:val="20"/>
          <w:szCs w:val="20"/>
          <w:lang w:val="fr-CA"/>
        </w:rPr>
      </w:pPr>
    </w:p>
    <w:p w:rsidR="00B55477" w:rsidRPr="005A6690" w:rsidRDefault="00B55477" w:rsidP="00B55477">
      <w:pPr>
        <w:pStyle w:val="ListParagraph"/>
        <w:numPr>
          <w:ilvl w:val="0"/>
          <w:numId w:val="14"/>
        </w:numPr>
        <w:ind w:left="720"/>
        <w:jc w:val="both"/>
        <w:rPr>
          <w:rFonts w:eastAsia="PMingLiU"/>
          <w:sz w:val="20"/>
          <w:szCs w:val="20"/>
          <w:lang w:val="fr-CA"/>
        </w:rPr>
      </w:pPr>
      <w:r w:rsidRPr="005A6690">
        <w:rPr>
          <w:rFonts w:eastAsia="PMingLiU"/>
          <w:sz w:val="20"/>
          <w:szCs w:val="20"/>
          <w:lang w:val="fr-CA"/>
        </w:rPr>
        <w:t>Les réponses à toute requête en formulation de questions constitutionnelles, s'il en est, seront signifiées et déposées au plus tard le 28 octobre 2014.</w:t>
      </w:r>
    </w:p>
    <w:p w:rsidR="00B55477" w:rsidRPr="005A6690" w:rsidRDefault="00B55477" w:rsidP="00B55477">
      <w:pPr>
        <w:pStyle w:val="ListParagraph"/>
        <w:ind w:hanging="720"/>
        <w:jc w:val="both"/>
        <w:rPr>
          <w:rFonts w:eastAsia="PMingLiU"/>
          <w:sz w:val="20"/>
          <w:szCs w:val="20"/>
          <w:lang w:val="fr-CA"/>
        </w:rPr>
      </w:pPr>
    </w:p>
    <w:p w:rsidR="00B55477" w:rsidRPr="005A6690" w:rsidRDefault="00B55477" w:rsidP="00B55477">
      <w:pPr>
        <w:pStyle w:val="ListParagraph"/>
        <w:numPr>
          <w:ilvl w:val="0"/>
          <w:numId w:val="14"/>
        </w:numPr>
        <w:ind w:left="720"/>
        <w:jc w:val="both"/>
        <w:rPr>
          <w:rFonts w:eastAsia="PMingLiU"/>
          <w:sz w:val="20"/>
          <w:szCs w:val="20"/>
          <w:lang w:val="fr-CA"/>
        </w:rPr>
      </w:pPr>
      <w:r w:rsidRPr="005A6690">
        <w:rPr>
          <w:rFonts w:eastAsia="PMingLiU"/>
          <w:sz w:val="20"/>
          <w:szCs w:val="20"/>
          <w:lang w:val="fr-CA"/>
        </w:rPr>
        <w:t>Les répliques aux réponses à toute requête en formulation de questions constitutionnelles, s'il en est, seront signifiées et déposées au plus tard le 30 octobre 2014.</w:t>
      </w:r>
    </w:p>
    <w:p w:rsidR="00B55477" w:rsidRPr="005A6690" w:rsidRDefault="00B55477" w:rsidP="00B55477">
      <w:pPr>
        <w:pStyle w:val="ListParagraph"/>
        <w:ind w:hanging="720"/>
        <w:jc w:val="both"/>
        <w:rPr>
          <w:rFonts w:eastAsia="PMingLiU"/>
          <w:sz w:val="20"/>
          <w:szCs w:val="20"/>
          <w:lang w:val="fr-CA"/>
        </w:rPr>
      </w:pPr>
    </w:p>
    <w:p w:rsidR="00B55477" w:rsidRPr="005A6690" w:rsidRDefault="00B55477" w:rsidP="00B55477">
      <w:pPr>
        <w:pStyle w:val="ListParagraph"/>
        <w:numPr>
          <w:ilvl w:val="0"/>
          <w:numId w:val="14"/>
        </w:numPr>
        <w:ind w:left="720"/>
        <w:jc w:val="both"/>
        <w:rPr>
          <w:rFonts w:eastAsia="PMingLiU"/>
          <w:sz w:val="20"/>
          <w:szCs w:val="20"/>
          <w:lang w:val="fr-CA"/>
        </w:rPr>
      </w:pPr>
      <w:r w:rsidRPr="005A6690">
        <w:rPr>
          <w:rFonts w:cs="Times New Roman"/>
          <w:sz w:val="20"/>
          <w:szCs w:val="20"/>
          <w:lang w:val="fr-CA"/>
        </w:rPr>
        <w:t>Les dossiers, mémoires et recueils de sources des appelants seront signifiés et déposés au plus tard le 9 décembre 2014.</w:t>
      </w:r>
    </w:p>
    <w:p w:rsidR="00B55477" w:rsidRPr="005A6690" w:rsidRDefault="00B55477" w:rsidP="00B55477">
      <w:pPr>
        <w:pStyle w:val="ListParagraph"/>
        <w:ind w:hanging="720"/>
        <w:jc w:val="both"/>
        <w:rPr>
          <w:rFonts w:eastAsia="PMingLiU"/>
          <w:sz w:val="20"/>
          <w:szCs w:val="20"/>
          <w:lang w:val="fr-CA"/>
        </w:rPr>
      </w:pPr>
    </w:p>
    <w:p w:rsidR="00B55477" w:rsidRPr="005A6690" w:rsidRDefault="00B55477" w:rsidP="00B55477">
      <w:pPr>
        <w:pStyle w:val="ListParagraph"/>
        <w:numPr>
          <w:ilvl w:val="0"/>
          <w:numId w:val="14"/>
        </w:numPr>
        <w:ind w:left="720"/>
        <w:jc w:val="both"/>
        <w:rPr>
          <w:rFonts w:eastAsia="PMingLiU"/>
          <w:sz w:val="20"/>
          <w:szCs w:val="20"/>
          <w:lang w:val="fr-CA"/>
        </w:rPr>
      </w:pPr>
      <w:r w:rsidRPr="005A6690">
        <w:rPr>
          <w:rFonts w:cs="Times New Roman"/>
          <w:sz w:val="20"/>
          <w:szCs w:val="20"/>
          <w:lang w:val="fr-CA"/>
        </w:rPr>
        <w:t xml:space="preserve">Toute personne qui souhaite intervenir dans le présent appel en vertu de la règle 55 des </w:t>
      </w:r>
      <w:r w:rsidRPr="005A6690">
        <w:rPr>
          <w:rFonts w:cs="Times New Roman"/>
          <w:i/>
          <w:sz w:val="20"/>
          <w:szCs w:val="20"/>
          <w:lang w:val="fr-CA"/>
        </w:rPr>
        <w:t>Règles de la Cour suprême du Canada</w:t>
      </w:r>
      <w:r w:rsidRPr="005A6690">
        <w:rPr>
          <w:rFonts w:cs="Times New Roman"/>
          <w:sz w:val="20"/>
          <w:szCs w:val="20"/>
          <w:lang w:val="fr-CA"/>
        </w:rPr>
        <w:t xml:space="preserve"> signifiera et déposera une requête en autorisation d’intervenir au plus tard le 23 décembre 2014.</w:t>
      </w:r>
    </w:p>
    <w:p w:rsidR="00B55477" w:rsidRPr="005A6690" w:rsidRDefault="00B55477" w:rsidP="00B55477">
      <w:pPr>
        <w:pStyle w:val="ListParagraph"/>
        <w:ind w:hanging="720"/>
        <w:jc w:val="both"/>
        <w:rPr>
          <w:rFonts w:eastAsia="PMingLiU"/>
          <w:sz w:val="20"/>
          <w:szCs w:val="20"/>
          <w:lang w:val="fr-CA"/>
        </w:rPr>
      </w:pPr>
    </w:p>
    <w:p w:rsidR="00B55477" w:rsidRPr="005A6690" w:rsidRDefault="00B55477" w:rsidP="00B55477">
      <w:pPr>
        <w:pStyle w:val="ListParagraph"/>
        <w:numPr>
          <w:ilvl w:val="0"/>
          <w:numId w:val="14"/>
        </w:numPr>
        <w:autoSpaceDE w:val="0"/>
        <w:autoSpaceDN w:val="0"/>
        <w:adjustRightInd w:val="0"/>
        <w:ind w:left="720"/>
        <w:jc w:val="both"/>
        <w:rPr>
          <w:rFonts w:cs="Times New Roman"/>
          <w:sz w:val="20"/>
          <w:szCs w:val="20"/>
          <w:lang w:val="fr-CA"/>
        </w:rPr>
      </w:pPr>
      <w:r w:rsidRPr="005A6690">
        <w:rPr>
          <w:rFonts w:cs="Times New Roman"/>
          <w:sz w:val="20"/>
          <w:szCs w:val="20"/>
          <w:lang w:val="fr-CA"/>
        </w:rPr>
        <w:t>Les appelants et l’intimé signifieront et déposeront leurs réponses aux demandes d’autorisation d’intervenir, le cas échéant, au plus tard le 30 décembre 2014.</w:t>
      </w:r>
    </w:p>
    <w:p w:rsidR="00B55477" w:rsidRPr="005A6690" w:rsidRDefault="00B55477" w:rsidP="00B55477">
      <w:pPr>
        <w:pStyle w:val="ListParagraph"/>
        <w:ind w:hanging="720"/>
        <w:jc w:val="both"/>
        <w:rPr>
          <w:rFonts w:cs="Times New Roman"/>
          <w:sz w:val="20"/>
          <w:szCs w:val="20"/>
          <w:lang w:val="fr-CA"/>
        </w:rPr>
      </w:pPr>
    </w:p>
    <w:p w:rsidR="00B55477" w:rsidRPr="005A6690" w:rsidRDefault="00B55477" w:rsidP="00B55477">
      <w:pPr>
        <w:pStyle w:val="ListParagraph"/>
        <w:numPr>
          <w:ilvl w:val="0"/>
          <w:numId w:val="14"/>
        </w:numPr>
        <w:autoSpaceDE w:val="0"/>
        <w:autoSpaceDN w:val="0"/>
        <w:adjustRightInd w:val="0"/>
        <w:ind w:left="720"/>
        <w:jc w:val="both"/>
        <w:rPr>
          <w:rFonts w:cs="Times New Roman"/>
          <w:sz w:val="20"/>
          <w:szCs w:val="20"/>
          <w:lang w:val="fr-CA"/>
        </w:rPr>
      </w:pPr>
      <w:r w:rsidRPr="005A6690">
        <w:rPr>
          <w:rFonts w:cs="Times New Roman"/>
          <w:sz w:val="20"/>
          <w:szCs w:val="20"/>
          <w:lang w:val="fr-CA"/>
        </w:rPr>
        <w:t>Les répliques à toute réponse aux demandes d’autorisation d’intervenir seront signifiées et déposées au plus tard le 2 janvier 2015.</w:t>
      </w:r>
    </w:p>
    <w:p w:rsidR="00B55477" w:rsidRPr="005A6690" w:rsidRDefault="00B55477" w:rsidP="00B55477">
      <w:pPr>
        <w:pStyle w:val="ListParagraph"/>
        <w:ind w:hanging="720"/>
        <w:jc w:val="both"/>
        <w:rPr>
          <w:rFonts w:cs="Times New Roman"/>
          <w:sz w:val="20"/>
          <w:szCs w:val="20"/>
          <w:lang w:val="fr-CA"/>
        </w:rPr>
      </w:pPr>
    </w:p>
    <w:p w:rsidR="00B55477" w:rsidRPr="005A6690" w:rsidRDefault="00B55477" w:rsidP="00B55477">
      <w:pPr>
        <w:pStyle w:val="ListParagraph"/>
        <w:numPr>
          <w:ilvl w:val="0"/>
          <w:numId w:val="14"/>
        </w:numPr>
        <w:autoSpaceDE w:val="0"/>
        <w:autoSpaceDN w:val="0"/>
        <w:adjustRightInd w:val="0"/>
        <w:ind w:left="720"/>
        <w:jc w:val="both"/>
        <w:rPr>
          <w:rFonts w:cs="Times New Roman"/>
          <w:sz w:val="20"/>
          <w:szCs w:val="20"/>
          <w:lang w:val="fr-CA"/>
        </w:rPr>
      </w:pPr>
      <w:r w:rsidRPr="005A6690">
        <w:rPr>
          <w:rFonts w:cs="Times New Roman"/>
          <w:sz w:val="20"/>
          <w:szCs w:val="20"/>
          <w:lang w:val="fr-CA"/>
        </w:rPr>
        <w:t>Les dossier, mémoire et recueil de sources de l’intimé seront signifiés et déposés au plus tard le 20 janvier 2015.</w:t>
      </w:r>
    </w:p>
    <w:p w:rsidR="00B55477" w:rsidRPr="005A6690" w:rsidRDefault="00B55477" w:rsidP="00B55477">
      <w:pPr>
        <w:pStyle w:val="ListParagraph"/>
        <w:ind w:hanging="720"/>
        <w:jc w:val="both"/>
        <w:rPr>
          <w:rFonts w:cs="Times New Roman"/>
          <w:sz w:val="20"/>
          <w:szCs w:val="20"/>
          <w:lang w:val="fr-CA"/>
        </w:rPr>
      </w:pPr>
    </w:p>
    <w:p w:rsidR="00B55477" w:rsidRPr="005A6690" w:rsidRDefault="00B55477" w:rsidP="00B55477">
      <w:pPr>
        <w:pStyle w:val="ListParagraph"/>
        <w:numPr>
          <w:ilvl w:val="0"/>
          <w:numId w:val="14"/>
        </w:numPr>
        <w:autoSpaceDE w:val="0"/>
        <w:autoSpaceDN w:val="0"/>
        <w:adjustRightInd w:val="0"/>
        <w:ind w:left="720"/>
        <w:jc w:val="both"/>
        <w:rPr>
          <w:rFonts w:cs="Times New Roman"/>
          <w:sz w:val="20"/>
          <w:szCs w:val="20"/>
          <w:lang w:val="fr-CA"/>
        </w:rPr>
      </w:pPr>
      <w:r w:rsidRPr="005A6690">
        <w:rPr>
          <w:rFonts w:cs="Times New Roman"/>
          <w:sz w:val="20"/>
          <w:szCs w:val="20"/>
          <w:lang w:val="fr-CA"/>
        </w:rPr>
        <w:t xml:space="preserve">Les intervenants autorisés à intervenir dans l’appel en application de l’article 59 des </w:t>
      </w:r>
      <w:r w:rsidRPr="005A6690">
        <w:rPr>
          <w:rFonts w:cs="Times New Roman"/>
          <w:i/>
          <w:sz w:val="20"/>
          <w:szCs w:val="20"/>
          <w:lang w:val="fr-CA"/>
        </w:rPr>
        <w:t>Règles de la Cour suprême du Canada</w:t>
      </w:r>
      <w:r w:rsidRPr="005A6690">
        <w:rPr>
          <w:rFonts w:cs="Times New Roman"/>
          <w:sz w:val="20"/>
          <w:szCs w:val="20"/>
          <w:lang w:val="fr-CA"/>
        </w:rPr>
        <w:t xml:space="preserve"> signifieront et déposeront leur mémoire et leur recueil de sources au plus tard le 2 février 2015.</w:t>
      </w:r>
    </w:p>
    <w:p w:rsidR="00B55477" w:rsidRPr="005A6690" w:rsidRDefault="00B55477" w:rsidP="00B55477">
      <w:pPr>
        <w:pStyle w:val="ListParagraph"/>
        <w:ind w:hanging="720"/>
        <w:jc w:val="both"/>
        <w:rPr>
          <w:rFonts w:cs="Times New Roman"/>
          <w:sz w:val="20"/>
          <w:szCs w:val="20"/>
          <w:lang w:val="fr-CA"/>
        </w:rPr>
      </w:pPr>
    </w:p>
    <w:p w:rsidR="00B55477" w:rsidRPr="005A6690" w:rsidRDefault="00B55477" w:rsidP="00B55477">
      <w:pPr>
        <w:pStyle w:val="ListParagraph"/>
        <w:numPr>
          <w:ilvl w:val="0"/>
          <w:numId w:val="14"/>
        </w:numPr>
        <w:autoSpaceDE w:val="0"/>
        <w:autoSpaceDN w:val="0"/>
        <w:adjustRightInd w:val="0"/>
        <w:ind w:left="720"/>
        <w:jc w:val="both"/>
        <w:rPr>
          <w:rFonts w:cs="Times New Roman"/>
          <w:sz w:val="20"/>
          <w:szCs w:val="20"/>
          <w:lang w:val="fr-CA"/>
        </w:rPr>
      </w:pPr>
      <w:r w:rsidRPr="005A6690">
        <w:rPr>
          <w:rFonts w:cs="Times New Roman"/>
          <w:sz w:val="20"/>
          <w:szCs w:val="20"/>
          <w:lang w:val="fr-CA"/>
        </w:rPr>
        <w:t xml:space="preserve">Tout procureur général qui interviendra en vertu du par. 61(4) des </w:t>
      </w:r>
      <w:r w:rsidRPr="005A6690">
        <w:rPr>
          <w:rFonts w:cs="Times New Roman"/>
          <w:i/>
          <w:sz w:val="20"/>
          <w:szCs w:val="20"/>
          <w:lang w:val="fr-CA"/>
        </w:rPr>
        <w:t>Règles de la Cour suprême du Canada</w:t>
      </w:r>
      <w:r w:rsidRPr="005A6690">
        <w:rPr>
          <w:rFonts w:cs="Times New Roman"/>
          <w:sz w:val="20"/>
          <w:szCs w:val="20"/>
          <w:lang w:val="fr-CA"/>
        </w:rPr>
        <w:t xml:space="preserve"> signifiera et déposera son mémoire et son recueil de sources au plus tard le 2 février 2015.</w:t>
      </w:r>
    </w:p>
    <w:p w:rsidR="00B55477" w:rsidRPr="005A6690" w:rsidRDefault="00B55477" w:rsidP="00B55477">
      <w:pPr>
        <w:pStyle w:val="ListParagraph"/>
        <w:ind w:hanging="720"/>
        <w:jc w:val="both"/>
        <w:rPr>
          <w:rFonts w:cs="Times New Roman"/>
          <w:sz w:val="20"/>
          <w:szCs w:val="20"/>
          <w:lang w:val="fr-CA"/>
        </w:rPr>
      </w:pPr>
    </w:p>
    <w:p w:rsidR="00B55477" w:rsidRPr="005A6690" w:rsidRDefault="00B55477" w:rsidP="00B55477">
      <w:pPr>
        <w:pStyle w:val="ListParagraph"/>
        <w:numPr>
          <w:ilvl w:val="0"/>
          <w:numId w:val="14"/>
        </w:numPr>
        <w:autoSpaceDE w:val="0"/>
        <w:autoSpaceDN w:val="0"/>
        <w:adjustRightInd w:val="0"/>
        <w:ind w:left="720"/>
        <w:jc w:val="both"/>
        <w:rPr>
          <w:rFonts w:cs="Times New Roman"/>
          <w:sz w:val="20"/>
          <w:szCs w:val="20"/>
          <w:lang w:val="fr-CA"/>
        </w:rPr>
      </w:pPr>
      <w:r w:rsidRPr="005A6690">
        <w:rPr>
          <w:rFonts w:cs="Times New Roman"/>
          <w:sz w:val="20"/>
          <w:szCs w:val="20"/>
          <w:lang w:val="fr-CA"/>
        </w:rPr>
        <w:t xml:space="preserve">L’audition de l’appel est fixée aux 16 et 17 février 2015. </w:t>
      </w:r>
    </w:p>
    <w:p w:rsidR="00B55477" w:rsidRPr="005A6690" w:rsidRDefault="00B55477" w:rsidP="00B55477">
      <w:pPr>
        <w:pStyle w:val="ListParagraph"/>
        <w:ind w:left="0"/>
        <w:rPr>
          <w:rFonts w:eastAsia="PMingLiU"/>
          <w:sz w:val="20"/>
          <w:szCs w:val="20"/>
          <w:lang w:val="fr-CA"/>
        </w:rPr>
      </w:pPr>
    </w:p>
    <w:p w:rsidR="00B55477" w:rsidRPr="005A6690" w:rsidRDefault="00F677DC" w:rsidP="00B55477">
      <w:pPr>
        <w:tabs>
          <w:tab w:val="left" w:pos="288"/>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rPr>
          <w:rFonts w:eastAsia="PMingLiU"/>
          <w:sz w:val="20"/>
          <w:szCs w:val="20"/>
          <w:lang w:val="fr-CA"/>
        </w:rPr>
      </w:pPr>
      <w:r>
        <w:rPr>
          <w:sz w:val="20"/>
          <w:szCs w:val="20"/>
          <w:lang w:val="fr-CA"/>
        </w:rPr>
        <w:pict>
          <v:rect id="_x0000_i1079" style="width:2in;height:1pt" o:hrpct="0" o:hralign="center" o:hrstd="t" o:hrnoshade="t" o:hr="t" fillcolor="black [3213]" stroked="f"/>
        </w:pict>
      </w:r>
    </w:p>
    <w:p w:rsidR="00B55477" w:rsidRPr="005A6690" w:rsidRDefault="00B55477" w:rsidP="00B55477">
      <w:pPr>
        <w:pStyle w:val="ListParagraph"/>
        <w:ind w:left="0"/>
        <w:rPr>
          <w:rFonts w:eastAsia="PMingLiU"/>
          <w:sz w:val="20"/>
          <w:szCs w:val="20"/>
          <w:lang w:val="fr-CA"/>
        </w:rPr>
      </w:pPr>
    </w:p>
    <w:p w:rsidR="008927CA" w:rsidRDefault="008927CA">
      <w:pPr>
        <w:rPr>
          <w:sz w:val="20"/>
          <w:szCs w:val="20"/>
          <w:lang w:val="fr-CA"/>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53"/>
          <w:headerReference w:type="default" r:id="rId54"/>
          <w:footerReference w:type="even" r:id="rId55"/>
          <w:footerReference w:type="default" r:id="rId56"/>
          <w:headerReference w:type="first" r:id="rId57"/>
          <w:footerReference w:type="first" r:id="rId5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A35845" w:rsidRPr="00A35845" w:rsidRDefault="00A35845" w:rsidP="00A35845">
      <w:pPr>
        <w:tabs>
          <w:tab w:val="left" w:pos="-1440"/>
          <w:tab w:val="left" w:pos="-720"/>
        </w:tabs>
        <w:jc w:val="both"/>
        <w:rPr>
          <w:rFonts w:eastAsia="Times New Roman" w:cs="Times New Roman"/>
          <w:sz w:val="20"/>
          <w:szCs w:val="20"/>
          <w:lang w:val="fr-CA" w:eastAsia="en-CA"/>
        </w:rPr>
      </w:pPr>
      <w:r w:rsidRPr="00A35845">
        <w:rPr>
          <w:rFonts w:eastAsia="Times New Roman" w:cs="Times New Roman"/>
          <w:sz w:val="20"/>
          <w:szCs w:val="20"/>
          <w:lang w:val="fr-CA" w:eastAsia="en-CA"/>
        </w:rPr>
        <w:t>29.09.2014</w:t>
      </w:r>
    </w:p>
    <w:p w:rsidR="00A35845" w:rsidRPr="00A35845" w:rsidRDefault="00A35845" w:rsidP="00A35845">
      <w:pPr>
        <w:tabs>
          <w:tab w:val="left" w:pos="-1440"/>
          <w:tab w:val="left" w:pos="-720"/>
        </w:tabs>
        <w:jc w:val="both"/>
        <w:rPr>
          <w:rFonts w:eastAsia="Times New Roman" w:cs="Times New Roman"/>
          <w:sz w:val="20"/>
          <w:szCs w:val="20"/>
          <w:lang w:val="fr-CA" w:eastAsia="en-CA"/>
        </w:rPr>
      </w:pPr>
    </w:p>
    <w:p w:rsidR="00A35845" w:rsidRPr="00A35845" w:rsidRDefault="00A35845" w:rsidP="00A35845">
      <w:pPr>
        <w:tabs>
          <w:tab w:val="left" w:pos="-1440"/>
          <w:tab w:val="left" w:pos="-720"/>
        </w:tabs>
        <w:jc w:val="both"/>
        <w:rPr>
          <w:rFonts w:eastAsia="Times New Roman" w:cs="Times New Roman"/>
          <w:sz w:val="20"/>
          <w:szCs w:val="20"/>
          <w:lang w:val="fr-CA" w:eastAsia="en-CA"/>
        </w:rPr>
      </w:pPr>
      <w:r w:rsidRPr="00A35845">
        <w:rPr>
          <w:rFonts w:eastAsia="Times New Roman" w:cs="Times New Roman"/>
          <w:sz w:val="20"/>
          <w:szCs w:val="20"/>
          <w:lang w:val="fr-CA" w:eastAsia="en-CA"/>
        </w:rPr>
        <w:t>Before / Devant :   KARAKATSANIS J. / LA JUGE KARAKATSANIS</w:t>
      </w:r>
    </w:p>
    <w:p w:rsidR="00A35845" w:rsidRPr="00A35845" w:rsidRDefault="00A35845" w:rsidP="00A35845">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2880"/>
        <w:gridCol w:w="1170"/>
        <w:gridCol w:w="4327"/>
      </w:tblGrid>
      <w:tr w:rsidR="00A35845" w:rsidRPr="00DA7379" w:rsidTr="00AB4E4F">
        <w:tc>
          <w:tcPr>
            <w:tcW w:w="4338" w:type="dxa"/>
            <w:gridSpan w:val="2"/>
          </w:tcPr>
          <w:p w:rsidR="00A35845" w:rsidRPr="00A35845" w:rsidRDefault="00A35845" w:rsidP="00A35845">
            <w:pPr>
              <w:jc w:val="both"/>
              <w:rPr>
                <w:b/>
              </w:rPr>
            </w:pPr>
            <w:r w:rsidRPr="00A35845">
              <w:rPr>
                <w:b/>
                <w:bCs/>
                <w:color w:val="000000"/>
                <w:lang w:val="en-GB"/>
              </w:rPr>
              <w:t>Motion for an extension of time for leave to intervene and for leave to intervene</w:t>
            </w:r>
            <w:r w:rsidRPr="00A35845">
              <w:rPr>
                <w:lang w:val="en-US"/>
              </w:rPr>
              <w:t xml:space="preserve"> </w:t>
            </w:r>
            <w:r w:rsidR="00274132" w:rsidRPr="00A35845">
              <w:rPr>
                <w:lang w:val="en-US"/>
              </w:rPr>
              <w:fldChar w:fldCharType="begin"/>
            </w:r>
            <w:r w:rsidRPr="00A35845">
              <w:instrText xml:space="preserve"> SEQ CHAPTER \h \r 1</w:instrText>
            </w:r>
            <w:r w:rsidR="00274132" w:rsidRPr="00A35845">
              <w:rPr>
                <w:lang w:val="en-US"/>
              </w:rPr>
              <w:fldChar w:fldCharType="end"/>
            </w:r>
          </w:p>
        </w:tc>
        <w:tc>
          <w:tcPr>
            <w:tcW w:w="1170" w:type="dxa"/>
          </w:tcPr>
          <w:p w:rsidR="00A35845" w:rsidRPr="00A35845" w:rsidRDefault="00A35845" w:rsidP="00A35845"/>
          <w:p w:rsidR="00A35845" w:rsidRPr="00A35845" w:rsidRDefault="00A35845" w:rsidP="00A35845"/>
          <w:p w:rsidR="00A35845" w:rsidRPr="00A35845" w:rsidRDefault="00A35845" w:rsidP="00A35845"/>
          <w:p w:rsidR="00A35845" w:rsidRPr="00A35845" w:rsidRDefault="00A35845" w:rsidP="00A35845"/>
        </w:tc>
        <w:tc>
          <w:tcPr>
            <w:tcW w:w="4327" w:type="dxa"/>
          </w:tcPr>
          <w:p w:rsidR="00A35845" w:rsidRPr="00A35845" w:rsidRDefault="00A35845" w:rsidP="00A35845">
            <w:pPr>
              <w:jc w:val="both"/>
              <w:rPr>
                <w:b/>
                <w:lang w:val="fr-CA"/>
              </w:rPr>
            </w:pPr>
            <w:r w:rsidRPr="00A35845">
              <w:rPr>
                <w:b/>
                <w:bCs/>
                <w:color w:val="000000"/>
                <w:lang w:val="fr-CA"/>
              </w:rPr>
              <w:t>Requête en prorogation du délai pour demander l’autorisation d’intervenir et en autorisation d’intervenir</w:t>
            </w:r>
          </w:p>
        </w:tc>
      </w:tr>
      <w:tr w:rsidR="00A35845" w:rsidRPr="00A35845" w:rsidTr="00AB4E4F">
        <w:trPr>
          <w:trHeight w:hRule="exact" w:val="576"/>
        </w:trPr>
        <w:tc>
          <w:tcPr>
            <w:tcW w:w="1458" w:type="dxa"/>
          </w:tcPr>
          <w:p w:rsidR="00A35845" w:rsidRPr="00A35845" w:rsidRDefault="00A35845" w:rsidP="00A35845">
            <w:r w:rsidRPr="00A35845">
              <w:t>BY / PAR</w:t>
            </w:r>
          </w:p>
        </w:tc>
        <w:tc>
          <w:tcPr>
            <w:tcW w:w="2880" w:type="dxa"/>
          </w:tcPr>
          <w:p w:rsidR="00A35845" w:rsidRPr="00A35845" w:rsidRDefault="00A35845" w:rsidP="00A35845">
            <w:r w:rsidRPr="00A35845">
              <w:t>British Columbia Civil Liberties Association</w:t>
            </w:r>
            <w:r w:rsidRPr="00A35845">
              <w:rPr>
                <w:lang w:val="en-US"/>
              </w:rPr>
              <w:t>;</w:t>
            </w:r>
          </w:p>
        </w:tc>
        <w:tc>
          <w:tcPr>
            <w:tcW w:w="1170" w:type="dxa"/>
          </w:tcPr>
          <w:p w:rsidR="00A35845" w:rsidRPr="00A35845" w:rsidRDefault="00A35845" w:rsidP="00A35845"/>
        </w:tc>
        <w:tc>
          <w:tcPr>
            <w:tcW w:w="4327" w:type="dxa"/>
          </w:tcPr>
          <w:p w:rsidR="00A35845" w:rsidRPr="00A35845" w:rsidRDefault="00A35845" w:rsidP="00A35845"/>
        </w:tc>
      </w:tr>
      <w:tr w:rsidR="00A35845" w:rsidRPr="00A35845" w:rsidTr="00AB4E4F">
        <w:trPr>
          <w:trHeight w:hRule="exact" w:val="576"/>
        </w:trPr>
        <w:tc>
          <w:tcPr>
            <w:tcW w:w="1458" w:type="dxa"/>
          </w:tcPr>
          <w:p w:rsidR="00A35845" w:rsidRPr="00A35845" w:rsidRDefault="00A35845" w:rsidP="00A35845"/>
        </w:tc>
        <w:tc>
          <w:tcPr>
            <w:tcW w:w="2880" w:type="dxa"/>
          </w:tcPr>
          <w:p w:rsidR="00A35845" w:rsidRPr="00A35845" w:rsidRDefault="00A35845" w:rsidP="00A35845">
            <w:pPr>
              <w:rPr>
                <w:lang w:val="en-US"/>
              </w:rPr>
            </w:pPr>
            <w:r w:rsidRPr="00A35845">
              <w:t>Canadian Civil Liberties Association</w:t>
            </w:r>
            <w:r w:rsidRPr="00A35845">
              <w:rPr>
                <w:lang w:val="en-US"/>
              </w:rPr>
              <w:t>;</w:t>
            </w:r>
          </w:p>
        </w:tc>
        <w:tc>
          <w:tcPr>
            <w:tcW w:w="1170" w:type="dxa"/>
          </w:tcPr>
          <w:p w:rsidR="00A35845" w:rsidRPr="00A35845" w:rsidRDefault="00A35845" w:rsidP="00A35845"/>
        </w:tc>
        <w:tc>
          <w:tcPr>
            <w:tcW w:w="4327" w:type="dxa"/>
          </w:tcPr>
          <w:p w:rsidR="00A35845" w:rsidRPr="00A35845" w:rsidRDefault="00A35845" w:rsidP="00A35845"/>
        </w:tc>
      </w:tr>
      <w:tr w:rsidR="00A35845" w:rsidRPr="00A35845" w:rsidTr="00AB4E4F">
        <w:trPr>
          <w:trHeight w:hRule="exact" w:val="360"/>
        </w:trPr>
        <w:tc>
          <w:tcPr>
            <w:tcW w:w="1458" w:type="dxa"/>
          </w:tcPr>
          <w:p w:rsidR="00A35845" w:rsidRPr="00A35845" w:rsidRDefault="00A35845" w:rsidP="00A35845"/>
        </w:tc>
        <w:tc>
          <w:tcPr>
            <w:tcW w:w="2880" w:type="dxa"/>
          </w:tcPr>
          <w:p w:rsidR="00A35845" w:rsidRPr="00A35845" w:rsidRDefault="00A35845" w:rsidP="00A35845">
            <w:pPr>
              <w:rPr>
                <w:lang w:val="en-US"/>
              </w:rPr>
            </w:pPr>
            <w:r w:rsidRPr="00A35845">
              <w:t>Pivot Legal Society</w:t>
            </w:r>
            <w:r w:rsidRPr="00A35845">
              <w:rPr>
                <w:lang w:val="en-US"/>
              </w:rPr>
              <w:t>;</w:t>
            </w:r>
          </w:p>
        </w:tc>
        <w:tc>
          <w:tcPr>
            <w:tcW w:w="1170" w:type="dxa"/>
          </w:tcPr>
          <w:p w:rsidR="00A35845" w:rsidRPr="00A35845" w:rsidRDefault="00A35845" w:rsidP="00A35845"/>
        </w:tc>
        <w:tc>
          <w:tcPr>
            <w:tcW w:w="4327" w:type="dxa"/>
          </w:tcPr>
          <w:p w:rsidR="00A35845" w:rsidRPr="00A35845" w:rsidRDefault="00A35845" w:rsidP="00A35845"/>
        </w:tc>
      </w:tr>
      <w:tr w:rsidR="00A35845" w:rsidRPr="00A35845" w:rsidTr="00AB4E4F">
        <w:trPr>
          <w:trHeight w:hRule="exact" w:val="576"/>
        </w:trPr>
        <w:tc>
          <w:tcPr>
            <w:tcW w:w="1458" w:type="dxa"/>
          </w:tcPr>
          <w:p w:rsidR="00A35845" w:rsidRPr="00A35845" w:rsidRDefault="00A35845" w:rsidP="00A35845"/>
        </w:tc>
        <w:tc>
          <w:tcPr>
            <w:tcW w:w="2880" w:type="dxa"/>
          </w:tcPr>
          <w:p w:rsidR="00A35845" w:rsidRPr="00A35845" w:rsidRDefault="00A35845" w:rsidP="00A35845">
            <w:pPr>
              <w:rPr>
                <w:lang w:val="en-US"/>
              </w:rPr>
            </w:pPr>
            <w:r w:rsidRPr="00A35845">
              <w:t>Canadian Association for Community Living</w:t>
            </w:r>
            <w:r w:rsidRPr="00A35845">
              <w:rPr>
                <w:lang w:val="en-US"/>
              </w:rPr>
              <w:t>;</w:t>
            </w:r>
          </w:p>
        </w:tc>
        <w:tc>
          <w:tcPr>
            <w:tcW w:w="1170" w:type="dxa"/>
          </w:tcPr>
          <w:p w:rsidR="00A35845" w:rsidRPr="00A35845" w:rsidRDefault="00A35845" w:rsidP="00A35845"/>
        </w:tc>
        <w:tc>
          <w:tcPr>
            <w:tcW w:w="4327" w:type="dxa"/>
          </w:tcPr>
          <w:p w:rsidR="00A35845" w:rsidRPr="00A35845" w:rsidRDefault="00A35845" w:rsidP="00A35845"/>
        </w:tc>
      </w:tr>
      <w:tr w:rsidR="00A35845" w:rsidRPr="00A35845" w:rsidTr="00AB4E4F">
        <w:trPr>
          <w:trHeight w:hRule="exact" w:val="360"/>
        </w:trPr>
        <w:tc>
          <w:tcPr>
            <w:tcW w:w="1458" w:type="dxa"/>
          </w:tcPr>
          <w:p w:rsidR="00A35845" w:rsidRPr="00A35845" w:rsidRDefault="00A35845" w:rsidP="00A35845"/>
        </w:tc>
        <w:tc>
          <w:tcPr>
            <w:tcW w:w="2880" w:type="dxa"/>
          </w:tcPr>
          <w:p w:rsidR="00A35845" w:rsidRPr="00A35845" w:rsidRDefault="00A35845" w:rsidP="00A35845">
            <w:r w:rsidRPr="00A35845">
              <w:rPr>
                <w:bCs/>
                <w:lang w:val="en-US"/>
              </w:rPr>
              <w:t>John Howard Society;</w:t>
            </w:r>
          </w:p>
        </w:tc>
        <w:tc>
          <w:tcPr>
            <w:tcW w:w="1170" w:type="dxa"/>
          </w:tcPr>
          <w:p w:rsidR="00A35845" w:rsidRPr="00A35845" w:rsidRDefault="00A35845" w:rsidP="00A35845"/>
        </w:tc>
        <w:tc>
          <w:tcPr>
            <w:tcW w:w="4327" w:type="dxa"/>
          </w:tcPr>
          <w:p w:rsidR="00A35845" w:rsidRPr="00A35845" w:rsidRDefault="00A35845" w:rsidP="00A35845"/>
        </w:tc>
      </w:tr>
      <w:tr w:rsidR="00A35845" w:rsidRPr="00A35845" w:rsidTr="00AB4E4F">
        <w:trPr>
          <w:trHeight w:hRule="exact" w:val="360"/>
        </w:trPr>
        <w:tc>
          <w:tcPr>
            <w:tcW w:w="1458" w:type="dxa"/>
          </w:tcPr>
          <w:p w:rsidR="00A35845" w:rsidRPr="00A35845" w:rsidRDefault="00A35845" w:rsidP="00A35845"/>
        </w:tc>
        <w:tc>
          <w:tcPr>
            <w:tcW w:w="2880" w:type="dxa"/>
          </w:tcPr>
          <w:p w:rsidR="00A35845" w:rsidRPr="00A35845" w:rsidRDefault="00A35845" w:rsidP="00A35845">
            <w:r w:rsidRPr="00A35845">
              <w:rPr>
                <w:bCs/>
                <w:lang w:val="en-US"/>
              </w:rPr>
              <w:t>Advocates’ Society;</w:t>
            </w:r>
          </w:p>
        </w:tc>
        <w:tc>
          <w:tcPr>
            <w:tcW w:w="1170" w:type="dxa"/>
          </w:tcPr>
          <w:p w:rsidR="00A35845" w:rsidRPr="00A35845" w:rsidRDefault="00A35845" w:rsidP="00A35845"/>
        </w:tc>
        <w:tc>
          <w:tcPr>
            <w:tcW w:w="4327" w:type="dxa"/>
          </w:tcPr>
          <w:p w:rsidR="00A35845" w:rsidRPr="00A35845" w:rsidRDefault="00A35845" w:rsidP="00A35845"/>
        </w:tc>
      </w:tr>
      <w:tr w:rsidR="00A35845" w:rsidRPr="00A35845" w:rsidTr="00AB4E4F">
        <w:trPr>
          <w:trHeight w:hRule="exact" w:val="360"/>
        </w:trPr>
        <w:tc>
          <w:tcPr>
            <w:tcW w:w="1458" w:type="dxa"/>
          </w:tcPr>
          <w:p w:rsidR="00A35845" w:rsidRPr="00A35845" w:rsidRDefault="00A35845" w:rsidP="00A35845"/>
        </w:tc>
        <w:tc>
          <w:tcPr>
            <w:tcW w:w="2880" w:type="dxa"/>
          </w:tcPr>
          <w:p w:rsidR="00A35845" w:rsidRPr="00A35845" w:rsidRDefault="00A35845" w:rsidP="00A35845">
            <w:pPr>
              <w:rPr>
                <w:bCs/>
                <w:lang w:val="en-US"/>
              </w:rPr>
            </w:pPr>
            <w:r w:rsidRPr="00A35845">
              <w:rPr>
                <w:bCs/>
                <w:lang w:val="en-US"/>
              </w:rPr>
              <w:t>Canadian Bar Association;</w:t>
            </w:r>
          </w:p>
        </w:tc>
        <w:tc>
          <w:tcPr>
            <w:tcW w:w="1170" w:type="dxa"/>
          </w:tcPr>
          <w:p w:rsidR="00A35845" w:rsidRPr="00A35845" w:rsidRDefault="00A35845" w:rsidP="00A35845"/>
        </w:tc>
        <w:tc>
          <w:tcPr>
            <w:tcW w:w="4327" w:type="dxa"/>
          </w:tcPr>
          <w:p w:rsidR="00A35845" w:rsidRPr="00A35845" w:rsidRDefault="00A35845" w:rsidP="00A35845"/>
        </w:tc>
      </w:tr>
      <w:tr w:rsidR="00A35845" w:rsidRPr="00A35845" w:rsidTr="00AB4E4F">
        <w:trPr>
          <w:trHeight w:hRule="exact" w:val="576"/>
        </w:trPr>
        <w:tc>
          <w:tcPr>
            <w:tcW w:w="1458" w:type="dxa"/>
          </w:tcPr>
          <w:p w:rsidR="00A35845" w:rsidRPr="00A35845" w:rsidRDefault="00A35845" w:rsidP="00A35845"/>
        </w:tc>
        <w:tc>
          <w:tcPr>
            <w:tcW w:w="2880" w:type="dxa"/>
          </w:tcPr>
          <w:p w:rsidR="00A35845" w:rsidRPr="00A35845" w:rsidRDefault="00A35845" w:rsidP="00A35845">
            <w:pPr>
              <w:rPr>
                <w:lang w:val="en-US"/>
              </w:rPr>
            </w:pPr>
            <w:r w:rsidRPr="00A35845">
              <w:rPr>
                <w:bCs/>
                <w:lang w:val="en-US"/>
              </w:rPr>
              <w:t>Canada’s National Firearms Association;</w:t>
            </w:r>
          </w:p>
        </w:tc>
        <w:tc>
          <w:tcPr>
            <w:tcW w:w="1170" w:type="dxa"/>
          </w:tcPr>
          <w:p w:rsidR="00A35845" w:rsidRPr="00A35845" w:rsidRDefault="00A35845" w:rsidP="00A35845"/>
        </w:tc>
        <w:tc>
          <w:tcPr>
            <w:tcW w:w="4327" w:type="dxa"/>
          </w:tcPr>
          <w:p w:rsidR="00A35845" w:rsidRPr="00A35845" w:rsidRDefault="00A35845" w:rsidP="00A35845"/>
        </w:tc>
      </w:tr>
      <w:tr w:rsidR="00A35845" w:rsidRPr="00A35845" w:rsidTr="00AB4E4F">
        <w:trPr>
          <w:trHeight w:hRule="exact" w:val="360"/>
        </w:trPr>
        <w:tc>
          <w:tcPr>
            <w:tcW w:w="1458" w:type="dxa"/>
          </w:tcPr>
          <w:p w:rsidR="00A35845" w:rsidRPr="00A35845" w:rsidRDefault="00A35845" w:rsidP="00A35845"/>
        </w:tc>
        <w:tc>
          <w:tcPr>
            <w:tcW w:w="2880" w:type="dxa"/>
          </w:tcPr>
          <w:p w:rsidR="00A35845" w:rsidRPr="00A35845" w:rsidRDefault="00A35845" w:rsidP="00A35845">
            <w:pPr>
              <w:rPr>
                <w:bCs/>
                <w:lang w:val="en-US"/>
              </w:rPr>
            </w:pPr>
            <w:r w:rsidRPr="00A35845">
              <w:rPr>
                <w:bCs/>
                <w:lang w:val="en-US"/>
              </w:rPr>
              <w:t>African Canadian Legal Clinic</w:t>
            </w:r>
          </w:p>
        </w:tc>
        <w:tc>
          <w:tcPr>
            <w:tcW w:w="1170" w:type="dxa"/>
          </w:tcPr>
          <w:p w:rsidR="00A35845" w:rsidRPr="00A35845" w:rsidRDefault="00A35845" w:rsidP="00A35845"/>
        </w:tc>
        <w:tc>
          <w:tcPr>
            <w:tcW w:w="4327" w:type="dxa"/>
          </w:tcPr>
          <w:p w:rsidR="00A35845" w:rsidRPr="00A35845" w:rsidRDefault="00A35845" w:rsidP="00A35845"/>
        </w:tc>
      </w:tr>
      <w:tr w:rsidR="00A35845" w:rsidRPr="00A35845" w:rsidTr="00AB4E4F">
        <w:tc>
          <w:tcPr>
            <w:tcW w:w="1458" w:type="dxa"/>
          </w:tcPr>
          <w:p w:rsidR="00A35845" w:rsidRPr="00A35845" w:rsidRDefault="00A35845" w:rsidP="00A35845"/>
        </w:tc>
        <w:tc>
          <w:tcPr>
            <w:tcW w:w="2880" w:type="dxa"/>
          </w:tcPr>
          <w:p w:rsidR="00A35845" w:rsidRPr="00A35845" w:rsidRDefault="00A35845" w:rsidP="00A35845">
            <w:pPr>
              <w:rPr>
                <w:lang w:val="en-US"/>
              </w:rPr>
            </w:pPr>
          </w:p>
        </w:tc>
        <w:tc>
          <w:tcPr>
            <w:tcW w:w="1170" w:type="dxa"/>
          </w:tcPr>
          <w:p w:rsidR="00A35845" w:rsidRPr="00A35845" w:rsidRDefault="00A35845" w:rsidP="00A35845"/>
        </w:tc>
        <w:tc>
          <w:tcPr>
            <w:tcW w:w="4327" w:type="dxa"/>
          </w:tcPr>
          <w:p w:rsidR="00A35845" w:rsidRPr="00A35845" w:rsidRDefault="00A35845" w:rsidP="00A35845"/>
        </w:tc>
      </w:tr>
      <w:tr w:rsidR="00A35845" w:rsidRPr="00A35845" w:rsidTr="00AB4E4F">
        <w:tc>
          <w:tcPr>
            <w:tcW w:w="1458" w:type="dxa"/>
          </w:tcPr>
          <w:p w:rsidR="00A35845" w:rsidRPr="00A35845" w:rsidRDefault="00A35845" w:rsidP="00A35845">
            <w:r w:rsidRPr="00A35845">
              <w:t>IN / DANS :</w:t>
            </w:r>
          </w:p>
        </w:tc>
        <w:tc>
          <w:tcPr>
            <w:tcW w:w="2880" w:type="dxa"/>
          </w:tcPr>
          <w:p w:rsidR="00A35845" w:rsidRPr="00A35845" w:rsidRDefault="00A35845" w:rsidP="00A35845">
            <w:pPr>
              <w:tabs>
                <w:tab w:val="left" w:pos="-1440"/>
                <w:tab w:val="left" w:pos="-720"/>
              </w:tabs>
              <w:jc w:val="both"/>
            </w:pPr>
            <w:r w:rsidRPr="00A35845">
              <w:t>Her Majesty the Queen et al.</w:t>
            </w:r>
          </w:p>
          <w:p w:rsidR="00A35845" w:rsidRPr="00A35845" w:rsidRDefault="00A35845" w:rsidP="00A35845"/>
          <w:p w:rsidR="00A35845" w:rsidRPr="00A35845" w:rsidRDefault="00A35845" w:rsidP="00A35845">
            <w:pPr>
              <w:rPr>
                <w:lang w:val="fr-CA"/>
              </w:rPr>
            </w:pPr>
            <w:r w:rsidRPr="00A35845">
              <w:tab/>
            </w:r>
            <w:r w:rsidRPr="00A35845">
              <w:rPr>
                <w:lang w:val="fr-CA"/>
              </w:rPr>
              <w:t>v. (35678)</w:t>
            </w:r>
          </w:p>
          <w:p w:rsidR="00A35845" w:rsidRPr="00A35845" w:rsidRDefault="00A35845" w:rsidP="00A35845">
            <w:pPr>
              <w:rPr>
                <w:lang w:val="fr-CA"/>
              </w:rPr>
            </w:pPr>
          </w:p>
          <w:p w:rsidR="00A35845" w:rsidRPr="00A35845" w:rsidRDefault="00A35845" w:rsidP="00A35845">
            <w:pPr>
              <w:rPr>
                <w:lang w:val="fr-CA"/>
              </w:rPr>
            </w:pPr>
            <w:r w:rsidRPr="00A35845">
              <w:rPr>
                <w:lang w:val="fr-CA"/>
              </w:rPr>
              <w:t>Hussein Jama Nur et al. (Crim.) (Ont.)</w:t>
            </w:r>
          </w:p>
          <w:p w:rsidR="00A35845" w:rsidRPr="00A35845" w:rsidRDefault="00A35845" w:rsidP="00A35845">
            <w:pPr>
              <w:rPr>
                <w:lang w:val="fr-CA"/>
              </w:rPr>
            </w:pPr>
          </w:p>
        </w:tc>
        <w:tc>
          <w:tcPr>
            <w:tcW w:w="1170" w:type="dxa"/>
          </w:tcPr>
          <w:p w:rsidR="00A35845" w:rsidRPr="00A35845" w:rsidRDefault="00A35845" w:rsidP="00A35845">
            <w:pPr>
              <w:rPr>
                <w:lang w:val="fr-CA"/>
              </w:rPr>
            </w:pPr>
          </w:p>
        </w:tc>
        <w:tc>
          <w:tcPr>
            <w:tcW w:w="4327" w:type="dxa"/>
          </w:tcPr>
          <w:p w:rsidR="00A35845" w:rsidRPr="00A35845" w:rsidRDefault="00A35845" w:rsidP="00A35845">
            <w:pPr>
              <w:rPr>
                <w:lang w:val="fr-CA"/>
              </w:rPr>
            </w:pPr>
          </w:p>
        </w:tc>
      </w:tr>
      <w:tr w:rsidR="00A35845" w:rsidRPr="00A35845" w:rsidTr="00AB4E4F">
        <w:tc>
          <w:tcPr>
            <w:tcW w:w="1458" w:type="dxa"/>
          </w:tcPr>
          <w:p w:rsidR="00A35845" w:rsidRPr="00A35845" w:rsidRDefault="00A35845" w:rsidP="00A35845">
            <w:r w:rsidRPr="00A35845">
              <w:t>- and between -</w:t>
            </w:r>
          </w:p>
          <w:p w:rsidR="00A35845" w:rsidRPr="00A35845" w:rsidRDefault="00A35845" w:rsidP="00A35845"/>
        </w:tc>
        <w:tc>
          <w:tcPr>
            <w:tcW w:w="2880" w:type="dxa"/>
          </w:tcPr>
          <w:p w:rsidR="00A35845" w:rsidRPr="00A35845" w:rsidRDefault="00A35845" w:rsidP="00A35845"/>
        </w:tc>
        <w:tc>
          <w:tcPr>
            <w:tcW w:w="1170" w:type="dxa"/>
          </w:tcPr>
          <w:p w:rsidR="00A35845" w:rsidRPr="00A35845" w:rsidRDefault="00A35845" w:rsidP="00A35845">
            <w:pPr>
              <w:rPr>
                <w:lang w:val="fr-CA"/>
              </w:rPr>
            </w:pPr>
          </w:p>
        </w:tc>
        <w:tc>
          <w:tcPr>
            <w:tcW w:w="4327" w:type="dxa"/>
          </w:tcPr>
          <w:p w:rsidR="00A35845" w:rsidRPr="00A35845" w:rsidRDefault="00A35845" w:rsidP="00A35845">
            <w:pPr>
              <w:rPr>
                <w:lang w:val="fr-CA"/>
              </w:rPr>
            </w:pPr>
          </w:p>
        </w:tc>
      </w:tr>
      <w:tr w:rsidR="00A35845" w:rsidRPr="00A35845" w:rsidTr="00AB4E4F">
        <w:tc>
          <w:tcPr>
            <w:tcW w:w="1458" w:type="dxa"/>
          </w:tcPr>
          <w:p w:rsidR="00A35845" w:rsidRPr="00A35845" w:rsidRDefault="00A35845" w:rsidP="00A35845"/>
        </w:tc>
        <w:tc>
          <w:tcPr>
            <w:tcW w:w="2880" w:type="dxa"/>
          </w:tcPr>
          <w:p w:rsidR="00A35845" w:rsidRPr="00A35845" w:rsidRDefault="00A35845" w:rsidP="00A35845">
            <w:pPr>
              <w:tabs>
                <w:tab w:val="left" w:pos="-1440"/>
                <w:tab w:val="left" w:pos="-720"/>
              </w:tabs>
              <w:jc w:val="both"/>
            </w:pPr>
            <w:r w:rsidRPr="00A35845">
              <w:t>Her Majesty the Queen et al.</w:t>
            </w:r>
          </w:p>
          <w:p w:rsidR="00A35845" w:rsidRPr="00A35845" w:rsidRDefault="00A35845" w:rsidP="00A35845">
            <w:pPr>
              <w:tabs>
                <w:tab w:val="left" w:pos="-1440"/>
                <w:tab w:val="left" w:pos="-720"/>
              </w:tabs>
              <w:jc w:val="both"/>
            </w:pPr>
          </w:p>
          <w:p w:rsidR="00A35845" w:rsidRPr="00A35845" w:rsidRDefault="00A35845" w:rsidP="00A35845">
            <w:pPr>
              <w:tabs>
                <w:tab w:val="left" w:pos="-1440"/>
                <w:tab w:val="left" w:pos="-720"/>
              </w:tabs>
              <w:jc w:val="both"/>
              <w:rPr>
                <w:lang w:val="fr-CA"/>
              </w:rPr>
            </w:pPr>
            <w:r w:rsidRPr="00A35845">
              <w:tab/>
            </w:r>
            <w:r w:rsidRPr="00A35845">
              <w:rPr>
                <w:lang w:val="fr-CA"/>
              </w:rPr>
              <w:t>v. (35684)</w:t>
            </w:r>
          </w:p>
          <w:p w:rsidR="00A35845" w:rsidRPr="00A35845" w:rsidRDefault="00A35845" w:rsidP="00A35845">
            <w:pPr>
              <w:rPr>
                <w:lang w:val="fr-CA"/>
              </w:rPr>
            </w:pPr>
          </w:p>
          <w:p w:rsidR="00A35845" w:rsidRPr="00A35845" w:rsidRDefault="00A35845" w:rsidP="00A35845">
            <w:r w:rsidRPr="00A35845">
              <w:rPr>
                <w:lang w:val="fr-CA"/>
              </w:rPr>
              <w:t xml:space="preserve">Sidney Charles et al. </w:t>
            </w:r>
            <w:r w:rsidRPr="00A35845">
              <w:t>(Crim.) (Ont.)</w:t>
            </w:r>
          </w:p>
        </w:tc>
        <w:tc>
          <w:tcPr>
            <w:tcW w:w="1170" w:type="dxa"/>
          </w:tcPr>
          <w:p w:rsidR="00A35845" w:rsidRPr="00A35845" w:rsidRDefault="00A35845" w:rsidP="00A35845"/>
        </w:tc>
        <w:tc>
          <w:tcPr>
            <w:tcW w:w="4327" w:type="dxa"/>
          </w:tcPr>
          <w:p w:rsidR="00A35845" w:rsidRPr="00A35845" w:rsidRDefault="00A35845" w:rsidP="00A35845"/>
        </w:tc>
      </w:tr>
    </w:tbl>
    <w:p w:rsidR="00A35845" w:rsidRPr="00A35845" w:rsidRDefault="00A35845" w:rsidP="00A35845">
      <w:pPr>
        <w:jc w:val="both"/>
        <w:rPr>
          <w:rFonts w:eastAsia="Times New Roman" w:cs="Times New Roman"/>
          <w:sz w:val="20"/>
          <w:szCs w:val="20"/>
          <w:lang w:eastAsia="en-CA"/>
        </w:rPr>
      </w:pPr>
    </w:p>
    <w:p w:rsidR="00A35845" w:rsidRPr="00A35845" w:rsidRDefault="00A35845" w:rsidP="00A35845">
      <w:pPr>
        <w:tabs>
          <w:tab w:val="left" w:pos="-1440"/>
          <w:tab w:val="left" w:pos="-720"/>
        </w:tabs>
        <w:jc w:val="both"/>
        <w:rPr>
          <w:rFonts w:eastAsia="Times New Roman" w:cs="Times New Roman"/>
          <w:b/>
          <w:sz w:val="20"/>
          <w:szCs w:val="20"/>
          <w:lang w:val="fr-CA" w:eastAsia="en-CA"/>
        </w:rPr>
      </w:pPr>
      <w:r w:rsidRPr="00A35845">
        <w:rPr>
          <w:rFonts w:eastAsia="Times New Roman" w:cs="Times New Roman"/>
          <w:b/>
          <w:sz w:val="20"/>
          <w:szCs w:val="20"/>
          <w:lang w:val="fr-CA" w:eastAsia="en-CA"/>
        </w:rPr>
        <w:t>GRANTED / ACCORDÉE</w:t>
      </w:r>
    </w:p>
    <w:p w:rsidR="00A35845" w:rsidRPr="00A35845" w:rsidRDefault="00A35845" w:rsidP="00A35845">
      <w:pPr>
        <w:jc w:val="both"/>
        <w:rPr>
          <w:rFonts w:eastAsia="Times New Roman" w:cs="Times New Roman"/>
          <w:sz w:val="20"/>
          <w:szCs w:val="20"/>
          <w:lang w:val="fr-CA" w:eastAsia="en-CA"/>
        </w:rPr>
      </w:pPr>
    </w:p>
    <w:p w:rsidR="00A35845" w:rsidRPr="00A35845" w:rsidRDefault="00A35845" w:rsidP="00A35845">
      <w:pPr>
        <w:spacing w:line="233" w:lineRule="auto"/>
        <w:jc w:val="both"/>
        <w:rPr>
          <w:rFonts w:eastAsia="Times New Roman" w:cs="Times New Roman"/>
          <w:sz w:val="20"/>
          <w:szCs w:val="20"/>
          <w:lang w:eastAsia="en-CA"/>
        </w:rPr>
      </w:pPr>
      <w:r w:rsidRPr="00A35845">
        <w:rPr>
          <w:rFonts w:eastAsia="Times New Roman" w:cs="Times New Roman"/>
          <w:b/>
          <w:bCs/>
          <w:sz w:val="20"/>
          <w:szCs w:val="20"/>
          <w:lang w:val="en-US" w:eastAsia="en-CA"/>
        </w:rPr>
        <w:t xml:space="preserve">UPON APPLICATIONS </w:t>
      </w:r>
      <w:r w:rsidRPr="00A35845">
        <w:rPr>
          <w:rFonts w:eastAsia="Times New Roman" w:cs="Times New Roman"/>
          <w:sz w:val="20"/>
          <w:szCs w:val="20"/>
          <w:lang w:val="en-US" w:eastAsia="en-CA"/>
        </w:rPr>
        <w:t xml:space="preserve">by </w:t>
      </w:r>
      <w:r w:rsidRPr="00A35845">
        <w:rPr>
          <w:rFonts w:eastAsia="Times New Roman" w:cs="Times New Roman"/>
          <w:sz w:val="20"/>
          <w:szCs w:val="20"/>
          <w:lang w:eastAsia="en-CA"/>
        </w:rPr>
        <w:t>the British Columbia Civil Liberties Association, the Canadian Civil Liberties Association, the Pivot Legal Society and the Canadian Association for Community Living for leave to intervene in the above appeals;</w:t>
      </w:r>
    </w:p>
    <w:p w:rsidR="00A35845" w:rsidRPr="00A35845" w:rsidRDefault="00A35845" w:rsidP="00A35845">
      <w:pPr>
        <w:spacing w:line="233" w:lineRule="auto"/>
        <w:jc w:val="both"/>
        <w:rPr>
          <w:rFonts w:eastAsia="Times New Roman" w:cs="Times New Roman"/>
          <w:sz w:val="20"/>
          <w:szCs w:val="20"/>
          <w:lang w:eastAsia="en-CA"/>
        </w:rPr>
      </w:pPr>
    </w:p>
    <w:p w:rsidR="00A35845" w:rsidRPr="00A35845" w:rsidRDefault="00A35845" w:rsidP="00A35845">
      <w:pPr>
        <w:spacing w:line="233" w:lineRule="auto"/>
        <w:jc w:val="both"/>
        <w:rPr>
          <w:rFonts w:eastAsia="Times New Roman" w:cs="Times New Roman"/>
          <w:bCs/>
          <w:sz w:val="20"/>
          <w:szCs w:val="20"/>
          <w:lang w:val="en-US" w:eastAsia="en-CA"/>
        </w:rPr>
      </w:pPr>
      <w:r w:rsidRPr="00A35845">
        <w:rPr>
          <w:rFonts w:eastAsia="Times New Roman" w:cs="Times New Roman"/>
          <w:b/>
          <w:bCs/>
          <w:sz w:val="20"/>
          <w:szCs w:val="20"/>
          <w:lang w:val="en-US" w:eastAsia="en-CA"/>
        </w:rPr>
        <w:t xml:space="preserve">AND UPON APPLICATIONS </w:t>
      </w:r>
      <w:r w:rsidRPr="00A35845">
        <w:rPr>
          <w:rFonts w:eastAsia="Times New Roman" w:cs="Times New Roman"/>
          <w:bCs/>
          <w:sz w:val="20"/>
          <w:szCs w:val="20"/>
          <w:lang w:val="en-US" w:eastAsia="en-CA"/>
        </w:rPr>
        <w:t xml:space="preserve">by the John Howard Society, the Advocates’ Society, the Canadian Bar Association, the Canada’s National Firearms Association and the African Canadian Legal Clinic for leave to intervene in the appeal of </w:t>
      </w:r>
      <w:r w:rsidRPr="00A35845">
        <w:rPr>
          <w:rFonts w:eastAsia="Times New Roman" w:cs="Times New Roman"/>
          <w:bCs/>
          <w:i/>
          <w:sz w:val="20"/>
          <w:szCs w:val="20"/>
          <w:lang w:val="en-US" w:eastAsia="en-CA"/>
        </w:rPr>
        <w:t>Her Majesty the Queen v. Hussein Jama Nur -and between- Attorney General of Canada v. Hussein Jama Nur</w:t>
      </w:r>
      <w:r w:rsidRPr="00A35845">
        <w:rPr>
          <w:rFonts w:eastAsia="Times New Roman" w:cs="Times New Roman"/>
          <w:bCs/>
          <w:sz w:val="20"/>
          <w:szCs w:val="20"/>
          <w:lang w:val="en-US" w:eastAsia="en-CA"/>
        </w:rPr>
        <w:t>;</w:t>
      </w:r>
    </w:p>
    <w:p w:rsidR="00A35845" w:rsidRPr="00A35845" w:rsidRDefault="00A35845" w:rsidP="00A35845">
      <w:pPr>
        <w:spacing w:line="233" w:lineRule="auto"/>
        <w:jc w:val="both"/>
        <w:rPr>
          <w:rFonts w:eastAsia="Times New Roman" w:cs="Times New Roman"/>
          <w:bCs/>
          <w:sz w:val="20"/>
          <w:szCs w:val="20"/>
          <w:lang w:val="en-US" w:eastAsia="en-CA"/>
        </w:rPr>
      </w:pPr>
    </w:p>
    <w:p w:rsidR="00A35845" w:rsidRPr="00A35845" w:rsidRDefault="00A35845" w:rsidP="00A35845">
      <w:pPr>
        <w:spacing w:line="233" w:lineRule="auto"/>
        <w:jc w:val="both"/>
        <w:rPr>
          <w:rFonts w:eastAsia="Times New Roman" w:cs="Times New Roman"/>
          <w:bCs/>
          <w:sz w:val="20"/>
          <w:szCs w:val="20"/>
          <w:lang w:val="en-US" w:eastAsia="en-CA"/>
        </w:rPr>
      </w:pPr>
      <w:r w:rsidRPr="00A35845">
        <w:rPr>
          <w:rFonts w:eastAsia="Times New Roman" w:cs="Times New Roman"/>
          <w:b/>
          <w:bCs/>
          <w:sz w:val="20"/>
          <w:szCs w:val="20"/>
          <w:lang w:val="en-US" w:eastAsia="en-CA"/>
        </w:rPr>
        <w:lastRenderedPageBreak/>
        <w:t xml:space="preserve">AND UPON APPLICATION </w:t>
      </w:r>
      <w:r w:rsidRPr="00A35845">
        <w:rPr>
          <w:rFonts w:eastAsia="Times New Roman" w:cs="Times New Roman"/>
          <w:bCs/>
          <w:sz w:val="20"/>
          <w:szCs w:val="20"/>
          <w:lang w:val="en-US" w:eastAsia="en-CA"/>
        </w:rPr>
        <w:t>by the African Canadian Legal Clinic for</w:t>
      </w:r>
      <w:r w:rsidRPr="00A35845">
        <w:rPr>
          <w:rFonts w:eastAsia="Times New Roman" w:cs="Times New Roman"/>
          <w:sz w:val="20"/>
          <w:szCs w:val="20"/>
          <w:lang w:val="en-US" w:eastAsia="en-CA"/>
        </w:rPr>
        <w:t xml:space="preserve"> an extension of time to serve and file a motion for leave to intervene in the appeal of </w:t>
      </w:r>
      <w:r w:rsidRPr="00A35845">
        <w:rPr>
          <w:rFonts w:eastAsia="Times New Roman" w:cs="Times New Roman"/>
          <w:bCs/>
          <w:i/>
          <w:sz w:val="20"/>
          <w:szCs w:val="20"/>
          <w:lang w:val="en-US" w:eastAsia="en-CA"/>
        </w:rPr>
        <w:t>Her Majesty the Queen v. Hussein Jama Nur -and between- Attorney General of Canada v. Hussein Jama Nur</w:t>
      </w:r>
      <w:r w:rsidRPr="00A35845">
        <w:rPr>
          <w:rFonts w:eastAsia="Times New Roman" w:cs="Times New Roman"/>
          <w:bCs/>
          <w:sz w:val="20"/>
          <w:szCs w:val="20"/>
          <w:lang w:val="en-US" w:eastAsia="en-CA"/>
        </w:rPr>
        <w:t>;</w:t>
      </w:r>
    </w:p>
    <w:p w:rsidR="00A35845" w:rsidRPr="00A35845" w:rsidRDefault="00A35845" w:rsidP="00A35845">
      <w:pPr>
        <w:spacing w:line="233" w:lineRule="auto"/>
        <w:jc w:val="both"/>
        <w:rPr>
          <w:rFonts w:eastAsia="Times New Roman" w:cs="Times New Roman"/>
          <w:sz w:val="20"/>
          <w:szCs w:val="20"/>
          <w:lang w:eastAsia="en-CA"/>
        </w:rPr>
      </w:pPr>
    </w:p>
    <w:p w:rsidR="00A35845" w:rsidRPr="00A35845" w:rsidRDefault="00A35845" w:rsidP="00A35845">
      <w:pPr>
        <w:spacing w:line="233" w:lineRule="auto"/>
        <w:jc w:val="both"/>
        <w:rPr>
          <w:rFonts w:eastAsia="Times New Roman" w:cs="Times New Roman"/>
          <w:sz w:val="20"/>
          <w:szCs w:val="20"/>
          <w:lang w:val="en-US" w:eastAsia="en-CA"/>
        </w:rPr>
      </w:pPr>
      <w:r w:rsidRPr="00A35845">
        <w:rPr>
          <w:rFonts w:eastAsia="Times New Roman" w:cs="Times New Roman"/>
          <w:b/>
          <w:bCs/>
          <w:sz w:val="20"/>
          <w:szCs w:val="20"/>
          <w:lang w:val="en-US" w:eastAsia="en-CA"/>
        </w:rPr>
        <w:t>AND THE MATERIAL FILED</w:t>
      </w:r>
      <w:r w:rsidRPr="00A35845">
        <w:rPr>
          <w:rFonts w:eastAsia="Times New Roman" w:cs="Times New Roman"/>
          <w:sz w:val="20"/>
          <w:szCs w:val="20"/>
          <w:lang w:val="en-US" w:eastAsia="en-CA"/>
        </w:rPr>
        <w:t xml:space="preserve"> having been read;</w:t>
      </w:r>
    </w:p>
    <w:p w:rsidR="00A35845" w:rsidRPr="00A35845" w:rsidRDefault="00A35845" w:rsidP="00A35845">
      <w:pPr>
        <w:spacing w:line="233" w:lineRule="auto"/>
        <w:jc w:val="center"/>
        <w:rPr>
          <w:rFonts w:eastAsia="Times New Roman" w:cs="Times New Roman"/>
          <w:sz w:val="20"/>
          <w:szCs w:val="20"/>
          <w:lang w:val="en-US" w:eastAsia="en-CA"/>
        </w:rPr>
      </w:pPr>
    </w:p>
    <w:p w:rsidR="00A35845" w:rsidRPr="00A35845" w:rsidRDefault="00A35845" w:rsidP="00A35845">
      <w:pPr>
        <w:spacing w:line="233" w:lineRule="auto"/>
        <w:jc w:val="both"/>
        <w:rPr>
          <w:rFonts w:eastAsia="Times New Roman" w:cs="Times New Roman"/>
          <w:b/>
          <w:bCs/>
          <w:sz w:val="20"/>
          <w:szCs w:val="20"/>
          <w:lang w:val="en-US" w:eastAsia="en-CA"/>
        </w:rPr>
      </w:pPr>
      <w:r w:rsidRPr="00A35845">
        <w:rPr>
          <w:rFonts w:eastAsia="Times New Roman" w:cs="Times New Roman"/>
          <w:b/>
          <w:bCs/>
          <w:sz w:val="20"/>
          <w:szCs w:val="20"/>
          <w:lang w:val="en-US" w:eastAsia="en-CA"/>
        </w:rPr>
        <w:t>IT IS HEREBY ORDERED THAT:</w:t>
      </w:r>
    </w:p>
    <w:p w:rsidR="00A35845" w:rsidRPr="00A35845" w:rsidRDefault="00A35845" w:rsidP="00A35845">
      <w:pPr>
        <w:spacing w:line="233" w:lineRule="auto"/>
        <w:jc w:val="both"/>
        <w:rPr>
          <w:rFonts w:eastAsia="Times New Roman" w:cs="Times New Roman"/>
          <w:sz w:val="20"/>
          <w:szCs w:val="20"/>
          <w:lang w:val="en-US" w:eastAsia="en-CA"/>
        </w:rPr>
      </w:pPr>
    </w:p>
    <w:p w:rsidR="00A35845" w:rsidRPr="00A35845" w:rsidRDefault="00A35845" w:rsidP="00A35845">
      <w:pPr>
        <w:spacing w:line="233" w:lineRule="auto"/>
        <w:jc w:val="both"/>
        <w:rPr>
          <w:rFonts w:eastAsia="Times New Roman" w:cs="Times New Roman"/>
          <w:sz w:val="20"/>
          <w:szCs w:val="20"/>
          <w:lang w:val="en-US" w:eastAsia="en-CA"/>
        </w:rPr>
      </w:pPr>
      <w:r w:rsidRPr="00A35845">
        <w:rPr>
          <w:rFonts w:eastAsia="Times New Roman" w:cs="Times New Roman"/>
          <w:bCs/>
          <w:sz w:val="20"/>
          <w:szCs w:val="20"/>
          <w:lang w:val="en-US" w:eastAsia="en-CA"/>
        </w:rPr>
        <w:t>The motion for an extension of time to serve and file the motion for leave to intervene of the African Canadian Legal Clinic is granted.</w:t>
      </w:r>
    </w:p>
    <w:p w:rsidR="00A35845" w:rsidRPr="00A35845" w:rsidRDefault="00A35845" w:rsidP="00A35845">
      <w:pPr>
        <w:spacing w:line="233" w:lineRule="auto"/>
        <w:jc w:val="both"/>
        <w:rPr>
          <w:rFonts w:eastAsia="Times New Roman" w:cs="Times New Roman"/>
          <w:sz w:val="20"/>
          <w:szCs w:val="20"/>
          <w:lang w:val="en-US" w:eastAsia="en-CA"/>
        </w:rPr>
      </w:pPr>
    </w:p>
    <w:p w:rsidR="00A35845" w:rsidRPr="00A35845" w:rsidRDefault="00A35845" w:rsidP="00A35845">
      <w:pPr>
        <w:spacing w:line="233" w:lineRule="auto"/>
        <w:jc w:val="both"/>
        <w:rPr>
          <w:rFonts w:eastAsia="Times New Roman" w:cs="Times New Roman"/>
          <w:sz w:val="20"/>
          <w:szCs w:val="20"/>
          <w:lang w:val="en-US" w:eastAsia="en-CA"/>
        </w:rPr>
      </w:pPr>
      <w:r w:rsidRPr="00A35845">
        <w:rPr>
          <w:rFonts w:eastAsia="Times New Roman" w:cs="Times New Roman"/>
          <w:sz w:val="20"/>
          <w:szCs w:val="20"/>
          <w:lang w:val="en-US" w:eastAsia="en-CA"/>
        </w:rPr>
        <w:t xml:space="preserve">The motions for leave to intervene of </w:t>
      </w:r>
      <w:r w:rsidRPr="00A35845">
        <w:rPr>
          <w:rFonts w:eastAsia="Times New Roman" w:cs="Times New Roman"/>
          <w:sz w:val="20"/>
          <w:szCs w:val="20"/>
          <w:lang w:eastAsia="en-CA"/>
        </w:rPr>
        <w:t>the British Columbia Civil Liberties Association, the Canadian Civil Liberties Association, the Pivot Legal Society and the Canadian Association for Community Living are granted and the said four interveners</w:t>
      </w:r>
      <w:r w:rsidRPr="00A35845">
        <w:rPr>
          <w:rFonts w:eastAsia="Times New Roman" w:cs="Times New Roman"/>
          <w:sz w:val="20"/>
          <w:szCs w:val="20"/>
          <w:lang w:val="en-US" w:eastAsia="en-CA"/>
        </w:rPr>
        <w:t xml:space="preserve"> shall be entitled to each serve and file a factum not to exceed 10 pages in length in these appeals on or before October 24, 2014.</w:t>
      </w:r>
    </w:p>
    <w:p w:rsidR="00A35845" w:rsidRPr="00A35845" w:rsidRDefault="00A35845" w:rsidP="00A35845">
      <w:pPr>
        <w:spacing w:line="233" w:lineRule="auto"/>
        <w:jc w:val="both"/>
        <w:rPr>
          <w:rFonts w:eastAsia="Times New Roman" w:cs="Times New Roman"/>
          <w:sz w:val="20"/>
          <w:szCs w:val="20"/>
          <w:lang w:val="en-US" w:eastAsia="en-CA"/>
        </w:rPr>
      </w:pPr>
    </w:p>
    <w:p w:rsidR="00A35845" w:rsidRPr="00A35845" w:rsidRDefault="00A35845" w:rsidP="00A35845">
      <w:pPr>
        <w:spacing w:line="233" w:lineRule="auto"/>
        <w:jc w:val="both"/>
        <w:rPr>
          <w:rFonts w:eastAsia="Times New Roman" w:cs="Times New Roman"/>
          <w:bCs/>
          <w:sz w:val="20"/>
          <w:szCs w:val="20"/>
          <w:lang w:val="en-US" w:eastAsia="en-CA"/>
        </w:rPr>
      </w:pPr>
      <w:r w:rsidRPr="00A35845">
        <w:rPr>
          <w:rFonts w:eastAsia="Times New Roman" w:cs="Times New Roman"/>
          <w:sz w:val="20"/>
          <w:szCs w:val="20"/>
          <w:lang w:val="en-US" w:eastAsia="en-CA"/>
        </w:rPr>
        <w:t>The motions for leave to intervene of the</w:t>
      </w:r>
      <w:r w:rsidRPr="00A35845">
        <w:rPr>
          <w:rFonts w:eastAsia="Times New Roman" w:cs="Times New Roman"/>
          <w:bCs/>
          <w:sz w:val="20"/>
          <w:szCs w:val="20"/>
          <w:lang w:val="en-US" w:eastAsia="en-CA"/>
        </w:rPr>
        <w:t xml:space="preserve"> John Howard Society, the Advocates’ Society, the Canadian Bar Association, the Canada’s National Firearms Association and the African Canadian Legal Clinic are granted and the said five interveners shall be entitled to each serve and file a factum not to exceed 10 pages in length in the appeal of </w:t>
      </w:r>
      <w:r w:rsidRPr="00A35845">
        <w:rPr>
          <w:rFonts w:eastAsia="Times New Roman" w:cs="Times New Roman"/>
          <w:bCs/>
          <w:i/>
          <w:sz w:val="20"/>
          <w:szCs w:val="20"/>
          <w:lang w:val="en-US" w:eastAsia="en-CA"/>
        </w:rPr>
        <w:t xml:space="preserve">Her Majesty the Queen v. Hussein Jama Nur -and between- Attorney General of Canada v. Hussein Jama Nur </w:t>
      </w:r>
      <w:r w:rsidRPr="00A35845">
        <w:rPr>
          <w:rFonts w:eastAsia="Times New Roman" w:cs="Times New Roman"/>
          <w:bCs/>
          <w:sz w:val="20"/>
          <w:szCs w:val="20"/>
          <w:lang w:val="en-US" w:eastAsia="en-CA"/>
        </w:rPr>
        <w:t>on or before October 24, 2014.</w:t>
      </w:r>
    </w:p>
    <w:p w:rsidR="00A35845" w:rsidRPr="00A35845" w:rsidRDefault="00A35845" w:rsidP="00A35845">
      <w:pPr>
        <w:spacing w:line="233" w:lineRule="auto"/>
        <w:jc w:val="both"/>
        <w:rPr>
          <w:rFonts w:eastAsia="Times New Roman" w:cs="Times New Roman"/>
          <w:sz w:val="20"/>
          <w:szCs w:val="20"/>
          <w:lang w:val="en-US" w:eastAsia="en-CA"/>
        </w:rPr>
      </w:pPr>
    </w:p>
    <w:p w:rsidR="00A35845" w:rsidRPr="00A35845" w:rsidRDefault="00A35845" w:rsidP="00A35845">
      <w:pPr>
        <w:spacing w:line="233" w:lineRule="auto"/>
        <w:jc w:val="both"/>
        <w:rPr>
          <w:rFonts w:eastAsia="Times New Roman" w:cs="Times New Roman"/>
          <w:sz w:val="20"/>
          <w:szCs w:val="20"/>
          <w:lang w:val="en-US" w:eastAsia="en-CA"/>
        </w:rPr>
      </w:pPr>
      <w:r w:rsidRPr="00A35845">
        <w:rPr>
          <w:rFonts w:eastAsia="Times New Roman" w:cs="Times New Roman"/>
          <w:sz w:val="20"/>
          <w:szCs w:val="20"/>
          <w:lang w:val="en-US" w:eastAsia="en-CA"/>
        </w:rPr>
        <w:t>The requests to present oral argument are deferred to a date following receipt and consideration of the written arguments of the parties and the interveners.</w:t>
      </w:r>
    </w:p>
    <w:p w:rsidR="00A35845" w:rsidRPr="00A35845" w:rsidRDefault="00A35845" w:rsidP="00A35845">
      <w:pPr>
        <w:spacing w:line="233" w:lineRule="auto"/>
        <w:jc w:val="both"/>
        <w:rPr>
          <w:rFonts w:eastAsia="Times New Roman" w:cs="Times New Roman"/>
          <w:sz w:val="20"/>
          <w:szCs w:val="20"/>
          <w:lang w:val="en-US" w:eastAsia="en-CA"/>
        </w:rPr>
      </w:pPr>
    </w:p>
    <w:p w:rsidR="00A35845" w:rsidRPr="00A35845" w:rsidRDefault="00274132" w:rsidP="00A35845">
      <w:pPr>
        <w:spacing w:line="233" w:lineRule="auto"/>
        <w:jc w:val="both"/>
        <w:rPr>
          <w:rFonts w:eastAsia="Times New Roman" w:cs="Times New Roman"/>
          <w:sz w:val="20"/>
          <w:szCs w:val="20"/>
          <w:lang w:val="en-US" w:eastAsia="en-CA"/>
        </w:rPr>
      </w:pPr>
      <w:r w:rsidRPr="00A35845">
        <w:rPr>
          <w:rFonts w:eastAsia="Times New Roman" w:cs="Times New Roman"/>
          <w:sz w:val="20"/>
          <w:szCs w:val="20"/>
          <w:lang w:eastAsia="en-CA"/>
        </w:rPr>
        <w:fldChar w:fldCharType="begin"/>
      </w:r>
      <w:r w:rsidR="00A35845" w:rsidRPr="00A35845">
        <w:rPr>
          <w:rFonts w:eastAsia="Times New Roman" w:cs="Times New Roman"/>
          <w:sz w:val="20"/>
          <w:szCs w:val="20"/>
          <w:lang w:eastAsia="en-CA"/>
        </w:rPr>
        <w:instrText xml:space="preserve"> SEQ CHAPTER \h \r 1</w:instrText>
      </w:r>
      <w:r w:rsidRPr="00A35845">
        <w:rPr>
          <w:rFonts w:eastAsia="Times New Roman" w:cs="Times New Roman"/>
          <w:sz w:val="20"/>
          <w:szCs w:val="20"/>
          <w:lang w:eastAsia="en-CA"/>
        </w:rPr>
        <w:fldChar w:fldCharType="end"/>
      </w:r>
      <w:r w:rsidR="00A35845" w:rsidRPr="00A35845">
        <w:rPr>
          <w:rFonts w:eastAsia="Times New Roman" w:cs="Times New Roman"/>
          <w:bCs/>
          <w:sz w:val="20"/>
          <w:szCs w:val="20"/>
          <w:lang w:val="en-US" w:eastAsia="en-CA"/>
        </w:rPr>
        <w:t>The interveners are not entitled to raise new issues or to adduce further evidence or otherwise to supplement the record of the parties.</w:t>
      </w:r>
    </w:p>
    <w:p w:rsidR="00A35845" w:rsidRPr="00A35845" w:rsidRDefault="00A35845" w:rsidP="00A35845">
      <w:pPr>
        <w:spacing w:line="233" w:lineRule="auto"/>
        <w:jc w:val="both"/>
        <w:rPr>
          <w:rFonts w:eastAsia="Times New Roman" w:cs="Times New Roman"/>
          <w:sz w:val="20"/>
          <w:szCs w:val="20"/>
          <w:lang w:val="en-US" w:eastAsia="en-CA"/>
        </w:rPr>
      </w:pPr>
    </w:p>
    <w:p w:rsidR="00A35845" w:rsidRPr="00A35845" w:rsidRDefault="00A35845" w:rsidP="00A35845">
      <w:pPr>
        <w:spacing w:line="233" w:lineRule="auto"/>
        <w:jc w:val="both"/>
        <w:rPr>
          <w:rFonts w:eastAsia="Times New Roman" w:cs="Times New Roman"/>
          <w:sz w:val="20"/>
          <w:szCs w:val="20"/>
          <w:lang w:val="en-US" w:eastAsia="en-CA"/>
        </w:rPr>
      </w:pPr>
      <w:r w:rsidRPr="00A35845">
        <w:rPr>
          <w:rFonts w:eastAsia="Times New Roman" w:cs="Times New Roman"/>
          <w:sz w:val="20"/>
          <w:szCs w:val="20"/>
          <w:lang w:val="en-US" w:eastAsia="en-CA"/>
        </w:rPr>
        <w:t>Pursuant to Rule 59(1)(</w:t>
      </w:r>
      <w:r w:rsidRPr="00A35845">
        <w:rPr>
          <w:rFonts w:eastAsia="Times New Roman" w:cs="Times New Roman"/>
          <w:i/>
          <w:iCs/>
          <w:sz w:val="20"/>
          <w:szCs w:val="20"/>
          <w:lang w:val="en-US" w:eastAsia="en-CA"/>
        </w:rPr>
        <w:t>a</w:t>
      </w:r>
      <w:r w:rsidRPr="00A35845">
        <w:rPr>
          <w:rFonts w:eastAsia="Times New Roman" w:cs="Times New Roman"/>
          <w:sz w:val="20"/>
          <w:szCs w:val="20"/>
          <w:lang w:val="en-US" w:eastAsia="en-CA"/>
        </w:rPr>
        <w:t xml:space="preserve">) of the </w:t>
      </w:r>
      <w:r w:rsidRPr="00A35845">
        <w:rPr>
          <w:rFonts w:eastAsia="Times New Roman" w:cs="Times New Roman"/>
          <w:i/>
          <w:iCs/>
          <w:sz w:val="20"/>
          <w:szCs w:val="20"/>
          <w:lang w:val="en-US" w:eastAsia="en-CA"/>
        </w:rPr>
        <w:t>Rules of the Supreme Court of Canada</w:t>
      </w:r>
      <w:r w:rsidRPr="00A35845">
        <w:rPr>
          <w:rFonts w:eastAsia="Times New Roman" w:cs="Times New Roman"/>
          <w:sz w:val="20"/>
          <w:szCs w:val="20"/>
          <w:lang w:val="en-US" w:eastAsia="en-CA"/>
        </w:rPr>
        <w:t>, the interveners shall pay to the appellants and respondents any additional disbursements occasioned to the appellants and respondents by their interventions.</w:t>
      </w:r>
    </w:p>
    <w:p w:rsidR="00A35845" w:rsidRPr="00A35845" w:rsidRDefault="00A35845" w:rsidP="00A35845">
      <w:pPr>
        <w:spacing w:line="233" w:lineRule="auto"/>
        <w:jc w:val="both"/>
        <w:rPr>
          <w:rFonts w:eastAsia="Times New Roman" w:cs="Times New Roman"/>
          <w:sz w:val="20"/>
          <w:szCs w:val="20"/>
          <w:lang w:val="en-US" w:eastAsia="en-CA"/>
        </w:rPr>
      </w:pPr>
    </w:p>
    <w:p w:rsidR="00A35845" w:rsidRPr="00A35845" w:rsidRDefault="00A35845" w:rsidP="00A35845">
      <w:pPr>
        <w:spacing w:line="233" w:lineRule="auto"/>
        <w:jc w:val="both"/>
        <w:rPr>
          <w:rFonts w:eastAsia="Times New Roman" w:cs="Times New Roman"/>
          <w:sz w:val="20"/>
          <w:szCs w:val="20"/>
          <w:lang w:val="en-US" w:eastAsia="en-CA"/>
        </w:rPr>
      </w:pPr>
    </w:p>
    <w:p w:rsidR="00A35845" w:rsidRPr="00A35845" w:rsidRDefault="00A35845" w:rsidP="00A35845">
      <w:pPr>
        <w:spacing w:line="233" w:lineRule="auto"/>
        <w:rPr>
          <w:rFonts w:eastAsia="Times New Roman" w:cs="Times New Roman"/>
          <w:sz w:val="20"/>
          <w:szCs w:val="20"/>
          <w:lang w:val="en-US" w:eastAsia="en-CA"/>
        </w:rPr>
      </w:pPr>
    </w:p>
    <w:p w:rsidR="00A35845" w:rsidRPr="00A35845" w:rsidRDefault="00A35845" w:rsidP="00A35845">
      <w:pPr>
        <w:spacing w:line="233" w:lineRule="auto"/>
        <w:jc w:val="both"/>
        <w:rPr>
          <w:rFonts w:eastAsia="Times New Roman" w:cs="Times New Roman"/>
          <w:sz w:val="20"/>
          <w:szCs w:val="20"/>
          <w:lang w:val="fr-CA" w:eastAsia="en-CA"/>
        </w:rPr>
      </w:pPr>
      <w:r w:rsidRPr="00A35845">
        <w:rPr>
          <w:rFonts w:eastAsia="Times New Roman" w:cs="Times New Roman"/>
          <w:b/>
          <w:bCs/>
          <w:sz w:val="20"/>
          <w:szCs w:val="20"/>
          <w:lang w:val="fr-CA" w:eastAsia="en-CA"/>
        </w:rPr>
        <w:t xml:space="preserve">À LA SUITE DES DEMANDES </w:t>
      </w:r>
      <w:r w:rsidRPr="00A35845">
        <w:rPr>
          <w:rFonts w:eastAsia="Times New Roman" w:cs="Times New Roman"/>
          <w:bCs/>
          <w:sz w:val="20"/>
          <w:szCs w:val="20"/>
          <w:lang w:val="fr-CA" w:eastAsia="en-CA"/>
        </w:rPr>
        <w:t>présentées par l’Association des libertés civiles de la Colombie-Britannique, l’Association canadienne des libertés civiles, la Pivot Legal Society et l’Association canadienne pour l’intégration communautaire en autorisation d’intervenir dans les appels</w:t>
      </w:r>
      <w:r w:rsidRPr="00A35845">
        <w:rPr>
          <w:rFonts w:eastAsia="Times New Roman" w:cs="Times New Roman"/>
          <w:sz w:val="20"/>
          <w:szCs w:val="20"/>
          <w:lang w:val="fr-CA" w:eastAsia="en-CA"/>
        </w:rPr>
        <w:t>;</w:t>
      </w:r>
    </w:p>
    <w:p w:rsidR="00A35845" w:rsidRPr="00A35845" w:rsidRDefault="00A35845" w:rsidP="00A35845">
      <w:pPr>
        <w:spacing w:line="233" w:lineRule="auto"/>
        <w:jc w:val="both"/>
        <w:rPr>
          <w:rFonts w:eastAsia="Times New Roman" w:cs="Times New Roman"/>
          <w:sz w:val="20"/>
          <w:szCs w:val="20"/>
          <w:lang w:val="fr-CA" w:eastAsia="en-CA"/>
        </w:rPr>
      </w:pPr>
    </w:p>
    <w:p w:rsidR="00A35845" w:rsidRPr="00A35845" w:rsidRDefault="00A35845" w:rsidP="00A35845">
      <w:pPr>
        <w:spacing w:line="233" w:lineRule="auto"/>
        <w:jc w:val="both"/>
        <w:rPr>
          <w:rFonts w:eastAsia="Times New Roman" w:cs="Times New Roman"/>
          <w:bCs/>
          <w:sz w:val="20"/>
          <w:szCs w:val="20"/>
          <w:lang w:val="fr-CA" w:eastAsia="en-CA"/>
        </w:rPr>
      </w:pPr>
      <w:r w:rsidRPr="00A35845">
        <w:rPr>
          <w:rFonts w:eastAsia="Times New Roman" w:cs="Times New Roman"/>
          <w:b/>
          <w:bCs/>
          <w:sz w:val="20"/>
          <w:szCs w:val="20"/>
          <w:lang w:val="fr-CA" w:eastAsia="en-CA"/>
        </w:rPr>
        <w:t xml:space="preserve">ET À LA SUITE DES DEMANDES </w:t>
      </w:r>
      <w:r w:rsidRPr="00A35845">
        <w:rPr>
          <w:rFonts w:eastAsia="Times New Roman" w:cs="Times New Roman"/>
          <w:bCs/>
          <w:sz w:val="20"/>
          <w:szCs w:val="20"/>
          <w:lang w:val="fr-CA" w:eastAsia="en-CA"/>
        </w:rPr>
        <w:t xml:space="preserve">présentées par la Société John Howard, l’Advocates’ Society, l’Association du Barreau canadien, l’Association canadienne pour les armes à feu et la Clinique juridique africaine canadienne en autorisation d’intervenir dans l’appel interjeté de l’instance </w:t>
      </w:r>
      <w:r w:rsidRPr="00A35845">
        <w:rPr>
          <w:rFonts w:eastAsia="Times New Roman" w:cs="Times New Roman"/>
          <w:bCs/>
          <w:i/>
          <w:sz w:val="20"/>
          <w:szCs w:val="20"/>
          <w:lang w:val="fr-CA" w:eastAsia="en-CA"/>
        </w:rPr>
        <w:t>Sa Majesté la Reine c. Hussein Jama Nur – et entre – Procureur général du Canada c. Hussein Jama Nur</w:t>
      </w:r>
      <w:r w:rsidRPr="00A35845">
        <w:rPr>
          <w:rFonts w:eastAsia="Times New Roman" w:cs="Times New Roman"/>
          <w:bCs/>
          <w:sz w:val="20"/>
          <w:szCs w:val="20"/>
          <w:lang w:val="fr-CA" w:eastAsia="en-CA"/>
        </w:rPr>
        <w:t>;</w:t>
      </w:r>
    </w:p>
    <w:p w:rsidR="00A35845" w:rsidRPr="00A35845" w:rsidRDefault="00A35845" w:rsidP="00A35845">
      <w:pPr>
        <w:spacing w:line="233" w:lineRule="auto"/>
        <w:jc w:val="both"/>
        <w:rPr>
          <w:rFonts w:eastAsia="Times New Roman" w:cs="Times New Roman"/>
          <w:bCs/>
          <w:sz w:val="20"/>
          <w:szCs w:val="20"/>
          <w:lang w:val="fr-CA" w:eastAsia="en-CA"/>
        </w:rPr>
      </w:pPr>
    </w:p>
    <w:p w:rsidR="00A35845" w:rsidRPr="00A35845" w:rsidRDefault="00A35845" w:rsidP="00A35845">
      <w:pPr>
        <w:spacing w:line="233" w:lineRule="auto"/>
        <w:jc w:val="both"/>
        <w:rPr>
          <w:rFonts w:eastAsia="Times New Roman" w:cs="Times New Roman"/>
          <w:bCs/>
          <w:sz w:val="20"/>
          <w:szCs w:val="20"/>
          <w:lang w:val="fr-CA" w:eastAsia="en-CA"/>
        </w:rPr>
      </w:pPr>
      <w:r w:rsidRPr="00A35845">
        <w:rPr>
          <w:rFonts w:eastAsia="Times New Roman" w:cs="Times New Roman"/>
          <w:b/>
          <w:bCs/>
          <w:sz w:val="20"/>
          <w:szCs w:val="20"/>
          <w:lang w:val="fr-CA" w:eastAsia="en-CA"/>
        </w:rPr>
        <w:t>ET À LA SUITE DE LA DEMANDE</w:t>
      </w:r>
      <w:r w:rsidRPr="00A35845">
        <w:rPr>
          <w:rFonts w:eastAsia="Times New Roman" w:cs="Times New Roman"/>
          <w:bCs/>
          <w:sz w:val="20"/>
          <w:szCs w:val="20"/>
          <w:lang w:val="fr-CA" w:eastAsia="en-CA"/>
        </w:rPr>
        <w:t xml:space="preserve"> présentée par la Clinique juridique africaine canadienne en prorogation du délai pour signifier et déposer une requête en autorisation d’intervenir dans l’appel </w:t>
      </w:r>
      <w:r w:rsidRPr="00A35845">
        <w:rPr>
          <w:rFonts w:eastAsia="Times New Roman" w:cs="Times New Roman"/>
          <w:sz w:val="20"/>
          <w:szCs w:val="20"/>
          <w:lang w:val="fr-CA" w:eastAsia="en-CA"/>
        </w:rPr>
        <w:t xml:space="preserve">interjeté de l’instance </w:t>
      </w:r>
      <w:r w:rsidRPr="00A35845">
        <w:rPr>
          <w:rFonts w:eastAsia="Times New Roman" w:cs="Times New Roman"/>
          <w:i/>
          <w:sz w:val="20"/>
          <w:szCs w:val="20"/>
          <w:lang w:val="fr-CA" w:eastAsia="en-CA"/>
        </w:rPr>
        <w:t>Sa Majesté la Reine</w:t>
      </w:r>
      <w:r w:rsidRPr="00A35845">
        <w:rPr>
          <w:rFonts w:eastAsia="Times New Roman" w:cs="Times New Roman"/>
          <w:bCs/>
          <w:i/>
          <w:sz w:val="20"/>
          <w:szCs w:val="20"/>
          <w:lang w:val="fr-CA" w:eastAsia="en-CA"/>
        </w:rPr>
        <w:t xml:space="preserve"> c. Hussein Jama Nur – et entre – Procureur général du Canada c. Hussein Jama Nur</w:t>
      </w:r>
      <w:r w:rsidRPr="00A35845">
        <w:rPr>
          <w:rFonts w:eastAsia="Times New Roman" w:cs="Times New Roman"/>
          <w:bCs/>
          <w:sz w:val="20"/>
          <w:szCs w:val="20"/>
          <w:lang w:val="fr-CA" w:eastAsia="en-CA"/>
        </w:rPr>
        <w:t>;</w:t>
      </w:r>
    </w:p>
    <w:p w:rsidR="00A35845" w:rsidRPr="00A35845" w:rsidRDefault="00A35845" w:rsidP="00A35845">
      <w:pPr>
        <w:spacing w:line="233" w:lineRule="auto"/>
        <w:jc w:val="both"/>
        <w:rPr>
          <w:rFonts w:eastAsia="Times New Roman" w:cs="Times New Roman"/>
          <w:sz w:val="20"/>
          <w:szCs w:val="20"/>
          <w:lang w:val="fr-CA" w:eastAsia="en-CA"/>
        </w:rPr>
      </w:pPr>
    </w:p>
    <w:p w:rsidR="00A35845" w:rsidRPr="00A35845" w:rsidRDefault="00A35845" w:rsidP="00A35845">
      <w:pPr>
        <w:spacing w:line="233" w:lineRule="auto"/>
        <w:jc w:val="both"/>
        <w:rPr>
          <w:rFonts w:eastAsia="Times New Roman" w:cs="Times New Roman"/>
          <w:sz w:val="20"/>
          <w:szCs w:val="20"/>
          <w:lang w:val="fr-CA" w:eastAsia="en-CA"/>
        </w:rPr>
      </w:pPr>
      <w:r w:rsidRPr="00A35845">
        <w:rPr>
          <w:rFonts w:eastAsia="Times New Roman" w:cs="Times New Roman"/>
          <w:b/>
          <w:bCs/>
          <w:sz w:val="20"/>
          <w:szCs w:val="20"/>
          <w:lang w:val="fr-CA" w:eastAsia="en-CA"/>
        </w:rPr>
        <w:t xml:space="preserve">ET APRÈS EXAMEN </w:t>
      </w:r>
      <w:r w:rsidRPr="00A35845">
        <w:rPr>
          <w:rFonts w:eastAsia="Times New Roman" w:cs="Times New Roman"/>
          <w:bCs/>
          <w:sz w:val="20"/>
          <w:szCs w:val="20"/>
          <w:lang w:val="fr-CA" w:eastAsia="en-CA"/>
        </w:rPr>
        <w:t>des documents déposés</w:t>
      </w:r>
      <w:r w:rsidRPr="00A35845">
        <w:rPr>
          <w:rFonts w:eastAsia="Times New Roman" w:cs="Times New Roman"/>
          <w:sz w:val="20"/>
          <w:szCs w:val="20"/>
          <w:lang w:val="fr-CA" w:eastAsia="en-CA"/>
        </w:rPr>
        <w:t>;</w:t>
      </w:r>
    </w:p>
    <w:p w:rsidR="00A35845" w:rsidRPr="00A35845" w:rsidRDefault="00A35845" w:rsidP="00A35845">
      <w:pPr>
        <w:spacing w:line="233" w:lineRule="auto"/>
        <w:jc w:val="center"/>
        <w:rPr>
          <w:rFonts w:eastAsia="Times New Roman" w:cs="Times New Roman"/>
          <w:sz w:val="20"/>
          <w:szCs w:val="20"/>
          <w:lang w:val="fr-CA" w:eastAsia="en-CA"/>
        </w:rPr>
      </w:pPr>
    </w:p>
    <w:p w:rsidR="00A35845" w:rsidRPr="00A35845" w:rsidRDefault="00A35845" w:rsidP="00A35845">
      <w:pPr>
        <w:spacing w:line="233" w:lineRule="auto"/>
        <w:jc w:val="both"/>
        <w:rPr>
          <w:rFonts w:eastAsia="Times New Roman" w:cs="Times New Roman"/>
          <w:b/>
          <w:bCs/>
          <w:sz w:val="20"/>
          <w:szCs w:val="20"/>
          <w:lang w:val="fr-CA" w:eastAsia="en-CA"/>
        </w:rPr>
      </w:pPr>
      <w:r w:rsidRPr="00A35845">
        <w:rPr>
          <w:rFonts w:eastAsia="Times New Roman" w:cs="Times New Roman"/>
          <w:b/>
          <w:bCs/>
          <w:sz w:val="20"/>
          <w:szCs w:val="20"/>
          <w:lang w:val="fr-CA" w:eastAsia="en-CA"/>
        </w:rPr>
        <w:t>IL EST ORDONNÉ CE QUI SUIT :</w:t>
      </w:r>
    </w:p>
    <w:p w:rsidR="00A35845" w:rsidRPr="00A35845" w:rsidRDefault="00A35845" w:rsidP="00A35845">
      <w:pPr>
        <w:spacing w:line="233" w:lineRule="auto"/>
        <w:jc w:val="both"/>
        <w:rPr>
          <w:rFonts w:eastAsia="Times New Roman" w:cs="Times New Roman"/>
          <w:sz w:val="20"/>
          <w:szCs w:val="20"/>
          <w:lang w:val="fr-CA" w:eastAsia="en-CA"/>
        </w:rPr>
      </w:pPr>
    </w:p>
    <w:p w:rsidR="00A35845" w:rsidRPr="00A35845" w:rsidRDefault="00A35845" w:rsidP="00A35845">
      <w:pPr>
        <w:spacing w:line="233" w:lineRule="auto"/>
        <w:jc w:val="both"/>
        <w:rPr>
          <w:rFonts w:eastAsia="Times New Roman" w:cs="Times New Roman"/>
          <w:sz w:val="20"/>
          <w:szCs w:val="20"/>
          <w:lang w:val="fr-CA" w:eastAsia="en-CA"/>
        </w:rPr>
      </w:pPr>
      <w:r w:rsidRPr="00A35845">
        <w:rPr>
          <w:rFonts w:eastAsia="Times New Roman" w:cs="Times New Roman"/>
          <w:bCs/>
          <w:sz w:val="20"/>
          <w:szCs w:val="20"/>
          <w:lang w:val="fr-CA" w:eastAsia="en-CA"/>
        </w:rPr>
        <w:t>La requête en prorogation du délai pour signifier et déposer une requête en intervention présentée par la Clinique juridique africaine canadienne est accueillie.</w:t>
      </w:r>
    </w:p>
    <w:p w:rsidR="00A35845" w:rsidRPr="00A35845" w:rsidRDefault="00A35845" w:rsidP="00A35845">
      <w:pPr>
        <w:spacing w:line="233" w:lineRule="auto"/>
        <w:jc w:val="both"/>
        <w:rPr>
          <w:rFonts w:eastAsia="Times New Roman" w:cs="Times New Roman"/>
          <w:sz w:val="20"/>
          <w:szCs w:val="20"/>
          <w:lang w:val="fr-CA" w:eastAsia="en-CA"/>
        </w:rPr>
      </w:pPr>
    </w:p>
    <w:p w:rsidR="00A35845" w:rsidRPr="00A35845" w:rsidRDefault="00A35845" w:rsidP="00A35845">
      <w:pPr>
        <w:spacing w:line="233" w:lineRule="auto"/>
        <w:jc w:val="both"/>
        <w:rPr>
          <w:rFonts w:eastAsia="Times New Roman" w:cs="Times New Roman"/>
          <w:sz w:val="20"/>
          <w:szCs w:val="20"/>
          <w:lang w:val="fr-CA" w:eastAsia="en-CA"/>
        </w:rPr>
      </w:pPr>
      <w:r w:rsidRPr="00A35845">
        <w:rPr>
          <w:rFonts w:eastAsia="Times New Roman" w:cs="Times New Roman"/>
          <w:sz w:val="20"/>
          <w:szCs w:val="20"/>
          <w:lang w:val="fr-CA" w:eastAsia="en-CA"/>
        </w:rPr>
        <w:t>Les requêtes en intervention présentées par l’Association des libertés civiles de la Colombie-Britannique, l’Association canadienne des libertés civiles, la Pivot Legal Society et l’Association canadienne pour l’intégration communautaire sont accueillies, et ces quatre intervenantes pourront chacune signifier et déposer un mémoire d’au plus 10 pages au plus tard le 24 octobre 2014.</w:t>
      </w:r>
    </w:p>
    <w:p w:rsidR="00A35845" w:rsidRPr="00A35845" w:rsidRDefault="00A35845" w:rsidP="00A35845">
      <w:pPr>
        <w:spacing w:line="233" w:lineRule="auto"/>
        <w:jc w:val="both"/>
        <w:rPr>
          <w:rFonts w:eastAsia="Times New Roman" w:cs="Times New Roman"/>
          <w:sz w:val="20"/>
          <w:szCs w:val="20"/>
          <w:lang w:val="fr-CA" w:eastAsia="en-CA"/>
        </w:rPr>
      </w:pPr>
    </w:p>
    <w:p w:rsidR="00A35845" w:rsidRPr="00A35845" w:rsidRDefault="00A35845" w:rsidP="00A35845">
      <w:pPr>
        <w:spacing w:line="233" w:lineRule="auto"/>
        <w:jc w:val="both"/>
        <w:rPr>
          <w:rFonts w:eastAsia="Times New Roman" w:cs="Times New Roman"/>
          <w:bCs/>
          <w:sz w:val="20"/>
          <w:szCs w:val="20"/>
          <w:lang w:val="fr-CA" w:eastAsia="en-CA"/>
        </w:rPr>
      </w:pPr>
      <w:r w:rsidRPr="00A35845">
        <w:rPr>
          <w:rFonts w:eastAsia="Times New Roman" w:cs="Times New Roman"/>
          <w:sz w:val="20"/>
          <w:szCs w:val="20"/>
          <w:lang w:val="fr-CA" w:eastAsia="en-CA"/>
        </w:rPr>
        <w:t xml:space="preserve">Les requêtes en intervention présentées par la Société John Howard, l’Advocates’ Society, l’Association du Barreau canadien, l’Association canadienne pour les armes à feu et la Clinique juridique africaine canadienne sont accueillies, et ces cinq intervenantes pourront chacune signifier et déposer un mémoire d’au plus 10 pages dans l’appel de l’instance </w:t>
      </w:r>
      <w:r w:rsidRPr="00A35845">
        <w:rPr>
          <w:rFonts w:eastAsia="Times New Roman" w:cs="Times New Roman"/>
          <w:bCs/>
          <w:i/>
          <w:sz w:val="20"/>
          <w:szCs w:val="20"/>
          <w:lang w:val="fr-CA" w:eastAsia="en-CA"/>
        </w:rPr>
        <w:t xml:space="preserve">Sa Majesté la Reine c. Hussein Jama Nur – et entre – Procureur général du Canada c. Hussein Jama Nur </w:t>
      </w:r>
      <w:r w:rsidRPr="00A35845">
        <w:rPr>
          <w:rFonts w:eastAsia="Times New Roman" w:cs="Times New Roman"/>
          <w:bCs/>
          <w:sz w:val="20"/>
          <w:szCs w:val="20"/>
          <w:lang w:val="fr-CA" w:eastAsia="en-CA"/>
        </w:rPr>
        <w:t>au plus tard le 24 octobre 2014.</w:t>
      </w:r>
    </w:p>
    <w:p w:rsidR="00A35845" w:rsidRPr="00A35845" w:rsidRDefault="00A35845" w:rsidP="00A35845">
      <w:pPr>
        <w:spacing w:line="233" w:lineRule="auto"/>
        <w:jc w:val="both"/>
        <w:rPr>
          <w:rFonts w:eastAsia="Times New Roman" w:cs="Times New Roman"/>
          <w:sz w:val="20"/>
          <w:szCs w:val="20"/>
          <w:lang w:val="fr-CA" w:eastAsia="en-CA"/>
        </w:rPr>
      </w:pPr>
    </w:p>
    <w:p w:rsidR="00A35845" w:rsidRPr="00A35845" w:rsidRDefault="00A35845" w:rsidP="00A35845">
      <w:pPr>
        <w:spacing w:line="233" w:lineRule="auto"/>
        <w:jc w:val="both"/>
        <w:rPr>
          <w:rFonts w:eastAsia="Times New Roman" w:cs="Times New Roman"/>
          <w:sz w:val="20"/>
          <w:szCs w:val="20"/>
          <w:lang w:val="fr-CA" w:eastAsia="en-CA"/>
        </w:rPr>
      </w:pPr>
      <w:r w:rsidRPr="00A35845">
        <w:rPr>
          <w:rFonts w:eastAsia="Times New Roman" w:cs="Times New Roman"/>
          <w:sz w:val="20"/>
          <w:szCs w:val="20"/>
          <w:lang w:val="fr-CA" w:eastAsia="en-CA"/>
        </w:rPr>
        <w:t>Les décisions sur les demandes en vue de présenter une plaidoirie orale seront rendues après réception et examen des arguments écrits des parties et des intervenantes.</w:t>
      </w:r>
    </w:p>
    <w:p w:rsidR="00A35845" w:rsidRPr="00A35845" w:rsidRDefault="00A35845" w:rsidP="00A35845">
      <w:pPr>
        <w:spacing w:line="233" w:lineRule="auto"/>
        <w:jc w:val="both"/>
        <w:rPr>
          <w:rFonts w:eastAsia="Times New Roman" w:cs="Times New Roman"/>
          <w:sz w:val="20"/>
          <w:szCs w:val="20"/>
          <w:lang w:val="fr-CA" w:eastAsia="en-CA"/>
        </w:rPr>
      </w:pPr>
    </w:p>
    <w:p w:rsidR="00A35845" w:rsidRPr="00A35845" w:rsidRDefault="00A35845" w:rsidP="00A35845">
      <w:pPr>
        <w:spacing w:line="233" w:lineRule="auto"/>
        <w:jc w:val="both"/>
        <w:rPr>
          <w:rFonts w:eastAsia="Times New Roman" w:cs="Times New Roman"/>
          <w:sz w:val="20"/>
          <w:szCs w:val="20"/>
          <w:lang w:val="fr-CA" w:eastAsia="en-CA"/>
        </w:rPr>
      </w:pPr>
      <w:r w:rsidRPr="00A35845">
        <w:rPr>
          <w:rFonts w:eastAsia="Times New Roman" w:cs="Times New Roman"/>
          <w:sz w:val="20"/>
          <w:szCs w:val="20"/>
          <w:lang w:val="fr-CA" w:eastAsia="en-CA"/>
        </w:rPr>
        <w:t>Les intervenantes n’ont pas le droit de soulever de nouvelles questions, de produire d’autres éléments de preuve ni de compléter de quelque autre façon le dossier des parties</w:t>
      </w:r>
      <w:r w:rsidR="00274132" w:rsidRPr="00A35845">
        <w:rPr>
          <w:rFonts w:eastAsia="Times New Roman" w:cs="Times New Roman"/>
          <w:sz w:val="20"/>
          <w:szCs w:val="20"/>
          <w:lang w:val="fr-CA" w:eastAsia="en-CA"/>
        </w:rPr>
        <w:fldChar w:fldCharType="begin"/>
      </w:r>
      <w:r w:rsidRPr="00A35845">
        <w:rPr>
          <w:rFonts w:eastAsia="Times New Roman" w:cs="Times New Roman"/>
          <w:sz w:val="20"/>
          <w:szCs w:val="20"/>
          <w:lang w:val="fr-CA" w:eastAsia="en-CA"/>
        </w:rPr>
        <w:instrText xml:space="preserve"> SEQ CHAPTER \h \r 1</w:instrText>
      </w:r>
      <w:r w:rsidR="00274132" w:rsidRPr="00A35845">
        <w:rPr>
          <w:rFonts w:eastAsia="Times New Roman" w:cs="Times New Roman"/>
          <w:sz w:val="20"/>
          <w:szCs w:val="20"/>
          <w:lang w:val="fr-CA" w:eastAsia="en-CA"/>
        </w:rPr>
        <w:fldChar w:fldCharType="end"/>
      </w:r>
      <w:r w:rsidRPr="00A35845">
        <w:rPr>
          <w:rFonts w:eastAsia="Times New Roman" w:cs="Times New Roman"/>
          <w:bCs/>
          <w:sz w:val="20"/>
          <w:szCs w:val="20"/>
          <w:lang w:val="fr-CA" w:eastAsia="en-CA"/>
        </w:rPr>
        <w:t>.</w:t>
      </w:r>
    </w:p>
    <w:p w:rsidR="00A35845" w:rsidRPr="00A35845" w:rsidRDefault="00A35845" w:rsidP="00A35845">
      <w:pPr>
        <w:spacing w:line="233" w:lineRule="auto"/>
        <w:jc w:val="both"/>
        <w:rPr>
          <w:rFonts w:eastAsia="Times New Roman" w:cs="Times New Roman"/>
          <w:sz w:val="20"/>
          <w:szCs w:val="20"/>
          <w:lang w:val="fr-CA" w:eastAsia="en-CA"/>
        </w:rPr>
      </w:pPr>
    </w:p>
    <w:p w:rsidR="00A35845" w:rsidRPr="00A35845" w:rsidRDefault="00A35845" w:rsidP="00A35845">
      <w:pPr>
        <w:spacing w:line="233" w:lineRule="auto"/>
        <w:jc w:val="both"/>
        <w:rPr>
          <w:rFonts w:eastAsia="Times New Roman" w:cs="Times New Roman"/>
          <w:sz w:val="20"/>
          <w:szCs w:val="20"/>
          <w:lang w:val="fr-CA" w:eastAsia="en-CA"/>
        </w:rPr>
      </w:pPr>
      <w:r w:rsidRPr="00A35845">
        <w:rPr>
          <w:rFonts w:eastAsia="Times New Roman" w:cs="Times New Roman"/>
          <w:sz w:val="20"/>
          <w:szCs w:val="20"/>
          <w:lang w:val="fr-CA" w:eastAsia="en-CA"/>
        </w:rPr>
        <w:t>Conformément à l’alinéa 59(1)</w:t>
      </w:r>
      <w:r w:rsidRPr="00A35845">
        <w:rPr>
          <w:rFonts w:eastAsia="Times New Roman" w:cs="Times New Roman"/>
          <w:i/>
          <w:sz w:val="20"/>
          <w:szCs w:val="20"/>
          <w:lang w:val="fr-CA" w:eastAsia="en-CA"/>
        </w:rPr>
        <w:t>a</w:t>
      </w:r>
      <w:r w:rsidRPr="00A35845">
        <w:rPr>
          <w:rFonts w:eastAsia="Times New Roman" w:cs="Times New Roman"/>
          <w:sz w:val="20"/>
          <w:szCs w:val="20"/>
          <w:lang w:val="fr-CA" w:eastAsia="en-CA"/>
        </w:rPr>
        <w:t xml:space="preserve">) des </w:t>
      </w:r>
      <w:r w:rsidRPr="00A35845">
        <w:rPr>
          <w:rFonts w:eastAsia="Times New Roman" w:cs="Times New Roman"/>
          <w:i/>
          <w:sz w:val="20"/>
          <w:szCs w:val="20"/>
          <w:lang w:val="fr-CA" w:eastAsia="en-CA"/>
        </w:rPr>
        <w:t>Règles de la Cour suprême du Canada</w:t>
      </w:r>
      <w:r w:rsidRPr="00A35845">
        <w:rPr>
          <w:rFonts w:eastAsia="Times New Roman" w:cs="Times New Roman"/>
          <w:sz w:val="20"/>
          <w:szCs w:val="20"/>
          <w:lang w:val="fr-CA" w:eastAsia="en-CA"/>
        </w:rPr>
        <w:t>, les intervenantes paieront aux appelants et aux intimés tous débours supplémentaires résultant de leur intervention.</w:t>
      </w:r>
    </w:p>
    <w:p w:rsidR="00A35845" w:rsidRPr="00A35845" w:rsidRDefault="00A35845" w:rsidP="00A35845">
      <w:pPr>
        <w:jc w:val="both"/>
        <w:rPr>
          <w:rFonts w:eastAsia="Times New Roman" w:cs="Times New Roman"/>
          <w:sz w:val="20"/>
          <w:szCs w:val="20"/>
          <w:lang w:val="fr-CA" w:eastAsia="en-CA"/>
        </w:rPr>
      </w:pPr>
    </w:p>
    <w:p w:rsidR="00A35845" w:rsidRPr="00A35845" w:rsidRDefault="00F677DC" w:rsidP="00A35845">
      <w:pPr>
        <w:jc w:val="both"/>
        <w:rPr>
          <w:rFonts w:eastAsia="Times New Roman" w:cs="Times New Roman"/>
          <w:sz w:val="20"/>
          <w:szCs w:val="20"/>
          <w:lang w:val="fr-CA" w:eastAsia="en-CA"/>
        </w:rPr>
      </w:pPr>
      <w:r>
        <w:rPr>
          <w:rFonts w:eastAsia="Times New Roman" w:cs="Times New Roman"/>
          <w:sz w:val="20"/>
          <w:szCs w:val="20"/>
          <w:lang w:val="fr-CA" w:eastAsia="en-CA"/>
        </w:rPr>
        <w:pict>
          <v:rect id="_x0000_i1082" style="width:2in;height:1pt" o:hrpct="0" o:hralign="center" o:hrstd="t" o:hrnoshade="t" o:hr="t" fillcolor="black [3213]" stroked="f"/>
        </w:pict>
      </w:r>
    </w:p>
    <w:p w:rsidR="00A35845" w:rsidRPr="00A35845" w:rsidRDefault="00A35845" w:rsidP="00A35845">
      <w:pPr>
        <w:tabs>
          <w:tab w:val="left" w:pos="-1440"/>
          <w:tab w:val="left" w:pos="-720"/>
        </w:tabs>
        <w:jc w:val="both"/>
        <w:rPr>
          <w:rFonts w:eastAsia="Times New Roman" w:cs="Times New Roman"/>
          <w:sz w:val="20"/>
          <w:szCs w:val="20"/>
          <w:lang w:eastAsia="en-CA"/>
        </w:rPr>
      </w:pPr>
    </w:p>
    <w:p w:rsidR="00A35845" w:rsidRPr="00A35845" w:rsidRDefault="00A35845" w:rsidP="00A35845">
      <w:pPr>
        <w:tabs>
          <w:tab w:val="left" w:pos="-1440"/>
          <w:tab w:val="left" w:pos="-720"/>
        </w:tabs>
        <w:jc w:val="both"/>
        <w:rPr>
          <w:rFonts w:eastAsia="Times New Roman" w:cs="Times New Roman"/>
          <w:sz w:val="20"/>
          <w:szCs w:val="20"/>
          <w:lang w:val="fr-CA" w:eastAsia="en-CA"/>
        </w:rPr>
      </w:pPr>
      <w:r w:rsidRPr="00A35845">
        <w:rPr>
          <w:rFonts w:eastAsia="Times New Roman" w:cs="Times New Roman"/>
          <w:sz w:val="20"/>
          <w:szCs w:val="20"/>
          <w:lang w:val="fr-CA" w:eastAsia="en-CA"/>
        </w:rPr>
        <w:t>30.09.2014</w:t>
      </w:r>
    </w:p>
    <w:p w:rsidR="00A35845" w:rsidRPr="00A35845" w:rsidRDefault="00A35845" w:rsidP="00A35845">
      <w:pPr>
        <w:tabs>
          <w:tab w:val="left" w:pos="-1440"/>
          <w:tab w:val="left" w:pos="-720"/>
        </w:tabs>
        <w:jc w:val="both"/>
        <w:rPr>
          <w:rFonts w:eastAsia="Times New Roman" w:cs="Times New Roman"/>
          <w:sz w:val="20"/>
          <w:szCs w:val="20"/>
          <w:lang w:val="fr-CA" w:eastAsia="en-CA"/>
        </w:rPr>
      </w:pPr>
    </w:p>
    <w:p w:rsidR="00A35845" w:rsidRPr="00A35845" w:rsidRDefault="00A35845" w:rsidP="00A35845">
      <w:pPr>
        <w:tabs>
          <w:tab w:val="left" w:pos="-1440"/>
          <w:tab w:val="left" w:pos="-720"/>
        </w:tabs>
        <w:jc w:val="both"/>
        <w:rPr>
          <w:rFonts w:eastAsia="Times New Roman" w:cs="Times New Roman"/>
          <w:sz w:val="20"/>
          <w:szCs w:val="20"/>
          <w:lang w:val="fr-CA" w:eastAsia="en-CA"/>
        </w:rPr>
      </w:pPr>
      <w:r w:rsidRPr="00A35845">
        <w:rPr>
          <w:rFonts w:eastAsia="Times New Roman" w:cs="Times New Roman"/>
          <w:sz w:val="20"/>
          <w:szCs w:val="20"/>
          <w:lang w:val="fr-CA" w:eastAsia="en-CA"/>
        </w:rPr>
        <w:t>Before / Devant :   KARAKATSANIS J. / LA JUGE KARAKATSANIS</w:t>
      </w:r>
    </w:p>
    <w:p w:rsidR="00A35845" w:rsidRPr="00A35845" w:rsidRDefault="00A35845" w:rsidP="00A35845">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A35845" w:rsidRPr="00DA7379" w:rsidTr="00AB4E4F">
        <w:tc>
          <w:tcPr>
            <w:tcW w:w="4338" w:type="dxa"/>
          </w:tcPr>
          <w:p w:rsidR="00A35845" w:rsidRPr="00A35845" w:rsidRDefault="00274132" w:rsidP="00A35845">
            <w:pPr>
              <w:tabs>
                <w:tab w:val="left" w:pos="-1440"/>
                <w:tab w:val="left" w:pos="-720"/>
              </w:tabs>
              <w:jc w:val="both"/>
              <w:rPr>
                <w:b/>
              </w:rPr>
            </w:pPr>
            <w:r w:rsidRPr="00A35845">
              <w:rPr>
                <w:szCs w:val="24"/>
                <w:lang w:val="en-US"/>
              </w:rPr>
              <w:fldChar w:fldCharType="begin"/>
            </w:r>
            <w:r w:rsidR="00A35845" w:rsidRPr="00A35845">
              <w:rPr>
                <w:szCs w:val="24"/>
                <w:lang w:val="en-US"/>
              </w:rPr>
              <w:instrText xml:space="preserve"> SEQ CHAPTER \h \r 1</w:instrText>
            </w:r>
            <w:r w:rsidRPr="00A35845">
              <w:rPr>
                <w:szCs w:val="24"/>
                <w:lang w:val="en-US"/>
              </w:rPr>
              <w:fldChar w:fldCharType="end"/>
            </w:r>
            <w:r w:rsidR="00A35845" w:rsidRPr="00A35845">
              <w:rPr>
                <w:b/>
                <w:bCs/>
                <w:lang w:val="en-US"/>
              </w:rPr>
              <w:t xml:space="preserve">Motion to adduce new evidence </w:t>
            </w:r>
          </w:p>
        </w:tc>
        <w:tc>
          <w:tcPr>
            <w:tcW w:w="1170" w:type="dxa"/>
          </w:tcPr>
          <w:p w:rsidR="00A35845" w:rsidRPr="00A35845" w:rsidRDefault="00A35845" w:rsidP="00A35845">
            <w:pPr>
              <w:tabs>
                <w:tab w:val="left" w:pos="-1440"/>
                <w:tab w:val="left" w:pos="-720"/>
              </w:tabs>
              <w:jc w:val="both"/>
            </w:pPr>
          </w:p>
          <w:p w:rsidR="00A35845" w:rsidRPr="00A35845" w:rsidRDefault="00A35845" w:rsidP="00A35845">
            <w:pPr>
              <w:tabs>
                <w:tab w:val="left" w:pos="-1440"/>
                <w:tab w:val="left" w:pos="-720"/>
              </w:tabs>
              <w:jc w:val="both"/>
            </w:pPr>
          </w:p>
          <w:p w:rsidR="00A35845" w:rsidRPr="00A35845" w:rsidRDefault="00A35845" w:rsidP="00A35845">
            <w:pPr>
              <w:tabs>
                <w:tab w:val="left" w:pos="-1440"/>
                <w:tab w:val="left" w:pos="-720"/>
              </w:tabs>
              <w:jc w:val="both"/>
            </w:pPr>
          </w:p>
        </w:tc>
        <w:tc>
          <w:tcPr>
            <w:tcW w:w="4327" w:type="dxa"/>
          </w:tcPr>
          <w:p w:rsidR="00A35845" w:rsidRPr="00A35845" w:rsidRDefault="00A35845" w:rsidP="00A35845">
            <w:pPr>
              <w:tabs>
                <w:tab w:val="left" w:pos="-1440"/>
                <w:tab w:val="left" w:pos="-720"/>
              </w:tabs>
              <w:jc w:val="both"/>
              <w:rPr>
                <w:lang w:val="fr-CA"/>
              </w:rPr>
            </w:pPr>
            <w:r w:rsidRPr="00A35845">
              <w:rPr>
                <w:b/>
                <w:bCs/>
                <w:lang w:val="fr-CA"/>
              </w:rPr>
              <w:t xml:space="preserve">Requête en vue de produire une nouvelle preuve </w:t>
            </w:r>
            <w:r w:rsidR="00274132" w:rsidRPr="00A35845">
              <w:rPr>
                <w:szCs w:val="24"/>
                <w:lang w:val="en-US"/>
              </w:rPr>
              <w:fldChar w:fldCharType="begin"/>
            </w:r>
            <w:r w:rsidRPr="00A35845">
              <w:rPr>
                <w:szCs w:val="24"/>
                <w:lang w:val="fr-CA"/>
              </w:rPr>
              <w:instrText xml:space="preserve"> SEQ CHAPTER \h \r 1</w:instrText>
            </w:r>
            <w:r w:rsidR="00274132" w:rsidRPr="00A35845">
              <w:rPr>
                <w:szCs w:val="24"/>
                <w:lang w:val="en-US"/>
              </w:rPr>
              <w:fldChar w:fldCharType="end"/>
            </w:r>
            <w:r w:rsidR="00274132" w:rsidRPr="00A35845">
              <w:rPr>
                <w:szCs w:val="24"/>
                <w:lang w:val="en-US"/>
              </w:rPr>
              <w:fldChar w:fldCharType="begin"/>
            </w:r>
            <w:r w:rsidRPr="00A35845">
              <w:rPr>
                <w:szCs w:val="24"/>
                <w:lang w:val="fr-CA"/>
              </w:rPr>
              <w:instrText xml:space="preserve"> SEQ CHAPTER \h \r 1</w:instrText>
            </w:r>
            <w:r w:rsidR="00274132" w:rsidRPr="00A35845">
              <w:rPr>
                <w:szCs w:val="24"/>
                <w:lang w:val="en-US"/>
              </w:rPr>
              <w:fldChar w:fldCharType="end"/>
            </w:r>
          </w:p>
        </w:tc>
      </w:tr>
      <w:tr w:rsidR="00A35845" w:rsidRPr="00A35845" w:rsidTr="00AB4E4F">
        <w:tc>
          <w:tcPr>
            <w:tcW w:w="4338" w:type="dxa"/>
          </w:tcPr>
          <w:p w:rsidR="00A35845" w:rsidRPr="00A35845" w:rsidRDefault="00A35845" w:rsidP="00A35845">
            <w:pPr>
              <w:tabs>
                <w:tab w:val="left" w:pos="-1440"/>
                <w:tab w:val="left" w:pos="-720"/>
              </w:tabs>
              <w:jc w:val="both"/>
            </w:pPr>
            <w:r w:rsidRPr="00A35845">
              <w:t>Her Majesty the Queen</w:t>
            </w:r>
          </w:p>
          <w:p w:rsidR="00A35845" w:rsidRPr="00A35845" w:rsidRDefault="00A35845" w:rsidP="00A35845">
            <w:pPr>
              <w:tabs>
                <w:tab w:val="left" w:pos="-1440"/>
                <w:tab w:val="left" w:pos="-720"/>
              </w:tabs>
              <w:jc w:val="both"/>
            </w:pPr>
          </w:p>
          <w:p w:rsidR="00A35845" w:rsidRPr="00A35845" w:rsidRDefault="00A35845" w:rsidP="00A35845">
            <w:pPr>
              <w:tabs>
                <w:tab w:val="left" w:pos="-1440"/>
                <w:tab w:val="left" w:pos="-720"/>
              </w:tabs>
              <w:jc w:val="both"/>
            </w:pPr>
            <w:r w:rsidRPr="00A35845">
              <w:tab/>
              <w:t>v. (35664)</w:t>
            </w:r>
          </w:p>
          <w:p w:rsidR="00A35845" w:rsidRPr="00A35845" w:rsidRDefault="00A35845" w:rsidP="00A35845">
            <w:pPr>
              <w:tabs>
                <w:tab w:val="left" w:pos="-1440"/>
                <w:tab w:val="left" w:pos="-720"/>
              </w:tabs>
              <w:jc w:val="both"/>
            </w:pPr>
          </w:p>
          <w:p w:rsidR="00A35845" w:rsidRPr="00A35845" w:rsidRDefault="00A35845" w:rsidP="00A35845">
            <w:pPr>
              <w:tabs>
                <w:tab w:val="left" w:pos="-1440"/>
                <w:tab w:val="left" w:pos="-720"/>
              </w:tabs>
              <w:jc w:val="both"/>
            </w:pPr>
            <w:r w:rsidRPr="00A35845">
              <w:t>Mark Edward Grant (Crim.) (Man.)</w:t>
            </w:r>
          </w:p>
        </w:tc>
        <w:tc>
          <w:tcPr>
            <w:tcW w:w="1170" w:type="dxa"/>
          </w:tcPr>
          <w:p w:rsidR="00A35845" w:rsidRPr="00A35845" w:rsidRDefault="00A35845" w:rsidP="00A35845">
            <w:pPr>
              <w:tabs>
                <w:tab w:val="left" w:pos="-1440"/>
                <w:tab w:val="left" w:pos="-720"/>
              </w:tabs>
              <w:jc w:val="both"/>
            </w:pPr>
          </w:p>
        </w:tc>
        <w:tc>
          <w:tcPr>
            <w:tcW w:w="4327" w:type="dxa"/>
          </w:tcPr>
          <w:p w:rsidR="00A35845" w:rsidRPr="00A35845" w:rsidRDefault="00A35845" w:rsidP="00A35845">
            <w:pPr>
              <w:tabs>
                <w:tab w:val="left" w:pos="-1440"/>
                <w:tab w:val="left" w:pos="-720"/>
              </w:tabs>
              <w:jc w:val="both"/>
            </w:pPr>
          </w:p>
        </w:tc>
      </w:tr>
    </w:tbl>
    <w:p w:rsidR="00A35845" w:rsidRPr="00A35845" w:rsidRDefault="00A35845" w:rsidP="00A35845">
      <w:pPr>
        <w:jc w:val="both"/>
        <w:rPr>
          <w:rFonts w:eastAsia="Times New Roman" w:cs="Times New Roman"/>
          <w:sz w:val="20"/>
          <w:szCs w:val="20"/>
          <w:lang w:eastAsia="en-CA"/>
        </w:rPr>
      </w:pPr>
    </w:p>
    <w:p w:rsidR="00A35845" w:rsidRPr="00A35845" w:rsidRDefault="00A35845" w:rsidP="00A35845">
      <w:pPr>
        <w:tabs>
          <w:tab w:val="left" w:pos="-1440"/>
          <w:tab w:val="left" w:pos="-720"/>
        </w:tabs>
        <w:jc w:val="both"/>
        <w:rPr>
          <w:rFonts w:eastAsia="Times New Roman" w:cs="Times New Roman"/>
          <w:b/>
          <w:sz w:val="20"/>
          <w:szCs w:val="20"/>
          <w:lang w:eastAsia="en-CA"/>
        </w:rPr>
      </w:pPr>
      <w:r w:rsidRPr="00A35845">
        <w:rPr>
          <w:rFonts w:eastAsia="Times New Roman" w:cs="Times New Roman"/>
          <w:b/>
          <w:sz w:val="20"/>
          <w:szCs w:val="20"/>
          <w:lang w:eastAsia="en-CA"/>
        </w:rPr>
        <w:t>REFERRED / RÉFÉRÉE</w:t>
      </w:r>
    </w:p>
    <w:p w:rsidR="00A35845" w:rsidRPr="00A35845" w:rsidRDefault="00A35845" w:rsidP="00A35845">
      <w:pPr>
        <w:jc w:val="both"/>
        <w:rPr>
          <w:rFonts w:eastAsia="Times New Roman" w:cs="Times New Roman"/>
          <w:sz w:val="20"/>
          <w:szCs w:val="20"/>
          <w:lang w:eastAsia="en-CA"/>
        </w:rPr>
      </w:pPr>
    </w:p>
    <w:p w:rsidR="00A35845" w:rsidRPr="00A35845" w:rsidRDefault="00A35845" w:rsidP="00A35845">
      <w:pPr>
        <w:jc w:val="both"/>
        <w:rPr>
          <w:rFonts w:eastAsia="Times New Roman" w:cs="Times New Roman"/>
          <w:sz w:val="20"/>
          <w:szCs w:val="20"/>
          <w:lang w:val="en-US" w:eastAsia="en-CA"/>
        </w:rPr>
      </w:pPr>
      <w:r w:rsidRPr="00A35845">
        <w:rPr>
          <w:rFonts w:eastAsia="Times New Roman" w:cs="Times New Roman"/>
          <w:b/>
          <w:bCs/>
          <w:sz w:val="20"/>
          <w:szCs w:val="20"/>
          <w:lang w:val="en-US" w:eastAsia="en-CA"/>
        </w:rPr>
        <w:t xml:space="preserve">UPON APPLICATION </w:t>
      </w:r>
      <w:r w:rsidRPr="00A35845">
        <w:rPr>
          <w:rFonts w:eastAsia="Times New Roman" w:cs="Times New Roman"/>
          <w:sz w:val="20"/>
          <w:szCs w:val="20"/>
          <w:lang w:val="en-US" w:eastAsia="en-CA"/>
        </w:rPr>
        <w:t>by the respondent for an order to adduce fresh evidence namely:</w:t>
      </w:r>
    </w:p>
    <w:p w:rsidR="00A35845" w:rsidRPr="00A35845" w:rsidRDefault="00A35845" w:rsidP="00A35845">
      <w:pPr>
        <w:jc w:val="both"/>
        <w:rPr>
          <w:rFonts w:eastAsia="Times New Roman" w:cs="Times New Roman"/>
          <w:sz w:val="20"/>
          <w:szCs w:val="20"/>
          <w:lang w:val="en-US" w:eastAsia="en-CA"/>
        </w:rPr>
      </w:pPr>
    </w:p>
    <w:p w:rsidR="00A35845" w:rsidRPr="00A35845" w:rsidRDefault="00A35845" w:rsidP="00A35845">
      <w:pPr>
        <w:widowControl w:val="0"/>
        <w:numPr>
          <w:ilvl w:val="0"/>
          <w:numId w:val="7"/>
        </w:numPr>
        <w:autoSpaceDE w:val="0"/>
        <w:autoSpaceDN w:val="0"/>
        <w:adjustRightInd w:val="0"/>
        <w:spacing w:line="233" w:lineRule="auto"/>
        <w:contextualSpacing/>
        <w:jc w:val="both"/>
        <w:rPr>
          <w:rFonts w:cs="Times New Roman"/>
          <w:sz w:val="20"/>
          <w:szCs w:val="20"/>
        </w:rPr>
      </w:pPr>
      <w:r w:rsidRPr="00A35845">
        <w:rPr>
          <w:rFonts w:cs="Times New Roman"/>
          <w:sz w:val="20"/>
          <w:szCs w:val="20"/>
        </w:rPr>
        <w:t>The affidavit of Dr. Bruce Budowle; and</w:t>
      </w:r>
    </w:p>
    <w:p w:rsidR="00A35845" w:rsidRPr="00A35845" w:rsidRDefault="00A35845" w:rsidP="00A35845">
      <w:pPr>
        <w:spacing w:line="233" w:lineRule="auto"/>
        <w:jc w:val="both"/>
        <w:rPr>
          <w:rFonts w:eastAsia="Times New Roman" w:cs="Times New Roman"/>
          <w:sz w:val="20"/>
          <w:szCs w:val="20"/>
          <w:lang w:val="en-US" w:eastAsia="en-CA"/>
        </w:rPr>
      </w:pPr>
    </w:p>
    <w:p w:rsidR="00A35845" w:rsidRPr="00A35845" w:rsidRDefault="00A35845" w:rsidP="00A35845">
      <w:pPr>
        <w:widowControl w:val="0"/>
        <w:numPr>
          <w:ilvl w:val="0"/>
          <w:numId w:val="7"/>
        </w:numPr>
        <w:autoSpaceDE w:val="0"/>
        <w:autoSpaceDN w:val="0"/>
        <w:adjustRightInd w:val="0"/>
        <w:spacing w:line="233" w:lineRule="auto"/>
        <w:contextualSpacing/>
        <w:jc w:val="both"/>
        <w:rPr>
          <w:rFonts w:cs="Times New Roman"/>
          <w:sz w:val="20"/>
          <w:szCs w:val="20"/>
        </w:rPr>
      </w:pPr>
      <w:r w:rsidRPr="00A35845">
        <w:rPr>
          <w:rFonts w:cs="Times New Roman"/>
          <w:sz w:val="20"/>
          <w:szCs w:val="20"/>
        </w:rPr>
        <w:t>The evidence of comments made by a juror after the conclusion of the trial that disclose a reasonable apprehension of bias.</w:t>
      </w:r>
    </w:p>
    <w:p w:rsidR="00A35845" w:rsidRPr="00A35845" w:rsidRDefault="00A35845" w:rsidP="00A35845">
      <w:pPr>
        <w:spacing w:line="233" w:lineRule="auto"/>
        <w:jc w:val="both"/>
        <w:rPr>
          <w:rFonts w:eastAsia="Times New Roman" w:cs="Times New Roman"/>
          <w:sz w:val="20"/>
          <w:szCs w:val="20"/>
          <w:lang w:val="en-US" w:eastAsia="en-CA"/>
        </w:rPr>
      </w:pPr>
    </w:p>
    <w:p w:rsidR="00A35845" w:rsidRPr="00A35845" w:rsidRDefault="00A35845" w:rsidP="00A35845">
      <w:pPr>
        <w:spacing w:line="233" w:lineRule="auto"/>
        <w:jc w:val="both"/>
        <w:rPr>
          <w:rFonts w:eastAsia="Times New Roman" w:cs="Times New Roman"/>
          <w:sz w:val="20"/>
          <w:szCs w:val="20"/>
          <w:lang w:val="en-US" w:eastAsia="en-CA"/>
        </w:rPr>
      </w:pPr>
      <w:r w:rsidRPr="00A35845">
        <w:rPr>
          <w:rFonts w:eastAsia="Times New Roman" w:cs="Times New Roman"/>
          <w:b/>
          <w:bCs/>
          <w:sz w:val="20"/>
          <w:szCs w:val="20"/>
          <w:lang w:val="en-US" w:eastAsia="en-CA"/>
        </w:rPr>
        <w:t>AND THE MATERIAL FILED</w:t>
      </w:r>
      <w:r w:rsidRPr="00A35845">
        <w:rPr>
          <w:rFonts w:eastAsia="Times New Roman" w:cs="Times New Roman"/>
          <w:sz w:val="20"/>
          <w:szCs w:val="20"/>
          <w:lang w:val="en-US" w:eastAsia="en-CA"/>
        </w:rPr>
        <w:t xml:space="preserve"> having been read;</w:t>
      </w:r>
    </w:p>
    <w:p w:rsidR="00A35845" w:rsidRPr="00A35845" w:rsidRDefault="00A35845" w:rsidP="00A35845">
      <w:pPr>
        <w:spacing w:line="233" w:lineRule="auto"/>
        <w:jc w:val="both"/>
        <w:rPr>
          <w:rFonts w:eastAsia="Times New Roman" w:cs="Times New Roman"/>
          <w:sz w:val="20"/>
          <w:szCs w:val="20"/>
          <w:lang w:val="en-US" w:eastAsia="en-CA"/>
        </w:rPr>
      </w:pPr>
    </w:p>
    <w:p w:rsidR="00A35845" w:rsidRPr="00A35845" w:rsidRDefault="00A35845" w:rsidP="00A35845">
      <w:pPr>
        <w:spacing w:line="233" w:lineRule="auto"/>
        <w:jc w:val="both"/>
        <w:rPr>
          <w:rFonts w:eastAsia="Times New Roman" w:cs="Times New Roman"/>
          <w:sz w:val="20"/>
          <w:szCs w:val="20"/>
          <w:lang w:val="en-US" w:eastAsia="en-CA"/>
        </w:rPr>
      </w:pPr>
      <w:r w:rsidRPr="00A35845">
        <w:rPr>
          <w:rFonts w:eastAsia="Times New Roman" w:cs="Times New Roman"/>
          <w:b/>
          <w:bCs/>
          <w:sz w:val="20"/>
          <w:szCs w:val="20"/>
          <w:lang w:val="en-US" w:eastAsia="en-CA"/>
        </w:rPr>
        <w:t>IT IS HEREBY ORDERED THAT:</w:t>
      </w:r>
    </w:p>
    <w:p w:rsidR="00A35845" w:rsidRPr="00A35845" w:rsidRDefault="00A35845" w:rsidP="00A35845">
      <w:pPr>
        <w:spacing w:line="233" w:lineRule="auto"/>
        <w:jc w:val="both"/>
        <w:rPr>
          <w:rFonts w:eastAsia="Times New Roman" w:cs="Times New Roman"/>
          <w:sz w:val="20"/>
          <w:szCs w:val="20"/>
          <w:lang w:val="en-US" w:eastAsia="en-CA"/>
        </w:rPr>
      </w:pPr>
    </w:p>
    <w:p w:rsidR="00A35845" w:rsidRPr="00A35845" w:rsidRDefault="00A35845" w:rsidP="00A35845">
      <w:pPr>
        <w:spacing w:line="233" w:lineRule="auto"/>
        <w:ind w:left="360"/>
        <w:jc w:val="both"/>
        <w:rPr>
          <w:rFonts w:eastAsia="Times New Roman" w:cs="Times New Roman"/>
          <w:sz w:val="20"/>
          <w:szCs w:val="20"/>
          <w:lang w:val="en-US" w:eastAsia="en-CA"/>
        </w:rPr>
      </w:pPr>
      <w:r w:rsidRPr="00A35845">
        <w:rPr>
          <w:rFonts w:eastAsia="Times New Roman" w:cs="Times New Roman"/>
          <w:sz w:val="20"/>
          <w:szCs w:val="20"/>
          <w:lang w:val="en-US" w:eastAsia="en-CA"/>
        </w:rPr>
        <w:t>The motion is deferred to the panel hearing the appeal.</w:t>
      </w:r>
    </w:p>
    <w:p w:rsidR="00A35845" w:rsidRPr="00A35845" w:rsidRDefault="00A35845" w:rsidP="00A35845">
      <w:pPr>
        <w:spacing w:line="233" w:lineRule="auto"/>
        <w:jc w:val="both"/>
        <w:rPr>
          <w:rFonts w:eastAsia="Times New Roman" w:cs="Times New Roman"/>
          <w:sz w:val="20"/>
          <w:szCs w:val="20"/>
          <w:lang w:val="en-US" w:eastAsia="en-CA"/>
        </w:rPr>
      </w:pPr>
    </w:p>
    <w:p w:rsidR="00A35845" w:rsidRPr="00A35845" w:rsidRDefault="00A35845" w:rsidP="00A35845">
      <w:pPr>
        <w:spacing w:line="233" w:lineRule="auto"/>
        <w:jc w:val="both"/>
        <w:rPr>
          <w:rFonts w:eastAsia="Times New Roman" w:cs="Times New Roman"/>
          <w:sz w:val="20"/>
          <w:szCs w:val="20"/>
          <w:lang w:val="en-US" w:eastAsia="en-CA"/>
        </w:rPr>
      </w:pPr>
    </w:p>
    <w:p w:rsidR="00A35845" w:rsidRPr="00A35845" w:rsidRDefault="00A35845" w:rsidP="00A35845">
      <w:pPr>
        <w:spacing w:line="233" w:lineRule="auto"/>
        <w:jc w:val="both"/>
        <w:rPr>
          <w:rFonts w:eastAsia="Times New Roman" w:cs="Times New Roman"/>
          <w:sz w:val="20"/>
          <w:szCs w:val="20"/>
          <w:lang w:val="en-US" w:eastAsia="en-CA"/>
        </w:rPr>
      </w:pPr>
    </w:p>
    <w:p w:rsidR="00A35845" w:rsidRPr="00A35845" w:rsidRDefault="00A35845" w:rsidP="00A35845">
      <w:pPr>
        <w:jc w:val="both"/>
        <w:rPr>
          <w:rFonts w:eastAsia="Times New Roman" w:cs="Times New Roman"/>
          <w:sz w:val="20"/>
          <w:szCs w:val="20"/>
          <w:lang w:val="fr-CA" w:eastAsia="en-CA"/>
        </w:rPr>
      </w:pPr>
      <w:r w:rsidRPr="00A35845">
        <w:rPr>
          <w:rFonts w:eastAsia="Times New Roman" w:cs="Times New Roman"/>
          <w:b/>
          <w:bCs/>
          <w:sz w:val="20"/>
          <w:szCs w:val="20"/>
          <w:lang w:val="fr-CA" w:eastAsia="en-CA"/>
        </w:rPr>
        <w:t xml:space="preserve">À LA SUITE DE LA DEMANDE </w:t>
      </w:r>
      <w:r w:rsidRPr="00A35845">
        <w:rPr>
          <w:rFonts w:eastAsia="Times New Roman" w:cs="Times New Roman"/>
          <w:bCs/>
          <w:sz w:val="20"/>
          <w:szCs w:val="20"/>
          <w:lang w:val="fr-CA" w:eastAsia="en-CA"/>
        </w:rPr>
        <w:t>présentée par l’intimé en vue de déposer à titre de nouvelle preuve :</w:t>
      </w:r>
    </w:p>
    <w:p w:rsidR="00A35845" w:rsidRPr="00A35845" w:rsidRDefault="00A35845" w:rsidP="00A35845">
      <w:pPr>
        <w:jc w:val="both"/>
        <w:rPr>
          <w:rFonts w:eastAsia="Times New Roman" w:cs="Times New Roman"/>
          <w:sz w:val="20"/>
          <w:szCs w:val="20"/>
          <w:lang w:val="fr-CA" w:eastAsia="en-CA"/>
        </w:rPr>
      </w:pPr>
    </w:p>
    <w:p w:rsidR="00A35845" w:rsidRPr="00A35845" w:rsidRDefault="00A35845" w:rsidP="00A35845">
      <w:pPr>
        <w:widowControl w:val="0"/>
        <w:numPr>
          <w:ilvl w:val="0"/>
          <w:numId w:val="10"/>
        </w:numPr>
        <w:autoSpaceDE w:val="0"/>
        <w:autoSpaceDN w:val="0"/>
        <w:adjustRightInd w:val="0"/>
        <w:spacing w:line="233" w:lineRule="auto"/>
        <w:contextualSpacing/>
        <w:jc w:val="both"/>
        <w:rPr>
          <w:rFonts w:cs="Times New Roman"/>
          <w:sz w:val="20"/>
          <w:szCs w:val="20"/>
          <w:lang w:val="fr-CA"/>
        </w:rPr>
      </w:pPr>
      <w:r w:rsidRPr="00A35845">
        <w:rPr>
          <w:rFonts w:cs="Times New Roman"/>
          <w:sz w:val="20"/>
          <w:szCs w:val="20"/>
          <w:lang w:val="fr-CA"/>
        </w:rPr>
        <w:t xml:space="preserve">L’affidavit du Dr Bruce Budowle; </w:t>
      </w:r>
    </w:p>
    <w:p w:rsidR="00A35845" w:rsidRPr="00A35845" w:rsidRDefault="00A35845" w:rsidP="00A35845">
      <w:pPr>
        <w:spacing w:line="233" w:lineRule="auto"/>
        <w:jc w:val="both"/>
        <w:rPr>
          <w:rFonts w:eastAsia="Times New Roman" w:cs="Times New Roman"/>
          <w:sz w:val="20"/>
          <w:szCs w:val="20"/>
          <w:lang w:val="fr-CA" w:eastAsia="en-CA"/>
        </w:rPr>
      </w:pPr>
    </w:p>
    <w:p w:rsidR="00A35845" w:rsidRPr="00A35845" w:rsidRDefault="00A35845" w:rsidP="00A35845">
      <w:pPr>
        <w:widowControl w:val="0"/>
        <w:numPr>
          <w:ilvl w:val="0"/>
          <w:numId w:val="10"/>
        </w:numPr>
        <w:autoSpaceDE w:val="0"/>
        <w:autoSpaceDN w:val="0"/>
        <w:adjustRightInd w:val="0"/>
        <w:spacing w:line="233" w:lineRule="auto"/>
        <w:contextualSpacing/>
        <w:jc w:val="both"/>
        <w:rPr>
          <w:rFonts w:cs="Times New Roman"/>
          <w:sz w:val="20"/>
          <w:szCs w:val="20"/>
          <w:lang w:val="fr-CA"/>
        </w:rPr>
      </w:pPr>
      <w:r w:rsidRPr="00A35845">
        <w:rPr>
          <w:rFonts w:cs="Times New Roman"/>
          <w:sz w:val="20"/>
          <w:szCs w:val="20"/>
          <w:lang w:val="fr-CA"/>
        </w:rPr>
        <w:t>La preuve des remarques faites par un juré après la tenue du procès et qui donnent des motifs raisonnables de craindre la partialité.</w:t>
      </w:r>
    </w:p>
    <w:p w:rsidR="00A35845" w:rsidRPr="00A35845" w:rsidRDefault="00A35845" w:rsidP="00A35845">
      <w:pPr>
        <w:spacing w:line="233" w:lineRule="auto"/>
        <w:jc w:val="both"/>
        <w:rPr>
          <w:rFonts w:eastAsia="Times New Roman" w:cs="Times New Roman"/>
          <w:sz w:val="20"/>
          <w:szCs w:val="20"/>
          <w:lang w:val="fr-CA" w:eastAsia="en-CA"/>
        </w:rPr>
      </w:pPr>
    </w:p>
    <w:p w:rsidR="00A35845" w:rsidRDefault="00A35845">
      <w:pPr>
        <w:rPr>
          <w:rFonts w:eastAsia="Times New Roman" w:cs="Times New Roman"/>
          <w:b/>
          <w:bCs/>
          <w:sz w:val="20"/>
          <w:szCs w:val="20"/>
          <w:lang w:val="fr-CA" w:eastAsia="en-CA"/>
        </w:rPr>
      </w:pPr>
      <w:r>
        <w:rPr>
          <w:rFonts w:eastAsia="Times New Roman" w:cs="Times New Roman"/>
          <w:b/>
          <w:bCs/>
          <w:sz w:val="20"/>
          <w:szCs w:val="20"/>
          <w:lang w:val="fr-CA" w:eastAsia="en-CA"/>
        </w:rPr>
        <w:br w:type="page"/>
      </w:r>
    </w:p>
    <w:p w:rsidR="00A35845" w:rsidRPr="00A35845" w:rsidRDefault="00A35845" w:rsidP="00A35845">
      <w:pPr>
        <w:spacing w:line="233" w:lineRule="auto"/>
        <w:jc w:val="both"/>
        <w:rPr>
          <w:rFonts w:eastAsia="Times New Roman" w:cs="Times New Roman"/>
          <w:sz w:val="20"/>
          <w:szCs w:val="20"/>
          <w:lang w:val="fr-CA" w:eastAsia="en-CA"/>
        </w:rPr>
      </w:pPr>
      <w:r w:rsidRPr="00A35845">
        <w:rPr>
          <w:rFonts w:eastAsia="Times New Roman" w:cs="Times New Roman"/>
          <w:b/>
          <w:bCs/>
          <w:sz w:val="20"/>
          <w:szCs w:val="20"/>
          <w:lang w:val="fr-CA" w:eastAsia="en-CA"/>
        </w:rPr>
        <w:lastRenderedPageBreak/>
        <w:t>ET APRÈS EXAMEN</w:t>
      </w:r>
      <w:r w:rsidRPr="00A35845">
        <w:rPr>
          <w:rFonts w:eastAsia="Times New Roman" w:cs="Times New Roman"/>
          <w:sz w:val="20"/>
          <w:szCs w:val="20"/>
          <w:lang w:val="fr-CA" w:eastAsia="en-CA"/>
        </w:rPr>
        <w:t xml:space="preserve"> des documents déposés;</w:t>
      </w:r>
    </w:p>
    <w:p w:rsidR="00A35845" w:rsidRPr="00A35845" w:rsidRDefault="00A35845" w:rsidP="00A35845">
      <w:pPr>
        <w:spacing w:line="233" w:lineRule="auto"/>
        <w:jc w:val="both"/>
        <w:rPr>
          <w:rFonts w:eastAsia="Times New Roman" w:cs="Times New Roman"/>
          <w:sz w:val="20"/>
          <w:szCs w:val="20"/>
          <w:lang w:val="fr-CA" w:eastAsia="en-CA"/>
        </w:rPr>
      </w:pPr>
    </w:p>
    <w:p w:rsidR="00A35845" w:rsidRPr="00A35845" w:rsidRDefault="00A35845" w:rsidP="00A35845">
      <w:pPr>
        <w:spacing w:line="233" w:lineRule="auto"/>
        <w:jc w:val="both"/>
        <w:rPr>
          <w:rFonts w:eastAsia="Times New Roman" w:cs="Times New Roman"/>
          <w:sz w:val="20"/>
          <w:szCs w:val="20"/>
          <w:lang w:val="fr-CA" w:eastAsia="en-CA"/>
        </w:rPr>
      </w:pPr>
      <w:r w:rsidRPr="00A35845">
        <w:rPr>
          <w:rFonts w:eastAsia="Times New Roman" w:cs="Times New Roman"/>
          <w:b/>
          <w:bCs/>
          <w:sz w:val="20"/>
          <w:szCs w:val="20"/>
          <w:lang w:val="fr-CA" w:eastAsia="en-CA"/>
        </w:rPr>
        <w:t>IL EST ORDONNÉ CE QUI SUIT :</w:t>
      </w:r>
    </w:p>
    <w:p w:rsidR="00A35845" w:rsidRPr="00A35845" w:rsidRDefault="00A35845" w:rsidP="00A35845">
      <w:pPr>
        <w:spacing w:line="233" w:lineRule="auto"/>
        <w:jc w:val="both"/>
        <w:rPr>
          <w:rFonts w:eastAsia="Times New Roman" w:cs="Times New Roman"/>
          <w:sz w:val="20"/>
          <w:szCs w:val="20"/>
          <w:lang w:val="fr-CA" w:eastAsia="en-CA"/>
        </w:rPr>
      </w:pPr>
    </w:p>
    <w:p w:rsidR="00A35845" w:rsidRPr="00A35845" w:rsidRDefault="00A35845" w:rsidP="00A35845">
      <w:pPr>
        <w:spacing w:line="233" w:lineRule="auto"/>
        <w:ind w:left="360"/>
        <w:jc w:val="both"/>
        <w:rPr>
          <w:rFonts w:eastAsia="Times New Roman" w:cs="Times New Roman"/>
          <w:sz w:val="20"/>
          <w:szCs w:val="20"/>
          <w:lang w:val="fr-CA" w:eastAsia="en-CA"/>
        </w:rPr>
      </w:pPr>
      <w:r w:rsidRPr="00A35845">
        <w:rPr>
          <w:rFonts w:eastAsia="Times New Roman" w:cs="Times New Roman"/>
          <w:sz w:val="20"/>
          <w:szCs w:val="20"/>
          <w:lang w:val="fr-CA" w:eastAsia="en-CA"/>
        </w:rPr>
        <w:t>La requête est renvoyée à la formation qui se prononcera sur l’appel.</w:t>
      </w:r>
    </w:p>
    <w:p w:rsidR="00A35845" w:rsidRPr="00A35845" w:rsidRDefault="00A35845" w:rsidP="00A35845">
      <w:pPr>
        <w:jc w:val="both"/>
        <w:rPr>
          <w:rFonts w:eastAsia="Times New Roman" w:cs="Times New Roman"/>
          <w:sz w:val="20"/>
          <w:szCs w:val="20"/>
          <w:lang w:val="fr-CA" w:eastAsia="en-CA"/>
        </w:rPr>
      </w:pPr>
    </w:p>
    <w:p w:rsidR="00A35845" w:rsidRPr="00A35845" w:rsidRDefault="00F677DC" w:rsidP="00A35845">
      <w:pPr>
        <w:jc w:val="both"/>
        <w:rPr>
          <w:rFonts w:eastAsia="Times New Roman" w:cs="Times New Roman"/>
          <w:sz w:val="20"/>
          <w:szCs w:val="20"/>
          <w:lang w:val="fr-CA" w:eastAsia="en-CA"/>
        </w:rPr>
      </w:pPr>
      <w:r>
        <w:rPr>
          <w:rFonts w:eastAsia="Times New Roman" w:cs="Times New Roman"/>
          <w:sz w:val="20"/>
          <w:szCs w:val="20"/>
          <w:lang w:val="fr-CA" w:eastAsia="en-CA"/>
        </w:rPr>
        <w:pict>
          <v:rect id="_x0000_i1083" style="width:2in;height:1pt" o:hrpct="0" o:hralign="center" o:hrstd="t" o:hrnoshade="t" o:hr="t" fillcolor="black [3213]" stroked="f"/>
        </w:pict>
      </w:r>
    </w:p>
    <w:p w:rsidR="00A35845" w:rsidRPr="00A35845" w:rsidRDefault="00A35845" w:rsidP="00A35845">
      <w:pPr>
        <w:tabs>
          <w:tab w:val="left" w:pos="-1440"/>
          <w:tab w:val="left" w:pos="-720"/>
        </w:tabs>
        <w:jc w:val="both"/>
        <w:rPr>
          <w:rFonts w:eastAsia="Times New Roman" w:cs="Times New Roman"/>
          <w:sz w:val="20"/>
          <w:szCs w:val="20"/>
          <w:lang w:eastAsia="en-CA"/>
        </w:rPr>
      </w:pPr>
    </w:p>
    <w:p w:rsidR="00A35845" w:rsidRPr="00A35845" w:rsidRDefault="00A35845" w:rsidP="00A35845">
      <w:pPr>
        <w:tabs>
          <w:tab w:val="left" w:pos="-1440"/>
          <w:tab w:val="left" w:pos="-720"/>
        </w:tabs>
        <w:jc w:val="both"/>
        <w:rPr>
          <w:rFonts w:eastAsia="Times New Roman" w:cs="Times New Roman"/>
          <w:sz w:val="20"/>
          <w:szCs w:val="20"/>
          <w:lang w:val="fr-CA" w:eastAsia="en-CA"/>
        </w:rPr>
      </w:pPr>
      <w:r w:rsidRPr="00A35845">
        <w:rPr>
          <w:rFonts w:eastAsia="Times New Roman" w:cs="Times New Roman"/>
          <w:sz w:val="20"/>
          <w:szCs w:val="20"/>
          <w:lang w:val="fr-CA" w:eastAsia="en-CA"/>
        </w:rPr>
        <w:t>30.09.2014</w:t>
      </w:r>
    </w:p>
    <w:p w:rsidR="00A35845" w:rsidRPr="00A35845" w:rsidRDefault="00A35845" w:rsidP="00A35845">
      <w:pPr>
        <w:tabs>
          <w:tab w:val="left" w:pos="-1440"/>
          <w:tab w:val="left" w:pos="-720"/>
        </w:tabs>
        <w:jc w:val="both"/>
        <w:rPr>
          <w:rFonts w:eastAsia="Times New Roman" w:cs="Times New Roman"/>
          <w:sz w:val="20"/>
          <w:szCs w:val="20"/>
          <w:lang w:val="fr-CA" w:eastAsia="en-CA"/>
        </w:rPr>
      </w:pPr>
    </w:p>
    <w:p w:rsidR="00A35845" w:rsidRPr="00A35845" w:rsidRDefault="00A35845" w:rsidP="00A35845">
      <w:pPr>
        <w:tabs>
          <w:tab w:val="left" w:pos="-1440"/>
          <w:tab w:val="left" w:pos="-720"/>
        </w:tabs>
        <w:jc w:val="both"/>
        <w:rPr>
          <w:rFonts w:eastAsia="Times New Roman" w:cs="Times New Roman"/>
          <w:sz w:val="20"/>
          <w:szCs w:val="20"/>
          <w:lang w:val="fr-CA" w:eastAsia="en-CA"/>
        </w:rPr>
      </w:pPr>
      <w:r w:rsidRPr="00A35845">
        <w:rPr>
          <w:rFonts w:eastAsia="Times New Roman" w:cs="Times New Roman"/>
          <w:sz w:val="20"/>
          <w:szCs w:val="20"/>
          <w:lang w:val="fr-CA" w:eastAsia="en-CA"/>
        </w:rPr>
        <w:t>Before / Devant :   CROMWELL J. / LE JUGE CROMWELL</w:t>
      </w:r>
    </w:p>
    <w:p w:rsidR="00A35845" w:rsidRPr="00A35845" w:rsidRDefault="00A35845" w:rsidP="00A35845">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A35845" w:rsidRPr="00DA7379" w:rsidTr="00AB4E4F">
        <w:tc>
          <w:tcPr>
            <w:tcW w:w="4338" w:type="dxa"/>
            <w:gridSpan w:val="2"/>
          </w:tcPr>
          <w:p w:rsidR="00A35845" w:rsidRPr="00A35845" w:rsidRDefault="00A35845" w:rsidP="00A35845">
            <w:pPr>
              <w:jc w:val="both"/>
              <w:rPr>
                <w:b/>
              </w:rPr>
            </w:pPr>
            <w:r w:rsidRPr="00A35845">
              <w:rPr>
                <w:b/>
                <w:bCs/>
                <w:lang w:val="en-GB"/>
              </w:rPr>
              <w:t>Motion for an extension of time and for leave to intervene</w:t>
            </w:r>
            <w:r w:rsidRPr="00A35845">
              <w:rPr>
                <w:lang w:val="en-US"/>
              </w:rPr>
              <w:t xml:space="preserve"> </w:t>
            </w:r>
            <w:r w:rsidR="00274132" w:rsidRPr="00A35845">
              <w:rPr>
                <w:lang w:val="en-US"/>
              </w:rPr>
              <w:fldChar w:fldCharType="begin"/>
            </w:r>
            <w:r w:rsidRPr="00A35845">
              <w:instrText xml:space="preserve"> SEQ CHAPTER \h \r 1</w:instrText>
            </w:r>
            <w:r w:rsidR="00274132" w:rsidRPr="00A35845">
              <w:rPr>
                <w:lang w:val="en-US"/>
              </w:rPr>
              <w:fldChar w:fldCharType="end"/>
            </w:r>
          </w:p>
        </w:tc>
        <w:tc>
          <w:tcPr>
            <w:tcW w:w="1170" w:type="dxa"/>
          </w:tcPr>
          <w:p w:rsidR="00A35845" w:rsidRPr="00A35845" w:rsidRDefault="00A35845" w:rsidP="00A35845"/>
          <w:p w:rsidR="00A35845" w:rsidRPr="00A35845" w:rsidRDefault="00A35845" w:rsidP="00A35845"/>
          <w:p w:rsidR="00A35845" w:rsidRPr="00A35845" w:rsidRDefault="00A35845" w:rsidP="00A35845"/>
        </w:tc>
        <w:tc>
          <w:tcPr>
            <w:tcW w:w="4327" w:type="dxa"/>
          </w:tcPr>
          <w:p w:rsidR="00A35845" w:rsidRPr="00A35845" w:rsidRDefault="00A35845" w:rsidP="00A35845">
            <w:pPr>
              <w:jc w:val="both"/>
              <w:rPr>
                <w:b/>
                <w:lang w:val="fr-CA"/>
              </w:rPr>
            </w:pPr>
            <w:r w:rsidRPr="00A35845">
              <w:rPr>
                <w:b/>
                <w:bCs/>
                <w:lang w:val="fr-CA"/>
              </w:rPr>
              <w:t>Requête en prorogation de délai et en autorisation d’intervenir</w:t>
            </w:r>
            <w:r w:rsidRPr="00A35845">
              <w:rPr>
                <w:lang w:val="fr-CA"/>
              </w:rPr>
              <w:t xml:space="preserve"> </w:t>
            </w:r>
            <w:r w:rsidR="00274132" w:rsidRPr="00A35845">
              <w:rPr>
                <w:lang w:val="en-US"/>
              </w:rPr>
              <w:fldChar w:fldCharType="begin"/>
            </w:r>
            <w:r w:rsidRPr="00A35845">
              <w:rPr>
                <w:lang w:val="fr-CA"/>
              </w:rPr>
              <w:instrText xml:space="preserve"> SEQ CHAPTER \h \r 1</w:instrText>
            </w:r>
            <w:r w:rsidR="00274132" w:rsidRPr="00A35845">
              <w:rPr>
                <w:lang w:val="en-US"/>
              </w:rPr>
              <w:fldChar w:fldCharType="end"/>
            </w:r>
          </w:p>
        </w:tc>
      </w:tr>
      <w:tr w:rsidR="00A35845" w:rsidRPr="00A35845" w:rsidTr="00AB4E4F">
        <w:trPr>
          <w:trHeight w:hRule="exact" w:val="576"/>
        </w:trPr>
        <w:tc>
          <w:tcPr>
            <w:tcW w:w="1368" w:type="dxa"/>
          </w:tcPr>
          <w:p w:rsidR="00A35845" w:rsidRPr="00A35845" w:rsidRDefault="00A35845" w:rsidP="00A35845">
            <w:r w:rsidRPr="00A35845">
              <w:t>BY / PAR</w:t>
            </w:r>
          </w:p>
        </w:tc>
        <w:tc>
          <w:tcPr>
            <w:tcW w:w="2970" w:type="dxa"/>
          </w:tcPr>
          <w:p w:rsidR="00A35845" w:rsidRPr="00A35845" w:rsidRDefault="00A35845" w:rsidP="00A35845">
            <w:r w:rsidRPr="00A35845">
              <w:t>Chartered Professional Accountants Canada;</w:t>
            </w:r>
          </w:p>
        </w:tc>
        <w:tc>
          <w:tcPr>
            <w:tcW w:w="1170" w:type="dxa"/>
          </w:tcPr>
          <w:p w:rsidR="00A35845" w:rsidRPr="00A35845" w:rsidRDefault="00A35845" w:rsidP="00A35845"/>
        </w:tc>
        <w:tc>
          <w:tcPr>
            <w:tcW w:w="4327" w:type="dxa"/>
          </w:tcPr>
          <w:p w:rsidR="00A35845" w:rsidRPr="00A35845" w:rsidRDefault="00A35845" w:rsidP="00A35845"/>
        </w:tc>
      </w:tr>
      <w:tr w:rsidR="00A35845" w:rsidRPr="00A35845" w:rsidTr="00AB4E4F">
        <w:trPr>
          <w:trHeight w:hRule="exact" w:val="576"/>
        </w:trPr>
        <w:tc>
          <w:tcPr>
            <w:tcW w:w="1368" w:type="dxa"/>
          </w:tcPr>
          <w:p w:rsidR="00A35845" w:rsidRPr="00A35845" w:rsidRDefault="00A35845" w:rsidP="00A35845"/>
        </w:tc>
        <w:tc>
          <w:tcPr>
            <w:tcW w:w="2970" w:type="dxa"/>
          </w:tcPr>
          <w:p w:rsidR="00A35845" w:rsidRPr="00A35845" w:rsidRDefault="00A35845" w:rsidP="00A35845">
            <w:pPr>
              <w:rPr>
                <w:lang w:val="en-US"/>
              </w:rPr>
            </w:pPr>
            <w:r w:rsidRPr="00A35845">
              <w:rPr>
                <w:lang w:val="en-US"/>
              </w:rPr>
              <w:t>Canadian Constitution Foundation;</w:t>
            </w:r>
          </w:p>
        </w:tc>
        <w:tc>
          <w:tcPr>
            <w:tcW w:w="1170" w:type="dxa"/>
          </w:tcPr>
          <w:p w:rsidR="00A35845" w:rsidRPr="00A35845" w:rsidRDefault="00A35845" w:rsidP="00A35845"/>
        </w:tc>
        <w:tc>
          <w:tcPr>
            <w:tcW w:w="4327" w:type="dxa"/>
          </w:tcPr>
          <w:p w:rsidR="00A35845" w:rsidRPr="00A35845" w:rsidRDefault="00A35845" w:rsidP="00A35845"/>
        </w:tc>
      </w:tr>
      <w:tr w:rsidR="00A35845" w:rsidRPr="00A35845" w:rsidTr="00AB4E4F">
        <w:trPr>
          <w:trHeight w:hRule="exact" w:val="576"/>
        </w:trPr>
        <w:tc>
          <w:tcPr>
            <w:tcW w:w="1368" w:type="dxa"/>
          </w:tcPr>
          <w:p w:rsidR="00A35845" w:rsidRPr="00A35845" w:rsidRDefault="00A35845" w:rsidP="00A35845"/>
        </w:tc>
        <w:tc>
          <w:tcPr>
            <w:tcW w:w="2970" w:type="dxa"/>
          </w:tcPr>
          <w:p w:rsidR="00A35845" w:rsidRPr="00A35845" w:rsidRDefault="00A35845" w:rsidP="00A35845">
            <w:pPr>
              <w:rPr>
                <w:lang w:val="en-US"/>
              </w:rPr>
            </w:pPr>
            <w:r w:rsidRPr="00A35845">
              <w:rPr>
                <w:bCs/>
                <w:lang w:val="en-US"/>
              </w:rPr>
              <w:t>Chartered Professional Accountants Canada</w:t>
            </w:r>
          </w:p>
        </w:tc>
        <w:tc>
          <w:tcPr>
            <w:tcW w:w="1170" w:type="dxa"/>
          </w:tcPr>
          <w:p w:rsidR="00A35845" w:rsidRPr="00A35845" w:rsidRDefault="00A35845" w:rsidP="00A35845"/>
        </w:tc>
        <w:tc>
          <w:tcPr>
            <w:tcW w:w="4327" w:type="dxa"/>
          </w:tcPr>
          <w:p w:rsidR="00A35845" w:rsidRPr="00A35845" w:rsidRDefault="00A35845" w:rsidP="00A35845"/>
        </w:tc>
      </w:tr>
      <w:tr w:rsidR="00A35845" w:rsidRPr="00A35845" w:rsidTr="00AB4E4F">
        <w:tc>
          <w:tcPr>
            <w:tcW w:w="1368" w:type="dxa"/>
          </w:tcPr>
          <w:p w:rsidR="00A35845" w:rsidRPr="00A35845" w:rsidRDefault="00A35845" w:rsidP="00A35845"/>
        </w:tc>
        <w:tc>
          <w:tcPr>
            <w:tcW w:w="2970" w:type="dxa"/>
          </w:tcPr>
          <w:p w:rsidR="00A35845" w:rsidRPr="00A35845" w:rsidRDefault="00A35845" w:rsidP="00A35845">
            <w:pPr>
              <w:rPr>
                <w:lang w:val="en-US"/>
              </w:rPr>
            </w:pPr>
          </w:p>
        </w:tc>
        <w:tc>
          <w:tcPr>
            <w:tcW w:w="1170" w:type="dxa"/>
          </w:tcPr>
          <w:p w:rsidR="00A35845" w:rsidRPr="00A35845" w:rsidRDefault="00A35845" w:rsidP="00A35845"/>
        </w:tc>
        <w:tc>
          <w:tcPr>
            <w:tcW w:w="4327" w:type="dxa"/>
          </w:tcPr>
          <w:p w:rsidR="00A35845" w:rsidRPr="00A35845" w:rsidRDefault="00A35845" w:rsidP="00A35845"/>
        </w:tc>
      </w:tr>
      <w:tr w:rsidR="00A35845" w:rsidRPr="00A35845" w:rsidTr="00AB4E4F">
        <w:tc>
          <w:tcPr>
            <w:tcW w:w="1368" w:type="dxa"/>
          </w:tcPr>
          <w:p w:rsidR="00A35845" w:rsidRPr="00A35845" w:rsidRDefault="00A35845" w:rsidP="00A35845">
            <w:r w:rsidRPr="00A35845">
              <w:t>IN / DANS :</w:t>
            </w:r>
          </w:p>
        </w:tc>
        <w:tc>
          <w:tcPr>
            <w:tcW w:w="2970" w:type="dxa"/>
          </w:tcPr>
          <w:p w:rsidR="00A35845" w:rsidRPr="00A35845" w:rsidRDefault="00A35845" w:rsidP="00A35845">
            <w:r w:rsidRPr="00A35845">
              <w:t>Julie Guindon</w:t>
            </w:r>
          </w:p>
          <w:p w:rsidR="00A35845" w:rsidRPr="00A35845" w:rsidRDefault="00A35845" w:rsidP="00A35845"/>
          <w:p w:rsidR="00A35845" w:rsidRPr="00A35845" w:rsidRDefault="00A35845" w:rsidP="00A35845">
            <w:r w:rsidRPr="00A35845">
              <w:tab/>
              <w:t>v. (35519)</w:t>
            </w:r>
          </w:p>
          <w:p w:rsidR="00A35845" w:rsidRPr="00A35845" w:rsidRDefault="00A35845" w:rsidP="00A35845"/>
          <w:p w:rsidR="00A35845" w:rsidRPr="00A35845" w:rsidRDefault="00A35845" w:rsidP="00A35845">
            <w:r w:rsidRPr="00A35845">
              <w:t>Her Majesty the Queen (F.C.)</w:t>
            </w:r>
          </w:p>
        </w:tc>
        <w:tc>
          <w:tcPr>
            <w:tcW w:w="1170" w:type="dxa"/>
          </w:tcPr>
          <w:p w:rsidR="00A35845" w:rsidRPr="00A35845" w:rsidRDefault="00A35845" w:rsidP="00A35845"/>
        </w:tc>
        <w:tc>
          <w:tcPr>
            <w:tcW w:w="4327" w:type="dxa"/>
          </w:tcPr>
          <w:p w:rsidR="00A35845" w:rsidRPr="00A35845" w:rsidRDefault="00A35845" w:rsidP="00A35845"/>
        </w:tc>
      </w:tr>
    </w:tbl>
    <w:p w:rsidR="00A35845" w:rsidRPr="00A35845" w:rsidRDefault="00A35845" w:rsidP="00A35845">
      <w:pPr>
        <w:jc w:val="both"/>
        <w:rPr>
          <w:rFonts w:eastAsia="Times New Roman" w:cs="Times New Roman"/>
          <w:sz w:val="20"/>
          <w:szCs w:val="20"/>
          <w:lang w:eastAsia="en-CA"/>
        </w:rPr>
      </w:pPr>
    </w:p>
    <w:p w:rsidR="00A35845" w:rsidRPr="00A35845" w:rsidRDefault="00A35845" w:rsidP="00A35845">
      <w:pPr>
        <w:tabs>
          <w:tab w:val="left" w:pos="-1440"/>
          <w:tab w:val="left" w:pos="-720"/>
        </w:tabs>
        <w:jc w:val="both"/>
        <w:rPr>
          <w:rFonts w:eastAsia="Times New Roman" w:cs="Times New Roman"/>
          <w:b/>
          <w:sz w:val="20"/>
          <w:szCs w:val="20"/>
          <w:lang w:eastAsia="en-CA"/>
        </w:rPr>
      </w:pPr>
      <w:r w:rsidRPr="00A35845">
        <w:rPr>
          <w:rFonts w:eastAsia="Times New Roman" w:cs="Times New Roman"/>
          <w:b/>
          <w:sz w:val="20"/>
          <w:szCs w:val="20"/>
          <w:lang w:eastAsia="en-CA"/>
        </w:rPr>
        <w:t>GRANTED / ACCORDÉES</w:t>
      </w:r>
    </w:p>
    <w:p w:rsidR="00A35845" w:rsidRPr="00A35845" w:rsidRDefault="00A35845" w:rsidP="00A35845">
      <w:pPr>
        <w:jc w:val="both"/>
        <w:rPr>
          <w:rFonts w:eastAsia="Times New Roman" w:cs="Times New Roman"/>
          <w:sz w:val="20"/>
          <w:szCs w:val="20"/>
          <w:lang w:eastAsia="en-CA"/>
        </w:rPr>
      </w:pPr>
    </w:p>
    <w:p w:rsidR="00A35845" w:rsidRPr="00A35845" w:rsidRDefault="00A35845" w:rsidP="00A35845">
      <w:pPr>
        <w:jc w:val="both"/>
        <w:rPr>
          <w:rFonts w:eastAsia="Times New Roman" w:cs="Times New Roman"/>
          <w:sz w:val="20"/>
          <w:szCs w:val="20"/>
          <w:lang w:val="en-US" w:eastAsia="en-CA"/>
        </w:rPr>
      </w:pPr>
      <w:r w:rsidRPr="00A35845">
        <w:rPr>
          <w:rFonts w:eastAsia="Times New Roman" w:cs="Times New Roman"/>
          <w:b/>
          <w:bCs/>
          <w:sz w:val="20"/>
          <w:szCs w:val="20"/>
          <w:lang w:val="en-US" w:eastAsia="en-CA"/>
        </w:rPr>
        <w:t xml:space="preserve">UPON APPLICATIONS </w:t>
      </w:r>
      <w:r w:rsidRPr="00A35845">
        <w:rPr>
          <w:rFonts w:eastAsia="Times New Roman" w:cs="Times New Roman"/>
          <w:bCs/>
          <w:sz w:val="20"/>
          <w:szCs w:val="20"/>
          <w:lang w:val="en-US" w:eastAsia="en-CA"/>
        </w:rPr>
        <w:t xml:space="preserve">by the </w:t>
      </w:r>
      <w:r w:rsidRPr="00A35845">
        <w:rPr>
          <w:rFonts w:eastAsia="Times New Roman" w:cs="Times New Roman"/>
          <w:sz w:val="20"/>
          <w:szCs w:val="20"/>
          <w:lang w:eastAsia="en-CA"/>
        </w:rPr>
        <w:t xml:space="preserve">Chartered Professional Accountants Canada and the </w:t>
      </w:r>
      <w:r w:rsidRPr="00A35845">
        <w:rPr>
          <w:rFonts w:eastAsia="Times New Roman" w:cs="Times New Roman"/>
          <w:sz w:val="20"/>
          <w:szCs w:val="20"/>
          <w:lang w:val="en-US" w:eastAsia="en-CA"/>
        </w:rPr>
        <w:t>Canadian Constitution Foundation for leave to intervene in the above appeal;</w:t>
      </w:r>
    </w:p>
    <w:p w:rsidR="00A35845" w:rsidRPr="00A35845" w:rsidRDefault="00A35845" w:rsidP="00A35845">
      <w:pPr>
        <w:jc w:val="both"/>
        <w:rPr>
          <w:rFonts w:eastAsia="Times New Roman" w:cs="Times New Roman"/>
          <w:sz w:val="20"/>
          <w:szCs w:val="20"/>
          <w:lang w:val="en-US" w:eastAsia="en-CA"/>
        </w:rPr>
      </w:pPr>
    </w:p>
    <w:p w:rsidR="00A35845" w:rsidRPr="00A35845" w:rsidRDefault="00A35845" w:rsidP="00A35845">
      <w:pPr>
        <w:spacing w:line="233" w:lineRule="auto"/>
        <w:jc w:val="both"/>
        <w:rPr>
          <w:rFonts w:eastAsia="Times New Roman" w:cs="Times New Roman"/>
          <w:bCs/>
          <w:sz w:val="20"/>
          <w:szCs w:val="20"/>
          <w:lang w:val="en-US" w:eastAsia="en-CA"/>
        </w:rPr>
      </w:pPr>
      <w:r w:rsidRPr="00A35845">
        <w:rPr>
          <w:rFonts w:eastAsia="Times New Roman" w:cs="Times New Roman"/>
          <w:b/>
          <w:bCs/>
          <w:sz w:val="20"/>
          <w:szCs w:val="20"/>
          <w:lang w:val="en-US" w:eastAsia="en-CA"/>
        </w:rPr>
        <w:t xml:space="preserve">AND UPON APPLICATION </w:t>
      </w:r>
      <w:r w:rsidRPr="00A35845">
        <w:rPr>
          <w:rFonts w:eastAsia="Times New Roman" w:cs="Times New Roman"/>
          <w:bCs/>
          <w:sz w:val="20"/>
          <w:szCs w:val="20"/>
          <w:lang w:val="en-US" w:eastAsia="en-CA"/>
        </w:rPr>
        <w:t>by the respondent</w:t>
      </w:r>
      <w:r w:rsidRPr="00A35845">
        <w:rPr>
          <w:rFonts w:eastAsia="Times New Roman" w:cs="Times New Roman"/>
          <w:b/>
          <w:bCs/>
          <w:sz w:val="20"/>
          <w:szCs w:val="20"/>
          <w:lang w:val="en-US" w:eastAsia="en-CA"/>
        </w:rPr>
        <w:t xml:space="preserve"> </w:t>
      </w:r>
      <w:r w:rsidRPr="00A35845">
        <w:rPr>
          <w:rFonts w:eastAsia="Times New Roman" w:cs="Times New Roman"/>
          <w:bCs/>
          <w:sz w:val="20"/>
          <w:szCs w:val="20"/>
          <w:lang w:val="en-US" w:eastAsia="en-CA"/>
        </w:rPr>
        <w:t>for an extension of time to serve and file its response to the motion for leave to intervene of the Chartered Professional Accountants Canada;</w:t>
      </w:r>
    </w:p>
    <w:p w:rsidR="00A35845" w:rsidRPr="00A35845" w:rsidRDefault="00A35845" w:rsidP="00A35845">
      <w:pPr>
        <w:spacing w:line="233" w:lineRule="auto"/>
        <w:jc w:val="both"/>
        <w:rPr>
          <w:rFonts w:eastAsia="Times New Roman" w:cs="Times New Roman"/>
          <w:sz w:val="20"/>
          <w:szCs w:val="20"/>
          <w:lang w:val="en-US" w:eastAsia="en-CA"/>
        </w:rPr>
      </w:pPr>
    </w:p>
    <w:p w:rsidR="00A35845" w:rsidRPr="00A35845" w:rsidRDefault="00A35845" w:rsidP="00A35845">
      <w:pPr>
        <w:spacing w:line="233" w:lineRule="auto"/>
        <w:jc w:val="both"/>
        <w:rPr>
          <w:rFonts w:eastAsia="Times New Roman" w:cs="Times New Roman"/>
          <w:sz w:val="20"/>
          <w:szCs w:val="20"/>
          <w:lang w:val="en-US" w:eastAsia="en-CA"/>
        </w:rPr>
      </w:pPr>
      <w:r w:rsidRPr="00A35845">
        <w:rPr>
          <w:rFonts w:eastAsia="Times New Roman" w:cs="Times New Roman"/>
          <w:b/>
          <w:bCs/>
          <w:sz w:val="20"/>
          <w:szCs w:val="20"/>
          <w:lang w:val="en-US" w:eastAsia="en-CA"/>
        </w:rPr>
        <w:t>AND THE MATERIAL FILED</w:t>
      </w:r>
      <w:r w:rsidRPr="00A35845">
        <w:rPr>
          <w:rFonts w:eastAsia="Times New Roman" w:cs="Times New Roman"/>
          <w:sz w:val="20"/>
          <w:szCs w:val="20"/>
          <w:lang w:val="en-US" w:eastAsia="en-CA"/>
        </w:rPr>
        <w:t xml:space="preserve"> having been read;</w:t>
      </w:r>
    </w:p>
    <w:p w:rsidR="00A35845" w:rsidRPr="00A35845" w:rsidRDefault="00A35845" w:rsidP="00A35845">
      <w:pPr>
        <w:spacing w:line="233" w:lineRule="auto"/>
        <w:jc w:val="both"/>
        <w:rPr>
          <w:rFonts w:eastAsia="Times New Roman" w:cs="Times New Roman"/>
          <w:sz w:val="20"/>
          <w:szCs w:val="20"/>
          <w:lang w:val="en-US" w:eastAsia="en-CA"/>
        </w:rPr>
      </w:pPr>
    </w:p>
    <w:p w:rsidR="00A35845" w:rsidRPr="00A35845" w:rsidRDefault="00A35845" w:rsidP="00A35845">
      <w:pPr>
        <w:spacing w:line="233" w:lineRule="auto"/>
        <w:jc w:val="both"/>
        <w:rPr>
          <w:rFonts w:eastAsia="Times New Roman" w:cs="Times New Roman"/>
          <w:sz w:val="20"/>
          <w:szCs w:val="20"/>
          <w:lang w:val="en-US" w:eastAsia="en-CA"/>
        </w:rPr>
      </w:pPr>
      <w:r w:rsidRPr="00A35845">
        <w:rPr>
          <w:rFonts w:eastAsia="Times New Roman" w:cs="Times New Roman"/>
          <w:b/>
          <w:bCs/>
          <w:sz w:val="20"/>
          <w:szCs w:val="20"/>
          <w:lang w:val="en-US" w:eastAsia="en-CA"/>
        </w:rPr>
        <w:t>IT IS HEREBY ORDERED THAT:</w:t>
      </w:r>
    </w:p>
    <w:p w:rsidR="00A35845" w:rsidRPr="00A35845" w:rsidRDefault="00A35845" w:rsidP="00A35845">
      <w:pPr>
        <w:spacing w:line="233" w:lineRule="auto"/>
        <w:jc w:val="both"/>
        <w:rPr>
          <w:rFonts w:eastAsia="Times New Roman" w:cs="Times New Roman"/>
          <w:sz w:val="20"/>
          <w:szCs w:val="20"/>
          <w:lang w:val="en-US" w:eastAsia="en-CA"/>
        </w:rPr>
      </w:pPr>
    </w:p>
    <w:p w:rsidR="00A35845" w:rsidRPr="00A35845" w:rsidRDefault="00A35845" w:rsidP="00A35845">
      <w:pPr>
        <w:spacing w:line="233" w:lineRule="auto"/>
        <w:jc w:val="both"/>
        <w:rPr>
          <w:rFonts w:eastAsia="Times New Roman" w:cs="Times New Roman"/>
          <w:sz w:val="20"/>
          <w:szCs w:val="20"/>
          <w:lang w:val="en-US" w:eastAsia="en-CA"/>
        </w:rPr>
      </w:pPr>
      <w:r w:rsidRPr="00A35845">
        <w:rPr>
          <w:rFonts w:eastAsia="Times New Roman" w:cs="Times New Roman"/>
          <w:sz w:val="20"/>
          <w:szCs w:val="20"/>
          <w:lang w:val="en-US" w:eastAsia="en-CA"/>
        </w:rPr>
        <w:t>The motion for an extension of time to serve and file the respondent’s response to the motion for leave to intervene of the Chartered Professional Accountants Canada is granted.</w:t>
      </w:r>
    </w:p>
    <w:p w:rsidR="00A35845" w:rsidRPr="00A35845" w:rsidRDefault="00A35845" w:rsidP="00A35845">
      <w:pPr>
        <w:spacing w:line="233" w:lineRule="auto"/>
        <w:jc w:val="both"/>
        <w:rPr>
          <w:rFonts w:eastAsia="Times New Roman" w:cs="Times New Roman"/>
          <w:sz w:val="20"/>
          <w:szCs w:val="20"/>
          <w:lang w:val="en-US" w:eastAsia="en-CA"/>
        </w:rPr>
      </w:pPr>
    </w:p>
    <w:p w:rsidR="00A35845" w:rsidRPr="00A35845" w:rsidRDefault="00A35845" w:rsidP="00A35845">
      <w:pPr>
        <w:spacing w:line="233" w:lineRule="auto"/>
        <w:jc w:val="both"/>
        <w:rPr>
          <w:rFonts w:eastAsia="Times New Roman" w:cs="Times New Roman"/>
          <w:sz w:val="20"/>
          <w:szCs w:val="20"/>
          <w:lang w:val="en-US" w:eastAsia="en-CA"/>
        </w:rPr>
      </w:pPr>
      <w:r w:rsidRPr="00A35845">
        <w:rPr>
          <w:rFonts w:eastAsia="Times New Roman" w:cs="Times New Roman"/>
          <w:sz w:val="20"/>
          <w:szCs w:val="20"/>
          <w:lang w:val="en-US" w:eastAsia="en-CA"/>
        </w:rPr>
        <w:t xml:space="preserve">The motions for leave to intervene by the Chartered Professional Accountants Canada and the Canadian Constitution Foundation are granted </w:t>
      </w:r>
      <w:r w:rsidRPr="00A35845">
        <w:rPr>
          <w:rFonts w:eastAsia="Times New Roman" w:cs="Times New Roman"/>
          <w:sz w:val="20"/>
          <w:szCs w:val="20"/>
          <w:lang w:eastAsia="en-CA"/>
        </w:rPr>
        <w:t>and the said interveners</w:t>
      </w:r>
      <w:r w:rsidRPr="00A35845">
        <w:rPr>
          <w:rFonts w:eastAsia="Times New Roman" w:cs="Times New Roman"/>
          <w:sz w:val="20"/>
          <w:szCs w:val="20"/>
          <w:lang w:val="en-US" w:eastAsia="en-CA"/>
        </w:rPr>
        <w:t xml:space="preserve"> shall be entitled to each serve and file a factum not to exceed ten (10) pages in length on or before November 18, 2014.</w:t>
      </w:r>
    </w:p>
    <w:p w:rsidR="00A35845" w:rsidRPr="00A35845" w:rsidRDefault="00A35845" w:rsidP="00A35845">
      <w:pPr>
        <w:spacing w:line="233" w:lineRule="auto"/>
        <w:jc w:val="both"/>
        <w:rPr>
          <w:rFonts w:eastAsia="Times New Roman" w:cs="Times New Roman"/>
          <w:sz w:val="20"/>
          <w:szCs w:val="20"/>
          <w:lang w:val="en-US" w:eastAsia="en-CA"/>
        </w:rPr>
      </w:pPr>
    </w:p>
    <w:p w:rsidR="00A35845" w:rsidRPr="00A35845" w:rsidRDefault="00A35845" w:rsidP="00A35845">
      <w:pPr>
        <w:spacing w:line="233" w:lineRule="auto"/>
        <w:jc w:val="both"/>
        <w:rPr>
          <w:rFonts w:eastAsia="Times New Roman" w:cs="Times New Roman"/>
          <w:sz w:val="20"/>
          <w:szCs w:val="20"/>
          <w:lang w:val="en-US" w:eastAsia="en-CA"/>
        </w:rPr>
      </w:pPr>
      <w:r w:rsidRPr="00A35845">
        <w:rPr>
          <w:rFonts w:eastAsia="Times New Roman" w:cs="Times New Roman"/>
          <w:sz w:val="20"/>
          <w:szCs w:val="20"/>
          <w:lang w:val="en-US" w:eastAsia="en-CA"/>
        </w:rPr>
        <w:t>The requests to present oral argument are deferred to a date following receipt and consideration of the written arguments of the parties and the interveners.</w:t>
      </w:r>
    </w:p>
    <w:p w:rsidR="00A35845" w:rsidRPr="00A35845" w:rsidRDefault="00A35845" w:rsidP="00A35845">
      <w:pPr>
        <w:spacing w:line="233" w:lineRule="auto"/>
        <w:jc w:val="both"/>
        <w:rPr>
          <w:rFonts w:eastAsia="Times New Roman" w:cs="Times New Roman"/>
          <w:sz w:val="20"/>
          <w:szCs w:val="20"/>
          <w:lang w:val="en-US" w:eastAsia="en-CA"/>
        </w:rPr>
      </w:pPr>
    </w:p>
    <w:p w:rsidR="00A35845" w:rsidRPr="00A35845" w:rsidRDefault="00274132" w:rsidP="00A35845">
      <w:pPr>
        <w:spacing w:line="233" w:lineRule="auto"/>
        <w:jc w:val="both"/>
        <w:rPr>
          <w:rFonts w:eastAsia="Times New Roman" w:cs="Times New Roman"/>
          <w:sz w:val="20"/>
          <w:szCs w:val="20"/>
          <w:lang w:val="en-US" w:eastAsia="en-CA"/>
        </w:rPr>
      </w:pPr>
      <w:r w:rsidRPr="00A35845">
        <w:rPr>
          <w:rFonts w:eastAsia="Times New Roman" w:cs="Times New Roman"/>
          <w:sz w:val="20"/>
          <w:szCs w:val="20"/>
          <w:lang w:eastAsia="en-CA"/>
        </w:rPr>
        <w:fldChar w:fldCharType="begin"/>
      </w:r>
      <w:r w:rsidR="00A35845" w:rsidRPr="00A35845">
        <w:rPr>
          <w:rFonts w:eastAsia="Times New Roman" w:cs="Times New Roman"/>
          <w:sz w:val="20"/>
          <w:szCs w:val="20"/>
          <w:lang w:eastAsia="en-CA"/>
        </w:rPr>
        <w:instrText xml:space="preserve"> SEQ CHAPTER \h \r 1</w:instrText>
      </w:r>
      <w:r w:rsidRPr="00A35845">
        <w:rPr>
          <w:rFonts w:eastAsia="Times New Roman" w:cs="Times New Roman"/>
          <w:sz w:val="20"/>
          <w:szCs w:val="20"/>
          <w:lang w:eastAsia="en-CA"/>
        </w:rPr>
        <w:fldChar w:fldCharType="end"/>
      </w:r>
      <w:r w:rsidR="00A35845" w:rsidRPr="00A35845">
        <w:rPr>
          <w:rFonts w:eastAsia="Times New Roman" w:cs="Times New Roman"/>
          <w:bCs/>
          <w:sz w:val="20"/>
          <w:szCs w:val="20"/>
          <w:lang w:val="en-US" w:eastAsia="en-CA"/>
        </w:rPr>
        <w:t>The interveners are not entitled to raise new issues or to adduce further evidence or otherwise to supplement the record of the parties.</w:t>
      </w:r>
    </w:p>
    <w:p w:rsidR="00A35845" w:rsidRPr="00A35845" w:rsidRDefault="00A35845" w:rsidP="00A35845">
      <w:pPr>
        <w:spacing w:line="233" w:lineRule="auto"/>
        <w:jc w:val="both"/>
        <w:rPr>
          <w:rFonts w:eastAsia="Times New Roman" w:cs="Times New Roman"/>
          <w:sz w:val="20"/>
          <w:szCs w:val="20"/>
          <w:lang w:val="en-US" w:eastAsia="en-CA"/>
        </w:rPr>
      </w:pPr>
    </w:p>
    <w:p w:rsidR="00A35845" w:rsidRPr="00A35845" w:rsidRDefault="00A35845" w:rsidP="00A35845">
      <w:pPr>
        <w:spacing w:line="233" w:lineRule="auto"/>
        <w:jc w:val="both"/>
        <w:rPr>
          <w:rFonts w:eastAsia="Times New Roman" w:cs="Times New Roman"/>
          <w:sz w:val="20"/>
          <w:szCs w:val="20"/>
          <w:lang w:val="en-US" w:eastAsia="en-CA"/>
        </w:rPr>
      </w:pPr>
      <w:r w:rsidRPr="00A35845">
        <w:rPr>
          <w:rFonts w:eastAsia="Times New Roman" w:cs="Times New Roman"/>
          <w:sz w:val="20"/>
          <w:szCs w:val="20"/>
          <w:lang w:val="en-US" w:eastAsia="en-CA"/>
        </w:rPr>
        <w:t>Pursuant to Rule 59(1)(</w:t>
      </w:r>
      <w:r w:rsidRPr="00A35845">
        <w:rPr>
          <w:rFonts w:eastAsia="Times New Roman" w:cs="Times New Roman"/>
          <w:i/>
          <w:iCs/>
          <w:sz w:val="20"/>
          <w:szCs w:val="20"/>
          <w:lang w:val="en-US" w:eastAsia="en-CA"/>
        </w:rPr>
        <w:t>a</w:t>
      </w:r>
      <w:r w:rsidRPr="00A35845">
        <w:rPr>
          <w:rFonts w:eastAsia="Times New Roman" w:cs="Times New Roman"/>
          <w:sz w:val="20"/>
          <w:szCs w:val="20"/>
          <w:lang w:val="en-US" w:eastAsia="en-CA"/>
        </w:rPr>
        <w:t xml:space="preserve">) of the </w:t>
      </w:r>
      <w:r w:rsidRPr="00A35845">
        <w:rPr>
          <w:rFonts w:eastAsia="Times New Roman" w:cs="Times New Roman"/>
          <w:i/>
          <w:iCs/>
          <w:sz w:val="20"/>
          <w:szCs w:val="20"/>
          <w:lang w:val="en-US" w:eastAsia="en-CA"/>
        </w:rPr>
        <w:t>Rules of the Supreme Court of Canada</w:t>
      </w:r>
      <w:r w:rsidRPr="00A35845">
        <w:rPr>
          <w:rFonts w:eastAsia="Times New Roman" w:cs="Times New Roman"/>
          <w:sz w:val="20"/>
          <w:szCs w:val="20"/>
          <w:lang w:val="en-US" w:eastAsia="en-CA"/>
        </w:rPr>
        <w:t>, the interveners shall pay to the appellant and respondent any additional disbursements occasioned to the appellant and respondent by their interventions.</w:t>
      </w:r>
    </w:p>
    <w:p w:rsidR="00A35845" w:rsidRPr="00A35845" w:rsidRDefault="00A35845" w:rsidP="00A35845">
      <w:pPr>
        <w:spacing w:line="233" w:lineRule="auto"/>
        <w:jc w:val="both"/>
        <w:rPr>
          <w:rFonts w:eastAsia="Times New Roman" w:cs="Times New Roman"/>
          <w:sz w:val="20"/>
          <w:szCs w:val="20"/>
          <w:lang w:val="en-US" w:eastAsia="en-CA"/>
        </w:rPr>
      </w:pPr>
    </w:p>
    <w:p w:rsidR="00A35845" w:rsidRPr="00A35845" w:rsidRDefault="00A35845" w:rsidP="00A35845">
      <w:pPr>
        <w:spacing w:line="233" w:lineRule="auto"/>
        <w:jc w:val="both"/>
        <w:rPr>
          <w:rFonts w:eastAsia="Times New Roman" w:cs="Times New Roman"/>
          <w:sz w:val="20"/>
          <w:szCs w:val="20"/>
          <w:lang w:val="en-US" w:eastAsia="en-CA"/>
        </w:rPr>
      </w:pPr>
      <w:r w:rsidRPr="00A35845">
        <w:rPr>
          <w:rFonts w:eastAsia="Times New Roman" w:cs="Times New Roman"/>
          <w:sz w:val="20"/>
          <w:szCs w:val="20"/>
          <w:lang w:val="en-US" w:eastAsia="en-CA"/>
        </w:rPr>
        <w:t xml:space="preserve">The respondent is permitted to serve and file factums not exceeding five (5) pages in reply to each of the interveners on or before November 25, 2014. </w:t>
      </w:r>
    </w:p>
    <w:p w:rsidR="00A35845" w:rsidRPr="00A35845" w:rsidRDefault="00A35845" w:rsidP="00A35845">
      <w:pPr>
        <w:spacing w:line="233" w:lineRule="auto"/>
        <w:jc w:val="both"/>
        <w:rPr>
          <w:rFonts w:eastAsia="Times New Roman" w:cs="Times New Roman"/>
          <w:sz w:val="20"/>
          <w:szCs w:val="20"/>
          <w:lang w:val="en-US" w:eastAsia="en-CA"/>
        </w:rPr>
      </w:pPr>
    </w:p>
    <w:p w:rsidR="00A35845" w:rsidRPr="00A35845" w:rsidRDefault="00A35845" w:rsidP="00A35845">
      <w:pPr>
        <w:spacing w:line="233" w:lineRule="auto"/>
        <w:jc w:val="both"/>
        <w:rPr>
          <w:rFonts w:eastAsia="Times New Roman" w:cs="Times New Roman"/>
          <w:sz w:val="20"/>
          <w:szCs w:val="20"/>
          <w:lang w:val="en-US" w:eastAsia="en-CA"/>
        </w:rPr>
      </w:pPr>
    </w:p>
    <w:p w:rsidR="00A35845" w:rsidRPr="00A35845" w:rsidRDefault="00A35845" w:rsidP="00A35845">
      <w:pPr>
        <w:spacing w:line="233" w:lineRule="auto"/>
        <w:jc w:val="both"/>
        <w:rPr>
          <w:rFonts w:eastAsia="Times New Roman" w:cs="Times New Roman"/>
          <w:sz w:val="20"/>
          <w:szCs w:val="20"/>
          <w:lang w:eastAsia="en-CA"/>
        </w:rPr>
      </w:pPr>
    </w:p>
    <w:p w:rsidR="00A35845" w:rsidRPr="00A35845" w:rsidRDefault="00A35845" w:rsidP="00A35845">
      <w:pPr>
        <w:jc w:val="both"/>
        <w:rPr>
          <w:rFonts w:eastAsia="Times New Roman" w:cs="Times New Roman"/>
          <w:sz w:val="20"/>
          <w:szCs w:val="20"/>
          <w:lang w:val="fr-CA" w:eastAsia="en-CA"/>
        </w:rPr>
      </w:pPr>
      <w:r w:rsidRPr="00A35845">
        <w:rPr>
          <w:rFonts w:eastAsia="Times New Roman" w:cs="Times New Roman"/>
          <w:b/>
          <w:bCs/>
          <w:sz w:val="20"/>
          <w:szCs w:val="20"/>
          <w:lang w:val="fr-CA" w:eastAsia="en-CA"/>
        </w:rPr>
        <w:t xml:space="preserve">À LA SUITE DES DEMANDES </w:t>
      </w:r>
      <w:r w:rsidRPr="00A35845">
        <w:rPr>
          <w:rFonts w:eastAsia="Times New Roman" w:cs="Times New Roman"/>
          <w:bCs/>
          <w:sz w:val="20"/>
          <w:szCs w:val="20"/>
          <w:lang w:val="fr-CA" w:eastAsia="en-CA"/>
        </w:rPr>
        <w:t xml:space="preserve">présentées par les Comptables professionnels agréés du Canada et la </w:t>
      </w:r>
      <w:r w:rsidRPr="00A35845">
        <w:rPr>
          <w:rFonts w:eastAsia="Times New Roman" w:cs="Times New Roman"/>
          <w:sz w:val="20"/>
          <w:szCs w:val="20"/>
          <w:lang w:val="fr-CA" w:eastAsia="en-CA"/>
        </w:rPr>
        <w:t>Canadian Constitution Foundation en autorisation d’intervenir dans l’appel;</w:t>
      </w:r>
    </w:p>
    <w:p w:rsidR="00A35845" w:rsidRPr="00A35845" w:rsidRDefault="00A35845" w:rsidP="00A35845">
      <w:pPr>
        <w:jc w:val="both"/>
        <w:rPr>
          <w:rFonts w:eastAsia="Times New Roman" w:cs="Times New Roman"/>
          <w:sz w:val="20"/>
          <w:szCs w:val="20"/>
          <w:lang w:val="fr-CA" w:eastAsia="en-CA"/>
        </w:rPr>
      </w:pPr>
    </w:p>
    <w:p w:rsidR="00A35845" w:rsidRPr="00A35845" w:rsidRDefault="00A35845" w:rsidP="00A35845">
      <w:pPr>
        <w:spacing w:line="233" w:lineRule="auto"/>
        <w:jc w:val="both"/>
        <w:rPr>
          <w:rFonts w:eastAsia="Times New Roman" w:cs="Times New Roman"/>
          <w:bCs/>
          <w:sz w:val="20"/>
          <w:szCs w:val="20"/>
          <w:lang w:val="fr-CA" w:eastAsia="en-CA"/>
        </w:rPr>
      </w:pPr>
      <w:r w:rsidRPr="00A35845">
        <w:rPr>
          <w:rFonts w:eastAsia="Times New Roman" w:cs="Times New Roman"/>
          <w:b/>
          <w:bCs/>
          <w:sz w:val="20"/>
          <w:szCs w:val="20"/>
          <w:lang w:val="fr-CA" w:eastAsia="en-CA"/>
        </w:rPr>
        <w:t xml:space="preserve">ET À LA SUITE DE LA DEMANDE </w:t>
      </w:r>
      <w:r w:rsidRPr="00A35845">
        <w:rPr>
          <w:rFonts w:eastAsia="Times New Roman" w:cs="Times New Roman"/>
          <w:bCs/>
          <w:sz w:val="20"/>
          <w:szCs w:val="20"/>
          <w:lang w:val="fr-CA" w:eastAsia="en-CA"/>
        </w:rPr>
        <w:t>présentée par l’intimée en vue d’obtenir la prorogation du délai pour signifier et déposer la réponse à la requête en intervention présentée par les Comptables professionnels agréés du Canada;</w:t>
      </w:r>
    </w:p>
    <w:p w:rsidR="00A35845" w:rsidRPr="00A35845" w:rsidRDefault="00A35845" w:rsidP="00A35845">
      <w:pPr>
        <w:spacing w:line="233" w:lineRule="auto"/>
        <w:jc w:val="both"/>
        <w:rPr>
          <w:rFonts w:eastAsia="Times New Roman" w:cs="Times New Roman"/>
          <w:sz w:val="20"/>
          <w:szCs w:val="20"/>
          <w:lang w:val="fr-CA" w:eastAsia="en-CA"/>
        </w:rPr>
      </w:pPr>
    </w:p>
    <w:p w:rsidR="00A35845" w:rsidRPr="00A35845" w:rsidRDefault="00A35845" w:rsidP="00A35845">
      <w:pPr>
        <w:spacing w:line="233" w:lineRule="auto"/>
        <w:jc w:val="both"/>
        <w:rPr>
          <w:rFonts w:eastAsia="Times New Roman" w:cs="Times New Roman"/>
          <w:sz w:val="20"/>
          <w:szCs w:val="20"/>
          <w:lang w:val="fr-CA" w:eastAsia="en-CA"/>
        </w:rPr>
      </w:pPr>
      <w:r w:rsidRPr="00A35845">
        <w:rPr>
          <w:rFonts w:eastAsia="Times New Roman" w:cs="Times New Roman"/>
          <w:b/>
          <w:bCs/>
          <w:sz w:val="20"/>
          <w:szCs w:val="20"/>
          <w:lang w:val="fr-CA" w:eastAsia="en-CA"/>
        </w:rPr>
        <w:t xml:space="preserve">ET APRÈS EXAMEN </w:t>
      </w:r>
      <w:r w:rsidRPr="00A35845">
        <w:rPr>
          <w:rFonts w:eastAsia="Times New Roman" w:cs="Times New Roman"/>
          <w:sz w:val="20"/>
          <w:szCs w:val="20"/>
          <w:lang w:val="fr-CA" w:eastAsia="en-CA"/>
        </w:rPr>
        <w:t>des documents déposés;</w:t>
      </w:r>
    </w:p>
    <w:p w:rsidR="00A35845" w:rsidRPr="00A35845" w:rsidRDefault="00A35845" w:rsidP="00A35845">
      <w:pPr>
        <w:spacing w:line="233" w:lineRule="auto"/>
        <w:jc w:val="both"/>
        <w:rPr>
          <w:rFonts w:eastAsia="Times New Roman" w:cs="Times New Roman"/>
          <w:sz w:val="20"/>
          <w:szCs w:val="20"/>
          <w:lang w:val="fr-CA" w:eastAsia="en-CA"/>
        </w:rPr>
      </w:pPr>
    </w:p>
    <w:p w:rsidR="00A35845" w:rsidRPr="00A35845" w:rsidRDefault="00A35845" w:rsidP="00A35845">
      <w:pPr>
        <w:spacing w:line="233" w:lineRule="auto"/>
        <w:jc w:val="both"/>
        <w:rPr>
          <w:rFonts w:eastAsia="Times New Roman" w:cs="Times New Roman"/>
          <w:sz w:val="20"/>
          <w:szCs w:val="20"/>
          <w:lang w:val="fr-CA" w:eastAsia="en-CA"/>
        </w:rPr>
      </w:pPr>
      <w:r w:rsidRPr="00A35845">
        <w:rPr>
          <w:rFonts w:eastAsia="Times New Roman" w:cs="Times New Roman"/>
          <w:b/>
          <w:bCs/>
          <w:sz w:val="20"/>
          <w:szCs w:val="20"/>
          <w:lang w:val="fr-CA" w:eastAsia="en-CA"/>
        </w:rPr>
        <w:t>IL EST ORDONNÉ CE QUI SUIT :</w:t>
      </w:r>
    </w:p>
    <w:p w:rsidR="00A35845" w:rsidRPr="00A35845" w:rsidRDefault="00A35845" w:rsidP="00A35845">
      <w:pPr>
        <w:spacing w:line="233" w:lineRule="auto"/>
        <w:jc w:val="both"/>
        <w:rPr>
          <w:rFonts w:eastAsia="Times New Roman" w:cs="Times New Roman"/>
          <w:sz w:val="20"/>
          <w:szCs w:val="20"/>
          <w:lang w:val="fr-CA" w:eastAsia="en-CA"/>
        </w:rPr>
      </w:pPr>
    </w:p>
    <w:p w:rsidR="00A35845" w:rsidRPr="00A35845" w:rsidRDefault="00A35845" w:rsidP="00A35845">
      <w:pPr>
        <w:spacing w:line="233" w:lineRule="auto"/>
        <w:jc w:val="both"/>
        <w:rPr>
          <w:rFonts w:eastAsia="Times New Roman" w:cs="Times New Roman"/>
          <w:sz w:val="20"/>
          <w:szCs w:val="20"/>
          <w:lang w:val="fr-CA" w:eastAsia="en-CA"/>
        </w:rPr>
      </w:pPr>
      <w:r w:rsidRPr="00A35845">
        <w:rPr>
          <w:rFonts w:eastAsia="Times New Roman" w:cs="Times New Roman"/>
          <w:sz w:val="20"/>
          <w:szCs w:val="20"/>
          <w:lang w:val="fr-CA" w:eastAsia="en-CA"/>
        </w:rPr>
        <w:t>La requête en prorogation du délai pour signifier et déposer la réponse de l’intimée à la demande d’autorisation d’intervenir des Comptables professionnels agréés du Canada est accueillie.</w:t>
      </w:r>
    </w:p>
    <w:p w:rsidR="00A35845" w:rsidRPr="00A35845" w:rsidRDefault="00A35845" w:rsidP="00A35845">
      <w:pPr>
        <w:spacing w:line="233" w:lineRule="auto"/>
        <w:jc w:val="both"/>
        <w:rPr>
          <w:rFonts w:eastAsia="Times New Roman" w:cs="Times New Roman"/>
          <w:sz w:val="20"/>
          <w:szCs w:val="20"/>
          <w:lang w:val="fr-CA" w:eastAsia="en-CA"/>
        </w:rPr>
      </w:pPr>
    </w:p>
    <w:p w:rsidR="00A35845" w:rsidRPr="00A35845" w:rsidRDefault="00A35845" w:rsidP="00A35845">
      <w:pPr>
        <w:spacing w:line="233" w:lineRule="auto"/>
        <w:jc w:val="both"/>
        <w:rPr>
          <w:rFonts w:eastAsia="Times New Roman" w:cs="Times New Roman"/>
          <w:sz w:val="20"/>
          <w:szCs w:val="20"/>
          <w:lang w:val="fr-CA" w:eastAsia="en-CA"/>
        </w:rPr>
      </w:pPr>
      <w:r w:rsidRPr="00A35845">
        <w:rPr>
          <w:rFonts w:eastAsia="Times New Roman" w:cs="Times New Roman"/>
          <w:sz w:val="20"/>
          <w:szCs w:val="20"/>
          <w:lang w:val="fr-CA" w:eastAsia="en-CA"/>
        </w:rPr>
        <w:t>Les requêtes en intervention présentées par les Comptables professionnels agréés du Canada et la Canadian Constitution Foundation sont accueillies, et chacun de ces intervenants pourra signifier et déposer un mémoire d’au plus dix (10) pages au plus tard le 18 novembre 2014.</w:t>
      </w:r>
    </w:p>
    <w:p w:rsidR="00A35845" w:rsidRPr="00A35845" w:rsidRDefault="00A35845" w:rsidP="00A35845">
      <w:pPr>
        <w:spacing w:line="233" w:lineRule="auto"/>
        <w:jc w:val="both"/>
        <w:rPr>
          <w:rFonts w:eastAsia="Times New Roman" w:cs="Times New Roman"/>
          <w:sz w:val="20"/>
          <w:szCs w:val="20"/>
          <w:lang w:val="fr-CA" w:eastAsia="en-CA"/>
        </w:rPr>
      </w:pPr>
    </w:p>
    <w:p w:rsidR="00A35845" w:rsidRPr="00A35845" w:rsidRDefault="00A35845" w:rsidP="00A35845">
      <w:pPr>
        <w:spacing w:line="233" w:lineRule="auto"/>
        <w:jc w:val="both"/>
        <w:rPr>
          <w:rFonts w:eastAsia="Times New Roman" w:cs="Times New Roman"/>
          <w:sz w:val="20"/>
          <w:szCs w:val="20"/>
          <w:lang w:val="fr-CA" w:eastAsia="en-CA"/>
        </w:rPr>
      </w:pPr>
      <w:r w:rsidRPr="00A35845">
        <w:rPr>
          <w:rFonts w:eastAsia="Times New Roman" w:cs="Times New Roman"/>
          <w:sz w:val="20"/>
          <w:szCs w:val="20"/>
          <w:lang w:val="fr-CA" w:eastAsia="en-CA"/>
        </w:rPr>
        <w:t>La décision sur les demandes en vue de présenter une plaidoirie orale sera rendue après réception et examen des arguments écrits des parties et des intervenants.</w:t>
      </w:r>
    </w:p>
    <w:p w:rsidR="00A35845" w:rsidRPr="00A35845" w:rsidRDefault="00A35845" w:rsidP="00A35845">
      <w:pPr>
        <w:spacing w:line="233" w:lineRule="auto"/>
        <w:jc w:val="both"/>
        <w:rPr>
          <w:rFonts w:eastAsia="Times New Roman" w:cs="Times New Roman"/>
          <w:sz w:val="20"/>
          <w:szCs w:val="20"/>
          <w:lang w:val="fr-CA" w:eastAsia="en-CA"/>
        </w:rPr>
      </w:pPr>
    </w:p>
    <w:p w:rsidR="00A35845" w:rsidRPr="00A35845" w:rsidRDefault="00A35845" w:rsidP="00A35845">
      <w:pPr>
        <w:spacing w:line="233" w:lineRule="auto"/>
        <w:jc w:val="both"/>
        <w:rPr>
          <w:rFonts w:eastAsia="Times New Roman" w:cs="Times New Roman"/>
          <w:sz w:val="20"/>
          <w:szCs w:val="20"/>
          <w:lang w:val="fr-CA" w:eastAsia="en-CA"/>
        </w:rPr>
      </w:pPr>
      <w:r w:rsidRPr="00A35845">
        <w:rPr>
          <w:rFonts w:eastAsia="Times New Roman" w:cs="Times New Roman"/>
          <w:sz w:val="20"/>
          <w:szCs w:val="20"/>
          <w:lang w:val="fr-CA" w:eastAsia="en-CA"/>
        </w:rPr>
        <w:t>Les intervenants n’ont pas le droit de soulever de nouvelles questions, de produire d’autres éléments de preuve ni de compléter de quelque autre façon le dossier des parties.</w:t>
      </w:r>
      <w:r w:rsidR="00274132" w:rsidRPr="00A35845">
        <w:rPr>
          <w:rFonts w:eastAsia="Times New Roman" w:cs="Times New Roman"/>
          <w:sz w:val="20"/>
          <w:szCs w:val="20"/>
          <w:lang w:val="fr-CA" w:eastAsia="en-CA"/>
        </w:rPr>
        <w:fldChar w:fldCharType="begin"/>
      </w:r>
      <w:r w:rsidRPr="00A35845">
        <w:rPr>
          <w:rFonts w:eastAsia="Times New Roman" w:cs="Times New Roman"/>
          <w:sz w:val="20"/>
          <w:szCs w:val="20"/>
          <w:lang w:val="fr-CA" w:eastAsia="en-CA"/>
        </w:rPr>
        <w:instrText xml:space="preserve"> SEQ CHAPTER \h \r 1</w:instrText>
      </w:r>
      <w:r w:rsidR="00274132" w:rsidRPr="00A35845">
        <w:rPr>
          <w:rFonts w:eastAsia="Times New Roman" w:cs="Times New Roman"/>
          <w:sz w:val="20"/>
          <w:szCs w:val="20"/>
          <w:lang w:val="fr-CA" w:eastAsia="en-CA"/>
        </w:rPr>
        <w:fldChar w:fldCharType="end"/>
      </w:r>
    </w:p>
    <w:p w:rsidR="00A35845" w:rsidRPr="00A35845" w:rsidRDefault="00A35845" w:rsidP="00A35845">
      <w:pPr>
        <w:spacing w:line="233" w:lineRule="auto"/>
        <w:jc w:val="both"/>
        <w:rPr>
          <w:rFonts w:eastAsia="Times New Roman" w:cs="Times New Roman"/>
          <w:sz w:val="20"/>
          <w:szCs w:val="20"/>
          <w:lang w:val="fr-CA" w:eastAsia="en-CA"/>
        </w:rPr>
      </w:pPr>
    </w:p>
    <w:p w:rsidR="00A35845" w:rsidRPr="00A35845" w:rsidRDefault="00A35845" w:rsidP="00A35845">
      <w:pPr>
        <w:spacing w:line="233" w:lineRule="auto"/>
        <w:jc w:val="both"/>
        <w:rPr>
          <w:rFonts w:eastAsia="Times New Roman" w:cs="Times New Roman"/>
          <w:sz w:val="20"/>
          <w:szCs w:val="20"/>
          <w:lang w:val="fr-CA" w:eastAsia="en-CA"/>
        </w:rPr>
      </w:pPr>
      <w:r w:rsidRPr="00A35845">
        <w:rPr>
          <w:rFonts w:eastAsia="Times New Roman" w:cs="Times New Roman"/>
          <w:sz w:val="20"/>
          <w:szCs w:val="20"/>
          <w:lang w:val="fr-CA" w:eastAsia="en-CA"/>
        </w:rPr>
        <w:t>Conformément à l’alinéa 59(1)</w:t>
      </w:r>
      <w:r w:rsidRPr="00A35845">
        <w:rPr>
          <w:rFonts w:eastAsia="Times New Roman" w:cs="Times New Roman"/>
          <w:i/>
          <w:sz w:val="20"/>
          <w:szCs w:val="20"/>
          <w:lang w:val="fr-CA" w:eastAsia="en-CA"/>
        </w:rPr>
        <w:t>a</w:t>
      </w:r>
      <w:r w:rsidRPr="00A35845">
        <w:rPr>
          <w:rFonts w:eastAsia="Times New Roman" w:cs="Times New Roman"/>
          <w:sz w:val="20"/>
          <w:szCs w:val="20"/>
          <w:lang w:val="fr-CA" w:eastAsia="en-CA"/>
        </w:rPr>
        <w:t xml:space="preserve">) des </w:t>
      </w:r>
      <w:r w:rsidRPr="00A35845">
        <w:rPr>
          <w:rFonts w:eastAsia="Times New Roman" w:cs="Times New Roman"/>
          <w:i/>
          <w:sz w:val="20"/>
          <w:szCs w:val="20"/>
          <w:lang w:val="fr-CA" w:eastAsia="en-CA"/>
        </w:rPr>
        <w:t>Règles de la Cour suprême du Canada</w:t>
      </w:r>
      <w:r w:rsidRPr="00A35845">
        <w:rPr>
          <w:rFonts w:eastAsia="Times New Roman" w:cs="Times New Roman"/>
          <w:sz w:val="20"/>
          <w:szCs w:val="20"/>
          <w:lang w:val="fr-CA" w:eastAsia="en-CA"/>
        </w:rPr>
        <w:t>, les intervenants paieront à l’appelante et à l’intimée tous débours supplémentaires résultant de leur intervention.</w:t>
      </w:r>
    </w:p>
    <w:p w:rsidR="00A35845" w:rsidRPr="00A35845" w:rsidRDefault="00A35845" w:rsidP="00A35845">
      <w:pPr>
        <w:spacing w:line="233" w:lineRule="auto"/>
        <w:jc w:val="both"/>
        <w:rPr>
          <w:rFonts w:eastAsia="Times New Roman" w:cs="Times New Roman"/>
          <w:sz w:val="20"/>
          <w:szCs w:val="20"/>
          <w:lang w:val="fr-CA" w:eastAsia="en-CA"/>
        </w:rPr>
      </w:pPr>
    </w:p>
    <w:p w:rsidR="00A35845" w:rsidRPr="00A35845" w:rsidRDefault="00A35845" w:rsidP="00A35845">
      <w:pPr>
        <w:spacing w:line="233" w:lineRule="auto"/>
        <w:jc w:val="both"/>
        <w:rPr>
          <w:rFonts w:eastAsia="Times New Roman" w:cs="Times New Roman"/>
          <w:sz w:val="20"/>
          <w:szCs w:val="20"/>
          <w:lang w:val="fr-CA" w:eastAsia="en-CA"/>
        </w:rPr>
      </w:pPr>
      <w:r w:rsidRPr="00A35845">
        <w:rPr>
          <w:rFonts w:eastAsia="Times New Roman" w:cs="Times New Roman"/>
          <w:sz w:val="20"/>
          <w:szCs w:val="20"/>
          <w:lang w:val="fr-CA" w:eastAsia="en-CA"/>
        </w:rPr>
        <w:t xml:space="preserve">L’intimée pourra signifier et déposer un mémoire d’au plus cinq (5) pages en réplique à chacun des intervenants au plus tard le 25 novembre 2014. </w:t>
      </w:r>
    </w:p>
    <w:p w:rsidR="00A35845" w:rsidRPr="00A35845" w:rsidRDefault="00A35845" w:rsidP="00A35845">
      <w:pPr>
        <w:jc w:val="both"/>
        <w:rPr>
          <w:rFonts w:eastAsia="Times New Roman" w:cs="Times New Roman"/>
          <w:sz w:val="20"/>
          <w:szCs w:val="20"/>
          <w:lang w:val="fr-CA" w:eastAsia="en-CA"/>
        </w:rPr>
      </w:pPr>
    </w:p>
    <w:p w:rsidR="00A35845" w:rsidRPr="00A35845" w:rsidRDefault="00F677DC" w:rsidP="00A35845">
      <w:pPr>
        <w:jc w:val="both"/>
        <w:rPr>
          <w:rFonts w:eastAsia="Times New Roman" w:cs="Times New Roman"/>
          <w:sz w:val="20"/>
          <w:szCs w:val="20"/>
          <w:lang w:val="fr-CA" w:eastAsia="en-CA"/>
        </w:rPr>
      </w:pPr>
      <w:r>
        <w:rPr>
          <w:rFonts w:eastAsia="Times New Roman" w:cs="Times New Roman"/>
          <w:sz w:val="20"/>
          <w:szCs w:val="20"/>
          <w:lang w:val="fr-CA" w:eastAsia="en-CA"/>
        </w:rPr>
        <w:pict>
          <v:rect id="_x0000_i1084" style="width:2in;height:1pt" o:hrpct="0" o:hralign="center" o:hrstd="t" o:hrnoshade="t" o:hr="t" fillcolor="black [3213]" stroked="f"/>
        </w:pict>
      </w:r>
    </w:p>
    <w:p w:rsidR="00A35845" w:rsidRPr="00A35845" w:rsidRDefault="00A35845" w:rsidP="00A35845">
      <w:pPr>
        <w:tabs>
          <w:tab w:val="left" w:pos="-1440"/>
          <w:tab w:val="left" w:pos="-720"/>
        </w:tabs>
        <w:jc w:val="both"/>
        <w:rPr>
          <w:rFonts w:eastAsia="Times New Roman" w:cs="Times New Roman"/>
          <w:sz w:val="20"/>
          <w:szCs w:val="20"/>
          <w:lang w:eastAsia="en-CA"/>
        </w:rPr>
      </w:pPr>
    </w:p>
    <w:p w:rsidR="00A35845" w:rsidRPr="00A35845" w:rsidRDefault="00A35845" w:rsidP="00A35845">
      <w:pPr>
        <w:tabs>
          <w:tab w:val="left" w:pos="-1440"/>
          <w:tab w:val="left" w:pos="-720"/>
        </w:tabs>
        <w:jc w:val="both"/>
        <w:rPr>
          <w:rFonts w:eastAsia="Times New Roman" w:cs="Times New Roman"/>
          <w:sz w:val="20"/>
          <w:szCs w:val="20"/>
          <w:lang w:val="fr-CA" w:eastAsia="en-CA"/>
        </w:rPr>
      </w:pPr>
      <w:r w:rsidRPr="00A35845">
        <w:rPr>
          <w:rFonts w:eastAsia="Times New Roman" w:cs="Times New Roman"/>
          <w:sz w:val="20"/>
          <w:szCs w:val="20"/>
          <w:lang w:val="fr-CA" w:eastAsia="en-CA"/>
        </w:rPr>
        <w:t>01.10.2014</w:t>
      </w:r>
    </w:p>
    <w:p w:rsidR="00A35845" w:rsidRPr="00A35845" w:rsidRDefault="00A35845" w:rsidP="00A35845">
      <w:pPr>
        <w:tabs>
          <w:tab w:val="left" w:pos="-1440"/>
          <w:tab w:val="left" w:pos="-720"/>
        </w:tabs>
        <w:jc w:val="both"/>
        <w:rPr>
          <w:rFonts w:eastAsia="Times New Roman" w:cs="Times New Roman"/>
          <w:sz w:val="20"/>
          <w:szCs w:val="20"/>
          <w:lang w:val="fr-CA" w:eastAsia="en-CA"/>
        </w:rPr>
      </w:pPr>
    </w:p>
    <w:p w:rsidR="00A35845" w:rsidRPr="00A35845" w:rsidRDefault="00A35845" w:rsidP="00A35845">
      <w:pPr>
        <w:tabs>
          <w:tab w:val="left" w:pos="-1440"/>
          <w:tab w:val="left" w:pos="-720"/>
        </w:tabs>
        <w:jc w:val="both"/>
        <w:rPr>
          <w:rFonts w:eastAsia="Times New Roman" w:cs="Times New Roman"/>
          <w:sz w:val="20"/>
          <w:szCs w:val="20"/>
          <w:lang w:val="fr-CA" w:eastAsia="en-CA"/>
        </w:rPr>
      </w:pPr>
      <w:r w:rsidRPr="00A35845">
        <w:rPr>
          <w:rFonts w:eastAsia="Times New Roman" w:cs="Times New Roman"/>
          <w:sz w:val="20"/>
          <w:szCs w:val="20"/>
          <w:lang w:val="fr-CA" w:eastAsia="en-CA"/>
        </w:rPr>
        <w:t>Before / Devant :   KARAKATSANIS J. / LA JUGE KARAKATSANIS</w:t>
      </w:r>
    </w:p>
    <w:p w:rsidR="00A35845" w:rsidRPr="00A35845" w:rsidRDefault="00A35845" w:rsidP="00A35845">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A35845" w:rsidRPr="00DA7379" w:rsidTr="00AB4E4F">
        <w:tc>
          <w:tcPr>
            <w:tcW w:w="4338" w:type="dxa"/>
          </w:tcPr>
          <w:p w:rsidR="00A35845" w:rsidRPr="00A35845" w:rsidRDefault="00274132" w:rsidP="00A35845">
            <w:pPr>
              <w:tabs>
                <w:tab w:val="left" w:pos="-1440"/>
                <w:tab w:val="left" w:pos="-720"/>
              </w:tabs>
              <w:jc w:val="both"/>
              <w:rPr>
                <w:b/>
              </w:rPr>
            </w:pPr>
            <w:r w:rsidRPr="00A35845">
              <w:rPr>
                <w:szCs w:val="24"/>
                <w:lang w:val="en-US"/>
              </w:rPr>
              <w:fldChar w:fldCharType="begin"/>
            </w:r>
            <w:r w:rsidR="00A35845" w:rsidRPr="00A35845">
              <w:rPr>
                <w:szCs w:val="24"/>
                <w:lang w:val="en-US"/>
              </w:rPr>
              <w:instrText xml:space="preserve"> SEQ CHAPTER \h \r 1</w:instrText>
            </w:r>
            <w:r w:rsidRPr="00A35845">
              <w:rPr>
                <w:szCs w:val="24"/>
                <w:lang w:val="en-US"/>
              </w:rPr>
              <w:fldChar w:fldCharType="end"/>
            </w:r>
            <w:r w:rsidR="00A35845" w:rsidRPr="00A35845">
              <w:rPr>
                <w:b/>
                <w:bCs/>
                <w:lang w:val="en-US"/>
              </w:rPr>
              <w:t>Motion to extend time</w:t>
            </w:r>
          </w:p>
        </w:tc>
        <w:tc>
          <w:tcPr>
            <w:tcW w:w="1170" w:type="dxa"/>
          </w:tcPr>
          <w:p w:rsidR="00A35845" w:rsidRPr="00A35845" w:rsidRDefault="00A35845" w:rsidP="00A35845">
            <w:pPr>
              <w:tabs>
                <w:tab w:val="left" w:pos="-1440"/>
                <w:tab w:val="left" w:pos="-720"/>
              </w:tabs>
              <w:jc w:val="both"/>
            </w:pPr>
          </w:p>
          <w:p w:rsidR="00A35845" w:rsidRPr="00A35845" w:rsidRDefault="00A35845" w:rsidP="00A35845">
            <w:pPr>
              <w:tabs>
                <w:tab w:val="left" w:pos="-1440"/>
                <w:tab w:val="left" w:pos="-720"/>
              </w:tabs>
              <w:jc w:val="both"/>
            </w:pPr>
          </w:p>
        </w:tc>
        <w:tc>
          <w:tcPr>
            <w:tcW w:w="4327" w:type="dxa"/>
          </w:tcPr>
          <w:p w:rsidR="00A35845" w:rsidRPr="00A35845" w:rsidRDefault="00A35845" w:rsidP="00A35845">
            <w:pPr>
              <w:tabs>
                <w:tab w:val="left" w:pos="-1440"/>
                <w:tab w:val="left" w:pos="-720"/>
              </w:tabs>
              <w:jc w:val="both"/>
              <w:rPr>
                <w:lang w:val="fr-CA"/>
              </w:rPr>
            </w:pPr>
            <w:r w:rsidRPr="00A35845">
              <w:rPr>
                <w:b/>
                <w:bCs/>
                <w:color w:val="000000"/>
                <w:lang w:val="fr-CA"/>
              </w:rPr>
              <w:t>Requête en prorogation de délai</w:t>
            </w:r>
            <w:r w:rsidRPr="00A35845">
              <w:rPr>
                <w:szCs w:val="24"/>
                <w:lang w:val="fr-CA"/>
              </w:rPr>
              <w:t xml:space="preserve"> </w:t>
            </w:r>
            <w:r w:rsidR="00274132" w:rsidRPr="00A35845">
              <w:rPr>
                <w:szCs w:val="24"/>
                <w:lang w:val="en-US"/>
              </w:rPr>
              <w:fldChar w:fldCharType="begin"/>
            </w:r>
            <w:r w:rsidRPr="00A35845">
              <w:rPr>
                <w:szCs w:val="24"/>
                <w:lang w:val="fr-CA"/>
              </w:rPr>
              <w:instrText xml:space="preserve"> SEQ CHAPTER \h \r 1</w:instrText>
            </w:r>
            <w:r w:rsidR="00274132" w:rsidRPr="00A35845">
              <w:rPr>
                <w:szCs w:val="24"/>
                <w:lang w:val="en-US"/>
              </w:rPr>
              <w:fldChar w:fldCharType="end"/>
            </w:r>
            <w:r w:rsidR="00274132" w:rsidRPr="00A35845">
              <w:rPr>
                <w:szCs w:val="24"/>
                <w:lang w:val="en-US"/>
              </w:rPr>
              <w:fldChar w:fldCharType="begin"/>
            </w:r>
            <w:r w:rsidRPr="00A35845">
              <w:rPr>
                <w:szCs w:val="24"/>
                <w:lang w:val="fr-CA"/>
              </w:rPr>
              <w:instrText xml:space="preserve"> SEQ CHAPTER \h \r 1</w:instrText>
            </w:r>
            <w:r w:rsidR="00274132" w:rsidRPr="00A35845">
              <w:rPr>
                <w:szCs w:val="24"/>
                <w:lang w:val="en-US"/>
              </w:rPr>
              <w:fldChar w:fldCharType="end"/>
            </w:r>
          </w:p>
        </w:tc>
      </w:tr>
      <w:tr w:rsidR="00A35845" w:rsidRPr="00A35845" w:rsidTr="00AB4E4F">
        <w:tc>
          <w:tcPr>
            <w:tcW w:w="4338" w:type="dxa"/>
          </w:tcPr>
          <w:p w:rsidR="00A35845" w:rsidRPr="00A35845" w:rsidRDefault="00A35845" w:rsidP="00A35845">
            <w:pPr>
              <w:tabs>
                <w:tab w:val="left" w:pos="-1440"/>
                <w:tab w:val="left" w:pos="-720"/>
              </w:tabs>
              <w:jc w:val="both"/>
              <w:rPr>
                <w:lang w:val="fr-CA"/>
              </w:rPr>
            </w:pPr>
            <w:r w:rsidRPr="00A35845">
              <w:rPr>
                <w:lang w:val="fr-CA"/>
              </w:rPr>
              <w:t>David Caplin</w:t>
            </w:r>
          </w:p>
          <w:p w:rsidR="00A35845" w:rsidRPr="00A35845" w:rsidRDefault="00A35845" w:rsidP="00A35845">
            <w:pPr>
              <w:tabs>
                <w:tab w:val="left" w:pos="-1440"/>
                <w:tab w:val="left" w:pos="-720"/>
              </w:tabs>
              <w:jc w:val="both"/>
              <w:rPr>
                <w:lang w:val="fr-CA"/>
              </w:rPr>
            </w:pPr>
          </w:p>
          <w:p w:rsidR="00A35845" w:rsidRPr="00A35845" w:rsidRDefault="00A35845" w:rsidP="00A35845">
            <w:pPr>
              <w:tabs>
                <w:tab w:val="left" w:pos="-1440"/>
                <w:tab w:val="left" w:pos="-720"/>
              </w:tabs>
              <w:jc w:val="both"/>
              <w:rPr>
                <w:lang w:val="fr-CA"/>
              </w:rPr>
            </w:pPr>
            <w:r w:rsidRPr="00A35845">
              <w:rPr>
                <w:lang w:val="fr-CA"/>
              </w:rPr>
              <w:tab/>
              <w:t>c. (35527)</w:t>
            </w:r>
          </w:p>
          <w:p w:rsidR="00A35845" w:rsidRPr="00A35845" w:rsidRDefault="00A35845" w:rsidP="00A35845">
            <w:pPr>
              <w:tabs>
                <w:tab w:val="left" w:pos="-1440"/>
                <w:tab w:val="left" w:pos="-720"/>
              </w:tabs>
              <w:jc w:val="both"/>
              <w:rPr>
                <w:lang w:val="fr-CA"/>
              </w:rPr>
            </w:pPr>
          </w:p>
          <w:p w:rsidR="00A35845" w:rsidRPr="00A35845" w:rsidRDefault="00A35845" w:rsidP="00A35845">
            <w:pPr>
              <w:tabs>
                <w:tab w:val="left" w:pos="-1440"/>
                <w:tab w:val="left" w:pos="-720"/>
              </w:tabs>
              <w:jc w:val="both"/>
              <w:rPr>
                <w:lang w:val="fr-CA"/>
              </w:rPr>
            </w:pPr>
            <w:r w:rsidRPr="00A35845">
              <w:rPr>
                <w:lang w:val="fr-CA"/>
              </w:rPr>
              <w:t>Ministre de la justice du Canada (Crim.) (Qc)</w:t>
            </w:r>
          </w:p>
        </w:tc>
        <w:tc>
          <w:tcPr>
            <w:tcW w:w="1170" w:type="dxa"/>
          </w:tcPr>
          <w:p w:rsidR="00A35845" w:rsidRPr="00A35845" w:rsidRDefault="00A35845" w:rsidP="00A35845">
            <w:pPr>
              <w:tabs>
                <w:tab w:val="left" w:pos="-1440"/>
                <w:tab w:val="left" w:pos="-720"/>
              </w:tabs>
              <w:jc w:val="both"/>
              <w:rPr>
                <w:lang w:val="fr-CA"/>
              </w:rPr>
            </w:pPr>
          </w:p>
        </w:tc>
        <w:tc>
          <w:tcPr>
            <w:tcW w:w="4327" w:type="dxa"/>
          </w:tcPr>
          <w:p w:rsidR="00A35845" w:rsidRPr="00A35845" w:rsidRDefault="00A35845" w:rsidP="00A35845">
            <w:pPr>
              <w:tabs>
                <w:tab w:val="left" w:pos="-1440"/>
                <w:tab w:val="left" w:pos="-720"/>
              </w:tabs>
              <w:jc w:val="both"/>
              <w:rPr>
                <w:lang w:val="fr-CA"/>
              </w:rPr>
            </w:pPr>
          </w:p>
        </w:tc>
      </w:tr>
    </w:tbl>
    <w:p w:rsidR="00A35845" w:rsidRPr="00A35845" w:rsidRDefault="00A35845" w:rsidP="00A35845">
      <w:pPr>
        <w:jc w:val="both"/>
        <w:rPr>
          <w:rFonts w:eastAsia="Times New Roman" w:cs="Times New Roman"/>
          <w:sz w:val="20"/>
          <w:szCs w:val="20"/>
          <w:lang w:val="fr-CA" w:eastAsia="en-CA"/>
        </w:rPr>
      </w:pPr>
    </w:p>
    <w:p w:rsidR="00A35845" w:rsidRPr="00A35845" w:rsidRDefault="00A35845" w:rsidP="00A35845">
      <w:pPr>
        <w:tabs>
          <w:tab w:val="left" w:pos="-1440"/>
          <w:tab w:val="left" w:pos="-720"/>
        </w:tabs>
        <w:jc w:val="both"/>
        <w:rPr>
          <w:rFonts w:eastAsia="Times New Roman" w:cs="Times New Roman"/>
          <w:b/>
          <w:sz w:val="20"/>
          <w:szCs w:val="20"/>
          <w:lang w:val="fr-CA" w:eastAsia="en-CA"/>
        </w:rPr>
      </w:pPr>
      <w:r w:rsidRPr="00A35845">
        <w:rPr>
          <w:rFonts w:eastAsia="Times New Roman" w:cs="Times New Roman"/>
          <w:b/>
          <w:sz w:val="20"/>
          <w:szCs w:val="20"/>
          <w:lang w:val="fr-CA" w:eastAsia="en-CA"/>
        </w:rPr>
        <w:t>GRANTED / ACCORDÉE</w:t>
      </w:r>
    </w:p>
    <w:p w:rsidR="00A35845" w:rsidRPr="00A35845" w:rsidRDefault="00A35845" w:rsidP="00A35845">
      <w:pPr>
        <w:jc w:val="both"/>
        <w:rPr>
          <w:rFonts w:eastAsia="Times New Roman" w:cs="Times New Roman"/>
          <w:sz w:val="20"/>
          <w:szCs w:val="20"/>
          <w:lang w:val="fr-CA" w:eastAsia="en-CA"/>
        </w:rPr>
      </w:pPr>
    </w:p>
    <w:p w:rsidR="00A35845" w:rsidRPr="00A35845" w:rsidRDefault="00A35845" w:rsidP="00A35845">
      <w:pPr>
        <w:jc w:val="both"/>
        <w:rPr>
          <w:rFonts w:eastAsia="Times New Roman" w:cs="Times New Roman"/>
          <w:sz w:val="20"/>
          <w:szCs w:val="20"/>
          <w:lang w:eastAsia="en-CA"/>
        </w:rPr>
      </w:pPr>
      <w:r w:rsidRPr="00A35845">
        <w:rPr>
          <w:rFonts w:eastAsia="Times New Roman" w:cs="Times New Roman"/>
          <w:b/>
          <w:sz w:val="20"/>
          <w:szCs w:val="20"/>
          <w:lang w:eastAsia="en-CA"/>
        </w:rPr>
        <w:t>UPON APPLICATION</w:t>
      </w:r>
      <w:r w:rsidRPr="00A35845">
        <w:rPr>
          <w:rFonts w:eastAsia="Times New Roman" w:cs="Times New Roman"/>
          <w:sz w:val="20"/>
          <w:szCs w:val="20"/>
          <w:lang w:eastAsia="en-CA"/>
        </w:rPr>
        <w:t xml:space="preserve"> by the appellant under Rule 6 of the </w:t>
      </w:r>
      <w:r w:rsidRPr="00A35845">
        <w:rPr>
          <w:rFonts w:eastAsia="Times New Roman" w:cs="Times New Roman"/>
          <w:i/>
          <w:sz w:val="20"/>
          <w:szCs w:val="20"/>
          <w:lang w:eastAsia="en-CA"/>
        </w:rPr>
        <w:t>Rules of the Supreme Court of Canada</w:t>
      </w:r>
      <w:r w:rsidRPr="00A35845">
        <w:rPr>
          <w:rFonts w:eastAsia="Times New Roman" w:cs="Times New Roman"/>
          <w:sz w:val="20"/>
          <w:szCs w:val="20"/>
          <w:lang w:eastAsia="en-CA"/>
        </w:rPr>
        <w:t xml:space="preserve"> for an order extending the time within which to serve and file his notice of appeal and his factum, record and book of authorities;</w:t>
      </w:r>
    </w:p>
    <w:p w:rsidR="00A35845" w:rsidRPr="00A35845" w:rsidRDefault="00A35845" w:rsidP="00A35845">
      <w:pPr>
        <w:jc w:val="both"/>
        <w:rPr>
          <w:rFonts w:eastAsia="Times New Roman" w:cs="Times New Roman"/>
          <w:sz w:val="20"/>
          <w:szCs w:val="20"/>
          <w:lang w:eastAsia="en-CA"/>
        </w:rPr>
      </w:pPr>
    </w:p>
    <w:p w:rsidR="00A35845" w:rsidRPr="00A35845" w:rsidRDefault="00A35845" w:rsidP="00A35845">
      <w:pPr>
        <w:jc w:val="both"/>
        <w:rPr>
          <w:rFonts w:eastAsia="Times New Roman" w:cs="Times New Roman"/>
          <w:sz w:val="20"/>
          <w:szCs w:val="20"/>
          <w:lang w:eastAsia="en-CA"/>
        </w:rPr>
      </w:pPr>
      <w:r w:rsidRPr="00A35845">
        <w:rPr>
          <w:rFonts w:eastAsia="Times New Roman" w:cs="Times New Roman"/>
          <w:b/>
          <w:sz w:val="20"/>
          <w:szCs w:val="20"/>
          <w:lang w:eastAsia="en-CA"/>
        </w:rPr>
        <w:t>AND WHEREAS</w:t>
      </w:r>
      <w:r w:rsidRPr="00A35845">
        <w:rPr>
          <w:rFonts w:eastAsia="Times New Roman" w:cs="Times New Roman"/>
          <w:sz w:val="20"/>
          <w:szCs w:val="20"/>
          <w:lang w:eastAsia="en-CA"/>
        </w:rPr>
        <w:t xml:space="preserve"> the respondent consents to the motion; </w:t>
      </w:r>
    </w:p>
    <w:p w:rsidR="00A35845" w:rsidRPr="00A35845" w:rsidRDefault="00A35845" w:rsidP="00A35845">
      <w:pPr>
        <w:jc w:val="both"/>
        <w:rPr>
          <w:rFonts w:eastAsia="Times New Roman" w:cs="Times New Roman"/>
          <w:sz w:val="20"/>
          <w:szCs w:val="20"/>
          <w:lang w:eastAsia="en-CA"/>
        </w:rPr>
      </w:pPr>
    </w:p>
    <w:p w:rsidR="00A35845" w:rsidRPr="00A35845" w:rsidRDefault="00A35845" w:rsidP="00A35845">
      <w:pPr>
        <w:jc w:val="both"/>
        <w:rPr>
          <w:rFonts w:eastAsia="Times New Roman" w:cs="Times New Roman"/>
          <w:b/>
          <w:sz w:val="20"/>
          <w:szCs w:val="20"/>
          <w:lang w:eastAsia="en-CA"/>
        </w:rPr>
      </w:pPr>
      <w:r w:rsidRPr="00A35845">
        <w:rPr>
          <w:rFonts w:eastAsia="Times New Roman" w:cs="Times New Roman"/>
          <w:b/>
          <w:sz w:val="20"/>
          <w:szCs w:val="20"/>
          <w:lang w:eastAsia="en-CA"/>
        </w:rPr>
        <w:lastRenderedPageBreak/>
        <w:t xml:space="preserve">IT IS HEREBY ORDERED THAT: </w:t>
      </w:r>
    </w:p>
    <w:p w:rsidR="00A35845" w:rsidRPr="00A35845" w:rsidRDefault="00A35845" w:rsidP="00A35845">
      <w:pPr>
        <w:jc w:val="both"/>
        <w:rPr>
          <w:rFonts w:eastAsia="Times New Roman" w:cs="Times New Roman"/>
          <w:b/>
          <w:sz w:val="20"/>
          <w:szCs w:val="20"/>
          <w:lang w:eastAsia="en-CA"/>
        </w:rPr>
      </w:pPr>
    </w:p>
    <w:p w:rsidR="00A35845" w:rsidRPr="00A35845" w:rsidRDefault="00A35845" w:rsidP="00A35845">
      <w:pPr>
        <w:jc w:val="both"/>
        <w:rPr>
          <w:rFonts w:eastAsia="Times New Roman" w:cs="Times New Roman"/>
          <w:sz w:val="20"/>
          <w:szCs w:val="20"/>
          <w:lang w:eastAsia="en-CA"/>
        </w:rPr>
      </w:pPr>
      <w:r w:rsidRPr="00A35845">
        <w:rPr>
          <w:rFonts w:eastAsia="Times New Roman" w:cs="Times New Roman"/>
          <w:sz w:val="20"/>
          <w:szCs w:val="20"/>
          <w:lang w:eastAsia="en-CA"/>
        </w:rPr>
        <w:t>The motion is granted.  The time within which to serve and file the notice of appeal is extended to August 27, 2014.  The appellant shall serve and file his factum, record and book of authorities no later than October 2, 2014.</w:t>
      </w:r>
    </w:p>
    <w:p w:rsidR="00A35845" w:rsidRPr="00A35845" w:rsidRDefault="00A35845" w:rsidP="00A35845">
      <w:pPr>
        <w:jc w:val="both"/>
        <w:rPr>
          <w:rFonts w:eastAsia="Times New Roman" w:cs="Times New Roman"/>
          <w:sz w:val="20"/>
          <w:szCs w:val="20"/>
          <w:lang w:eastAsia="en-CA"/>
        </w:rPr>
      </w:pPr>
    </w:p>
    <w:p w:rsidR="00A35845" w:rsidRPr="00A35845" w:rsidRDefault="00A35845" w:rsidP="00A35845">
      <w:pPr>
        <w:jc w:val="both"/>
        <w:rPr>
          <w:rFonts w:eastAsia="Times New Roman" w:cs="Times New Roman"/>
          <w:sz w:val="20"/>
          <w:szCs w:val="20"/>
          <w:lang w:eastAsia="en-CA"/>
        </w:rPr>
      </w:pPr>
      <w:r w:rsidRPr="00A35845">
        <w:rPr>
          <w:rFonts w:eastAsia="Times New Roman" w:cs="Times New Roman"/>
          <w:b/>
          <w:sz w:val="20"/>
          <w:szCs w:val="20"/>
          <w:lang w:eastAsia="en-CA"/>
        </w:rPr>
        <w:t>IT IS FURTHER ORDERED THAT</w:t>
      </w:r>
      <w:r w:rsidRPr="00A35845">
        <w:rPr>
          <w:rFonts w:eastAsia="Times New Roman" w:cs="Times New Roman"/>
          <w:sz w:val="20"/>
          <w:szCs w:val="20"/>
          <w:lang w:eastAsia="en-CA"/>
        </w:rPr>
        <w:t>:</w:t>
      </w:r>
    </w:p>
    <w:p w:rsidR="00A35845" w:rsidRPr="00A35845" w:rsidRDefault="00A35845" w:rsidP="00A35845">
      <w:pPr>
        <w:ind w:left="1440"/>
        <w:contextualSpacing/>
        <w:jc w:val="both"/>
        <w:rPr>
          <w:rFonts w:cs="Times New Roman"/>
          <w:sz w:val="20"/>
          <w:szCs w:val="20"/>
        </w:rPr>
      </w:pPr>
    </w:p>
    <w:p w:rsidR="00A35845" w:rsidRPr="00A35845" w:rsidRDefault="00A35845" w:rsidP="00A35845">
      <w:pPr>
        <w:ind w:left="1134" w:hanging="414"/>
        <w:contextualSpacing/>
        <w:jc w:val="both"/>
        <w:rPr>
          <w:rFonts w:cs="Times New Roman"/>
          <w:sz w:val="20"/>
          <w:szCs w:val="20"/>
        </w:rPr>
      </w:pPr>
      <w:r w:rsidRPr="00A35845">
        <w:rPr>
          <w:rFonts w:cs="Times New Roman"/>
          <w:sz w:val="20"/>
          <w:szCs w:val="20"/>
        </w:rPr>
        <w:t>1.</w:t>
      </w:r>
      <w:r w:rsidRPr="00A35845">
        <w:rPr>
          <w:rFonts w:cs="Times New Roman"/>
          <w:sz w:val="20"/>
          <w:szCs w:val="20"/>
        </w:rPr>
        <w:tab/>
        <w:t xml:space="preserve">Any person who wishes to intervene in this appeal under Rule 55 of the </w:t>
      </w:r>
      <w:r w:rsidRPr="00A35845">
        <w:rPr>
          <w:rFonts w:cs="Times New Roman"/>
          <w:i/>
          <w:sz w:val="20"/>
          <w:szCs w:val="20"/>
        </w:rPr>
        <w:t>Rules of the Supreme Court of Canada</w:t>
      </w:r>
      <w:r w:rsidRPr="00A35845">
        <w:rPr>
          <w:rFonts w:cs="Times New Roman"/>
          <w:sz w:val="20"/>
          <w:szCs w:val="20"/>
        </w:rPr>
        <w:t xml:space="preserve"> shall serve and file a motion for leave to intervene no later than October 30, 2014. </w:t>
      </w:r>
    </w:p>
    <w:p w:rsidR="00A35845" w:rsidRPr="00A35845" w:rsidRDefault="00A35845" w:rsidP="00A35845">
      <w:pPr>
        <w:ind w:left="720"/>
        <w:contextualSpacing/>
        <w:jc w:val="both"/>
        <w:rPr>
          <w:rFonts w:cs="Times New Roman"/>
          <w:sz w:val="20"/>
          <w:szCs w:val="20"/>
        </w:rPr>
      </w:pPr>
    </w:p>
    <w:p w:rsidR="00A35845" w:rsidRPr="00A35845" w:rsidRDefault="00A35845" w:rsidP="00A35845">
      <w:pPr>
        <w:ind w:left="1134" w:hanging="414"/>
        <w:contextualSpacing/>
        <w:jc w:val="both"/>
        <w:rPr>
          <w:rFonts w:cs="Times New Roman"/>
          <w:sz w:val="20"/>
          <w:szCs w:val="20"/>
        </w:rPr>
      </w:pPr>
      <w:r w:rsidRPr="00A35845">
        <w:rPr>
          <w:rFonts w:cs="Times New Roman"/>
          <w:sz w:val="20"/>
          <w:szCs w:val="20"/>
        </w:rPr>
        <w:t>2.</w:t>
      </w:r>
      <w:r w:rsidRPr="00A35845">
        <w:rPr>
          <w:rFonts w:cs="Times New Roman"/>
          <w:sz w:val="20"/>
          <w:szCs w:val="20"/>
        </w:rPr>
        <w:tab/>
        <w:t xml:space="preserve">The appellant and the respondent shall serve and file their responses to the applications for leave to intervene, if any, no later than November 4, 2014. </w:t>
      </w:r>
    </w:p>
    <w:p w:rsidR="00A35845" w:rsidRPr="00A35845" w:rsidRDefault="00A35845" w:rsidP="00A35845">
      <w:pPr>
        <w:ind w:left="720"/>
        <w:contextualSpacing/>
        <w:jc w:val="both"/>
        <w:rPr>
          <w:rFonts w:cs="Times New Roman"/>
          <w:sz w:val="20"/>
          <w:szCs w:val="20"/>
        </w:rPr>
      </w:pPr>
    </w:p>
    <w:p w:rsidR="00A35845" w:rsidRPr="00A35845" w:rsidRDefault="00A35845" w:rsidP="00A35845">
      <w:pPr>
        <w:ind w:left="1134" w:hanging="414"/>
        <w:contextualSpacing/>
        <w:jc w:val="both"/>
        <w:rPr>
          <w:rFonts w:cs="Times New Roman"/>
          <w:sz w:val="20"/>
          <w:szCs w:val="20"/>
        </w:rPr>
      </w:pPr>
      <w:r w:rsidRPr="00A35845">
        <w:rPr>
          <w:rFonts w:cs="Times New Roman"/>
          <w:sz w:val="20"/>
          <w:szCs w:val="20"/>
        </w:rPr>
        <w:t>3.</w:t>
      </w:r>
      <w:r w:rsidRPr="00A35845">
        <w:rPr>
          <w:rFonts w:cs="Times New Roman"/>
          <w:sz w:val="20"/>
          <w:szCs w:val="20"/>
        </w:rPr>
        <w:tab/>
        <w:t xml:space="preserve">The replies to any response to the applications for leave to intervene shall be served and filed no later than November 6, 2014. </w:t>
      </w:r>
    </w:p>
    <w:p w:rsidR="00A35845" w:rsidRPr="00A35845" w:rsidRDefault="00A35845" w:rsidP="00A35845">
      <w:pPr>
        <w:ind w:left="720"/>
        <w:contextualSpacing/>
        <w:jc w:val="both"/>
        <w:rPr>
          <w:rFonts w:cs="Times New Roman"/>
          <w:sz w:val="20"/>
          <w:szCs w:val="20"/>
        </w:rPr>
      </w:pPr>
    </w:p>
    <w:p w:rsidR="00A35845" w:rsidRPr="00A35845" w:rsidRDefault="00A35845" w:rsidP="00A35845">
      <w:pPr>
        <w:ind w:left="1134" w:hanging="414"/>
        <w:contextualSpacing/>
        <w:jc w:val="both"/>
        <w:rPr>
          <w:rFonts w:cs="Times New Roman"/>
          <w:sz w:val="20"/>
          <w:szCs w:val="20"/>
        </w:rPr>
      </w:pPr>
      <w:r w:rsidRPr="00A35845">
        <w:rPr>
          <w:rFonts w:cs="Times New Roman"/>
          <w:sz w:val="20"/>
          <w:szCs w:val="20"/>
        </w:rPr>
        <w:t>4.</w:t>
      </w:r>
      <w:r w:rsidRPr="00A35845">
        <w:rPr>
          <w:rFonts w:cs="Times New Roman"/>
          <w:sz w:val="20"/>
          <w:szCs w:val="20"/>
        </w:rPr>
        <w:tab/>
        <w:t xml:space="preserve">The respondent’s record, factum and book of authorities shall be served and filed no later than November 27, 2014. </w:t>
      </w:r>
    </w:p>
    <w:p w:rsidR="00A35845" w:rsidRPr="00A35845" w:rsidRDefault="00A35845" w:rsidP="00A35845">
      <w:pPr>
        <w:jc w:val="both"/>
        <w:rPr>
          <w:rFonts w:eastAsia="Times New Roman" w:cs="Times New Roman"/>
          <w:sz w:val="20"/>
          <w:szCs w:val="20"/>
          <w:lang w:eastAsia="en-CA"/>
        </w:rPr>
      </w:pPr>
    </w:p>
    <w:p w:rsidR="00A35845" w:rsidRPr="00A35845" w:rsidRDefault="00A35845" w:rsidP="00A35845">
      <w:pPr>
        <w:jc w:val="both"/>
        <w:rPr>
          <w:rFonts w:eastAsia="Times New Roman" w:cs="Times New Roman"/>
          <w:sz w:val="20"/>
          <w:szCs w:val="20"/>
          <w:lang w:eastAsia="en-CA"/>
        </w:rPr>
      </w:pPr>
    </w:p>
    <w:p w:rsidR="00A35845" w:rsidRPr="00A35845" w:rsidRDefault="00A35845" w:rsidP="00A35845">
      <w:pPr>
        <w:jc w:val="both"/>
        <w:rPr>
          <w:rFonts w:eastAsia="Times New Roman" w:cs="Times New Roman"/>
          <w:sz w:val="20"/>
          <w:szCs w:val="20"/>
          <w:lang w:eastAsia="en-CA"/>
        </w:rPr>
      </w:pPr>
    </w:p>
    <w:p w:rsidR="00A35845" w:rsidRPr="00A35845" w:rsidRDefault="00A35845" w:rsidP="00A35845">
      <w:pPr>
        <w:jc w:val="both"/>
        <w:rPr>
          <w:rFonts w:eastAsia="Times New Roman" w:cs="Times New Roman"/>
          <w:sz w:val="20"/>
          <w:szCs w:val="20"/>
          <w:lang w:val="fr-CA" w:eastAsia="en-CA"/>
        </w:rPr>
      </w:pPr>
      <w:r w:rsidRPr="00A35845">
        <w:rPr>
          <w:rFonts w:eastAsia="Times New Roman" w:cs="Times New Roman"/>
          <w:b/>
          <w:sz w:val="20"/>
          <w:szCs w:val="20"/>
          <w:lang w:val="fr-CA" w:eastAsia="en-CA"/>
        </w:rPr>
        <w:t>À LA SUITE DE LA DEMANDE</w:t>
      </w:r>
      <w:r w:rsidRPr="00A35845">
        <w:rPr>
          <w:rFonts w:eastAsia="Times New Roman" w:cs="Times New Roman"/>
          <w:sz w:val="20"/>
          <w:szCs w:val="20"/>
          <w:lang w:val="fr-CA" w:eastAsia="en-CA"/>
        </w:rPr>
        <w:t xml:space="preserve"> présentée par l’appelant en vertu de la règle 6 des </w:t>
      </w:r>
      <w:r w:rsidRPr="00A35845">
        <w:rPr>
          <w:rFonts w:eastAsia="Times New Roman" w:cs="Times New Roman"/>
          <w:i/>
          <w:sz w:val="20"/>
          <w:szCs w:val="20"/>
          <w:lang w:val="fr-CA" w:eastAsia="en-CA"/>
        </w:rPr>
        <w:t>Règles de la Cour suprême du Canada</w:t>
      </w:r>
      <w:r w:rsidRPr="00A35845">
        <w:rPr>
          <w:rFonts w:eastAsia="Times New Roman" w:cs="Times New Roman"/>
          <w:sz w:val="20"/>
          <w:szCs w:val="20"/>
          <w:lang w:val="fr-CA" w:eastAsia="en-CA"/>
        </w:rPr>
        <w:t xml:space="preserve"> pour obtenir une ordonnance afin de proroger les délais de signification et dépôt de son avis d’appel et de son mémoire, de son dossier et de son recueil de sources;</w:t>
      </w:r>
    </w:p>
    <w:p w:rsidR="00A35845" w:rsidRPr="00A35845" w:rsidRDefault="00A35845" w:rsidP="00A35845">
      <w:pPr>
        <w:rPr>
          <w:rFonts w:eastAsia="Times New Roman" w:cs="Times New Roman"/>
          <w:sz w:val="20"/>
          <w:szCs w:val="20"/>
          <w:lang w:val="fr-CA" w:eastAsia="en-CA"/>
        </w:rPr>
      </w:pPr>
    </w:p>
    <w:p w:rsidR="00A35845" w:rsidRPr="00A35845" w:rsidRDefault="00A35845" w:rsidP="00A35845">
      <w:pPr>
        <w:rPr>
          <w:rFonts w:eastAsia="Times New Roman" w:cs="Times New Roman"/>
          <w:sz w:val="20"/>
          <w:szCs w:val="20"/>
          <w:lang w:val="fr-CA" w:eastAsia="en-CA"/>
        </w:rPr>
      </w:pPr>
      <w:r w:rsidRPr="00A35845">
        <w:rPr>
          <w:rFonts w:eastAsia="Times New Roman" w:cs="Times New Roman"/>
          <w:b/>
          <w:sz w:val="20"/>
          <w:szCs w:val="20"/>
          <w:lang w:val="fr-CA" w:eastAsia="en-CA"/>
        </w:rPr>
        <w:t>ET VU QUE</w:t>
      </w:r>
      <w:r w:rsidRPr="00A35845">
        <w:rPr>
          <w:rFonts w:eastAsia="Times New Roman" w:cs="Times New Roman"/>
          <w:sz w:val="20"/>
          <w:szCs w:val="20"/>
          <w:lang w:val="fr-CA" w:eastAsia="en-CA"/>
        </w:rPr>
        <w:t xml:space="preserve"> l’intimé consent à la requête; </w:t>
      </w:r>
    </w:p>
    <w:p w:rsidR="00A35845" w:rsidRPr="00A35845" w:rsidRDefault="00A35845" w:rsidP="00A35845">
      <w:pPr>
        <w:rPr>
          <w:rFonts w:eastAsia="Times New Roman" w:cs="Times New Roman"/>
          <w:sz w:val="20"/>
          <w:szCs w:val="20"/>
          <w:lang w:val="fr-CA" w:eastAsia="en-CA"/>
        </w:rPr>
      </w:pPr>
    </w:p>
    <w:p w:rsidR="00A35845" w:rsidRPr="00A35845" w:rsidRDefault="00A35845" w:rsidP="00A35845">
      <w:pPr>
        <w:rPr>
          <w:rFonts w:eastAsia="Times New Roman" w:cs="Times New Roman"/>
          <w:b/>
          <w:sz w:val="20"/>
          <w:szCs w:val="20"/>
          <w:lang w:val="fr-CA" w:eastAsia="en-CA"/>
        </w:rPr>
      </w:pPr>
      <w:r w:rsidRPr="00A35845">
        <w:rPr>
          <w:rFonts w:eastAsia="Times New Roman" w:cs="Times New Roman"/>
          <w:b/>
          <w:sz w:val="20"/>
          <w:szCs w:val="20"/>
          <w:lang w:val="fr-CA" w:eastAsia="en-CA"/>
        </w:rPr>
        <w:t xml:space="preserve">IL EST ORDONNÉ CE QUI SUIT : </w:t>
      </w:r>
    </w:p>
    <w:p w:rsidR="00A35845" w:rsidRPr="00A35845" w:rsidRDefault="00A35845" w:rsidP="00A35845">
      <w:pPr>
        <w:rPr>
          <w:rFonts w:eastAsia="Times New Roman" w:cs="Times New Roman"/>
          <w:b/>
          <w:sz w:val="20"/>
          <w:szCs w:val="20"/>
          <w:lang w:val="fr-CA" w:eastAsia="en-CA"/>
        </w:rPr>
      </w:pPr>
    </w:p>
    <w:p w:rsidR="00A35845" w:rsidRPr="00A35845" w:rsidRDefault="00A35845" w:rsidP="00A35845">
      <w:pPr>
        <w:jc w:val="both"/>
        <w:rPr>
          <w:rFonts w:eastAsia="Times New Roman" w:cs="Times New Roman"/>
          <w:sz w:val="20"/>
          <w:szCs w:val="20"/>
          <w:lang w:val="fr-CA" w:eastAsia="en-CA"/>
        </w:rPr>
      </w:pPr>
      <w:r w:rsidRPr="00A35845">
        <w:rPr>
          <w:rFonts w:eastAsia="Times New Roman" w:cs="Times New Roman"/>
          <w:sz w:val="20"/>
          <w:szCs w:val="20"/>
          <w:lang w:val="fr-CA" w:eastAsia="en-CA"/>
        </w:rPr>
        <w:t>La requête est accueillie. Le délai pour la signification et le dépôt de l’avis d’appel est prolongé jusqu’au 27 août 2014. L’appelant devra signifier et déposer son mémoire, dossier et recueil de sources au plus tard le 2 octobre 2014.</w:t>
      </w:r>
    </w:p>
    <w:p w:rsidR="00A35845" w:rsidRPr="00A35845" w:rsidRDefault="00A35845" w:rsidP="00A35845">
      <w:pPr>
        <w:jc w:val="both"/>
        <w:rPr>
          <w:rFonts w:eastAsia="Times New Roman" w:cs="Times New Roman"/>
          <w:sz w:val="20"/>
          <w:szCs w:val="20"/>
          <w:lang w:val="fr-CA" w:eastAsia="en-CA"/>
        </w:rPr>
      </w:pPr>
    </w:p>
    <w:p w:rsidR="00A35845" w:rsidRPr="00A35845" w:rsidRDefault="00A35845" w:rsidP="00A35845">
      <w:pPr>
        <w:jc w:val="both"/>
        <w:rPr>
          <w:rFonts w:eastAsia="Times New Roman" w:cs="Times New Roman"/>
          <w:sz w:val="20"/>
          <w:szCs w:val="20"/>
          <w:lang w:val="fr-CA" w:eastAsia="en-CA"/>
        </w:rPr>
      </w:pPr>
      <w:r w:rsidRPr="00A35845">
        <w:rPr>
          <w:rFonts w:eastAsia="Times New Roman" w:cs="Times New Roman"/>
          <w:b/>
          <w:sz w:val="20"/>
          <w:szCs w:val="20"/>
          <w:lang w:val="fr-CA" w:eastAsia="en-CA"/>
        </w:rPr>
        <w:t>IL EST EN OUTRE ORDONNÉ CE QUI SUIT</w:t>
      </w:r>
      <w:r w:rsidRPr="00A35845">
        <w:rPr>
          <w:rFonts w:eastAsia="Times New Roman" w:cs="Times New Roman"/>
          <w:sz w:val="20"/>
          <w:szCs w:val="20"/>
          <w:lang w:val="fr-CA" w:eastAsia="en-CA"/>
        </w:rPr>
        <w:t> :</w:t>
      </w:r>
    </w:p>
    <w:p w:rsidR="00A35845" w:rsidRPr="00A35845" w:rsidRDefault="00A35845" w:rsidP="00A35845">
      <w:pPr>
        <w:ind w:left="1440"/>
        <w:contextualSpacing/>
        <w:rPr>
          <w:rFonts w:cs="Times New Roman"/>
          <w:sz w:val="20"/>
          <w:szCs w:val="20"/>
          <w:lang w:val="fr-CA"/>
        </w:rPr>
      </w:pPr>
    </w:p>
    <w:p w:rsidR="00A35845" w:rsidRPr="00A35845" w:rsidRDefault="00A35845" w:rsidP="00A35845">
      <w:pPr>
        <w:ind w:left="1134" w:hanging="414"/>
        <w:contextualSpacing/>
        <w:jc w:val="both"/>
        <w:rPr>
          <w:rFonts w:cs="Times New Roman"/>
          <w:sz w:val="20"/>
          <w:szCs w:val="20"/>
          <w:lang w:val="fr-CA"/>
        </w:rPr>
      </w:pPr>
      <w:r w:rsidRPr="00A35845">
        <w:rPr>
          <w:rFonts w:cs="Times New Roman"/>
          <w:sz w:val="20"/>
          <w:szCs w:val="20"/>
          <w:lang w:val="fr-CA"/>
        </w:rPr>
        <w:t>1.</w:t>
      </w:r>
      <w:r w:rsidRPr="00A35845">
        <w:rPr>
          <w:rFonts w:cs="Times New Roman"/>
          <w:sz w:val="20"/>
          <w:szCs w:val="20"/>
          <w:lang w:val="fr-CA"/>
        </w:rPr>
        <w:tab/>
        <w:t xml:space="preserve">Toute personne qui souhaite intervenir dans le présent appel en vertu de la règle 55 des </w:t>
      </w:r>
      <w:r w:rsidRPr="00A35845">
        <w:rPr>
          <w:rFonts w:cs="Times New Roman"/>
          <w:i/>
          <w:sz w:val="20"/>
          <w:szCs w:val="20"/>
          <w:lang w:val="fr-CA"/>
        </w:rPr>
        <w:t>Règles de la Cour suprême du Canada</w:t>
      </w:r>
      <w:r w:rsidRPr="00A35845">
        <w:rPr>
          <w:rFonts w:cs="Times New Roman"/>
          <w:sz w:val="20"/>
          <w:szCs w:val="20"/>
          <w:lang w:val="fr-CA"/>
        </w:rPr>
        <w:t xml:space="preserve"> signifiera et déposera une requête en autorisation d’intervenir au plus tard le 30 octobre 2014. </w:t>
      </w:r>
    </w:p>
    <w:p w:rsidR="00A35845" w:rsidRPr="00A35845" w:rsidRDefault="00A35845" w:rsidP="00A35845">
      <w:pPr>
        <w:ind w:left="720"/>
        <w:contextualSpacing/>
        <w:rPr>
          <w:rFonts w:cs="Times New Roman"/>
          <w:sz w:val="20"/>
          <w:szCs w:val="20"/>
          <w:lang w:val="fr-CA"/>
        </w:rPr>
      </w:pPr>
    </w:p>
    <w:p w:rsidR="00A35845" w:rsidRPr="00A35845" w:rsidRDefault="00A35845" w:rsidP="00A35845">
      <w:pPr>
        <w:ind w:left="1134" w:hanging="414"/>
        <w:contextualSpacing/>
        <w:jc w:val="both"/>
        <w:rPr>
          <w:rFonts w:cs="Times New Roman"/>
          <w:sz w:val="20"/>
          <w:szCs w:val="20"/>
          <w:lang w:val="fr-CA"/>
        </w:rPr>
      </w:pPr>
      <w:r w:rsidRPr="00A35845">
        <w:rPr>
          <w:rFonts w:cs="Times New Roman"/>
          <w:sz w:val="20"/>
          <w:szCs w:val="20"/>
          <w:lang w:val="fr-CA"/>
        </w:rPr>
        <w:t>2.</w:t>
      </w:r>
      <w:r w:rsidRPr="00A35845">
        <w:rPr>
          <w:rFonts w:cs="Times New Roman"/>
          <w:sz w:val="20"/>
          <w:szCs w:val="20"/>
          <w:lang w:val="fr-CA"/>
        </w:rPr>
        <w:tab/>
        <w:t xml:space="preserve">L’appelant et l’intimé signifieront et déposeront leurs réponses aux demandes d’autorisation d’intervenir, le cas échéant, au plus tard le 4 novembre 2014. </w:t>
      </w:r>
    </w:p>
    <w:p w:rsidR="00A35845" w:rsidRPr="00A35845" w:rsidRDefault="00A35845" w:rsidP="00A35845">
      <w:pPr>
        <w:ind w:left="720"/>
        <w:contextualSpacing/>
        <w:rPr>
          <w:rFonts w:cs="Times New Roman"/>
          <w:sz w:val="20"/>
          <w:szCs w:val="20"/>
          <w:lang w:val="fr-CA"/>
        </w:rPr>
      </w:pPr>
    </w:p>
    <w:p w:rsidR="00A35845" w:rsidRPr="00A35845" w:rsidRDefault="00A35845" w:rsidP="00A35845">
      <w:pPr>
        <w:ind w:left="1134" w:hanging="414"/>
        <w:contextualSpacing/>
        <w:jc w:val="both"/>
        <w:rPr>
          <w:rFonts w:cs="Times New Roman"/>
          <w:sz w:val="20"/>
          <w:szCs w:val="20"/>
          <w:lang w:val="fr-CA"/>
        </w:rPr>
      </w:pPr>
      <w:r w:rsidRPr="00A35845">
        <w:rPr>
          <w:rFonts w:cs="Times New Roman"/>
          <w:sz w:val="20"/>
          <w:szCs w:val="20"/>
          <w:lang w:val="fr-CA"/>
        </w:rPr>
        <w:t>3.</w:t>
      </w:r>
      <w:r w:rsidRPr="00A35845">
        <w:rPr>
          <w:rFonts w:cs="Times New Roman"/>
          <w:sz w:val="20"/>
          <w:szCs w:val="20"/>
          <w:lang w:val="fr-CA"/>
        </w:rPr>
        <w:tab/>
        <w:t xml:space="preserve">Les répliques à toute réponse aux demandes d’autorisation d’intervenir seront signifiées et déposées au plus tard le 6 novembre 2014. </w:t>
      </w:r>
    </w:p>
    <w:p w:rsidR="00A35845" w:rsidRPr="00A35845" w:rsidRDefault="00A35845" w:rsidP="00A35845">
      <w:pPr>
        <w:ind w:left="720"/>
        <w:contextualSpacing/>
        <w:jc w:val="both"/>
        <w:rPr>
          <w:rFonts w:cs="Times New Roman"/>
          <w:sz w:val="20"/>
          <w:szCs w:val="20"/>
          <w:lang w:val="fr-CA"/>
        </w:rPr>
      </w:pPr>
    </w:p>
    <w:p w:rsidR="00A35845" w:rsidRPr="00A35845" w:rsidRDefault="00A35845" w:rsidP="00A35845">
      <w:pPr>
        <w:ind w:left="1134" w:hanging="414"/>
        <w:contextualSpacing/>
        <w:jc w:val="both"/>
        <w:rPr>
          <w:rFonts w:cs="Times New Roman"/>
          <w:sz w:val="20"/>
          <w:szCs w:val="20"/>
          <w:lang w:val="fr-CA"/>
        </w:rPr>
      </w:pPr>
      <w:r w:rsidRPr="00A35845">
        <w:rPr>
          <w:rFonts w:cs="Times New Roman"/>
          <w:sz w:val="20"/>
          <w:szCs w:val="20"/>
          <w:lang w:val="fr-CA"/>
        </w:rPr>
        <w:t>4.</w:t>
      </w:r>
      <w:r w:rsidRPr="00A35845">
        <w:rPr>
          <w:rFonts w:cs="Times New Roman"/>
          <w:sz w:val="20"/>
          <w:szCs w:val="20"/>
          <w:lang w:val="fr-CA"/>
        </w:rPr>
        <w:tab/>
        <w:t xml:space="preserve">Les dossier, mémoire et recueil de sources de l’intimé seront signifiés et déposés au plus tard le 27 novembre 2014. </w:t>
      </w:r>
    </w:p>
    <w:p w:rsidR="00A35845" w:rsidRPr="00A35845" w:rsidRDefault="00A35845" w:rsidP="00A35845">
      <w:pPr>
        <w:jc w:val="both"/>
        <w:rPr>
          <w:rFonts w:eastAsia="Times New Roman" w:cs="Times New Roman"/>
          <w:sz w:val="20"/>
          <w:szCs w:val="20"/>
          <w:lang w:val="fr-CA" w:eastAsia="en-CA"/>
        </w:rPr>
      </w:pPr>
    </w:p>
    <w:p w:rsidR="00A35845" w:rsidRPr="00A35845" w:rsidRDefault="00F677DC" w:rsidP="00A35845">
      <w:pPr>
        <w:jc w:val="both"/>
        <w:rPr>
          <w:rFonts w:eastAsia="Times New Roman" w:cs="Times New Roman"/>
          <w:sz w:val="20"/>
          <w:szCs w:val="20"/>
          <w:lang w:val="fr-CA" w:eastAsia="en-CA"/>
        </w:rPr>
      </w:pPr>
      <w:r>
        <w:rPr>
          <w:rFonts w:eastAsia="Times New Roman" w:cs="Times New Roman"/>
          <w:sz w:val="20"/>
          <w:szCs w:val="20"/>
          <w:lang w:val="fr-CA" w:eastAsia="en-CA"/>
        </w:rPr>
        <w:pict>
          <v:rect id="_x0000_i1085" style="width:2in;height:1pt" o:hrpct="0" o:hralign="center" o:hrstd="t" o:hrnoshade="t" o:hr="t" fillcolor="black [3213]" stroked="f"/>
        </w:pict>
      </w:r>
    </w:p>
    <w:p w:rsidR="00A35845" w:rsidRDefault="00A35845">
      <w:pPr>
        <w:rPr>
          <w:rFonts w:eastAsia="Times New Roman" w:cs="Times New Roman"/>
          <w:sz w:val="20"/>
          <w:szCs w:val="20"/>
          <w:lang w:val="fr-CA" w:eastAsia="en-CA"/>
        </w:rPr>
      </w:pPr>
      <w:r>
        <w:rPr>
          <w:rFonts w:eastAsia="Times New Roman" w:cs="Times New Roman"/>
          <w:sz w:val="20"/>
          <w:szCs w:val="20"/>
          <w:lang w:val="fr-CA" w:eastAsia="en-CA"/>
        </w:rPr>
        <w:br w:type="page"/>
      </w:r>
    </w:p>
    <w:p w:rsidR="00A35845" w:rsidRPr="00A35845" w:rsidRDefault="00A35845" w:rsidP="00A35845">
      <w:pPr>
        <w:tabs>
          <w:tab w:val="left" w:pos="-1440"/>
          <w:tab w:val="left" w:pos="-720"/>
        </w:tabs>
        <w:jc w:val="both"/>
        <w:rPr>
          <w:rFonts w:eastAsia="Times New Roman" w:cs="Times New Roman"/>
          <w:sz w:val="20"/>
          <w:szCs w:val="20"/>
          <w:lang w:val="fr-CA" w:eastAsia="en-CA"/>
        </w:rPr>
      </w:pPr>
      <w:r w:rsidRPr="00A35845">
        <w:rPr>
          <w:rFonts w:eastAsia="Times New Roman" w:cs="Times New Roman"/>
          <w:sz w:val="20"/>
          <w:szCs w:val="20"/>
          <w:lang w:val="fr-CA" w:eastAsia="en-CA"/>
        </w:rPr>
        <w:lastRenderedPageBreak/>
        <w:t>01.10.2014</w:t>
      </w:r>
    </w:p>
    <w:p w:rsidR="00A35845" w:rsidRPr="00A35845" w:rsidRDefault="00A35845" w:rsidP="00A35845">
      <w:pPr>
        <w:tabs>
          <w:tab w:val="left" w:pos="-1440"/>
          <w:tab w:val="left" w:pos="-720"/>
        </w:tabs>
        <w:jc w:val="both"/>
        <w:rPr>
          <w:rFonts w:eastAsia="Times New Roman" w:cs="Times New Roman"/>
          <w:sz w:val="20"/>
          <w:szCs w:val="20"/>
          <w:lang w:val="fr-CA" w:eastAsia="en-CA"/>
        </w:rPr>
      </w:pPr>
    </w:p>
    <w:p w:rsidR="00A35845" w:rsidRPr="00A35845" w:rsidRDefault="00A35845" w:rsidP="00A35845">
      <w:pPr>
        <w:tabs>
          <w:tab w:val="left" w:pos="-1440"/>
          <w:tab w:val="left" w:pos="-720"/>
        </w:tabs>
        <w:jc w:val="both"/>
        <w:rPr>
          <w:rFonts w:eastAsia="Times New Roman" w:cs="Times New Roman"/>
          <w:sz w:val="20"/>
          <w:szCs w:val="20"/>
          <w:lang w:val="fr-CA" w:eastAsia="en-CA"/>
        </w:rPr>
      </w:pPr>
      <w:r w:rsidRPr="00A35845">
        <w:rPr>
          <w:rFonts w:eastAsia="Times New Roman" w:cs="Times New Roman"/>
          <w:sz w:val="20"/>
          <w:szCs w:val="20"/>
          <w:lang w:val="fr-CA" w:eastAsia="en-CA"/>
        </w:rPr>
        <w:t>Before / Devant :   LEBEL J. / LE JUGE LEBEL</w:t>
      </w:r>
    </w:p>
    <w:p w:rsidR="00A35845" w:rsidRPr="00A35845" w:rsidRDefault="00A35845" w:rsidP="00A35845">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A35845" w:rsidRPr="00DA7379" w:rsidTr="00AB4E4F">
        <w:tc>
          <w:tcPr>
            <w:tcW w:w="4338" w:type="dxa"/>
            <w:gridSpan w:val="2"/>
          </w:tcPr>
          <w:p w:rsidR="00A35845" w:rsidRPr="00A35845" w:rsidRDefault="00A35845" w:rsidP="00A35845">
            <w:pPr>
              <w:jc w:val="both"/>
              <w:rPr>
                <w:b/>
              </w:rPr>
            </w:pPr>
            <w:r w:rsidRPr="00A35845">
              <w:rPr>
                <w:b/>
                <w:lang w:val="en-US"/>
              </w:rPr>
              <w:t xml:space="preserve">Order on interventions with respect to oral argument </w:t>
            </w:r>
            <w:r w:rsidR="00274132" w:rsidRPr="00A35845">
              <w:rPr>
                <w:b/>
                <w:lang w:val="en-US"/>
              </w:rPr>
              <w:fldChar w:fldCharType="begin"/>
            </w:r>
            <w:r w:rsidRPr="00A35845">
              <w:rPr>
                <w:b/>
              </w:rPr>
              <w:instrText xml:space="preserve"> SEQ CHAPTER \h \r 1</w:instrText>
            </w:r>
            <w:r w:rsidR="00274132" w:rsidRPr="00A35845">
              <w:rPr>
                <w:b/>
                <w:lang w:val="en-US"/>
              </w:rPr>
              <w:fldChar w:fldCharType="end"/>
            </w:r>
          </w:p>
        </w:tc>
        <w:tc>
          <w:tcPr>
            <w:tcW w:w="1170" w:type="dxa"/>
          </w:tcPr>
          <w:p w:rsidR="00A35845" w:rsidRPr="00A35845" w:rsidRDefault="00A35845" w:rsidP="00A35845"/>
          <w:p w:rsidR="00A35845" w:rsidRPr="00A35845" w:rsidRDefault="00A35845" w:rsidP="00A35845"/>
          <w:p w:rsidR="00A35845" w:rsidRPr="00A35845" w:rsidRDefault="00A35845" w:rsidP="00A35845"/>
        </w:tc>
        <w:tc>
          <w:tcPr>
            <w:tcW w:w="4327" w:type="dxa"/>
          </w:tcPr>
          <w:p w:rsidR="00A35845" w:rsidRPr="00A35845" w:rsidRDefault="00A35845" w:rsidP="00A35845">
            <w:pPr>
              <w:jc w:val="both"/>
              <w:rPr>
                <w:b/>
                <w:lang w:val="fr-CA"/>
              </w:rPr>
            </w:pPr>
            <w:r w:rsidRPr="00A35845">
              <w:rPr>
                <w:b/>
                <w:lang w:val="fr-CA"/>
              </w:rPr>
              <w:t>Ordonnance relative à la présentation d’une plaidoirie orale par les intervenants</w:t>
            </w:r>
            <w:r w:rsidR="00274132" w:rsidRPr="00A35845">
              <w:rPr>
                <w:b/>
                <w:lang w:val="en-US"/>
              </w:rPr>
              <w:fldChar w:fldCharType="begin"/>
            </w:r>
            <w:r w:rsidRPr="00A35845">
              <w:rPr>
                <w:b/>
                <w:lang w:val="fr-CA"/>
              </w:rPr>
              <w:instrText xml:space="preserve"> SEQ CHAPTER \h \r 1</w:instrText>
            </w:r>
            <w:r w:rsidR="00274132" w:rsidRPr="00A35845">
              <w:rPr>
                <w:b/>
                <w:lang w:val="en-US"/>
              </w:rPr>
              <w:fldChar w:fldCharType="end"/>
            </w:r>
          </w:p>
        </w:tc>
      </w:tr>
      <w:tr w:rsidR="00A35845" w:rsidRPr="00A35845" w:rsidTr="00AB4E4F">
        <w:trPr>
          <w:trHeight w:hRule="exact" w:val="835"/>
        </w:trPr>
        <w:tc>
          <w:tcPr>
            <w:tcW w:w="1368" w:type="dxa"/>
          </w:tcPr>
          <w:p w:rsidR="00A35845" w:rsidRPr="00A35845" w:rsidRDefault="00A35845" w:rsidP="00A35845">
            <w:r w:rsidRPr="00A35845">
              <w:t>RE:</w:t>
            </w:r>
          </w:p>
        </w:tc>
        <w:tc>
          <w:tcPr>
            <w:tcW w:w="2970" w:type="dxa"/>
          </w:tcPr>
          <w:p w:rsidR="00A35845" w:rsidRPr="00A35845" w:rsidRDefault="00A35845" w:rsidP="00A35845">
            <w:r w:rsidRPr="00A35845">
              <w:rPr>
                <w:lang w:val="en-US"/>
              </w:rPr>
              <w:t>Alliance of People with Disabilities Who Are Supportive of Legal Assisted Dying Society;</w:t>
            </w:r>
          </w:p>
        </w:tc>
        <w:tc>
          <w:tcPr>
            <w:tcW w:w="1170" w:type="dxa"/>
          </w:tcPr>
          <w:p w:rsidR="00A35845" w:rsidRPr="00A35845" w:rsidRDefault="00A35845" w:rsidP="00A35845"/>
        </w:tc>
        <w:tc>
          <w:tcPr>
            <w:tcW w:w="4327" w:type="dxa"/>
          </w:tcPr>
          <w:p w:rsidR="00A35845" w:rsidRPr="00A35845" w:rsidRDefault="00A35845" w:rsidP="00A35845"/>
        </w:tc>
      </w:tr>
      <w:tr w:rsidR="00A35845" w:rsidRPr="00A35845" w:rsidTr="00AB4E4F">
        <w:trPr>
          <w:trHeight w:hRule="exact" w:val="576"/>
        </w:trPr>
        <w:tc>
          <w:tcPr>
            <w:tcW w:w="1368" w:type="dxa"/>
          </w:tcPr>
          <w:p w:rsidR="00A35845" w:rsidRPr="00A35845" w:rsidRDefault="00A35845" w:rsidP="00A35845"/>
        </w:tc>
        <w:tc>
          <w:tcPr>
            <w:tcW w:w="2970" w:type="dxa"/>
          </w:tcPr>
          <w:p w:rsidR="00A35845" w:rsidRPr="00A35845" w:rsidRDefault="00A35845" w:rsidP="00A35845">
            <w:r w:rsidRPr="00A35845">
              <w:rPr>
                <w:lang w:val="en-US"/>
              </w:rPr>
              <w:t>Association for Reformed Political Action Canada;</w:t>
            </w:r>
          </w:p>
        </w:tc>
        <w:tc>
          <w:tcPr>
            <w:tcW w:w="1170" w:type="dxa"/>
          </w:tcPr>
          <w:p w:rsidR="00A35845" w:rsidRPr="00A35845" w:rsidRDefault="00A35845" w:rsidP="00A35845"/>
        </w:tc>
        <w:tc>
          <w:tcPr>
            <w:tcW w:w="4327" w:type="dxa"/>
          </w:tcPr>
          <w:p w:rsidR="00A35845" w:rsidRPr="00A35845" w:rsidRDefault="00A35845" w:rsidP="00A35845"/>
        </w:tc>
      </w:tr>
      <w:tr w:rsidR="00A35845" w:rsidRPr="00A35845" w:rsidTr="00AB4E4F">
        <w:trPr>
          <w:trHeight w:hRule="exact" w:val="576"/>
        </w:trPr>
        <w:tc>
          <w:tcPr>
            <w:tcW w:w="1368" w:type="dxa"/>
          </w:tcPr>
          <w:p w:rsidR="00A35845" w:rsidRPr="00A35845" w:rsidRDefault="00A35845" w:rsidP="00A35845"/>
        </w:tc>
        <w:tc>
          <w:tcPr>
            <w:tcW w:w="2970" w:type="dxa"/>
          </w:tcPr>
          <w:p w:rsidR="00A35845" w:rsidRPr="00A35845" w:rsidRDefault="00A35845" w:rsidP="00A35845">
            <w:r w:rsidRPr="00A35845">
              <w:rPr>
                <w:lang w:val="en-US"/>
              </w:rPr>
              <w:t>Canadian Civil Liberties Association;</w:t>
            </w:r>
          </w:p>
        </w:tc>
        <w:tc>
          <w:tcPr>
            <w:tcW w:w="1170" w:type="dxa"/>
          </w:tcPr>
          <w:p w:rsidR="00A35845" w:rsidRPr="00A35845" w:rsidRDefault="00A35845" w:rsidP="00A35845"/>
        </w:tc>
        <w:tc>
          <w:tcPr>
            <w:tcW w:w="4327" w:type="dxa"/>
          </w:tcPr>
          <w:p w:rsidR="00A35845" w:rsidRPr="00A35845" w:rsidRDefault="00A35845" w:rsidP="00A35845"/>
        </w:tc>
      </w:tr>
      <w:tr w:rsidR="00A35845" w:rsidRPr="00A35845" w:rsidTr="00AB4E4F">
        <w:trPr>
          <w:trHeight w:hRule="exact" w:val="835"/>
        </w:trPr>
        <w:tc>
          <w:tcPr>
            <w:tcW w:w="1368" w:type="dxa"/>
          </w:tcPr>
          <w:p w:rsidR="00A35845" w:rsidRPr="00A35845" w:rsidRDefault="00A35845" w:rsidP="00A35845"/>
        </w:tc>
        <w:tc>
          <w:tcPr>
            <w:tcW w:w="2970" w:type="dxa"/>
          </w:tcPr>
          <w:p w:rsidR="00A35845" w:rsidRPr="00A35845" w:rsidRDefault="00A35845" w:rsidP="00A35845">
            <w:pPr>
              <w:rPr>
                <w:lang w:val="en-US"/>
              </w:rPr>
            </w:pPr>
            <w:r w:rsidRPr="00A35845">
              <w:rPr>
                <w:lang w:val="en-US"/>
              </w:rPr>
              <w:t>Canadian HIV/AIDS Legal Network and the HIV &amp; AIDS Legal Clinic Ontario;</w:t>
            </w:r>
          </w:p>
        </w:tc>
        <w:tc>
          <w:tcPr>
            <w:tcW w:w="1170" w:type="dxa"/>
          </w:tcPr>
          <w:p w:rsidR="00A35845" w:rsidRPr="00A35845" w:rsidRDefault="00A35845" w:rsidP="00A35845"/>
        </w:tc>
        <w:tc>
          <w:tcPr>
            <w:tcW w:w="4327" w:type="dxa"/>
          </w:tcPr>
          <w:p w:rsidR="00A35845" w:rsidRPr="00A35845" w:rsidRDefault="00A35845" w:rsidP="00A35845"/>
        </w:tc>
      </w:tr>
      <w:tr w:rsidR="00A35845" w:rsidRPr="00A35845" w:rsidTr="00AB4E4F">
        <w:trPr>
          <w:trHeight w:hRule="exact" w:val="360"/>
        </w:trPr>
        <w:tc>
          <w:tcPr>
            <w:tcW w:w="1368" w:type="dxa"/>
          </w:tcPr>
          <w:p w:rsidR="00A35845" w:rsidRPr="00A35845" w:rsidRDefault="00A35845" w:rsidP="00A35845"/>
        </w:tc>
        <w:tc>
          <w:tcPr>
            <w:tcW w:w="2970" w:type="dxa"/>
          </w:tcPr>
          <w:p w:rsidR="00A35845" w:rsidRPr="00A35845" w:rsidRDefault="00A35845" w:rsidP="00A35845">
            <w:pPr>
              <w:rPr>
                <w:lang w:val="en-US"/>
              </w:rPr>
            </w:pPr>
            <w:r w:rsidRPr="00A35845">
              <w:rPr>
                <w:lang w:val="en-US"/>
              </w:rPr>
              <w:t>Canadian Medical Association;</w:t>
            </w:r>
          </w:p>
        </w:tc>
        <w:tc>
          <w:tcPr>
            <w:tcW w:w="1170" w:type="dxa"/>
          </w:tcPr>
          <w:p w:rsidR="00A35845" w:rsidRPr="00A35845" w:rsidRDefault="00A35845" w:rsidP="00A35845"/>
        </w:tc>
        <w:tc>
          <w:tcPr>
            <w:tcW w:w="4327" w:type="dxa"/>
          </w:tcPr>
          <w:p w:rsidR="00A35845" w:rsidRPr="00A35845" w:rsidRDefault="00A35845" w:rsidP="00A35845"/>
        </w:tc>
      </w:tr>
      <w:tr w:rsidR="00A35845" w:rsidRPr="00A35845" w:rsidTr="00AB4E4F">
        <w:trPr>
          <w:trHeight w:hRule="exact" w:val="360"/>
        </w:trPr>
        <w:tc>
          <w:tcPr>
            <w:tcW w:w="1368" w:type="dxa"/>
          </w:tcPr>
          <w:p w:rsidR="00A35845" w:rsidRPr="00A35845" w:rsidRDefault="00A35845" w:rsidP="00A35845"/>
        </w:tc>
        <w:tc>
          <w:tcPr>
            <w:tcW w:w="2970" w:type="dxa"/>
          </w:tcPr>
          <w:p w:rsidR="00A35845" w:rsidRPr="00A35845" w:rsidRDefault="00A35845" w:rsidP="00A35845">
            <w:pPr>
              <w:rPr>
                <w:lang w:val="en-US"/>
              </w:rPr>
            </w:pPr>
            <w:r w:rsidRPr="00A35845">
              <w:rPr>
                <w:lang w:val="en-US"/>
              </w:rPr>
              <w:t>Canadian Unitarian Council;</w:t>
            </w:r>
          </w:p>
        </w:tc>
        <w:tc>
          <w:tcPr>
            <w:tcW w:w="1170" w:type="dxa"/>
          </w:tcPr>
          <w:p w:rsidR="00A35845" w:rsidRPr="00A35845" w:rsidRDefault="00A35845" w:rsidP="00A35845"/>
        </w:tc>
        <w:tc>
          <w:tcPr>
            <w:tcW w:w="4327" w:type="dxa"/>
          </w:tcPr>
          <w:p w:rsidR="00A35845" w:rsidRPr="00A35845" w:rsidRDefault="00A35845" w:rsidP="00A35845"/>
        </w:tc>
      </w:tr>
      <w:tr w:rsidR="00A35845" w:rsidRPr="00A35845" w:rsidTr="00AB4E4F">
        <w:trPr>
          <w:trHeight w:hRule="exact" w:val="360"/>
        </w:trPr>
        <w:tc>
          <w:tcPr>
            <w:tcW w:w="1368" w:type="dxa"/>
          </w:tcPr>
          <w:p w:rsidR="00A35845" w:rsidRPr="00A35845" w:rsidRDefault="00A35845" w:rsidP="00A35845"/>
        </w:tc>
        <w:tc>
          <w:tcPr>
            <w:tcW w:w="2970" w:type="dxa"/>
          </w:tcPr>
          <w:p w:rsidR="00A35845" w:rsidRPr="00A35845" w:rsidRDefault="00A35845" w:rsidP="00A35845">
            <w:pPr>
              <w:rPr>
                <w:lang w:val="en-US"/>
              </w:rPr>
            </w:pPr>
            <w:r w:rsidRPr="00A35845">
              <w:rPr>
                <w:lang w:val="en-US"/>
              </w:rPr>
              <w:t>Catholic Civil Rights League;</w:t>
            </w:r>
          </w:p>
        </w:tc>
        <w:tc>
          <w:tcPr>
            <w:tcW w:w="1170" w:type="dxa"/>
          </w:tcPr>
          <w:p w:rsidR="00A35845" w:rsidRPr="00A35845" w:rsidRDefault="00A35845" w:rsidP="00A35845"/>
        </w:tc>
        <w:tc>
          <w:tcPr>
            <w:tcW w:w="4327" w:type="dxa"/>
          </w:tcPr>
          <w:p w:rsidR="00A35845" w:rsidRPr="00A35845" w:rsidRDefault="00A35845" w:rsidP="00A35845"/>
        </w:tc>
      </w:tr>
      <w:tr w:rsidR="00A35845" w:rsidRPr="00A35845" w:rsidTr="00AB4E4F">
        <w:trPr>
          <w:trHeight w:hRule="exact" w:val="835"/>
        </w:trPr>
        <w:tc>
          <w:tcPr>
            <w:tcW w:w="1368" w:type="dxa"/>
          </w:tcPr>
          <w:p w:rsidR="00A35845" w:rsidRPr="00A35845" w:rsidRDefault="00A35845" w:rsidP="00A35845"/>
        </w:tc>
        <w:tc>
          <w:tcPr>
            <w:tcW w:w="2970" w:type="dxa"/>
          </w:tcPr>
          <w:p w:rsidR="00A35845" w:rsidRPr="00A35845" w:rsidRDefault="00A35845" w:rsidP="00A35845">
            <w:r w:rsidRPr="00A35845">
              <w:rPr>
                <w:lang w:val="en-US"/>
              </w:rPr>
              <w:t>Faith and Freedom Alliance and the Protection of Conscience Project;</w:t>
            </w:r>
          </w:p>
        </w:tc>
        <w:tc>
          <w:tcPr>
            <w:tcW w:w="1170" w:type="dxa"/>
          </w:tcPr>
          <w:p w:rsidR="00A35845" w:rsidRPr="00A35845" w:rsidRDefault="00A35845" w:rsidP="00A35845"/>
        </w:tc>
        <w:tc>
          <w:tcPr>
            <w:tcW w:w="4327" w:type="dxa"/>
          </w:tcPr>
          <w:p w:rsidR="00A35845" w:rsidRPr="00A35845" w:rsidRDefault="00A35845" w:rsidP="00A35845"/>
        </w:tc>
      </w:tr>
      <w:tr w:rsidR="00A35845" w:rsidRPr="00A35845" w:rsidTr="00AB4E4F">
        <w:trPr>
          <w:trHeight w:hRule="exact" w:val="576"/>
        </w:trPr>
        <w:tc>
          <w:tcPr>
            <w:tcW w:w="1368" w:type="dxa"/>
          </w:tcPr>
          <w:p w:rsidR="00A35845" w:rsidRPr="00A35845" w:rsidRDefault="00A35845" w:rsidP="00A35845"/>
        </w:tc>
        <w:tc>
          <w:tcPr>
            <w:tcW w:w="2970" w:type="dxa"/>
          </w:tcPr>
          <w:p w:rsidR="00A35845" w:rsidRPr="00A35845" w:rsidRDefault="00A35845" w:rsidP="00A35845">
            <w:r w:rsidRPr="00A35845">
              <w:rPr>
                <w:lang w:val="en-US"/>
              </w:rPr>
              <w:t>Catholic Health Alliance of Canada,;</w:t>
            </w:r>
          </w:p>
        </w:tc>
        <w:tc>
          <w:tcPr>
            <w:tcW w:w="1170" w:type="dxa"/>
          </w:tcPr>
          <w:p w:rsidR="00A35845" w:rsidRPr="00A35845" w:rsidRDefault="00A35845" w:rsidP="00A35845"/>
        </w:tc>
        <w:tc>
          <w:tcPr>
            <w:tcW w:w="4327" w:type="dxa"/>
          </w:tcPr>
          <w:p w:rsidR="00A35845" w:rsidRPr="00A35845" w:rsidRDefault="00A35845" w:rsidP="00A35845"/>
        </w:tc>
      </w:tr>
      <w:tr w:rsidR="00A35845" w:rsidRPr="00A35845" w:rsidTr="00AB4E4F">
        <w:trPr>
          <w:trHeight w:hRule="exact" w:val="360"/>
        </w:trPr>
        <w:tc>
          <w:tcPr>
            <w:tcW w:w="1368" w:type="dxa"/>
          </w:tcPr>
          <w:p w:rsidR="00A35845" w:rsidRPr="00A35845" w:rsidRDefault="00A35845" w:rsidP="00A35845"/>
        </w:tc>
        <w:tc>
          <w:tcPr>
            <w:tcW w:w="2970" w:type="dxa"/>
          </w:tcPr>
          <w:p w:rsidR="00A35845" w:rsidRPr="00A35845" w:rsidRDefault="00A35845" w:rsidP="00A35845">
            <w:pPr>
              <w:rPr>
                <w:lang w:val="en-US"/>
              </w:rPr>
            </w:pPr>
            <w:r w:rsidRPr="00A35845">
              <w:rPr>
                <w:lang w:val="en-US"/>
              </w:rPr>
              <w:t>Christian Legal Fellowship;</w:t>
            </w:r>
          </w:p>
        </w:tc>
        <w:tc>
          <w:tcPr>
            <w:tcW w:w="1170" w:type="dxa"/>
          </w:tcPr>
          <w:p w:rsidR="00A35845" w:rsidRPr="00A35845" w:rsidRDefault="00A35845" w:rsidP="00A35845"/>
        </w:tc>
        <w:tc>
          <w:tcPr>
            <w:tcW w:w="4327" w:type="dxa"/>
          </w:tcPr>
          <w:p w:rsidR="00A35845" w:rsidRPr="00A35845" w:rsidRDefault="00A35845" w:rsidP="00A35845"/>
        </w:tc>
      </w:tr>
      <w:tr w:rsidR="00A35845" w:rsidRPr="00A35845" w:rsidTr="00AB4E4F">
        <w:trPr>
          <w:trHeight w:hRule="exact" w:val="576"/>
        </w:trPr>
        <w:tc>
          <w:tcPr>
            <w:tcW w:w="1368" w:type="dxa"/>
          </w:tcPr>
          <w:p w:rsidR="00A35845" w:rsidRPr="00A35845" w:rsidRDefault="00A35845" w:rsidP="00A35845"/>
        </w:tc>
        <w:tc>
          <w:tcPr>
            <w:tcW w:w="2970" w:type="dxa"/>
          </w:tcPr>
          <w:p w:rsidR="00A35845" w:rsidRPr="00A35845" w:rsidRDefault="00A35845" w:rsidP="00A35845">
            <w:r w:rsidRPr="00A35845">
              <w:rPr>
                <w:lang w:val="en-US"/>
              </w:rPr>
              <w:t>Christian Medical and Dental Society of Canada;</w:t>
            </w:r>
          </w:p>
        </w:tc>
        <w:tc>
          <w:tcPr>
            <w:tcW w:w="1170" w:type="dxa"/>
          </w:tcPr>
          <w:p w:rsidR="00A35845" w:rsidRPr="00A35845" w:rsidRDefault="00A35845" w:rsidP="00A35845"/>
        </w:tc>
        <w:tc>
          <w:tcPr>
            <w:tcW w:w="4327" w:type="dxa"/>
          </w:tcPr>
          <w:p w:rsidR="00A35845" w:rsidRPr="00A35845" w:rsidRDefault="00A35845" w:rsidP="00A35845"/>
        </w:tc>
      </w:tr>
      <w:tr w:rsidR="00A35845" w:rsidRPr="00A35845" w:rsidTr="00AB4E4F">
        <w:trPr>
          <w:trHeight w:hRule="exact" w:val="576"/>
        </w:trPr>
        <w:tc>
          <w:tcPr>
            <w:tcW w:w="1368" w:type="dxa"/>
          </w:tcPr>
          <w:p w:rsidR="00A35845" w:rsidRPr="00A35845" w:rsidRDefault="00A35845" w:rsidP="00A35845"/>
        </w:tc>
        <w:tc>
          <w:tcPr>
            <w:tcW w:w="2970" w:type="dxa"/>
          </w:tcPr>
          <w:p w:rsidR="00A35845" w:rsidRPr="00A35845" w:rsidRDefault="00A35845" w:rsidP="00A35845">
            <w:pPr>
              <w:rPr>
                <w:lang w:val="en-US"/>
              </w:rPr>
            </w:pPr>
            <w:r w:rsidRPr="00A35845">
              <w:rPr>
                <w:lang w:val="en-US"/>
              </w:rPr>
              <w:t>Canadian Federation of Catholic Physicians’ Societies;</w:t>
            </w:r>
          </w:p>
        </w:tc>
        <w:tc>
          <w:tcPr>
            <w:tcW w:w="1170" w:type="dxa"/>
          </w:tcPr>
          <w:p w:rsidR="00A35845" w:rsidRPr="00A35845" w:rsidRDefault="00A35845" w:rsidP="00A35845"/>
        </w:tc>
        <w:tc>
          <w:tcPr>
            <w:tcW w:w="4327" w:type="dxa"/>
          </w:tcPr>
          <w:p w:rsidR="00A35845" w:rsidRPr="00A35845" w:rsidRDefault="00A35845" w:rsidP="00A35845"/>
        </w:tc>
      </w:tr>
      <w:tr w:rsidR="00A35845" w:rsidRPr="00DA7379" w:rsidTr="00AB4E4F">
        <w:trPr>
          <w:trHeight w:hRule="exact" w:val="576"/>
        </w:trPr>
        <w:tc>
          <w:tcPr>
            <w:tcW w:w="1368" w:type="dxa"/>
          </w:tcPr>
          <w:p w:rsidR="00A35845" w:rsidRPr="00A35845" w:rsidRDefault="00A35845" w:rsidP="00A35845"/>
        </w:tc>
        <w:tc>
          <w:tcPr>
            <w:tcW w:w="2970" w:type="dxa"/>
          </w:tcPr>
          <w:p w:rsidR="00A35845" w:rsidRPr="00A35845" w:rsidRDefault="00A35845" w:rsidP="00A35845">
            <w:pPr>
              <w:rPr>
                <w:lang w:val="fr-CA"/>
              </w:rPr>
            </w:pPr>
            <w:r w:rsidRPr="00A35845">
              <w:rPr>
                <w:lang w:val="fr-CA"/>
              </w:rPr>
              <w:t>Collectif des médecins contre l’euthanasie;</w:t>
            </w:r>
          </w:p>
        </w:tc>
        <w:tc>
          <w:tcPr>
            <w:tcW w:w="1170" w:type="dxa"/>
          </w:tcPr>
          <w:p w:rsidR="00A35845" w:rsidRPr="00A35845" w:rsidRDefault="00A35845" w:rsidP="00A35845">
            <w:pPr>
              <w:rPr>
                <w:lang w:val="fr-CA"/>
              </w:rPr>
            </w:pPr>
          </w:p>
        </w:tc>
        <w:tc>
          <w:tcPr>
            <w:tcW w:w="4327" w:type="dxa"/>
          </w:tcPr>
          <w:p w:rsidR="00A35845" w:rsidRPr="00A35845" w:rsidRDefault="00A35845" w:rsidP="00A35845">
            <w:pPr>
              <w:rPr>
                <w:lang w:val="fr-CA"/>
              </w:rPr>
            </w:pPr>
          </w:p>
        </w:tc>
      </w:tr>
      <w:tr w:rsidR="00A35845" w:rsidRPr="00A35845" w:rsidTr="00AB4E4F">
        <w:trPr>
          <w:trHeight w:hRule="exact" w:val="1022"/>
        </w:trPr>
        <w:tc>
          <w:tcPr>
            <w:tcW w:w="1368" w:type="dxa"/>
          </w:tcPr>
          <w:p w:rsidR="00A35845" w:rsidRPr="00A35845" w:rsidRDefault="00A35845" w:rsidP="00A35845">
            <w:pPr>
              <w:rPr>
                <w:lang w:val="fr-CA"/>
              </w:rPr>
            </w:pPr>
          </w:p>
        </w:tc>
        <w:tc>
          <w:tcPr>
            <w:tcW w:w="2970" w:type="dxa"/>
          </w:tcPr>
          <w:p w:rsidR="00A35845" w:rsidRPr="00A35845" w:rsidRDefault="00A35845" w:rsidP="00A35845">
            <w:r w:rsidRPr="00A35845">
              <w:rPr>
                <w:lang w:val="en-US"/>
              </w:rPr>
              <w:t>Council of Canadians with Disabilities and the Canadian Association for Community Living;</w:t>
            </w:r>
          </w:p>
        </w:tc>
        <w:tc>
          <w:tcPr>
            <w:tcW w:w="1170" w:type="dxa"/>
          </w:tcPr>
          <w:p w:rsidR="00A35845" w:rsidRPr="00A35845" w:rsidRDefault="00A35845" w:rsidP="00A35845"/>
        </w:tc>
        <w:tc>
          <w:tcPr>
            <w:tcW w:w="4327" w:type="dxa"/>
          </w:tcPr>
          <w:p w:rsidR="00A35845" w:rsidRPr="00A35845" w:rsidRDefault="00A35845" w:rsidP="00A35845"/>
        </w:tc>
      </w:tr>
      <w:tr w:rsidR="00A35845" w:rsidRPr="00A35845" w:rsidTr="00AB4E4F">
        <w:trPr>
          <w:trHeight w:hRule="exact" w:val="576"/>
        </w:trPr>
        <w:tc>
          <w:tcPr>
            <w:tcW w:w="1368" w:type="dxa"/>
          </w:tcPr>
          <w:p w:rsidR="00A35845" w:rsidRPr="00A35845" w:rsidRDefault="00A35845" w:rsidP="00A35845"/>
        </w:tc>
        <w:tc>
          <w:tcPr>
            <w:tcW w:w="2970" w:type="dxa"/>
          </w:tcPr>
          <w:p w:rsidR="00A35845" w:rsidRPr="00A35845" w:rsidRDefault="00A35845" w:rsidP="00A35845">
            <w:pPr>
              <w:rPr>
                <w:lang w:val="en-US"/>
              </w:rPr>
            </w:pPr>
            <w:r w:rsidRPr="00A35845">
              <w:rPr>
                <w:lang w:val="en-US"/>
              </w:rPr>
              <w:t>Criminal Lawyers’ Association (Ontario);</w:t>
            </w:r>
          </w:p>
        </w:tc>
        <w:tc>
          <w:tcPr>
            <w:tcW w:w="1170" w:type="dxa"/>
          </w:tcPr>
          <w:p w:rsidR="00A35845" w:rsidRPr="00A35845" w:rsidRDefault="00A35845" w:rsidP="00A35845"/>
        </w:tc>
        <w:tc>
          <w:tcPr>
            <w:tcW w:w="4327" w:type="dxa"/>
          </w:tcPr>
          <w:p w:rsidR="00A35845" w:rsidRPr="00A35845" w:rsidRDefault="00A35845" w:rsidP="00A35845"/>
        </w:tc>
      </w:tr>
      <w:tr w:rsidR="00A35845" w:rsidRPr="00A35845" w:rsidTr="00AB4E4F">
        <w:trPr>
          <w:trHeight w:hRule="exact" w:val="360"/>
        </w:trPr>
        <w:tc>
          <w:tcPr>
            <w:tcW w:w="1368" w:type="dxa"/>
          </w:tcPr>
          <w:p w:rsidR="00A35845" w:rsidRPr="00A35845" w:rsidRDefault="00A35845" w:rsidP="00A35845">
            <w:pPr>
              <w:rPr>
                <w:lang w:val="fr-CA"/>
              </w:rPr>
            </w:pPr>
          </w:p>
        </w:tc>
        <w:tc>
          <w:tcPr>
            <w:tcW w:w="2970" w:type="dxa"/>
          </w:tcPr>
          <w:p w:rsidR="00A35845" w:rsidRPr="00A35845" w:rsidRDefault="00A35845" w:rsidP="00A35845">
            <w:pPr>
              <w:rPr>
                <w:lang w:val="en-US"/>
              </w:rPr>
            </w:pPr>
            <w:r w:rsidRPr="00A35845">
              <w:rPr>
                <w:lang w:val="en-US"/>
              </w:rPr>
              <w:t>Dying with Dignity;</w:t>
            </w:r>
          </w:p>
        </w:tc>
        <w:tc>
          <w:tcPr>
            <w:tcW w:w="1170" w:type="dxa"/>
          </w:tcPr>
          <w:p w:rsidR="00A35845" w:rsidRPr="00A35845" w:rsidRDefault="00A35845" w:rsidP="00A35845"/>
        </w:tc>
        <w:tc>
          <w:tcPr>
            <w:tcW w:w="4327" w:type="dxa"/>
          </w:tcPr>
          <w:p w:rsidR="00A35845" w:rsidRPr="00A35845" w:rsidRDefault="00A35845" w:rsidP="00A35845"/>
        </w:tc>
      </w:tr>
      <w:tr w:rsidR="00A35845" w:rsidRPr="00A35845" w:rsidTr="00AB4E4F">
        <w:trPr>
          <w:trHeight w:hRule="exact" w:val="576"/>
        </w:trPr>
        <w:tc>
          <w:tcPr>
            <w:tcW w:w="1368" w:type="dxa"/>
          </w:tcPr>
          <w:p w:rsidR="00A35845" w:rsidRPr="00A35845" w:rsidRDefault="00A35845" w:rsidP="00A35845">
            <w:pPr>
              <w:rPr>
                <w:lang w:val="fr-CA"/>
              </w:rPr>
            </w:pPr>
          </w:p>
        </w:tc>
        <w:tc>
          <w:tcPr>
            <w:tcW w:w="2970" w:type="dxa"/>
          </w:tcPr>
          <w:p w:rsidR="00A35845" w:rsidRPr="00A35845" w:rsidRDefault="00A35845" w:rsidP="00A35845">
            <w:pPr>
              <w:rPr>
                <w:lang w:val="en-US"/>
              </w:rPr>
            </w:pPr>
            <w:r w:rsidRPr="00A35845">
              <w:rPr>
                <w:lang w:val="en-US"/>
              </w:rPr>
              <w:t>Evangelical Fellowship of Canada;</w:t>
            </w:r>
          </w:p>
        </w:tc>
        <w:tc>
          <w:tcPr>
            <w:tcW w:w="1170" w:type="dxa"/>
          </w:tcPr>
          <w:p w:rsidR="00A35845" w:rsidRPr="00A35845" w:rsidRDefault="00A35845" w:rsidP="00A35845"/>
        </w:tc>
        <w:tc>
          <w:tcPr>
            <w:tcW w:w="4327" w:type="dxa"/>
          </w:tcPr>
          <w:p w:rsidR="00A35845" w:rsidRPr="00A35845" w:rsidRDefault="00A35845" w:rsidP="00A35845"/>
        </w:tc>
      </w:tr>
      <w:tr w:rsidR="00A35845" w:rsidRPr="00A35845" w:rsidTr="00AB4E4F">
        <w:trPr>
          <w:trHeight w:hRule="exact" w:val="576"/>
        </w:trPr>
        <w:tc>
          <w:tcPr>
            <w:tcW w:w="1368" w:type="dxa"/>
          </w:tcPr>
          <w:p w:rsidR="00A35845" w:rsidRPr="00A35845" w:rsidRDefault="00A35845" w:rsidP="00A35845">
            <w:pPr>
              <w:rPr>
                <w:lang w:val="fr-CA"/>
              </w:rPr>
            </w:pPr>
          </w:p>
        </w:tc>
        <w:tc>
          <w:tcPr>
            <w:tcW w:w="2970" w:type="dxa"/>
          </w:tcPr>
          <w:p w:rsidR="00A35845" w:rsidRPr="00A35845" w:rsidRDefault="00A35845" w:rsidP="00A35845">
            <w:pPr>
              <w:rPr>
                <w:lang w:val="en-US"/>
              </w:rPr>
            </w:pPr>
            <w:r w:rsidRPr="00A35845">
              <w:rPr>
                <w:lang w:val="en-US"/>
              </w:rPr>
              <w:t>Farewell Foundation for the Right to Die;</w:t>
            </w:r>
          </w:p>
        </w:tc>
        <w:tc>
          <w:tcPr>
            <w:tcW w:w="1170" w:type="dxa"/>
          </w:tcPr>
          <w:p w:rsidR="00A35845" w:rsidRPr="00A35845" w:rsidRDefault="00A35845" w:rsidP="00A35845"/>
        </w:tc>
        <w:tc>
          <w:tcPr>
            <w:tcW w:w="4327" w:type="dxa"/>
          </w:tcPr>
          <w:p w:rsidR="00A35845" w:rsidRPr="00A35845" w:rsidRDefault="00A35845" w:rsidP="00A35845"/>
        </w:tc>
      </w:tr>
      <w:tr w:rsidR="00A35845" w:rsidRPr="00DA7379" w:rsidTr="00AB4E4F">
        <w:trPr>
          <w:trHeight w:hRule="exact" w:val="576"/>
        </w:trPr>
        <w:tc>
          <w:tcPr>
            <w:tcW w:w="1368" w:type="dxa"/>
          </w:tcPr>
          <w:p w:rsidR="00A35845" w:rsidRPr="00A35845" w:rsidRDefault="00A35845" w:rsidP="00A35845"/>
        </w:tc>
        <w:tc>
          <w:tcPr>
            <w:tcW w:w="2970" w:type="dxa"/>
          </w:tcPr>
          <w:p w:rsidR="00A35845" w:rsidRPr="00A35845" w:rsidRDefault="00A35845" w:rsidP="00A35845">
            <w:pPr>
              <w:rPr>
                <w:lang w:val="fr-CA"/>
              </w:rPr>
            </w:pPr>
            <w:r w:rsidRPr="00A35845">
              <w:rPr>
                <w:lang w:val="fr-CA"/>
              </w:rPr>
              <w:t>Association québécoise pour le droit de mourir dans la dignité;</w:t>
            </w:r>
          </w:p>
        </w:tc>
        <w:tc>
          <w:tcPr>
            <w:tcW w:w="1170" w:type="dxa"/>
          </w:tcPr>
          <w:p w:rsidR="00A35845" w:rsidRPr="00A35845" w:rsidRDefault="00A35845" w:rsidP="00A35845">
            <w:pPr>
              <w:rPr>
                <w:lang w:val="fr-CA"/>
              </w:rPr>
            </w:pPr>
          </w:p>
        </w:tc>
        <w:tc>
          <w:tcPr>
            <w:tcW w:w="4327" w:type="dxa"/>
          </w:tcPr>
          <w:p w:rsidR="00A35845" w:rsidRPr="00A35845" w:rsidRDefault="00A35845" w:rsidP="00A35845">
            <w:pPr>
              <w:rPr>
                <w:lang w:val="fr-CA"/>
              </w:rPr>
            </w:pPr>
          </w:p>
        </w:tc>
      </w:tr>
      <w:tr w:rsidR="00A35845" w:rsidRPr="00A35845" w:rsidTr="00AB4E4F">
        <w:trPr>
          <w:trHeight w:hRule="exact" w:val="835"/>
        </w:trPr>
        <w:tc>
          <w:tcPr>
            <w:tcW w:w="1368" w:type="dxa"/>
          </w:tcPr>
          <w:p w:rsidR="00A35845" w:rsidRPr="00A35845" w:rsidRDefault="00A35845" w:rsidP="00A35845">
            <w:pPr>
              <w:rPr>
                <w:lang w:val="fr-CA"/>
              </w:rPr>
            </w:pPr>
          </w:p>
        </w:tc>
        <w:tc>
          <w:tcPr>
            <w:tcW w:w="2970" w:type="dxa"/>
          </w:tcPr>
          <w:p w:rsidR="00A35845" w:rsidRPr="00A35845" w:rsidRDefault="00A35845" w:rsidP="00A35845">
            <w:r w:rsidRPr="00A35845">
              <w:rPr>
                <w:lang w:val="en-US"/>
              </w:rPr>
              <w:t>Euthanasia Prevention Coalition and the Euthanasia Prevention Coalition – British Columbia</w:t>
            </w:r>
          </w:p>
        </w:tc>
        <w:tc>
          <w:tcPr>
            <w:tcW w:w="1170" w:type="dxa"/>
          </w:tcPr>
          <w:p w:rsidR="00A35845" w:rsidRPr="00A35845" w:rsidRDefault="00A35845" w:rsidP="00A35845"/>
        </w:tc>
        <w:tc>
          <w:tcPr>
            <w:tcW w:w="4327" w:type="dxa"/>
          </w:tcPr>
          <w:p w:rsidR="00A35845" w:rsidRPr="00A35845" w:rsidRDefault="00A35845" w:rsidP="00A35845"/>
        </w:tc>
      </w:tr>
      <w:tr w:rsidR="00A35845" w:rsidRPr="00A35845" w:rsidTr="00AB4E4F">
        <w:tc>
          <w:tcPr>
            <w:tcW w:w="1368" w:type="dxa"/>
          </w:tcPr>
          <w:p w:rsidR="00A35845" w:rsidRPr="00A35845" w:rsidRDefault="00A35845" w:rsidP="00A35845"/>
        </w:tc>
        <w:tc>
          <w:tcPr>
            <w:tcW w:w="2970" w:type="dxa"/>
          </w:tcPr>
          <w:p w:rsidR="00A35845" w:rsidRPr="00A35845" w:rsidRDefault="00A35845" w:rsidP="00A35845"/>
        </w:tc>
        <w:tc>
          <w:tcPr>
            <w:tcW w:w="1170" w:type="dxa"/>
          </w:tcPr>
          <w:p w:rsidR="00A35845" w:rsidRPr="00A35845" w:rsidRDefault="00A35845" w:rsidP="00A35845"/>
        </w:tc>
        <w:tc>
          <w:tcPr>
            <w:tcW w:w="4327" w:type="dxa"/>
          </w:tcPr>
          <w:p w:rsidR="00A35845" w:rsidRPr="00A35845" w:rsidRDefault="00A35845" w:rsidP="00A35845"/>
        </w:tc>
      </w:tr>
      <w:tr w:rsidR="00A35845" w:rsidRPr="00A35845" w:rsidTr="00AB4E4F">
        <w:tc>
          <w:tcPr>
            <w:tcW w:w="1368" w:type="dxa"/>
          </w:tcPr>
          <w:p w:rsidR="00A35845" w:rsidRPr="00A35845" w:rsidRDefault="00A35845" w:rsidP="00A35845">
            <w:r w:rsidRPr="00A35845">
              <w:t>IN / DANS :</w:t>
            </w:r>
          </w:p>
        </w:tc>
        <w:tc>
          <w:tcPr>
            <w:tcW w:w="2970" w:type="dxa"/>
          </w:tcPr>
          <w:p w:rsidR="00A35845" w:rsidRPr="00A35845" w:rsidRDefault="00A35845" w:rsidP="00A35845">
            <w:pPr>
              <w:rPr>
                <w:lang w:val="fr-CA"/>
              </w:rPr>
            </w:pPr>
            <w:r w:rsidRPr="00A35845">
              <w:rPr>
                <w:lang w:val="fr-CA"/>
              </w:rPr>
              <w:t>Lee Carter et al.</w:t>
            </w:r>
          </w:p>
          <w:p w:rsidR="00A35845" w:rsidRPr="00A35845" w:rsidRDefault="00A35845" w:rsidP="00A35845">
            <w:pPr>
              <w:rPr>
                <w:lang w:val="fr-CA"/>
              </w:rPr>
            </w:pPr>
          </w:p>
          <w:p w:rsidR="00A35845" w:rsidRPr="00A35845" w:rsidRDefault="00A35845" w:rsidP="00A35845">
            <w:pPr>
              <w:rPr>
                <w:lang w:val="fr-CA"/>
              </w:rPr>
            </w:pPr>
            <w:r w:rsidRPr="00A35845">
              <w:rPr>
                <w:lang w:val="fr-CA"/>
              </w:rPr>
              <w:tab/>
              <w:t>v. (35591)</w:t>
            </w:r>
          </w:p>
          <w:p w:rsidR="00A35845" w:rsidRPr="00A35845" w:rsidRDefault="00A35845" w:rsidP="00A35845">
            <w:pPr>
              <w:rPr>
                <w:lang w:val="fr-CA"/>
              </w:rPr>
            </w:pPr>
          </w:p>
          <w:p w:rsidR="00A35845" w:rsidRPr="00A35845" w:rsidRDefault="00A35845" w:rsidP="00A35845">
            <w:r w:rsidRPr="00A35845">
              <w:t>Attorney General of Canada et al. (B.C.)</w:t>
            </w:r>
          </w:p>
        </w:tc>
        <w:tc>
          <w:tcPr>
            <w:tcW w:w="1170" w:type="dxa"/>
          </w:tcPr>
          <w:p w:rsidR="00A35845" w:rsidRPr="00A35845" w:rsidRDefault="00A35845" w:rsidP="00A35845"/>
        </w:tc>
        <w:tc>
          <w:tcPr>
            <w:tcW w:w="4327" w:type="dxa"/>
          </w:tcPr>
          <w:p w:rsidR="00A35845" w:rsidRPr="00A35845" w:rsidRDefault="00A35845" w:rsidP="00A35845"/>
        </w:tc>
      </w:tr>
    </w:tbl>
    <w:p w:rsidR="00A35845" w:rsidRPr="00A35845" w:rsidRDefault="00A35845" w:rsidP="00A35845">
      <w:pPr>
        <w:jc w:val="both"/>
        <w:rPr>
          <w:rFonts w:eastAsia="Times New Roman" w:cs="Times New Roman"/>
          <w:sz w:val="20"/>
          <w:szCs w:val="20"/>
          <w:lang w:eastAsia="en-CA"/>
        </w:rPr>
      </w:pPr>
    </w:p>
    <w:p w:rsidR="00A35845" w:rsidRPr="00A35845" w:rsidRDefault="00A35845" w:rsidP="00A35845">
      <w:pPr>
        <w:spacing w:line="233" w:lineRule="auto"/>
        <w:jc w:val="both"/>
        <w:rPr>
          <w:rFonts w:eastAsia="Times New Roman" w:cs="Times New Roman"/>
          <w:sz w:val="20"/>
          <w:szCs w:val="20"/>
          <w:lang w:val="en-US" w:eastAsia="en-CA"/>
        </w:rPr>
      </w:pPr>
      <w:r w:rsidRPr="00A35845">
        <w:rPr>
          <w:rFonts w:eastAsia="Times New Roman" w:cs="Times New Roman"/>
          <w:b/>
          <w:sz w:val="20"/>
          <w:szCs w:val="20"/>
          <w:lang w:val="en-US" w:eastAsia="en-CA"/>
        </w:rPr>
        <w:t>UPON REQUEST</w:t>
      </w:r>
      <w:r w:rsidRPr="00A35845">
        <w:rPr>
          <w:rFonts w:eastAsia="Times New Roman" w:cs="Times New Roman"/>
          <w:sz w:val="20"/>
          <w:szCs w:val="20"/>
          <w:lang w:val="en-US" w:eastAsia="en-CA"/>
        </w:rPr>
        <w:t xml:space="preserve"> by the appellants and respondents to present oral argument not exceeding ninety (90) minutes each at the hearing of the appeal;</w:t>
      </w:r>
    </w:p>
    <w:p w:rsidR="00A35845" w:rsidRPr="00A35845" w:rsidRDefault="00A35845" w:rsidP="00A35845">
      <w:pPr>
        <w:spacing w:line="233" w:lineRule="auto"/>
        <w:jc w:val="both"/>
        <w:rPr>
          <w:rFonts w:eastAsia="Times New Roman" w:cs="Times New Roman"/>
          <w:sz w:val="20"/>
          <w:szCs w:val="20"/>
          <w:lang w:val="en-US" w:eastAsia="en-CA"/>
        </w:rPr>
      </w:pPr>
    </w:p>
    <w:p w:rsidR="00A35845" w:rsidRPr="00A35845" w:rsidRDefault="00A35845" w:rsidP="00A35845">
      <w:pPr>
        <w:spacing w:line="233" w:lineRule="auto"/>
        <w:jc w:val="both"/>
        <w:rPr>
          <w:rFonts w:eastAsia="Times New Roman" w:cs="Times New Roman"/>
          <w:sz w:val="20"/>
          <w:szCs w:val="20"/>
          <w:lang w:val="en-US" w:eastAsia="en-CA"/>
        </w:rPr>
      </w:pPr>
      <w:r w:rsidRPr="00A35845">
        <w:rPr>
          <w:rFonts w:eastAsia="Times New Roman" w:cs="Times New Roman"/>
          <w:b/>
          <w:sz w:val="20"/>
          <w:szCs w:val="20"/>
          <w:lang w:val="en-US" w:eastAsia="en-CA"/>
        </w:rPr>
        <w:t>FURTHER TO THE ORDER</w:t>
      </w:r>
      <w:r w:rsidRPr="00A35845">
        <w:rPr>
          <w:rFonts w:eastAsia="Times New Roman" w:cs="Times New Roman"/>
          <w:sz w:val="20"/>
          <w:szCs w:val="20"/>
          <w:lang w:val="en-US" w:eastAsia="en-CA"/>
        </w:rPr>
        <w:t xml:space="preserve"> dated July 4</w:t>
      </w:r>
      <w:r w:rsidRPr="00A35845">
        <w:rPr>
          <w:rFonts w:eastAsia="Times New Roman" w:cs="Times New Roman"/>
          <w:sz w:val="20"/>
          <w:szCs w:val="20"/>
          <w:vertAlign w:val="superscript"/>
          <w:lang w:val="en-US" w:eastAsia="en-CA"/>
        </w:rPr>
        <w:t>th</w:t>
      </w:r>
      <w:r w:rsidRPr="00A35845">
        <w:rPr>
          <w:rFonts w:eastAsia="Times New Roman" w:cs="Times New Roman"/>
          <w:sz w:val="20"/>
          <w:szCs w:val="20"/>
          <w:lang w:val="en-US" w:eastAsia="en-CA"/>
        </w:rPr>
        <w:t>, 2014, granting leave to intervene to the Alliance of People with Disabilities Who Are Supportive of Legal Assisted Dying Society, the Association for Reformed Political Action Canada, the Canadian Civil Liberties Association, the Canadian HIV/AIDS Legal Network and the HIV &amp; AIDS Legal Clinic Ontario, the Canadian Medical Association, the Canadian Unitarian Council, the Catholic Civil Rights League, the Faith and Freedom Alliance and the Protection of Conscience Project, the Catholic Health Alliance of Canada, the Christian Legal Fellowship, the Christian Medical and Dental Society of Canada and the Canadian Federation of Catholic Physicians’ Societies, the Collectif des médecins contre l’euthanasie, the Council of Canadians with Disabilities and the Canadian Association for Community Living, the Criminal Lawyers’ Association (Ontario), Dying with Dignity, the Evangelical Fellowship of Canada, the Farewell Foundation for the Right to Die and the Association québécoise pour le droit de mourir dans la dignité and the Euthanasia Prevention Coalition and the Euthanasia Prevention Coalition – British Columbia;</w:t>
      </w:r>
    </w:p>
    <w:p w:rsidR="00A35845" w:rsidRPr="00A35845" w:rsidRDefault="00A35845" w:rsidP="00A35845">
      <w:pPr>
        <w:spacing w:line="233" w:lineRule="auto"/>
        <w:jc w:val="both"/>
        <w:rPr>
          <w:rFonts w:eastAsia="Times New Roman" w:cs="Times New Roman"/>
          <w:sz w:val="20"/>
          <w:szCs w:val="20"/>
          <w:lang w:val="en-US" w:eastAsia="en-CA"/>
        </w:rPr>
      </w:pPr>
    </w:p>
    <w:p w:rsidR="00A35845" w:rsidRPr="00A35845" w:rsidRDefault="00A35845" w:rsidP="00A35845">
      <w:pPr>
        <w:spacing w:line="233" w:lineRule="auto"/>
        <w:jc w:val="both"/>
        <w:rPr>
          <w:rFonts w:eastAsia="Times New Roman" w:cs="Times New Roman"/>
          <w:b/>
          <w:bCs/>
          <w:sz w:val="20"/>
          <w:szCs w:val="20"/>
          <w:lang w:val="en-US" w:eastAsia="en-CA"/>
        </w:rPr>
      </w:pPr>
      <w:r w:rsidRPr="00A35845">
        <w:rPr>
          <w:rFonts w:eastAsia="Times New Roman" w:cs="Times New Roman"/>
          <w:b/>
          <w:bCs/>
          <w:sz w:val="20"/>
          <w:szCs w:val="20"/>
          <w:lang w:val="en-US" w:eastAsia="en-CA"/>
        </w:rPr>
        <w:t xml:space="preserve">IT IS HEREBY FURTHER ORDERED THAT: </w:t>
      </w:r>
    </w:p>
    <w:p w:rsidR="00A35845" w:rsidRPr="00A35845" w:rsidRDefault="00A35845" w:rsidP="00A35845">
      <w:pPr>
        <w:spacing w:line="233" w:lineRule="auto"/>
        <w:jc w:val="both"/>
        <w:rPr>
          <w:rFonts w:eastAsia="Times New Roman" w:cs="Times New Roman"/>
          <w:b/>
          <w:bCs/>
          <w:sz w:val="20"/>
          <w:szCs w:val="20"/>
          <w:lang w:val="en-US" w:eastAsia="en-CA"/>
        </w:rPr>
      </w:pPr>
    </w:p>
    <w:p w:rsidR="00A35845" w:rsidRPr="00A35845" w:rsidRDefault="00A35845" w:rsidP="00A35845">
      <w:pPr>
        <w:widowControl w:val="0"/>
        <w:numPr>
          <w:ilvl w:val="0"/>
          <w:numId w:val="8"/>
        </w:numPr>
        <w:autoSpaceDE w:val="0"/>
        <w:autoSpaceDN w:val="0"/>
        <w:adjustRightInd w:val="0"/>
        <w:spacing w:line="233" w:lineRule="auto"/>
        <w:contextualSpacing/>
        <w:jc w:val="both"/>
        <w:rPr>
          <w:rFonts w:cs="Times New Roman"/>
          <w:sz w:val="20"/>
          <w:szCs w:val="20"/>
        </w:rPr>
      </w:pPr>
      <w:r w:rsidRPr="00A35845">
        <w:rPr>
          <w:rFonts w:cs="Times New Roman"/>
          <w:sz w:val="20"/>
          <w:szCs w:val="20"/>
        </w:rPr>
        <w:t xml:space="preserve">The appellants are permitted to present oral argument not exceeding ninety (90) minutes and to present a reply of five minutes at the hearing of the appeal.  </w:t>
      </w:r>
    </w:p>
    <w:p w:rsidR="00A35845" w:rsidRPr="00A35845" w:rsidRDefault="00A35845" w:rsidP="00A35845">
      <w:pPr>
        <w:spacing w:line="233" w:lineRule="auto"/>
        <w:ind w:left="720"/>
        <w:contextualSpacing/>
        <w:jc w:val="both"/>
        <w:rPr>
          <w:rFonts w:cs="Times New Roman"/>
          <w:sz w:val="20"/>
          <w:szCs w:val="20"/>
        </w:rPr>
      </w:pPr>
    </w:p>
    <w:p w:rsidR="00A35845" w:rsidRPr="00A35845" w:rsidRDefault="00A35845" w:rsidP="00A35845">
      <w:pPr>
        <w:widowControl w:val="0"/>
        <w:numPr>
          <w:ilvl w:val="0"/>
          <w:numId w:val="8"/>
        </w:numPr>
        <w:autoSpaceDE w:val="0"/>
        <w:autoSpaceDN w:val="0"/>
        <w:adjustRightInd w:val="0"/>
        <w:spacing w:line="233" w:lineRule="auto"/>
        <w:contextualSpacing/>
        <w:jc w:val="both"/>
        <w:rPr>
          <w:rFonts w:cs="Times New Roman"/>
          <w:sz w:val="20"/>
          <w:szCs w:val="20"/>
        </w:rPr>
      </w:pPr>
      <w:r w:rsidRPr="00A35845">
        <w:rPr>
          <w:rFonts w:cs="Times New Roman"/>
          <w:sz w:val="20"/>
          <w:szCs w:val="20"/>
        </w:rPr>
        <w:t xml:space="preserve">The respondent, the Attorney General of Canada, is permitted to present oral argument not exceeding eighty (80) minutes at the hearing of the appeal. </w:t>
      </w:r>
    </w:p>
    <w:p w:rsidR="00A35845" w:rsidRPr="00A35845" w:rsidRDefault="00A35845" w:rsidP="00A35845">
      <w:pPr>
        <w:ind w:left="720"/>
        <w:contextualSpacing/>
        <w:rPr>
          <w:rFonts w:cs="Times New Roman"/>
          <w:sz w:val="20"/>
          <w:szCs w:val="20"/>
        </w:rPr>
      </w:pPr>
    </w:p>
    <w:p w:rsidR="00A35845" w:rsidRPr="00A35845" w:rsidRDefault="00A35845" w:rsidP="00A35845">
      <w:pPr>
        <w:widowControl w:val="0"/>
        <w:numPr>
          <w:ilvl w:val="0"/>
          <w:numId w:val="8"/>
        </w:numPr>
        <w:autoSpaceDE w:val="0"/>
        <w:autoSpaceDN w:val="0"/>
        <w:adjustRightInd w:val="0"/>
        <w:spacing w:line="233" w:lineRule="auto"/>
        <w:contextualSpacing/>
        <w:jc w:val="both"/>
        <w:rPr>
          <w:rFonts w:cs="Times New Roman"/>
          <w:sz w:val="20"/>
          <w:szCs w:val="20"/>
        </w:rPr>
      </w:pPr>
      <w:r w:rsidRPr="00A35845">
        <w:rPr>
          <w:rFonts w:cs="Times New Roman"/>
          <w:sz w:val="20"/>
          <w:szCs w:val="20"/>
        </w:rPr>
        <w:t xml:space="preserve">The respondent, the Attorney General of British Columbia, is permitted to present oral argument not exceeding ten (10) minutes at the hearing of the appeal. </w:t>
      </w:r>
    </w:p>
    <w:p w:rsidR="00A35845" w:rsidRPr="00A35845" w:rsidRDefault="00A35845" w:rsidP="00A35845">
      <w:pPr>
        <w:spacing w:line="233" w:lineRule="auto"/>
        <w:ind w:left="720"/>
        <w:contextualSpacing/>
        <w:jc w:val="both"/>
        <w:rPr>
          <w:rFonts w:cs="Times New Roman"/>
          <w:sz w:val="20"/>
          <w:szCs w:val="20"/>
        </w:rPr>
      </w:pPr>
    </w:p>
    <w:p w:rsidR="00A35845" w:rsidRPr="00A35845" w:rsidRDefault="00A35845" w:rsidP="00A35845">
      <w:pPr>
        <w:widowControl w:val="0"/>
        <w:numPr>
          <w:ilvl w:val="0"/>
          <w:numId w:val="8"/>
        </w:numPr>
        <w:autoSpaceDE w:val="0"/>
        <w:autoSpaceDN w:val="0"/>
        <w:adjustRightInd w:val="0"/>
        <w:spacing w:line="233" w:lineRule="auto"/>
        <w:contextualSpacing/>
        <w:jc w:val="both"/>
        <w:rPr>
          <w:rFonts w:cs="Times New Roman"/>
          <w:sz w:val="20"/>
          <w:szCs w:val="20"/>
        </w:rPr>
      </w:pPr>
      <w:r w:rsidRPr="00A35845">
        <w:rPr>
          <w:rFonts w:cs="Times New Roman"/>
          <w:bCs/>
          <w:sz w:val="20"/>
          <w:szCs w:val="20"/>
        </w:rPr>
        <w:t xml:space="preserve">The Alliance of People with Disabilities Who Are Supportive of Legal Assisted Dying Society, the Canadian Civil Liberties Association, the Canadian Medical Association, the Canadian Unitarian Council, </w:t>
      </w:r>
      <w:r w:rsidRPr="00A35845">
        <w:rPr>
          <w:rFonts w:cs="Times New Roman"/>
          <w:sz w:val="20"/>
          <w:szCs w:val="20"/>
        </w:rPr>
        <w:t xml:space="preserve">the Catholic Civil Rights League, the Faith and Freedom Alliance and the Protection of Conscience Project, the Collectif des médecins contre l’euthanasie, </w:t>
      </w:r>
      <w:r w:rsidRPr="00A35845">
        <w:rPr>
          <w:rFonts w:cs="Times New Roman"/>
          <w:bCs/>
          <w:sz w:val="20"/>
          <w:szCs w:val="20"/>
        </w:rPr>
        <w:t>the Council of Canadians with Disabilities and the Canadian Association for Community Living, the Evangelical Fellowship of Canada and</w:t>
      </w:r>
      <w:r w:rsidRPr="00A35845">
        <w:rPr>
          <w:rFonts w:cs="Times New Roman"/>
          <w:sz w:val="20"/>
          <w:szCs w:val="20"/>
        </w:rPr>
        <w:t xml:space="preserve"> the Farewell Foundation for the Right to Die and the Association québécoise pour le droit de mourir dans la dignité</w:t>
      </w:r>
      <w:r w:rsidRPr="00A35845">
        <w:rPr>
          <w:rFonts w:cs="Times New Roman"/>
          <w:bCs/>
          <w:sz w:val="20"/>
          <w:szCs w:val="20"/>
        </w:rPr>
        <w:t xml:space="preserve"> </w:t>
      </w:r>
      <w:r w:rsidRPr="00A35845">
        <w:rPr>
          <w:rFonts w:cs="Times New Roman"/>
          <w:sz w:val="20"/>
          <w:szCs w:val="20"/>
        </w:rPr>
        <w:t>are each granted permission to present oral argument not exceeding ten (10) minutes at the hearing of the appeal.</w:t>
      </w:r>
    </w:p>
    <w:p w:rsidR="00A35845" w:rsidRPr="00A35845" w:rsidRDefault="00A35845" w:rsidP="00A35845">
      <w:pPr>
        <w:spacing w:line="233" w:lineRule="auto"/>
        <w:jc w:val="both"/>
        <w:rPr>
          <w:rFonts w:eastAsia="Times New Roman" w:cs="Times New Roman"/>
          <w:bCs/>
          <w:sz w:val="20"/>
          <w:szCs w:val="20"/>
          <w:lang w:val="en-US" w:eastAsia="en-CA"/>
        </w:rPr>
      </w:pPr>
    </w:p>
    <w:p w:rsidR="00A35845" w:rsidRPr="00A35845" w:rsidRDefault="00A35845" w:rsidP="00A35845">
      <w:pPr>
        <w:widowControl w:val="0"/>
        <w:numPr>
          <w:ilvl w:val="0"/>
          <w:numId w:val="8"/>
        </w:numPr>
        <w:autoSpaceDE w:val="0"/>
        <w:autoSpaceDN w:val="0"/>
        <w:adjustRightInd w:val="0"/>
        <w:spacing w:line="233" w:lineRule="auto"/>
        <w:contextualSpacing/>
        <w:jc w:val="both"/>
        <w:rPr>
          <w:rFonts w:cs="Times New Roman"/>
          <w:sz w:val="20"/>
          <w:szCs w:val="20"/>
        </w:rPr>
      </w:pPr>
      <w:r w:rsidRPr="00A35845">
        <w:rPr>
          <w:rFonts w:cs="Times New Roman"/>
          <w:bCs/>
          <w:sz w:val="20"/>
          <w:szCs w:val="20"/>
        </w:rPr>
        <w:t xml:space="preserve">The factums of </w:t>
      </w:r>
      <w:r w:rsidRPr="00A35845">
        <w:rPr>
          <w:rFonts w:cs="Times New Roman"/>
          <w:sz w:val="20"/>
          <w:szCs w:val="20"/>
        </w:rPr>
        <w:t>the Association for Reformed Political Action Canada, the Canadian HIV/AIDS Legal Network and the HIV &amp; AIDS Legal Clinic Ontario, the Catholic Health Alliance of Canada, the Christian Legal Fellowship, the Christian Medical and Dental Society of Canada and the Canadian Federation of Catholic Physicians’ Societies, the Criminal Lawyers’ Association (Ontario), Dying with Dignity and the Euthanasia Prevention Coalition and the Euthanasia Prevention Coalition – British Columbia will be considered without the need for oral argument.</w:t>
      </w:r>
    </w:p>
    <w:p w:rsidR="00A35845" w:rsidRPr="00A35845" w:rsidRDefault="00A35845" w:rsidP="00A35845">
      <w:pPr>
        <w:spacing w:line="233" w:lineRule="auto"/>
        <w:jc w:val="both"/>
        <w:rPr>
          <w:rFonts w:eastAsia="Times New Roman" w:cs="Times New Roman"/>
          <w:sz w:val="20"/>
          <w:szCs w:val="20"/>
          <w:lang w:val="en-US" w:eastAsia="en-CA"/>
        </w:rPr>
      </w:pPr>
    </w:p>
    <w:p w:rsidR="00A35845" w:rsidRPr="00A35845" w:rsidRDefault="00A35845" w:rsidP="00A35845">
      <w:pPr>
        <w:spacing w:line="233" w:lineRule="auto"/>
        <w:jc w:val="both"/>
        <w:rPr>
          <w:rFonts w:eastAsia="Times New Roman" w:cs="Times New Roman"/>
          <w:sz w:val="20"/>
          <w:szCs w:val="20"/>
          <w:lang w:val="en-US" w:eastAsia="en-CA"/>
        </w:rPr>
      </w:pPr>
    </w:p>
    <w:p w:rsidR="00A35845" w:rsidRPr="00A35845" w:rsidRDefault="00A35845" w:rsidP="00A35845">
      <w:pPr>
        <w:spacing w:line="233" w:lineRule="auto"/>
        <w:jc w:val="both"/>
        <w:rPr>
          <w:rFonts w:eastAsia="Times New Roman" w:cs="Times New Roman"/>
          <w:sz w:val="20"/>
          <w:szCs w:val="20"/>
          <w:lang w:val="en-US" w:eastAsia="en-CA"/>
        </w:rPr>
      </w:pPr>
    </w:p>
    <w:p w:rsidR="00A35845" w:rsidRPr="00A35845" w:rsidRDefault="00A35845" w:rsidP="00A35845">
      <w:pPr>
        <w:spacing w:line="233" w:lineRule="auto"/>
        <w:jc w:val="both"/>
        <w:rPr>
          <w:rFonts w:eastAsia="Times New Roman" w:cs="Times New Roman"/>
          <w:b/>
          <w:sz w:val="20"/>
          <w:szCs w:val="20"/>
          <w:lang w:val="fr-CA" w:eastAsia="en-CA"/>
        </w:rPr>
      </w:pPr>
      <w:r w:rsidRPr="00A35845">
        <w:rPr>
          <w:rFonts w:eastAsia="Times New Roman" w:cs="Times New Roman"/>
          <w:b/>
          <w:sz w:val="20"/>
          <w:szCs w:val="20"/>
          <w:lang w:val="fr-CA" w:eastAsia="en-CA"/>
        </w:rPr>
        <w:t xml:space="preserve">À LA SUITE DE LA DEMANDE </w:t>
      </w:r>
      <w:r w:rsidRPr="00A35845">
        <w:rPr>
          <w:rFonts w:eastAsia="Times New Roman" w:cs="Times New Roman"/>
          <w:sz w:val="20"/>
          <w:szCs w:val="20"/>
          <w:lang w:val="fr-CA" w:eastAsia="en-CA"/>
        </w:rPr>
        <w:t>des appelants et des intimées pour que ceux-ci soient autorisés à présenter des plaidoiries orales d’au plus quatre-vingt-dix (90) minutes chacun lors de l’audition de l’appel;</w:t>
      </w:r>
    </w:p>
    <w:p w:rsidR="00A35845" w:rsidRPr="00A35845" w:rsidRDefault="00A35845" w:rsidP="00A35845">
      <w:pPr>
        <w:spacing w:line="233" w:lineRule="auto"/>
        <w:jc w:val="both"/>
        <w:rPr>
          <w:rFonts w:eastAsia="Times New Roman" w:cs="Times New Roman"/>
          <w:sz w:val="20"/>
          <w:szCs w:val="20"/>
          <w:lang w:val="fr-CA" w:eastAsia="en-CA"/>
        </w:rPr>
      </w:pPr>
    </w:p>
    <w:p w:rsidR="00A35845" w:rsidRPr="00A35845" w:rsidRDefault="00A35845" w:rsidP="00A35845">
      <w:pPr>
        <w:spacing w:line="233" w:lineRule="auto"/>
        <w:jc w:val="both"/>
        <w:rPr>
          <w:rFonts w:eastAsia="Times New Roman" w:cs="Times New Roman"/>
          <w:sz w:val="20"/>
          <w:szCs w:val="20"/>
          <w:lang w:val="fr-FR" w:eastAsia="en-CA"/>
        </w:rPr>
      </w:pPr>
      <w:r w:rsidRPr="00A35845">
        <w:rPr>
          <w:rFonts w:eastAsia="Times New Roman" w:cs="Times New Roman"/>
          <w:b/>
          <w:sz w:val="20"/>
          <w:szCs w:val="20"/>
          <w:lang w:val="fr-CA" w:eastAsia="en-CA"/>
        </w:rPr>
        <w:t>À LA SUITE DE L’ORDONNANCE</w:t>
      </w:r>
      <w:r w:rsidRPr="00A35845">
        <w:rPr>
          <w:rFonts w:eastAsia="Times New Roman" w:cs="Times New Roman"/>
          <w:sz w:val="20"/>
          <w:szCs w:val="20"/>
          <w:lang w:val="fr-CA" w:eastAsia="en-CA"/>
        </w:rPr>
        <w:t xml:space="preserve"> datée du </w:t>
      </w:r>
      <w:r w:rsidRPr="00A35845">
        <w:rPr>
          <w:rFonts w:eastAsia="Times New Roman" w:cs="Times New Roman"/>
          <w:sz w:val="20"/>
          <w:szCs w:val="20"/>
          <w:lang w:val="fr-FR" w:eastAsia="en-CA"/>
        </w:rPr>
        <w:t xml:space="preserve">4 juillet 2014, autorisant </w:t>
      </w:r>
      <w:r w:rsidRPr="00A35845">
        <w:rPr>
          <w:rFonts w:eastAsia="Times New Roman" w:cs="Times New Roman"/>
          <w:sz w:val="20"/>
          <w:szCs w:val="20"/>
          <w:lang w:val="fr-CA" w:eastAsia="en-CA"/>
        </w:rPr>
        <w:t xml:space="preserve">l’Alliance of People with Disabilities Who Are Supportive of Legal Assisted Dying Society, l’Association for Reformed Political Action Canada, l’Association canadienne des libertés civiles, le </w:t>
      </w:r>
      <w:r w:rsidRPr="00A35845">
        <w:rPr>
          <w:rFonts w:eastAsia="Times New Roman" w:cs="Times New Roman"/>
          <w:bCs/>
          <w:sz w:val="20"/>
          <w:szCs w:val="20"/>
          <w:lang w:val="fr-CA" w:eastAsia="en-CA"/>
        </w:rPr>
        <w:t>Réseau juridique canadien VIH/sida</w:t>
      </w:r>
      <w:r w:rsidRPr="00A35845">
        <w:rPr>
          <w:rFonts w:eastAsia="Times New Roman" w:cs="Times New Roman"/>
          <w:sz w:val="20"/>
          <w:szCs w:val="20"/>
          <w:lang w:val="fr-CA" w:eastAsia="en-CA"/>
        </w:rPr>
        <w:t xml:space="preserve"> et la HIV &amp; AIDS Legal Clinic Ontario, l’Association médicale canadienne, le Conseil unitarien du Canada, la Ligue Catholique des Droits de l’Homme, la Faith and Freedom Alliance et le Protection of Conscience Project, l’Alliance catholique canadienne de la santé, l’Alliance des chrétiens en droit, la Christian Medical and Dental Society of Canada et la Canadian Federation of Catholic Physicians’ Societies, le Collectif des médecins contre l’euthanasie, le Conseil des Canadiens avec déficiences et l’Association canadienne pour l’intégration communautaire, la Criminal Lawyers’ Association (Ontario), Dying with Dignity, le Evangelical Fellowship of Canada, la Farewell Foundation for the Right to Die et l’Association québécoise pour le droit de mourir dans la dignité et la Euthanasia Prevention Coalition et la Euthanasia Prevention Coalition – British Columbia</w:t>
      </w:r>
      <w:r w:rsidRPr="00A35845">
        <w:rPr>
          <w:rFonts w:eastAsia="Times New Roman" w:cs="Times New Roman"/>
          <w:sz w:val="20"/>
          <w:szCs w:val="20"/>
          <w:lang w:val="fr-FR" w:eastAsia="en-CA"/>
        </w:rPr>
        <w:t xml:space="preserve"> à intervenir;</w:t>
      </w:r>
    </w:p>
    <w:p w:rsidR="00A35845" w:rsidRPr="00A35845" w:rsidRDefault="00A35845" w:rsidP="00A35845">
      <w:pPr>
        <w:spacing w:line="233" w:lineRule="auto"/>
        <w:rPr>
          <w:rFonts w:eastAsia="Times New Roman" w:cs="Times New Roman"/>
          <w:sz w:val="20"/>
          <w:szCs w:val="20"/>
          <w:lang w:val="fr-FR" w:eastAsia="en-CA"/>
        </w:rPr>
      </w:pPr>
    </w:p>
    <w:p w:rsidR="00A35845" w:rsidRPr="00A35845" w:rsidRDefault="00A35845" w:rsidP="00A35845">
      <w:pPr>
        <w:spacing w:line="230" w:lineRule="auto"/>
        <w:ind w:left="-23"/>
        <w:jc w:val="both"/>
        <w:rPr>
          <w:rFonts w:eastAsia="Times New Roman" w:cs="Times New Roman"/>
          <w:b/>
          <w:bCs/>
          <w:sz w:val="20"/>
          <w:szCs w:val="20"/>
          <w:lang w:val="fr-CA" w:eastAsia="en-CA"/>
        </w:rPr>
      </w:pPr>
      <w:r w:rsidRPr="00A35845">
        <w:rPr>
          <w:rFonts w:eastAsia="Times New Roman" w:cs="Times New Roman"/>
          <w:b/>
          <w:bCs/>
          <w:sz w:val="20"/>
          <w:szCs w:val="20"/>
          <w:lang w:val="fr-CA" w:eastAsia="en-CA"/>
        </w:rPr>
        <w:t xml:space="preserve">IL EST EN OUTRE ORDONNÉ CE QUI SUIT : </w:t>
      </w:r>
    </w:p>
    <w:p w:rsidR="00A35845" w:rsidRPr="00A35845" w:rsidRDefault="00A35845" w:rsidP="00A35845">
      <w:pPr>
        <w:spacing w:line="230" w:lineRule="auto"/>
        <w:ind w:left="-23"/>
        <w:jc w:val="both"/>
        <w:rPr>
          <w:rFonts w:eastAsia="Times New Roman" w:cs="Times New Roman"/>
          <w:b/>
          <w:bCs/>
          <w:sz w:val="20"/>
          <w:szCs w:val="20"/>
          <w:lang w:val="fr-CA" w:eastAsia="en-CA"/>
        </w:rPr>
      </w:pPr>
    </w:p>
    <w:p w:rsidR="00A35845" w:rsidRPr="00A35845" w:rsidRDefault="00A35845" w:rsidP="00A35845">
      <w:pPr>
        <w:widowControl w:val="0"/>
        <w:numPr>
          <w:ilvl w:val="0"/>
          <w:numId w:val="9"/>
        </w:numPr>
        <w:autoSpaceDE w:val="0"/>
        <w:autoSpaceDN w:val="0"/>
        <w:adjustRightInd w:val="0"/>
        <w:spacing w:line="230" w:lineRule="auto"/>
        <w:contextualSpacing/>
        <w:jc w:val="both"/>
        <w:rPr>
          <w:rFonts w:cs="Times New Roman"/>
          <w:sz w:val="20"/>
          <w:szCs w:val="20"/>
          <w:lang w:val="fr-CA"/>
        </w:rPr>
      </w:pPr>
      <w:r w:rsidRPr="00A35845">
        <w:rPr>
          <w:rFonts w:cs="Times New Roman"/>
          <w:sz w:val="20"/>
          <w:szCs w:val="20"/>
          <w:lang w:val="fr-CA"/>
        </w:rPr>
        <w:t>Les appelants pourront présenter une plaidoirie orale principale d’au plus quatre-vingt-dix (90) minutes et pourront présenter une plaidoirie orale en réplique d’au plus cinq minutes lors de l’audition de l’appel.</w:t>
      </w:r>
    </w:p>
    <w:p w:rsidR="00A35845" w:rsidRPr="00A35845" w:rsidRDefault="00A35845" w:rsidP="00A35845">
      <w:pPr>
        <w:spacing w:line="230" w:lineRule="auto"/>
        <w:ind w:left="720"/>
        <w:contextualSpacing/>
        <w:jc w:val="both"/>
        <w:rPr>
          <w:rFonts w:cs="Times New Roman"/>
          <w:sz w:val="20"/>
          <w:szCs w:val="20"/>
          <w:lang w:val="fr-CA"/>
        </w:rPr>
      </w:pPr>
    </w:p>
    <w:p w:rsidR="00A35845" w:rsidRPr="00A35845" w:rsidRDefault="00A35845" w:rsidP="00A35845">
      <w:pPr>
        <w:widowControl w:val="0"/>
        <w:numPr>
          <w:ilvl w:val="0"/>
          <w:numId w:val="9"/>
        </w:numPr>
        <w:autoSpaceDE w:val="0"/>
        <w:autoSpaceDN w:val="0"/>
        <w:adjustRightInd w:val="0"/>
        <w:spacing w:line="230" w:lineRule="auto"/>
        <w:contextualSpacing/>
        <w:jc w:val="both"/>
        <w:rPr>
          <w:rFonts w:cs="Times New Roman"/>
          <w:sz w:val="20"/>
          <w:szCs w:val="20"/>
          <w:lang w:val="fr-CA"/>
        </w:rPr>
      </w:pPr>
      <w:r w:rsidRPr="00A35845">
        <w:rPr>
          <w:rFonts w:cs="Times New Roman"/>
          <w:sz w:val="20"/>
          <w:szCs w:val="20"/>
          <w:lang w:val="fr-CA"/>
        </w:rPr>
        <w:t>L’intimé, le Procureur général du Canada, pourra présenter une plaidoirie orale d’au plus quatre-vingt (80) minutes lors de l’audition de l’appel.</w:t>
      </w:r>
    </w:p>
    <w:p w:rsidR="00A35845" w:rsidRPr="00A35845" w:rsidRDefault="00A35845" w:rsidP="00A35845">
      <w:pPr>
        <w:ind w:left="720"/>
        <w:contextualSpacing/>
        <w:rPr>
          <w:rFonts w:cs="Times New Roman"/>
          <w:sz w:val="20"/>
          <w:szCs w:val="20"/>
          <w:lang w:val="fr-CA"/>
        </w:rPr>
      </w:pPr>
    </w:p>
    <w:p w:rsidR="00A35845" w:rsidRPr="00A35845" w:rsidRDefault="00A35845" w:rsidP="00A35845">
      <w:pPr>
        <w:widowControl w:val="0"/>
        <w:numPr>
          <w:ilvl w:val="0"/>
          <w:numId w:val="9"/>
        </w:numPr>
        <w:autoSpaceDE w:val="0"/>
        <w:autoSpaceDN w:val="0"/>
        <w:adjustRightInd w:val="0"/>
        <w:spacing w:line="230" w:lineRule="auto"/>
        <w:contextualSpacing/>
        <w:jc w:val="both"/>
        <w:rPr>
          <w:rFonts w:cs="Times New Roman"/>
          <w:sz w:val="20"/>
          <w:szCs w:val="20"/>
          <w:lang w:val="fr-CA"/>
        </w:rPr>
      </w:pPr>
      <w:r w:rsidRPr="00A35845">
        <w:rPr>
          <w:rFonts w:cs="Times New Roman"/>
          <w:sz w:val="20"/>
          <w:szCs w:val="20"/>
          <w:lang w:val="fr-CA"/>
        </w:rPr>
        <w:t>L’intimé, le Procureur général de la Colombie-Britannique, pourra présenter une plaidoirie orale d’au plus dix (10) minutes lors de l’audition de l’appel.</w:t>
      </w:r>
    </w:p>
    <w:p w:rsidR="00A35845" w:rsidRPr="00A35845" w:rsidRDefault="00A35845" w:rsidP="00A35845">
      <w:pPr>
        <w:ind w:left="720"/>
        <w:contextualSpacing/>
        <w:rPr>
          <w:rFonts w:cs="Times New Roman"/>
          <w:sz w:val="20"/>
          <w:szCs w:val="20"/>
          <w:lang w:val="fr-CA"/>
        </w:rPr>
      </w:pPr>
    </w:p>
    <w:p w:rsidR="00A35845" w:rsidRPr="00A35845" w:rsidRDefault="00A35845" w:rsidP="00A35845">
      <w:pPr>
        <w:widowControl w:val="0"/>
        <w:numPr>
          <w:ilvl w:val="0"/>
          <w:numId w:val="9"/>
        </w:numPr>
        <w:autoSpaceDE w:val="0"/>
        <w:autoSpaceDN w:val="0"/>
        <w:adjustRightInd w:val="0"/>
        <w:spacing w:line="230" w:lineRule="auto"/>
        <w:contextualSpacing/>
        <w:jc w:val="both"/>
        <w:rPr>
          <w:rFonts w:cs="Times New Roman"/>
          <w:sz w:val="20"/>
          <w:szCs w:val="20"/>
          <w:lang w:val="fr-CA"/>
        </w:rPr>
      </w:pPr>
      <w:r w:rsidRPr="00A35845">
        <w:rPr>
          <w:rFonts w:cs="Times New Roman"/>
          <w:sz w:val="20"/>
          <w:szCs w:val="20"/>
          <w:lang w:val="fr-CA"/>
        </w:rPr>
        <w:t>L’Alliance of People with Disabilities Who Are Supportive of Legal Assisted Dying Society, l’Association canadienne des libertés civiles, l’Association médicale canadienne, le Conseil unitarien du Canada, la Ligue Catholique des Droits de l’Homme, la Faith and Freedom Alliance et le Protection of Conscience Project, le Collectif des médecins contre l’euthanasie, le Conseil des Canadiens avec déficiences et l’Association canadienne pour l’intégration communautaire, le Evangelical Fellowship of Canada et la Farewell Foundation for the Right to Die et l’Association québécoise pour le droit de mourir dans la dignité auront chacun le droit de présenter une plaidoirie orale d’au plus dix (10) minutes lors de l’audition de l’appel.</w:t>
      </w:r>
    </w:p>
    <w:p w:rsidR="00A35845" w:rsidRPr="00A35845" w:rsidRDefault="00A35845" w:rsidP="00A35845">
      <w:pPr>
        <w:spacing w:line="233" w:lineRule="auto"/>
        <w:ind w:left="720"/>
        <w:jc w:val="both"/>
        <w:rPr>
          <w:rFonts w:eastAsia="Times New Roman" w:cs="Times New Roman"/>
          <w:sz w:val="20"/>
          <w:szCs w:val="20"/>
          <w:lang w:val="fr-CA" w:eastAsia="en-CA"/>
        </w:rPr>
      </w:pPr>
    </w:p>
    <w:p w:rsidR="00A35845" w:rsidRPr="00A35845" w:rsidRDefault="00A35845" w:rsidP="00A35845">
      <w:pPr>
        <w:widowControl w:val="0"/>
        <w:numPr>
          <w:ilvl w:val="0"/>
          <w:numId w:val="9"/>
        </w:numPr>
        <w:autoSpaceDE w:val="0"/>
        <w:autoSpaceDN w:val="0"/>
        <w:adjustRightInd w:val="0"/>
        <w:spacing w:line="233" w:lineRule="auto"/>
        <w:contextualSpacing/>
        <w:jc w:val="both"/>
        <w:rPr>
          <w:rFonts w:cs="Times New Roman"/>
          <w:sz w:val="20"/>
          <w:szCs w:val="20"/>
          <w:lang w:val="fr-CA"/>
        </w:rPr>
      </w:pPr>
      <w:r w:rsidRPr="00A35845">
        <w:rPr>
          <w:rFonts w:cs="Times New Roman"/>
          <w:sz w:val="20"/>
          <w:szCs w:val="20"/>
          <w:lang w:val="fr-CA"/>
        </w:rPr>
        <w:t xml:space="preserve">Les mémoires de l’Association for Reformed Political Action Canada, le </w:t>
      </w:r>
      <w:r w:rsidRPr="00A35845">
        <w:rPr>
          <w:bCs/>
          <w:sz w:val="20"/>
          <w:szCs w:val="20"/>
          <w:lang w:val="fr-CA"/>
        </w:rPr>
        <w:t>Réseau juridique canadien VIH/sida</w:t>
      </w:r>
      <w:r w:rsidRPr="00A35845">
        <w:rPr>
          <w:rFonts w:cs="Times New Roman"/>
          <w:sz w:val="20"/>
          <w:szCs w:val="20"/>
          <w:lang w:val="fr-CA"/>
        </w:rPr>
        <w:t xml:space="preserve"> et la HIV &amp; AIDS Legal Clinic Ontario, l’Alliance catholique canadienne de la santé, l’Alliance des chrétiens en droit, la Christian Medical and Dental Society of Canada et la Canadian Federation of Catholic Physicians’ Societies, la Criminal Lawyers’ Association (Ontario), Dying with Dignity, et la Euthanasia Prevention Coalition et la Euthanasia Prevention Coalition – British Columbia</w:t>
      </w:r>
      <w:r w:rsidRPr="00A35845">
        <w:rPr>
          <w:rFonts w:cs="Times New Roman"/>
          <w:sz w:val="20"/>
          <w:szCs w:val="20"/>
          <w:lang w:val="fr-FR"/>
        </w:rPr>
        <w:t xml:space="preserve"> seront examinés sans qu’il soit nécessaire que ces intervenants présentent des plaidoiries orales.</w:t>
      </w:r>
    </w:p>
    <w:p w:rsidR="00A35845" w:rsidRPr="00A35845" w:rsidRDefault="00A35845" w:rsidP="00A35845">
      <w:pPr>
        <w:jc w:val="both"/>
        <w:rPr>
          <w:rFonts w:eastAsia="Times New Roman" w:cs="Times New Roman"/>
          <w:sz w:val="20"/>
          <w:szCs w:val="20"/>
          <w:lang w:val="fr-CA" w:eastAsia="en-CA"/>
        </w:rPr>
      </w:pPr>
    </w:p>
    <w:p w:rsidR="00A35845" w:rsidRPr="00A35845" w:rsidRDefault="00F677DC" w:rsidP="00A35845">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86" style="width:2in;height:1pt" o:hrpct="0" o:hralign="center" o:hrstd="t" o:hrnoshade="t" o:hr="t" fillcolor="black [3213]" stroked="f"/>
        </w:pict>
      </w:r>
    </w:p>
    <w:p w:rsidR="00A35845" w:rsidRPr="00A35845" w:rsidRDefault="00A35845" w:rsidP="00A35845">
      <w:pPr>
        <w:tabs>
          <w:tab w:val="left" w:pos="-1440"/>
          <w:tab w:val="left" w:pos="-720"/>
        </w:tabs>
        <w:jc w:val="both"/>
        <w:rPr>
          <w:rFonts w:eastAsia="Times New Roman" w:cs="Times New Roman"/>
          <w:sz w:val="20"/>
          <w:szCs w:val="20"/>
          <w:lang w:val="fr-CA" w:eastAsia="en-CA"/>
        </w:rPr>
      </w:pPr>
    </w:p>
    <w:p w:rsidR="00A35845" w:rsidRPr="00A35845" w:rsidRDefault="00A35845" w:rsidP="00A35845">
      <w:pPr>
        <w:tabs>
          <w:tab w:val="left" w:pos="-1440"/>
          <w:tab w:val="left" w:pos="-720"/>
        </w:tabs>
        <w:jc w:val="both"/>
        <w:rPr>
          <w:rFonts w:eastAsia="Times New Roman" w:cs="Times New Roman"/>
          <w:sz w:val="20"/>
          <w:szCs w:val="20"/>
          <w:lang w:val="fr-CA" w:eastAsia="en-CA"/>
        </w:rPr>
      </w:pPr>
      <w:r w:rsidRPr="00A35845">
        <w:rPr>
          <w:rFonts w:eastAsia="Times New Roman" w:cs="Times New Roman"/>
          <w:sz w:val="20"/>
          <w:szCs w:val="20"/>
          <w:lang w:val="fr-CA" w:eastAsia="en-CA"/>
        </w:rPr>
        <w:t>02.10.2014</w:t>
      </w:r>
    </w:p>
    <w:p w:rsidR="00A35845" w:rsidRPr="00A35845" w:rsidRDefault="00A35845" w:rsidP="00A35845">
      <w:pPr>
        <w:tabs>
          <w:tab w:val="left" w:pos="-1440"/>
          <w:tab w:val="left" w:pos="-720"/>
        </w:tabs>
        <w:jc w:val="both"/>
        <w:rPr>
          <w:rFonts w:eastAsia="Times New Roman" w:cs="Times New Roman"/>
          <w:sz w:val="20"/>
          <w:szCs w:val="20"/>
          <w:lang w:val="fr-CA" w:eastAsia="en-CA"/>
        </w:rPr>
      </w:pPr>
    </w:p>
    <w:p w:rsidR="00A35845" w:rsidRPr="00A35845" w:rsidRDefault="00A35845" w:rsidP="00A35845">
      <w:pPr>
        <w:tabs>
          <w:tab w:val="left" w:pos="-1440"/>
          <w:tab w:val="left" w:pos="-720"/>
        </w:tabs>
        <w:jc w:val="both"/>
        <w:rPr>
          <w:rFonts w:eastAsia="Times New Roman" w:cs="Times New Roman"/>
          <w:sz w:val="20"/>
          <w:szCs w:val="20"/>
          <w:lang w:val="fr-CA" w:eastAsia="en-CA"/>
        </w:rPr>
      </w:pPr>
      <w:r w:rsidRPr="00A35845">
        <w:rPr>
          <w:rFonts w:eastAsia="Times New Roman" w:cs="Times New Roman"/>
          <w:sz w:val="20"/>
          <w:szCs w:val="20"/>
          <w:lang w:val="fr-CA" w:eastAsia="en-CA"/>
        </w:rPr>
        <w:t>Before / Devant :   ROTHSTEIN J. / LE JUGE ROTHSTEIN</w:t>
      </w:r>
    </w:p>
    <w:p w:rsidR="00A35845" w:rsidRPr="00A35845" w:rsidRDefault="00A35845" w:rsidP="00A35845">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A35845" w:rsidRPr="00A35845" w:rsidTr="00AB4E4F">
        <w:tc>
          <w:tcPr>
            <w:tcW w:w="4338" w:type="dxa"/>
          </w:tcPr>
          <w:p w:rsidR="00A35845" w:rsidRPr="00A35845" w:rsidRDefault="00274132" w:rsidP="00A35845">
            <w:pPr>
              <w:tabs>
                <w:tab w:val="left" w:pos="-1440"/>
                <w:tab w:val="left" w:pos="-720"/>
              </w:tabs>
              <w:jc w:val="both"/>
              <w:rPr>
                <w:b/>
                <w:lang w:val="fr-CA"/>
              </w:rPr>
            </w:pPr>
            <w:r w:rsidRPr="00A35845">
              <w:rPr>
                <w:szCs w:val="24"/>
                <w:lang w:val="en-US"/>
              </w:rPr>
              <w:fldChar w:fldCharType="begin"/>
            </w:r>
            <w:r w:rsidR="00A35845" w:rsidRPr="00A35845">
              <w:rPr>
                <w:szCs w:val="24"/>
                <w:lang w:val="fr-CA"/>
              </w:rPr>
              <w:instrText xml:space="preserve"> SEQ CHAPTER \h \r 1</w:instrText>
            </w:r>
            <w:r w:rsidRPr="00A35845">
              <w:rPr>
                <w:szCs w:val="24"/>
                <w:lang w:val="en-US"/>
              </w:rPr>
              <w:fldChar w:fldCharType="end"/>
            </w:r>
            <w:r w:rsidR="00A35845" w:rsidRPr="00A35845">
              <w:rPr>
                <w:b/>
                <w:bCs/>
                <w:lang w:val="fr-CA"/>
              </w:rPr>
              <w:t xml:space="preserve">Motion to strike </w:t>
            </w:r>
          </w:p>
        </w:tc>
        <w:tc>
          <w:tcPr>
            <w:tcW w:w="1170" w:type="dxa"/>
          </w:tcPr>
          <w:p w:rsidR="00A35845" w:rsidRPr="00A35845" w:rsidRDefault="00A35845" w:rsidP="00A35845">
            <w:pPr>
              <w:tabs>
                <w:tab w:val="left" w:pos="-1440"/>
                <w:tab w:val="left" w:pos="-720"/>
              </w:tabs>
              <w:jc w:val="both"/>
              <w:rPr>
                <w:lang w:val="fr-CA"/>
              </w:rPr>
            </w:pPr>
          </w:p>
          <w:p w:rsidR="00A35845" w:rsidRPr="00A35845" w:rsidRDefault="00A35845" w:rsidP="00A35845">
            <w:pPr>
              <w:tabs>
                <w:tab w:val="left" w:pos="-1440"/>
                <w:tab w:val="left" w:pos="-720"/>
              </w:tabs>
              <w:jc w:val="both"/>
              <w:rPr>
                <w:lang w:val="fr-CA"/>
              </w:rPr>
            </w:pPr>
          </w:p>
        </w:tc>
        <w:tc>
          <w:tcPr>
            <w:tcW w:w="4327" w:type="dxa"/>
          </w:tcPr>
          <w:p w:rsidR="00A35845" w:rsidRPr="00A35845" w:rsidRDefault="00A35845" w:rsidP="00A35845">
            <w:pPr>
              <w:tabs>
                <w:tab w:val="left" w:pos="-1440"/>
                <w:tab w:val="left" w:pos="-720"/>
              </w:tabs>
              <w:jc w:val="both"/>
              <w:rPr>
                <w:lang w:val="fr-CA"/>
              </w:rPr>
            </w:pPr>
            <w:r w:rsidRPr="00A35845">
              <w:rPr>
                <w:b/>
                <w:bCs/>
                <w:lang w:val="fr-CA"/>
              </w:rPr>
              <w:t>Requête en radiation</w:t>
            </w:r>
          </w:p>
        </w:tc>
      </w:tr>
      <w:tr w:rsidR="00A35845" w:rsidRPr="00DA7379" w:rsidTr="00AB4E4F">
        <w:tc>
          <w:tcPr>
            <w:tcW w:w="4338" w:type="dxa"/>
          </w:tcPr>
          <w:p w:rsidR="00A35845" w:rsidRPr="00A35845" w:rsidRDefault="00A35845" w:rsidP="00A35845">
            <w:pPr>
              <w:tabs>
                <w:tab w:val="left" w:pos="-1440"/>
                <w:tab w:val="left" w:pos="-720"/>
              </w:tabs>
              <w:jc w:val="both"/>
              <w:rPr>
                <w:lang w:val="fr-CA"/>
              </w:rPr>
            </w:pPr>
            <w:r w:rsidRPr="00A35845">
              <w:rPr>
                <w:lang w:val="fr-CA"/>
              </w:rPr>
              <w:t>Apotex Inc. et al.</w:t>
            </w:r>
          </w:p>
          <w:p w:rsidR="00A35845" w:rsidRPr="00A35845" w:rsidRDefault="00A35845" w:rsidP="00A35845">
            <w:pPr>
              <w:tabs>
                <w:tab w:val="left" w:pos="-1440"/>
                <w:tab w:val="left" w:pos="-720"/>
              </w:tabs>
              <w:jc w:val="both"/>
              <w:rPr>
                <w:lang w:val="fr-CA"/>
              </w:rPr>
            </w:pPr>
          </w:p>
          <w:p w:rsidR="00A35845" w:rsidRPr="00A35845" w:rsidRDefault="00A35845" w:rsidP="00A35845">
            <w:pPr>
              <w:tabs>
                <w:tab w:val="left" w:pos="-1440"/>
                <w:tab w:val="left" w:pos="-720"/>
              </w:tabs>
              <w:jc w:val="both"/>
              <w:rPr>
                <w:lang w:val="fr-CA"/>
              </w:rPr>
            </w:pPr>
            <w:r w:rsidRPr="00A35845">
              <w:rPr>
                <w:lang w:val="fr-CA"/>
              </w:rPr>
              <w:tab/>
              <w:t>v. (35562)</w:t>
            </w:r>
          </w:p>
          <w:p w:rsidR="00A35845" w:rsidRPr="00A35845" w:rsidRDefault="00A35845" w:rsidP="00A35845">
            <w:pPr>
              <w:tabs>
                <w:tab w:val="left" w:pos="-1440"/>
                <w:tab w:val="left" w:pos="-720"/>
              </w:tabs>
              <w:jc w:val="both"/>
              <w:rPr>
                <w:lang w:val="fr-CA"/>
              </w:rPr>
            </w:pPr>
          </w:p>
          <w:p w:rsidR="00A35845" w:rsidRPr="00A35845" w:rsidRDefault="00A35845" w:rsidP="00A35845">
            <w:pPr>
              <w:tabs>
                <w:tab w:val="left" w:pos="-1440"/>
                <w:tab w:val="left" w:pos="-720"/>
              </w:tabs>
              <w:jc w:val="both"/>
              <w:rPr>
                <w:lang w:val="fr-CA"/>
              </w:rPr>
            </w:pPr>
            <w:r w:rsidRPr="00A35845">
              <w:rPr>
                <w:lang w:val="fr-CA"/>
              </w:rPr>
              <w:t>Sanofy-Aventis et al. (F.C.)</w:t>
            </w:r>
          </w:p>
        </w:tc>
        <w:tc>
          <w:tcPr>
            <w:tcW w:w="1170" w:type="dxa"/>
          </w:tcPr>
          <w:p w:rsidR="00A35845" w:rsidRPr="00A35845" w:rsidRDefault="00A35845" w:rsidP="00A35845">
            <w:pPr>
              <w:tabs>
                <w:tab w:val="left" w:pos="-1440"/>
                <w:tab w:val="left" w:pos="-720"/>
              </w:tabs>
              <w:jc w:val="both"/>
              <w:rPr>
                <w:lang w:val="fr-CA"/>
              </w:rPr>
            </w:pPr>
          </w:p>
        </w:tc>
        <w:tc>
          <w:tcPr>
            <w:tcW w:w="4327" w:type="dxa"/>
          </w:tcPr>
          <w:p w:rsidR="00A35845" w:rsidRPr="00A35845" w:rsidRDefault="00A35845" w:rsidP="00A35845">
            <w:pPr>
              <w:tabs>
                <w:tab w:val="left" w:pos="-1440"/>
                <w:tab w:val="left" w:pos="-720"/>
              </w:tabs>
              <w:jc w:val="both"/>
              <w:rPr>
                <w:lang w:val="fr-CA"/>
              </w:rPr>
            </w:pPr>
          </w:p>
        </w:tc>
      </w:tr>
    </w:tbl>
    <w:p w:rsidR="00A35845" w:rsidRPr="00A35845" w:rsidRDefault="00A35845" w:rsidP="00A35845">
      <w:pPr>
        <w:jc w:val="both"/>
        <w:rPr>
          <w:rFonts w:eastAsia="Times New Roman" w:cs="Times New Roman"/>
          <w:sz w:val="20"/>
          <w:szCs w:val="20"/>
          <w:lang w:val="fr-CA" w:eastAsia="en-CA"/>
        </w:rPr>
      </w:pPr>
    </w:p>
    <w:p w:rsidR="00A35845" w:rsidRPr="00A35845" w:rsidRDefault="00A35845" w:rsidP="00A35845">
      <w:pPr>
        <w:tabs>
          <w:tab w:val="left" w:pos="-1440"/>
          <w:tab w:val="left" w:pos="-720"/>
        </w:tabs>
        <w:jc w:val="both"/>
        <w:rPr>
          <w:rFonts w:eastAsia="Times New Roman" w:cs="Times New Roman"/>
          <w:sz w:val="20"/>
          <w:szCs w:val="20"/>
          <w:lang w:eastAsia="en-CA"/>
        </w:rPr>
      </w:pPr>
      <w:r w:rsidRPr="00A35845">
        <w:rPr>
          <w:rFonts w:eastAsia="Times New Roman" w:cs="Times New Roman"/>
          <w:b/>
          <w:sz w:val="20"/>
          <w:szCs w:val="20"/>
          <w:lang w:eastAsia="en-CA"/>
        </w:rPr>
        <w:t>DISMISSED / REJETÉE</w:t>
      </w:r>
    </w:p>
    <w:p w:rsidR="00A35845" w:rsidRPr="00A35845" w:rsidRDefault="00A35845" w:rsidP="00A35845">
      <w:pPr>
        <w:jc w:val="both"/>
        <w:rPr>
          <w:rFonts w:eastAsia="Times New Roman" w:cs="Times New Roman"/>
          <w:sz w:val="20"/>
          <w:szCs w:val="20"/>
          <w:lang w:eastAsia="en-CA"/>
        </w:rPr>
      </w:pPr>
    </w:p>
    <w:p w:rsidR="00A35845" w:rsidRPr="00A35845" w:rsidRDefault="00A35845" w:rsidP="00A35845">
      <w:pPr>
        <w:spacing w:line="233" w:lineRule="auto"/>
        <w:jc w:val="both"/>
        <w:rPr>
          <w:rFonts w:eastAsia="Times New Roman" w:cs="Times New Roman"/>
          <w:sz w:val="20"/>
          <w:szCs w:val="20"/>
          <w:lang w:val="en-US" w:eastAsia="en-CA"/>
        </w:rPr>
      </w:pPr>
      <w:r w:rsidRPr="00A35845">
        <w:rPr>
          <w:rFonts w:eastAsia="Times New Roman" w:cs="Times New Roman"/>
          <w:b/>
          <w:sz w:val="20"/>
          <w:szCs w:val="20"/>
          <w:lang w:val="en-US" w:eastAsia="en-CA"/>
        </w:rPr>
        <w:t xml:space="preserve">UPON APPLICATION </w:t>
      </w:r>
      <w:r w:rsidRPr="00A35845">
        <w:rPr>
          <w:rFonts w:eastAsia="Times New Roman" w:cs="Times New Roman"/>
          <w:sz w:val="20"/>
          <w:szCs w:val="20"/>
          <w:lang w:val="en-US" w:eastAsia="en-CA"/>
        </w:rPr>
        <w:t>by the respondents for an order striking the reply factum of the appellants in its entirety or alternatively, granting leave to file a reply factum of up to 5 pages.</w:t>
      </w:r>
    </w:p>
    <w:p w:rsidR="00A35845" w:rsidRPr="00A35845" w:rsidRDefault="00A35845" w:rsidP="00A35845">
      <w:pPr>
        <w:spacing w:line="233" w:lineRule="auto"/>
        <w:jc w:val="both"/>
        <w:rPr>
          <w:rFonts w:eastAsia="Times New Roman" w:cs="Times New Roman"/>
          <w:sz w:val="20"/>
          <w:szCs w:val="20"/>
          <w:lang w:eastAsia="en-CA"/>
        </w:rPr>
      </w:pPr>
    </w:p>
    <w:p w:rsidR="00A35845" w:rsidRPr="00A35845" w:rsidRDefault="00A35845" w:rsidP="00A35845">
      <w:pPr>
        <w:spacing w:line="233" w:lineRule="auto"/>
        <w:jc w:val="both"/>
        <w:rPr>
          <w:rFonts w:eastAsia="Times New Roman" w:cs="Times New Roman"/>
          <w:sz w:val="20"/>
          <w:szCs w:val="20"/>
          <w:lang w:val="en-US" w:eastAsia="en-CA"/>
        </w:rPr>
      </w:pPr>
      <w:r w:rsidRPr="00A35845">
        <w:rPr>
          <w:rFonts w:eastAsia="Times New Roman" w:cs="Times New Roman"/>
          <w:b/>
          <w:bCs/>
          <w:sz w:val="20"/>
          <w:szCs w:val="20"/>
          <w:lang w:val="en-US" w:eastAsia="en-CA"/>
        </w:rPr>
        <w:t>AND THE MATERIAL FILED</w:t>
      </w:r>
      <w:r w:rsidRPr="00A35845">
        <w:rPr>
          <w:rFonts w:eastAsia="Times New Roman" w:cs="Times New Roman"/>
          <w:sz w:val="20"/>
          <w:szCs w:val="20"/>
          <w:lang w:val="en-US" w:eastAsia="en-CA"/>
        </w:rPr>
        <w:t xml:space="preserve"> having been read;</w:t>
      </w:r>
    </w:p>
    <w:p w:rsidR="00A35845" w:rsidRPr="00A35845" w:rsidRDefault="00A35845" w:rsidP="00A35845">
      <w:pPr>
        <w:spacing w:line="233" w:lineRule="auto"/>
        <w:jc w:val="both"/>
        <w:rPr>
          <w:rFonts w:eastAsia="Times New Roman" w:cs="Times New Roman"/>
          <w:sz w:val="20"/>
          <w:szCs w:val="20"/>
          <w:lang w:val="en-US" w:eastAsia="en-CA"/>
        </w:rPr>
      </w:pPr>
    </w:p>
    <w:p w:rsidR="00A35845" w:rsidRPr="00A35845" w:rsidRDefault="00A35845" w:rsidP="00A35845">
      <w:pPr>
        <w:spacing w:line="233" w:lineRule="auto"/>
        <w:jc w:val="both"/>
        <w:rPr>
          <w:rFonts w:eastAsia="Times New Roman" w:cs="Times New Roman"/>
          <w:sz w:val="20"/>
          <w:szCs w:val="20"/>
          <w:lang w:val="en-US" w:eastAsia="en-CA"/>
        </w:rPr>
      </w:pPr>
      <w:r w:rsidRPr="00A35845">
        <w:rPr>
          <w:rFonts w:eastAsia="Times New Roman" w:cs="Times New Roman"/>
          <w:b/>
          <w:bCs/>
          <w:sz w:val="20"/>
          <w:szCs w:val="20"/>
          <w:lang w:val="en-US" w:eastAsia="en-CA"/>
        </w:rPr>
        <w:t>IT IS HEREBY ORDERED THAT:</w:t>
      </w:r>
    </w:p>
    <w:p w:rsidR="00A35845" w:rsidRPr="00A35845" w:rsidRDefault="00A35845" w:rsidP="00A35845">
      <w:pPr>
        <w:spacing w:line="233" w:lineRule="auto"/>
        <w:jc w:val="both"/>
        <w:rPr>
          <w:rFonts w:eastAsia="Times New Roman" w:cs="Times New Roman"/>
          <w:sz w:val="20"/>
          <w:szCs w:val="20"/>
          <w:lang w:val="en-US" w:eastAsia="en-CA"/>
        </w:rPr>
      </w:pPr>
    </w:p>
    <w:p w:rsidR="00A35845" w:rsidRPr="00A35845" w:rsidRDefault="00A35845" w:rsidP="00A35845">
      <w:pPr>
        <w:jc w:val="both"/>
        <w:rPr>
          <w:rFonts w:eastAsia="Times New Roman" w:cs="Times New Roman"/>
          <w:sz w:val="20"/>
          <w:szCs w:val="20"/>
          <w:lang w:val="en-US" w:eastAsia="en-CA"/>
        </w:rPr>
      </w:pPr>
      <w:r w:rsidRPr="00A35845">
        <w:rPr>
          <w:rFonts w:eastAsia="Times New Roman" w:cs="Times New Roman"/>
          <w:sz w:val="20"/>
          <w:szCs w:val="20"/>
          <w:lang w:val="en-US" w:eastAsia="en-CA"/>
        </w:rPr>
        <w:t>The application by the respondents to strike the reply factum of the appellants in its entirety is dismissed.</w:t>
      </w:r>
    </w:p>
    <w:p w:rsidR="00A35845" w:rsidRPr="00A35845" w:rsidRDefault="00A35845" w:rsidP="00A35845">
      <w:pPr>
        <w:jc w:val="both"/>
        <w:rPr>
          <w:rFonts w:eastAsia="Times New Roman" w:cs="Times New Roman"/>
          <w:sz w:val="20"/>
          <w:szCs w:val="20"/>
          <w:lang w:val="en-US" w:eastAsia="en-CA"/>
        </w:rPr>
      </w:pPr>
    </w:p>
    <w:p w:rsidR="00A35845" w:rsidRPr="00A35845" w:rsidRDefault="00A35845" w:rsidP="00A35845">
      <w:pPr>
        <w:jc w:val="both"/>
        <w:rPr>
          <w:rFonts w:eastAsia="Times New Roman" w:cs="Times New Roman"/>
          <w:sz w:val="20"/>
          <w:szCs w:val="20"/>
          <w:lang w:val="en-US" w:eastAsia="en-CA"/>
        </w:rPr>
      </w:pPr>
      <w:r w:rsidRPr="00A35845">
        <w:rPr>
          <w:rFonts w:eastAsia="Times New Roman" w:cs="Times New Roman"/>
          <w:sz w:val="20"/>
          <w:szCs w:val="20"/>
          <w:lang w:val="en-US" w:eastAsia="en-CA"/>
        </w:rPr>
        <w:t>The application by the respondents, in the alternative, to file a sur-reply factum of up to 5 pages is granted. The reply factum is to be served and filed on or before October 10, 2014.</w:t>
      </w:r>
    </w:p>
    <w:p w:rsidR="00A35845" w:rsidRPr="00A35845" w:rsidRDefault="00A35845" w:rsidP="00A35845">
      <w:pPr>
        <w:spacing w:line="233" w:lineRule="auto"/>
        <w:jc w:val="both"/>
        <w:rPr>
          <w:rFonts w:eastAsia="Times New Roman" w:cs="Times New Roman"/>
          <w:sz w:val="20"/>
          <w:szCs w:val="20"/>
          <w:lang w:val="en-US" w:eastAsia="en-CA"/>
        </w:rPr>
      </w:pPr>
    </w:p>
    <w:p w:rsidR="00A35845" w:rsidRPr="00A35845" w:rsidRDefault="00A35845" w:rsidP="00A35845">
      <w:pPr>
        <w:spacing w:line="233" w:lineRule="auto"/>
        <w:jc w:val="both"/>
        <w:rPr>
          <w:rFonts w:eastAsia="Times New Roman" w:cs="Times New Roman"/>
          <w:sz w:val="20"/>
          <w:szCs w:val="20"/>
          <w:lang w:val="en-US" w:eastAsia="en-CA"/>
        </w:rPr>
      </w:pPr>
      <w:r w:rsidRPr="00A35845">
        <w:rPr>
          <w:rFonts w:eastAsia="Times New Roman" w:cs="Times New Roman"/>
          <w:sz w:val="20"/>
          <w:szCs w:val="20"/>
          <w:lang w:val="en-US" w:eastAsia="en-CA"/>
        </w:rPr>
        <w:t>No order as to costs.</w:t>
      </w:r>
    </w:p>
    <w:p w:rsidR="00A35845" w:rsidRPr="00A35845" w:rsidRDefault="00A35845" w:rsidP="00A35845">
      <w:pPr>
        <w:spacing w:line="233" w:lineRule="auto"/>
        <w:jc w:val="both"/>
        <w:rPr>
          <w:rFonts w:eastAsia="Times New Roman" w:cs="Times New Roman"/>
          <w:sz w:val="20"/>
          <w:szCs w:val="20"/>
          <w:lang w:val="en-US" w:eastAsia="en-CA"/>
        </w:rPr>
      </w:pPr>
    </w:p>
    <w:p w:rsidR="00A35845" w:rsidRPr="00A35845" w:rsidRDefault="00A35845" w:rsidP="00A35845">
      <w:pPr>
        <w:spacing w:line="233" w:lineRule="auto"/>
        <w:jc w:val="both"/>
        <w:rPr>
          <w:rFonts w:eastAsia="Times New Roman" w:cs="Times New Roman"/>
          <w:sz w:val="20"/>
          <w:szCs w:val="20"/>
          <w:lang w:val="en-US" w:eastAsia="en-CA"/>
        </w:rPr>
      </w:pPr>
    </w:p>
    <w:p w:rsidR="00A35845" w:rsidRPr="00A35845" w:rsidRDefault="00A35845" w:rsidP="00A35845">
      <w:pPr>
        <w:spacing w:line="233" w:lineRule="auto"/>
        <w:jc w:val="both"/>
        <w:rPr>
          <w:rFonts w:eastAsia="Times New Roman" w:cs="Times New Roman"/>
          <w:sz w:val="20"/>
          <w:szCs w:val="20"/>
          <w:lang w:val="en-US" w:eastAsia="en-CA"/>
        </w:rPr>
      </w:pPr>
    </w:p>
    <w:p w:rsidR="00A35845" w:rsidRPr="00A35845" w:rsidRDefault="00A35845" w:rsidP="00A35845">
      <w:pPr>
        <w:spacing w:line="233" w:lineRule="auto"/>
        <w:jc w:val="both"/>
        <w:rPr>
          <w:rFonts w:eastAsia="Times New Roman" w:cs="Times New Roman"/>
          <w:sz w:val="20"/>
          <w:szCs w:val="20"/>
          <w:lang w:val="fr-CA" w:eastAsia="en-CA"/>
        </w:rPr>
      </w:pPr>
      <w:r w:rsidRPr="00A35845">
        <w:rPr>
          <w:rFonts w:eastAsia="Times New Roman" w:cs="Times New Roman"/>
          <w:b/>
          <w:sz w:val="20"/>
          <w:szCs w:val="20"/>
          <w:lang w:val="fr-CA" w:eastAsia="en-CA"/>
        </w:rPr>
        <w:t xml:space="preserve">À LA SUITE DE LA DEMANDE </w:t>
      </w:r>
      <w:r w:rsidRPr="00A35845">
        <w:rPr>
          <w:rFonts w:eastAsia="Times New Roman" w:cs="Times New Roman"/>
          <w:sz w:val="20"/>
          <w:szCs w:val="20"/>
          <w:lang w:val="fr-CA" w:eastAsia="en-CA"/>
        </w:rPr>
        <w:t xml:space="preserve">présentée par les intimées en vue de la radiation intégrale du mémoire en réplique des appelantes ou, subsidiairement, en vue d’obtenir l’autorisation de déposer un mémoire en réplique d’au plus 5 pages. </w:t>
      </w:r>
    </w:p>
    <w:p w:rsidR="00A35845" w:rsidRPr="00A35845" w:rsidRDefault="00A35845" w:rsidP="00A35845">
      <w:pPr>
        <w:spacing w:line="233" w:lineRule="auto"/>
        <w:jc w:val="both"/>
        <w:rPr>
          <w:rFonts w:eastAsia="Times New Roman" w:cs="Times New Roman"/>
          <w:sz w:val="20"/>
          <w:szCs w:val="20"/>
          <w:lang w:val="fr-CA" w:eastAsia="en-CA"/>
        </w:rPr>
      </w:pPr>
    </w:p>
    <w:p w:rsidR="00A35845" w:rsidRPr="00A35845" w:rsidRDefault="00A35845" w:rsidP="00A35845">
      <w:pPr>
        <w:spacing w:line="233" w:lineRule="auto"/>
        <w:jc w:val="both"/>
        <w:rPr>
          <w:rFonts w:eastAsia="Times New Roman" w:cs="Times New Roman"/>
          <w:sz w:val="20"/>
          <w:szCs w:val="20"/>
          <w:lang w:val="fr-CA" w:eastAsia="en-CA"/>
        </w:rPr>
      </w:pPr>
      <w:r w:rsidRPr="00A35845">
        <w:rPr>
          <w:rFonts w:eastAsia="Times New Roman" w:cs="Times New Roman"/>
          <w:b/>
          <w:bCs/>
          <w:sz w:val="20"/>
          <w:szCs w:val="20"/>
          <w:lang w:val="fr-CA" w:eastAsia="en-CA"/>
        </w:rPr>
        <w:t xml:space="preserve">ET APRÈS EXAMEN </w:t>
      </w:r>
      <w:r w:rsidRPr="00A35845">
        <w:rPr>
          <w:rFonts w:eastAsia="Times New Roman" w:cs="Times New Roman"/>
          <w:bCs/>
          <w:sz w:val="20"/>
          <w:szCs w:val="20"/>
          <w:lang w:val="fr-CA" w:eastAsia="en-CA"/>
        </w:rPr>
        <w:t>des documents déposés</w:t>
      </w:r>
      <w:r w:rsidRPr="00A35845">
        <w:rPr>
          <w:rFonts w:eastAsia="Times New Roman" w:cs="Times New Roman"/>
          <w:sz w:val="20"/>
          <w:szCs w:val="20"/>
          <w:lang w:val="fr-CA" w:eastAsia="en-CA"/>
        </w:rPr>
        <w:t>;</w:t>
      </w:r>
    </w:p>
    <w:p w:rsidR="00A35845" w:rsidRPr="00A35845" w:rsidRDefault="00A35845" w:rsidP="00A35845">
      <w:pPr>
        <w:spacing w:line="233" w:lineRule="auto"/>
        <w:jc w:val="both"/>
        <w:rPr>
          <w:rFonts w:eastAsia="Times New Roman" w:cs="Times New Roman"/>
          <w:sz w:val="20"/>
          <w:szCs w:val="20"/>
          <w:lang w:val="fr-CA" w:eastAsia="en-CA"/>
        </w:rPr>
      </w:pPr>
    </w:p>
    <w:p w:rsidR="00A35845" w:rsidRPr="00A35845" w:rsidRDefault="00A35845" w:rsidP="00A35845">
      <w:pPr>
        <w:spacing w:line="233" w:lineRule="auto"/>
        <w:jc w:val="both"/>
        <w:rPr>
          <w:rFonts w:eastAsia="Times New Roman" w:cs="Times New Roman"/>
          <w:sz w:val="20"/>
          <w:szCs w:val="20"/>
          <w:lang w:val="fr-CA" w:eastAsia="en-CA"/>
        </w:rPr>
      </w:pPr>
      <w:r w:rsidRPr="00A35845">
        <w:rPr>
          <w:rFonts w:eastAsia="Times New Roman" w:cs="Times New Roman"/>
          <w:b/>
          <w:bCs/>
          <w:sz w:val="20"/>
          <w:szCs w:val="20"/>
          <w:lang w:val="fr-CA" w:eastAsia="en-CA"/>
        </w:rPr>
        <w:t>IL EST ORDONNÉ CE QUI SUIT :</w:t>
      </w:r>
    </w:p>
    <w:p w:rsidR="00A35845" w:rsidRPr="00A35845" w:rsidRDefault="00A35845" w:rsidP="00A35845">
      <w:pPr>
        <w:spacing w:line="233" w:lineRule="auto"/>
        <w:jc w:val="both"/>
        <w:rPr>
          <w:rFonts w:eastAsia="Times New Roman" w:cs="Times New Roman"/>
          <w:sz w:val="20"/>
          <w:szCs w:val="20"/>
          <w:lang w:val="fr-CA" w:eastAsia="en-CA"/>
        </w:rPr>
      </w:pPr>
    </w:p>
    <w:p w:rsidR="00A35845" w:rsidRPr="00A35845" w:rsidRDefault="00A35845" w:rsidP="00A35845">
      <w:pPr>
        <w:jc w:val="both"/>
        <w:rPr>
          <w:rFonts w:eastAsia="Times New Roman" w:cs="Times New Roman"/>
          <w:sz w:val="20"/>
          <w:szCs w:val="20"/>
          <w:lang w:val="fr-CA" w:eastAsia="en-CA"/>
        </w:rPr>
      </w:pPr>
      <w:r w:rsidRPr="00A35845">
        <w:rPr>
          <w:rFonts w:eastAsia="Times New Roman" w:cs="Times New Roman"/>
          <w:sz w:val="20"/>
          <w:szCs w:val="20"/>
          <w:lang w:val="fr-CA" w:eastAsia="en-CA"/>
        </w:rPr>
        <w:t xml:space="preserve">La requête en radiation intégrale du mémoire en réplique des appelantes présentée par les intimées est rejetée.  </w:t>
      </w:r>
    </w:p>
    <w:p w:rsidR="00A35845" w:rsidRPr="00A35845" w:rsidRDefault="00A35845" w:rsidP="00A35845">
      <w:pPr>
        <w:jc w:val="both"/>
        <w:rPr>
          <w:rFonts w:eastAsia="Times New Roman" w:cs="Times New Roman"/>
          <w:sz w:val="20"/>
          <w:szCs w:val="20"/>
          <w:lang w:val="fr-CA" w:eastAsia="en-CA"/>
        </w:rPr>
      </w:pPr>
    </w:p>
    <w:p w:rsidR="00A35845" w:rsidRPr="00A35845" w:rsidRDefault="00A35845" w:rsidP="00A35845">
      <w:pPr>
        <w:jc w:val="both"/>
        <w:rPr>
          <w:rFonts w:eastAsia="Times New Roman" w:cs="Times New Roman"/>
          <w:sz w:val="20"/>
          <w:szCs w:val="20"/>
          <w:lang w:val="fr-CA" w:eastAsia="en-CA"/>
        </w:rPr>
      </w:pPr>
      <w:r w:rsidRPr="00A35845">
        <w:rPr>
          <w:rFonts w:eastAsia="Times New Roman" w:cs="Times New Roman"/>
          <w:sz w:val="20"/>
          <w:szCs w:val="20"/>
          <w:lang w:val="fr-CA" w:eastAsia="en-CA"/>
        </w:rPr>
        <w:t>La requête subsidiaire présentée par les intimées en vue d’obtenir l’autorisation de déposer un mémoire en réponse et en réplique d’au plus 5 pages est accueillie.  Les intimées sont autorisées à signifier et à déposer un mémoire en réplique au plus tard le 10 octobre 2014.</w:t>
      </w:r>
    </w:p>
    <w:p w:rsidR="00A35845" w:rsidRPr="00A35845" w:rsidRDefault="00A35845" w:rsidP="00A35845">
      <w:pPr>
        <w:jc w:val="both"/>
        <w:rPr>
          <w:rFonts w:eastAsia="Times New Roman" w:cs="Times New Roman"/>
          <w:sz w:val="20"/>
          <w:szCs w:val="20"/>
          <w:lang w:val="fr-CA" w:eastAsia="en-CA"/>
        </w:rPr>
      </w:pPr>
    </w:p>
    <w:p w:rsidR="00A35845" w:rsidRPr="00A35845" w:rsidRDefault="00A35845" w:rsidP="00A35845">
      <w:pPr>
        <w:jc w:val="both"/>
        <w:rPr>
          <w:rFonts w:eastAsia="Times New Roman" w:cs="Times New Roman"/>
          <w:sz w:val="20"/>
          <w:szCs w:val="20"/>
          <w:lang w:val="fr-CA" w:eastAsia="en-CA"/>
        </w:rPr>
      </w:pPr>
      <w:r w:rsidRPr="00A35845">
        <w:rPr>
          <w:rFonts w:eastAsia="Times New Roman" w:cs="Times New Roman"/>
          <w:sz w:val="20"/>
          <w:szCs w:val="20"/>
          <w:lang w:val="fr-CA" w:eastAsia="en-CA"/>
        </w:rPr>
        <w:t>Aucune ordonnance n’est rendue quant aux dépens.</w:t>
      </w:r>
    </w:p>
    <w:p w:rsidR="00A35845" w:rsidRPr="00A35845" w:rsidRDefault="00A35845" w:rsidP="00A35845">
      <w:pPr>
        <w:jc w:val="both"/>
        <w:rPr>
          <w:rFonts w:eastAsia="Times New Roman" w:cs="Times New Roman"/>
          <w:sz w:val="20"/>
          <w:szCs w:val="20"/>
          <w:lang w:val="fr-CA" w:eastAsia="en-CA"/>
        </w:rPr>
      </w:pPr>
    </w:p>
    <w:p w:rsidR="00A35845" w:rsidRPr="00A35845" w:rsidRDefault="00F677DC" w:rsidP="00A35845">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87" style="width:2in;height:1pt" o:hrpct="0" o:hralign="center" o:hrstd="t" o:hrnoshade="t" o:hr="t" fillcolor="black [3213]" stroked="f"/>
        </w:pict>
      </w:r>
    </w:p>
    <w:p w:rsidR="00A35845" w:rsidRPr="00A35845" w:rsidRDefault="00A35845" w:rsidP="00A35845">
      <w:pPr>
        <w:tabs>
          <w:tab w:val="left" w:pos="-1440"/>
          <w:tab w:val="left" w:pos="-720"/>
        </w:tabs>
        <w:jc w:val="both"/>
        <w:rPr>
          <w:rFonts w:eastAsia="Times New Roman" w:cs="Times New Roman"/>
          <w:sz w:val="20"/>
          <w:szCs w:val="20"/>
          <w:lang w:val="fr-CA" w:eastAsia="en-CA"/>
        </w:rPr>
      </w:pPr>
    </w:p>
    <w:p w:rsidR="00A35845" w:rsidRPr="00A35845" w:rsidRDefault="00A35845" w:rsidP="00A35845">
      <w:pPr>
        <w:tabs>
          <w:tab w:val="left" w:pos="-1440"/>
          <w:tab w:val="left" w:pos="-720"/>
        </w:tabs>
        <w:jc w:val="both"/>
        <w:rPr>
          <w:rFonts w:eastAsia="Times New Roman" w:cs="Times New Roman"/>
          <w:sz w:val="20"/>
          <w:szCs w:val="20"/>
          <w:lang w:val="fr-CA" w:eastAsia="en-CA"/>
        </w:rPr>
      </w:pPr>
      <w:r w:rsidRPr="00A35845">
        <w:rPr>
          <w:rFonts w:eastAsia="Times New Roman" w:cs="Times New Roman"/>
          <w:sz w:val="20"/>
          <w:szCs w:val="20"/>
          <w:lang w:val="fr-CA" w:eastAsia="en-CA"/>
        </w:rPr>
        <w:t>02.10.2014</w:t>
      </w:r>
    </w:p>
    <w:p w:rsidR="00A35845" w:rsidRPr="00A35845" w:rsidRDefault="00A35845" w:rsidP="00A35845">
      <w:pPr>
        <w:tabs>
          <w:tab w:val="left" w:pos="-1440"/>
          <w:tab w:val="left" w:pos="-720"/>
        </w:tabs>
        <w:jc w:val="both"/>
        <w:rPr>
          <w:rFonts w:eastAsia="Times New Roman" w:cs="Times New Roman"/>
          <w:sz w:val="20"/>
          <w:szCs w:val="20"/>
          <w:lang w:val="fr-CA" w:eastAsia="en-CA"/>
        </w:rPr>
      </w:pPr>
    </w:p>
    <w:p w:rsidR="00A35845" w:rsidRPr="00A35845" w:rsidRDefault="00A35845" w:rsidP="00A35845">
      <w:pPr>
        <w:tabs>
          <w:tab w:val="left" w:pos="-1440"/>
          <w:tab w:val="left" w:pos="-720"/>
        </w:tabs>
        <w:jc w:val="both"/>
        <w:rPr>
          <w:rFonts w:eastAsia="Times New Roman" w:cs="Times New Roman"/>
          <w:sz w:val="20"/>
          <w:szCs w:val="20"/>
          <w:lang w:val="fr-CA" w:eastAsia="en-CA"/>
        </w:rPr>
      </w:pPr>
      <w:r w:rsidRPr="00A35845">
        <w:rPr>
          <w:rFonts w:eastAsia="Times New Roman" w:cs="Times New Roman"/>
          <w:sz w:val="20"/>
          <w:szCs w:val="20"/>
          <w:lang w:val="fr-CA" w:eastAsia="en-CA"/>
        </w:rPr>
        <w:t>Before / Devant:   THE REGISTRAR / LE REGISTRAIRE</w:t>
      </w:r>
    </w:p>
    <w:p w:rsidR="00A35845" w:rsidRPr="00A35845" w:rsidRDefault="00A35845" w:rsidP="00A35845">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A35845" w:rsidRPr="00A35845" w:rsidTr="00AB4E4F">
        <w:trPr>
          <w:trHeight w:val="151"/>
        </w:trPr>
        <w:tc>
          <w:tcPr>
            <w:tcW w:w="4338" w:type="dxa"/>
          </w:tcPr>
          <w:p w:rsidR="00A35845" w:rsidRPr="00A35845" w:rsidRDefault="00274132" w:rsidP="00A35845">
            <w:pPr>
              <w:tabs>
                <w:tab w:val="left" w:pos="-1440"/>
                <w:tab w:val="left" w:pos="-720"/>
              </w:tabs>
              <w:jc w:val="both"/>
              <w:rPr>
                <w:lang w:val="fr-CA"/>
              </w:rPr>
            </w:pPr>
            <w:r w:rsidRPr="00A35845">
              <w:rPr>
                <w:lang w:val="en-US"/>
              </w:rPr>
              <w:fldChar w:fldCharType="begin"/>
            </w:r>
            <w:r w:rsidR="00A35845" w:rsidRPr="00A35845">
              <w:rPr>
                <w:lang w:val="fr-CA"/>
              </w:rPr>
              <w:instrText xml:space="preserve"> SEQ CHAPTER \h \r 1</w:instrText>
            </w:r>
            <w:r w:rsidRPr="00A35845">
              <w:rPr>
                <w:lang w:val="en-US"/>
              </w:rPr>
              <w:fldChar w:fldCharType="end"/>
            </w:r>
            <w:r w:rsidR="00A35845" w:rsidRPr="00A35845">
              <w:rPr>
                <w:b/>
                <w:bCs/>
                <w:lang w:val="fr-CA"/>
              </w:rPr>
              <w:t>Miscellaneous motion</w:t>
            </w:r>
          </w:p>
          <w:p w:rsidR="00A35845" w:rsidRPr="00A35845" w:rsidRDefault="00274132" w:rsidP="00A35845">
            <w:pPr>
              <w:tabs>
                <w:tab w:val="left" w:pos="-1440"/>
                <w:tab w:val="left" w:pos="-720"/>
              </w:tabs>
              <w:jc w:val="both"/>
              <w:rPr>
                <w:lang w:val="fr-CA"/>
              </w:rPr>
            </w:pPr>
            <w:r w:rsidRPr="00A35845">
              <w:rPr>
                <w:lang w:val="en-US"/>
              </w:rPr>
              <w:fldChar w:fldCharType="begin"/>
            </w:r>
            <w:r w:rsidR="00A35845" w:rsidRPr="00A35845">
              <w:rPr>
                <w:lang w:val="fr-CA"/>
              </w:rPr>
              <w:instrText xml:space="preserve"> SEQ CHAPTER \h \r 1</w:instrText>
            </w:r>
            <w:r w:rsidRPr="00A35845">
              <w:rPr>
                <w:lang w:val="en-US"/>
              </w:rPr>
              <w:fldChar w:fldCharType="end"/>
            </w:r>
          </w:p>
        </w:tc>
        <w:tc>
          <w:tcPr>
            <w:tcW w:w="1170" w:type="dxa"/>
          </w:tcPr>
          <w:p w:rsidR="00A35845" w:rsidRPr="00A35845" w:rsidRDefault="00A35845" w:rsidP="00A35845">
            <w:pPr>
              <w:jc w:val="both"/>
              <w:rPr>
                <w:lang w:val="fr-CA"/>
              </w:rPr>
            </w:pPr>
          </w:p>
          <w:p w:rsidR="00A35845" w:rsidRPr="00A35845" w:rsidRDefault="00A35845" w:rsidP="00A35845">
            <w:pPr>
              <w:jc w:val="both"/>
              <w:rPr>
                <w:lang w:val="fr-CA"/>
              </w:rPr>
            </w:pPr>
          </w:p>
        </w:tc>
        <w:tc>
          <w:tcPr>
            <w:tcW w:w="4327" w:type="dxa"/>
          </w:tcPr>
          <w:p w:rsidR="00A35845" w:rsidRPr="00A35845" w:rsidRDefault="00274132" w:rsidP="00A35845">
            <w:pPr>
              <w:jc w:val="both"/>
              <w:rPr>
                <w:b/>
                <w:lang w:val="fr-CA"/>
              </w:rPr>
            </w:pPr>
            <w:r w:rsidRPr="00A35845">
              <w:rPr>
                <w:lang w:val="en-US"/>
              </w:rPr>
              <w:fldChar w:fldCharType="begin"/>
            </w:r>
            <w:r w:rsidR="00A35845" w:rsidRPr="00A35845">
              <w:rPr>
                <w:lang w:val="fr-CA"/>
              </w:rPr>
              <w:instrText xml:space="preserve"> SEQ CHAPTER \h \r 1</w:instrText>
            </w:r>
            <w:r w:rsidRPr="00A35845">
              <w:rPr>
                <w:lang w:val="en-US"/>
              </w:rPr>
              <w:fldChar w:fldCharType="end"/>
            </w:r>
            <w:r w:rsidR="00A35845" w:rsidRPr="00A35845">
              <w:rPr>
                <w:b/>
                <w:bCs/>
                <w:lang w:val="fr-CA"/>
              </w:rPr>
              <w:t>Requête diverse</w:t>
            </w:r>
          </w:p>
          <w:p w:rsidR="00A35845" w:rsidRPr="00A35845" w:rsidRDefault="00274132" w:rsidP="00A35845">
            <w:pPr>
              <w:jc w:val="both"/>
              <w:rPr>
                <w:b/>
                <w:lang w:val="fr-CA"/>
              </w:rPr>
            </w:pPr>
            <w:r w:rsidRPr="00A35845">
              <w:rPr>
                <w:b/>
                <w:lang w:val="en-US"/>
              </w:rPr>
              <w:fldChar w:fldCharType="begin"/>
            </w:r>
            <w:r w:rsidR="00A35845" w:rsidRPr="00A35845">
              <w:rPr>
                <w:b/>
                <w:lang w:val="fr-CA"/>
              </w:rPr>
              <w:instrText xml:space="preserve"> SEQ CHAPTER \h \r 1</w:instrText>
            </w:r>
            <w:r w:rsidRPr="00A35845">
              <w:rPr>
                <w:b/>
                <w:lang w:val="en-US"/>
              </w:rPr>
              <w:fldChar w:fldCharType="end"/>
            </w:r>
            <w:r w:rsidRPr="00A35845">
              <w:rPr>
                <w:b/>
                <w:lang w:val="en-US"/>
              </w:rPr>
              <w:fldChar w:fldCharType="begin"/>
            </w:r>
            <w:r w:rsidR="00A35845" w:rsidRPr="00A35845">
              <w:rPr>
                <w:b/>
                <w:lang w:val="fr-CA"/>
              </w:rPr>
              <w:instrText xml:space="preserve"> SEQ CHAPTER \h \r 1</w:instrText>
            </w:r>
            <w:r w:rsidRPr="00A35845">
              <w:rPr>
                <w:b/>
                <w:lang w:val="en-US"/>
              </w:rPr>
              <w:fldChar w:fldCharType="end"/>
            </w:r>
          </w:p>
        </w:tc>
      </w:tr>
      <w:tr w:rsidR="00A35845" w:rsidRPr="00A35845" w:rsidTr="00AB4E4F">
        <w:trPr>
          <w:trHeight w:val="150"/>
        </w:trPr>
        <w:tc>
          <w:tcPr>
            <w:tcW w:w="4338" w:type="dxa"/>
          </w:tcPr>
          <w:p w:rsidR="00A35845" w:rsidRPr="00A35845" w:rsidRDefault="00A35845" w:rsidP="00A35845">
            <w:pPr>
              <w:tabs>
                <w:tab w:val="left" w:pos="-1440"/>
                <w:tab w:val="left" w:pos="-720"/>
              </w:tabs>
              <w:jc w:val="both"/>
            </w:pPr>
            <w:r w:rsidRPr="00A35845">
              <w:t>Joseph Ryan Lloyd</w:t>
            </w:r>
          </w:p>
          <w:p w:rsidR="00A35845" w:rsidRPr="00A35845" w:rsidRDefault="00A35845" w:rsidP="00A35845">
            <w:pPr>
              <w:tabs>
                <w:tab w:val="left" w:pos="-1440"/>
                <w:tab w:val="left" w:pos="-720"/>
              </w:tabs>
              <w:jc w:val="both"/>
            </w:pPr>
          </w:p>
          <w:p w:rsidR="00A35845" w:rsidRPr="00A35845" w:rsidRDefault="00A35845" w:rsidP="00A35845">
            <w:pPr>
              <w:tabs>
                <w:tab w:val="left" w:pos="-1440"/>
                <w:tab w:val="left" w:pos="-720"/>
              </w:tabs>
              <w:jc w:val="both"/>
            </w:pPr>
            <w:r w:rsidRPr="00A35845">
              <w:tab/>
              <w:t>v. (35982)</w:t>
            </w:r>
          </w:p>
          <w:p w:rsidR="00A35845" w:rsidRPr="00A35845" w:rsidRDefault="00A35845" w:rsidP="00A35845">
            <w:pPr>
              <w:tabs>
                <w:tab w:val="left" w:pos="-1440"/>
                <w:tab w:val="left" w:pos="-720"/>
              </w:tabs>
              <w:jc w:val="both"/>
            </w:pPr>
          </w:p>
          <w:p w:rsidR="00A35845" w:rsidRPr="00A35845" w:rsidRDefault="00A35845" w:rsidP="00A35845">
            <w:pPr>
              <w:tabs>
                <w:tab w:val="left" w:pos="-1440"/>
                <w:tab w:val="left" w:pos="-720"/>
              </w:tabs>
              <w:jc w:val="both"/>
            </w:pPr>
            <w:r w:rsidRPr="00A35845">
              <w:t>Her Majesty the Queen (Crim.) (B.C.)</w:t>
            </w:r>
          </w:p>
        </w:tc>
        <w:tc>
          <w:tcPr>
            <w:tcW w:w="1170" w:type="dxa"/>
          </w:tcPr>
          <w:p w:rsidR="00A35845" w:rsidRPr="00A35845" w:rsidRDefault="00A35845" w:rsidP="00A35845">
            <w:pPr>
              <w:jc w:val="both"/>
            </w:pPr>
          </w:p>
        </w:tc>
        <w:tc>
          <w:tcPr>
            <w:tcW w:w="4327" w:type="dxa"/>
          </w:tcPr>
          <w:p w:rsidR="00A35845" w:rsidRPr="00A35845" w:rsidRDefault="00A35845" w:rsidP="00A35845">
            <w:pPr>
              <w:jc w:val="both"/>
            </w:pPr>
          </w:p>
        </w:tc>
      </w:tr>
    </w:tbl>
    <w:p w:rsidR="00A35845" w:rsidRPr="00A35845" w:rsidRDefault="00A35845" w:rsidP="00A35845">
      <w:pPr>
        <w:jc w:val="both"/>
        <w:rPr>
          <w:rFonts w:eastAsia="Times New Roman" w:cs="Times New Roman"/>
          <w:sz w:val="20"/>
          <w:szCs w:val="20"/>
          <w:lang w:eastAsia="en-CA"/>
        </w:rPr>
      </w:pPr>
    </w:p>
    <w:p w:rsidR="00A35845" w:rsidRPr="00A35845" w:rsidRDefault="00A35845" w:rsidP="00A35845">
      <w:pPr>
        <w:tabs>
          <w:tab w:val="left" w:pos="-1440"/>
          <w:tab w:val="left" w:pos="-720"/>
        </w:tabs>
        <w:jc w:val="both"/>
        <w:rPr>
          <w:rFonts w:eastAsia="Times New Roman" w:cs="Times New Roman"/>
          <w:b/>
          <w:sz w:val="20"/>
          <w:szCs w:val="20"/>
          <w:lang w:eastAsia="en-CA"/>
        </w:rPr>
      </w:pPr>
      <w:r w:rsidRPr="00A35845">
        <w:rPr>
          <w:rFonts w:eastAsia="Times New Roman" w:cs="Times New Roman"/>
          <w:b/>
          <w:sz w:val="20"/>
          <w:szCs w:val="20"/>
          <w:lang w:eastAsia="en-CA"/>
        </w:rPr>
        <w:t>GRANTED / ACCORDÉE</w:t>
      </w:r>
    </w:p>
    <w:p w:rsidR="00A35845" w:rsidRPr="00A35845" w:rsidRDefault="00A35845" w:rsidP="00A35845">
      <w:pPr>
        <w:jc w:val="both"/>
        <w:rPr>
          <w:rFonts w:eastAsia="Times New Roman" w:cs="Times New Roman"/>
          <w:sz w:val="20"/>
          <w:szCs w:val="20"/>
          <w:lang w:eastAsia="en-CA"/>
        </w:rPr>
      </w:pPr>
    </w:p>
    <w:p w:rsidR="00A35845" w:rsidRPr="00A35845" w:rsidRDefault="00A35845" w:rsidP="00A35845">
      <w:pPr>
        <w:jc w:val="both"/>
        <w:rPr>
          <w:rFonts w:eastAsia="Times New Roman" w:cs="Times New Roman"/>
          <w:sz w:val="20"/>
          <w:szCs w:val="20"/>
          <w:lang w:val="en-US" w:eastAsia="en-CA"/>
        </w:rPr>
      </w:pPr>
      <w:r w:rsidRPr="00A35845">
        <w:rPr>
          <w:rFonts w:eastAsia="Times New Roman" w:cs="Times New Roman"/>
          <w:b/>
          <w:sz w:val="20"/>
          <w:szCs w:val="20"/>
          <w:lang w:val="en-US" w:eastAsia="en-CA"/>
        </w:rPr>
        <w:t>UPON APPLICATION</w:t>
      </w:r>
      <w:r w:rsidRPr="00A35845">
        <w:rPr>
          <w:rFonts w:eastAsia="Times New Roman" w:cs="Times New Roman"/>
          <w:sz w:val="20"/>
          <w:szCs w:val="20"/>
          <w:lang w:val="en-US" w:eastAsia="en-CA"/>
        </w:rPr>
        <w:t xml:space="preserve"> </w:t>
      </w:r>
      <w:r w:rsidR="00274132" w:rsidRPr="00A35845">
        <w:rPr>
          <w:rFonts w:eastAsia="Times New Roman" w:cs="Times New Roman"/>
          <w:sz w:val="20"/>
          <w:szCs w:val="20"/>
          <w:lang w:val="en-US" w:eastAsia="en-CA"/>
        </w:rPr>
        <w:fldChar w:fldCharType="begin"/>
      </w:r>
      <w:r w:rsidRPr="00A35845">
        <w:rPr>
          <w:rFonts w:eastAsia="Times New Roman" w:cs="Times New Roman"/>
          <w:sz w:val="20"/>
          <w:szCs w:val="20"/>
          <w:lang w:val="en-US" w:eastAsia="en-CA"/>
        </w:rPr>
        <w:instrText xml:space="preserve"> SEQ CHAPTER \h \r 1</w:instrText>
      </w:r>
      <w:r w:rsidR="00274132" w:rsidRPr="00A35845">
        <w:rPr>
          <w:rFonts w:eastAsia="Times New Roman" w:cs="Times New Roman"/>
          <w:sz w:val="20"/>
          <w:szCs w:val="20"/>
          <w:lang w:val="en-US" w:eastAsia="en-CA"/>
        </w:rPr>
        <w:fldChar w:fldCharType="end"/>
      </w:r>
      <w:r w:rsidRPr="00A35845">
        <w:rPr>
          <w:rFonts w:eastAsia="Times New Roman" w:cs="Times New Roman"/>
          <w:sz w:val="20"/>
          <w:szCs w:val="20"/>
          <w:lang w:val="en-US" w:eastAsia="en-CA"/>
        </w:rPr>
        <w:t xml:space="preserve">on behalf of the applicant pursuant to the provisions of Rule 32(2) for an Order to file additional material, namely, the Ontario Court of Justice decision </w:t>
      </w:r>
      <w:r w:rsidRPr="00A35845">
        <w:rPr>
          <w:rFonts w:eastAsia="Times New Roman" w:cs="Times New Roman"/>
          <w:i/>
          <w:sz w:val="20"/>
          <w:szCs w:val="20"/>
          <w:lang w:val="en-US" w:eastAsia="en-CA"/>
        </w:rPr>
        <w:t>R. v. Sharkey</w:t>
      </w:r>
      <w:r w:rsidRPr="00A35845">
        <w:rPr>
          <w:rFonts w:eastAsia="Times New Roman" w:cs="Times New Roman"/>
          <w:sz w:val="20"/>
          <w:szCs w:val="20"/>
          <w:lang w:val="en-US" w:eastAsia="en-CA"/>
        </w:rPr>
        <w:t>, 2014 ONCJ 437;</w:t>
      </w:r>
    </w:p>
    <w:p w:rsidR="00A35845" w:rsidRPr="00A35845" w:rsidRDefault="00A35845" w:rsidP="00A35845">
      <w:pPr>
        <w:jc w:val="both"/>
        <w:rPr>
          <w:rFonts w:eastAsia="Times New Roman" w:cs="Times New Roman"/>
          <w:sz w:val="20"/>
          <w:szCs w:val="20"/>
          <w:lang w:val="en-US" w:eastAsia="en-CA"/>
        </w:rPr>
      </w:pPr>
    </w:p>
    <w:p w:rsidR="00A35845" w:rsidRPr="00A35845" w:rsidRDefault="00274132" w:rsidP="00A35845">
      <w:pPr>
        <w:jc w:val="both"/>
        <w:rPr>
          <w:rFonts w:eastAsia="Times New Roman" w:cs="Times New Roman"/>
          <w:sz w:val="20"/>
          <w:szCs w:val="20"/>
          <w:lang w:val="en-US" w:eastAsia="en-CA"/>
        </w:rPr>
      </w:pPr>
      <w:r w:rsidRPr="00A35845">
        <w:rPr>
          <w:rFonts w:eastAsia="Times New Roman" w:cs="Times New Roman"/>
          <w:sz w:val="20"/>
          <w:szCs w:val="20"/>
          <w:lang w:val="en-US" w:eastAsia="en-CA"/>
        </w:rPr>
        <w:fldChar w:fldCharType="begin"/>
      </w:r>
      <w:r w:rsidR="00A35845" w:rsidRPr="00A35845">
        <w:rPr>
          <w:rFonts w:eastAsia="Times New Roman" w:cs="Times New Roman"/>
          <w:sz w:val="20"/>
          <w:szCs w:val="20"/>
          <w:lang w:val="en-US" w:eastAsia="en-CA"/>
        </w:rPr>
        <w:instrText xml:space="preserve"> SEQ CHAPTER \h \r 1</w:instrText>
      </w:r>
      <w:r w:rsidRPr="00A35845">
        <w:rPr>
          <w:rFonts w:eastAsia="Times New Roman" w:cs="Times New Roman"/>
          <w:sz w:val="20"/>
          <w:szCs w:val="20"/>
          <w:lang w:val="en-US" w:eastAsia="en-CA"/>
        </w:rPr>
        <w:fldChar w:fldCharType="end"/>
      </w:r>
      <w:r w:rsidR="00A35845" w:rsidRPr="00A35845">
        <w:rPr>
          <w:rFonts w:eastAsia="Times New Roman" w:cs="Times New Roman"/>
          <w:b/>
          <w:bCs/>
          <w:sz w:val="20"/>
          <w:szCs w:val="20"/>
          <w:lang w:val="en-US" w:eastAsia="en-CA"/>
        </w:rPr>
        <w:t>AND HAVING READ</w:t>
      </w:r>
      <w:r w:rsidR="00A35845" w:rsidRPr="00A35845">
        <w:rPr>
          <w:rFonts w:eastAsia="Times New Roman" w:cs="Times New Roman"/>
          <w:sz w:val="20"/>
          <w:szCs w:val="20"/>
          <w:lang w:val="en-US" w:eastAsia="en-CA"/>
        </w:rPr>
        <w:t xml:space="preserve"> the material filed;</w:t>
      </w:r>
    </w:p>
    <w:p w:rsidR="00A35845" w:rsidRPr="00A35845" w:rsidRDefault="00A35845" w:rsidP="00A35845">
      <w:pPr>
        <w:jc w:val="both"/>
        <w:rPr>
          <w:rFonts w:eastAsia="Times New Roman" w:cs="Times New Roman"/>
          <w:sz w:val="20"/>
          <w:szCs w:val="20"/>
          <w:lang w:val="en-US" w:eastAsia="en-CA"/>
        </w:rPr>
      </w:pPr>
      <w:r w:rsidRPr="00A35845">
        <w:rPr>
          <w:rFonts w:eastAsia="Times New Roman" w:cs="Times New Roman"/>
          <w:sz w:val="20"/>
          <w:szCs w:val="20"/>
          <w:lang w:val="en-US" w:eastAsia="en-CA"/>
        </w:rPr>
        <w:t xml:space="preserve"> </w:t>
      </w:r>
    </w:p>
    <w:p w:rsidR="00A35845" w:rsidRPr="00A35845" w:rsidRDefault="00A35845" w:rsidP="00A35845">
      <w:pPr>
        <w:jc w:val="both"/>
        <w:rPr>
          <w:rFonts w:eastAsia="Times New Roman" w:cs="Times New Roman"/>
          <w:b/>
          <w:sz w:val="20"/>
          <w:szCs w:val="20"/>
          <w:lang w:val="en-US" w:eastAsia="en-CA"/>
        </w:rPr>
      </w:pPr>
      <w:r w:rsidRPr="00A35845">
        <w:rPr>
          <w:rFonts w:eastAsia="Times New Roman" w:cs="Times New Roman"/>
          <w:b/>
          <w:sz w:val="20"/>
          <w:szCs w:val="20"/>
          <w:lang w:val="en-US" w:eastAsia="en-CA"/>
        </w:rPr>
        <w:t>IT IS HEREBY ORDERED THAT:</w:t>
      </w:r>
    </w:p>
    <w:p w:rsidR="00A35845" w:rsidRPr="00A35845" w:rsidRDefault="00A35845" w:rsidP="00A35845">
      <w:pPr>
        <w:ind w:left="360"/>
        <w:contextualSpacing/>
        <w:jc w:val="both"/>
        <w:rPr>
          <w:sz w:val="20"/>
          <w:szCs w:val="20"/>
        </w:rPr>
      </w:pPr>
    </w:p>
    <w:p w:rsidR="00A35845" w:rsidRPr="00A35845" w:rsidRDefault="00A35845" w:rsidP="00A35845">
      <w:pPr>
        <w:jc w:val="both"/>
        <w:rPr>
          <w:rFonts w:eastAsia="Times New Roman" w:cs="Times New Roman"/>
          <w:sz w:val="20"/>
          <w:szCs w:val="20"/>
          <w:lang w:val="fr-CA" w:eastAsia="en-CA"/>
        </w:rPr>
      </w:pPr>
      <w:r w:rsidRPr="00A35845">
        <w:rPr>
          <w:rFonts w:eastAsia="Times New Roman" w:cs="Times New Roman"/>
          <w:sz w:val="20"/>
          <w:szCs w:val="20"/>
          <w:lang w:val="fr-CA" w:eastAsia="en-CA"/>
        </w:rPr>
        <w:t>The motion is granted.</w:t>
      </w:r>
    </w:p>
    <w:p w:rsidR="00A35845" w:rsidRPr="00A35845" w:rsidRDefault="00A35845" w:rsidP="00A35845">
      <w:pPr>
        <w:jc w:val="both"/>
        <w:rPr>
          <w:rFonts w:eastAsia="Times New Roman" w:cs="Times New Roman"/>
          <w:sz w:val="20"/>
          <w:szCs w:val="20"/>
          <w:lang w:val="fr-CA" w:eastAsia="en-CA"/>
        </w:rPr>
      </w:pPr>
    </w:p>
    <w:p w:rsidR="00A35845" w:rsidRPr="00A35845" w:rsidRDefault="00A35845" w:rsidP="00A35845">
      <w:pPr>
        <w:jc w:val="both"/>
        <w:rPr>
          <w:rFonts w:eastAsia="Times New Roman" w:cs="Times New Roman"/>
          <w:sz w:val="20"/>
          <w:szCs w:val="20"/>
          <w:lang w:val="fr-CA" w:eastAsia="en-CA"/>
        </w:rPr>
      </w:pPr>
    </w:p>
    <w:p w:rsidR="00A35845" w:rsidRPr="00A35845" w:rsidRDefault="00A35845" w:rsidP="00A35845">
      <w:pPr>
        <w:jc w:val="both"/>
        <w:rPr>
          <w:rFonts w:eastAsia="Times New Roman" w:cs="Times New Roman"/>
          <w:sz w:val="20"/>
          <w:szCs w:val="20"/>
          <w:lang w:val="fr-CA" w:eastAsia="en-CA"/>
        </w:rPr>
      </w:pPr>
    </w:p>
    <w:p w:rsidR="00A35845" w:rsidRPr="00A35845" w:rsidRDefault="00A35845" w:rsidP="00A35845">
      <w:pPr>
        <w:jc w:val="both"/>
        <w:rPr>
          <w:rFonts w:eastAsia="Times New Roman" w:cs="Times New Roman"/>
          <w:sz w:val="20"/>
          <w:szCs w:val="20"/>
          <w:lang w:val="fr-CA" w:eastAsia="en-CA"/>
        </w:rPr>
      </w:pPr>
      <w:r w:rsidRPr="00A35845">
        <w:rPr>
          <w:rFonts w:eastAsia="Times New Roman" w:cs="Times New Roman"/>
          <w:b/>
          <w:sz w:val="20"/>
          <w:szCs w:val="20"/>
          <w:lang w:val="fr-CA" w:eastAsia="en-CA"/>
        </w:rPr>
        <w:t xml:space="preserve">À LA SUITE DE LA REQUÊTE </w:t>
      </w:r>
      <w:r w:rsidRPr="00A35845">
        <w:rPr>
          <w:rFonts w:eastAsia="Times New Roman" w:cs="Times New Roman"/>
          <w:sz w:val="20"/>
          <w:szCs w:val="20"/>
          <w:lang w:val="fr-CA" w:eastAsia="en-CA"/>
        </w:rPr>
        <w:t xml:space="preserve">présentée au nom du demandeur en vertu du par. 32(2) des </w:t>
      </w:r>
      <w:r w:rsidRPr="00A35845">
        <w:rPr>
          <w:rFonts w:eastAsia="Times New Roman" w:cs="Times New Roman"/>
          <w:i/>
          <w:sz w:val="20"/>
          <w:szCs w:val="20"/>
          <w:lang w:val="fr-CA" w:eastAsia="en-CA"/>
        </w:rPr>
        <w:t>Règles de la Cour suprême du Canada</w:t>
      </w:r>
      <w:r w:rsidRPr="00A35845">
        <w:rPr>
          <w:rFonts w:eastAsia="Times New Roman" w:cs="Times New Roman"/>
          <w:sz w:val="20"/>
          <w:szCs w:val="20"/>
          <w:lang w:val="fr-CA" w:eastAsia="en-CA"/>
        </w:rPr>
        <w:t xml:space="preserve"> en vue d’obtenir l’autorisation de déposer des documents supplémentaires, à savoir le jugement de la Cour de justice de l’Ontario dans l’affaire </w:t>
      </w:r>
      <w:r w:rsidR="00274132" w:rsidRPr="00A35845">
        <w:rPr>
          <w:rFonts w:eastAsia="Times New Roman" w:cs="Times New Roman"/>
          <w:sz w:val="20"/>
          <w:szCs w:val="20"/>
          <w:lang w:val="en-US" w:eastAsia="en-CA"/>
        </w:rPr>
        <w:fldChar w:fldCharType="begin"/>
      </w:r>
      <w:r w:rsidRPr="00A35845">
        <w:rPr>
          <w:rFonts w:eastAsia="Times New Roman" w:cs="Times New Roman"/>
          <w:sz w:val="20"/>
          <w:szCs w:val="20"/>
          <w:lang w:val="fr-CA" w:eastAsia="en-CA"/>
        </w:rPr>
        <w:instrText xml:space="preserve"> SEQ CHAPTER \h \r 1</w:instrText>
      </w:r>
      <w:r w:rsidR="00274132" w:rsidRPr="00A35845">
        <w:rPr>
          <w:rFonts w:eastAsia="Times New Roman" w:cs="Times New Roman"/>
          <w:sz w:val="20"/>
          <w:szCs w:val="20"/>
          <w:lang w:val="en-US" w:eastAsia="en-CA"/>
        </w:rPr>
        <w:fldChar w:fldCharType="end"/>
      </w:r>
      <w:r w:rsidRPr="00A35845">
        <w:rPr>
          <w:rFonts w:eastAsia="Times New Roman" w:cs="Times New Roman"/>
          <w:i/>
          <w:sz w:val="20"/>
          <w:szCs w:val="20"/>
          <w:lang w:val="fr-CA" w:eastAsia="en-CA"/>
        </w:rPr>
        <w:t>R. c. Sharkey</w:t>
      </w:r>
      <w:r w:rsidRPr="00A35845">
        <w:rPr>
          <w:rFonts w:eastAsia="Times New Roman" w:cs="Times New Roman"/>
          <w:sz w:val="20"/>
          <w:szCs w:val="20"/>
          <w:lang w:val="fr-CA" w:eastAsia="en-CA"/>
        </w:rPr>
        <w:t>, 2014 ONCJ 437;</w:t>
      </w:r>
    </w:p>
    <w:p w:rsidR="00A35845" w:rsidRPr="00A35845" w:rsidRDefault="00A35845" w:rsidP="00A35845">
      <w:pPr>
        <w:jc w:val="both"/>
        <w:rPr>
          <w:rFonts w:eastAsia="Times New Roman" w:cs="Times New Roman"/>
          <w:sz w:val="20"/>
          <w:szCs w:val="20"/>
          <w:lang w:val="fr-CA" w:eastAsia="en-CA"/>
        </w:rPr>
      </w:pPr>
    </w:p>
    <w:p w:rsidR="00A35845" w:rsidRPr="00A35845" w:rsidRDefault="00A35845" w:rsidP="00A35845">
      <w:pPr>
        <w:jc w:val="both"/>
        <w:rPr>
          <w:rFonts w:eastAsia="Times New Roman" w:cs="Times New Roman"/>
          <w:sz w:val="20"/>
          <w:szCs w:val="20"/>
          <w:lang w:val="fr-CA" w:eastAsia="en-CA"/>
        </w:rPr>
      </w:pPr>
      <w:r w:rsidRPr="00A35845">
        <w:rPr>
          <w:rFonts w:eastAsia="Times New Roman" w:cs="Times New Roman"/>
          <w:b/>
          <w:sz w:val="20"/>
          <w:szCs w:val="20"/>
          <w:lang w:val="fr-CA" w:eastAsia="en-CA"/>
        </w:rPr>
        <w:t>ET APRÈS EXAMEN</w:t>
      </w:r>
      <w:r w:rsidR="00274132" w:rsidRPr="00A35845">
        <w:rPr>
          <w:rFonts w:eastAsia="Times New Roman" w:cs="Times New Roman"/>
          <w:sz w:val="20"/>
          <w:szCs w:val="20"/>
          <w:lang w:val="en-US" w:eastAsia="en-CA"/>
        </w:rPr>
        <w:fldChar w:fldCharType="begin"/>
      </w:r>
      <w:r w:rsidRPr="00A35845">
        <w:rPr>
          <w:rFonts w:eastAsia="Times New Roman" w:cs="Times New Roman"/>
          <w:sz w:val="20"/>
          <w:szCs w:val="20"/>
          <w:lang w:val="fr-CA" w:eastAsia="en-CA"/>
        </w:rPr>
        <w:instrText xml:space="preserve"> SEQ CHAPTER \h \r 1</w:instrText>
      </w:r>
      <w:r w:rsidR="00274132" w:rsidRPr="00A35845">
        <w:rPr>
          <w:rFonts w:eastAsia="Times New Roman" w:cs="Times New Roman"/>
          <w:sz w:val="20"/>
          <w:szCs w:val="20"/>
          <w:lang w:val="en-US" w:eastAsia="en-CA"/>
        </w:rPr>
        <w:fldChar w:fldCharType="end"/>
      </w:r>
      <w:r w:rsidRPr="00A35845">
        <w:rPr>
          <w:rFonts w:eastAsia="Times New Roman" w:cs="Times New Roman"/>
          <w:sz w:val="20"/>
          <w:szCs w:val="20"/>
          <w:lang w:val="fr-CA" w:eastAsia="en-CA"/>
        </w:rPr>
        <w:t xml:space="preserve"> des documents déposés;</w:t>
      </w:r>
    </w:p>
    <w:p w:rsidR="00A35845" w:rsidRPr="00A35845" w:rsidRDefault="00A35845" w:rsidP="00A35845">
      <w:pPr>
        <w:jc w:val="both"/>
        <w:rPr>
          <w:rFonts w:eastAsia="Times New Roman" w:cs="Times New Roman"/>
          <w:sz w:val="20"/>
          <w:szCs w:val="20"/>
          <w:lang w:val="fr-CA" w:eastAsia="en-CA"/>
        </w:rPr>
      </w:pPr>
    </w:p>
    <w:p w:rsidR="00A35845" w:rsidRPr="00A35845" w:rsidRDefault="00A35845" w:rsidP="00A35845">
      <w:pPr>
        <w:jc w:val="both"/>
        <w:rPr>
          <w:rFonts w:eastAsia="Times New Roman" w:cs="Times New Roman"/>
          <w:b/>
          <w:sz w:val="20"/>
          <w:szCs w:val="20"/>
          <w:lang w:val="fr-CA" w:eastAsia="en-CA"/>
        </w:rPr>
      </w:pPr>
      <w:r w:rsidRPr="00A35845">
        <w:rPr>
          <w:rFonts w:eastAsia="Times New Roman" w:cs="Times New Roman"/>
          <w:b/>
          <w:sz w:val="20"/>
          <w:szCs w:val="20"/>
          <w:lang w:val="fr-CA" w:eastAsia="en-CA"/>
        </w:rPr>
        <w:t>IL EST ORDONNÉ CE QUI SUIT :</w:t>
      </w:r>
    </w:p>
    <w:p w:rsidR="00A35845" w:rsidRPr="00A35845" w:rsidRDefault="00A35845" w:rsidP="00A35845">
      <w:pPr>
        <w:ind w:left="360"/>
        <w:contextualSpacing/>
        <w:jc w:val="both"/>
        <w:rPr>
          <w:sz w:val="20"/>
          <w:szCs w:val="20"/>
          <w:lang w:val="fr-CA"/>
        </w:rPr>
      </w:pPr>
    </w:p>
    <w:p w:rsidR="00A35845" w:rsidRPr="00A35845" w:rsidRDefault="00A35845" w:rsidP="00A35845">
      <w:pPr>
        <w:jc w:val="both"/>
        <w:rPr>
          <w:rFonts w:eastAsia="Times New Roman" w:cs="Times New Roman"/>
          <w:sz w:val="20"/>
          <w:szCs w:val="20"/>
          <w:lang w:val="fr-CA" w:eastAsia="en-CA"/>
        </w:rPr>
      </w:pPr>
      <w:r w:rsidRPr="00A35845">
        <w:rPr>
          <w:rFonts w:eastAsia="Times New Roman" w:cs="Times New Roman"/>
          <w:sz w:val="20"/>
          <w:szCs w:val="20"/>
          <w:lang w:val="fr-CA" w:eastAsia="en-CA"/>
        </w:rPr>
        <w:t>La requête est accueillie.</w:t>
      </w:r>
    </w:p>
    <w:p w:rsidR="00A35845" w:rsidRPr="00A35845" w:rsidRDefault="00A35845" w:rsidP="00A35845">
      <w:pPr>
        <w:jc w:val="both"/>
        <w:rPr>
          <w:rFonts w:eastAsia="Times New Roman" w:cs="Times New Roman"/>
          <w:sz w:val="20"/>
          <w:szCs w:val="20"/>
          <w:lang w:eastAsia="en-CA"/>
        </w:rPr>
      </w:pPr>
    </w:p>
    <w:p w:rsidR="00A35845" w:rsidRPr="00A35845" w:rsidRDefault="00F677DC" w:rsidP="00A35845">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88" style="width:2in;height:1pt" o:hrpct="0" o:hralign="center" o:hrstd="t" o:hrnoshade="t" o:hr="t" fillcolor="black [3213]" stroked="f"/>
        </w:pict>
      </w:r>
    </w:p>
    <w:p w:rsidR="00A35845" w:rsidRPr="00A35845" w:rsidRDefault="00A35845" w:rsidP="00A35845">
      <w:pPr>
        <w:tabs>
          <w:tab w:val="left" w:pos="-1440"/>
          <w:tab w:val="left" w:pos="-720"/>
        </w:tabs>
        <w:jc w:val="both"/>
        <w:rPr>
          <w:rFonts w:eastAsia="Times New Roman" w:cs="Times New Roman"/>
          <w:sz w:val="20"/>
          <w:szCs w:val="20"/>
          <w:lang w:val="fr-CA" w:eastAsia="en-CA"/>
        </w:rPr>
      </w:pPr>
    </w:p>
    <w:p w:rsidR="00A35845" w:rsidRPr="00A35845" w:rsidRDefault="00A35845" w:rsidP="00A35845">
      <w:pPr>
        <w:tabs>
          <w:tab w:val="left" w:pos="-1440"/>
          <w:tab w:val="left" w:pos="-720"/>
        </w:tabs>
        <w:jc w:val="both"/>
        <w:rPr>
          <w:rFonts w:eastAsia="Times New Roman" w:cs="Times New Roman"/>
          <w:sz w:val="20"/>
          <w:szCs w:val="20"/>
          <w:lang w:val="fr-CA" w:eastAsia="en-CA"/>
        </w:rPr>
      </w:pPr>
      <w:r w:rsidRPr="00A35845">
        <w:rPr>
          <w:rFonts w:eastAsia="Times New Roman" w:cs="Times New Roman"/>
          <w:sz w:val="20"/>
          <w:szCs w:val="20"/>
          <w:lang w:val="fr-CA" w:eastAsia="en-CA"/>
        </w:rPr>
        <w:t>02.10.2014</w:t>
      </w:r>
    </w:p>
    <w:p w:rsidR="00A35845" w:rsidRPr="00A35845" w:rsidRDefault="00A35845" w:rsidP="00A35845">
      <w:pPr>
        <w:tabs>
          <w:tab w:val="left" w:pos="-1440"/>
          <w:tab w:val="left" w:pos="-720"/>
        </w:tabs>
        <w:jc w:val="both"/>
        <w:rPr>
          <w:rFonts w:eastAsia="Times New Roman" w:cs="Times New Roman"/>
          <w:sz w:val="20"/>
          <w:szCs w:val="20"/>
          <w:lang w:val="fr-CA" w:eastAsia="en-CA"/>
        </w:rPr>
      </w:pPr>
    </w:p>
    <w:p w:rsidR="00A35845" w:rsidRPr="00A35845" w:rsidRDefault="00A35845" w:rsidP="00A35845">
      <w:pPr>
        <w:tabs>
          <w:tab w:val="left" w:pos="-1440"/>
          <w:tab w:val="left" w:pos="-720"/>
        </w:tabs>
        <w:jc w:val="both"/>
        <w:rPr>
          <w:rFonts w:eastAsia="Times New Roman" w:cs="Times New Roman"/>
          <w:sz w:val="20"/>
          <w:szCs w:val="20"/>
          <w:lang w:val="fr-CA" w:eastAsia="en-CA"/>
        </w:rPr>
      </w:pPr>
      <w:r w:rsidRPr="00A35845">
        <w:rPr>
          <w:rFonts w:eastAsia="Times New Roman" w:cs="Times New Roman"/>
          <w:sz w:val="20"/>
          <w:szCs w:val="20"/>
          <w:lang w:val="fr-CA" w:eastAsia="en-CA"/>
        </w:rPr>
        <w:t>Before / Devant :   KARAKATSANIS J. / LA JUGE KARAKATSANIS</w:t>
      </w:r>
    </w:p>
    <w:p w:rsidR="00A35845" w:rsidRPr="00A35845" w:rsidRDefault="00A35845" w:rsidP="00A35845">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A35845" w:rsidRPr="00DA7379" w:rsidTr="00AB4E4F">
        <w:tc>
          <w:tcPr>
            <w:tcW w:w="4338" w:type="dxa"/>
          </w:tcPr>
          <w:p w:rsidR="00A35845" w:rsidRPr="00A35845" w:rsidRDefault="00274132" w:rsidP="00A35845">
            <w:pPr>
              <w:tabs>
                <w:tab w:val="left" w:pos="-1440"/>
                <w:tab w:val="left" w:pos="-720"/>
              </w:tabs>
              <w:jc w:val="both"/>
              <w:rPr>
                <w:b/>
              </w:rPr>
            </w:pPr>
            <w:r w:rsidRPr="00A35845">
              <w:rPr>
                <w:szCs w:val="24"/>
                <w:lang w:val="en-US"/>
              </w:rPr>
              <w:fldChar w:fldCharType="begin"/>
            </w:r>
            <w:r w:rsidR="00A35845" w:rsidRPr="00A35845">
              <w:rPr>
                <w:szCs w:val="24"/>
                <w:lang w:val="en-US"/>
              </w:rPr>
              <w:instrText xml:space="preserve"> SEQ CHAPTER \h \r 1</w:instrText>
            </w:r>
            <w:r w:rsidRPr="00A35845">
              <w:rPr>
                <w:szCs w:val="24"/>
                <w:lang w:val="en-US"/>
              </w:rPr>
              <w:fldChar w:fldCharType="end"/>
            </w:r>
            <w:r w:rsidR="00A35845" w:rsidRPr="00A35845">
              <w:rPr>
                <w:b/>
                <w:bCs/>
                <w:lang w:val="en-US"/>
              </w:rPr>
              <w:t>Motion to extend time to serve and file a reply factum and book of authorities to September 5, 2014</w:t>
            </w:r>
          </w:p>
        </w:tc>
        <w:tc>
          <w:tcPr>
            <w:tcW w:w="1170" w:type="dxa"/>
          </w:tcPr>
          <w:p w:rsidR="00A35845" w:rsidRPr="00A35845" w:rsidRDefault="00A35845" w:rsidP="00A35845">
            <w:pPr>
              <w:tabs>
                <w:tab w:val="left" w:pos="-1440"/>
                <w:tab w:val="left" w:pos="-720"/>
              </w:tabs>
              <w:jc w:val="both"/>
            </w:pPr>
          </w:p>
          <w:p w:rsidR="00A35845" w:rsidRPr="00A35845" w:rsidRDefault="00A35845" w:rsidP="00A35845">
            <w:pPr>
              <w:tabs>
                <w:tab w:val="left" w:pos="-1440"/>
                <w:tab w:val="left" w:pos="-720"/>
              </w:tabs>
              <w:jc w:val="both"/>
            </w:pPr>
          </w:p>
          <w:p w:rsidR="00A35845" w:rsidRPr="00A35845" w:rsidRDefault="00A35845" w:rsidP="00A35845">
            <w:pPr>
              <w:tabs>
                <w:tab w:val="left" w:pos="-1440"/>
                <w:tab w:val="left" w:pos="-720"/>
              </w:tabs>
              <w:jc w:val="both"/>
            </w:pPr>
          </w:p>
          <w:p w:rsidR="00A35845" w:rsidRPr="00A35845" w:rsidRDefault="00A35845" w:rsidP="00A35845">
            <w:pPr>
              <w:tabs>
                <w:tab w:val="left" w:pos="-1440"/>
                <w:tab w:val="left" w:pos="-720"/>
              </w:tabs>
              <w:jc w:val="both"/>
            </w:pPr>
          </w:p>
        </w:tc>
        <w:tc>
          <w:tcPr>
            <w:tcW w:w="4327" w:type="dxa"/>
          </w:tcPr>
          <w:p w:rsidR="00A35845" w:rsidRPr="00A35845" w:rsidRDefault="00A35845" w:rsidP="00A35845">
            <w:pPr>
              <w:tabs>
                <w:tab w:val="left" w:pos="-1440"/>
                <w:tab w:val="left" w:pos="-720"/>
              </w:tabs>
              <w:jc w:val="both"/>
              <w:rPr>
                <w:lang w:val="fr-CA"/>
              </w:rPr>
            </w:pPr>
            <w:r w:rsidRPr="00A35845">
              <w:rPr>
                <w:b/>
                <w:bCs/>
                <w:color w:val="000000"/>
                <w:lang w:val="fr-CA"/>
              </w:rPr>
              <w:t xml:space="preserve">Requête en prorogation du délai pour signifier et déposer un mémoire en réplique et un recueil de sources jusqu’au 5 septembre 2014 </w:t>
            </w:r>
            <w:r w:rsidRPr="00A35845">
              <w:rPr>
                <w:szCs w:val="24"/>
                <w:lang w:val="fr-CA"/>
              </w:rPr>
              <w:t xml:space="preserve"> </w:t>
            </w:r>
            <w:r w:rsidR="00274132" w:rsidRPr="00A35845">
              <w:rPr>
                <w:szCs w:val="24"/>
                <w:lang w:val="en-US"/>
              </w:rPr>
              <w:fldChar w:fldCharType="begin"/>
            </w:r>
            <w:r w:rsidRPr="00A35845">
              <w:rPr>
                <w:szCs w:val="24"/>
                <w:lang w:val="fr-CA"/>
              </w:rPr>
              <w:instrText xml:space="preserve"> SEQ CHAPTER \h \r 1</w:instrText>
            </w:r>
            <w:r w:rsidR="00274132" w:rsidRPr="00A35845">
              <w:rPr>
                <w:szCs w:val="24"/>
                <w:lang w:val="en-US"/>
              </w:rPr>
              <w:fldChar w:fldCharType="end"/>
            </w:r>
            <w:r w:rsidR="00274132" w:rsidRPr="00A35845">
              <w:rPr>
                <w:szCs w:val="24"/>
                <w:lang w:val="en-US"/>
              </w:rPr>
              <w:fldChar w:fldCharType="begin"/>
            </w:r>
            <w:r w:rsidRPr="00A35845">
              <w:rPr>
                <w:szCs w:val="24"/>
                <w:lang w:val="fr-CA"/>
              </w:rPr>
              <w:instrText xml:space="preserve"> SEQ CHAPTER \h \r 1</w:instrText>
            </w:r>
            <w:r w:rsidR="00274132" w:rsidRPr="00A35845">
              <w:rPr>
                <w:szCs w:val="24"/>
                <w:lang w:val="en-US"/>
              </w:rPr>
              <w:fldChar w:fldCharType="end"/>
            </w:r>
          </w:p>
        </w:tc>
      </w:tr>
      <w:tr w:rsidR="00A35845" w:rsidRPr="00A35845" w:rsidTr="00AB4E4F">
        <w:tc>
          <w:tcPr>
            <w:tcW w:w="4338" w:type="dxa"/>
          </w:tcPr>
          <w:p w:rsidR="00A35845" w:rsidRPr="00A35845" w:rsidRDefault="00A35845" w:rsidP="00A35845">
            <w:pPr>
              <w:tabs>
                <w:tab w:val="left" w:pos="-1440"/>
                <w:tab w:val="left" w:pos="-720"/>
              </w:tabs>
              <w:jc w:val="both"/>
            </w:pPr>
            <w:r w:rsidRPr="00A35845">
              <w:t>Her Majesty the Queen</w:t>
            </w:r>
          </w:p>
          <w:p w:rsidR="00A35845" w:rsidRPr="00A35845" w:rsidRDefault="00A35845" w:rsidP="00A35845">
            <w:pPr>
              <w:tabs>
                <w:tab w:val="left" w:pos="-1440"/>
                <w:tab w:val="left" w:pos="-720"/>
              </w:tabs>
              <w:jc w:val="both"/>
            </w:pPr>
          </w:p>
          <w:p w:rsidR="00A35845" w:rsidRPr="00A35845" w:rsidRDefault="00A35845" w:rsidP="00A35845">
            <w:pPr>
              <w:tabs>
                <w:tab w:val="left" w:pos="-1440"/>
                <w:tab w:val="left" w:pos="-720"/>
              </w:tabs>
              <w:jc w:val="both"/>
            </w:pPr>
            <w:r w:rsidRPr="00A35845">
              <w:tab/>
              <w:t>v. (35669)</w:t>
            </w:r>
          </w:p>
          <w:p w:rsidR="00A35845" w:rsidRPr="00A35845" w:rsidRDefault="00A35845" w:rsidP="00A35845">
            <w:pPr>
              <w:tabs>
                <w:tab w:val="left" w:pos="-1440"/>
                <w:tab w:val="left" w:pos="-720"/>
              </w:tabs>
              <w:jc w:val="both"/>
            </w:pPr>
          </w:p>
          <w:p w:rsidR="00A35845" w:rsidRPr="00A35845" w:rsidRDefault="00A35845" w:rsidP="00A35845">
            <w:pPr>
              <w:tabs>
                <w:tab w:val="left" w:pos="-1440"/>
                <w:tab w:val="left" w:pos="-720"/>
              </w:tabs>
              <w:jc w:val="both"/>
            </w:pPr>
            <w:r w:rsidRPr="00A35845">
              <w:t>Nahoor Araya (Crim.) (Ont.)</w:t>
            </w:r>
          </w:p>
        </w:tc>
        <w:tc>
          <w:tcPr>
            <w:tcW w:w="1170" w:type="dxa"/>
          </w:tcPr>
          <w:p w:rsidR="00A35845" w:rsidRPr="00A35845" w:rsidRDefault="00A35845" w:rsidP="00A35845">
            <w:pPr>
              <w:tabs>
                <w:tab w:val="left" w:pos="-1440"/>
                <w:tab w:val="left" w:pos="-720"/>
              </w:tabs>
              <w:jc w:val="both"/>
            </w:pPr>
          </w:p>
        </w:tc>
        <w:tc>
          <w:tcPr>
            <w:tcW w:w="4327" w:type="dxa"/>
          </w:tcPr>
          <w:p w:rsidR="00A35845" w:rsidRPr="00A35845" w:rsidRDefault="00A35845" w:rsidP="00A35845">
            <w:pPr>
              <w:tabs>
                <w:tab w:val="left" w:pos="-1440"/>
                <w:tab w:val="left" w:pos="-720"/>
              </w:tabs>
              <w:jc w:val="both"/>
            </w:pPr>
          </w:p>
        </w:tc>
      </w:tr>
    </w:tbl>
    <w:p w:rsidR="00A35845" w:rsidRPr="00A35845" w:rsidRDefault="00A35845" w:rsidP="00A35845">
      <w:pPr>
        <w:jc w:val="both"/>
        <w:rPr>
          <w:rFonts w:eastAsia="Times New Roman" w:cs="Times New Roman"/>
          <w:sz w:val="20"/>
          <w:szCs w:val="20"/>
          <w:lang w:eastAsia="en-CA"/>
        </w:rPr>
      </w:pPr>
    </w:p>
    <w:p w:rsidR="00A35845" w:rsidRPr="00A35845" w:rsidRDefault="00A35845" w:rsidP="00A35845">
      <w:pPr>
        <w:tabs>
          <w:tab w:val="left" w:pos="-1440"/>
          <w:tab w:val="left" w:pos="-720"/>
        </w:tabs>
        <w:jc w:val="both"/>
        <w:rPr>
          <w:rFonts w:eastAsia="Times New Roman" w:cs="Times New Roman"/>
          <w:b/>
          <w:sz w:val="20"/>
          <w:szCs w:val="20"/>
          <w:lang w:val="fr-CA" w:eastAsia="en-CA"/>
        </w:rPr>
      </w:pPr>
      <w:r w:rsidRPr="00A35845">
        <w:rPr>
          <w:rFonts w:eastAsia="Times New Roman" w:cs="Times New Roman"/>
          <w:b/>
          <w:sz w:val="20"/>
          <w:szCs w:val="20"/>
          <w:lang w:val="fr-CA" w:eastAsia="en-CA"/>
        </w:rPr>
        <w:t>GRANTED / ACCORDÉE</w:t>
      </w:r>
    </w:p>
    <w:p w:rsidR="00A35845" w:rsidRPr="00A35845" w:rsidRDefault="00A35845" w:rsidP="00A35845">
      <w:pPr>
        <w:jc w:val="both"/>
        <w:rPr>
          <w:rFonts w:eastAsia="Times New Roman" w:cs="Times New Roman"/>
          <w:sz w:val="20"/>
          <w:szCs w:val="20"/>
          <w:lang w:val="fr-CA" w:eastAsia="en-CA"/>
        </w:rPr>
      </w:pPr>
    </w:p>
    <w:p w:rsidR="00A35845" w:rsidRPr="00A35845" w:rsidRDefault="00F677DC" w:rsidP="00A35845">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89" style="width:2in;height:1pt" o:hrpct="0" o:hralign="center" o:hrstd="t" o:hrnoshade="t" o:hr="t" fillcolor="black [3213]" stroked="f"/>
        </w:pict>
      </w: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59"/>
          <w:headerReference w:type="default" r:id="rId60"/>
          <w:footerReference w:type="even" r:id="rId61"/>
          <w:footerReference w:type="default" r:id="rId62"/>
          <w:headerReference w:type="first" r:id="rId63"/>
          <w:footerReference w:type="first" r:id="rId64"/>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DA7379"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Pr="003B3977" w:rsidRDefault="00F43C59" w:rsidP="005F1ED8">
            <w:pPr>
              <w:rPr>
                <w:sz w:val="20"/>
                <w:szCs w:val="20"/>
              </w:rPr>
            </w:pPr>
            <w:r>
              <w:rPr>
                <w:sz w:val="20"/>
                <w:szCs w:val="20"/>
              </w:rPr>
              <w:t>06</w:t>
            </w:r>
            <w:r w:rsidR="0086340B" w:rsidRPr="003B3977">
              <w:rPr>
                <w:sz w:val="20"/>
                <w:szCs w:val="20"/>
              </w:rPr>
              <w:t>.1</w:t>
            </w:r>
            <w:r>
              <w:rPr>
                <w:sz w:val="20"/>
                <w:szCs w:val="20"/>
              </w:rPr>
              <w:t>0</w:t>
            </w:r>
            <w:r w:rsidR="0086340B" w:rsidRPr="003B3977">
              <w:rPr>
                <w:sz w:val="20"/>
                <w:szCs w:val="20"/>
              </w:rPr>
              <w:t>.201</w:t>
            </w:r>
            <w:r>
              <w:rPr>
                <w:sz w:val="20"/>
                <w:szCs w:val="20"/>
              </w:rPr>
              <w:t>4</w:t>
            </w:r>
          </w:p>
          <w:p w:rsidR="0086340B" w:rsidRPr="003B3977" w:rsidRDefault="0086340B" w:rsidP="005F1ED8">
            <w:pPr>
              <w:rPr>
                <w:sz w:val="20"/>
                <w:szCs w:val="20"/>
              </w:rPr>
            </w:pPr>
          </w:p>
          <w:p w:rsidR="0086340B" w:rsidRPr="003B3977" w:rsidRDefault="00F43C59" w:rsidP="005F1ED8">
            <w:pPr>
              <w:rPr>
                <w:b/>
                <w:sz w:val="20"/>
                <w:szCs w:val="20"/>
              </w:rPr>
            </w:pPr>
            <w:r>
              <w:rPr>
                <w:b/>
                <w:sz w:val="20"/>
                <w:szCs w:val="20"/>
              </w:rPr>
              <w:t>C</w:t>
            </w:r>
            <w:r w:rsidR="0086340B">
              <w:rPr>
                <w:b/>
                <w:sz w:val="20"/>
                <w:szCs w:val="20"/>
              </w:rPr>
              <w:t>an</w:t>
            </w:r>
            <w:r>
              <w:rPr>
                <w:b/>
                <w:sz w:val="20"/>
                <w:szCs w:val="20"/>
              </w:rPr>
              <w:t>adian Bro</w:t>
            </w:r>
            <w:r w:rsidR="0086340B">
              <w:rPr>
                <w:b/>
                <w:sz w:val="20"/>
                <w:szCs w:val="20"/>
              </w:rPr>
              <w:t>a</w:t>
            </w:r>
            <w:r>
              <w:rPr>
                <w:b/>
                <w:sz w:val="20"/>
                <w:szCs w:val="20"/>
              </w:rPr>
              <w:t>dcast</w:t>
            </w:r>
            <w:r w:rsidR="0086340B">
              <w:rPr>
                <w:b/>
                <w:sz w:val="20"/>
                <w:szCs w:val="20"/>
              </w:rPr>
              <w:t xml:space="preserve">ing </w:t>
            </w:r>
            <w:r>
              <w:rPr>
                <w:b/>
                <w:sz w:val="20"/>
                <w:szCs w:val="20"/>
              </w:rPr>
              <w:t>C</w:t>
            </w:r>
            <w:r w:rsidR="0086340B">
              <w:rPr>
                <w:b/>
                <w:sz w:val="20"/>
                <w:szCs w:val="20"/>
              </w:rPr>
              <w:t>o</w:t>
            </w:r>
            <w:r>
              <w:rPr>
                <w:b/>
                <w:sz w:val="20"/>
                <w:szCs w:val="20"/>
              </w:rPr>
              <w:t>rporatio</w:t>
            </w:r>
            <w:r w:rsidR="0086340B">
              <w:rPr>
                <w:b/>
                <w:sz w:val="20"/>
                <w:szCs w:val="20"/>
              </w:rPr>
              <w:t xml:space="preserve">n </w:t>
            </w:r>
            <w:r>
              <w:rPr>
                <w:b/>
                <w:sz w:val="20"/>
                <w:szCs w:val="20"/>
              </w:rPr>
              <w:t>/ Soc</w:t>
            </w:r>
            <w:r w:rsidR="0086340B">
              <w:rPr>
                <w:b/>
                <w:sz w:val="20"/>
                <w:szCs w:val="20"/>
              </w:rPr>
              <w:t>i</w:t>
            </w:r>
            <w:r>
              <w:rPr>
                <w:b/>
                <w:sz w:val="20"/>
                <w:szCs w:val="20"/>
              </w:rPr>
              <w:t>été Radio-C</w:t>
            </w:r>
            <w:r w:rsidR="0086340B">
              <w:rPr>
                <w:b/>
                <w:sz w:val="20"/>
                <w:szCs w:val="20"/>
              </w:rPr>
              <w:t>a</w:t>
            </w:r>
            <w:r>
              <w:rPr>
                <w:b/>
                <w:sz w:val="20"/>
                <w:szCs w:val="20"/>
              </w:rPr>
              <w:t>n</w:t>
            </w:r>
            <w:r w:rsidR="0086340B">
              <w:rPr>
                <w:b/>
                <w:sz w:val="20"/>
                <w:szCs w:val="20"/>
              </w:rPr>
              <w:t>ada</w:t>
            </w:r>
          </w:p>
          <w:p w:rsidR="0086340B" w:rsidRPr="003B3977" w:rsidRDefault="0086340B" w:rsidP="005F1ED8">
            <w:pPr>
              <w:rPr>
                <w:b/>
                <w:sz w:val="20"/>
                <w:szCs w:val="20"/>
              </w:rPr>
            </w:pPr>
          </w:p>
          <w:p w:rsidR="0086340B" w:rsidRPr="00185470" w:rsidRDefault="0086340B" w:rsidP="005F1ED8">
            <w:pPr>
              <w:rPr>
                <w:b/>
                <w:sz w:val="20"/>
                <w:szCs w:val="20"/>
                <w:lang w:val="fr-CA"/>
              </w:rPr>
            </w:pPr>
            <w:r w:rsidRPr="003B3977">
              <w:rPr>
                <w:b/>
                <w:sz w:val="20"/>
                <w:szCs w:val="20"/>
              </w:rPr>
              <w:tab/>
            </w:r>
            <w:r w:rsidRPr="00185470">
              <w:rPr>
                <w:b/>
                <w:sz w:val="20"/>
                <w:szCs w:val="20"/>
                <w:lang w:val="fr-CA"/>
              </w:rPr>
              <w:t>v. (359</w:t>
            </w:r>
            <w:r w:rsidR="00F43C59" w:rsidRPr="00185470">
              <w:rPr>
                <w:b/>
                <w:sz w:val="20"/>
                <w:szCs w:val="20"/>
                <w:lang w:val="fr-CA"/>
              </w:rPr>
              <w:t>18</w:t>
            </w:r>
            <w:r w:rsidRPr="00185470">
              <w:rPr>
                <w:b/>
                <w:sz w:val="20"/>
                <w:szCs w:val="20"/>
                <w:lang w:val="fr-CA"/>
              </w:rPr>
              <w:t>)</w:t>
            </w:r>
          </w:p>
          <w:p w:rsidR="0086340B" w:rsidRPr="00185470" w:rsidRDefault="0086340B" w:rsidP="005F1ED8">
            <w:pPr>
              <w:rPr>
                <w:b/>
                <w:sz w:val="20"/>
                <w:szCs w:val="20"/>
                <w:lang w:val="fr-CA"/>
              </w:rPr>
            </w:pPr>
          </w:p>
          <w:p w:rsidR="0086340B" w:rsidRPr="00F43C59" w:rsidRDefault="00F43C59" w:rsidP="005F1ED8">
            <w:pPr>
              <w:rPr>
                <w:b/>
                <w:sz w:val="20"/>
                <w:szCs w:val="20"/>
                <w:lang w:val="fr-CA"/>
              </w:rPr>
            </w:pPr>
            <w:r w:rsidRPr="00F43C59">
              <w:rPr>
                <w:b/>
                <w:sz w:val="20"/>
                <w:szCs w:val="20"/>
                <w:lang w:val="fr-CA"/>
              </w:rPr>
              <w:t>SODRAC 2003 I</w:t>
            </w:r>
            <w:r w:rsidR="0086340B" w:rsidRPr="00F43C59">
              <w:rPr>
                <w:b/>
                <w:sz w:val="20"/>
                <w:szCs w:val="20"/>
                <w:lang w:val="fr-CA"/>
              </w:rPr>
              <w:t>n</w:t>
            </w:r>
            <w:r w:rsidRPr="00F43C59">
              <w:rPr>
                <w:b/>
                <w:sz w:val="20"/>
                <w:szCs w:val="20"/>
                <w:lang w:val="fr-CA"/>
              </w:rPr>
              <w:t>c</w:t>
            </w:r>
            <w:r w:rsidR="0086340B" w:rsidRPr="00F43C59">
              <w:rPr>
                <w:b/>
                <w:sz w:val="20"/>
                <w:szCs w:val="20"/>
                <w:lang w:val="fr-CA"/>
              </w:rPr>
              <w:t xml:space="preserve">. </w:t>
            </w:r>
            <w:r w:rsidRPr="00F43C59">
              <w:rPr>
                <w:b/>
                <w:sz w:val="20"/>
                <w:szCs w:val="20"/>
                <w:lang w:val="fr-CA"/>
              </w:rPr>
              <w:t>et al.</w:t>
            </w:r>
            <w:r>
              <w:rPr>
                <w:b/>
                <w:sz w:val="20"/>
                <w:szCs w:val="20"/>
                <w:lang w:val="fr-CA"/>
              </w:rPr>
              <w:t xml:space="preserve"> </w:t>
            </w:r>
            <w:r w:rsidR="0086340B" w:rsidRPr="00F43C59">
              <w:rPr>
                <w:b/>
                <w:sz w:val="20"/>
                <w:szCs w:val="20"/>
                <w:lang w:val="fr-CA"/>
              </w:rPr>
              <w:t>(</w:t>
            </w:r>
            <w:r w:rsidRPr="00F43C59">
              <w:rPr>
                <w:b/>
                <w:sz w:val="20"/>
                <w:szCs w:val="20"/>
                <w:lang w:val="fr-CA"/>
              </w:rPr>
              <w:t>F</w:t>
            </w:r>
            <w:r w:rsidR="0086340B" w:rsidRPr="00F43C59">
              <w:rPr>
                <w:b/>
                <w:sz w:val="20"/>
                <w:szCs w:val="20"/>
                <w:lang w:val="fr-CA"/>
              </w:rPr>
              <w:t>.</w:t>
            </w:r>
            <w:r w:rsidRPr="00F43C59">
              <w:rPr>
                <w:b/>
                <w:sz w:val="20"/>
                <w:szCs w:val="20"/>
                <w:lang w:val="fr-CA"/>
              </w:rPr>
              <w:t>C</w:t>
            </w:r>
            <w:r w:rsidR="0086340B" w:rsidRPr="00F43C59">
              <w:rPr>
                <w:b/>
                <w:sz w:val="20"/>
                <w:szCs w:val="20"/>
                <w:lang w:val="fr-CA"/>
              </w:rPr>
              <w:t>.)</w:t>
            </w:r>
          </w:p>
          <w:p w:rsidR="0086340B" w:rsidRPr="00F43C59" w:rsidRDefault="0086340B" w:rsidP="005F1ED8">
            <w:pPr>
              <w:rPr>
                <w:sz w:val="20"/>
                <w:szCs w:val="20"/>
                <w:lang w:val="fr-CA"/>
              </w:rPr>
            </w:pPr>
          </w:p>
          <w:p w:rsidR="0086340B" w:rsidRPr="003B3977" w:rsidRDefault="0086340B" w:rsidP="005F1ED8">
            <w:pPr>
              <w:rPr>
                <w:sz w:val="20"/>
                <w:szCs w:val="20"/>
              </w:rPr>
            </w:pPr>
            <w:r w:rsidRPr="003B3977">
              <w:rPr>
                <w:sz w:val="20"/>
                <w:szCs w:val="20"/>
              </w:rPr>
              <w:t>(</w:t>
            </w:r>
            <w:r>
              <w:rPr>
                <w:sz w:val="20"/>
                <w:szCs w:val="20"/>
              </w:rPr>
              <w:t>By Leave</w:t>
            </w:r>
            <w:r w:rsidRPr="003B3977">
              <w:rPr>
                <w:sz w:val="20"/>
                <w:szCs w:val="20"/>
              </w:rPr>
              <w:t>)</w:t>
            </w:r>
          </w:p>
          <w:p w:rsidR="0086340B" w:rsidRPr="003B3977" w:rsidRDefault="0086340B" w:rsidP="005F1ED8">
            <w:pPr>
              <w:rPr>
                <w:sz w:val="20"/>
                <w:szCs w:val="20"/>
              </w:rPr>
            </w:pPr>
          </w:p>
          <w:p w:rsidR="0086340B" w:rsidRPr="003B3977" w:rsidRDefault="00F677DC" w:rsidP="005F1ED8">
            <w:pPr>
              <w:rPr>
                <w:sz w:val="20"/>
                <w:szCs w:val="20"/>
                <w:lang w:val="fr-CA"/>
              </w:rPr>
            </w:pPr>
            <w:r>
              <w:rPr>
                <w:sz w:val="20"/>
                <w:szCs w:val="20"/>
                <w:lang w:val="fr-CA"/>
              </w:rPr>
              <w:pict>
                <v:rect id="_x0000_i1092"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3B3977" w:rsidRDefault="0086340B" w:rsidP="005F1ED8">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65"/>
          <w:headerReference w:type="default" r:id="rId66"/>
          <w:footerReference w:type="even" r:id="rId67"/>
          <w:footerReference w:type="default" r:id="rId68"/>
          <w:headerReference w:type="first" r:id="rId69"/>
          <w:footerReference w:type="first" r:id="rId7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DA7379"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8802EB" w:rsidRPr="008802EB" w:rsidRDefault="008802EB" w:rsidP="007C47C2">
      <w:pPr>
        <w:widowControl w:val="0"/>
        <w:rPr>
          <w:sz w:val="20"/>
          <w:szCs w:val="20"/>
        </w:rPr>
      </w:pPr>
      <w:r w:rsidRPr="008802EB">
        <w:rPr>
          <w:sz w:val="20"/>
          <w:szCs w:val="20"/>
        </w:rPr>
        <w:t>06.10.2014</w:t>
      </w:r>
    </w:p>
    <w:p w:rsidR="008802EB" w:rsidRPr="008802EB" w:rsidRDefault="008802EB" w:rsidP="007C47C2">
      <w:pPr>
        <w:widowControl w:val="0"/>
        <w:rPr>
          <w:sz w:val="20"/>
          <w:szCs w:val="20"/>
        </w:rPr>
      </w:pPr>
    </w:p>
    <w:p w:rsidR="008802EB" w:rsidRPr="00FC1177" w:rsidRDefault="008802EB" w:rsidP="008802EB">
      <w:pPr>
        <w:widowControl w:val="0"/>
        <w:ind w:left="720" w:hanging="720"/>
        <w:rPr>
          <w:sz w:val="20"/>
          <w:szCs w:val="20"/>
          <w:u w:val="single"/>
        </w:rPr>
      </w:pPr>
      <w:r w:rsidRPr="00FC1177">
        <w:rPr>
          <w:sz w:val="20"/>
          <w:szCs w:val="20"/>
        </w:rPr>
        <w:t xml:space="preserve">Coram: </w:t>
      </w:r>
      <w:r w:rsidRPr="00FC1177">
        <w:rPr>
          <w:sz w:val="20"/>
          <w:szCs w:val="20"/>
        </w:rPr>
        <w:tab/>
      </w:r>
      <w:r w:rsidRPr="00FC1177">
        <w:rPr>
          <w:sz w:val="20"/>
          <w:szCs w:val="20"/>
          <w:u w:val="single"/>
        </w:rPr>
        <w:t>McLachlin C.J. and Rothstein, Cromwell, Moldaver, Karakatsanis, Wagner and Gascon JJ.</w:t>
      </w:r>
    </w:p>
    <w:p w:rsidR="008802EB" w:rsidRPr="008802EB" w:rsidRDefault="008802EB" w:rsidP="007C47C2">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8802EB" w:rsidRPr="008802EB" w:rsidTr="008802EB">
        <w:tc>
          <w:tcPr>
            <w:tcW w:w="4380" w:type="dxa"/>
            <w:tcMar>
              <w:left w:w="0" w:type="dxa"/>
              <w:right w:w="0" w:type="dxa"/>
            </w:tcMar>
          </w:tcPr>
          <w:p w:rsidR="008802EB" w:rsidRDefault="008802EB" w:rsidP="008802EB">
            <w:pPr>
              <w:rPr>
                <w:rFonts w:eastAsia="Calibri"/>
                <w:b/>
                <w:iCs/>
                <w:sz w:val="20"/>
                <w:szCs w:val="20"/>
              </w:rPr>
            </w:pPr>
            <w:r w:rsidRPr="00FC1177">
              <w:rPr>
                <w:rFonts w:eastAsia="Calibri"/>
                <w:b/>
                <w:iCs/>
                <w:sz w:val="20"/>
                <w:szCs w:val="20"/>
              </w:rPr>
              <w:t xml:space="preserve">Her Majesty the Queen </w:t>
            </w:r>
          </w:p>
          <w:p w:rsidR="008802EB" w:rsidRDefault="008802EB" w:rsidP="008802EB">
            <w:pPr>
              <w:rPr>
                <w:rFonts w:eastAsia="Calibri"/>
                <w:b/>
                <w:iCs/>
                <w:sz w:val="20"/>
                <w:szCs w:val="20"/>
              </w:rPr>
            </w:pPr>
          </w:p>
          <w:p w:rsidR="008802EB" w:rsidRPr="008802EB" w:rsidRDefault="008802EB" w:rsidP="008802EB">
            <w:pPr>
              <w:rPr>
                <w:rFonts w:eastAsia="Calibri"/>
                <w:b/>
                <w:iCs/>
                <w:sz w:val="20"/>
                <w:szCs w:val="20"/>
              </w:rPr>
            </w:pPr>
            <w:r w:rsidRPr="00AE41EE">
              <w:rPr>
                <w:rFonts w:eastAsia="Calibri"/>
                <w:b/>
                <w:iCs/>
                <w:sz w:val="20"/>
                <w:szCs w:val="20"/>
              </w:rPr>
              <w:tab/>
            </w:r>
            <w:r w:rsidRPr="008802EB">
              <w:rPr>
                <w:rFonts w:eastAsia="Calibri"/>
                <w:b/>
                <w:iCs/>
                <w:sz w:val="20"/>
                <w:szCs w:val="20"/>
              </w:rPr>
              <w:t xml:space="preserve">v. </w:t>
            </w:r>
            <w:r w:rsidRPr="008802EB">
              <w:rPr>
                <w:rFonts w:eastAsia="Calibri"/>
                <w:sz w:val="20"/>
                <w:szCs w:val="20"/>
              </w:rPr>
              <w:t>(</w:t>
            </w:r>
            <w:hyperlink r:id="rId71" w:history="1">
              <w:r w:rsidRPr="008802EB">
                <w:rPr>
                  <w:rStyle w:val="Hyperlink"/>
                  <w:rFonts w:eastAsia="Calibri"/>
                  <w:sz w:val="20"/>
                  <w:szCs w:val="20"/>
                </w:rPr>
                <w:t>35475</w:t>
              </w:r>
            </w:hyperlink>
            <w:r w:rsidRPr="008802EB">
              <w:rPr>
                <w:rFonts w:eastAsia="Calibri"/>
                <w:sz w:val="20"/>
                <w:szCs w:val="20"/>
              </w:rPr>
              <w:t>)</w:t>
            </w:r>
          </w:p>
          <w:p w:rsidR="008802EB" w:rsidRPr="008802EB" w:rsidRDefault="008802EB" w:rsidP="008802EB">
            <w:pPr>
              <w:rPr>
                <w:rFonts w:eastAsia="Calibri"/>
                <w:b/>
                <w:iCs/>
                <w:sz w:val="20"/>
                <w:szCs w:val="20"/>
              </w:rPr>
            </w:pPr>
          </w:p>
          <w:p w:rsidR="008802EB" w:rsidRPr="008802EB" w:rsidRDefault="008802EB" w:rsidP="008802EB">
            <w:pPr>
              <w:rPr>
                <w:sz w:val="20"/>
                <w:szCs w:val="20"/>
              </w:rPr>
            </w:pPr>
            <w:r w:rsidRPr="008802EB">
              <w:rPr>
                <w:rFonts w:eastAsia="Calibri"/>
                <w:b/>
                <w:iCs/>
                <w:sz w:val="20"/>
                <w:szCs w:val="20"/>
              </w:rPr>
              <w:t>Clifford Kokopenace</w:t>
            </w:r>
            <w:r w:rsidRPr="008802EB">
              <w:rPr>
                <w:rFonts w:eastAsia="Calibri"/>
                <w:sz w:val="20"/>
                <w:szCs w:val="20"/>
              </w:rPr>
              <w:t xml:space="preserve"> </w:t>
            </w:r>
            <w:r w:rsidRPr="008802EB">
              <w:rPr>
                <w:rFonts w:eastAsia="Calibri"/>
                <w:b/>
                <w:sz w:val="20"/>
                <w:szCs w:val="20"/>
              </w:rPr>
              <w:t>(Ont.) (Criminal) (By Leave)</w:t>
            </w:r>
          </w:p>
        </w:tc>
        <w:tc>
          <w:tcPr>
            <w:tcW w:w="720" w:type="dxa"/>
            <w:tcMar>
              <w:left w:w="0" w:type="dxa"/>
              <w:right w:w="0" w:type="dxa"/>
            </w:tcMar>
          </w:tcPr>
          <w:p w:rsidR="008802EB" w:rsidRPr="008802EB" w:rsidRDefault="008802EB" w:rsidP="008802EB">
            <w:pPr>
              <w:widowControl w:val="0"/>
              <w:jc w:val="center"/>
              <w:rPr>
                <w:sz w:val="20"/>
                <w:szCs w:val="20"/>
              </w:rPr>
            </w:pPr>
          </w:p>
        </w:tc>
        <w:tc>
          <w:tcPr>
            <w:tcW w:w="4380" w:type="dxa"/>
            <w:tcMar>
              <w:left w:w="0" w:type="dxa"/>
              <w:right w:w="0" w:type="dxa"/>
            </w:tcMar>
          </w:tcPr>
          <w:p w:rsidR="00C14E98" w:rsidRDefault="00C14E98" w:rsidP="00726999">
            <w:pPr>
              <w:pStyle w:val="SCCLsocParty"/>
              <w:jc w:val="both"/>
              <w:rPr>
                <w:b w:val="0"/>
                <w:sz w:val="20"/>
                <w:szCs w:val="20"/>
              </w:rPr>
            </w:pPr>
            <w:r w:rsidRPr="00061C11">
              <w:rPr>
                <w:b w:val="0"/>
                <w:sz w:val="20"/>
                <w:szCs w:val="20"/>
              </w:rPr>
              <w:t>Gillian E. Roberts</w:t>
            </w:r>
            <w:r>
              <w:rPr>
                <w:b w:val="0"/>
                <w:sz w:val="20"/>
                <w:szCs w:val="20"/>
              </w:rPr>
              <w:t xml:space="preserve">, </w:t>
            </w:r>
            <w:r w:rsidRPr="00061C11">
              <w:rPr>
                <w:b w:val="0"/>
                <w:sz w:val="20"/>
                <w:szCs w:val="20"/>
              </w:rPr>
              <w:t>Deborah Calderwood</w:t>
            </w:r>
            <w:r>
              <w:rPr>
                <w:b w:val="0"/>
                <w:sz w:val="20"/>
                <w:szCs w:val="20"/>
              </w:rPr>
              <w:t xml:space="preserve"> and </w:t>
            </w:r>
            <w:r w:rsidRPr="00061C11">
              <w:rPr>
                <w:b w:val="0"/>
                <w:sz w:val="20"/>
                <w:szCs w:val="20"/>
              </w:rPr>
              <w:t>Michael Fawcett</w:t>
            </w:r>
            <w:r>
              <w:rPr>
                <w:b w:val="0"/>
                <w:sz w:val="20"/>
                <w:szCs w:val="20"/>
              </w:rPr>
              <w:t xml:space="preserve"> f</w:t>
            </w:r>
            <w:r w:rsidRPr="00061C11">
              <w:rPr>
                <w:b w:val="0"/>
                <w:sz w:val="20"/>
                <w:szCs w:val="20"/>
              </w:rPr>
              <w:t xml:space="preserve">or the </w:t>
            </w:r>
            <w:r>
              <w:rPr>
                <w:b w:val="0"/>
                <w:sz w:val="20"/>
                <w:szCs w:val="20"/>
              </w:rPr>
              <w:t>a</w:t>
            </w:r>
            <w:r w:rsidRPr="00061C11">
              <w:rPr>
                <w:b w:val="0"/>
                <w:sz w:val="20"/>
                <w:szCs w:val="20"/>
              </w:rPr>
              <w:t>ppellant</w:t>
            </w:r>
            <w:r>
              <w:rPr>
                <w:b w:val="0"/>
                <w:sz w:val="20"/>
                <w:szCs w:val="20"/>
              </w:rPr>
              <w:t>.</w:t>
            </w:r>
          </w:p>
          <w:p w:rsidR="00C14E98" w:rsidRPr="00061C11" w:rsidRDefault="00C14E98" w:rsidP="00726999">
            <w:pPr>
              <w:jc w:val="both"/>
              <w:rPr>
                <w:sz w:val="20"/>
                <w:szCs w:val="20"/>
              </w:rPr>
            </w:pPr>
          </w:p>
          <w:p w:rsidR="00C14E98" w:rsidRDefault="00C14E98" w:rsidP="00726999">
            <w:pPr>
              <w:jc w:val="both"/>
              <w:rPr>
                <w:sz w:val="20"/>
                <w:szCs w:val="20"/>
              </w:rPr>
            </w:pPr>
            <w:r w:rsidRPr="00061C11">
              <w:rPr>
                <w:sz w:val="20"/>
                <w:szCs w:val="20"/>
              </w:rPr>
              <w:t>Jessica Orkin</w:t>
            </w:r>
            <w:r>
              <w:rPr>
                <w:sz w:val="20"/>
                <w:szCs w:val="20"/>
              </w:rPr>
              <w:t>,</w:t>
            </w:r>
            <w:r w:rsidRPr="00061C11">
              <w:rPr>
                <w:sz w:val="20"/>
                <w:szCs w:val="20"/>
              </w:rPr>
              <w:t xml:space="preserve"> Delmar Doucette</w:t>
            </w:r>
            <w:r>
              <w:rPr>
                <w:sz w:val="20"/>
                <w:szCs w:val="20"/>
              </w:rPr>
              <w:t xml:space="preserve">, </w:t>
            </w:r>
            <w:r w:rsidRPr="00061C11">
              <w:rPr>
                <w:sz w:val="20"/>
                <w:szCs w:val="20"/>
              </w:rPr>
              <w:t>Andrew Furgiuele</w:t>
            </w:r>
            <w:r>
              <w:rPr>
                <w:sz w:val="20"/>
                <w:szCs w:val="20"/>
              </w:rPr>
              <w:t xml:space="preserve"> and </w:t>
            </w:r>
            <w:r w:rsidRPr="00061C11">
              <w:rPr>
                <w:sz w:val="20"/>
                <w:szCs w:val="20"/>
              </w:rPr>
              <w:t>Angela Ruffo</w:t>
            </w:r>
            <w:r>
              <w:rPr>
                <w:sz w:val="20"/>
                <w:szCs w:val="20"/>
              </w:rPr>
              <w:t xml:space="preserve"> f</w:t>
            </w:r>
            <w:r w:rsidRPr="00061C11">
              <w:rPr>
                <w:sz w:val="20"/>
                <w:szCs w:val="20"/>
              </w:rPr>
              <w:t xml:space="preserve">or the </w:t>
            </w:r>
            <w:r>
              <w:rPr>
                <w:sz w:val="20"/>
                <w:szCs w:val="20"/>
              </w:rPr>
              <w:t>r</w:t>
            </w:r>
            <w:r w:rsidRPr="00061C11">
              <w:rPr>
                <w:sz w:val="20"/>
                <w:szCs w:val="20"/>
              </w:rPr>
              <w:t>espondent</w:t>
            </w:r>
            <w:r>
              <w:rPr>
                <w:sz w:val="20"/>
                <w:szCs w:val="20"/>
              </w:rPr>
              <w:t>.</w:t>
            </w:r>
          </w:p>
          <w:p w:rsidR="00C14E98" w:rsidRDefault="00C14E98" w:rsidP="00726999">
            <w:pPr>
              <w:jc w:val="both"/>
              <w:rPr>
                <w:sz w:val="20"/>
                <w:szCs w:val="20"/>
              </w:rPr>
            </w:pPr>
          </w:p>
          <w:p w:rsidR="00C14E98" w:rsidRPr="00061C11" w:rsidRDefault="00C14E98" w:rsidP="00726999">
            <w:pPr>
              <w:jc w:val="both"/>
              <w:rPr>
                <w:sz w:val="20"/>
                <w:szCs w:val="20"/>
              </w:rPr>
            </w:pPr>
            <w:r w:rsidRPr="00061C11">
              <w:rPr>
                <w:sz w:val="20"/>
                <w:szCs w:val="20"/>
              </w:rPr>
              <w:t>Brian H. Greenspan</w:t>
            </w:r>
            <w:r>
              <w:rPr>
                <w:sz w:val="20"/>
                <w:szCs w:val="20"/>
              </w:rPr>
              <w:t>,</w:t>
            </w:r>
            <w:r w:rsidRPr="00061C11">
              <w:rPr>
                <w:sz w:val="20"/>
                <w:szCs w:val="20"/>
              </w:rPr>
              <w:t xml:space="preserve"> Katherine Hensel</w:t>
            </w:r>
            <w:r>
              <w:rPr>
                <w:sz w:val="20"/>
                <w:szCs w:val="20"/>
              </w:rPr>
              <w:t xml:space="preserve"> and </w:t>
            </w:r>
            <w:r w:rsidRPr="00061C11">
              <w:rPr>
                <w:sz w:val="20"/>
                <w:szCs w:val="20"/>
              </w:rPr>
              <w:t>Promise Holmes Skinner</w:t>
            </w:r>
            <w:r>
              <w:rPr>
                <w:sz w:val="20"/>
                <w:szCs w:val="20"/>
              </w:rPr>
              <w:t xml:space="preserve"> f</w:t>
            </w:r>
            <w:r w:rsidRPr="00061C11">
              <w:rPr>
                <w:sz w:val="20"/>
                <w:szCs w:val="20"/>
              </w:rPr>
              <w:t xml:space="preserve">or the </w:t>
            </w:r>
            <w:r>
              <w:rPr>
                <w:sz w:val="20"/>
                <w:szCs w:val="20"/>
              </w:rPr>
              <w:t>i</w:t>
            </w:r>
            <w:r w:rsidRPr="00061C11">
              <w:rPr>
                <w:sz w:val="20"/>
                <w:szCs w:val="20"/>
              </w:rPr>
              <w:t>ntervener</w:t>
            </w:r>
            <w:r>
              <w:rPr>
                <w:sz w:val="20"/>
                <w:szCs w:val="20"/>
              </w:rPr>
              <w:t xml:space="preserve"> </w:t>
            </w:r>
            <w:r w:rsidRPr="00061C11">
              <w:rPr>
                <w:sz w:val="20"/>
                <w:szCs w:val="20"/>
              </w:rPr>
              <w:t>Advocates' Society</w:t>
            </w:r>
            <w:r>
              <w:rPr>
                <w:sz w:val="20"/>
                <w:szCs w:val="20"/>
              </w:rPr>
              <w:t>.</w:t>
            </w:r>
          </w:p>
          <w:p w:rsidR="00C14E98" w:rsidRPr="00061C11" w:rsidRDefault="00C14E98" w:rsidP="00726999">
            <w:pPr>
              <w:jc w:val="both"/>
              <w:rPr>
                <w:sz w:val="20"/>
                <w:szCs w:val="20"/>
              </w:rPr>
            </w:pPr>
          </w:p>
          <w:p w:rsidR="00C14E98" w:rsidRPr="00061C11" w:rsidRDefault="00C14E98" w:rsidP="00726999">
            <w:pPr>
              <w:jc w:val="both"/>
              <w:rPr>
                <w:sz w:val="20"/>
                <w:szCs w:val="20"/>
              </w:rPr>
            </w:pPr>
            <w:r w:rsidRPr="00061C11">
              <w:rPr>
                <w:sz w:val="20"/>
                <w:szCs w:val="20"/>
              </w:rPr>
              <w:t>Cheryl Milne</w:t>
            </w:r>
            <w:r>
              <w:rPr>
                <w:sz w:val="20"/>
                <w:szCs w:val="20"/>
              </w:rPr>
              <w:t xml:space="preserve"> and </w:t>
            </w:r>
            <w:r w:rsidRPr="00061C11">
              <w:rPr>
                <w:sz w:val="20"/>
                <w:szCs w:val="20"/>
              </w:rPr>
              <w:t>Kim Stanton</w:t>
            </w:r>
            <w:r>
              <w:rPr>
                <w:sz w:val="20"/>
                <w:szCs w:val="20"/>
              </w:rPr>
              <w:t xml:space="preserve"> f</w:t>
            </w:r>
            <w:r w:rsidRPr="00061C11">
              <w:rPr>
                <w:sz w:val="20"/>
                <w:szCs w:val="20"/>
              </w:rPr>
              <w:t xml:space="preserve">or the </w:t>
            </w:r>
            <w:r>
              <w:rPr>
                <w:sz w:val="20"/>
                <w:szCs w:val="20"/>
              </w:rPr>
              <w:t>i</w:t>
            </w:r>
            <w:r w:rsidRPr="00061C11">
              <w:rPr>
                <w:sz w:val="20"/>
                <w:szCs w:val="20"/>
              </w:rPr>
              <w:t>nterveners</w:t>
            </w:r>
            <w:r>
              <w:rPr>
                <w:sz w:val="20"/>
                <w:szCs w:val="20"/>
              </w:rPr>
              <w:t xml:space="preserve"> </w:t>
            </w:r>
            <w:r w:rsidRPr="00061C11">
              <w:rPr>
                <w:sz w:val="20"/>
                <w:szCs w:val="20"/>
              </w:rPr>
              <w:t>David Asper Centre for Constitutional Rights et al.</w:t>
            </w:r>
          </w:p>
          <w:p w:rsidR="00C14E98" w:rsidRPr="00061C11" w:rsidRDefault="00C14E98" w:rsidP="00726999">
            <w:pPr>
              <w:jc w:val="both"/>
              <w:rPr>
                <w:sz w:val="20"/>
                <w:szCs w:val="20"/>
              </w:rPr>
            </w:pPr>
          </w:p>
          <w:p w:rsidR="00C14E98" w:rsidRPr="00061C11" w:rsidRDefault="00C14E98" w:rsidP="00726999">
            <w:pPr>
              <w:jc w:val="both"/>
              <w:rPr>
                <w:sz w:val="20"/>
                <w:szCs w:val="20"/>
              </w:rPr>
            </w:pPr>
            <w:r w:rsidRPr="00061C11">
              <w:rPr>
                <w:sz w:val="20"/>
                <w:szCs w:val="20"/>
              </w:rPr>
              <w:t xml:space="preserve">Mary Eberts </w:t>
            </w:r>
            <w:r>
              <w:rPr>
                <w:sz w:val="20"/>
                <w:szCs w:val="20"/>
              </w:rPr>
              <w:t>f</w:t>
            </w:r>
            <w:r w:rsidRPr="00061C11">
              <w:rPr>
                <w:sz w:val="20"/>
                <w:szCs w:val="20"/>
              </w:rPr>
              <w:t xml:space="preserve">or the </w:t>
            </w:r>
            <w:r>
              <w:rPr>
                <w:sz w:val="20"/>
                <w:szCs w:val="20"/>
              </w:rPr>
              <w:t>i</w:t>
            </w:r>
            <w:r w:rsidRPr="00061C11">
              <w:rPr>
                <w:sz w:val="20"/>
                <w:szCs w:val="20"/>
              </w:rPr>
              <w:t>nterveners</w:t>
            </w:r>
            <w:r>
              <w:rPr>
                <w:sz w:val="20"/>
                <w:szCs w:val="20"/>
              </w:rPr>
              <w:t xml:space="preserve"> </w:t>
            </w:r>
            <w:r w:rsidRPr="00061C11">
              <w:rPr>
                <w:sz w:val="20"/>
                <w:szCs w:val="20"/>
              </w:rPr>
              <w:t>Native Women's Association of Canada</w:t>
            </w:r>
            <w:r>
              <w:rPr>
                <w:sz w:val="20"/>
                <w:szCs w:val="20"/>
              </w:rPr>
              <w:t xml:space="preserve"> </w:t>
            </w:r>
            <w:r w:rsidRPr="00061C11">
              <w:rPr>
                <w:sz w:val="20"/>
                <w:szCs w:val="20"/>
              </w:rPr>
              <w:t>et al.</w:t>
            </w:r>
          </w:p>
          <w:p w:rsidR="00C14E98" w:rsidRPr="00061C11" w:rsidRDefault="00C14E98" w:rsidP="00726999">
            <w:pPr>
              <w:jc w:val="both"/>
              <w:rPr>
                <w:sz w:val="20"/>
                <w:szCs w:val="20"/>
              </w:rPr>
            </w:pPr>
          </w:p>
          <w:p w:rsidR="00C14E98" w:rsidRPr="00061C11" w:rsidRDefault="00C14E98" w:rsidP="00726999">
            <w:pPr>
              <w:jc w:val="both"/>
              <w:rPr>
                <w:sz w:val="20"/>
                <w:szCs w:val="20"/>
              </w:rPr>
            </w:pPr>
            <w:r w:rsidRPr="00061C11">
              <w:rPr>
                <w:sz w:val="20"/>
                <w:szCs w:val="20"/>
              </w:rPr>
              <w:t>Christa Big Canoe</w:t>
            </w:r>
            <w:r>
              <w:rPr>
                <w:sz w:val="20"/>
                <w:szCs w:val="20"/>
              </w:rPr>
              <w:t xml:space="preserve"> and </w:t>
            </w:r>
            <w:r w:rsidRPr="00061C11">
              <w:rPr>
                <w:sz w:val="20"/>
                <w:szCs w:val="20"/>
              </w:rPr>
              <w:t>Jonathan Rudin</w:t>
            </w:r>
            <w:r>
              <w:rPr>
                <w:sz w:val="20"/>
                <w:szCs w:val="20"/>
              </w:rPr>
              <w:t xml:space="preserve"> f</w:t>
            </w:r>
            <w:r w:rsidRPr="00061C11">
              <w:rPr>
                <w:sz w:val="20"/>
                <w:szCs w:val="20"/>
              </w:rPr>
              <w:t xml:space="preserve">or the </w:t>
            </w:r>
            <w:r>
              <w:rPr>
                <w:sz w:val="20"/>
                <w:szCs w:val="20"/>
              </w:rPr>
              <w:t>i</w:t>
            </w:r>
            <w:r w:rsidRPr="00061C11">
              <w:rPr>
                <w:sz w:val="20"/>
                <w:szCs w:val="20"/>
              </w:rPr>
              <w:t>ntervener</w:t>
            </w:r>
            <w:r>
              <w:rPr>
                <w:sz w:val="20"/>
                <w:szCs w:val="20"/>
              </w:rPr>
              <w:t xml:space="preserve"> </w:t>
            </w:r>
            <w:r w:rsidRPr="00061C11">
              <w:rPr>
                <w:sz w:val="20"/>
                <w:szCs w:val="20"/>
              </w:rPr>
              <w:t>Aboriginal Legal Services of Toronto Inc.</w:t>
            </w:r>
          </w:p>
          <w:p w:rsidR="00C14E98" w:rsidRPr="00061C11" w:rsidRDefault="00C14E98" w:rsidP="00726999">
            <w:pPr>
              <w:jc w:val="both"/>
              <w:rPr>
                <w:sz w:val="20"/>
                <w:szCs w:val="20"/>
              </w:rPr>
            </w:pPr>
          </w:p>
          <w:p w:rsidR="008802EB" w:rsidRPr="00AE41EE" w:rsidRDefault="00C14E98" w:rsidP="00726999">
            <w:pPr>
              <w:widowControl w:val="0"/>
              <w:jc w:val="both"/>
              <w:rPr>
                <w:sz w:val="20"/>
                <w:szCs w:val="20"/>
              </w:rPr>
            </w:pPr>
            <w:r w:rsidRPr="00061C11">
              <w:rPr>
                <w:sz w:val="20"/>
                <w:szCs w:val="20"/>
              </w:rPr>
              <w:t>Julian N. Falconer</w:t>
            </w:r>
            <w:r>
              <w:rPr>
                <w:sz w:val="20"/>
                <w:szCs w:val="20"/>
              </w:rPr>
              <w:t xml:space="preserve">, </w:t>
            </w:r>
            <w:r w:rsidRPr="00061C11">
              <w:rPr>
                <w:sz w:val="20"/>
                <w:szCs w:val="20"/>
              </w:rPr>
              <w:t>Julian Roy</w:t>
            </w:r>
            <w:r>
              <w:rPr>
                <w:sz w:val="20"/>
                <w:szCs w:val="20"/>
              </w:rPr>
              <w:t xml:space="preserve"> and </w:t>
            </w:r>
            <w:r w:rsidRPr="00061C11">
              <w:rPr>
                <w:sz w:val="20"/>
                <w:szCs w:val="20"/>
              </w:rPr>
              <w:t>Marc E. Gibson</w:t>
            </w:r>
            <w:r>
              <w:rPr>
                <w:sz w:val="20"/>
                <w:szCs w:val="20"/>
              </w:rPr>
              <w:t xml:space="preserve"> f</w:t>
            </w:r>
            <w:r w:rsidRPr="00061C11">
              <w:rPr>
                <w:sz w:val="20"/>
                <w:szCs w:val="20"/>
              </w:rPr>
              <w:t xml:space="preserve">or the </w:t>
            </w:r>
            <w:r>
              <w:rPr>
                <w:sz w:val="20"/>
                <w:szCs w:val="20"/>
              </w:rPr>
              <w:t>i</w:t>
            </w:r>
            <w:r w:rsidRPr="00061C11">
              <w:rPr>
                <w:sz w:val="20"/>
                <w:szCs w:val="20"/>
              </w:rPr>
              <w:t>ntervener</w:t>
            </w:r>
            <w:r>
              <w:rPr>
                <w:sz w:val="20"/>
                <w:szCs w:val="20"/>
              </w:rPr>
              <w:t xml:space="preserve">  </w:t>
            </w:r>
            <w:r w:rsidRPr="00061C11">
              <w:rPr>
                <w:sz w:val="20"/>
                <w:szCs w:val="20"/>
              </w:rPr>
              <w:t>Nishnawbe Aski Nation</w:t>
            </w:r>
            <w:r>
              <w:rPr>
                <w:sz w:val="20"/>
                <w:szCs w:val="20"/>
              </w:rPr>
              <w:t>.</w:t>
            </w:r>
          </w:p>
        </w:tc>
      </w:tr>
    </w:tbl>
    <w:p w:rsidR="008802EB" w:rsidRPr="00AE41EE" w:rsidRDefault="008802EB" w:rsidP="008802EB">
      <w:pPr>
        <w:widowControl w:val="0"/>
        <w:rPr>
          <w:sz w:val="20"/>
          <w:szCs w:val="20"/>
        </w:rPr>
      </w:pPr>
    </w:p>
    <w:p w:rsidR="008802EB" w:rsidRPr="0085476B" w:rsidRDefault="008802EB" w:rsidP="008802EB">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8802EB" w:rsidRDefault="008802EB" w:rsidP="008802EB"/>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8802EB" w:rsidRPr="008802EB" w:rsidTr="008802EB">
        <w:tc>
          <w:tcPr>
            <w:tcW w:w="4380" w:type="dxa"/>
            <w:tcMar>
              <w:left w:w="0" w:type="dxa"/>
              <w:right w:w="0" w:type="dxa"/>
            </w:tcMar>
          </w:tcPr>
          <w:p w:rsidR="008802EB" w:rsidRPr="00CC4D84" w:rsidRDefault="008802EB" w:rsidP="008802EB">
            <w:pPr>
              <w:widowControl w:val="0"/>
              <w:jc w:val="both"/>
              <w:rPr>
                <w:b/>
                <w:sz w:val="20"/>
                <w:szCs w:val="20"/>
                <w:u w:val="single"/>
              </w:rPr>
            </w:pPr>
            <w:r w:rsidRPr="00CC4D84">
              <w:rPr>
                <w:b/>
                <w:sz w:val="20"/>
                <w:szCs w:val="20"/>
                <w:u w:val="single"/>
              </w:rPr>
              <w:t>Nature of the case:</w:t>
            </w:r>
          </w:p>
          <w:p w:rsidR="008802EB" w:rsidRPr="001A663B" w:rsidRDefault="008802EB" w:rsidP="008802EB">
            <w:pPr>
              <w:widowControl w:val="0"/>
              <w:jc w:val="both"/>
              <w:rPr>
                <w:b/>
                <w:sz w:val="20"/>
                <w:szCs w:val="20"/>
              </w:rPr>
            </w:pPr>
          </w:p>
          <w:p w:rsidR="00D01417" w:rsidRPr="00453451" w:rsidRDefault="00D01417" w:rsidP="00D01417">
            <w:pPr>
              <w:jc w:val="both"/>
              <w:rPr>
                <w:sz w:val="20"/>
                <w:szCs w:val="20"/>
              </w:rPr>
            </w:pPr>
            <w:r w:rsidRPr="00453451">
              <w:rPr>
                <w:i/>
                <w:sz w:val="20"/>
                <w:szCs w:val="20"/>
              </w:rPr>
              <w:t>Canadian Charter of Rights and Freedoms</w:t>
            </w:r>
            <w:r w:rsidRPr="00453451">
              <w:rPr>
                <w:sz w:val="20"/>
                <w:szCs w:val="20"/>
              </w:rPr>
              <w:t xml:space="preserve"> - Criminal law - Jury selection - Representativeness of jury - Accused appealing manslaughter conviction on basis that right to representative jury violated - Court of Appeal allowing the appeal and ordering a new trial - What is the meaning of jury representativeness, and how is it assessed? - Whether state fulfilled its representativeness obligation in compiling 2008 Kenora jury roll - What is the appropriate approach to remedy if there is a problem with jury representativeness? - </w:t>
            </w:r>
            <w:r w:rsidRPr="00453451">
              <w:rPr>
                <w:i/>
                <w:sz w:val="20"/>
                <w:szCs w:val="20"/>
              </w:rPr>
              <w:t>Canadian Charter of Rights and Freedoms</w:t>
            </w:r>
            <w:r w:rsidRPr="00453451">
              <w:rPr>
                <w:sz w:val="20"/>
                <w:szCs w:val="20"/>
              </w:rPr>
              <w:t>, ss. 11(</w:t>
            </w:r>
            <w:r w:rsidRPr="00453451">
              <w:rPr>
                <w:i/>
                <w:sz w:val="20"/>
                <w:szCs w:val="20"/>
              </w:rPr>
              <w:t>d</w:t>
            </w:r>
            <w:r w:rsidRPr="00453451">
              <w:rPr>
                <w:sz w:val="20"/>
                <w:szCs w:val="20"/>
              </w:rPr>
              <w:t>) and (</w:t>
            </w:r>
            <w:r w:rsidRPr="00453451">
              <w:rPr>
                <w:i/>
                <w:sz w:val="20"/>
                <w:szCs w:val="20"/>
              </w:rPr>
              <w:t>f</w:t>
            </w:r>
            <w:r w:rsidRPr="00453451">
              <w:rPr>
                <w:sz w:val="20"/>
                <w:szCs w:val="20"/>
              </w:rPr>
              <w:t xml:space="preserve">) - </w:t>
            </w:r>
            <w:r w:rsidRPr="00453451">
              <w:rPr>
                <w:i/>
                <w:sz w:val="20"/>
                <w:szCs w:val="20"/>
              </w:rPr>
              <w:t>Juries Act</w:t>
            </w:r>
            <w:r w:rsidRPr="00453451">
              <w:rPr>
                <w:sz w:val="20"/>
                <w:szCs w:val="20"/>
              </w:rPr>
              <w:t>, R.S.O. 1990, c. J. 3, s. 6(8).</w:t>
            </w:r>
          </w:p>
          <w:p w:rsidR="008802EB" w:rsidRPr="00C1697B" w:rsidRDefault="008802EB" w:rsidP="008802EB">
            <w:pPr>
              <w:widowControl w:val="0"/>
              <w:jc w:val="both"/>
              <w:rPr>
                <w:b/>
                <w:sz w:val="20"/>
                <w:szCs w:val="20"/>
              </w:rPr>
            </w:pPr>
          </w:p>
        </w:tc>
        <w:tc>
          <w:tcPr>
            <w:tcW w:w="720" w:type="dxa"/>
            <w:tcMar>
              <w:left w:w="0" w:type="dxa"/>
              <w:right w:w="0" w:type="dxa"/>
            </w:tcMar>
          </w:tcPr>
          <w:p w:rsidR="008802EB" w:rsidRPr="00C1697B" w:rsidRDefault="008802EB" w:rsidP="008802EB">
            <w:pPr>
              <w:widowControl w:val="0"/>
              <w:jc w:val="center"/>
              <w:rPr>
                <w:sz w:val="20"/>
                <w:szCs w:val="20"/>
              </w:rPr>
            </w:pPr>
          </w:p>
        </w:tc>
        <w:tc>
          <w:tcPr>
            <w:tcW w:w="4380" w:type="dxa"/>
            <w:tcMar>
              <w:left w:w="0" w:type="dxa"/>
              <w:right w:w="0" w:type="dxa"/>
            </w:tcMar>
          </w:tcPr>
          <w:p w:rsidR="008802EB" w:rsidRPr="00CC4D84" w:rsidRDefault="008802EB" w:rsidP="008802EB">
            <w:pPr>
              <w:widowControl w:val="0"/>
              <w:jc w:val="both"/>
              <w:rPr>
                <w:b/>
                <w:sz w:val="20"/>
                <w:szCs w:val="20"/>
                <w:u w:val="single"/>
                <w:lang w:val="fr-CA"/>
              </w:rPr>
            </w:pPr>
            <w:r w:rsidRPr="00CC4D84">
              <w:rPr>
                <w:b/>
                <w:sz w:val="20"/>
                <w:szCs w:val="20"/>
                <w:u w:val="single"/>
                <w:lang w:val="fr-CA"/>
              </w:rPr>
              <w:t>Nature de la cause :</w:t>
            </w:r>
          </w:p>
          <w:p w:rsidR="008802EB" w:rsidRPr="00C1697B" w:rsidRDefault="008802EB" w:rsidP="008802EB">
            <w:pPr>
              <w:widowControl w:val="0"/>
              <w:jc w:val="both"/>
              <w:rPr>
                <w:sz w:val="20"/>
                <w:szCs w:val="20"/>
                <w:lang w:val="fr-CA"/>
              </w:rPr>
            </w:pPr>
          </w:p>
          <w:p w:rsidR="008802EB" w:rsidRPr="00C1697B" w:rsidRDefault="00D01417" w:rsidP="00D01417">
            <w:pPr>
              <w:jc w:val="both"/>
              <w:rPr>
                <w:sz w:val="20"/>
                <w:szCs w:val="20"/>
                <w:lang w:val="fr-CA"/>
              </w:rPr>
            </w:pPr>
            <w:r w:rsidRPr="00A92FFB">
              <w:rPr>
                <w:i/>
                <w:sz w:val="20"/>
                <w:szCs w:val="20"/>
                <w:lang w:val="fr-CA"/>
              </w:rPr>
              <w:t xml:space="preserve">Charte canadienne des droits et libertés </w:t>
            </w:r>
            <w:r w:rsidRPr="00A92FFB">
              <w:rPr>
                <w:sz w:val="20"/>
                <w:szCs w:val="20"/>
                <w:lang w:val="fr-CA"/>
              </w:rPr>
              <w:t>- Droit criminel - Sélection des jurés - Représentativité du jury - L’accusé a interjeté appel de la déclaration de culpabilité d’homicide involontaire coupable, plaidant que son droit à un jury représentatif avait été violé - La Cour d’appel a accueilli l’appel et ordonné un nouveau procès - Qu’entend-on par la représentativité du jury et comment est-elle évaluée? - L’État s’est-il acquitté de son obligation en matière de représentativité en établissant la liste de jurés de Kenora en 2008? - Comment faut-il aborder la question de la réparation s’il y a un problème de représentativité du jury? -</w:t>
            </w:r>
            <w:r w:rsidRPr="00A92FFB">
              <w:rPr>
                <w:i/>
                <w:sz w:val="20"/>
                <w:szCs w:val="20"/>
                <w:lang w:val="fr-CA"/>
              </w:rPr>
              <w:t xml:space="preserve"> Charte canadienne des droits et libertés</w:t>
            </w:r>
            <w:r w:rsidRPr="00A92FFB">
              <w:rPr>
                <w:sz w:val="20"/>
                <w:szCs w:val="20"/>
                <w:lang w:val="fr-CA"/>
              </w:rPr>
              <w:t>, al. 11</w:t>
            </w:r>
            <w:r w:rsidRPr="00A92FFB">
              <w:rPr>
                <w:i/>
                <w:sz w:val="20"/>
                <w:szCs w:val="20"/>
                <w:lang w:val="fr-CA"/>
              </w:rPr>
              <w:t>d</w:t>
            </w:r>
            <w:r w:rsidRPr="00A92FFB">
              <w:rPr>
                <w:sz w:val="20"/>
                <w:szCs w:val="20"/>
                <w:lang w:val="fr-CA"/>
              </w:rPr>
              <w:t xml:space="preserve">) et </w:t>
            </w:r>
            <w:r w:rsidRPr="00A92FFB">
              <w:rPr>
                <w:i/>
                <w:sz w:val="20"/>
                <w:szCs w:val="20"/>
                <w:lang w:val="fr-CA"/>
              </w:rPr>
              <w:t>f</w:t>
            </w:r>
            <w:r w:rsidRPr="00A92FFB">
              <w:rPr>
                <w:sz w:val="20"/>
                <w:szCs w:val="20"/>
                <w:lang w:val="fr-CA"/>
              </w:rPr>
              <w:t>) -</w:t>
            </w:r>
            <w:r w:rsidRPr="00A92FFB">
              <w:rPr>
                <w:i/>
                <w:sz w:val="20"/>
                <w:szCs w:val="20"/>
                <w:lang w:val="fr-CA"/>
              </w:rPr>
              <w:t xml:space="preserve"> Loi sur les jurys</w:t>
            </w:r>
            <w:r w:rsidRPr="00A92FFB">
              <w:rPr>
                <w:sz w:val="20"/>
                <w:szCs w:val="20"/>
                <w:lang w:val="fr-CA"/>
              </w:rPr>
              <w:t>, L.R.O. 1990, ch. J. 3, par. 6(8).</w:t>
            </w:r>
          </w:p>
        </w:tc>
      </w:tr>
    </w:tbl>
    <w:p w:rsidR="008802EB" w:rsidRDefault="008802EB" w:rsidP="008802EB">
      <w:pPr>
        <w:widowControl w:val="0"/>
        <w:rPr>
          <w:sz w:val="20"/>
          <w:szCs w:val="20"/>
          <w:lang w:val="fr-CA"/>
        </w:rPr>
      </w:pPr>
    </w:p>
    <w:p w:rsidR="008802EB" w:rsidRDefault="00F677DC" w:rsidP="008802EB">
      <w:pPr>
        <w:widowControl w:val="0"/>
        <w:rPr>
          <w:sz w:val="20"/>
          <w:szCs w:val="20"/>
        </w:rPr>
      </w:pPr>
      <w:r>
        <w:rPr>
          <w:sz w:val="20"/>
          <w:szCs w:val="20"/>
          <w:lang w:val="fr-CA"/>
        </w:rPr>
        <w:pict>
          <v:rect id="_x0000_i1095" style="width:2in;height:1pt" o:hrpct="0" o:hralign="center" o:hrstd="t" o:hrnoshade="t" o:hr="t" fillcolor="black [3213]" stroked="f"/>
        </w:pict>
      </w:r>
    </w:p>
    <w:p w:rsidR="008802EB" w:rsidRDefault="008802EB" w:rsidP="008802EB">
      <w:pPr>
        <w:widowControl w:val="0"/>
        <w:rPr>
          <w:sz w:val="20"/>
          <w:szCs w:val="20"/>
        </w:rPr>
      </w:pPr>
    </w:p>
    <w:p w:rsidR="008802EB" w:rsidRPr="008802EB" w:rsidRDefault="008802EB" w:rsidP="008802EB">
      <w:pPr>
        <w:widowControl w:val="0"/>
        <w:rPr>
          <w:sz w:val="20"/>
          <w:szCs w:val="20"/>
        </w:rPr>
      </w:pPr>
      <w:r w:rsidRPr="008802EB">
        <w:rPr>
          <w:sz w:val="20"/>
          <w:szCs w:val="20"/>
        </w:rPr>
        <w:t>0</w:t>
      </w:r>
      <w:r>
        <w:rPr>
          <w:sz w:val="20"/>
          <w:szCs w:val="20"/>
        </w:rPr>
        <w:t>7</w:t>
      </w:r>
      <w:r w:rsidRPr="008802EB">
        <w:rPr>
          <w:sz w:val="20"/>
          <w:szCs w:val="20"/>
        </w:rPr>
        <w:t>.10.2014</w:t>
      </w:r>
    </w:p>
    <w:p w:rsidR="008802EB" w:rsidRDefault="008802EB" w:rsidP="008802EB">
      <w:pPr>
        <w:widowControl w:val="0"/>
        <w:rPr>
          <w:sz w:val="20"/>
          <w:szCs w:val="20"/>
        </w:rPr>
      </w:pPr>
    </w:p>
    <w:p w:rsidR="00C14E98" w:rsidRPr="00F57896" w:rsidRDefault="00C14E98" w:rsidP="00C14E98">
      <w:pPr>
        <w:widowControl w:val="0"/>
        <w:ind w:left="720" w:hanging="720"/>
        <w:rPr>
          <w:sz w:val="20"/>
          <w:szCs w:val="20"/>
          <w:u w:val="single"/>
        </w:rPr>
      </w:pPr>
      <w:r w:rsidRPr="00F57896">
        <w:rPr>
          <w:sz w:val="20"/>
          <w:szCs w:val="20"/>
        </w:rPr>
        <w:t xml:space="preserve">Coram: </w:t>
      </w:r>
      <w:r w:rsidRPr="00F57896">
        <w:rPr>
          <w:sz w:val="20"/>
          <w:szCs w:val="20"/>
        </w:rPr>
        <w:tab/>
      </w:r>
      <w:r w:rsidRPr="00F57896">
        <w:rPr>
          <w:sz w:val="20"/>
          <w:szCs w:val="20"/>
          <w:u w:val="single"/>
        </w:rPr>
        <w:t>McLachlin C.J. and Abella, Rothstein, Cromwell, Moldaver, Wagner and Gascon JJ.</w:t>
      </w:r>
    </w:p>
    <w:p w:rsidR="006D77C0" w:rsidRDefault="006D77C0">
      <w:pPr>
        <w:rPr>
          <w:sz w:val="20"/>
          <w:szCs w:val="20"/>
        </w:rPr>
      </w:pPr>
    </w:p>
    <w:p w:rsidR="006D77C0" w:rsidRDefault="006D77C0">
      <w:pPr>
        <w:rPr>
          <w:sz w:val="20"/>
          <w:szCs w:val="20"/>
        </w:rPr>
      </w:pPr>
      <w:r>
        <w:rPr>
          <w:sz w:val="20"/>
          <w:szCs w:val="20"/>
        </w:rPr>
        <w:br w:type="page"/>
      </w: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8802EB" w:rsidRPr="008802EB" w:rsidTr="008802EB">
        <w:tc>
          <w:tcPr>
            <w:tcW w:w="4380" w:type="dxa"/>
            <w:tcMar>
              <w:left w:w="0" w:type="dxa"/>
              <w:right w:w="0" w:type="dxa"/>
            </w:tcMar>
          </w:tcPr>
          <w:p w:rsidR="00C14E98" w:rsidRDefault="00C14E98" w:rsidP="00C14E98">
            <w:pPr>
              <w:rPr>
                <w:rFonts w:eastAsia="Calibri"/>
                <w:b/>
                <w:iCs/>
                <w:sz w:val="20"/>
                <w:szCs w:val="20"/>
              </w:rPr>
            </w:pPr>
            <w:r w:rsidRPr="00F57896">
              <w:rPr>
                <w:rFonts w:eastAsia="Calibri"/>
                <w:b/>
                <w:iCs/>
                <w:sz w:val="20"/>
                <w:szCs w:val="20"/>
              </w:rPr>
              <w:lastRenderedPageBreak/>
              <w:t xml:space="preserve">White Burgess Langille Inman, carrying on business as WBLI Chartered Accountants et al. </w:t>
            </w:r>
          </w:p>
          <w:p w:rsidR="00C14E98" w:rsidRDefault="00C14E98" w:rsidP="00C14E98">
            <w:pPr>
              <w:rPr>
                <w:rFonts w:eastAsia="Calibri"/>
                <w:b/>
                <w:iCs/>
                <w:sz w:val="20"/>
                <w:szCs w:val="20"/>
              </w:rPr>
            </w:pPr>
          </w:p>
          <w:p w:rsidR="00C14E98" w:rsidRDefault="00C14E98" w:rsidP="00C14E98">
            <w:pPr>
              <w:rPr>
                <w:rFonts w:eastAsia="Calibri"/>
                <w:b/>
                <w:iCs/>
                <w:sz w:val="20"/>
                <w:szCs w:val="20"/>
              </w:rPr>
            </w:pPr>
            <w:r>
              <w:rPr>
                <w:rFonts w:eastAsia="Calibri"/>
                <w:b/>
                <w:iCs/>
                <w:sz w:val="20"/>
                <w:szCs w:val="20"/>
              </w:rPr>
              <w:tab/>
            </w:r>
            <w:r w:rsidRPr="00F57896">
              <w:rPr>
                <w:rFonts w:eastAsia="Calibri"/>
                <w:b/>
                <w:iCs/>
                <w:sz w:val="20"/>
                <w:szCs w:val="20"/>
              </w:rPr>
              <w:t xml:space="preserve">v. </w:t>
            </w:r>
            <w:r w:rsidRPr="00F57896">
              <w:rPr>
                <w:rFonts w:eastAsia="Calibri"/>
                <w:iCs/>
                <w:sz w:val="20"/>
                <w:szCs w:val="20"/>
              </w:rPr>
              <w:t>(</w:t>
            </w:r>
            <w:hyperlink r:id="rId72" w:history="1">
              <w:r w:rsidRPr="00F57896">
                <w:rPr>
                  <w:rStyle w:val="Hyperlink"/>
                  <w:rFonts w:eastAsia="Calibri"/>
                  <w:iCs/>
                  <w:sz w:val="20"/>
                  <w:szCs w:val="20"/>
                </w:rPr>
                <w:t>35492</w:t>
              </w:r>
            </w:hyperlink>
            <w:r w:rsidRPr="00F57896">
              <w:rPr>
                <w:rFonts w:eastAsia="Calibri"/>
                <w:iCs/>
                <w:sz w:val="20"/>
                <w:szCs w:val="20"/>
              </w:rPr>
              <w:t>)</w:t>
            </w:r>
          </w:p>
          <w:p w:rsidR="00C14E98" w:rsidRDefault="00C14E98" w:rsidP="00C14E98">
            <w:pPr>
              <w:rPr>
                <w:rFonts w:eastAsia="Calibri"/>
                <w:b/>
                <w:iCs/>
                <w:sz w:val="20"/>
                <w:szCs w:val="20"/>
              </w:rPr>
            </w:pPr>
          </w:p>
          <w:p w:rsidR="008802EB" w:rsidRPr="008802EB" w:rsidRDefault="00C14E98" w:rsidP="00C14E98">
            <w:pPr>
              <w:rPr>
                <w:sz w:val="20"/>
                <w:szCs w:val="20"/>
              </w:rPr>
            </w:pPr>
            <w:r w:rsidRPr="00F57896">
              <w:rPr>
                <w:rFonts w:eastAsia="Calibri"/>
                <w:b/>
                <w:iCs/>
                <w:sz w:val="20"/>
                <w:szCs w:val="20"/>
              </w:rPr>
              <w:t xml:space="preserve">Abbott and Haliburton Company Limited et al. </w:t>
            </w:r>
            <w:r w:rsidRPr="00C14E98">
              <w:rPr>
                <w:rFonts w:eastAsia="Calibri"/>
                <w:b/>
                <w:iCs/>
                <w:sz w:val="20"/>
                <w:szCs w:val="20"/>
              </w:rPr>
              <w:t>(N.S.) (Civil) (By Leave)</w:t>
            </w:r>
            <w:r w:rsidRPr="00F57896">
              <w:rPr>
                <w:rFonts w:eastAsia="Calibri"/>
                <w:iCs/>
                <w:sz w:val="20"/>
                <w:szCs w:val="20"/>
              </w:rPr>
              <w:t xml:space="preserve"> </w:t>
            </w:r>
          </w:p>
        </w:tc>
        <w:tc>
          <w:tcPr>
            <w:tcW w:w="720" w:type="dxa"/>
            <w:tcMar>
              <w:left w:w="0" w:type="dxa"/>
              <w:right w:w="0" w:type="dxa"/>
            </w:tcMar>
          </w:tcPr>
          <w:p w:rsidR="008802EB" w:rsidRPr="008802EB" w:rsidRDefault="008802EB" w:rsidP="008802EB">
            <w:pPr>
              <w:widowControl w:val="0"/>
              <w:jc w:val="center"/>
              <w:rPr>
                <w:sz w:val="20"/>
                <w:szCs w:val="20"/>
              </w:rPr>
            </w:pPr>
          </w:p>
        </w:tc>
        <w:tc>
          <w:tcPr>
            <w:tcW w:w="4380" w:type="dxa"/>
            <w:tcMar>
              <w:left w:w="0" w:type="dxa"/>
              <w:right w:w="0" w:type="dxa"/>
            </w:tcMar>
          </w:tcPr>
          <w:p w:rsidR="00726999" w:rsidRDefault="00726999" w:rsidP="00726999">
            <w:pPr>
              <w:jc w:val="both"/>
              <w:rPr>
                <w:sz w:val="20"/>
                <w:szCs w:val="20"/>
              </w:rPr>
            </w:pPr>
            <w:r w:rsidRPr="004F0CA9">
              <w:rPr>
                <w:sz w:val="20"/>
                <w:szCs w:val="20"/>
              </w:rPr>
              <w:t>Alan D’Silva</w:t>
            </w:r>
            <w:r>
              <w:rPr>
                <w:sz w:val="20"/>
                <w:szCs w:val="20"/>
              </w:rPr>
              <w:t xml:space="preserve">, </w:t>
            </w:r>
            <w:r w:rsidRPr="004F0CA9">
              <w:rPr>
                <w:sz w:val="20"/>
                <w:szCs w:val="20"/>
              </w:rPr>
              <w:t>James Wilson</w:t>
            </w:r>
            <w:r>
              <w:rPr>
                <w:sz w:val="20"/>
                <w:szCs w:val="20"/>
              </w:rPr>
              <w:t xml:space="preserve"> and </w:t>
            </w:r>
            <w:r w:rsidRPr="004F0CA9">
              <w:rPr>
                <w:sz w:val="20"/>
                <w:szCs w:val="20"/>
              </w:rPr>
              <w:t>Aaron Kreaden</w:t>
            </w:r>
            <w:r>
              <w:rPr>
                <w:sz w:val="20"/>
                <w:szCs w:val="20"/>
              </w:rPr>
              <w:t xml:space="preserve"> f</w:t>
            </w:r>
            <w:r w:rsidRPr="004F0CA9">
              <w:rPr>
                <w:sz w:val="20"/>
                <w:szCs w:val="20"/>
              </w:rPr>
              <w:t xml:space="preserve">or the </w:t>
            </w:r>
            <w:r>
              <w:rPr>
                <w:sz w:val="20"/>
                <w:szCs w:val="20"/>
              </w:rPr>
              <w:t>a</w:t>
            </w:r>
            <w:r w:rsidRPr="004F0CA9">
              <w:rPr>
                <w:sz w:val="20"/>
                <w:szCs w:val="20"/>
              </w:rPr>
              <w:t>ppellant</w:t>
            </w:r>
            <w:r>
              <w:rPr>
                <w:sz w:val="20"/>
                <w:szCs w:val="20"/>
              </w:rPr>
              <w:t>.</w:t>
            </w:r>
          </w:p>
          <w:p w:rsidR="00726999" w:rsidRDefault="00726999" w:rsidP="00726999">
            <w:pPr>
              <w:jc w:val="both"/>
              <w:rPr>
                <w:sz w:val="20"/>
                <w:szCs w:val="20"/>
              </w:rPr>
            </w:pPr>
          </w:p>
          <w:p w:rsidR="00726999" w:rsidRPr="00726999" w:rsidRDefault="00726999" w:rsidP="00726999">
            <w:pPr>
              <w:jc w:val="both"/>
              <w:rPr>
                <w:sz w:val="20"/>
                <w:szCs w:val="20"/>
              </w:rPr>
            </w:pPr>
            <w:r w:rsidRPr="00726999">
              <w:rPr>
                <w:sz w:val="20"/>
                <w:szCs w:val="20"/>
              </w:rPr>
              <w:t>Matthew Gourlay for the Intervener Criminal Lawyers’ Association (Ontario).</w:t>
            </w:r>
          </w:p>
          <w:p w:rsidR="00726999" w:rsidRDefault="00726999" w:rsidP="00726999">
            <w:pPr>
              <w:jc w:val="both"/>
              <w:rPr>
                <w:sz w:val="20"/>
                <w:szCs w:val="20"/>
              </w:rPr>
            </w:pPr>
          </w:p>
          <w:p w:rsidR="00726999" w:rsidRDefault="00726999" w:rsidP="00726999">
            <w:pPr>
              <w:jc w:val="both"/>
              <w:rPr>
                <w:sz w:val="20"/>
                <w:szCs w:val="20"/>
              </w:rPr>
            </w:pPr>
            <w:r w:rsidRPr="004F0CA9">
              <w:rPr>
                <w:sz w:val="20"/>
                <w:szCs w:val="20"/>
              </w:rPr>
              <w:t>Jon Laxer</w:t>
            </w:r>
            <w:r>
              <w:rPr>
                <w:sz w:val="20"/>
                <w:szCs w:val="20"/>
              </w:rPr>
              <w:t xml:space="preserve"> and </w:t>
            </w:r>
            <w:r w:rsidRPr="004F0CA9">
              <w:rPr>
                <w:sz w:val="20"/>
                <w:szCs w:val="20"/>
              </w:rPr>
              <w:t>Brian F.P. Murphy</w:t>
            </w:r>
            <w:r>
              <w:rPr>
                <w:sz w:val="20"/>
                <w:szCs w:val="20"/>
              </w:rPr>
              <w:t xml:space="preserve"> f</w:t>
            </w:r>
            <w:r w:rsidRPr="004F0CA9">
              <w:rPr>
                <w:sz w:val="20"/>
                <w:szCs w:val="20"/>
              </w:rPr>
              <w:t xml:space="preserve">or the </w:t>
            </w:r>
            <w:r>
              <w:rPr>
                <w:sz w:val="20"/>
                <w:szCs w:val="20"/>
              </w:rPr>
              <w:t>re</w:t>
            </w:r>
            <w:r w:rsidRPr="004F0CA9">
              <w:rPr>
                <w:sz w:val="20"/>
                <w:szCs w:val="20"/>
              </w:rPr>
              <w:t>spondents</w:t>
            </w:r>
            <w:r>
              <w:rPr>
                <w:sz w:val="20"/>
                <w:szCs w:val="20"/>
              </w:rPr>
              <w:t>.</w:t>
            </w:r>
          </w:p>
          <w:p w:rsidR="00726999" w:rsidRDefault="00726999" w:rsidP="00726999">
            <w:pPr>
              <w:jc w:val="both"/>
              <w:rPr>
                <w:sz w:val="20"/>
                <w:szCs w:val="20"/>
              </w:rPr>
            </w:pPr>
          </w:p>
          <w:p w:rsidR="008802EB" w:rsidRPr="008802EB" w:rsidRDefault="00726999" w:rsidP="00726999">
            <w:pPr>
              <w:jc w:val="both"/>
              <w:rPr>
                <w:sz w:val="20"/>
                <w:szCs w:val="20"/>
              </w:rPr>
            </w:pPr>
            <w:r w:rsidRPr="004F0CA9">
              <w:rPr>
                <w:sz w:val="20"/>
                <w:szCs w:val="20"/>
              </w:rPr>
              <w:t>Michael H. Morris</w:t>
            </w:r>
            <w:r>
              <w:rPr>
                <w:sz w:val="20"/>
                <w:szCs w:val="20"/>
              </w:rPr>
              <w:t xml:space="preserve"> f</w:t>
            </w:r>
            <w:r w:rsidRPr="004F0CA9">
              <w:rPr>
                <w:sz w:val="20"/>
                <w:szCs w:val="20"/>
              </w:rPr>
              <w:t xml:space="preserve">or the </w:t>
            </w:r>
            <w:r>
              <w:rPr>
                <w:sz w:val="20"/>
                <w:szCs w:val="20"/>
              </w:rPr>
              <w:t>i</w:t>
            </w:r>
            <w:r w:rsidRPr="004F0CA9">
              <w:rPr>
                <w:sz w:val="20"/>
                <w:szCs w:val="20"/>
              </w:rPr>
              <w:t>ntervener</w:t>
            </w:r>
            <w:r>
              <w:rPr>
                <w:sz w:val="20"/>
                <w:szCs w:val="20"/>
              </w:rPr>
              <w:t xml:space="preserve"> </w:t>
            </w:r>
            <w:r w:rsidRPr="004F0CA9">
              <w:rPr>
                <w:sz w:val="20"/>
                <w:szCs w:val="20"/>
              </w:rPr>
              <w:t>Attorney General of Canada</w:t>
            </w:r>
            <w:r>
              <w:rPr>
                <w:sz w:val="20"/>
                <w:szCs w:val="20"/>
              </w:rPr>
              <w:t>.</w:t>
            </w:r>
          </w:p>
        </w:tc>
      </w:tr>
    </w:tbl>
    <w:p w:rsidR="008802EB" w:rsidRPr="008802EB" w:rsidRDefault="008802EB" w:rsidP="008802EB">
      <w:pPr>
        <w:widowControl w:val="0"/>
        <w:rPr>
          <w:sz w:val="20"/>
          <w:szCs w:val="20"/>
        </w:rPr>
      </w:pPr>
    </w:p>
    <w:p w:rsidR="008802EB" w:rsidRPr="0085476B" w:rsidRDefault="008802EB" w:rsidP="008802EB">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8802EB" w:rsidRDefault="008802EB" w:rsidP="008802EB"/>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8802EB" w:rsidRPr="008802EB" w:rsidTr="008802EB">
        <w:tc>
          <w:tcPr>
            <w:tcW w:w="4380" w:type="dxa"/>
            <w:tcMar>
              <w:left w:w="0" w:type="dxa"/>
              <w:right w:w="0" w:type="dxa"/>
            </w:tcMar>
          </w:tcPr>
          <w:p w:rsidR="008802EB" w:rsidRPr="00CC4D84" w:rsidRDefault="008802EB" w:rsidP="008802EB">
            <w:pPr>
              <w:widowControl w:val="0"/>
              <w:jc w:val="both"/>
              <w:rPr>
                <w:b/>
                <w:sz w:val="20"/>
                <w:szCs w:val="20"/>
                <w:u w:val="single"/>
              </w:rPr>
            </w:pPr>
            <w:r w:rsidRPr="00CC4D84">
              <w:rPr>
                <w:b/>
                <w:sz w:val="20"/>
                <w:szCs w:val="20"/>
                <w:u w:val="single"/>
              </w:rPr>
              <w:t>Nature of the case:</w:t>
            </w:r>
          </w:p>
          <w:p w:rsidR="008802EB" w:rsidRPr="001A663B" w:rsidRDefault="008802EB" w:rsidP="008802EB">
            <w:pPr>
              <w:widowControl w:val="0"/>
              <w:jc w:val="both"/>
              <w:rPr>
                <w:b/>
                <w:sz w:val="20"/>
                <w:szCs w:val="20"/>
              </w:rPr>
            </w:pPr>
          </w:p>
          <w:p w:rsidR="008802EB" w:rsidRPr="006D77C0" w:rsidRDefault="00D01417" w:rsidP="00D01417">
            <w:pPr>
              <w:jc w:val="both"/>
              <w:rPr>
                <w:b/>
                <w:sz w:val="20"/>
                <w:szCs w:val="20"/>
              </w:rPr>
            </w:pPr>
            <w:r w:rsidRPr="006D77C0">
              <w:rPr>
                <w:sz w:val="20"/>
                <w:szCs w:val="20"/>
              </w:rPr>
              <w:t xml:space="preserve">Evidence - Expert evidence - Admissibility - Civil procedure - Striking part or all of affidavit - Objection to report and advance ruling - Appellants applying to have respondents’ action dismissed summarily - Respondents filing expert’s report supporting their position by way of affidavit - Appellants’ preliminary motion to have report expunged from record granted on basis that affidavit fell short of requirement that expert's evidence must be seen to be independent - Whether Canadian courts should, in the exercise of their gatekeeper function, exclude a proposed expert who clearly lacks the requisite independence to qualify as an expert - </w:t>
            </w:r>
            <w:r w:rsidRPr="006D77C0">
              <w:rPr>
                <w:i/>
                <w:sz w:val="20"/>
                <w:szCs w:val="20"/>
              </w:rPr>
              <w:t>Civil Procedure Rules</w:t>
            </w:r>
            <w:r w:rsidRPr="006D77C0">
              <w:rPr>
                <w:sz w:val="20"/>
                <w:szCs w:val="20"/>
              </w:rPr>
              <w:t>, N.S. Civ. Pro. Rules 2009, rules 39, 55.</w:t>
            </w:r>
          </w:p>
        </w:tc>
        <w:tc>
          <w:tcPr>
            <w:tcW w:w="720" w:type="dxa"/>
            <w:tcMar>
              <w:left w:w="0" w:type="dxa"/>
              <w:right w:w="0" w:type="dxa"/>
            </w:tcMar>
          </w:tcPr>
          <w:p w:rsidR="008802EB" w:rsidRPr="00C1697B" w:rsidRDefault="008802EB" w:rsidP="008802EB">
            <w:pPr>
              <w:widowControl w:val="0"/>
              <w:jc w:val="center"/>
              <w:rPr>
                <w:sz w:val="20"/>
                <w:szCs w:val="20"/>
              </w:rPr>
            </w:pPr>
          </w:p>
        </w:tc>
        <w:tc>
          <w:tcPr>
            <w:tcW w:w="4380" w:type="dxa"/>
            <w:tcMar>
              <w:left w:w="0" w:type="dxa"/>
              <w:right w:w="0" w:type="dxa"/>
            </w:tcMar>
          </w:tcPr>
          <w:p w:rsidR="008802EB" w:rsidRPr="00CC4D84" w:rsidRDefault="008802EB" w:rsidP="008802EB">
            <w:pPr>
              <w:widowControl w:val="0"/>
              <w:jc w:val="both"/>
              <w:rPr>
                <w:b/>
                <w:sz w:val="20"/>
                <w:szCs w:val="20"/>
                <w:u w:val="single"/>
                <w:lang w:val="fr-CA"/>
              </w:rPr>
            </w:pPr>
            <w:r w:rsidRPr="00CC4D84">
              <w:rPr>
                <w:b/>
                <w:sz w:val="20"/>
                <w:szCs w:val="20"/>
                <w:u w:val="single"/>
                <w:lang w:val="fr-CA"/>
              </w:rPr>
              <w:t>Nature de la cause :</w:t>
            </w:r>
          </w:p>
          <w:p w:rsidR="008802EB" w:rsidRPr="00C1697B" w:rsidRDefault="008802EB" w:rsidP="008802EB">
            <w:pPr>
              <w:widowControl w:val="0"/>
              <w:jc w:val="both"/>
              <w:rPr>
                <w:sz w:val="20"/>
                <w:szCs w:val="20"/>
                <w:lang w:val="fr-CA"/>
              </w:rPr>
            </w:pPr>
          </w:p>
          <w:p w:rsidR="008802EB" w:rsidRPr="00C1697B" w:rsidRDefault="00D01417" w:rsidP="00D01417">
            <w:pPr>
              <w:jc w:val="both"/>
              <w:rPr>
                <w:sz w:val="20"/>
                <w:szCs w:val="20"/>
                <w:lang w:val="fr-CA"/>
              </w:rPr>
            </w:pPr>
            <w:r w:rsidRPr="00923096">
              <w:rPr>
                <w:sz w:val="20"/>
                <w:szCs w:val="20"/>
                <w:lang w:val="fr-CA"/>
              </w:rPr>
              <w:t>Preuve - Preuve d’expert - Admissibilité - Procédure civile - Radier un affidavit en tout ou en partie - Objection au rapport et décision anticipée - Les appelants sollicitent le rejet sommaire de l’action des intimées - Les intimées déposent par affidavit un rapport d’expert à l’appui de leur position - La requête préliminaire des appelants pour faire retirer le rapport du dossier est accueillie au motif que l’affidavit ne satisfait pas à l’exigence selon laquelle la preuve d’expert doit être considérée comme indépendante - Dans l’exercice de leur rôle de gardien, les tribunaux canadiens devraient-ils exclure un expert proposé si celui-ci n’a clairement pas l’indépendance requise pour prétendre à cette qualité - Civil Procedure Rules, N.S. Civ. Pro. Rules 2009, art. 39 et 55.</w:t>
            </w:r>
          </w:p>
        </w:tc>
      </w:tr>
    </w:tbl>
    <w:p w:rsidR="008802EB" w:rsidRDefault="008802EB" w:rsidP="008802EB">
      <w:pPr>
        <w:widowControl w:val="0"/>
        <w:rPr>
          <w:sz w:val="20"/>
          <w:szCs w:val="20"/>
          <w:lang w:val="fr-CA"/>
        </w:rPr>
      </w:pPr>
    </w:p>
    <w:p w:rsidR="008802EB" w:rsidRDefault="00F677DC" w:rsidP="008802EB">
      <w:pPr>
        <w:widowControl w:val="0"/>
        <w:rPr>
          <w:sz w:val="20"/>
          <w:szCs w:val="20"/>
        </w:rPr>
      </w:pPr>
      <w:r>
        <w:rPr>
          <w:sz w:val="20"/>
          <w:szCs w:val="20"/>
          <w:lang w:val="fr-CA"/>
        </w:rPr>
        <w:pict>
          <v:rect id="_x0000_i1096" style="width:2in;height:1pt" o:hrpct="0" o:hralign="center" o:hrstd="t" o:hrnoshade="t" o:hr="t" fillcolor="black [3213]" stroked="f"/>
        </w:pict>
      </w:r>
    </w:p>
    <w:p w:rsidR="008802EB" w:rsidRDefault="008802EB" w:rsidP="007C47C2">
      <w:pPr>
        <w:widowControl w:val="0"/>
        <w:rPr>
          <w:sz w:val="20"/>
          <w:szCs w:val="20"/>
        </w:rPr>
      </w:pPr>
    </w:p>
    <w:p w:rsidR="008802EB" w:rsidRPr="008802EB" w:rsidRDefault="008802EB" w:rsidP="008802EB">
      <w:pPr>
        <w:widowControl w:val="0"/>
        <w:rPr>
          <w:sz w:val="20"/>
          <w:szCs w:val="20"/>
          <w:lang w:val="fr-CA"/>
        </w:rPr>
      </w:pPr>
      <w:r w:rsidRPr="008802EB">
        <w:rPr>
          <w:sz w:val="20"/>
          <w:szCs w:val="20"/>
          <w:lang w:val="fr-CA"/>
        </w:rPr>
        <w:t>08.10.2014</w:t>
      </w:r>
    </w:p>
    <w:p w:rsidR="008802EB" w:rsidRDefault="008802EB" w:rsidP="008802EB">
      <w:pPr>
        <w:widowControl w:val="0"/>
        <w:rPr>
          <w:sz w:val="20"/>
          <w:szCs w:val="20"/>
          <w:lang w:val="fr-CA"/>
        </w:rPr>
      </w:pPr>
    </w:p>
    <w:p w:rsidR="00C14E98" w:rsidRPr="0067369B" w:rsidRDefault="00C14E98" w:rsidP="00C14E98">
      <w:pPr>
        <w:widowControl w:val="0"/>
        <w:ind w:left="720" w:hanging="720"/>
        <w:rPr>
          <w:sz w:val="20"/>
          <w:szCs w:val="20"/>
          <w:u w:val="single"/>
          <w:lang w:val="fr-CA"/>
        </w:rPr>
      </w:pPr>
      <w:r w:rsidRPr="0067369B">
        <w:rPr>
          <w:sz w:val="20"/>
          <w:szCs w:val="20"/>
          <w:lang w:val="fr-CA"/>
        </w:rPr>
        <w:t xml:space="preserve">Coram: </w:t>
      </w:r>
      <w:r w:rsidRPr="0067369B">
        <w:rPr>
          <w:sz w:val="20"/>
          <w:szCs w:val="20"/>
          <w:lang w:val="fr-CA"/>
        </w:rPr>
        <w:tab/>
      </w:r>
      <w:r w:rsidRPr="0067369B">
        <w:rPr>
          <w:sz w:val="20"/>
          <w:szCs w:val="20"/>
          <w:u w:val="single"/>
          <w:lang w:val="fr-CA"/>
        </w:rPr>
        <w:t>La juge en chef McLachlin et les juges LeBel, Abella, Rothstein, Cromwell, Moldaver, Karakatsanis, Wagner et Gascon</w:t>
      </w:r>
    </w:p>
    <w:p w:rsidR="008802EB" w:rsidRPr="008802EB" w:rsidRDefault="008802EB" w:rsidP="008802EB">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8802EB" w:rsidRPr="0017301E" w:rsidTr="008802EB">
        <w:tc>
          <w:tcPr>
            <w:tcW w:w="4380" w:type="dxa"/>
            <w:tcMar>
              <w:left w:w="0" w:type="dxa"/>
              <w:right w:w="0" w:type="dxa"/>
            </w:tcMar>
          </w:tcPr>
          <w:p w:rsidR="00C14E98" w:rsidRDefault="00C14E98" w:rsidP="00C14E98">
            <w:pPr>
              <w:rPr>
                <w:rFonts w:eastAsia="Calibri"/>
                <w:b/>
                <w:iCs/>
                <w:sz w:val="20"/>
                <w:szCs w:val="20"/>
                <w:lang w:val="fr-CA"/>
              </w:rPr>
            </w:pPr>
            <w:r w:rsidRPr="0067369B">
              <w:rPr>
                <w:rFonts w:eastAsia="Calibri"/>
                <w:b/>
                <w:iCs/>
                <w:sz w:val="20"/>
                <w:szCs w:val="20"/>
                <w:lang w:val="fr-CA"/>
              </w:rPr>
              <w:t xml:space="preserve">Procureur général du Québec </w:t>
            </w:r>
          </w:p>
          <w:p w:rsidR="00C14E98" w:rsidRDefault="00C14E98" w:rsidP="00C14E98">
            <w:pPr>
              <w:rPr>
                <w:rFonts w:eastAsia="Calibri"/>
                <w:b/>
                <w:iCs/>
                <w:sz w:val="20"/>
                <w:szCs w:val="20"/>
                <w:lang w:val="fr-CA"/>
              </w:rPr>
            </w:pPr>
          </w:p>
          <w:p w:rsidR="00C14E98" w:rsidRDefault="00C14E98" w:rsidP="00C14E98">
            <w:pPr>
              <w:rPr>
                <w:rFonts w:eastAsia="Calibri"/>
                <w:b/>
                <w:iCs/>
                <w:sz w:val="20"/>
                <w:szCs w:val="20"/>
                <w:lang w:val="fr-CA"/>
              </w:rPr>
            </w:pPr>
            <w:r>
              <w:rPr>
                <w:rFonts w:eastAsia="Calibri"/>
                <w:b/>
                <w:iCs/>
                <w:sz w:val="20"/>
                <w:szCs w:val="20"/>
                <w:lang w:val="fr-CA"/>
              </w:rPr>
              <w:tab/>
            </w:r>
            <w:r w:rsidRPr="0067369B">
              <w:rPr>
                <w:rFonts w:eastAsia="Calibri"/>
                <w:b/>
                <w:iCs/>
                <w:sz w:val="20"/>
                <w:szCs w:val="20"/>
                <w:lang w:val="fr-CA"/>
              </w:rPr>
              <w:t xml:space="preserve">c. </w:t>
            </w:r>
            <w:r w:rsidRPr="0067369B">
              <w:rPr>
                <w:rFonts w:eastAsia="Calibri"/>
                <w:iCs/>
                <w:sz w:val="20"/>
                <w:szCs w:val="20"/>
                <w:lang w:val="fr-CA"/>
              </w:rPr>
              <w:t>(</w:t>
            </w:r>
            <w:hyperlink r:id="rId73" w:history="1">
              <w:r w:rsidRPr="0067369B">
                <w:rPr>
                  <w:rStyle w:val="Hyperlink"/>
                  <w:rFonts w:eastAsia="Calibri"/>
                  <w:iCs/>
                  <w:sz w:val="20"/>
                  <w:szCs w:val="20"/>
                  <w:lang w:val="fr-CA"/>
                </w:rPr>
                <w:t>35448</w:t>
              </w:r>
            </w:hyperlink>
            <w:r w:rsidRPr="0067369B">
              <w:rPr>
                <w:rFonts w:eastAsia="Calibri"/>
                <w:iCs/>
                <w:sz w:val="20"/>
                <w:szCs w:val="20"/>
                <w:lang w:val="fr-CA"/>
              </w:rPr>
              <w:t>)</w:t>
            </w:r>
          </w:p>
          <w:p w:rsidR="00C14E98" w:rsidRDefault="00C14E98" w:rsidP="00C14E98">
            <w:pPr>
              <w:rPr>
                <w:rFonts w:eastAsia="Calibri"/>
                <w:b/>
                <w:iCs/>
                <w:sz w:val="20"/>
                <w:szCs w:val="20"/>
                <w:lang w:val="fr-CA"/>
              </w:rPr>
            </w:pPr>
          </w:p>
          <w:p w:rsidR="008802EB" w:rsidRPr="008802EB" w:rsidRDefault="00C14E98" w:rsidP="00C14E98">
            <w:pPr>
              <w:rPr>
                <w:sz w:val="20"/>
                <w:szCs w:val="20"/>
                <w:lang w:val="fr-CA"/>
              </w:rPr>
            </w:pPr>
            <w:r w:rsidRPr="0067369B">
              <w:rPr>
                <w:rFonts w:eastAsia="Calibri"/>
                <w:b/>
                <w:iCs/>
                <w:sz w:val="20"/>
                <w:szCs w:val="20"/>
                <w:lang w:val="fr-CA"/>
              </w:rPr>
              <w:t xml:space="preserve">Procureur général du Canada et autres </w:t>
            </w:r>
            <w:r w:rsidRPr="00C14E98">
              <w:rPr>
                <w:rFonts w:eastAsia="Calibri"/>
                <w:b/>
                <w:iCs/>
                <w:sz w:val="20"/>
                <w:szCs w:val="20"/>
                <w:lang w:val="fr-CA"/>
              </w:rPr>
              <w:t>(Qc) (Civile) (Autorisation)</w:t>
            </w:r>
            <w:r w:rsidRPr="0067369B">
              <w:rPr>
                <w:rFonts w:eastAsia="Calibri"/>
                <w:iCs/>
                <w:sz w:val="20"/>
                <w:szCs w:val="20"/>
                <w:lang w:val="fr-CA"/>
              </w:rPr>
              <w:t xml:space="preserve"> </w:t>
            </w:r>
          </w:p>
        </w:tc>
        <w:tc>
          <w:tcPr>
            <w:tcW w:w="720" w:type="dxa"/>
            <w:tcMar>
              <w:left w:w="0" w:type="dxa"/>
              <w:right w:w="0" w:type="dxa"/>
            </w:tcMar>
          </w:tcPr>
          <w:p w:rsidR="008802EB" w:rsidRPr="008802EB" w:rsidRDefault="008802EB" w:rsidP="008802EB">
            <w:pPr>
              <w:widowControl w:val="0"/>
              <w:jc w:val="center"/>
              <w:rPr>
                <w:sz w:val="20"/>
                <w:szCs w:val="20"/>
                <w:lang w:val="fr-CA"/>
              </w:rPr>
            </w:pPr>
          </w:p>
        </w:tc>
        <w:tc>
          <w:tcPr>
            <w:tcW w:w="4380" w:type="dxa"/>
            <w:tcMar>
              <w:left w:w="0" w:type="dxa"/>
              <w:right w:w="0" w:type="dxa"/>
            </w:tcMar>
          </w:tcPr>
          <w:p w:rsidR="0017301E" w:rsidRPr="00FC4D5C" w:rsidRDefault="0017301E" w:rsidP="0017301E">
            <w:pPr>
              <w:jc w:val="both"/>
              <w:rPr>
                <w:sz w:val="20"/>
                <w:szCs w:val="20"/>
                <w:lang w:val="fr-CA"/>
              </w:rPr>
            </w:pPr>
            <w:r w:rsidRPr="00FC4D5C">
              <w:rPr>
                <w:sz w:val="20"/>
                <w:szCs w:val="20"/>
                <w:lang w:val="fr-CA"/>
              </w:rPr>
              <w:t>Éric Dufour</w:t>
            </w:r>
            <w:r>
              <w:rPr>
                <w:sz w:val="20"/>
                <w:szCs w:val="20"/>
                <w:lang w:val="fr-CA"/>
              </w:rPr>
              <w:t xml:space="preserve">, </w:t>
            </w:r>
            <w:r w:rsidRPr="00FC4D5C">
              <w:rPr>
                <w:sz w:val="20"/>
                <w:szCs w:val="20"/>
                <w:lang w:val="fr-CA"/>
              </w:rPr>
              <w:t>Hugo Jean</w:t>
            </w:r>
            <w:r>
              <w:rPr>
                <w:sz w:val="20"/>
                <w:szCs w:val="20"/>
                <w:lang w:val="fr-CA"/>
              </w:rPr>
              <w:t xml:space="preserve"> et </w:t>
            </w:r>
            <w:r w:rsidRPr="00FC4D5C">
              <w:rPr>
                <w:sz w:val="20"/>
                <w:szCs w:val="20"/>
                <w:lang w:val="fr-CA"/>
              </w:rPr>
              <w:tab/>
              <w:t>Suzanne-L. Gauthier</w:t>
            </w:r>
            <w:r>
              <w:rPr>
                <w:sz w:val="20"/>
                <w:szCs w:val="20"/>
                <w:lang w:val="fr-CA"/>
              </w:rPr>
              <w:t xml:space="preserve"> p</w:t>
            </w:r>
            <w:r w:rsidRPr="00FC4D5C">
              <w:rPr>
                <w:sz w:val="20"/>
                <w:szCs w:val="20"/>
                <w:lang w:val="fr-CA"/>
              </w:rPr>
              <w:t>our l’appelant.</w:t>
            </w:r>
          </w:p>
          <w:p w:rsidR="0017301E" w:rsidRPr="00FC4D5C" w:rsidRDefault="0017301E" w:rsidP="0017301E">
            <w:pPr>
              <w:jc w:val="both"/>
              <w:rPr>
                <w:sz w:val="20"/>
                <w:szCs w:val="20"/>
                <w:lang w:val="fr-CA"/>
              </w:rPr>
            </w:pPr>
          </w:p>
          <w:p w:rsidR="0017301E" w:rsidRPr="00FC4D5C" w:rsidRDefault="0017301E" w:rsidP="0017301E">
            <w:pPr>
              <w:jc w:val="both"/>
              <w:rPr>
                <w:sz w:val="20"/>
                <w:szCs w:val="20"/>
                <w:lang w:val="fr-CA"/>
              </w:rPr>
            </w:pPr>
            <w:r w:rsidRPr="00FC4D5C">
              <w:rPr>
                <w:sz w:val="20"/>
                <w:szCs w:val="20"/>
                <w:lang w:val="fr-CA"/>
              </w:rPr>
              <w:t>Claude Joyal, c.r.</w:t>
            </w:r>
            <w:r>
              <w:rPr>
                <w:sz w:val="20"/>
                <w:szCs w:val="20"/>
                <w:lang w:val="fr-CA"/>
              </w:rPr>
              <w:t xml:space="preserve"> et </w:t>
            </w:r>
            <w:r w:rsidRPr="00FC4D5C">
              <w:rPr>
                <w:sz w:val="20"/>
                <w:szCs w:val="20"/>
                <w:lang w:val="fr-CA"/>
              </w:rPr>
              <w:t>Ian Demers</w:t>
            </w:r>
            <w:r>
              <w:rPr>
                <w:sz w:val="20"/>
                <w:szCs w:val="20"/>
                <w:lang w:val="fr-CA"/>
              </w:rPr>
              <w:t xml:space="preserve"> p</w:t>
            </w:r>
            <w:r w:rsidRPr="00FC4D5C">
              <w:rPr>
                <w:sz w:val="20"/>
                <w:szCs w:val="20"/>
                <w:lang w:val="fr-CA"/>
              </w:rPr>
              <w:t>our les intimés.</w:t>
            </w:r>
          </w:p>
          <w:p w:rsidR="0017301E" w:rsidRPr="00FC4D5C" w:rsidRDefault="0017301E" w:rsidP="0017301E">
            <w:pPr>
              <w:jc w:val="both"/>
              <w:rPr>
                <w:sz w:val="20"/>
                <w:szCs w:val="20"/>
                <w:lang w:val="fr-CA"/>
              </w:rPr>
            </w:pPr>
          </w:p>
          <w:p w:rsidR="0017301E" w:rsidRPr="00FC4D5C" w:rsidRDefault="0017301E" w:rsidP="0017301E">
            <w:pPr>
              <w:jc w:val="both"/>
              <w:rPr>
                <w:sz w:val="20"/>
                <w:szCs w:val="20"/>
                <w:lang w:val="fr-CA"/>
              </w:rPr>
            </w:pPr>
            <w:r w:rsidRPr="00FC4D5C">
              <w:rPr>
                <w:sz w:val="20"/>
                <w:szCs w:val="20"/>
                <w:lang w:val="fr-CA"/>
              </w:rPr>
              <w:t xml:space="preserve">Soumission écrite seulement </w:t>
            </w:r>
            <w:r>
              <w:rPr>
                <w:sz w:val="20"/>
                <w:szCs w:val="20"/>
                <w:lang w:val="fr-CA"/>
              </w:rPr>
              <w:t xml:space="preserve">par </w:t>
            </w:r>
            <w:r w:rsidRPr="00FC4D5C">
              <w:rPr>
                <w:sz w:val="20"/>
                <w:szCs w:val="20"/>
                <w:lang w:val="fr-CA"/>
              </w:rPr>
              <w:t>Frédérick Langlois</w:t>
            </w:r>
            <w:r>
              <w:rPr>
                <w:sz w:val="20"/>
                <w:szCs w:val="20"/>
                <w:lang w:val="fr-CA"/>
              </w:rPr>
              <w:t xml:space="preserve"> et </w:t>
            </w:r>
            <w:r w:rsidRPr="00FC4D5C">
              <w:rPr>
                <w:sz w:val="20"/>
                <w:szCs w:val="20"/>
                <w:lang w:val="fr-CA"/>
              </w:rPr>
              <w:t>Alain M. Gaulin</w:t>
            </w:r>
            <w:r>
              <w:rPr>
                <w:sz w:val="20"/>
                <w:szCs w:val="20"/>
                <w:lang w:val="fr-CA"/>
              </w:rPr>
              <w:t xml:space="preserve"> p</w:t>
            </w:r>
            <w:r w:rsidRPr="00FC4D5C">
              <w:rPr>
                <w:sz w:val="20"/>
                <w:szCs w:val="20"/>
                <w:lang w:val="fr-CA"/>
              </w:rPr>
              <w:t>our l’intervenant</w:t>
            </w:r>
            <w:r>
              <w:rPr>
                <w:sz w:val="20"/>
                <w:szCs w:val="20"/>
                <w:lang w:val="fr-CA"/>
              </w:rPr>
              <w:t xml:space="preserve"> </w:t>
            </w:r>
            <w:r w:rsidRPr="00FC4D5C">
              <w:rPr>
                <w:sz w:val="20"/>
                <w:szCs w:val="20"/>
                <w:lang w:val="fr-CA"/>
              </w:rPr>
              <w:t>Coalition pour le contrôle</w:t>
            </w:r>
            <w:r>
              <w:rPr>
                <w:sz w:val="20"/>
                <w:szCs w:val="20"/>
                <w:lang w:val="fr-CA"/>
              </w:rPr>
              <w:t xml:space="preserve"> </w:t>
            </w:r>
            <w:r w:rsidRPr="00FC4D5C">
              <w:rPr>
                <w:sz w:val="20"/>
                <w:szCs w:val="20"/>
                <w:lang w:val="fr-CA"/>
              </w:rPr>
              <w:t>des armes</w:t>
            </w:r>
            <w:r>
              <w:rPr>
                <w:sz w:val="20"/>
                <w:szCs w:val="20"/>
                <w:lang w:val="fr-CA"/>
              </w:rPr>
              <w:t>.</w:t>
            </w:r>
          </w:p>
          <w:p w:rsidR="0017301E" w:rsidRPr="00FC4D5C" w:rsidRDefault="0017301E" w:rsidP="0017301E">
            <w:pPr>
              <w:jc w:val="both"/>
              <w:rPr>
                <w:sz w:val="20"/>
                <w:szCs w:val="20"/>
                <w:lang w:val="fr-CA"/>
              </w:rPr>
            </w:pPr>
          </w:p>
          <w:p w:rsidR="008802EB" w:rsidRPr="0017301E" w:rsidRDefault="0017301E" w:rsidP="0017301E">
            <w:pPr>
              <w:jc w:val="both"/>
              <w:rPr>
                <w:sz w:val="20"/>
                <w:szCs w:val="20"/>
              </w:rPr>
            </w:pPr>
            <w:r w:rsidRPr="00FC4D5C">
              <w:rPr>
                <w:sz w:val="20"/>
                <w:szCs w:val="20"/>
                <w:lang w:val="en-US"/>
              </w:rPr>
              <w:t xml:space="preserve">Written submission only </w:t>
            </w:r>
            <w:r>
              <w:rPr>
                <w:sz w:val="20"/>
                <w:szCs w:val="20"/>
                <w:lang w:val="en-US"/>
              </w:rPr>
              <w:t xml:space="preserve">by </w:t>
            </w:r>
            <w:r w:rsidRPr="00FC4D5C">
              <w:rPr>
                <w:sz w:val="20"/>
                <w:szCs w:val="20"/>
                <w:lang w:val="en-US"/>
              </w:rPr>
              <w:t>Guy Lavergne</w:t>
            </w:r>
            <w:r>
              <w:rPr>
                <w:sz w:val="20"/>
                <w:szCs w:val="20"/>
                <w:lang w:val="en-US"/>
              </w:rPr>
              <w:t xml:space="preserve"> f</w:t>
            </w:r>
            <w:r w:rsidRPr="00FC4D5C">
              <w:rPr>
                <w:sz w:val="20"/>
                <w:szCs w:val="20"/>
                <w:lang w:val="en-US"/>
              </w:rPr>
              <w:t xml:space="preserve">or the </w:t>
            </w:r>
            <w:r>
              <w:rPr>
                <w:sz w:val="20"/>
                <w:szCs w:val="20"/>
                <w:lang w:val="en-US"/>
              </w:rPr>
              <w:t>i</w:t>
            </w:r>
            <w:r w:rsidRPr="00FC4D5C">
              <w:rPr>
                <w:sz w:val="20"/>
                <w:szCs w:val="20"/>
                <w:lang w:val="en-US"/>
              </w:rPr>
              <w:t>ntervener</w:t>
            </w:r>
            <w:r>
              <w:rPr>
                <w:sz w:val="20"/>
                <w:szCs w:val="20"/>
                <w:lang w:val="en-US"/>
              </w:rPr>
              <w:t xml:space="preserve"> </w:t>
            </w:r>
            <w:r w:rsidRPr="00FC4D5C">
              <w:rPr>
                <w:sz w:val="20"/>
                <w:szCs w:val="20"/>
              </w:rPr>
              <w:t>Canada’s National Firearms</w:t>
            </w:r>
            <w:r>
              <w:rPr>
                <w:sz w:val="20"/>
                <w:szCs w:val="20"/>
                <w:lang w:val="en-US"/>
              </w:rPr>
              <w:t xml:space="preserve"> </w:t>
            </w:r>
            <w:r w:rsidRPr="00FC4D5C">
              <w:rPr>
                <w:sz w:val="20"/>
                <w:szCs w:val="20"/>
              </w:rPr>
              <w:t>Association</w:t>
            </w:r>
            <w:r>
              <w:rPr>
                <w:sz w:val="20"/>
                <w:szCs w:val="20"/>
              </w:rPr>
              <w:t>.</w:t>
            </w:r>
          </w:p>
        </w:tc>
      </w:tr>
    </w:tbl>
    <w:p w:rsidR="008802EB" w:rsidRPr="0017301E" w:rsidRDefault="008802EB" w:rsidP="008802EB">
      <w:pPr>
        <w:widowControl w:val="0"/>
        <w:rPr>
          <w:sz w:val="20"/>
          <w:szCs w:val="20"/>
        </w:rPr>
      </w:pPr>
    </w:p>
    <w:p w:rsidR="008802EB" w:rsidRPr="0085476B" w:rsidRDefault="008802EB" w:rsidP="008802EB">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6D77C0" w:rsidRDefault="006D77C0"/>
    <w:p w:rsidR="006D77C0" w:rsidRDefault="006D77C0">
      <w:r>
        <w:br w:type="page"/>
      </w: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8802EB" w:rsidRPr="00DA7379" w:rsidTr="008802EB">
        <w:tc>
          <w:tcPr>
            <w:tcW w:w="4380" w:type="dxa"/>
            <w:tcMar>
              <w:left w:w="0" w:type="dxa"/>
              <w:right w:w="0" w:type="dxa"/>
            </w:tcMar>
          </w:tcPr>
          <w:p w:rsidR="008802EB" w:rsidRPr="00CC4D84" w:rsidRDefault="008802EB" w:rsidP="008802EB">
            <w:pPr>
              <w:widowControl w:val="0"/>
              <w:jc w:val="both"/>
              <w:rPr>
                <w:b/>
                <w:sz w:val="20"/>
                <w:szCs w:val="20"/>
                <w:u w:val="single"/>
              </w:rPr>
            </w:pPr>
            <w:r w:rsidRPr="00CC4D84">
              <w:rPr>
                <w:b/>
                <w:sz w:val="20"/>
                <w:szCs w:val="20"/>
                <w:u w:val="single"/>
              </w:rPr>
              <w:lastRenderedPageBreak/>
              <w:t>Nature of the case:</w:t>
            </w:r>
          </w:p>
          <w:p w:rsidR="008802EB" w:rsidRPr="001A663B" w:rsidRDefault="008802EB" w:rsidP="008802EB">
            <w:pPr>
              <w:widowControl w:val="0"/>
              <w:jc w:val="both"/>
              <w:rPr>
                <w:b/>
                <w:sz w:val="20"/>
                <w:szCs w:val="20"/>
              </w:rPr>
            </w:pPr>
          </w:p>
          <w:p w:rsidR="008802EB" w:rsidRPr="00C1697B" w:rsidRDefault="00D01417" w:rsidP="00D01417">
            <w:pPr>
              <w:widowControl w:val="0"/>
              <w:jc w:val="both"/>
              <w:rPr>
                <w:b/>
                <w:sz w:val="20"/>
                <w:szCs w:val="20"/>
              </w:rPr>
            </w:pPr>
            <w:r w:rsidRPr="0058666B">
              <w:rPr>
                <w:sz w:val="20"/>
                <w:szCs w:val="20"/>
              </w:rPr>
              <w:t xml:space="preserve">Constitutional law - Division of powers - Destruction of records related to registration of firearms originating from Quebec - Whether Court of Appeal erred in dismissing motion for declaration that s. 29 of </w:t>
            </w:r>
            <w:r w:rsidRPr="0058666B">
              <w:rPr>
                <w:i/>
                <w:sz w:val="20"/>
                <w:szCs w:val="20"/>
              </w:rPr>
              <w:t>Ending the Long-gun Registry Act</w:t>
            </w:r>
            <w:r w:rsidRPr="0058666B">
              <w:rPr>
                <w:sz w:val="20"/>
                <w:szCs w:val="20"/>
              </w:rPr>
              <w:t xml:space="preserve"> (S.C. 2012, c. 6) is unconstitutional - Whether Court of Appeal should have concluded that federal government’s refusal to disclose data sought by Quebec is contrary to partnership existing between parties, privacy laws and organizing principle of co-operative federalism.</w:t>
            </w:r>
          </w:p>
        </w:tc>
        <w:tc>
          <w:tcPr>
            <w:tcW w:w="720" w:type="dxa"/>
            <w:tcMar>
              <w:left w:w="0" w:type="dxa"/>
              <w:right w:w="0" w:type="dxa"/>
            </w:tcMar>
          </w:tcPr>
          <w:p w:rsidR="008802EB" w:rsidRPr="00C1697B" w:rsidRDefault="008802EB" w:rsidP="008802EB">
            <w:pPr>
              <w:widowControl w:val="0"/>
              <w:jc w:val="center"/>
              <w:rPr>
                <w:sz w:val="20"/>
                <w:szCs w:val="20"/>
              </w:rPr>
            </w:pPr>
          </w:p>
        </w:tc>
        <w:tc>
          <w:tcPr>
            <w:tcW w:w="4380" w:type="dxa"/>
            <w:tcMar>
              <w:left w:w="0" w:type="dxa"/>
              <w:right w:w="0" w:type="dxa"/>
            </w:tcMar>
          </w:tcPr>
          <w:p w:rsidR="008802EB" w:rsidRPr="00CC4D84" w:rsidRDefault="008802EB" w:rsidP="008802EB">
            <w:pPr>
              <w:widowControl w:val="0"/>
              <w:jc w:val="both"/>
              <w:rPr>
                <w:b/>
                <w:sz w:val="20"/>
                <w:szCs w:val="20"/>
                <w:u w:val="single"/>
                <w:lang w:val="fr-CA"/>
              </w:rPr>
            </w:pPr>
            <w:r w:rsidRPr="00CC4D84">
              <w:rPr>
                <w:b/>
                <w:sz w:val="20"/>
                <w:szCs w:val="20"/>
                <w:u w:val="single"/>
                <w:lang w:val="fr-CA"/>
              </w:rPr>
              <w:t>Nature de la cause :</w:t>
            </w:r>
          </w:p>
          <w:p w:rsidR="008802EB" w:rsidRPr="00C1697B" w:rsidRDefault="008802EB" w:rsidP="008802EB">
            <w:pPr>
              <w:widowControl w:val="0"/>
              <w:jc w:val="both"/>
              <w:rPr>
                <w:sz w:val="20"/>
                <w:szCs w:val="20"/>
                <w:lang w:val="fr-CA"/>
              </w:rPr>
            </w:pPr>
          </w:p>
          <w:p w:rsidR="008802EB" w:rsidRPr="00C1697B" w:rsidRDefault="00D01417" w:rsidP="00D01417">
            <w:pPr>
              <w:widowControl w:val="0"/>
              <w:jc w:val="both"/>
              <w:rPr>
                <w:sz w:val="20"/>
                <w:szCs w:val="20"/>
                <w:lang w:val="fr-CA"/>
              </w:rPr>
            </w:pPr>
            <w:r w:rsidRPr="00654286">
              <w:rPr>
                <w:sz w:val="20"/>
                <w:szCs w:val="20"/>
                <w:lang w:val="fr-CA"/>
              </w:rPr>
              <w:t xml:space="preserve">Droit constitutionnel - Partage des compétences - Destruction des registres et fichiers relatifs à l’enregistrement des armes à feu provenant du Québec - La Cour d’appel a-t-elle erré en rejetant la requête en déclaration d’invalidité constitutionnelle de l’article 29 de la </w:t>
            </w:r>
            <w:r w:rsidRPr="00654286">
              <w:rPr>
                <w:i/>
                <w:sz w:val="20"/>
                <w:szCs w:val="20"/>
                <w:lang w:val="fr-CA"/>
              </w:rPr>
              <w:t>Loi sur l’abolition du registre des armes d’épaule</w:t>
            </w:r>
            <w:r w:rsidRPr="00654286">
              <w:rPr>
                <w:sz w:val="20"/>
                <w:szCs w:val="20"/>
                <w:lang w:val="fr-CA"/>
              </w:rPr>
              <w:t xml:space="preserve"> (L.C. 2012, c. 6)? - La Cour d’appel aurait-elle dû conclure que le refus du gouvernement fédéral de communiquer les données revendiquées par le Québec est contraire au partenariat existant entre les parties, aux lois de protection des renseignements personnels ainsi qu’au principe structurel du fédéralisme coopératif?</w:t>
            </w:r>
          </w:p>
        </w:tc>
      </w:tr>
    </w:tbl>
    <w:p w:rsidR="008802EB" w:rsidRDefault="008802EB" w:rsidP="008802EB">
      <w:pPr>
        <w:widowControl w:val="0"/>
        <w:rPr>
          <w:sz w:val="20"/>
          <w:szCs w:val="20"/>
          <w:lang w:val="fr-CA"/>
        </w:rPr>
      </w:pPr>
    </w:p>
    <w:p w:rsidR="008802EB" w:rsidRDefault="00F677DC" w:rsidP="008802EB">
      <w:pPr>
        <w:widowControl w:val="0"/>
        <w:rPr>
          <w:sz w:val="20"/>
          <w:szCs w:val="20"/>
        </w:rPr>
      </w:pPr>
      <w:r>
        <w:rPr>
          <w:sz w:val="20"/>
          <w:szCs w:val="20"/>
          <w:lang w:val="fr-CA"/>
        </w:rPr>
        <w:pict>
          <v:rect id="_x0000_i1097" style="width:2in;height:1pt" o:hrpct="0" o:hralign="center" o:hrstd="t" o:hrnoshade="t" o:hr="t" fillcolor="black [3213]" stroked="f"/>
        </w:pict>
      </w:r>
    </w:p>
    <w:p w:rsidR="008802EB" w:rsidRDefault="008802EB" w:rsidP="007C47C2">
      <w:pPr>
        <w:widowControl w:val="0"/>
        <w:rPr>
          <w:sz w:val="20"/>
          <w:szCs w:val="20"/>
        </w:rPr>
      </w:pPr>
    </w:p>
    <w:p w:rsidR="008802EB" w:rsidRPr="008802EB" w:rsidRDefault="008802EB" w:rsidP="008802EB">
      <w:pPr>
        <w:widowControl w:val="0"/>
        <w:rPr>
          <w:sz w:val="20"/>
          <w:szCs w:val="20"/>
        </w:rPr>
      </w:pPr>
      <w:r w:rsidRPr="008802EB">
        <w:rPr>
          <w:sz w:val="20"/>
          <w:szCs w:val="20"/>
        </w:rPr>
        <w:t>0</w:t>
      </w:r>
      <w:r>
        <w:rPr>
          <w:sz w:val="20"/>
          <w:szCs w:val="20"/>
        </w:rPr>
        <w:t>9</w:t>
      </w:r>
      <w:r w:rsidRPr="008802EB">
        <w:rPr>
          <w:sz w:val="20"/>
          <w:szCs w:val="20"/>
        </w:rPr>
        <w:t>.10.2014</w:t>
      </w:r>
    </w:p>
    <w:p w:rsidR="008802EB" w:rsidRPr="008802EB" w:rsidRDefault="008802EB" w:rsidP="008802EB">
      <w:pPr>
        <w:widowControl w:val="0"/>
        <w:rPr>
          <w:sz w:val="20"/>
          <w:szCs w:val="20"/>
        </w:rPr>
      </w:pPr>
    </w:p>
    <w:p w:rsidR="008802EB" w:rsidRPr="00FC1177" w:rsidRDefault="008802EB" w:rsidP="008802EB">
      <w:pPr>
        <w:widowControl w:val="0"/>
        <w:ind w:left="720" w:hanging="720"/>
        <w:rPr>
          <w:sz w:val="20"/>
          <w:szCs w:val="20"/>
          <w:u w:val="single"/>
        </w:rPr>
      </w:pPr>
      <w:r w:rsidRPr="00FC1177">
        <w:rPr>
          <w:sz w:val="20"/>
          <w:szCs w:val="20"/>
        </w:rPr>
        <w:t xml:space="preserve">Coram: </w:t>
      </w:r>
      <w:r w:rsidRPr="00FC1177">
        <w:rPr>
          <w:sz w:val="20"/>
          <w:szCs w:val="20"/>
        </w:rPr>
        <w:tab/>
      </w:r>
      <w:r w:rsidRPr="00FC1177">
        <w:rPr>
          <w:sz w:val="20"/>
          <w:szCs w:val="20"/>
          <w:u w:val="single"/>
        </w:rPr>
        <w:t xml:space="preserve">McLachlin C.J. and </w:t>
      </w:r>
      <w:r>
        <w:rPr>
          <w:sz w:val="20"/>
          <w:szCs w:val="20"/>
          <w:u w:val="single"/>
        </w:rPr>
        <w:t>Abella</w:t>
      </w:r>
      <w:r w:rsidRPr="00FC1177">
        <w:rPr>
          <w:sz w:val="20"/>
          <w:szCs w:val="20"/>
          <w:u w:val="single"/>
        </w:rPr>
        <w:t>, Cromwell, Moldaver, Karakatsanis, Wagner and Gascon JJ.</w:t>
      </w:r>
    </w:p>
    <w:p w:rsidR="008802EB" w:rsidRPr="008802EB" w:rsidRDefault="008802EB" w:rsidP="008802EB">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8802EB" w:rsidRPr="008802EB" w:rsidTr="008802EB">
        <w:tc>
          <w:tcPr>
            <w:tcW w:w="4380" w:type="dxa"/>
            <w:tcMar>
              <w:left w:w="0" w:type="dxa"/>
              <w:right w:w="0" w:type="dxa"/>
            </w:tcMar>
          </w:tcPr>
          <w:p w:rsidR="007753CE" w:rsidRDefault="007753CE" w:rsidP="007753CE">
            <w:pPr>
              <w:rPr>
                <w:rFonts w:eastAsia="Calibri"/>
                <w:b/>
                <w:iCs/>
                <w:sz w:val="20"/>
                <w:szCs w:val="20"/>
              </w:rPr>
            </w:pPr>
            <w:r w:rsidRPr="00815B76">
              <w:rPr>
                <w:rFonts w:eastAsia="Calibri"/>
                <w:b/>
                <w:iCs/>
                <w:sz w:val="20"/>
                <w:szCs w:val="20"/>
              </w:rPr>
              <w:t xml:space="preserve">Chief Sheldon Taypotat et al. </w:t>
            </w:r>
          </w:p>
          <w:p w:rsidR="007753CE" w:rsidRDefault="007753CE" w:rsidP="007753CE">
            <w:pPr>
              <w:rPr>
                <w:rFonts w:eastAsia="Calibri"/>
                <w:b/>
                <w:iCs/>
                <w:sz w:val="20"/>
                <w:szCs w:val="20"/>
              </w:rPr>
            </w:pPr>
          </w:p>
          <w:p w:rsidR="007753CE" w:rsidRDefault="007753CE" w:rsidP="007753CE">
            <w:pPr>
              <w:rPr>
                <w:rFonts w:eastAsia="Calibri"/>
                <w:b/>
                <w:iCs/>
                <w:sz w:val="20"/>
                <w:szCs w:val="20"/>
              </w:rPr>
            </w:pPr>
            <w:r>
              <w:rPr>
                <w:rFonts w:eastAsia="Calibri"/>
                <w:b/>
                <w:iCs/>
                <w:sz w:val="20"/>
                <w:szCs w:val="20"/>
              </w:rPr>
              <w:tab/>
            </w:r>
            <w:r w:rsidRPr="00815B76">
              <w:rPr>
                <w:rFonts w:eastAsia="Calibri"/>
                <w:b/>
                <w:iCs/>
                <w:sz w:val="20"/>
                <w:szCs w:val="20"/>
              </w:rPr>
              <w:t xml:space="preserve">v. </w:t>
            </w:r>
            <w:r w:rsidRPr="00815B76">
              <w:rPr>
                <w:rFonts w:eastAsia="Calibri"/>
                <w:iCs/>
                <w:sz w:val="20"/>
                <w:szCs w:val="20"/>
              </w:rPr>
              <w:t>(</w:t>
            </w:r>
            <w:hyperlink r:id="rId74" w:history="1">
              <w:r w:rsidRPr="00815B76">
                <w:rPr>
                  <w:rStyle w:val="Hyperlink"/>
                  <w:rFonts w:eastAsia="Calibri"/>
                  <w:iCs/>
                  <w:sz w:val="20"/>
                  <w:szCs w:val="20"/>
                </w:rPr>
                <w:t>35518</w:t>
              </w:r>
            </w:hyperlink>
            <w:r w:rsidRPr="00815B76">
              <w:rPr>
                <w:rFonts w:eastAsia="Calibri"/>
                <w:iCs/>
                <w:sz w:val="20"/>
                <w:szCs w:val="20"/>
              </w:rPr>
              <w:t>)</w:t>
            </w:r>
          </w:p>
          <w:p w:rsidR="007753CE" w:rsidRDefault="007753CE" w:rsidP="007753CE">
            <w:pPr>
              <w:rPr>
                <w:rFonts w:eastAsia="Calibri"/>
                <w:b/>
                <w:iCs/>
                <w:sz w:val="20"/>
                <w:szCs w:val="20"/>
              </w:rPr>
            </w:pPr>
          </w:p>
          <w:p w:rsidR="008802EB" w:rsidRPr="008802EB" w:rsidRDefault="007753CE" w:rsidP="007753CE">
            <w:pPr>
              <w:rPr>
                <w:sz w:val="20"/>
                <w:szCs w:val="20"/>
              </w:rPr>
            </w:pPr>
            <w:r w:rsidRPr="00815B76">
              <w:rPr>
                <w:rFonts w:eastAsia="Calibri"/>
                <w:b/>
                <w:iCs/>
                <w:sz w:val="20"/>
                <w:szCs w:val="20"/>
              </w:rPr>
              <w:t>Louis Taypotat</w:t>
            </w:r>
            <w:r w:rsidRPr="007753CE">
              <w:rPr>
                <w:rFonts w:eastAsia="Calibri"/>
                <w:b/>
                <w:iCs/>
                <w:sz w:val="20"/>
                <w:szCs w:val="20"/>
              </w:rPr>
              <w:t xml:space="preserve"> (F.C.) (Civil) (By Leave)</w:t>
            </w:r>
            <w:r w:rsidRPr="00815B76">
              <w:rPr>
                <w:rFonts w:eastAsia="Calibri"/>
                <w:iCs/>
                <w:sz w:val="20"/>
                <w:szCs w:val="20"/>
              </w:rPr>
              <w:t xml:space="preserve"> </w:t>
            </w:r>
          </w:p>
        </w:tc>
        <w:tc>
          <w:tcPr>
            <w:tcW w:w="720" w:type="dxa"/>
            <w:tcMar>
              <w:left w:w="0" w:type="dxa"/>
              <w:right w:w="0" w:type="dxa"/>
            </w:tcMar>
          </w:tcPr>
          <w:p w:rsidR="008802EB" w:rsidRPr="008802EB" w:rsidRDefault="008802EB" w:rsidP="008802EB">
            <w:pPr>
              <w:widowControl w:val="0"/>
              <w:jc w:val="center"/>
              <w:rPr>
                <w:sz w:val="20"/>
                <w:szCs w:val="20"/>
              </w:rPr>
            </w:pPr>
          </w:p>
        </w:tc>
        <w:tc>
          <w:tcPr>
            <w:tcW w:w="4380" w:type="dxa"/>
            <w:tcMar>
              <w:left w:w="0" w:type="dxa"/>
              <w:right w:w="0" w:type="dxa"/>
            </w:tcMar>
          </w:tcPr>
          <w:p w:rsidR="007753CE" w:rsidRDefault="007753CE" w:rsidP="007753CE">
            <w:pPr>
              <w:jc w:val="both"/>
              <w:rPr>
                <w:sz w:val="20"/>
                <w:szCs w:val="20"/>
              </w:rPr>
            </w:pPr>
            <w:r w:rsidRPr="00DA7379">
              <w:rPr>
                <w:sz w:val="20"/>
                <w:szCs w:val="20"/>
              </w:rPr>
              <w:t>Eugene Meehan, Q.C., Marie-France Major, James D. Jodouin and Marcus R. Davies f</w:t>
            </w:r>
            <w:r w:rsidRPr="007F38BA">
              <w:rPr>
                <w:sz w:val="20"/>
                <w:szCs w:val="20"/>
              </w:rPr>
              <w:t xml:space="preserve">or the </w:t>
            </w:r>
            <w:r>
              <w:rPr>
                <w:sz w:val="20"/>
                <w:szCs w:val="20"/>
              </w:rPr>
              <w:t>a</w:t>
            </w:r>
            <w:r w:rsidRPr="007F38BA">
              <w:rPr>
                <w:sz w:val="20"/>
                <w:szCs w:val="20"/>
              </w:rPr>
              <w:t>ppellant</w:t>
            </w:r>
            <w:r>
              <w:rPr>
                <w:sz w:val="20"/>
                <w:szCs w:val="20"/>
              </w:rPr>
              <w:t>.</w:t>
            </w:r>
          </w:p>
          <w:p w:rsidR="007753CE" w:rsidRPr="00DA7379" w:rsidRDefault="007753CE" w:rsidP="007753CE">
            <w:pPr>
              <w:jc w:val="both"/>
              <w:rPr>
                <w:sz w:val="20"/>
                <w:szCs w:val="20"/>
              </w:rPr>
            </w:pPr>
          </w:p>
          <w:p w:rsidR="008802EB" w:rsidRPr="008802EB" w:rsidRDefault="007753CE" w:rsidP="007753CE">
            <w:pPr>
              <w:widowControl w:val="0"/>
              <w:jc w:val="both"/>
              <w:rPr>
                <w:sz w:val="20"/>
                <w:szCs w:val="20"/>
              </w:rPr>
            </w:pPr>
            <w:r w:rsidRPr="007F38BA">
              <w:rPr>
                <w:sz w:val="20"/>
                <w:szCs w:val="20"/>
              </w:rPr>
              <w:t>Mervin C. Phillips</w:t>
            </w:r>
            <w:r>
              <w:rPr>
                <w:sz w:val="20"/>
                <w:szCs w:val="20"/>
              </w:rPr>
              <w:t xml:space="preserve"> and </w:t>
            </w:r>
            <w:r w:rsidRPr="007F38BA">
              <w:rPr>
                <w:sz w:val="20"/>
                <w:szCs w:val="20"/>
              </w:rPr>
              <w:t>Leane Phillips</w:t>
            </w:r>
            <w:r>
              <w:rPr>
                <w:sz w:val="20"/>
                <w:szCs w:val="20"/>
              </w:rPr>
              <w:t xml:space="preserve"> f</w:t>
            </w:r>
            <w:r w:rsidRPr="007F38BA">
              <w:rPr>
                <w:sz w:val="20"/>
                <w:szCs w:val="20"/>
              </w:rPr>
              <w:t xml:space="preserve">or the </w:t>
            </w:r>
            <w:r>
              <w:rPr>
                <w:sz w:val="20"/>
                <w:szCs w:val="20"/>
              </w:rPr>
              <w:t>r</w:t>
            </w:r>
            <w:r w:rsidRPr="007F38BA">
              <w:rPr>
                <w:sz w:val="20"/>
                <w:szCs w:val="20"/>
              </w:rPr>
              <w:t>espondent.</w:t>
            </w:r>
          </w:p>
        </w:tc>
      </w:tr>
    </w:tbl>
    <w:p w:rsidR="008802EB" w:rsidRPr="008802EB" w:rsidRDefault="008802EB" w:rsidP="008802EB">
      <w:pPr>
        <w:widowControl w:val="0"/>
        <w:rPr>
          <w:sz w:val="20"/>
          <w:szCs w:val="20"/>
        </w:rPr>
      </w:pPr>
    </w:p>
    <w:p w:rsidR="008802EB" w:rsidRPr="0085476B" w:rsidRDefault="008802EB" w:rsidP="008802EB">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8802EB" w:rsidRDefault="008802EB" w:rsidP="008802EB"/>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8802EB" w:rsidRPr="00DA7379" w:rsidTr="008802EB">
        <w:tc>
          <w:tcPr>
            <w:tcW w:w="4380" w:type="dxa"/>
            <w:tcMar>
              <w:left w:w="0" w:type="dxa"/>
              <w:right w:w="0" w:type="dxa"/>
            </w:tcMar>
          </w:tcPr>
          <w:p w:rsidR="008802EB" w:rsidRPr="00CC4D84" w:rsidRDefault="008802EB" w:rsidP="008802EB">
            <w:pPr>
              <w:widowControl w:val="0"/>
              <w:jc w:val="both"/>
              <w:rPr>
                <w:b/>
                <w:sz w:val="20"/>
                <w:szCs w:val="20"/>
                <w:u w:val="single"/>
              </w:rPr>
            </w:pPr>
            <w:r w:rsidRPr="00CC4D84">
              <w:rPr>
                <w:b/>
                <w:sz w:val="20"/>
                <w:szCs w:val="20"/>
                <w:u w:val="single"/>
              </w:rPr>
              <w:t>Nature of the case:</w:t>
            </w:r>
          </w:p>
          <w:p w:rsidR="008802EB" w:rsidRPr="001A663B" w:rsidRDefault="008802EB" w:rsidP="008802EB">
            <w:pPr>
              <w:widowControl w:val="0"/>
              <w:jc w:val="both"/>
              <w:rPr>
                <w:b/>
                <w:sz w:val="20"/>
                <w:szCs w:val="20"/>
              </w:rPr>
            </w:pPr>
          </w:p>
          <w:p w:rsidR="008802EB" w:rsidRPr="00C1697B" w:rsidRDefault="00D01417" w:rsidP="00D01417">
            <w:pPr>
              <w:widowControl w:val="0"/>
              <w:jc w:val="both"/>
              <w:rPr>
                <w:b/>
                <w:sz w:val="20"/>
                <w:szCs w:val="20"/>
              </w:rPr>
            </w:pPr>
            <w:r w:rsidRPr="00742EB7">
              <w:rPr>
                <w:i/>
                <w:sz w:val="20"/>
                <w:szCs w:val="20"/>
              </w:rPr>
              <w:t>Charter of Rights and Freedoms</w:t>
            </w:r>
            <w:r w:rsidRPr="00742EB7">
              <w:rPr>
                <w:sz w:val="20"/>
                <w:szCs w:val="20"/>
              </w:rPr>
              <w:t xml:space="preserve"> - Right to Equality - Discrimination based on age - Discrimination based on Aboriginality-residence - Aboriginal law - Do paras. 9.03(c) and 10.01(d) of the </w:t>
            </w:r>
            <w:r w:rsidRPr="00742EB7">
              <w:rPr>
                <w:i/>
                <w:sz w:val="20"/>
                <w:szCs w:val="20"/>
              </w:rPr>
              <w:t>Kahkewistahaw Election Act</w:t>
            </w:r>
            <w:r w:rsidRPr="00742EB7">
              <w:rPr>
                <w:sz w:val="20"/>
                <w:szCs w:val="20"/>
              </w:rPr>
              <w:t xml:space="preserve"> infringe s. 15(1) of the </w:t>
            </w:r>
            <w:r w:rsidRPr="00742EB7">
              <w:rPr>
                <w:i/>
                <w:sz w:val="20"/>
                <w:szCs w:val="20"/>
              </w:rPr>
              <w:t>Canadian Charter of Rights and Freedoms</w:t>
            </w:r>
            <w:r w:rsidRPr="00742EB7">
              <w:rPr>
                <w:sz w:val="20"/>
                <w:szCs w:val="20"/>
              </w:rPr>
              <w:t xml:space="preserve">? - If so, is the infringement a reasonable limit prescribed by law as can be demonstrably justified in a free and democratic society under s. 1 of the </w:t>
            </w:r>
            <w:r w:rsidRPr="00742EB7">
              <w:rPr>
                <w:i/>
                <w:sz w:val="20"/>
                <w:szCs w:val="20"/>
              </w:rPr>
              <w:t>Canadian Charter of Rights and Freedoms</w:t>
            </w:r>
            <w:r w:rsidRPr="00742EB7">
              <w:rPr>
                <w:sz w:val="20"/>
                <w:szCs w:val="20"/>
              </w:rPr>
              <w:t>? - Is the distinction in the present case based on education levels or the enumerated ground of age or analogous ground of Aboriginality-residence? - Does the distinction create a disadvantage by perpetuating prejudice or stereotyping? - Do the education provisions constitute an ameliorative program directed at improving the situation of a group that is in need of ameliorative assistance in order to enhance substantive equality?</w:t>
            </w:r>
          </w:p>
        </w:tc>
        <w:tc>
          <w:tcPr>
            <w:tcW w:w="720" w:type="dxa"/>
            <w:tcMar>
              <w:left w:w="0" w:type="dxa"/>
              <w:right w:w="0" w:type="dxa"/>
            </w:tcMar>
          </w:tcPr>
          <w:p w:rsidR="008802EB" w:rsidRPr="00C1697B" w:rsidRDefault="008802EB" w:rsidP="008802EB">
            <w:pPr>
              <w:widowControl w:val="0"/>
              <w:jc w:val="center"/>
              <w:rPr>
                <w:sz w:val="20"/>
                <w:szCs w:val="20"/>
              </w:rPr>
            </w:pPr>
          </w:p>
        </w:tc>
        <w:tc>
          <w:tcPr>
            <w:tcW w:w="4380" w:type="dxa"/>
            <w:tcMar>
              <w:left w:w="0" w:type="dxa"/>
              <w:right w:w="0" w:type="dxa"/>
            </w:tcMar>
          </w:tcPr>
          <w:p w:rsidR="008802EB" w:rsidRPr="00CC4D84" w:rsidRDefault="008802EB" w:rsidP="008802EB">
            <w:pPr>
              <w:widowControl w:val="0"/>
              <w:jc w:val="both"/>
              <w:rPr>
                <w:b/>
                <w:sz w:val="20"/>
                <w:szCs w:val="20"/>
                <w:u w:val="single"/>
                <w:lang w:val="fr-CA"/>
              </w:rPr>
            </w:pPr>
            <w:r w:rsidRPr="00CC4D84">
              <w:rPr>
                <w:b/>
                <w:sz w:val="20"/>
                <w:szCs w:val="20"/>
                <w:u w:val="single"/>
                <w:lang w:val="fr-CA"/>
              </w:rPr>
              <w:t>Nature de la cause :</w:t>
            </w:r>
          </w:p>
          <w:p w:rsidR="008802EB" w:rsidRPr="00C1697B" w:rsidRDefault="008802EB" w:rsidP="008802EB">
            <w:pPr>
              <w:widowControl w:val="0"/>
              <w:jc w:val="both"/>
              <w:rPr>
                <w:sz w:val="20"/>
                <w:szCs w:val="20"/>
                <w:lang w:val="fr-CA"/>
              </w:rPr>
            </w:pPr>
          </w:p>
          <w:p w:rsidR="008802EB" w:rsidRPr="00C1697B" w:rsidRDefault="00D01417" w:rsidP="00D01417">
            <w:pPr>
              <w:widowControl w:val="0"/>
              <w:jc w:val="both"/>
              <w:rPr>
                <w:sz w:val="20"/>
                <w:szCs w:val="20"/>
                <w:lang w:val="fr-CA"/>
              </w:rPr>
            </w:pPr>
            <w:r w:rsidRPr="00D771F0">
              <w:rPr>
                <w:i/>
                <w:sz w:val="20"/>
                <w:szCs w:val="20"/>
                <w:lang w:val="fr-CA"/>
              </w:rPr>
              <w:t>Charte des droits et libertés</w:t>
            </w:r>
            <w:r w:rsidRPr="00D771F0">
              <w:rPr>
                <w:sz w:val="20"/>
                <w:szCs w:val="20"/>
                <w:lang w:val="fr-CA"/>
              </w:rPr>
              <w:t xml:space="preserve"> - Droit à l’égalité - Discrimination fondée sur l’âge - Discrimination fondée sur l’autochtonité-lieu de résidence - Droit des Autochtones - Les al. 9.03</w:t>
            </w:r>
            <w:r w:rsidRPr="00D771F0">
              <w:rPr>
                <w:i/>
                <w:sz w:val="20"/>
                <w:szCs w:val="20"/>
                <w:lang w:val="fr-CA"/>
              </w:rPr>
              <w:t>c</w:t>
            </w:r>
            <w:r w:rsidRPr="00D771F0">
              <w:rPr>
                <w:sz w:val="20"/>
                <w:szCs w:val="20"/>
                <w:lang w:val="fr-CA"/>
              </w:rPr>
              <w:t>) et 10.01</w:t>
            </w:r>
            <w:r w:rsidRPr="00D771F0">
              <w:rPr>
                <w:i/>
                <w:sz w:val="20"/>
                <w:szCs w:val="20"/>
                <w:lang w:val="fr-CA"/>
              </w:rPr>
              <w:t>d</w:t>
            </w:r>
            <w:r w:rsidRPr="00D771F0">
              <w:rPr>
                <w:sz w:val="20"/>
                <w:szCs w:val="20"/>
                <w:lang w:val="fr-CA"/>
              </w:rPr>
              <w:t xml:space="preserve">) de la </w:t>
            </w:r>
            <w:r w:rsidRPr="00D771F0">
              <w:rPr>
                <w:i/>
                <w:sz w:val="20"/>
                <w:szCs w:val="20"/>
                <w:lang w:val="fr-CA"/>
              </w:rPr>
              <w:t>Kahkewistahaw Election Act</w:t>
            </w:r>
            <w:r w:rsidRPr="00D771F0">
              <w:rPr>
                <w:sz w:val="20"/>
                <w:szCs w:val="20"/>
                <w:lang w:val="fr-CA"/>
              </w:rPr>
              <w:t xml:space="preserve"> contreviennent-ils au par. 15(1) de la </w:t>
            </w:r>
            <w:r w:rsidRPr="00D771F0">
              <w:rPr>
                <w:i/>
                <w:sz w:val="20"/>
                <w:szCs w:val="20"/>
                <w:lang w:val="fr-CA"/>
              </w:rPr>
              <w:t>Charte canadienne des droits et libertés</w:t>
            </w:r>
            <w:r w:rsidRPr="00D771F0">
              <w:rPr>
                <w:sz w:val="20"/>
                <w:szCs w:val="20"/>
                <w:lang w:val="fr-CA"/>
              </w:rPr>
              <w:t xml:space="preserve">? - Dans l’affirmative, s’agit-il d’une limite raisonnable prescrite par une règle de droit et dont la justification peut se démontrer dans le cadre d’une société libre et démocratique au sens de l’article premier de la </w:t>
            </w:r>
            <w:r w:rsidRPr="00D771F0">
              <w:rPr>
                <w:i/>
                <w:sz w:val="20"/>
                <w:szCs w:val="20"/>
                <w:lang w:val="fr-CA"/>
              </w:rPr>
              <w:t>Charte canadienne des droits et libertés</w:t>
            </w:r>
            <w:r w:rsidRPr="00D771F0">
              <w:rPr>
                <w:sz w:val="20"/>
                <w:szCs w:val="20"/>
                <w:lang w:val="fr-CA"/>
              </w:rPr>
              <w:t xml:space="preserve">? - La distinction faite en l’espèce repose-t-elle sur le niveau de scolarité, le motif énuméré de l’âge ou le motif analogue de l’autochtonité-lieu de résidence? - La distinction crée-t-elle un désavantage par la perpétuation d’un préjudice ou l’application de stéréotypes? - Les dispositions relatives à l’instruction constituent-elles un programme visant à améliorer la situation d’un groupe qui a besoin d’une aide amélioratrice afin d’accroître l’égalité réelle? </w:t>
            </w:r>
          </w:p>
        </w:tc>
      </w:tr>
    </w:tbl>
    <w:p w:rsidR="008802EB" w:rsidRDefault="008802EB" w:rsidP="008802EB">
      <w:pPr>
        <w:widowControl w:val="0"/>
        <w:rPr>
          <w:sz w:val="20"/>
          <w:szCs w:val="20"/>
          <w:lang w:val="fr-CA"/>
        </w:rPr>
      </w:pPr>
    </w:p>
    <w:p w:rsidR="00732DB7" w:rsidRPr="00C1697B" w:rsidRDefault="00F677DC" w:rsidP="00732DB7">
      <w:pPr>
        <w:widowControl w:val="0"/>
        <w:rPr>
          <w:sz w:val="20"/>
          <w:szCs w:val="20"/>
          <w:lang w:val="fr-CA"/>
        </w:rPr>
      </w:pPr>
      <w:r>
        <w:rPr>
          <w:sz w:val="20"/>
          <w:szCs w:val="20"/>
          <w:lang w:val="fr-CA"/>
        </w:rPr>
        <w:pict>
          <v:rect id="_x0000_i1098" style="width:2in;height:1pt" o:hrpct="0" o:hralign="center" o:hrstd="t" o:hrnoshade="t" o:hr="t" fillcolor="black [3213]" stroked="f"/>
        </w:pict>
      </w:r>
    </w:p>
    <w:p w:rsidR="00732DB7" w:rsidRPr="00C1697B" w:rsidRDefault="00732DB7" w:rsidP="00732DB7">
      <w:pPr>
        <w:widowControl w:val="0"/>
        <w:rPr>
          <w:sz w:val="20"/>
          <w:szCs w:val="20"/>
          <w:lang w:val="fr-CA"/>
        </w:rPr>
        <w:sectPr w:rsidR="00732DB7" w:rsidRPr="00C1697B" w:rsidSect="00732DB7">
          <w:headerReference w:type="even" r:id="rId75"/>
          <w:headerReference w:type="default" r:id="rId76"/>
          <w:footerReference w:type="even" r:id="rId77"/>
          <w:footerReference w:type="default" r:id="rId78"/>
          <w:headerReference w:type="first" r:id="rId79"/>
          <w:footerReference w:type="first" r:id="rId80"/>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DA7379"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7753CE" w:rsidRDefault="006925EC" w:rsidP="0052229C">
      <w:pPr>
        <w:rPr>
          <w:b/>
          <w:sz w:val="20"/>
          <w:szCs w:val="20"/>
        </w:rPr>
      </w:pPr>
      <w:r w:rsidRPr="007753CE">
        <w:rPr>
          <w:b/>
          <w:sz w:val="20"/>
          <w:szCs w:val="20"/>
        </w:rPr>
        <w:t>OCTOBE</w:t>
      </w:r>
      <w:r w:rsidR="0052229C" w:rsidRPr="007753CE">
        <w:rPr>
          <w:b/>
          <w:sz w:val="20"/>
          <w:szCs w:val="20"/>
        </w:rPr>
        <w:t xml:space="preserve">R </w:t>
      </w:r>
      <w:r w:rsidRPr="007753CE">
        <w:rPr>
          <w:b/>
          <w:sz w:val="20"/>
          <w:szCs w:val="20"/>
        </w:rPr>
        <w:t>9</w:t>
      </w:r>
      <w:r w:rsidR="0052229C" w:rsidRPr="007753CE">
        <w:rPr>
          <w:b/>
          <w:sz w:val="20"/>
          <w:szCs w:val="20"/>
        </w:rPr>
        <w:t xml:space="preserve">, 2014 / LE </w:t>
      </w:r>
      <w:r w:rsidRPr="007753CE">
        <w:rPr>
          <w:b/>
          <w:sz w:val="20"/>
          <w:szCs w:val="20"/>
        </w:rPr>
        <w:t>9 OCTOBRE</w:t>
      </w:r>
      <w:r w:rsidR="0052229C" w:rsidRPr="007753CE">
        <w:rPr>
          <w:b/>
          <w:sz w:val="20"/>
          <w:szCs w:val="20"/>
        </w:rPr>
        <w:t xml:space="preserve"> 2014</w:t>
      </w:r>
    </w:p>
    <w:p w:rsidR="0052229C" w:rsidRPr="007753CE" w:rsidRDefault="0052229C" w:rsidP="0052229C">
      <w:pPr>
        <w:rPr>
          <w:sz w:val="20"/>
          <w:szCs w:val="20"/>
        </w:rPr>
      </w:pPr>
    </w:p>
    <w:p w:rsidR="005009A6" w:rsidRPr="00D73C24" w:rsidRDefault="00274132" w:rsidP="005009A6">
      <w:pPr>
        <w:ind w:left="1440" w:hanging="1440"/>
        <w:jc w:val="both"/>
        <w:rPr>
          <w:sz w:val="20"/>
          <w:szCs w:val="20"/>
        </w:rPr>
      </w:pPr>
      <w:r w:rsidRPr="00D73C24">
        <w:rPr>
          <w:b/>
          <w:sz w:val="20"/>
          <w:szCs w:val="20"/>
        </w:rPr>
        <w:fldChar w:fldCharType="begin"/>
      </w:r>
      <w:r w:rsidR="005009A6" w:rsidRPr="00D73C24">
        <w:rPr>
          <w:b/>
          <w:sz w:val="20"/>
          <w:szCs w:val="20"/>
        </w:rPr>
        <w:instrText xml:space="preserve"> SEQ CHAPTER \h \r 1</w:instrText>
      </w:r>
      <w:r w:rsidRPr="00D73C24">
        <w:rPr>
          <w:b/>
          <w:sz w:val="20"/>
          <w:szCs w:val="20"/>
        </w:rPr>
        <w:fldChar w:fldCharType="end"/>
      </w:r>
      <w:r w:rsidR="005009A6" w:rsidRPr="00D73C24">
        <w:rPr>
          <w:b/>
          <w:sz w:val="20"/>
          <w:szCs w:val="20"/>
        </w:rPr>
        <w:t>35364</w:t>
      </w:r>
      <w:r w:rsidR="005009A6" w:rsidRPr="00D73C24">
        <w:rPr>
          <w:sz w:val="20"/>
          <w:szCs w:val="20"/>
        </w:rPr>
        <w:tab/>
      </w:r>
      <w:r w:rsidR="005009A6" w:rsidRPr="00D73C24">
        <w:rPr>
          <w:b/>
          <w:sz w:val="20"/>
          <w:szCs w:val="20"/>
          <w:u w:val="single"/>
        </w:rPr>
        <w:t>Her Majesty the Queen v. John Melville Steele – and – Attorney General of Canada and Attorney General of Ontario</w:t>
      </w:r>
      <w:r w:rsidR="005009A6" w:rsidRPr="00D73C24">
        <w:rPr>
          <w:b/>
          <w:sz w:val="20"/>
          <w:szCs w:val="20"/>
        </w:rPr>
        <w:t xml:space="preserve"> </w:t>
      </w:r>
      <w:r w:rsidR="005009A6" w:rsidRPr="00D73C24">
        <w:rPr>
          <w:sz w:val="20"/>
          <w:szCs w:val="20"/>
        </w:rPr>
        <w:t>(Man.)</w:t>
      </w:r>
    </w:p>
    <w:p w:rsidR="005009A6" w:rsidRPr="00D73C24" w:rsidRDefault="005009A6" w:rsidP="005009A6">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D73C24">
        <w:rPr>
          <w:b/>
          <w:sz w:val="20"/>
          <w:szCs w:val="20"/>
        </w:rPr>
        <w:t>2014 SCC 61 / 2014 CSC 61</w:t>
      </w:r>
    </w:p>
    <w:p w:rsidR="005009A6" w:rsidRPr="00D73C24" w:rsidRDefault="005009A6" w:rsidP="005009A6">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5009A6" w:rsidRPr="00D73C24" w:rsidRDefault="005009A6" w:rsidP="005009A6">
      <w:pPr>
        <w:ind w:left="1440" w:hanging="1440"/>
        <w:rPr>
          <w:sz w:val="20"/>
          <w:szCs w:val="20"/>
          <w:u w:val="single"/>
        </w:rPr>
      </w:pPr>
      <w:r w:rsidRPr="00D73C24">
        <w:rPr>
          <w:sz w:val="20"/>
          <w:szCs w:val="20"/>
        </w:rPr>
        <w:t>Coram:</w:t>
      </w:r>
      <w:r w:rsidRPr="00D73C24">
        <w:rPr>
          <w:sz w:val="20"/>
          <w:szCs w:val="20"/>
        </w:rPr>
        <w:tab/>
      </w:r>
      <w:r w:rsidRPr="00D73C24">
        <w:rPr>
          <w:sz w:val="20"/>
          <w:szCs w:val="20"/>
          <w:u w:val="single"/>
        </w:rPr>
        <w:t>McLachlin C.J. and Abella, Rothstein, Cromwell, Moldaver, Karakatsanis and Wagner JJ.</w:t>
      </w:r>
    </w:p>
    <w:p w:rsidR="005009A6" w:rsidRPr="00D73C24" w:rsidRDefault="005009A6" w:rsidP="005009A6">
      <w:pPr>
        <w:jc w:val="both"/>
        <w:rPr>
          <w:sz w:val="20"/>
          <w:szCs w:val="20"/>
        </w:rPr>
      </w:pPr>
    </w:p>
    <w:p w:rsidR="005009A6" w:rsidRPr="00D73C24" w:rsidRDefault="005009A6" w:rsidP="005009A6">
      <w:pPr>
        <w:jc w:val="both"/>
        <w:rPr>
          <w:rFonts w:eastAsia="Calibri"/>
          <w:sz w:val="20"/>
          <w:szCs w:val="20"/>
        </w:rPr>
      </w:pPr>
      <w:r w:rsidRPr="00D73C24">
        <w:rPr>
          <w:rFonts w:eastAsia="Calibri"/>
          <w:sz w:val="20"/>
          <w:szCs w:val="20"/>
        </w:rPr>
        <w:t xml:space="preserve">The appeal from the judgment </w:t>
      </w:r>
      <w:bookmarkStart w:id="5" w:name="BM_1_"/>
      <w:bookmarkEnd w:id="5"/>
      <w:r w:rsidRPr="00D73C24">
        <w:rPr>
          <w:rFonts w:eastAsia="Calibri"/>
          <w:sz w:val="20"/>
          <w:szCs w:val="20"/>
        </w:rPr>
        <w:t xml:space="preserve">of the Court of Appeal of Manitoba, Number AR 11-30-07625, 2013 MBCA 21, dated March 13, 2013, heard on April 17, 2014, is allowed without costs. The application for remand for an assessment pursuant to s. 752.1(1) of the </w:t>
      </w:r>
      <w:r w:rsidRPr="00D73C24">
        <w:rPr>
          <w:rFonts w:eastAsia="Calibri"/>
          <w:i/>
          <w:sz w:val="20"/>
          <w:szCs w:val="20"/>
        </w:rPr>
        <w:t>Criminal Code</w:t>
      </w:r>
      <w:r w:rsidRPr="00D73C24">
        <w:rPr>
          <w:rFonts w:eastAsia="Calibri"/>
          <w:sz w:val="20"/>
          <w:szCs w:val="20"/>
        </w:rPr>
        <w:t xml:space="preserve"> is granted.</w:t>
      </w:r>
    </w:p>
    <w:p w:rsidR="005009A6" w:rsidRPr="00D73C24" w:rsidRDefault="005009A6" w:rsidP="005009A6">
      <w:pPr>
        <w:jc w:val="both"/>
        <w:rPr>
          <w:rFonts w:eastAsia="Calibri"/>
          <w:sz w:val="20"/>
          <w:szCs w:val="20"/>
        </w:rPr>
      </w:pPr>
    </w:p>
    <w:p w:rsidR="005009A6" w:rsidRPr="00D73C24" w:rsidRDefault="005009A6" w:rsidP="005009A6">
      <w:pPr>
        <w:jc w:val="both"/>
        <w:rPr>
          <w:rFonts w:eastAsia="Calibri"/>
          <w:sz w:val="20"/>
          <w:szCs w:val="20"/>
          <w:lang w:val="fr-CA"/>
        </w:rPr>
      </w:pPr>
      <w:r w:rsidRPr="00D73C24">
        <w:rPr>
          <w:rFonts w:eastAsia="Calibri"/>
          <w:sz w:val="20"/>
          <w:szCs w:val="20"/>
          <w:lang w:val="fr-CA"/>
        </w:rPr>
        <w:t xml:space="preserve">L’appel interjeté contre l’arrêt de la Cour d’appel du Manitoba, numéro AR 11-30-07625, 2013 MBCA 21, en date du 13 mars 2013, entendu le 17 avril 2014, est  accueilli sans dépens. La demande de renvoi pour évaluation en application du par. 752.1(1) du </w:t>
      </w:r>
      <w:r w:rsidRPr="00D73C24">
        <w:rPr>
          <w:rFonts w:eastAsia="Calibri"/>
          <w:i/>
          <w:sz w:val="20"/>
          <w:szCs w:val="20"/>
          <w:lang w:val="fr-CA"/>
        </w:rPr>
        <w:t>Code criminel</w:t>
      </w:r>
      <w:r w:rsidRPr="00D73C24">
        <w:rPr>
          <w:rFonts w:eastAsia="Calibri"/>
          <w:sz w:val="20"/>
          <w:szCs w:val="20"/>
          <w:lang w:val="fr-CA"/>
        </w:rPr>
        <w:t xml:space="preserve"> est accueillie.</w:t>
      </w:r>
    </w:p>
    <w:p w:rsidR="0052229C" w:rsidRPr="005009A6" w:rsidRDefault="0052229C" w:rsidP="0052229C">
      <w:pPr>
        <w:rPr>
          <w:sz w:val="20"/>
          <w:szCs w:val="20"/>
          <w:lang w:val="fr-CA"/>
        </w:rPr>
      </w:pPr>
    </w:p>
    <w:p w:rsidR="0052229C" w:rsidRPr="003B3977" w:rsidRDefault="00F677DC" w:rsidP="0052229C">
      <w:pPr>
        <w:spacing w:line="0" w:lineRule="atLeast"/>
        <w:rPr>
          <w:sz w:val="20"/>
          <w:szCs w:val="20"/>
        </w:rPr>
      </w:pPr>
      <w:r>
        <w:rPr>
          <w:b/>
          <w:sz w:val="20"/>
          <w:szCs w:val="20"/>
        </w:rPr>
        <w:pict>
          <v:rect id="_x0000_i1101"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6925EC" w:rsidRPr="008927CA" w:rsidRDefault="006925EC" w:rsidP="006925EC">
      <w:pPr>
        <w:rPr>
          <w:b/>
          <w:sz w:val="20"/>
          <w:szCs w:val="20"/>
        </w:rPr>
      </w:pPr>
      <w:r w:rsidRPr="008927CA">
        <w:rPr>
          <w:b/>
          <w:sz w:val="20"/>
          <w:szCs w:val="20"/>
        </w:rPr>
        <w:t>OCTOBER 10, 2014 / LE 10 OCTOBRE 2014</w:t>
      </w:r>
    </w:p>
    <w:p w:rsidR="0052229C" w:rsidRPr="00A84883" w:rsidRDefault="0052229C" w:rsidP="0052229C">
      <w:pPr>
        <w:spacing w:line="0" w:lineRule="atLeast"/>
        <w:rPr>
          <w:rFonts w:cs="Times New Roman"/>
          <w:sz w:val="20"/>
          <w:szCs w:val="20"/>
        </w:rPr>
      </w:pPr>
    </w:p>
    <w:p w:rsidR="008927CA" w:rsidRPr="003239EE" w:rsidRDefault="008927CA" w:rsidP="008927CA">
      <w:pPr>
        <w:ind w:left="1440" w:hanging="1440"/>
        <w:jc w:val="both"/>
        <w:rPr>
          <w:sz w:val="20"/>
          <w:szCs w:val="20"/>
        </w:rPr>
      </w:pPr>
      <w:r w:rsidRPr="003239EE">
        <w:rPr>
          <w:b/>
          <w:sz w:val="20"/>
          <w:szCs w:val="20"/>
        </w:rPr>
        <w:fldChar w:fldCharType="begin"/>
      </w:r>
      <w:r w:rsidRPr="003239EE">
        <w:rPr>
          <w:b/>
          <w:sz w:val="20"/>
          <w:szCs w:val="20"/>
        </w:rPr>
        <w:instrText xml:space="preserve"> SEQ CHAPTER \h \r 1</w:instrText>
      </w:r>
      <w:r w:rsidRPr="003239EE">
        <w:rPr>
          <w:b/>
          <w:sz w:val="20"/>
          <w:szCs w:val="20"/>
        </w:rPr>
        <w:fldChar w:fldCharType="end"/>
      </w:r>
      <w:r w:rsidRPr="003239EE">
        <w:rPr>
          <w:b/>
          <w:sz w:val="20"/>
          <w:szCs w:val="20"/>
        </w:rPr>
        <w:t>35034</w:t>
      </w:r>
      <w:r w:rsidRPr="003239EE">
        <w:rPr>
          <w:sz w:val="20"/>
          <w:szCs w:val="20"/>
        </w:rPr>
        <w:tab/>
      </w:r>
      <w:r w:rsidRPr="003239EE">
        <w:rPr>
          <w:b/>
          <w:sz w:val="20"/>
          <w:szCs w:val="20"/>
          <w:u w:val="single"/>
        </w:rPr>
        <w:t>Estate of the Late Zahra (Ziba) Kazemi and Stephan (Salman) Hashemi v. Islamic Republic of Iran, Ayatollah Sayyid Ali Khamenei, Saeed Mortazavi, Mohammad Bakhshi and Attorney General of Canada – and – Canadian Lawyers for International Human Rights, Amnistie internationale, Section Canada francophone, Redress Trust Ltd., Canadian Association of Refugee Lawyers, British Columbia Civil Liberties Association, Canadian Bar Association, Canadian Civil Liberties Association, Canadian Centre for International Justice, David Asper Centre for Constitutional Rights, International Human Rights Program at the University of Toronto Faculty of Law and Iran Human Rights Documentation Center</w:t>
      </w:r>
      <w:r w:rsidRPr="003239EE">
        <w:rPr>
          <w:b/>
          <w:sz w:val="20"/>
          <w:szCs w:val="20"/>
        </w:rPr>
        <w:t xml:space="preserve"> </w:t>
      </w:r>
      <w:r w:rsidRPr="003239EE">
        <w:rPr>
          <w:iCs/>
          <w:sz w:val="20"/>
          <w:szCs w:val="20"/>
        </w:rPr>
        <w:t>(Que.)</w:t>
      </w:r>
    </w:p>
    <w:p w:rsidR="008927CA" w:rsidRPr="003239EE" w:rsidRDefault="008927CA" w:rsidP="008927CA">
      <w:pPr>
        <w:tabs>
          <w:tab w:val="left" w:pos="1440"/>
          <w:tab w:val="left" w:pos="2160"/>
          <w:tab w:val="left" w:pos="2880"/>
          <w:tab w:val="left" w:pos="3600"/>
          <w:tab w:val="left" w:pos="4320"/>
          <w:tab w:val="left" w:pos="5040"/>
          <w:tab w:val="left" w:pos="5760"/>
          <w:tab w:val="left" w:pos="6480"/>
          <w:tab w:val="left" w:pos="7200"/>
        </w:tabs>
        <w:ind w:left="1440"/>
        <w:jc w:val="both"/>
        <w:rPr>
          <w:b/>
          <w:sz w:val="20"/>
          <w:szCs w:val="20"/>
        </w:rPr>
      </w:pPr>
      <w:r w:rsidRPr="003239EE">
        <w:rPr>
          <w:b/>
          <w:sz w:val="20"/>
          <w:szCs w:val="20"/>
        </w:rPr>
        <w:t>2014 SCC 62 / 2014 CSC 62</w:t>
      </w:r>
    </w:p>
    <w:p w:rsidR="008927CA" w:rsidRPr="003239EE" w:rsidRDefault="008927CA" w:rsidP="008927CA">
      <w:pPr>
        <w:ind w:left="1440" w:hanging="1440"/>
        <w:jc w:val="both"/>
        <w:rPr>
          <w:sz w:val="20"/>
          <w:szCs w:val="20"/>
        </w:rPr>
      </w:pPr>
    </w:p>
    <w:p w:rsidR="008927CA" w:rsidRPr="003239EE" w:rsidRDefault="008927CA" w:rsidP="008927CA">
      <w:pPr>
        <w:ind w:left="1440" w:hanging="1440"/>
        <w:jc w:val="both"/>
        <w:rPr>
          <w:sz w:val="20"/>
          <w:szCs w:val="20"/>
          <w:u w:val="single"/>
        </w:rPr>
      </w:pPr>
      <w:r w:rsidRPr="003239EE">
        <w:rPr>
          <w:sz w:val="20"/>
          <w:szCs w:val="20"/>
        </w:rPr>
        <w:t>Coram:</w:t>
      </w:r>
      <w:r w:rsidRPr="003239EE">
        <w:rPr>
          <w:sz w:val="20"/>
          <w:szCs w:val="20"/>
        </w:rPr>
        <w:tab/>
      </w:r>
      <w:r w:rsidRPr="003239EE">
        <w:rPr>
          <w:sz w:val="20"/>
          <w:szCs w:val="20"/>
          <w:u w:val="single"/>
        </w:rPr>
        <w:t>McLachlin C.J. and LeBel, Abella, Rothstein, Cromwell, Moldaver and Karakatsanis JJ.</w:t>
      </w:r>
    </w:p>
    <w:p w:rsidR="008927CA" w:rsidRPr="003239EE" w:rsidRDefault="008927CA" w:rsidP="008927CA">
      <w:pPr>
        <w:ind w:left="1440" w:hanging="1440"/>
        <w:jc w:val="both"/>
        <w:rPr>
          <w:sz w:val="20"/>
          <w:szCs w:val="20"/>
          <w:u w:val="single"/>
        </w:rPr>
      </w:pPr>
    </w:p>
    <w:p w:rsidR="008927CA" w:rsidRPr="003239EE" w:rsidRDefault="008927CA" w:rsidP="008927CA">
      <w:pPr>
        <w:jc w:val="both"/>
        <w:rPr>
          <w:sz w:val="20"/>
          <w:szCs w:val="20"/>
        </w:rPr>
      </w:pPr>
      <w:r w:rsidRPr="003239EE">
        <w:rPr>
          <w:sz w:val="20"/>
          <w:szCs w:val="20"/>
        </w:rPr>
        <w:t>The appeal from the judgment of the Court of Appeal of Quebec (Montréal), Numbers  500-09-021440-110 and 500-09-021457-114, 2012 QCCA 1449, dated August 15, 2012, heard on March 18, 2014, is dismissed without costs. Abella J. is dissenting. The constitutional questions are answered as follows:</w:t>
      </w:r>
    </w:p>
    <w:p w:rsidR="008927CA" w:rsidRPr="003239EE" w:rsidRDefault="008927CA" w:rsidP="008927CA">
      <w:pPr>
        <w:jc w:val="both"/>
        <w:rPr>
          <w:sz w:val="20"/>
          <w:szCs w:val="20"/>
        </w:rPr>
      </w:pPr>
    </w:p>
    <w:p w:rsidR="008927CA" w:rsidRPr="003239EE" w:rsidRDefault="008927CA" w:rsidP="008927CA">
      <w:pPr>
        <w:pStyle w:val="ListParagraph"/>
        <w:numPr>
          <w:ilvl w:val="0"/>
          <w:numId w:val="11"/>
        </w:numPr>
        <w:jc w:val="both"/>
        <w:rPr>
          <w:sz w:val="20"/>
          <w:szCs w:val="20"/>
        </w:rPr>
      </w:pPr>
      <w:r w:rsidRPr="003239EE">
        <w:rPr>
          <w:sz w:val="20"/>
          <w:szCs w:val="20"/>
        </w:rPr>
        <w:t xml:space="preserve">Is s. 3(1) of the </w:t>
      </w:r>
      <w:r w:rsidRPr="003239EE">
        <w:rPr>
          <w:i/>
          <w:sz w:val="20"/>
          <w:szCs w:val="20"/>
        </w:rPr>
        <w:t>State Immunity Act</w:t>
      </w:r>
      <w:r w:rsidRPr="003239EE">
        <w:rPr>
          <w:sz w:val="20"/>
          <w:szCs w:val="20"/>
        </w:rPr>
        <w:t>, R.S.C. 1985, c. S-18, inconsistent with s. 2(</w:t>
      </w:r>
      <w:r w:rsidRPr="003239EE">
        <w:rPr>
          <w:i/>
          <w:sz w:val="20"/>
          <w:szCs w:val="20"/>
        </w:rPr>
        <w:t>e</w:t>
      </w:r>
      <w:r w:rsidRPr="003239EE">
        <w:rPr>
          <w:sz w:val="20"/>
          <w:szCs w:val="20"/>
        </w:rPr>
        <w:t xml:space="preserve">) of the </w:t>
      </w:r>
      <w:r w:rsidRPr="003239EE">
        <w:rPr>
          <w:i/>
          <w:sz w:val="20"/>
          <w:szCs w:val="20"/>
        </w:rPr>
        <w:t>Canadian Bill of Rights</w:t>
      </w:r>
      <w:r w:rsidRPr="003239EE">
        <w:rPr>
          <w:sz w:val="20"/>
          <w:szCs w:val="20"/>
        </w:rPr>
        <w:t>, S.C. 1960, c. 44?</w:t>
      </w:r>
    </w:p>
    <w:p w:rsidR="008927CA" w:rsidRPr="003239EE" w:rsidRDefault="008927CA" w:rsidP="008927CA">
      <w:pPr>
        <w:jc w:val="both"/>
        <w:rPr>
          <w:sz w:val="20"/>
          <w:szCs w:val="20"/>
        </w:rPr>
      </w:pPr>
    </w:p>
    <w:p w:rsidR="008927CA" w:rsidRPr="003239EE" w:rsidRDefault="008927CA" w:rsidP="008927CA">
      <w:pPr>
        <w:ind w:left="720" w:firstLine="360"/>
        <w:jc w:val="both"/>
        <w:rPr>
          <w:sz w:val="20"/>
          <w:szCs w:val="20"/>
        </w:rPr>
      </w:pPr>
      <w:r w:rsidRPr="003239EE">
        <w:rPr>
          <w:sz w:val="20"/>
          <w:szCs w:val="20"/>
        </w:rPr>
        <w:t>No.</w:t>
      </w:r>
    </w:p>
    <w:p w:rsidR="008927CA" w:rsidRPr="003239EE" w:rsidRDefault="008927CA" w:rsidP="008927CA">
      <w:pPr>
        <w:pStyle w:val="ListParagraph"/>
        <w:jc w:val="both"/>
        <w:rPr>
          <w:sz w:val="20"/>
          <w:szCs w:val="20"/>
        </w:rPr>
      </w:pPr>
    </w:p>
    <w:p w:rsidR="008927CA" w:rsidRPr="003239EE" w:rsidRDefault="008927CA" w:rsidP="008927CA">
      <w:pPr>
        <w:pStyle w:val="ListParagraph"/>
        <w:numPr>
          <w:ilvl w:val="0"/>
          <w:numId w:val="11"/>
        </w:numPr>
        <w:jc w:val="both"/>
        <w:rPr>
          <w:sz w:val="20"/>
          <w:szCs w:val="20"/>
        </w:rPr>
      </w:pPr>
      <w:r w:rsidRPr="003239EE">
        <w:rPr>
          <w:sz w:val="20"/>
          <w:szCs w:val="20"/>
        </w:rPr>
        <w:t xml:space="preserve">If so, is s. 3(1) of the </w:t>
      </w:r>
      <w:r w:rsidRPr="003239EE">
        <w:rPr>
          <w:i/>
          <w:sz w:val="20"/>
          <w:szCs w:val="20"/>
        </w:rPr>
        <w:t>State Immunity Act</w:t>
      </w:r>
      <w:r w:rsidRPr="003239EE">
        <w:rPr>
          <w:sz w:val="20"/>
          <w:szCs w:val="20"/>
        </w:rPr>
        <w:t>, R.S.C. 1985, c. S-18, inoperable by reason of such inconsistency?</w:t>
      </w:r>
    </w:p>
    <w:p w:rsidR="008927CA" w:rsidRPr="003239EE" w:rsidRDefault="008927CA" w:rsidP="008927CA">
      <w:pPr>
        <w:ind w:left="1080"/>
        <w:jc w:val="both"/>
        <w:rPr>
          <w:sz w:val="20"/>
          <w:szCs w:val="20"/>
        </w:rPr>
      </w:pPr>
    </w:p>
    <w:p w:rsidR="008927CA" w:rsidRPr="003239EE" w:rsidRDefault="008927CA" w:rsidP="008927CA">
      <w:pPr>
        <w:ind w:left="1080"/>
        <w:jc w:val="both"/>
        <w:rPr>
          <w:sz w:val="20"/>
          <w:szCs w:val="20"/>
        </w:rPr>
      </w:pPr>
      <w:r w:rsidRPr="003239EE">
        <w:rPr>
          <w:sz w:val="20"/>
          <w:szCs w:val="20"/>
        </w:rPr>
        <w:t>It is not necessary to answer this question.</w:t>
      </w:r>
    </w:p>
    <w:p w:rsidR="008927CA" w:rsidRPr="003239EE" w:rsidRDefault="008927CA" w:rsidP="008927CA">
      <w:pPr>
        <w:pStyle w:val="ListParagraph"/>
        <w:jc w:val="both"/>
        <w:rPr>
          <w:sz w:val="20"/>
          <w:szCs w:val="20"/>
        </w:rPr>
      </w:pPr>
    </w:p>
    <w:p w:rsidR="008927CA" w:rsidRPr="003239EE" w:rsidRDefault="008927CA" w:rsidP="008927CA">
      <w:pPr>
        <w:pStyle w:val="ListParagraph"/>
        <w:numPr>
          <w:ilvl w:val="0"/>
          <w:numId w:val="11"/>
        </w:numPr>
        <w:jc w:val="both"/>
        <w:rPr>
          <w:sz w:val="20"/>
          <w:szCs w:val="20"/>
        </w:rPr>
      </w:pPr>
      <w:r w:rsidRPr="003239EE">
        <w:rPr>
          <w:sz w:val="20"/>
          <w:szCs w:val="20"/>
        </w:rPr>
        <w:t xml:space="preserve">Does s. 3(1) of the </w:t>
      </w:r>
      <w:r w:rsidRPr="003239EE">
        <w:rPr>
          <w:i/>
          <w:sz w:val="20"/>
          <w:szCs w:val="20"/>
        </w:rPr>
        <w:t>State Immunity Act</w:t>
      </w:r>
      <w:r w:rsidRPr="003239EE">
        <w:rPr>
          <w:sz w:val="20"/>
          <w:szCs w:val="20"/>
        </w:rPr>
        <w:t xml:space="preserve">, R.S.C. 1985, c. S-18, infringe s. 7 of the </w:t>
      </w:r>
      <w:r w:rsidRPr="003239EE">
        <w:rPr>
          <w:i/>
          <w:sz w:val="20"/>
          <w:szCs w:val="20"/>
        </w:rPr>
        <w:t>Canadian Charter of Rights and Freedoms</w:t>
      </w:r>
      <w:r w:rsidRPr="003239EE">
        <w:rPr>
          <w:sz w:val="20"/>
          <w:szCs w:val="20"/>
        </w:rPr>
        <w:t>?</w:t>
      </w:r>
    </w:p>
    <w:p w:rsidR="008927CA" w:rsidRPr="003239EE" w:rsidRDefault="008927CA" w:rsidP="008927CA">
      <w:pPr>
        <w:ind w:left="720"/>
        <w:jc w:val="both"/>
        <w:rPr>
          <w:sz w:val="20"/>
          <w:szCs w:val="20"/>
        </w:rPr>
      </w:pPr>
    </w:p>
    <w:p w:rsidR="008927CA" w:rsidRPr="003239EE" w:rsidRDefault="008927CA" w:rsidP="008927CA">
      <w:pPr>
        <w:ind w:left="1080"/>
        <w:jc w:val="both"/>
        <w:rPr>
          <w:sz w:val="20"/>
          <w:szCs w:val="20"/>
        </w:rPr>
      </w:pPr>
      <w:r w:rsidRPr="003239EE">
        <w:rPr>
          <w:sz w:val="20"/>
          <w:szCs w:val="20"/>
        </w:rPr>
        <w:t>No.</w:t>
      </w:r>
    </w:p>
    <w:p w:rsidR="008927CA" w:rsidRPr="003239EE" w:rsidRDefault="008927CA" w:rsidP="008927CA">
      <w:pPr>
        <w:pStyle w:val="ListParagraph"/>
        <w:jc w:val="both"/>
        <w:rPr>
          <w:sz w:val="20"/>
          <w:szCs w:val="20"/>
        </w:rPr>
      </w:pPr>
    </w:p>
    <w:p w:rsidR="008927CA" w:rsidRPr="003239EE" w:rsidRDefault="008927CA" w:rsidP="008927CA">
      <w:pPr>
        <w:pStyle w:val="ListParagraph"/>
        <w:numPr>
          <w:ilvl w:val="0"/>
          <w:numId w:val="11"/>
        </w:numPr>
        <w:jc w:val="both"/>
        <w:rPr>
          <w:sz w:val="20"/>
          <w:szCs w:val="20"/>
        </w:rPr>
      </w:pPr>
      <w:r w:rsidRPr="003239EE">
        <w:rPr>
          <w:sz w:val="20"/>
          <w:szCs w:val="20"/>
        </w:rPr>
        <w:lastRenderedPageBreak/>
        <w:t>If so, is the infringement a reasonable limit prescribed by law as can be demonstrably justified in a free and democratic society under s. 1 of the</w:t>
      </w:r>
      <w:r w:rsidRPr="003239EE">
        <w:rPr>
          <w:i/>
          <w:sz w:val="20"/>
          <w:szCs w:val="20"/>
        </w:rPr>
        <w:t xml:space="preserve"> Canadian Charter of Rights and Freedoms</w:t>
      </w:r>
      <w:r w:rsidRPr="003239EE">
        <w:rPr>
          <w:sz w:val="20"/>
          <w:szCs w:val="20"/>
        </w:rPr>
        <w:t xml:space="preserve">? </w:t>
      </w:r>
    </w:p>
    <w:p w:rsidR="008927CA" w:rsidRPr="003239EE" w:rsidRDefault="008927CA" w:rsidP="008927CA">
      <w:pPr>
        <w:jc w:val="both"/>
        <w:rPr>
          <w:sz w:val="20"/>
          <w:szCs w:val="20"/>
        </w:rPr>
      </w:pPr>
    </w:p>
    <w:p w:rsidR="008927CA" w:rsidRPr="003239EE" w:rsidRDefault="008927CA" w:rsidP="008927CA">
      <w:pPr>
        <w:ind w:left="1080"/>
        <w:jc w:val="both"/>
        <w:rPr>
          <w:sz w:val="20"/>
          <w:szCs w:val="20"/>
        </w:rPr>
      </w:pPr>
      <w:r w:rsidRPr="003239EE">
        <w:rPr>
          <w:sz w:val="20"/>
          <w:szCs w:val="20"/>
        </w:rPr>
        <w:t xml:space="preserve">It is not necessary to answer this question. </w:t>
      </w:r>
    </w:p>
    <w:p w:rsidR="008927CA" w:rsidRPr="003239EE" w:rsidRDefault="008927CA" w:rsidP="008927CA">
      <w:pPr>
        <w:widowControl w:val="0"/>
        <w:jc w:val="both"/>
        <w:outlineLvl w:val="0"/>
        <w:rPr>
          <w:sz w:val="20"/>
          <w:szCs w:val="20"/>
        </w:rPr>
      </w:pPr>
    </w:p>
    <w:p w:rsidR="008927CA" w:rsidRPr="003239EE" w:rsidRDefault="008927CA" w:rsidP="008927CA">
      <w:pPr>
        <w:widowControl w:val="0"/>
        <w:jc w:val="both"/>
        <w:outlineLvl w:val="0"/>
        <w:rPr>
          <w:sz w:val="20"/>
          <w:szCs w:val="20"/>
        </w:rPr>
      </w:pPr>
    </w:p>
    <w:p w:rsidR="008927CA" w:rsidRPr="003239EE" w:rsidRDefault="008927CA" w:rsidP="008927CA">
      <w:pPr>
        <w:jc w:val="both"/>
        <w:rPr>
          <w:sz w:val="20"/>
          <w:szCs w:val="20"/>
          <w:lang w:val="fr-CA"/>
        </w:rPr>
      </w:pPr>
      <w:r w:rsidRPr="003239EE">
        <w:rPr>
          <w:sz w:val="20"/>
          <w:szCs w:val="20"/>
          <w:lang w:val="fr-CA"/>
        </w:rPr>
        <w:t>L’appel interjeté contre l’arrêt de la Cour d’appel du Québec (Montréal), numéros 500-09-021440-110 et 500-09-021457-114, 2012 QCCA 1449, en date du 15 août 2012, entendu le 18 mars 2014, est rejeté sans dépens. La juge Abella est dissidente. Les questions constitutionnelles reçoivent les réponses suivantes :</w:t>
      </w:r>
    </w:p>
    <w:p w:rsidR="008927CA" w:rsidRPr="003239EE" w:rsidRDefault="008927CA" w:rsidP="008927CA">
      <w:pPr>
        <w:jc w:val="both"/>
        <w:rPr>
          <w:sz w:val="20"/>
          <w:szCs w:val="20"/>
          <w:lang w:val="fr-CA"/>
        </w:rPr>
      </w:pPr>
    </w:p>
    <w:p w:rsidR="008927CA" w:rsidRPr="003239EE" w:rsidRDefault="008927CA" w:rsidP="008927CA">
      <w:pPr>
        <w:pStyle w:val="ListParagraph"/>
        <w:numPr>
          <w:ilvl w:val="0"/>
          <w:numId w:val="12"/>
        </w:numPr>
        <w:jc w:val="both"/>
        <w:rPr>
          <w:sz w:val="20"/>
          <w:szCs w:val="20"/>
          <w:lang w:val="fr-CA"/>
        </w:rPr>
      </w:pPr>
      <w:r w:rsidRPr="003239EE">
        <w:rPr>
          <w:sz w:val="20"/>
          <w:szCs w:val="20"/>
          <w:lang w:val="fr-CA"/>
        </w:rPr>
        <w:t xml:space="preserve">Le par. 3(1) de la </w:t>
      </w:r>
      <w:r w:rsidRPr="003239EE">
        <w:rPr>
          <w:i/>
          <w:sz w:val="20"/>
          <w:szCs w:val="20"/>
          <w:lang w:val="fr-CA"/>
        </w:rPr>
        <w:t>Loi sur l’immunité des États</w:t>
      </w:r>
      <w:r w:rsidRPr="003239EE">
        <w:rPr>
          <w:sz w:val="20"/>
          <w:szCs w:val="20"/>
          <w:lang w:val="fr-CA"/>
        </w:rPr>
        <w:t>, L.R.C. 1985, ch. S-18, est-il incompatible avec l’al. 2</w:t>
      </w:r>
      <w:r w:rsidRPr="003239EE">
        <w:rPr>
          <w:i/>
          <w:sz w:val="20"/>
          <w:szCs w:val="20"/>
          <w:lang w:val="fr-CA"/>
        </w:rPr>
        <w:t>e</w:t>
      </w:r>
      <w:r w:rsidRPr="003239EE">
        <w:rPr>
          <w:sz w:val="20"/>
          <w:szCs w:val="20"/>
          <w:lang w:val="fr-CA"/>
        </w:rPr>
        <w:t xml:space="preserve">) de la </w:t>
      </w:r>
      <w:r w:rsidRPr="003239EE">
        <w:rPr>
          <w:i/>
          <w:sz w:val="20"/>
          <w:szCs w:val="20"/>
          <w:lang w:val="fr-CA"/>
        </w:rPr>
        <w:t>Déclaration canadienne des droits</w:t>
      </w:r>
      <w:r w:rsidRPr="003239EE">
        <w:rPr>
          <w:sz w:val="20"/>
          <w:szCs w:val="20"/>
          <w:lang w:val="fr-CA"/>
        </w:rPr>
        <w:t>, L.C. 1960, ch. 44?</w:t>
      </w:r>
    </w:p>
    <w:p w:rsidR="008927CA" w:rsidRPr="003239EE" w:rsidRDefault="008927CA" w:rsidP="008927CA">
      <w:pPr>
        <w:jc w:val="both"/>
        <w:rPr>
          <w:sz w:val="20"/>
          <w:szCs w:val="20"/>
          <w:lang w:val="fr-CA"/>
        </w:rPr>
      </w:pPr>
    </w:p>
    <w:p w:rsidR="008927CA" w:rsidRPr="003239EE" w:rsidRDefault="008927CA" w:rsidP="008927CA">
      <w:pPr>
        <w:ind w:left="720" w:firstLine="360"/>
        <w:jc w:val="both"/>
        <w:rPr>
          <w:sz w:val="20"/>
          <w:szCs w:val="20"/>
        </w:rPr>
      </w:pPr>
      <w:r w:rsidRPr="003239EE">
        <w:rPr>
          <w:sz w:val="20"/>
          <w:szCs w:val="20"/>
        </w:rPr>
        <w:t>Non.</w:t>
      </w:r>
    </w:p>
    <w:p w:rsidR="008927CA" w:rsidRPr="003239EE" w:rsidRDefault="008927CA" w:rsidP="008927CA">
      <w:pPr>
        <w:pStyle w:val="ListParagraph"/>
        <w:jc w:val="both"/>
        <w:rPr>
          <w:sz w:val="20"/>
          <w:szCs w:val="20"/>
        </w:rPr>
      </w:pPr>
    </w:p>
    <w:p w:rsidR="008927CA" w:rsidRPr="003239EE" w:rsidRDefault="008927CA" w:rsidP="008927CA">
      <w:pPr>
        <w:pStyle w:val="ListParagraph"/>
        <w:numPr>
          <w:ilvl w:val="0"/>
          <w:numId w:val="12"/>
        </w:numPr>
        <w:jc w:val="both"/>
        <w:rPr>
          <w:sz w:val="20"/>
          <w:szCs w:val="20"/>
        </w:rPr>
      </w:pPr>
      <w:r w:rsidRPr="003239EE">
        <w:rPr>
          <w:sz w:val="20"/>
          <w:szCs w:val="20"/>
          <w:lang w:val="fr-CA"/>
        </w:rPr>
        <w:t xml:space="preserve">Dans l’affirmative, le par. 3(1) de la </w:t>
      </w:r>
      <w:r w:rsidRPr="003239EE">
        <w:rPr>
          <w:i/>
          <w:sz w:val="20"/>
          <w:szCs w:val="20"/>
          <w:lang w:val="fr-CA"/>
        </w:rPr>
        <w:t>Loi sur l’immunité des États</w:t>
      </w:r>
      <w:r w:rsidRPr="003239EE">
        <w:rPr>
          <w:sz w:val="20"/>
          <w:szCs w:val="20"/>
          <w:lang w:val="fr-CA"/>
        </w:rPr>
        <w:t xml:space="preserve">, L.R.C. 1985, ch. </w:t>
      </w:r>
      <w:r w:rsidRPr="003239EE">
        <w:rPr>
          <w:sz w:val="20"/>
          <w:szCs w:val="20"/>
        </w:rPr>
        <w:t>S-18, est-il inopérant du fait de cette incompatibilité?</w:t>
      </w:r>
    </w:p>
    <w:p w:rsidR="008927CA" w:rsidRPr="003239EE" w:rsidRDefault="008927CA" w:rsidP="008927CA">
      <w:pPr>
        <w:ind w:left="1080"/>
        <w:jc w:val="both"/>
        <w:rPr>
          <w:sz w:val="20"/>
          <w:szCs w:val="20"/>
        </w:rPr>
      </w:pPr>
    </w:p>
    <w:p w:rsidR="008927CA" w:rsidRPr="003239EE" w:rsidRDefault="008927CA" w:rsidP="008927CA">
      <w:pPr>
        <w:ind w:left="1080"/>
        <w:jc w:val="both"/>
        <w:rPr>
          <w:sz w:val="20"/>
          <w:szCs w:val="20"/>
          <w:lang w:val="fr-CA"/>
        </w:rPr>
      </w:pPr>
      <w:r w:rsidRPr="003239EE">
        <w:rPr>
          <w:sz w:val="20"/>
          <w:szCs w:val="20"/>
          <w:lang w:val="fr-CA"/>
        </w:rPr>
        <w:t>Il n’est pas nécessaire de répondre à cette question.</w:t>
      </w:r>
    </w:p>
    <w:p w:rsidR="008927CA" w:rsidRPr="003239EE" w:rsidRDefault="008927CA" w:rsidP="008927CA">
      <w:pPr>
        <w:pStyle w:val="ListParagraph"/>
        <w:jc w:val="both"/>
        <w:rPr>
          <w:sz w:val="20"/>
          <w:szCs w:val="20"/>
          <w:lang w:val="fr-CA"/>
        </w:rPr>
      </w:pPr>
    </w:p>
    <w:p w:rsidR="008927CA" w:rsidRPr="003239EE" w:rsidRDefault="008927CA" w:rsidP="008927CA">
      <w:pPr>
        <w:pStyle w:val="ListParagraph"/>
        <w:numPr>
          <w:ilvl w:val="0"/>
          <w:numId w:val="12"/>
        </w:numPr>
        <w:jc w:val="both"/>
        <w:rPr>
          <w:sz w:val="20"/>
          <w:szCs w:val="20"/>
          <w:lang w:val="fr-CA"/>
        </w:rPr>
      </w:pPr>
      <w:r w:rsidRPr="003239EE">
        <w:rPr>
          <w:sz w:val="20"/>
          <w:szCs w:val="20"/>
          <w:lang w:val="fr-CA"/>
        </w:rPr>
        <w:t xml:space="preserve">Le par. 3(1) de la </w:t>
      </w:r>
      <w:r w:rsidRPr="003239EE">
        <w:rPr>
          <w:i/>
          <w:sz w:val="20"/>
          <w:szCs w:val="20"/>
          <w:lang w:val="fr-CA"/>
        </w:rPr>
        <w:t>Loi sur l’immunité des États</w:t>
      </w:r>
      <w:r w:rsidRPr="003239EE">
        <w:rPr>
          <w:sz w:val="20"/>
          <w:szCs w:val="20"/>
          <w:lang w:val="fr-CA"/>
        </w:rPr>
        <w:t xml:space="preserve">, L.R.C. 1985, ch. S-18, viole-t-il l’art. 7 de la </w:t>
      </w:r>
      <w:r w:rsidRPr="003239EE">
        <w:rPr>
          <w:i/>
          <w:sz w:val="20"/>
          <w:szCs w:val="20"/>
          <w:lang w:val="fr-CA"/>
        </w:rPr>
        <w:t>Charte canadienne des droits et libertés</w:t>
      </w:r>
      <w:r w:rsidRPr="003239EE">
        <w:rPr>
          <w:sz w:val="20"/>
          <w:szCs w:val="20"/>
          <w:lang w:val="fr-CA"/>
        </w:rPr>
        <w:t>?</w:t>
      </w:r>
    </w:p>
    <w:p w:rsidR="008927CA" w:rsidRPr="003239EE" w:rsidRDefault="008927CA" w:rsidP="008927CA">
      <w:pPr>
        <w:ind w:left="720"/>
        <w:jc w:val="both"/>
        <w:rPr>
          <w:sz w:val="20"/>
          <w:szCs w:val="20"/>
          <w:lang w:val="fr-CA"/>
        </w:rPr>
      </w:pPr>
    </w:p>
    <w:p w:rsidR="008927CA" w:rsidRPr="003239EE" w:rsidRDefault="008927CA" w:rsidP="008927CA">
      <w:pPr>
        <w:ind w:left="1080"/>
        <w:jc w:val="both"/>
        <w:rPr>
          <w:sz w:val="20"/>
          <w:szCs w:val="20"/>
        </w:rPr>
      </w:pPr>
      <w:r w:rsidRPr="003239EE">
        <w:rPr>
          <w:sz w:val="20"/>
          <w:szCs w:val="20"/>
        </w:rPr>
        <w:t>Non.</w:t>
      </w:r>
    </w:p>
    <w:p w:rsidR="008927CA" w:rsidRPr="003239EE" w:rsidRDefault="008927CA" w:rsidP="008927CA">
      <w:pPr>
        <w:pStyle w:val="ListParagraph"/>
        <w:jc w:val="both"/>
        <w:rPr>
          <w:sz w:val="20"/>
          <w:szCs w:val="20"/>
        </w:rPr>
      </w:pPr>
    </w:p>
    <w:p w:rsidR="008927CA" w:rsidRPr="003239EE" w:rsidRDefault="008927CA" w:rsidP="008927CA">
      <w:pPr>
        <w:pStyle w:val="ListParagraph"/>
        <w:numPr>
          <w:ilvl w:val="0"/>
          <w:numId w:val="12"/>
        </w:numPr>
        <w:jc w:val="both"/>
        <w:rPr>
          <w:sz w:val="20"/>
          <w:szCs w:val="20"/>
          <w:lang w:val="fr-CA"/>
        </w:rPr>
      </w:pPr>
      <w:r w:rsidRPr="003239EE">
        <w:rPr>
          <w:sz w:val="20"/>
          <w:szCs w:val="20"/>
          <w:lang w:val="fr-CA"/>
        </w:rPr>
        <w:t xml:space="preserve">Dans l’affirmative, s’agit-il d’une violation constituant une limite raisonnable, établie par une règle de droit et dont la justification peut se démontrer dans le cadre d’une société libre et démocratique conformément à l’article premier de la </w:t>
      </w:r>
      <w:r w:rsidRPr="003239EE">
        <w:rPr>
          <w:i/>
          <w:sz w:val="20"/>
          <w:szCs w:val="20"/>
          <w:lang w:val="fr-CA"/>
        </w:rPr>
        <w:t>Charte canadienne des droits et libertés</w:t>
      </w:r>
      <w:r w:rsidRPr="003239EE">
        <w:rPr>
          <w:sz w:val="20"/>
          <w:szCs w:val="20"/>
          <w:lang w:val="fr-CA"/>
        </w:rPr>
        <w:t xml:space="preserve">? </w:t>
      </w:r>
    </w:p>
    <w:p w:rsidR="008927CA" w:rsidRPr="003239EE" w:rsidRDefault="008927CA" w:rsidP="008927CA">
      <w:pPr>
        <w:jc w:val="both"/>
        <w:rPr>
          <w:sz w:val="20"/>
          <w:szCs w:val="20"/>
          <w:lang w:val="fr-CA"/>
        </w:rPr>
      </w:pPr>
    </w:p>
    <w:p w:rsidR="008927CA" w:rsidRPr="003239EE" w:rsidRDefault="008927CA" w:rsidP="008927CA">
      <w:pPr>
        <w:ind w:left="1080"/>
        <w:jc w:val="both"/>
        <w:rPr>
          <w:sz w:val="20"/>
          <w:szCs w:val="20"/>
          <w:lang w:val="fr-CA"/>
        </w:rPr>
      </w:pPr>
      <w:r w:rsidRPr="003239EE">
        <w:rPr>
          <w:sz w:val="20"/>
          <w:szCs w:val="20"/>
          <w:lang w:val="fr-CA"/>
        </w:rPr>
        <w:t xml:space="preserve">Il n’est pas nécessaire de répondre à cette question. </w:t>
      </w:r>
    </w:p>
    <w:p w:rsidR="00D004FC" w:rsidRPr="0052229C" w:rsidRDefault="00D004FC" w:rsidP="00D004FC">
      <w:pPr>
        <w:spacing w:line="0" w:lineRule="atLeast"/>
        <w:rPr>
          <w:rFonts w:cs="Times New Roman"/>
          <w:sz w:val="20"/>
          <w:szCs w:val="20"/>
          <w:lang w:val="fr-CA"/>
        </w:rPr>
      </w:pPr>
    </w:p>
    <w:p w:rsidR="00D004FC" w:rsidRDefault="00F677DC" w:rsidP="00D004FC">
      <w:pPr>
        <w:jc w:val="both"/>
        <w:rPr>
          <w:rFonts w:cs="Times New Roman"/>
          <w:b/>
          <w:sz w:val="20"/>
          <w:szCs w:val="20"/>
        </w:rPr>
      </w:pPr>
      <w:r>
        <w:rPr>
          <w:rFonts w:cs="Times New Roman"/>
          <w:b/>
          <w:sz w:val="20"/>
          <w:szCs w:val="20"/>
        </w:rPr>
        <w:pict>
          <v:rect id="_x0000_i1102" style="width:144.3pt;height:1pt" o:hrpct="300" o:hralign="center" o:hrstd="t" o:hrnoshade="t" o:hr="t" fillcolor="black [3213]" stroked="f"/>
        </w:pict>
      </w: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81"/>
          <w:headerReference w:type="default" r:id="rId82"/>
          <w:footerReference w:type="even" r:id="rId83"/>
          <w:footerReference w:type="default" r:id="rId84"/>
          <w:headerReference w:type="first" r:id="rId85"/>
          <w:footerReference w:type="first" r:id="rId86"/>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6925EC" w:rsidRPr="00387CE8" w:rsidRDefault="006925EC" w:rsidP="006925EC">
      <w:pPr>
        <w:ind w:left="720" w:hanging="720"/>
        <w:rPr>
          <w:sz w:val="20"/>
          <w:szCs w:val="20"/>
        </w:rPr>
      </w:pPr>
      <w:r w:rsidRPr="00387CE8">
        <w:rPr>
          <w:i/>
          <w:sz w:val="20"/>
          <w:szCs w:val="20"/>
        </w:rPr>
        <w:t>Her Majesty the Queen v. John Melville Steele</w:t>
      </w:r>
      <w:r w:rsidRPr="00387CE8">
        <w:rPr>
          <w:sz w:val="20"/>
          <w:szCs w:val="20"/>
        </w:rPr>
        <w:t xml:space="preserve"> (Man.) (</w:t>
      </w:r>
      <w:hyperlink r:id="rId87" w:history="1">
        <w:r w:rsidRPr="00387CE8">
          <w:rPr>
            <w:rStyle w:val="Hyperlink"/>
            <w:sz w:val="20"/>
            <w:szCs w:val="20"/>
          </w:rPr>
          <w:t>35364</w:t>
        </w:r>
      </w:hyperlink>
      <w:r w:rsidRPr="00387CE8">
        <w:rPr>
          <w:sz w:val="20"/>
          <w:szCs w:val="20"/>
        </w:rPr>
        <w:t>)</w:t>
      </w:r>
    </w:p>
    <w:p w:rsidR="00C910FF" w:rsidRPr="00C910FF" w:rsidRDefault="00C910FF" w:rsidP="00C910FF">
      <w:pPr>
        <w:jc w:val="both"/>
        <w:rPr>
          <w:b/>
          <w:sz w:val="20"/>
          <w:szCs w:val="20"/>
        </w:rPr>
      </w:pPr>
      <w:r w:rsidRPr="00BD01EF">
        <w:rPr>
          <w:b/>
          <w:sz w:val="20"/>
          <w:szCs w:val="20"/>
        </w:rPr>
        <w:t xml:space="preserve">Indexed as:  </w:t>
      </w:r>
      <w:r w:rsidRPr="00C910FF">
        <w:rPr>
          <w:rStyle w:val="SCCAppellantForIndexChar"/>
          <w:rFonts w:eastAsiaTheme="minorHAnsi"/>
          <w:sz w:val="20"/>
          <w:lang w:val="en-CA"/>
        </w:rPr>
        <w:t>R.</w:t>
      </w:r>
      <w:r w:rsidRPr="00BD01EF">
        <w:rPr>
          <w:b/>
          <w:sz w:val="20"/>
          <w:szCs w:val="20"/>
        </w:rPr>
        <w:t xml:space="preserve"> </w:t>
      </w:r>
      <w:r w:rsidRPr="00BD01EF">
        <w:rPr>
          <w:b/>
          <w:i/>
          <w:sz w:val="20"/>
          <w:szCs w:val="20"/>
        </w:rPr>
        <w:t>v.</w:t>
      </w:r>
      <w:r w:rsidRPr="00BD01EF">
        <w:rPr>
          <w:b/>
          <w:sz w:val="20"/>
          <w:szCs w:val="20"/>
        </w:rPr>
        <w:t xml:space="preserve"> </w:t>
      </w:r>
      <w:r w:rsidRPr="00BD01EF">
        <w:rPr>
          <w:rStyle w:val="SCCRespondentForIndexChar"/>
          <w:rFonts w:eastAsiaTheme="minorHAnsi"/>
          <w:sz w:val="20"/>
        </w:rPr>
        <w:t>Steele</w:t>
      </w:r>
      <w:r>
        <w:rPr>
          <w:rStyle w:val="SCCRespondentForIndexChar"/>
          <w:rFonts w:eastAsiaTheme="minorHAnsi"/>
          <w:sz w:val="20"/>
        </w:rPr>
        <w:t xml:space="preserve"> / </w:t>
      </w:r>
      <w:r w:rsidRPr="00C910FF">
        <w:rPr>
          <w:b/>
          <w:sz w:val="20"/>
          <w:szCs w:val="20"/>
        </w:rPr>
        <w:t>Répertorié : </w:t>
      </w:r>
      <w:r w:rsidRPr="00C910FF">
        <w:rPr>
          <w:rStyle w:val="SCCAppellantForIndexChar"/>
          <w:rFonts w:eastAsiaTheme="minorHAnsi"/>
          <w:sz w:val="20"/>
          <w:lang w:val="en-CA"/>
        </w:rPr>
        <w:t>R.</w:t>
      </w:r>
      <w:r w:rsidRPr="00C910FF">
        <w:rPr>
          <w:b/>
          <w:sz w:val="20"/>
          <w:szCs w:val="20"/>
        </w:rPr>
        <w:t xml:space="preserve"> </w:t>
      </w:r>
      <w:r w:rsidRPr="00C910FF">
        <w:rPr>
          <w:b/>
          <w:i/>
          <w:sz w:val="20"/>
          <w:szCs w:val="20"/>
        </w:rPr>
        <w:t>c.</w:t>
      </w:r>
      <w:r w:rsidRPr="00C910FF">
        <w:rPr>
          <w:b/>
          <w:sz w:val="20"/>
          <w:szCs w:val="20"/>
        </w:rPr>
        <w:t xml:space="preserve"> </w:t>
      </w:r>
      <w:r w:rsidRPr="00C910FF">
        <w:rPr>
          <w:rStyle w:val="SCCRespondentForIndexChar"/>
          <w:rFonts w:eastAsiaTheme="minorHAnsi"/>
          <w:sz w:val="20"/>
        </w:rPr>
        <w:t>Steele</w:t>
      </w:r>
    </w:p>
    <w:p w:rsidR="0052229C" w:rsidRPr="006925EC" w:rsidRDefault="0052229C" w:rsidP="0052229C">
      <w:pPr>
        <w:pStyle w:val="SCCSystemYear"/>
        <w:jc w:val="both"/>
        <w:rPr>
          <w:sz w:val="20"/>
        </w:rPr>
      </w:pPr>
      <w:r w:rsidRPr="006925EC">
        <w:rPr>
          <w:sz w:val="20"/>
        </w:rPr>
        <w:t>Neutral citation:  2014 SCC </w:t>
      </w:r>
      <w:r w:rsidR="006925EC" w:rsidRPr="006925EC">
        <w:rPr>
          <w:sz w:val="20"/>
        </w:rPr>
        <w:t>6</w:t>
      </w:r>
      <w:r w:rsidRPr="006925EC">
        <w:rPr>
          <w:sz w:val="20"/>
        </w:rPr>
        <w:t>1 / Référence neutre : 2014 CSC </w:t>
      </w:r>
      <w:r w:rsidR="006925EC" w:rsidRPr="006925EC">
        <w:rPr>
          <w:sz w:val="20"/>
        </w:rPr>
        <w:t>6</w:t>
      </w:r>
      <w:r w:rsidRPr="006925EC">
        <w:rPr>
          <w:sz w:val="20"/>
        </w:rPr>
        <w:t>1</w:t>
      </w:r>
    </w:p>
    <w:p w:rsidR="0052229C" w:rsidRPr="006925EC" w:rsidRDefault="0052229C" w:rsidP="0052229C">
      <w:pPr>
        <w:rPr>
          <w:rFonts w:cs="Times New Roman"/>
          <w:sz w:val="20"/>
          <w:szCs w:val="20"/>
          <w:lang w:val="fr-CA"/>
        </w:rPr>
      </w:pPr>
      <w:r w:rsidRPr="006925EC">
        <w:rPr>
          <w:rFonts w:cs="Times New Roman"/>
          <w:sz w:val="20"/>
          <w:szCs w:val="20"/>
          <w:lang w:val="fr-CA"/>
        </w:rPr>
        <w:t xml:space="preserve">Hearing:  April </w:t>
      </w:r>
      <w:r w:rsidR="00C910FF">
        <w:rPr>
          <w:rFonts w:cs="Times New Roman"/>
          <w:sz w:val="20"/>
          <w:szCs w:val="20"/>
          <w:lang w:val="fr-CA"/>
        </w:rPr>
        <w:t>17</w:t>
      </w:r>
      <w:r w:rsidRPr="006925EC">
        <w:rPr>
          <w:rFonts w:cs="Times New Roman"/>
          <w:sz w:val="20"/>
          <w:szCs w:val="20"/>
          <w:lang w:val="fr-CA"/>
        </w:rPr>
        <w:t>, 201</w:t>
      </w:r>
      <w:r w:rsidR="00C910FF">
        <w:rPr>
          <w:rFonts w:cs="Times New Roman"/>
          <w:sz w:val="20"/>
          <w:szCs w:val="20"/>
          <w:lang w:val="fr-CA"/>
        </w:rPr>
        <w:t>4</w:t>
      </w:r>
      <w:r w:rsidRPr="006925EC">
        <w:rPr>
          <w:rFonts w:cs="Times New Roman"/>
          <w:sz w:val="20"/>
          <w:szCs w:val="20"/>
          <w:lang w:val="fr-CA"/>
        </w:rPr>
        <w:t xml:space="preserve"> / Judgment:  </w:t>
      </w:r>
      <w:r w:rsidR="006925EC" w:rsidRPr="006925EC">
        <w:rPr>
          <w:rFonts w:cs="Times New Roman"/>
          <w:sz w:val="20"/>
          <w:szCs w:val="20"/>
          <w:lang w:val="fr-CA"/>
        </w:rPr>
        <w:t>Octobe</w:t>
      </w:r>
      <w:r w:rsidRPr="006925EC">
        <w:rPr>
          <w:rFonts w:cs="Times New Roman"/>
          <w:sz w:val="20"/>
          <w:szCs w:val="20"/>
          <w:lang w:val="fr-CA"/>
        </w:rPr>
        <w:t xml:space="preserve">r </w:t>
      </w:r>
      <w:r w:rsidR="006925EC" w:rsidRPr="006925EC">
        <w:rPr>
          <w:rFonts w:cs="Times New Roman"/>
          <w:sz w:val="20"/>
          <w:szCs w:val="20"/>
          <w:lang w:val="fr-CA"/>
        </w:rPr>
        <w:t>9</w:t>
      </w:r>
      <w:r w:rsidRPr="006925EC">
        <w:rPr>
          <w:rFonts w:cs="Times New Roman"/>
          <w:sz w:val="20"/>
          <w:szCs w:val="20"/>
          <w:lang w:val="fr-CA"/>
        </w:rPr>
        <w:t>, 2014</w:t>
      </w:r>
    </w:p>
    <w:p w:rsidR="0052229C" w:rsidRPr="003B3977" w:rsidRDefault="0052229C" w:rsidP="0052229C">
      <w:pPr>
        <w:rPr>
          <w:rFonts w:cs="Times New Roman"/>
          <w:sz w:val="20"/>
          <w:szCs w:val="20"/>
          <w:lang w:val="fr-CA"/>
        </w:rPr>
      </w:pPr>
      <w:r w:rsidRPr="003B3977">
        <w:rPr>
          <w:rFonts w:cs="Times New Roman"/>
          <w:sz w:val="20"/>
          <w:szCs w:val="20"/>
          <w:lang w:val="fr-CA"/>
        </w:rPr>
        <w:t xml:space="preserve">Audition : Le </w:t>
      </w:r>
      <w:r w:rsidR="00C910FF">
        <w:rPr>
          <w:rFonts w:cs="Times New Roman"/>
          <w:sz w:val="20"/>
          <w:szCs w:val="20"/>
          <w:lang w:val="fr-CA"/>
        </w:rPr>
        <w:t>17</w:t>
      </w:r>
      <w:r w:rsidRPr="003B3977">
        <w:rPr>
          <w:rFonts w:cs="Times New Roman"/>
          <w:sz w:val="20"/>
          <w:szCs w:val="20"/>
          <w:lang w:val="fr-CA"/>
        </w:rPr>
        <w:t xml:space="preserve"> </w:t>
      </w:r>
      <w:r>
        <w:rPr>
          <w:rFonts w:cs="Times New Roman"/>
          <w:sz w:val="20"/>
          <w:szCs w:val="20"/>
          <w:lang w:val="fr-CA"/>
        </w:rPr>
        <w:t>av</w:t>
      </w:r>
      <w:r w:rsidRPr="003B3977">
        <w:rPr>
          <w:rFonts w:cs="Times New Roman"/>
          <w:sz w:val="20"/>
          <w:szCs w:val="20"/>
          <w:lang w:val="fr-CA"/>
        </w:rPr>
        <w:t>r</w:t>
      </w:r>
      <w:r>
        <w:rPr>
          <w:rFonts w:cs="Times New Roman"/>
          <w:sz w:val="20"/>
          <w:szCs w:val="20"/>
          <w:lang w:val="fr-CA"/>
        </w:rPr>
        <w:t>il</w:t>
      </w:r>
      <w:r w:rsidRPr="003B3977">
        <w:rPr>
          <w:rFonts w:cs="Times New Roman"/>
          <w:sz w:val="20"/>
          <w:szCs w:val="20"/>
          <w:lang w:val="fr-CA"/>
        </w:rPr>
        <w:t xml:space="preserve"> 201</w:t>
      </w:r>
      <w:r w:rsidR="00C910FF">
        <w:rPr>
          <w:rFonts w:cs="Times New Roman"/>
          <w:sz w:val="20"/>
          <w:szCs w:val="20"/>
          <w:lang w:val="fr-CA"/>
        </w:rPr>
        <w:t>4</w:t>
      </w:r>
      <w:r w:rsidRPr="003B3977">
        <w:rPr>
          <w:rFonts w:cs="Times New Roman"/>
          <w:sz w:val="20"/>
          <w:szCs w:val="20"/>
          <w:lang w:val="fr-CA"/>
        </w:rPr>
        <w:t xml:space="preserve"> / Jugement : Le </w:t>
      </w:r>
      <w:r w:rsidR="006925EC">
        <w:rPr>
          <w:rFonts w:cs="Times New Roman"/>
          <w:sz w:val="20"/>
          <w:szCs w:val="20"/>
          <w:lang w:val="fr-CA"/>
        </w:rPr>
        <w:t>9 octob</w:t>
      </w:r>
      <w:r>
        <w:rPr>
          <w:rFonts w:cs="Times New Roman"/>
          <w:sz w:val="20"/>
          <w:szCs w:val="20"/>
          <w:lang w:val="fr-CA"/>
        </w:rPr>
        <w:t>r</w:t>
      </w:r>
      <w:r w:rsidR="006925EC">
        <w:rPr>
          <w:rFonts w:cs="Times New Roman"/>
          <w:sz w:val="20"/>
          <w:szCs w:val="20"/>
          <w:lang w:val="fr-CA"/>
        </w:rPr>
        <w:t>e</w:t>
      </w:r>
      <w:r w:rsidRPr="003B3977">
        <w:rPr>
          <w:rFonts w:cs="Times New Roman"/>
          <w:sz w:val="20"/>
          <w:szCs w:val="20"/>
          <w:lang w:val="fr-CA"/>
        </w:rPr>
        <w:t xml:space="preserve"> 201</w:t>
      </w:r>
      <w:r>
        <w:rPr>
          <w:rFonts w:cs="Times New Roman"/>
          <w:sz w:val="20"/>
          <w:szCs w:val="20"/>
          <w:lang w:val="fr-CA"/>
        </w:rPr>
        <w:t>4</w:t>
      </w:r>
    </w:p>
    <w:p w:rsidR="005C6840" w:rsidRPr="003B3977" w:rsidRDefault="00F677DC" w:rsidP="005C6840">
      <w:pPr>
        <w:rPr>
          <w:rFonts w:cs="Times New Roman"/>
          <w:sz w:val="20"/>
          <w:szCs w:val="20"/>
          <w:lang w:val="fr-CA"/>
        </w:rPr>
      </w:pPr>
      <w:r>
        <w:rPr>
          <w:rFonts w:cs="Times New Roman"/>
          <w:i/>
          <w:sz w:val="20"/>
          <w:szCs w:val="20"/>
        </w:rPr>
        <w:pict>
          <v:rect id="_x0000_i1105"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C910FF" w:rsidRPr="00BD01EF" w:rsidRDefault="00C910FF" w:rsidP="00C910FF">
      <w:pPr>
        <w:jc w:val="both"/>
        <w:rPr>
          <w:sz w:val="20"/>
          <w:szCs w:val="20"/>
        </w:rPr>
      </w:pPr>
      <w:r w:rsidRPr="00BD01EF">
        <w:rPr>
          <w:sz w:val="20"/>
          <w:szCs w:val="20"/>
        </w:rPr>
        <w:t>Present:  McLachlin C.J. and Abella, Rothstein, Cromwell, Moldaver, Karakatsanis and Wagner JJ.</w:t>
      </w:r>
    </w:p>
    <w:p w:rsidR="00C910FF" w:rsidRDefault="00C910FF" w:rsidP="00C910FF">
      <w:pPr>
        <w:pStyle w:val="SCCNormalDoubleSpacing"/>
        <w:spacing w:line="240" w:lineRule="auto"/>
        <w:rPr>
          <w:sz w:val="20"/>
        </w:rPr>
      </w:pPr>
    </w:p>
    <w:p w:rsidR="00C910FF" w:rsidRPr="00BD01EF" w:rsidRDefault="00C910FF" w:rsidP="00C910FF">
      <w:pPr>
        <w:pStyle w:val="SCCNormalDoubleSpacing"/>
        <w:spacing w:line="240" w:lineRule="auto"/>
        <w:rPr>
          <w:i/>
          <w:sz w:val="20"/>
        </w:rPr>
      </w:pPr>
      <w:r w:rsidRPr="00BD01EF">
        <w:rPr>
          <w:sz w:val="20"/>
        </w:rPr>
        <w:tab/>
      </w:r>
      <w:r w:rsidRPr="00BD01EF">
        <w:rPr>
          <w:i/>
          <w:sz w:val="20"/>
        </w:rPr>
        <w:t>Criminal law — Sentencing — Dangerous offender — Application for remand for assessment — Meaning of “serious personal injury offence” — Whether robbery committed by using threats of violence to a person falls within the meaning of a “serious personal injury offence” — Criminal Code R.S.C. 1985, c. C</w:t>
      </w:r>
      <w:r w:rsidRPr="00BD01EF">
        <w:rPr>
          <w:i/>
          <w:sz w:val="20"/>
        </w:rPr>
        <w:noBreakHyphen/>
        <w:t>46, ss. 343(a), 752 “serious personal injury offence”, 752.1(1)</w:t>
      </w:r>
    </w:p>
    <w:p w:rsidR="00C910FF" w:rsidRDefault="00C910FF" w:rsidP="00C910FF">
      <w:pPr>
        <w:pStyle w:val="SCCNormalDoubleSpacing"/>
        <w:spacing w:line="240" w:lineRule="auto"/>
        <w:rPr>
          <w:sz w:val="20"/>
        </w:rPr>
      </w:pPr>
    </w:p>
    <w:p w:rsidR="00C910FF" w:rsidRPr="00BD01EF" w:rsidRDefault="00C910FF" w:rsidP="00C910FF">
      <w:pPr>
        <w:pStyle w:val="SCCNormalDoubleSpacing"/>
        <w:spacing w:line="240" w:lineRule="auto"/>
        <w:rPr>
          <w:sz w:val="20"/>
        </w:rPr>
      </w:pPr>
      <w:r w:rsidRPr="00BD01EF">
        <w:rPr>
          <w:sz w:val="20"/>
        </w:rPr>
        <w:tab/>
        <w:t>S robbed a drugstore, telling the cashiers that he had a gun. There is no evidence that he actually had a gun or that physical force was used. No one was injured. One of the cashiers testified that she had been scared during the robbery, while the other described her reaction as one of shock. S was convicted of robbery under s. 343(</w:t>
      </w:r>
      <w:r w:rsidRPr="00BD01EF">
        <w:rPr>
          <w:i/>
          <w:sz w:val="20"/>
        </w:rPr>
        <w:t>a</w:t>
      </w:r>
      <w:r w:rsidRPr="00BD01EF">
        <w:rPr>
          <w:sz w:val="20"/>
        </w:rPr>
        <w:t xml:space="preserve">) of the </w:t>
      </w:r>
      <w:r w:rsidRPr="00BD01EF">
        <w:rPr>
          <w:i/>
          <w:sz w:val="20"/>
        </w:rPr>
        <w:t xml:space="preserve">Criminal Code </w:t>
      </w:r>
      <w:r w:rsidRPr="00BD01EF">
        <w:rPr>
          <w:sz w:val="20"/>
        </w:rPr>
        <w:t xml:space="preserve">on the basis that he had “use[d] . . . threats of violence to a person”. The Crown applied to the court to remand him for assessment pursuant to s. 752.1(1) of the </w:t>
      </w:r>
      <w:r w:rsidRPr="00BD01EF">
        <w:rPr>
          <w:i/>
          <w:sz w:val="20"/>
        </w:rPr>
        <w:t>Criminal Code</w:t>
      </w:r>
      <w:r w:rsidRPr="00BD01EF">
        <w:rPr>
          <w:sz w:val="20"/>
        </w:rPr>
        <w:t>. Both the trial judge and the Court of Appeal found that a threat of violence does not on its own constitute “the use or attempted use of violence” in accordance with subpara. (</w:t>
      </w:r>
      <w:r w:rsidRPr="00BD01EF">
        <w:rPr>
          <w:i/>
          <w:sz w:val="20"/>
        </w:rPr>
        <w:t>a</w:t>
      </w:r>
      <w:r w:rsidRPr="00BD01EF">
        <w:rPr>
          <w:sz w:val="20"/>
        </w:rPr>
        <w:t xml:space="preserve">)(i) of the definition of “serious personal injury offence” in s. 752 of the </w:t>
      </w:r>
      <w:r w:rsidRPr="00BD01EF">
        <w:rPr>
          <w:i/>
          <w:sz w:val="20"/>
        </w:rPr>
        <w:t>Criminal Code</w:t>
      </w:r>
      <w:r w:rsidRPr="00BD01EF">
        <w:rPr>
          <w:sz w:val="20"/>
        </w:rPr>
        <w:t>.</w:t>
      </w:r>
    </w:p>
    <w:p w:rsidR="00C910FF" w:rsidRDefault="00C910FF" w:rsidP="00C910FF">
      <w:pPr>
        <w:pStyle w:val="SCCNormalDoubleSpacing"/>
        <w:spacing w:line="240" w:lineRule="auto"/>
        <w:rPr>
          <w:sz w:val="20"/>
        </w:rPr>
      </w:pPr>
    </w:p>
    <w:p w:rsidR="00C910FF" w:rsidRPr="00BD01EF" w:rsidRDefault="00C910FF" w:rsidP="00C910FF">
      <w:pPr>
        <w:pStyle w:val="SCCNormalDoubleSpacing"/>
        <w:spacing w:line="240" w:lineRule="auto"/>
        <w:rPr>
          <w:sz w:val="20"/>
        </w:rPr>
      </w:pPr>
      <w:r w:rsidRPr="00BD01EF">
        <w:rPr>
          <w:sz w:val="20"/>
        </w:rPr>
        <w:tab/>
      </w:r>
      <w:r w:rsidRPr="00BD01EF">
        <w:rPr>
          <w:rStyle w:val="QuoteChar"/>
          <w:sz w:val="20"/>
        </w:rPr>
        <w:t>Held:</w:t>
      </w:r>
      <w:r w:rsidRPr="00BD01EF">
        <w:rPr>
          <w:sz w:val="20"/>
        </w:rPr>
        <w:t xml:space="preserve">  </w:t>
      </w:r>
      <w:r w:rsidRPr="00BD01EF">
        <w:rPr>
          <w:sz w:val="20"/>
          <w:lang w:val="en-US"/>
        </w:rPr>
        <w:t>The appeal should be allowed.</w:t>
      </w:r>
    </w:p>
    <w:p w:rsidR="00C910FF" w:rsidRDefault="00C910FF" w:rsidP="00C910FF">
      <w:pPr>
        <w:pStyle w:val="SCCNormalDoubleSpacing"/>
        <w:spacing w:line="240" w:lineRule="auto"/>
        <w:rPr>
          <w:sz w:val="20"/>
        </w:rPr>
      </w:pPr>
    </w:p>
    <w:p w:rsidR="00C910FF" w:rsidRPr="00BD01EF" w:rsidRDefault="00C910FF" w:rsidP="00C910FF">
      <w:pPr>
        <w:pStyle w:val="SCCNormalDoubleSpacing"/>
        <w:spacing w:line="240" w:lineRule="auto"/>
        <w:rPr>
          <w:sz w:val="20"/>
        </w:rPr>
      </w:pPr>
      <w:r w:rsidRPr="00BD01EF">
        <w:rPr>
          <w:sz w:val="20"/>
        </w:rPr>
        <w:tab/>
        <w:t>This case concerns the scope of the definition of a “serious personal injury offence” (SPIO) and, consequently, the threshold for entry into the dangerous and long</w:t>
      </w:r>
      <w:r w:rsidRPr="00BD01EF">
        <w:rPr>
          <w:sz w:val="20"/>
        </w:rPr>
        <w:noBreakHyphen/>
        <w:t>term offender system. A threat of violence that suffices to ground a conviction for robbery under s. 343(</w:t>
      </w:r>
      <w:r w:rsidRPr="00BD01EF">
        <w:rPr>
          <w:i/>
          <w:sz w:val="20"/>
        </w:rPr>
        <w:t>a</w:t>
      </w:r>
      <w:r w:rsidRPr="00BD01EF">
        <w:rPr>
          <w:sz w:val="20"/>
        </w:rPr>
        <w:t>) does indeed constitute the use of violence against another person within the meaning of subpara. (</w:t>
      </w:r>
      <w:r w:rsidRPr="00BD01EF">
        <w:rPr>
          <w:i/>
          <w:sz w:val="20"/>
        </w:rPr>
        <w:t>a</w:t>
      </w:r>
      <w:r w:rsidRPr="00BD01EF">
        <w:rPr>
          <w:sz w:val="20"/>
        </w:rPr>
        <w:t xml:space="preserve">)(i) of the definition of an SPIO set out in s. 752. </w:t>
      </w:r>
    </w:p>
    <w:p w:rsidR="00C910FF" w:rsidRDefault="00C910FF" w:rsidP="00C910FF">
      <w:pPr>
        <w:pStyle w:val="SCCNormalDoubleSpacing"/>
        <w:spacing w:line="240" w:lineRule="auto"/>
        <w:rPr>
          <w:sz w:val="20"/>
        </w:rPr>
      </w:pPr>
    </w:p>
    <w:p w:rsidR="00C910FF" w:rsidRPr="00BD01EF" w:rsidRDefault="00C910FF" w:rsidP="00C910FF">
      <w:pPr>
        <w:pStyle w:val="SCCNormalDoubleSpacing"/>
        <w:spacing w:line="240" w:lineRule="auto"/>
        <w:rPr>
          <w:i/>
          <w:sz w:val="20"/>
        </w:rPr>
      </w:pPr>
      <w:r w:rsidRPr="00BD01EF">
        <w:rPr>
          <w:sz w:val="20"/>
        </w:rPr>
        <w:tab/>
        <w:t>Indeterminate detention and long</w:t>
      </w:r>
      <w:r w:rsidRPr="00BD01EF">
        <w:rPr>
          <w:sz w:val="20"/>
        </w:rPr>
        <w:noBreakHyphen/>
        <w:t>term supervision are exceptional sentences which are reserved for individuals who pose an ongoing threat to the public. There are a number of procedural steps and substantive requirements before a court can find that an offender is a dangerous offender or a long</w:t>
      </w:r>
      <w:r w:rsidRPr="00BD01EF">
        <w:rPr>
          <w:sz w:val="20"/>
        </w:rPr>
        <w:noBreakHyphen/>
        <w:t>term offender. Before the court remands an offender for assessment, it must be satisfied that the offender has been convicted of an SPIO as defined in s. 752. There also must be reasonable grounds to believe that the offender might be found to be a dangerous offender under s. 753 or a long</w:t>
      </w:r>
      <w:r w:rsidRPr="00BD01EF">
        <w:rPr>
          <w:sz w:val="20"/>
        </w:rPr>
        <w:noBreakHyphen/>
        <w:t>term offender under s. 753.1. Thus, the SPIO requirement plays a crucial role in the operation of the dangerous and long</w:t>
      </w:r>
      <w:r w:rsidRPr="00BD01EF">
        <w:rPr>
          <w:sz w:val="20"/>
        </w:rPr>
        <w:noBreakHyphen/>
        <w:t>term offender scheme.</w:t>
      </w:r>
    </w:p>
    <w:p w:rsidR="00C910FF" w:rsidRDefault="00C910FF" w:rsidP="00C910FF">
      <w:pPr>
        <w:pStyle w:val="SCCNormalDoubleSpacing"/>
        <w:spacing w:line="240" w:lineRule="auto"/>
        <w:rPr>
          <w:sz w:val="20"/>
        </w:rPr>
      </w:pPr>
    </w:p>
    <w:p w:rsidR="00C910FF" w:rsidRPr="00BD01EF" w:rsidRDefault="00C910FF" w:rsidP="00C910FF">
      <w:pPr>
        <w:pStyle w:val="SCCNormalDoubleSpacing"/>
        <w:spacing w:line="240" w:lineRule="auto"/>
        <w:rPr>
          <w:sz w:val="20"/>
        </w:rPr>
      </w:pPr>
      <w:r w:rsidRPr="00BD01EF">
        <w:rPr>
          <w:sz w:val="20"/>
        </w:rPr>
        <w:tab/>
        <w:t>The primary rationale for both indeterminate detention and long</w:t>
      </w:r>
      <w:r w:rsidRPr="00BD01EF">
        <w:rPr>
          <w:sz w:val="20"/>
        </w:rPr>
        <w:noBreakHyphen/>
        <w:t>term supervision under Part XXIV is public protection, and an overly narrow construction of the gateway provision would indeed undermine this purpose. However, the specific purpose of the SPIO requirement is to link the sentence to the predicate offence, and an overly broad construction would undermine this purpose and violate the fundamental principle of sentencing, that a sentence must be proportionate to the gravity of the offence and the degree of responsibility of the offender. The SPIO requirement helps safeguard the constitutionality of the scheme. In interpreting the definition of an SPIO, effect must be given to the overall protective purpose of Part XXIV, while also furthering the specific purpose of the SPIO requirement by tying the punishment to the predicate offence and safeguarding the objective of proportionality.</w:t>
      </w:r>
    </w:p>
    <w:p w:rsidR="00C910FF" w:rsidRDefault="00C910FF" w:rsidP="00C910FF">
      <w:pPr>
        <w:pStyle w:val="SCCNormalDoubleSpacing"/>
        <w:spacing w:line="240" w:lineRule="auto"/>
        <w:rPr>
          <w:sz w:val="20"/>
        </w:rPr>
      </w:pPr>
    </w:p>
    <w:p w:rsidR="00C910FF" w:rsidRPr="00BD01EF" w:rsidRDefault="00C910FF" w:rsidP="00C910FF">
      <w:pPr>
        <w:pStyle w:val="SCCNormalDoubleSpacing"/>
        <w:spacing w:line="240" w:lineRule="auto"/>
        <w:rPr>
          <w:sz w:val="20"/>
        </w:rPr>
      </w:pPr>
      <w:r w:rsidRPr="00BD01EF">
        <w:rPr>
          <w:sz w:val="20"/>
        </w:rPr>
        <w:tab/>
        <w:t>Subparagraph (</w:t>
      </w:r>
      <w:r w:rsidRPr="00BD01EF">
        <w:rPr>
          <w:i/>
          <w:sz w:val="20"/>
        </w:rPr>
        <w:t>a</w:t>
      </w:r>
      <w:r w:rsidRPr="00BD01EF">
        <w:rPr>
          <w:sz w:val="20"/>
        </w:rPr>
        <w:t xml:space="preserve">)(i) of the definition in s. 752 does not invite a court to assess the seriousness of the violence the offender used or attempted to use; any level of violence is sufficient. The words “use or attempted use of violence” must be read in their grammatical and ordinary sense, having regard to their statutory context. Neither the purpose of the SPIO requirement nor that of Part XXIV warrants reading in a qualitative minimum level of violence. </w:t>
      </w:r>
      <w:r w:rsidRPr="00BD01EF">
        <w:rPr>
          <w:sz w:val="20"/>
          <w:lang w:val="en-US"/>
        </w:rPr>
        <w:t>This interpretation is consistent with the gatekeeper function of the SPIO requirement.</w:t>
      </w:r>
    </w:p>
    <w:p w:rsidR="00C910FF" w:rsidRDefault="00C910FF" w:rsidP="00C910FF">
      <w:pPr>
        <w:pStyle w:val="SCCNormalDoubleSpacing"/>
        <w:spacing w:line="240" w:lineRule="auto"/>
        <w:rPr>
          <w:sz w:val="20"/>
        </w:rPr>
      </w:pPr>
    </w:p>
    <w:p w:rsidR="00C910FF" w:rsidRPr="00BD01EF" w:rsidRDefault="00C910FF" w:rsidP="00C910FF">
      <w:pPr>
        <w:pStyle w:val="SCCNormalDoubleSpacing"/>
        <w:spacing w:line="240" w:lineRule="auto"/>
        <w:rPr>
          <w:sz w:val="20"/>
          <w:lang w:val="en-US"/>
        </w:rPr>
      </w:pPr>
      <w:r w:rsidRPr="00BD01EF">
        <w:rPr>
          <w:sz w:val="20"/>
        </w:rPr>
        <w:lastRenderedPageBreak/>
        <w:tab/>
        <w:t>Unless the context or the purpose of the statute suggests a different approach, the prevailing definition of “violence” is a harm</w:t>
      </w:r>
      <w:r w:rsidRPr="00BD01EF">
        <w:rPr>
          <w:sz w:val="20"/>
        </w:rPr>
        <w:noBreakHyphen/>
        <w:t>based one that encompasses acts by which a person causes, attempts to cause or threatens to cause harm and not a force</w:t>
      </w:r>
      <w:r w:rsidRPr="00BD01EF">
        <w:rPr>
          <w:sz w:val="20"/>
        </w:rPr>
        <w:noBreakHyphen/>
        <w:t>based one. This is not to say that the definition of violence must be a harm</w:t>
      </w:r>
      <w:r w:rsidRPr="00BD01EF">
        <w:rPr>
          <w:sz w:val="20"/>
        </w:rPr>
        <w:noBreakHyphen/>
        <w:t xml:space="preserve">based one in every case. Context will be paramount and there may be situations in which the presumption of consistent expression is clearly rebutted by other principles of interpretation and, as a result, the intended meaning of violence may vary between statutes and even, in some circumstances, within them. </w:t>
      </w:r>
      <w:r w:rsidRPr="00BD01EF">
        <w:rPr>
          <w:sz w:val="20"/>
          <w:lang w:val="en-US"/>
        </w:rPr>
        <w:t xml:space="preserve">The scope of the expression “use or attempted use of violence” must ultimately be determined having regard to the context in which it is used. </w:t>
      </w:r>
    </w:p>
    <w:p w:rsidR="00C910FF" w:rsidRDefault="00C910FF" w:rsidP="00C910FF">
      <w:pPr>
        <w:pStyle w:val="SCCNormalDoubleSpacing"/>
        <w:spacing w:line="240" w:lineRule="auto"/>
        <w:rPr>
          <w:sz w:val="20"/>
          <w:lang w:val="en-US"/>
        </w:rPr>
      </w:pPr>
    </w:p>
    <w:p w:rsidR="00C910FF" w:rsidRPr="00BD01EF" w:rsidRDefault="00C910FF" w:rsidP="00C910FF">
      <w:pPr>
        <w:pStyle w:val="SCCNormalDoubleSpacing"/>
        <w:spacing w:line="240" w:lineRule="auto"/>
        <w:rPr>
          <w:sz w:val="20"/>
          <w:lang w:val="en-US"/>
        </w:rPr>
      </w:pPr>
      <w:r w:rsidRPr="00BD01EF">
        <w:rPr>
          <w:sz w:val="20"/>
          <w:lang w:val="en-US"/>
        </w:rPr>
        <w:tab/>
        <w:t>There is no indication that the various parts of the definition of an SPIO in s. 752 are mutually exclusive. The fact that a proposed interpretation would bring some offences within the ambit of more than one part of the definition in s. 752 should not, in itself, justify narrowing the definition to avoid such overlaps. Subparagraph (</w:t>
      </w:r>
      <w:r w:rsidRPr="00BD01EF">
        <w:rPr>
          <w:i/>
          <w:sz w:val="20"/>
          <w:lang w:val="en-US"/>
        </w:rPr>
        <w:t>a</w:t>
      </w:r>
      <w:r w:rsidRPr="00BD01EF">
        <w:rPr>
          <w:sz w:val="20"/>
          <w:lang w:val="en-US"/>
        </w:rPr>
        <w:t>)(i) concerns violent acts — “the use or attempted use of violence” — and requires violent intent on the offender’s part. This part of the definition will apply to an offender who intentionally</w:t>
      </w:r>
      <w:r w:rsidRPr="00BD01EF">
        <w:rPr>
          <w:i/>
          <w:sz w:val="20"/>
          <w:lang w:val="en-US"/>
        </w:rPr>
        <w:t xml:space="preserve"> </w:t>
      </w:r>
      <w:r w:rsidRPr="00BD01EF">
        <w:rPr>
          <w:sz w:val="20"/>
          <w:lang w:val="en-US"/>
        </w:rPr>
        <w:t>causes, attempts to cause or threatens to cause harm. Threats are included by virtue of the speaker’s intent that they be taken seriously. Subparagraph (</w:t>
      </w:r>
      <w:r w:rsidRPr="00BD01EF">
        <w:rPr>
          <w:i/>
          <w:sz w:val="20"/>
          <w:lang w:val="en-US"/>
        </w:rPr>
        <w:t>a</w:t>
      </w:r>
      <w:r w:rsidRPr="00BD01EF">
        <w:rPr>
          <w:sz w:val="20"/>
          <w:lang w:val="en-US"/>
        </w:rPr>
        <w:t>)(ii) relates solely to the effects of the conduct and, as such, will include offences involving negligence. Therefore, a harm</w:t>
      </w:r>
      <w:r w:rsidRPr="00BD01EF">
        <w:rPr>
          <w:sz w:val="20"/>
          <w:lang w:val="en-US"/>
        </w:rPr>
        <w:noBreakHyphen/>
        <w:t>based approach to subpara. (</w:t>
      </w:r>
      <w:r w:rsidRPr="00BD01EF">
        <w:rPr>
          <w:i/>
          <w:sz w:val="20"/>
          <w:lang w:val="en-US"/>
        </w:rPr>
        <w:t>a</w:t>
      </w:r>
      <w:r w:rsidRPr="00BD01EF">
        <w:rPr>
          <w:sz w:val="20"/>
          <w:lang w:val="en-US"/>
        </w:rPr>
        <w:t>)(i) according to which threatening violence constitutes a form of use of violence is not inconsistent with the endangerment and psychological damage aspects of the definition in subpara. (</w:t>
      </w:r>
      <w:r w:rsidRPr="00BD01EF">
        <w:rPr>
          <w:i/>
          <w:sz w:val="20"/>
          <w:lang w:val="en-US"/>
        </w:rPr>
        <w:t>a</w:t>
      </w:r>
      <w:r w:rsidRPr="00BD01EF">
        <w:rPr>
          <w:sz w:val="20"/>
          <w:lang w:val="en-US"/>
        </w:rPr>
        <w:t>)(ii).</w:t>
      </w:r>
    </w:p>
    <w:p w:rsidR="00C910FF" w:rsidRDefault="00C910FF" w:rsidP="00C910FF">
      <w:pPr>
        <w:pStyle w:val="SCCNormalDoubleSpacing"/>
        <w:spacing w:line="240" w:lineRule="auto"/>
        <w:rPr>
          <w:sz w:val="20"/>
          <w:lang w:val="en-US"/>
        </w:rPr>
      </w:pPr>
    </w:p>
    <w:p w:rsidR="00C910FF" w:rsidRPr="00BD01EF" w:rsidRDefault="00C910FF" w:rsidP="00C910FF">
      <w:pPr>
        <w:pStyle w:val="SCCNormalDoubleSpacing"/>
        <w:spacing w:line="240" w:lineRule="auto"/>
        <w:rPr>
          <w:sz w:val="20"/>
          <w:lang w:val="en-US"/>
        </w:rPr>
      </w:pPr>
      <w:r w:rsidRPr="00BD01EF">
        <w:rPr>
          <w:sz w:val="20"/>
          <w:lang w:val="en-US"/>
        </w:rPr>
        <w:tab/>
        <w:t>The exclusion of robbery from the offences listed in para. (</w:t>
      </w:r>
      <w:r w:rsidRPr="00BD01EF">
        <w:rPr>
          <w:i/>
          <w:sz w:val="20"/>
          <w:lang w:val="en-US"/>
        </w:rPr>
        <w:t>b</w:t>
      </w:r>
      <w:r w:rsidRPr="00BD01EF">
        <w:rPr>
          <w:sz w:val="20"/>
          <w:lang w:val="en-US"/>
        </w:rPr>
        <w:t xml:space="preserve">) of the definition is not relevant to the determination of legislative intent. There is no indication that Parliament intended to create an exhaustive list of all offences constituting SPIOs in all cases. </w:t>
      </w:r>
    </w:p>
    <w:p w:rsidR="00C910FF" w:rsidRDefault="00C910FF" w:rsidP="00C910FF">
      <w:pPr>
        <w:pStyle w:val="SCCNormalDoubleSpacing"/>
        <w:spacing w:line="240" w:lineRule="auto"/>
        <w:rPr>
          <w:sz w:val="20"/>
          <w:lang w:val="en-US"/>
        </w:rPr>
      </w:pPr>
    </w:p>
    <w:p w:rsidR="00C910FF" w:rsidRPr="00BD01EF" w:rsidRDefault="00C910FF" w:rsidP="00C910FF">
      <w:pPr>
        <w:pStyle w:val="SCCNormalDoubleSpacing"/>
        <w:spacing w:line="240" w:lineRule="auto"/>
        <w:rPr>
          <w:sz w:val="20"/>
          <w:lang w:val="en-US"/>
        </w:rPr>
      </w:pPr>
      <w:r w:rsidRPr="00BD01EF">
        <w:rPr>
          <w:sz w:val="20"/>
          <w:lang w:val="en-US"/>
        </w:rPr>
        <w:tab/>
        <w:t xml:space="preserve">The </w:t>
      </w:r>
      <w:r w:rsidRPr="00BD01EF">
        <w:rPr>
          <w:sz w:val="20"/>
        </w:rPr>
        <w:t xml:space="preserve">Court of Appeal relied on the presumption that the use of different language suggests that the legislature intended different meanings and the principle that the same words have the same meaning throughout a statute; however, it failed to take into account the full context in which the expressions “uses violence” and “use of violence” appear in </w:t>
      </w:r>
      <w:r w:rsidRPr="00BD01EF">
        <w:rPr>
          <w:sz w:val="20"/>
          <w:lang w:val="en-US"/>
        </w:rPr>
        <w:t>s. 343 and subpara. (</w:t>
      </w:r>
      <w:r w:rsidRPr="00BD01EF">
        <w:rPr>
          <w:i/>
          <w:sz w:val="20"/>
          <w:lang w:val="en-US"/>
        </w:rPr>
        <w:t>a</w:t>
      </w:r>
      <w:r w:rsidRPr="00BD01EF">
        <w:rPr>
          <w:sz w:val="20"/>
          <w:lang w:val="en-US"/>
        </w:rPr>
        <w:t xml:space="preserve">)(i) of the definition of an SPIO in s. 752. The two provisions are in unrelated parts of the </w:t>
      </w:r>
      <w:r w:rsidRPr="00BD01EF">
        <w:rPr>
          <w:i/>
          <w:sz w:val="20"/>
          <w:lang w:val="en-US"/>
        </w:rPr>
        <w:t>Criminal Code</w:t>
      </w:r>
      <w:r w:rsidRPr="00BD01EF">
        <w:rPr>
          <w:sz w:val="20"/>
          <w:lang w:val="en-US"/>
        </w:rPr>
        <w:t>, and they have distinct purposes and legislative histories. The Court of Appeal’s approach is also inconsistent with the principles of statutory interpretation and</w:t>
      </w:r>
      <w:r w:rsidRPr="00BD01EF">
        <w:rPr>
          <w:sz w:val="20"/>
        </w:rPr>
        <w:t xml:space="preserve"> </w:t>
      </w:r>
      <w:r w:rsidRPr="00BD01EF">
        <w:rPr>
          <w:sz w:val="20"/>
          <w:lang w:val="en-US"/>
        </w:rPr>
        <w:t xml:space="preserve">would result in untold difficulties for trial judges seeking to establish the elusive dividing line between threats that are inherently violent and those that are not. It </w:t>
      </w:r>
      <w:r w:rsidRPr="00BD01EF">
        <w:rPr>
          <w:sz w:val="20"/>
        </w:rPr>
        <w:t>is moreover incompatible with the plain meaning and the purpose of the provision. All threats of violence are themselves violent, even though the seriousness of the violence may be quite limited. In seeking to distinguish violent from non</w:t>
      </w:r>
      <w:r w:rsidRPr="00BD01EF">
        <w:rPr>
          <w:sz w:val="20"/>
        </w:rPr>
        <w:noBreakHyphen/>
        <w:t>violent threats, courts are in effect reading in an objective minimum level of violence. The Court of Appeal’s interpretation is inconsistent with the clear language of subpara. (</w:t>
      </w:r>
      <w:r w:rsidRPr="00BD01EF">
        <w:rPr>
          <w:i/>
          <w:sz w:val="20"/>
        </w:rPr>
        <w:t>a</w:t>
      </w:r>
      <w:r w:rsidRPr="00BD01EF">
        <w:rPr>
          <w:sz w:val="20"/>
        </w:rPr>
        <w:t xml:space="preserve">)(i) of the definition, which requires violence, not serious violence, and it risks undermining the overall purpose of Part XXIV by precluding courts from remanding potentially dangerous offenders for assessment. </w:t>
      </w:r>
    </w:p>
    <w:p w:rsidR="00C910FF" w:rsidRDefault="00C910FF" w:rsidP="00C910FF">
      <w:pPr>
        <w:pStyle w:val="SCCNormalDoubleSpacing"/>
        <w:spacing w:line="240" w:lineRule="auto"/>
        <w:rPr>
          <w:sz w:val="20"/>
          <w:lang w:val="en-US"/>
        </w:rPr>
      </w:pPr>
    </w:p>
    <w:p w:rsidR="00C910FF" w:rsidRDefault="00C910FF" w:rsidP="00C910FF">
      <w:pPr>
        <w:pStyle w:val="SCCNormalDoubleSpacing"/>
        <w:spacing w:line="240" w:lineRule="auto"/>
        <w:rPr>
          <w:sz w:val="20"/>
        </w:rPr>
      </w:pPr>
      <w:r w:rsidRPr="00BD01EF">
        <w:rPr>
          <w:sz w:val="20"/>
          <w:lang w:val="en-US"/>
        </w:rPr>
        <w:tab/>
        <w:t>Threats of violence to a person that are sufficient to ground a conviction for robbery under s. 343(</w:t>
      </w:r>
      <w:r w:rsidRPr="00BD01EF">
        <w:rPr>
          <w:i/>
          <w:sz w:val="20"/>
          <w:lang w:val="en-US"/>
        </w:rPr>
        <w:t>a</w:t>
      </w:r>
      <w:r w:rsidRPr="00BD01EF">
        <w:rPr>
          <w:sz w:val="20"/>
          <w:lang w:val="en-US"/>
        </w:rPr>
        <w:t>) meet the “use . . . of violence” criterion in subpara. (</w:t>
      </w:r>
      <w:r w:rsidRPr="00BD01EF">
        <w:rPr>
          <w:i/>
          <w:sz w:val="20"/>
          <w:lang w:val="en-US"/>
        </w:rPr>
        <w:t>a</w:t>
      </w:r>
      <w:r w:rsidRPr="00BD01EF">
        <w:rPr>
          <w:sz w:val="20"/>
          <w:lang w:val="en-US"/>
        </w:rPr>
        <w:t xml:space="preserve">)(i) of the definition of an SPIO in s. 752. </w:t>
      </w:r>
      <w:r w:rsidRPr="00BD01EF">
        <w:rPr>
          <w:sz w:val="20"/>
        </w:rPr>
        <w:t xml:space="preserve">By threatening to harm his victims while committing robbery, S used violence against them. Since the other requirements of the definition are clearly met, his offence qualifies as an SPIO. </w:t>
      </w:r>
    </w:p>
    <w:p w:rsidR="00C910FF" w:rsidRDefault="00C910FF" w:rsidP="00C910FF">
      <w:pPr>
        <w:pStyle w:val="SCCNormalDoubleSpacing"/>
        <w:spacing w:line="240" w:lineRule="auto"/>
        <w:rPr>
          <w:sz w:val="20"/>
        </w:rPr>
      </w:pPr>
    </w:p>
    <w:p w:rsidR="00C910FF" w:rsidRPr="00BD01EF" w:rsidRDefault="00C910FF" w:rsidP="00C910FF">
      <w:pPr>
        <w:pStyle w:val="SCCNormalDoubleSpacing"/>
        <w:spacing w:line="240" w:lineRule="auto"/>
        <w:rPr>
          <w:sz w:val="20"/>
        </w:rPr>
      </w:pPr>
      <w:r w:rsidRPr="00BD01EF">
        <w:rPr>
          <w:sz w:val="20"/>
        </w:rPr>
        <w:tab/>
        <w:t>APPEAL from a judgment of the Manitoba Court of Appeal (Scott C.J.M. and Beard and Monnin JJ.A.), 2013 MBCA 21, 288 Man. R. (2d) 304, 564 W.A.C. 304, [2013] 5 W.W.R. 635, [2013] M.J. No. 77 (QL), 2013 CarswellMan 108, affirming a decision of McKelvey J., 2011 MBQB 181, 267 Man. R. (2d) 91, [2011] M.J. No. 250 (QL), 2011 CarswellMan 403.  Appeal allowed.</w:t>
      </w:r>
    </w:p>
    <w:p w:rsidR="00C910FF" w:rsidRDefault="00C910FF" w:rsidP="00C910FF">
      <w:pPr>
        <w:pStyle w:val="SCCNormalDoubleSpacing"/>
        <w:spacing w:line="240" w:lineRule="auto"/>
        <w:rPr>
          <w:rStyle w:val="SCCCounselNameChar"/>
          <w:sz w:val="20"/>
        </w:rPr>
      </w:pPr>
    </w:p>
    <w:p w:rsidR="00C910FF" w:rsidRPr="00BD01EF" w:rsidRDefault="00C910FF" w:rsidP="00C910FF">
      <w:pPr>
        <w:pStyle w:val="SCCNormalDoubleSpacing"/>
        <w:spacing w:line="240" w:lineRule="auto"/>
        <w:rPr>
          <w:sz w:val="20"/>
        </w:rPr>
      </w:pPr>
      <w:r w:rsidRPr="00BD01EF">
        <w:rPr>
          <w:rStyle w:val="SCCCounselNameChar"/>
          <w:sz w:val="20"/>
        </w:rPr>
        <w:tab/>
        <w:t>Ami Kotler</w:t>
      </w:r>
      <w:r w:rsidRPr="00C910FF">
        <w:rPr>
          <w:rStyle w:val="SCCCounselSeparatorChar"/>
          <w:sz w:val="20"/>
          <w:lang w:val="en-CA"/>
        </w:rPr>
        <w:t xml:space="preserve"> and </w:t>
      </w:r>
      <w:r w:rsidRPr="00BD01EF">
        <w:rPr>
          <w:rStyle w:val="SCCCounselNameChar"/>
          <w:sz w:val="20"/>
        </w:rPr>
        <w:t>Neil Steen</w:t>
      </w:r>
      <w:r w:rsidRPr="00BD01EF">
        <w:rPr>
          <w:rStyle w:val="SCCCounselPartyRoleChar"/>
          <w:sz w:val="20"/>
        </w:rPr>
        <w:t>, for the appellant.</w:t>
      </w:r>
    </w:p>
    <w:p w:rsidR="00C910FF" w:rsidRDefault="00C910FF" w:rsidP="00C910FF">
      <w:pPr>
        <w:pStyle w:val="SCCNormalDoubleSpacing"/>
        <w:spacing w:line="240" w:lineRule="auto"/>
        <w:rPr>
          <w:rStyle w:val="SCCCounselNameChar"/>
          <w:sz w:val="20"/>
        </w:rPr>
      </w:pPr>
    </w:p>
    <w:p w:rsidR="00C910FF" w:rsidRPr="00BD01EF" w:rsidRDefault="00C910FF" w:rsidP="00C910FF">
      <w:pPr>
        <w:pStyle w:val="SCCNormalDoubleSpacing"/>
        <w:spacing w:line="240" w:lineRule="auto"/>
        <w:rPr>
          <w:sz w:val="20"/>
        </w:rPr>
      </w:pPr>
      <w:r w:rsidRPr="00BD01EF">
        <w:rPr>
          <w:rStyle w:val="SCCCounselNameChar"/>
          <w:sz w:val="20"/>
        </w:rPr>
        <w:tab/>
        <w:t>J. David L. Soper</w:t>
      </w:r>
      <w:r w:rsidRPr="00C910FF">
        <w:rPr>
          <w:rStyle w:val="SCCCounselSeparatorChar"/>
          <w:sz w:val="20"/>
          <w:lang w:val="en-CA"/>
        </w:rPr>
        <w:t xml:space="preserve"> and </w:t>
      </w:r>
      <w:r w:rsidRPr="00BD01EF">
        <w:rPr>
          <w:rStyle w:val="SCCCounselNameChar"/>
          <w:sz w:val="20"/>
        </w:rPr>
        <w:t>Amanda Sansregret</w:t>
      </w:r>
      <w:r w:rsidRPr="00BD01EF">
        <w:rPr>
          <w:rStyle w:val="SCCCounselPartyRoleChar"/>
          <w:sz w:val="20"/>
        </w:rPr>
        <w:t>, for the respondent.</w:t>
      </w:r>
    </w:p>
    <w:p w:rsidR="00C910FF" w:rsidRDefault="00C910FF" w:rsidP="00C910FF">
      <w:pPr>
        <w:pStyle w:val="SCCNormalDoubleSpacing"/>
        <w:spacing w:line="240" w:lineRule="auto"/>
        <w:rPr>
          <w:rStyle w:val="SCCCounselNameChar"/>
          <w:sz w:val="20"/>
        </w:rPr>
      </w:pPr>
    </w:p>
    <w:p w:rsidR="00C910FF" w:rsidRPr="00BD01EF" w:rsidRDefault="00C910FF" w:rsidP="00C910FF">
      <w:pPr>
        <w:pStyle w:val="SCCNormalDoubleSpacing"/>
        <w:spacing w:line="240" w:lineRule="auto"/>
        <w:rPr>
          <w:sz w:val="20"/>
        </w:rPr>
      </w:pPr>
      <w:r w:rsidRPr="00BD01EF">
        <w:rPr>
          <w:rStyle w:val="SCCCounselNameChar"/>
          <w:sz w:val="20"/>
        </w:rPr>
        <w:tab/>
        <w:t>Jeffrey G. Johnston</w:t>
      </w:r>
      <w:r w:rsidRPr="00BD01EF">
        <w:rPr>
          <w:rStyle w:val="SCCCounselPartyRoleChar"/>
          <w:sz w:val="20"/>
        </w:rPr>
        <w:t>, for the intervener the Attorney General of Canada.</w:t>
      </w:r>
    </w:p>
    <w:p w:rsidR="00C910FF" w:rsidRDefault="00C910FF" w:rsidP="00C910FF">
      <w:pPr>
        <w:pStyle w:val="SCCNormalDoubleSpacing"/>
        <w:spacing w:line="240" w:lineRule="auto"/>
        <w:rPr>
          <w:rStyle w:val="SCCCounselNameChar"/>
          <w:sz w:val="20"/>
        </w:rPr>
      </w:pPr>
    </w:p>
    <w:p w:rsidR="00C910FF" w:rsidRPr="00BD01EF" w:rsidRDefault="00C910FF" w:rsidP="00C910FF">
      <w:pPr>
        <w:pStyle w:val="SCCNormalDoubleSpacing"/>
        <w:spacing w:line="240" w:lineRule="auto"/>
        <w:rPr>
          <w:sz w:val="20"/>
        </w:rPr>
      </w:pPr>
      <w:r w:rsidRPr="00BD01EF">
        <w:rPr>
          <w:rStyle w:val="SCCCounselNameChar"/>
          <w:sz w:val="20"/>
        </w:rPr>
        <w:tab/>
        <w:t>Leslie Paine</w:t>
      </w:r>
      <w:r w:rsidRPr="00C910FF">
        <w:rPr>
          <w:rStyle w:val="SCCCounselSeparatorChar"/>
          <w:sz w:val="20"/>
          <w:lang w:val="en-CA"/>
        </w:rPr>
        <w:t xml:space="preserve"> and </w:t>
      </w:r>
      <w:r w:rsidRPr="00BD01EF">
        <w:rPr>
          <w:rStyle w:val="SCCCounselNameChar"/>
          <w:sz w:val="20"/>
        </w:rPr>
        <w:t>Michelle Campbell</w:t>
      </w:r>
      <w:r w:rsidRPr="00BD01EF">
        <w:rPr>
          <w:rStyle w:val="SCCCounselPartyRoleChar"/>
          <w:sz w:val="20"/>
        </w:rPr>
        <w:t>, for the intervener the Attorney General of Ontario.</w:t>
      </w:r>
    </w:p>
    <w:p w:rsidR="00C910FF" w:rsidRDefault="00C910FF" w:rsidP="00C910FF">
      <w:pPr>
        <w:pStyle w:val="SCCLawFirm"/>
        <w:spacing w:line="240" w:lineRule="auto"/>
        <w:rPr>
          <w:sz w:val="20"/>
        </w:rPr>
      </w:pPr>
    </w:p>
    <w:p w:rsidR="00C910FF" w:rsidRPr="00BD01EF" w:rsidRDefault="00C910FF" w:rsidP="00C910FF">
      <w:pPr>
        <w:pStyle w:val="SCCLawFirm"/>
        <w:spacing w:line="240" w:lineRule="auto"/>
        <w:rPr>
          <w:sz w:val="20"/>
        </w:rPr>
      </w:pPr>
      <w:r w:rsidRPr="00BD01EF">
        <w:rPr>
          <w:sz w:val="20"/>
        </w:rPr>
        <w:tab/>
        <w:t>Solicitor for the appellant:  Attorney General of Manitoba, Winnipeg.</w:t>
      </w:r>
    </w:p>
    <w:p w:rsidR="00C910FF" w:rsidRDefault="00C910FF" w:rsidP="00C910FF">
      <w:pPr>
        <w:pStyle w:val="SCCLawFirm"/>
        <w:spacing w:line="240" w:lineRule="auto"/>
        <w:rPr>
          <w:sz w:val="20"/>
        </w:rPr>
      </w:pPr>
    </w:p>
    <w:p w:rsidR="00C910FF" w:rsidRPr="00BD01EF" w:rsidRDefault="00C910FF" w:rsidP="00C910FF">
      <w:pPr>
        <w:pStyle w:val="SCCLawFirm"/>
        <w:spacing w:line="240" w:lineRule="auto"/>
        <w:rPr>
          <w:sz w:val="20"/>
        </w:rPr>
      </w:pPr>
      <w:r w:rsidRPr="00BD01EF">
        <w:rPr>
          <w:sz w:val="20"/>
        </w:rPr>
        <w:tab/>
        <w:t>Solicitors for the respondent:  Walsh &amp; Company, Winnipeg; Legal Aid Manitoba, Winnipeg.</w:t>
      </w:r>
    </w:p>
    <w:p w:rsidR="00C910FF" w:rsidRDefault="00C910FF" w:rsidP="00C910FF">
      <w:pPr>
        <w:pStyle w:val="SCCLawFirm"/>
        <w:spacing w:line="240" w:lineRule="auto"/>
        <w:rPr>
          <w:sz w:val="20"/>
        </w:rPr>
      </w:pPr>
    </w:p>
    <w:p w:rsidR="00C910FF" w:rsidRPr="00BD01EF" w:rsidRDefault="00C910FF" w:rsidP="00C910FF">
      <w:pPr>
        <w:pStyle w:val="SCCLawFirm"/>
        <w:spacing w:line="240" w:lineRule="auto"/>
        <w:rPr>
          <w:sz w:val="20"/>
        </w:rPr>
      </w:pPr>
      <w:r w:rsidRPr="00BD01EF">
        <w:rPr>
          <w:sz w:val="20"/>
        </w:rPr>
        <w:tab/>
        <w:t>Solicitor for the intervener the Attorney General of Canada:  Attorney General of Canada, Ottawa.</w:t>
      </w:r>
    </w:p>
    <w:p w:rsidR="00C910FF" w:rsidRDefault="00C910FF" w:rsidP="00C910FF">
      <w:pPr>
        <w:pStyle w:val="SCCLawFirm"/>
        <w:spacing w:line="240" w:lineRule="auto"/>
        <w:rPr>
          <w:sz w:val="20"/>
        </w:rPr>
      </w:pPr>
    </w:p>
    <w:p w:rsidR="00C910FF" w:rsidRDefault="00C910FF" w:rsidP="00C910FF">
      <w:pPr>
        <w:pStyle w:val="SCCLawFirm"/>
        <w:spacing w:line="240" w:lineRule="auto"/>
        <w:rPr>
          <w:sz w:val="20"/>
        </w:rPr>
      </w:pPr>
      <w:r w:rsidRPr="00BD01EF">
        <w:rPr>
          <w:sz w:val="20"/>
        </w:rPr>
        <w:tab/>
        <w:t>Solicitor for the intervener the Attorney General of Ontario:  Attorney General of Ontario, Toronto.</w:t>
      </w:r>
    </w:p>
    <w:p w:rsidR="0052229C" w:rsidRPr="00C910FF" w:rsidRDefault="0052229C" w:rsidP="0052229C">
      <w:pPr>
        <w:rPr>
          <w:rFonts w:cs="Times New Roman"/>
          <w:sz w:val="20"/>
          <w:szCs w:val="20"/>
          <w:lang w:val="fr-CA"/>
        </w:rPr>
      </w:pPr>
      <w:r w:rsidRPr="00C910FF">
        <w:rPr>
          <w:rFonts w:cs="Times New Roman"/>
          <w:sz w:val="20"/>
          <w:szCs w:val="20"/>
          <w:lang w:val="fr-CA"/>
        </w:rPr>
        <w:t>________________________</w:t>
      </w:r>
    </w:p>
    <w:p w:rsidR="0052229C" w:rsidRPr="00C910FF" w:rsidRDefault="0052229C" w:rsidP="0052229C">
      <w:pPr>
        <w:rPr>
          <w:rFonts w:cs="Times New Roman"/>
          <w:sz w:val="20"/>
          <w:szCs w:val="20"/>
          <w:lang w:val="fr-CA"/>
        </w:rPr>
      </w:pPr>
    </w:p>
    <w:p w:rsidR="00C910FF" w:rsidRPr="002E547E" w:rsidRDefault="00C910FF" w:rsidP="00C910FF">
      <w:pPr>
        <w:jc w:val="both"/>
        <w:rPr>
          <w:sz w:val="20"/>
          <w:szCs w:val="20"/>
          <w:lang w:val="fr-CA"/>
        </w:rPr>
      </w:pPr>
      <w:r w:rsidRPr="002E547E">
        <w:rPr>
          <w:sz w:val="20"/>
          <w:szCs w:val="20"/>
          <w:lang w:val="fr-CA"/>
        </w:rPr>
        <w:t>Présents : La juge en chef McLachlin et les juges Abella, Rothstein, Cromwell, Moldaver, Karakatsanis et Wagner.</w:t>
      </w:r>
    </w:p>
    <w:p w:rsidR="00C910FF" w:rsidRDefault="00C910FF" w:rsidP="00C910FF">
      <w:pPr>
        <w:pStyle w:val="SCCNormalDoubleSpacing"/>
        <w:spacing w:line="240" w:lineRule="auto"/>
        <w:rPr>
          <w:sz w:val="20"/>
          <w:lang w:val="fr-CA"/>
        </w:rPr>
      </w:pPr>
    </w:p>
    <w:p w:rsidR="00C910FF" w:rsidRPr="002E547E" w:rsidRDefault="00C910FF" w:rsidP="00C910FF">
      <w:pPr>
        <w:pStyle w:val="SCCNormalDoubleSpacing"/>
        <w:spacing w:line="240" w:lineRule="auto"/>
        <w:rPr>
          <w:i/>
          <w:sz w:val="20"/>
          <w:lang w:val="fr-CA"/>
        </w:rPr>
      </w:pPr>
      <w:r w:rsidRPr="002E547E">
        <w:rPr>
          <w:sz w:val="20"/>
          <w:lang w:val="fr-CA"/>
        </w:rPr>
        <w:tab/>
      </w:r>
      <w:r w:rsidRPr="002E547E">
        <w:rPr>
          <w:i/>
          <w:sz w:val="20"/>
          <w:lang w:val="fr-CA"/>
        </w:rPr>
        <w:t>Droit criminel — Détermination de la peine — Délinquant dangereux — Demande de renvoi pour évaluation — Signification de « sévices graves à la personne » — Le vol qualifié perpétré par le recours à des menaces de violence contre une personne répond</w:t>
      </w:r>
      <w:r w:rsidRPr="002E547E">
        <w:rPr>
          <w:i/>
          <w:sz w:val="20"/>
          <w:lang w:val="fr-CA"/>
        </w:rPr>
        <w:noBreakHyphen/>
        <w:t>il à la définition de « sévices graves à la personne »? — Code criminel, L.R.C. 1985, ch. C</w:t>
      </w:r>
      <w:r w:rsidRPr="002E547E">
        <w:rPr>
          <w:i/>
          <w:sz w:val="20"/>
          <w:lang w:val="fr-CA"/>
        </w:rPr>
        <w:noBreakHyphen/>
        <w:t>46, art. 343a), 752 « sévices graves à la personne » et 752.1(1).</w:t>
      </w:r>
    </w:p>
    <w:p w:rsidR="00C910FF" w:rsidRDefault="00C910FF" w:rsidP="00C910FF">
      <w:pPr>
        <w:pStyle w:val="SCCNormalDoubleSpacing"/>
        <w:spacing w:line="240" w:lineRule="auto"/>
        <w:rPr>
          <w:sz w:val="20"/>
          <w:lang w:val="fr-CA"/>
        </w:rPr>
      </w:pPr>
    </w:p>
    <w:p w:rsidR="00C910FF" w:rsidRPr="002E547E" w:rsidRDefault="00C910FF" w:rsidP="00C910FF">
      <w:pPr>
        <w:pStyle w:val="SCCNormalDoubleSpacing"/>
        <w:spacing w:line="240" w:lineRule="auto"/>
        <w:rPr>
          <w:sz w:val="20"/>
          <w:lang w:val="fr-CA"/>
        </w:rPr>
      </w:pPr>
      <w:r w:rsidRPr="002E547E">
        <w:rPr>
          <w:sz w:val="20"/>
          <w:lang w:val="fr-CA"/>
        </w:rPr>
        <w:tab/>
        <w:t>Lors d’un vol qualifié dans une pharmacie, S a dit aux préposées à la caisse qu’il avait une arme. Aucune preuve n’établit qu’il était effectivement armé ou qu’il a eu recours à la force physique. Personne n’a été blessé. L’une des préposées à la caisse a témoigné qu’elle avait eu peur pendant le vol, et l’autre a dit avoir subi un choc. S a été reconnu coupable de vol qualifié en vertu de l’al. 343</w:t>
      </w:r>
      <w:r w:rsidRPr="002E547E">
        <w:rPr>
          <w:i/>
          <w:sz w:val="20"/>
          <w:lang w:val="fr-CA"/>
        </w:rPr>
        <w:t>a</w:t>
      </w:r>
      <w:r w:rsidRPr="002E547E">
        <w:rPr>
          <w:sz w:val="20"/>
          <w:lang w:val="fr-CA"/>
        </w:rPr>
        <w:t xml:space="preserve">) du </w:t>
      </w:r>
      <w:r w:rsidRPr="002E547E">
        <w:rPr>
          <w:i/>
          <w:sz w:val="20"/>
          <w:lang w:val="fr-CA"/>
        </w:rPr>
        <w:t xml:space="preserve">Code criminel </w:t>
      </w:r>
      <w:r w:rsidRPr="002E547E">
        <w:rPr>
          <w:sz w:val="20"/>
          <w:lang w:val="fr-CA"/>
        </w:rPr>
        <w:t xml:space="preserve">au motif qu’il avait « [employé] . . . des menaces de violence contre une personne ». Le ministère public a demandé son renvoi pour évaluation en application du par. 752.1(1) du </w:t>
      </w:r>
      <w:r w:rsidRPr="002E547E">
        <w:rPr>
          <w:i/>
          <w:sz w:val="20"/>
          <w:lang w:val="fr-CA"/>
        </w:rPr>
        <w:t>Code criminel</w:t>
      </w:r>
      <w:r w:rsidRPr="002E547E">
        <w:rPr>
          <w:sz w:val="20"/>
          <w:lang w:val="fr-CA"/>
        </w:rPr>
        <w:t>. Selon la juge du procès et la Cour d’appel, une menace de violence n’équivaut pas à elle seule à « l’emploi, ou une tentative d’emploi, de la violence » selon le sous</w:t>
      </w:r>
      <w:r w:rsidRPr="002E547E">
        <w:rPr>
          <w:sz w:val="20"/>
          <w:lang w:val="fr-CA"/>
        </w:rPr>
        <w:noBreakHyphen/>
        <w:t>al. </w:t>
      </w:r>
      <w:r w:rsidRPr="002E547E">
        <w:rPr>
          <w:i/>
          <w:sz w:val="20"/>
          <w:lang w:val="fr-CA"/>
        </w:rPr>
        <w:t>a</w:t>
      </w:r>
      <w:r w:rsidRPr="002E547E">
        <w:rPr>
          <w:sz w:val="20"/>
          <w:lang w:val="fr-CA"/>
        </w:rPr>
        <w:t xml:space="preserve">)(i) de la définition des « sévices graves à la personne » à l’art. 752 du </w:t>
      </w:r>
      <w:r w:rsidRPr="002E547E">
        <w:rPr>
          <w:i/>
          <w:sz w:val="20"/>
          <w:lang w:val="fr-CA"/>
        </w:rPr>
        <w:t>Code criminel</w:t>
      </w:r>
      <w:r w:rsidRPr="002E547E">
        <w:rPr>
          <w:sz w:val="20"/>
          <w:lang w:val="fr-CA"/>
        </w:rPr>
        <w:t>.</w:t>
      </w:r>
    </w:p>
    <w:p w:rsidR="00C910FF" w:rsidRDefault="00C910FF" w:rsidP="00C910FF">
      <w:pPr>
        <w:pStyle w:val="SCCNormalDoubleSpacing"/>
        <w:spacing w:line="240" w:lineRule="auto"/>
        <w:rPr>
          <w:i/>
          <w:sz w:val="20"/>
          <w:lang w:val="fr-CA"/>
        </w:rPr>
      </w:pPr>
    </w:p>
    <w:p w:rsidR="00C910FF" w:rsidRPr="002E547E" w:rsidRDefault="00C910FF" w:rsidP="00C910FF">
      <w:pPr>
        <w:pStyle w:val="SCCNormalDoubleSpacing"/>
        <w:spacing w:line="240" w:lineRule="auto"/>
        <w:rPr>
          <w:sz w:val="20"/>
          <w:lang w:val="fr-CA"/>
        </w:rPr>
      </w:pPr>
      <w:r w:rsidRPr="002E547E">
        <w:rPr>
          <w:i/>
          <w:sz w:val="20"/>
          <w:lang w:val="fr-CA"/>
        </w:rPr>
        <w:tab/>
        <w:t>Arrêt</w:t>
      </w:r>
      <w:r w:rsidRPr="002E547E">
        <w:rPr>
          <w:sz w:val="20"/>
          <w:lang w:val="fr-CA"/>
        </w:rPr>
        <w:t> : Le pourvoi est accueilli.</w:t>
      </w:r>
    </w:p>
    <w:p w:rsidR="00C910FF" w:rsidRDefault="00C910FF" w:rsidP="00C910FF">
      <w:pPr>
        <w:pStyle w:val="SCCNormalDoubleSpacing"/>
        <w:spacing w:line="240" w:lineRule="auto"/>
        <w:rPr>
          <w:sz w:val="20"/>
          <w:lang w:val="fr-CA"/>
        </w:rPr>
      </w:pPr>
    </w:p>
    <w:p w:rsidR="00C910FF" w:rsidRPr="002E547E" w:rsidRDefault="00C910FF" w:rsidP="00C910FF">
      <w:pPr>
        <w:pStyle w:val="SCCNormalDoubleSpacing"/>
        <w:spacing w:line="240" w:lineRule="auto"/>
        <w:rPr>
          <w:sz w:val="20"/>
          <w:lang w:val="fr-CA"/>
        </w:rPr>
      </w:pPr>
      <w:r w:rsidRPr="002E547E">
        <w:rPr>
          <w:sz w:val="20"/>
          <w:lang w:val="fr-CA"/>
        </w:rPr>
        <w:tab/>
        <w:t>Le pourvoi porte sur la définition des « sévices graves à la personne » et, par ricochet, sur les conditions auxquelles s’applique le régime des délinquants dangereux et à contrôler. La menace de violence qui justifie une déclaration de culpabilité de vol qualifié suivant l’al. 343</w:t>
      </w:r>
      <w:r w:rsidRPr="002E547E">
        <w:rPr>
          <w:i/>
          <w:sz w:val="20"/>
          <w:lang w:val="fr-CA"/>
        </w:rPr>
        <w:t>a</w:t>
      </w:r>
      <w:r w:rsidRPr="002E547E">
        <w:rPr>
          <w:sz w:val="20"/>
          <w:lang w:val="fr-CA"/>
        </w:rPr>
        <w:t>) constitue en effet l’emploi de la violence contre une autre personne pour les besoins du sous</w:t>
      </w:r>
      <w:r w:rsidRPr="002E547E">
        <w:rPr>
          <w:sz w:val="20"/>
          <w:lang w:val="fr-CA"/>
        </w:rPr>
        <w:noBreakHyphen/>
        <w:t>al. </w:t>
      </w:r>
      <w:r w:rsidRPr="002E547E">
        <w:rPr>
          <w:i/>
          <w:sz w:val="20"/>
          <w:lang w:val="fr-CA"/>
        </w:rPr>
        <w:t>a</w:t>
      </w:r>
      <w:r w:rsidRPr="002E547E">
        <w:rPr>
          <w:sz w:val="20"/>
          <w:lang w:val="fr-CA"/>
        </w:rPr>
        <w:t xml:space="preserve">)(i) de la définition des sévices graves à la personne à l’art. 752. </w:t>
      </w:r>
    </w:p>
    <w:p w:rsidR="00C910FF" w:rsidRDefault="00C910FF" w:rsidP="00C910FF">
      <w:pPr>
        <w:pStyle w:val="SCCNormalDoubleSpacing"/>
        <w:spacing w:line="240" w:lineRule="auto"/>
        <w:rPr>
          <w:sz w:val="20"/>
          <w:lang w:val="fr-CA"/>
        </w:rPr>
      </w:pPr>
    </w:p>
    <w:p w:rsidR="00C910FF" w:rsidRPr="002E547E" w:rsidRDefault="00C910FF" w:rsidP="00C910FF">
      <w:pPr>
        <w:pStyle w:val="SCCNormalDoubleSpacing"/>
        <w:spacing w:line="240" w:lineRule="auto"/>
        <w:rPr>
          <w:i/>
          <w:sz w:val="20"/>
          <w:lang w:val="fr-CA"/>
        </w:rPr>
      </w:pPr>
      <w:r w:rsidRPr="002E547E">
        <w:rPr>
          <w:sz w:val="20"/>
          <w:lang w:val="fr-CA"/>
        </w:rPr>
        <w:tab/>
        <w:t>La détention pour une période indéterminée et la surveillance de longue durée constituent des peines exceptionnelles réservées aux délinquants qui font peser une menace permanente sur la société. Un certain nombre de conditions de procédure et de fond doivent être satisfaites avant que le tribunal puisse déclarer qu’un délinquant est dangereux ou à contrôler. Avant de renvoyer un délinquant pour évaluation, le tribunal doit être convaincu que le délinquant a été déclaré coupable de sévices graves à la personne au sens de l’art. 752. Il doit aussi avoir des motifs raisonnables de croire que le délinquant pourrait être déclaré délinquant dangereux suivant l’art. 753 ou délinquant à contrôler suivant l’art. 753.1. Le critère des sévices graves à la personne joue donc un rôle crucial dans l’application du régime des délinquants dangereux et à contrôler.</w:t>
      </w:r>
    </w:p>
    <w:p w:rsidR="00C910FF" w:rsidRDefault="00C910FF" w:rsidP="00C910FF">
      <w:pPr>
        <w:pStyle w:val="SCCNormalDoubleSpacing"/>
        <w:spacing w:line="240" w:lineRule="auto"/>
        <w:rPr>
          <w:sz w:val="20"/>
          <w:lang w:val="fr-CA"/>
        </w:rPr>
      </w:pPr>
    </w:p>
    <w:p w:rsidR="00C910FF" w:rsidRPr="002E547E" w:rsidRDefault="00C910FF" w:rsidP="00C910FF">
      <w:pPr>
        <w:pStyle w:val="SCCNormalDoubleSpacing"/>
        <w:spacing w:line="240" w:lineRule="auto"/>
        <w:rPr>
          <w:sz w:val="20"/>
          <w:lang w:val="fr-CA"/>
        </w:rPr>
      </w:pPr>
      <w:r w:rsidRPr="002E547E">
        <w:rPr>
          <w:sz w:val="20"/>
          <w:lang w:val="fr-CA"/>
        </w:rPr>
        <w:tab/>
        <w:t>La détention pendant une période indéterminée et la surveillance de longue durée que prévoit la partie XXIV visent principalement la protection de la société, et une interprétation trop étroite de la disposition d’applicabilité contrecarrerait en fait la réalisation de cet objectif. Toutefois, l’objectif du critère des sévices graves à la personne est précisément de lier la peine à l’infraction sous</w:t>
      </w:r>
      <w:r w:rsidRPr="002E547E">
        <w:rPr>
          <w:sz w:val="20"/>
          <w:lang w:val="fr-CA"/>
        </w:rPr>
        <w:noBreakHyphen/>
        <w:t>jacente, de sorte qu’une interprétation trop libérale irait à l’encontre de cet objectif et contreviendrait au principe fondamental de la détermination de la peine, à savoir que la peine doit être proportionnée à la gravité de l’infraction et au degré de responsabilité du délinquant. Le critère des sévices graves à la personne contribue à assurer la constitutionnalité du régime. Pour interpréter la définition des sévices graves à la personne, il faut donner effet à l’objectif général de protection de la partie XXIV tout en poursuivant l’objectif spécifique inhérent du critère des sévices graves à la personne en liant la sanction à l’infraction sous</w:t>
      </w:r>
      <w:r w:rsidRPr="002E547E">
        <w:rPr>
          <w:sz w:val="20"/>
          <w:lang w:val="fr-CA"/>
        </w:rPr>
        <w:noBreakHyphen/>
        <w:t xml:space="preserve">jacente et en assurant la réalisation de l’objectif de proportionnalité. </w:t>
      </w:r>
    </w:p>
    <w:p w:rsidR="00C910FF" w:rsidRDefault="00C910FF" w:rsidP="00C910FF">
      <w:pPr>
        <w:pStyle w:val="SCCNormalDoubleSpacing"/>
        <w:spacing w:line="240" w:lineRule="auto"/>
        <w:rPr>
          <w:sz w:val="20"/>
          <w:lang w:val="fr-CA"/>
        </w:rPr>
      </w:pPr>
    </w:p>
    <w:p w:rsidR="00C910FF" w:rsidRPr="002E547E" w:rsidRDefault="00C910FF" w:rsidP="00C910FF">
      <w:pPr>
        <w:pStyle w:val="SCCNormalDoubleSpacing"/>
        <w:spacing w:line="240" w:lineRule="auto"/>
        <w:rPr>
          <w:sz w:val="20"/>
          <w:lang w:val="fr-CA"/>
        </w:rPr>
      </w:pPr>
      <w:r w:rsidRPr="002E547E">
        <w:rPr>
          <w:sz w:val="20"/>
          <w:lang w:val="fr-CA"/>
        </w:rPr>
        <w:tab/>
        <w:t>Le sous</w:t>
      </w:r>
      <w:r w:rsidRPr="002E547E">
        <w:rPr>
          <w:sz w:val="20"/>
          <w:lang w:val="fr-CA"/>
        </w:rPr>
        <w:noBreakHyphen/>
        <w:t>alinéa </w:t>
      </w:r>
      <w:r w:rsidRPr="002E547E">
        <w:rPr>
          <w:i/>
          <w:sz w:val="20"/>
          <w:lang w:val="fr-CA"/>
        </w:rPr>
        <w:t>a</w:t>
      </w:r>
      <w:r w:rsidRPr="002E547E">
        <w:rPr>
          <w:sz w:val="20"/>
          <w:lang w:val="fr-CA"/>
        </w:rPr>
        <w:t xml:space="preserve">)(i) de la définition énoncée à l’art. 752 n’invite pas le tribunal à considérer la gravité de la violence que le délinquant a employée ou tenté d’employer; toute violence, quelle qu’elle soit, suffit. L’expression « l’emploi, ou une tentative d’emploi, de la violence » doit être interprétée selon son sens grammatical et ordinaire, à la </w:t>
      </w:r>
      <w:r w:rsidRPr="002E547E">
        <w:rPr>
          <w:sz w:val="20"/>
          <w:lang w:val="fr-CA"/>
        </w:rPr>
        <w:lastRenderedPageBreak/>
        <w:t xml:space="preserve">lumière de son contexte législatif. Ni l’objectif du critère des sévices graves à la personne, ni celui de la partie XXIV ne justifient qu’on l’interprète comme si elle exigeait expressément la preuve d’un degré minimal de violence. </w:t>
      </w:r>
    </w:p>
    <w:p w:rsidR="00C910FF" w:rsidRDefault="00C910FF" w:rsidP="00C910FF">
      <w:pPr>
        <w:pStyle w:val="SCCNormalDoubleSpacing"/>
        <w:spacing w:line="240" w:lineRule="auto"/>
        <w:rPr>
          <w:sz w:val="20"/>
          <w:lang w:val="fr-CA"/>
        </w:rPr>
      </w:pPr>
    </w:p>
    <w:p w:rsidR="00C910FF" w:rsidRPr="002E547E" w:rsidRDefault="00C910FF" w:rsidP="00C910FF">
      <w:pPr>
        <w:pStyle w:val="SCCNormalDoubleSpacing"/>
        <w:spacing w:line="240" w:lineRule="auto"/>
        <w:rPr>
          <w:sz w:val="20"/>
          <w:lang w:val="fr-CA"/>
        </w:rPr>
      </w:pPr>
      <w:r w:rsidRPr="002E547E">
        <w:rPr>
          <w:sz w:val="20"/>
          <w:lang w:val="fr-CA"/>
        </w:rPr>
        <w:tab/>
        <w:t>À moins que le contexte ou l’objet de la loi n’indique qu’il en va autrement, la « violence » se définit surtout en fonction du préjudice — et non du recours à la force — et elle englobe le fait de causer un préjudice ou de tenter ou de menacer d’en causer un. Cela ne veut pas dire que la violence doit toujours être définie en fonction du préjudice. Le contexte est crucial, et il peut arriver que la présomption d’uniformité d’expression soit clairement réfutée par d’autres principes d’interprétation, de sorte que le sens voulu par le législateur peut varier d’une loi à l’autre, voire, dans certaines situations, d’une disposition à l’autre. Au final, l’expression « l’emploi, ou une tentative d’emploi, de la violence » doit voir sa portée déterminée en fonction du contexte dans lequel elle est utilisée.</w:t>
      </w:r>
    </w:p>
    <w:p w:rsidR="00C910FF" w:rsidRDefault="00C910FF" w:rsidP="00C910FF">
      <w:pPr>
        <w:pStyle w:val="SCCNormalDoubleSpacing"/>
        <w:spacing w:line="240" w:lineRule="auto"/>
        <w:rPr>
          <w:sz w:val="20"/>
          <w:lang w:val="fr-CA"/>
        </w:rPr>
      </w:pPr>
    </w:p>
    <w:p w:rsidR="00C910FF" w:rsidRPr="002E547E" w:rsidRDefault="00C910FF" w:rsidP="00C910FF">
      <w:pPr>
        <w:pStyle w:val="SCCNormalDoubleSpacing"/>
        <w:spacing w:line="240" w:lineRule="auto"/>
        <w:rPr>
          <w:sz w:val="20"/>
          <w:lang w:val="fr-CA"/>
        </w:rPr>
      </w:pPr>
      <w:r w:rsidRPr="002E547E">
        <w:rPr>
          <w:sz w:val="20"/>
          <w:lang w:val="fr-CA"/>
        </w:rPr>
        <w:tab/>
        <w:t>Rien n’indique que les différents volets de la définition des sévices graves à la personne qui figure à l’art. 752 sont mutuellement exclusifs. Qu’une interprétation proposée fasse tomber certaines infractions sous le coup de plusieurs volets de la définition ne justifie pas en soi qu’on restreigne la portée de celle</w:t>
      </w:r>
      <w:r w:rsidRPr="002E547E">
        <w:rPr>
          <w:sz w:val="20"/>
          <w:lang w:val="fr-CA"/>
        </w:rPr>
        <w:noBreakHyphen/>
        <w:t>ci pour éviter les chevauchements. Le sous</w:t>
      </w:r>
      <w:r w:rsidRPr="002E547E">
        <w:rPr>
          <w:sz w:val="20"/>
          <w:lang w:val="fr-CA"/>
        </w:rPr>
        <w:noBreakHyphen/>
        <w:t>alinéa </w:t>
      </w:r>
      <w:r w:rsidRPr="002E547E">
        <w:rPr>
          <w:i/>
          <w:sz w:val="20"/>
          <w:lang w:val="fr-CA"/>
        </w:rPr>
        <w:t>a</w:t>
      </w:r>
      <w:r w:rsidRPr="002E547E">
        <w:rPr>
          <w:sz w:val="20"/>
          <w:lang w:val="fr-CA"/>
        </w:rPr>
        <w:t>)(i) vise les actes violents — « l’emploi, ou une tentative d’emploi, de la violence » — et requiert une intention violente de la part du délinquant. Ce volet de la définition s’applique au délinquant qui cause, tente ou menace de causer un préjudice</w:t>
      </w:r>
      <w:r w:rsidRPr="002E547E">
        <w:rPr>
          <w:i/>
          <w:sz w:val="20"/>
          <w:lang w:val="fr-CA"/>
        </w:rPr>
        <w:t xml:space="preserve"> </w:t>
      </w:r>
      <w:r w:rsidRPr="002E547E">
        <w:rPr>
          <w:sz w:val="20"/>
          <w:lang w:val="fr-CA"/>
        </w:rPr>
        <w:t>intentionnellement. La menace, elle, est également visée en raison de l’intention de son auteur qu’elle soit prise au sérieux. Le sous</w:t>
      </w:r>
      <w:r w:rsidRPr="002E547E">
        <w:rPr>
          <w:sz w:val="20"/>
          <w:lang w:val="fr-CA"/>
        </w:rPr>
        <w:noBreakHyphen/>
        <w:t>alinéa </w:t>
      </w:r>
      <w:r w:rsidRPr="002E547E">
        <w:rPr>
          <w:i/>
          <w:sz w:val="20"/>
          <w:lang w:val="fr-CA"/>
        </w:rPr>
        <w:t>a</w:t>
      </w:r>
      <w:r w:rsidRPr="002E547E">
        <w:rPr>
          <w:sz w:val="20"/>
          <w:lang w:val="fr-CA"/>
        </w:rPr>
        <w:t>)(ii) ne s’attache pour sa part qu’aux effets de la conduite et s’applique donc aux infractions comportant de la négligence. Ainsi, l’interprétation du sous</w:t>
      </w:r>
      <w:r w:rsidRPr="002E547E">
        <w:rPr>
          <w:sz w:val="20"/>
          <w:lang w:val="fr-CA"/>
        </w:rPr>
        <w:noBreakHyphen/>
        <w:t>al. </w:t>
      </w:r>
      <w:r w:rsidRPr="002E547E">
        <w:rPr>
          <w:i/>
          <w:sz w:val="20"/>
          <w:lang w:val="fr-CA"/>
        </w:rPr>
        <w:t>a</w:t>
      </w:r>
      <w:r w:rsidRPr="002E547E">
        <w:rPr>
          <w:sz w:val="20"/>
          <w:lang w:val="fr-CA"/>
        </w:rPr>
        <w:t>)(i), axée sur le préjudice et selon laquelle une menace de violence constitue une forme d’emploi de la violence, n’est pas incompatible avec les éléments de mise en danger et de dommages psychologiques mentionnés au sous</w:t>
      </w:r>
      <w:r w:rsidRPr="002E547E">
        <w:rPr>
          <w:sz w:val="20"/>
          <w:lang w:val="fr-CA"/>
        </w:rPr>
        <w:noBreakHyphen/>
        <w:t>al. </w:t>
      </w:r>
      <w:r w:rsidRPr="002E547E">
        <w:rPr>
          <w:i/>
          <w:sz w:val="20"/>
          <w:lang w:val="fr-CA"/>
        </w:rPr>
        <w:t>a</w:t>
      </w:r>
      <w:r w:rsidRPr="002E547E">
        <w:rPr>
          <w:sz w:val="20"/>
          <w:lang w:val="fr-CA"/>
        </w:rPr>
        <w:t xml:space="preserve">)(ii) de la définition. </w:t>
      </w:r>
    </w:p>
    <w:p w:rsidR="00C910FF" w:rsidRDefault="00C910FF" w:rsidP="00C910FF">
      <w:pPr>
        <w:pStyle w:val="SCCNormalDoubleSpacing"/>
        <w:spacing w:line="240" w:lineRule="auto"/>
        <w:rPr>
          <w:sz w:val="20"/>
          <w:lang w:val="fr-CA"/>
        </w:rPr>
      </w:pPr>
    </w:p>
    <w:p w:rsidR="00C910FF" w:rsidRPr="002E547E" w:rsidRDefault="00C910FF" w:rsidP="00C910FF">
      <w:pPr>
        <w:pStyle w:val="SCCNormalDoubleSpacing"/>
        <w:spacing w:line="240" w:lineRule="auto"/>
        <w:rPr>
          <w:sz w:val="20"/>
          <w:lang w:val="fr-CA"/>
        </w:rPr>
      </w:pPr>
      <w:r w:rsidRPr="002E547E">
        <w:rPr>
          <w:sz w:val="20"/>
          <w:lang w:val="fr-CA"/>
        </w:rPr>
        <w:tab/>
        <w:t>L’absence du vol qualifié parmi les infractions énumérées à l’al. </w:t>
      </w:r>
      <w:r w:rsidRPr="002E547E">
        <w:rPr>
          <w:i/>
          <w:sz w:val="20"/>
          <w:lang w:val="fr-CA"/>
        </w:rPr>
        <w:t>b</w:t>
      </w:r>
      <w:r w:rsidRPr="002E547E">
        <w:rPr>
          <w:sz w:val="20"/>
          <w:lang w:val="fr-CA"/>
        </w:rPr>
        <w:t xml:space="preserve">) de la définition ne constitue pas un élément à considérer pour déterminer l’intention du législateur. Rien n’indique que le législateur a voulu énumérer exhaustivement toutes les infractions qui constituent toujours des sévices graves à la personne. </w:t>
      </w:r>
    </w:p>
    <w:p w:rsidR="00C910FF" w:rsidRDefault="00C910FF" w:rsidP="00C910FF">
      <w:pPr>
        <w:pStyle w:val="SCCNormalDoubleSpacing"/>
        <w:spacing w:line="240" w:lineRule="auto"/>
        <w:rPr>
          <w:sz w:val="20"/>
          <w:lang w:val="fr-CA"/>
        </w:rPr>
      </w:pPr>
    </w:p>
    <w:p w:rsidR="00C910FF" w:rsidRPr="002E547E" w:rsidRDefault="00C910FF" w:rsidP="00C910FF">
      <w:pPr>
        <w:pStyle w:val="SCCNormalDoubleSpacing"/>
        <w:spacing w:line="240" w:lineRule="auto"/>
        <w:rPr>
          <w:sz w:val="20"/>
          <w:lang w:val="fr-CA"/>
        </w:rPr>
      </w:pPr>
      <w:r w:rsidRPr="002E547E">
        <w:rPr>
          <w:sz w:val="20"/>
          <w:lang w:val="fr-CA"/>
        </w:rPr>
        <w:tab/>
        <w:t>La Cour d’appel invoque la présomption selon laquelle le recours du législateur à des termes différents suppose qu’il a voulu créer des sens différents, et le principe selon lequel, dans une loi, un mot a le même sens chaque fois qu’il y est employé; elle ne tient toutefois pas compte de tout le contexte dans lequel les termes « emploie la violence » et « emploi de la violence » figurent à l’art. 343 et au sous</w:t>
      </w:r>
      <w:r w:rsidRPr="002E547E">
        <w:rPr>
          <w:sz w:val="20"/>
          <w:lang w:val="fr-CA"/>
        </w:rPr>
        <w:noBreakHyphen/>
        <w:t>al. </w:t>
      </w:r>
      <w:r w:rsidRPr="002E547E">
        <w:rPr>
          <w:i/>
          <w:sz w:val="20"/>
          <w:lang w:val="fr-CA"/>
        </w:rPr>
        <w:t>a</w:t>
      </w:r>
      <w:r w:rsidRPr="002E547E">
        <w:rPr>
          <w:sz w:val="20"/>
          <w:lang w:val="fr-CA"/>
        </w:rPr>
        <w:t xml:space="preserve">)(i) de la définition des sévices graves à la personne à l’art. 752. Les deux dispositions se trouvent dans des parties du </w:t>
      </w:r>
      <w:r w:rsidRPr="002E547E">
        <w:rPr>
          <w:i/>
          <w:sz w:val="20"/>
          <w:lang w:val="fr-CA"/>
        </w:rPr>
        <w:t>Code criminel</w:t>
      </w:r>
      <w:r w:rsidRPr="002E547E">
        <w:rPr>
          <w:sz w:val="20"/>
          <w:lang w:val="fr-CA"/>
        </w:rPr>
        <w:t xml:space="preserve"> indépendantes l’une de l’autre, et chacune est dotée d’une raison d’être et d’un historique distincts. La solution retenue par la Cour d’appel va également à l’encontre des principes d’interprétation législative et est de nature à causer des difficultés innombrables au juge du procès désireux d’établir la distinction insaisissable entre la menace intrinsèquement violente et celle qui ne l’est pas. Elle va de plus à l’encontre du sens ordinaire de la disposition et de son objet. Toute menace de violence est en soi violente, même lorsque la gravité de la violence se révèle minime. En cherchant à distinguer entre la menace violente et celle qui ne l’est pas, les tribunaux voient dans la disposition l’exigence d’un degré minimal de violence objective. Pareille interprétation contredit le texte clair du sous</w:t>
      </w:r>
      <w:r w:rsidRPr="002E547E">
        <w:rPr>
          <w:sz w:val="20"/>
          <w:lang w:val="fr-CA"/>
        </w:rPr>
        <w:noBreakHyphen/>
        <w:t>al. </w:t>
      </w:r>
      <w:r w:rsidRPr="002E547E">
        <w:rPr>
          <w:i/>
          <w:sz w:val="20"/>
          <w:lang w:val="fr-CA"/>
        </w:rPr>
        <w:t>a</w:t>
      </w:r>
      <w:r w:rsidRPr="002E547E">
        <w:rPr>
          <w:sz w:val="20"/>
          <w:lang w:val="fr-CA"/>
        </w:rPr>
        <w:t xml:space="preserve">)(i) de la définition, lequel requiert certes la violence, mais non la violence grave, et elle risque de compromettre l’objectif général de la partie XXIV en empêchant les tribunaux de renvoyer pour évaluation des délinquants potentiellement dangereux. </w:t>
      </w:r>
    </w:p>
    <w:p w:rsidR="00C910FF" w:rsidRDefault="00C910FF" w:rsidP="00C910FF">
      <w:pPr>
        <w:pStyle w:val="SCCNormalDoubleSpacing"/>
        <w:spacing w:line="240" w:lineRule="auto"/>
        <w:rPr>
          <w:sz w:val="20"/>
          <w:lang w:val="fr-CA"/>
        </w:rPr>
      </w:pPr>
    </w:p>
    <w:p w:rsidR="00C910FF" w:rsidRDefault="00C910FF" w:rsidP="00C910FF">
      <w:pPr>
        <w:pStyle w:val="SCCNormalDoubleSpacing"/>
        <w:spacing w:line="240" w:lineRule="auto"/>
        <w:rPr>
          <w:sz w:val="20"/>
          <w:lang w:val="fr-CA"/>
        </w:rPr>
      </w:pPr>
      <w:r w:rsidRPr="002E547E">
        <w:rPr>
          <w:sz w:val="20"/>
          <w:lang w:val="fr-CA"/>
        </w:rPr>
        <w:tab/>
        <w:t>Les menaces de violence proférées contre une personne qui suffisent pour faire déclarer leur auteur coupable de vol qualifié en application de l’al. 343</w:t>
      </w:r>
      <w:r w:rsidRPr="002E547E">
        <w:rPr>
          <w:i/>
          <w:sz w:val="20"/>
          <w:lang w:val="fr-CA"/>
        </w:rPr>
        <w:t>a</w:t>
      </w:r>
      <w:r w:rsidRPr="002E547E">
        <w:rPr>
          <w:sz w:val="20"/>
          <w:lang w:val="fr-CA"/>
        </w:rPr>
        <w:t>) satisfont à la condition qu’est « l’emploi . . . de la violence » énoncée au sous</w:t>
      </w:r>
      <w:r w:rsidRPr="002E547E">
        <w:rPr>
          <w:sz w:val="20"/>
          <w:lang w:val="fr-CA"/>
        </w:rPr>
        <w:noBreakHyphen/>
        <w:t>al. </w:t>
      </w:r>
      <w:r w:rsidRPr="002E547E">
        <w:rPr>
          <w:i/>
          <w:sz w:val="20"/>
          <w:lang w:val="fr-CA"/>
        </w:rPr>
        <w:t>a</w:t>
      </w:r>
      <w:r w:rsidRPr="002E547E">
        <w:rPr>
          <w:sz w:val="20"/>
          <w:lang w:val="fr-CA"/>
        </w:rPr>
        <w:t>)(i) de la définition des sévices graves à la personne. En menaçant de blesser ses victimes lors du vol qualifié, S a employé la violence contre elles. Les autres exigences du sous</w:t>
      </w:r>
      <w:r w:rsidRPr="002E547E">
        <w:rPr>
          <w:sz w:val="20"/>
          <w:lang w:val="fr-CA"/>
        </w:rPr>
        <w:noBreakHyphen/>
        <w:t>al. </w:t>
      </w:r>
      <w:r w:rsidRPr="002E547E">
        <w:rPr>
          <w:i/>
          <w:sz w:val="20"/>
          <w:lang w:val="fr-CA"/>
        </w:rPr>
        <w:t>a)</w:t>
      </w:r>
      <w:r w:rsidRPr="002E547E">
        <w:rPr>
          <w:sz w:val="20"/>
          <w:lang w:val="fr-CA"/>
        </w:rPr>
        <w:t xml:space="preserve">(i) de la définition étant clairement satisfaites, l’infraction commise par S participe des sévices graves à la personne. </w:t>
      </w:r>
    </w:p>
    <w:p w:rsidR="00C910FF" w:rsidRDefault="00C910FF" w:rsidP="00C910FF">
      <w:pPr>
        <w:pStyle w:val="SCCNormalDoubleSpacing"/>
        <w:spacing w:line="240" w:lineRule="auto"/>
        <w:rPr>
          <w:sz w:val="20"/>
          <w:lang w:val="fr-CA"/>
        </w:rPr>
      </w:pPr>
    </w:p>
    <w:p w:rsidR="00C910FF" w:rsidRPr="002E547E" w:rsidRDefault="00C910FF" w:rsidP="00C910FF">
      <w:pPr>
        <w:pStyle w:val="SCCNormalDoubleSpacing"/>
        <w:spacing w:line="240" w:lineRule="auto"/>
        <w:rPr>
          <w:sz w:val="20"/>
          <w:lang w:val="fr-CA"/>
        </w:rPr>
      </w:pPr>
      <w:r w:rsidRPr="002E547E">
        <w:rPr>
          <w:sz w:val="20"/>
          <w:lang w:val="fr-CA"/>
        </w:rPr>
        <w:tab/>
        <w:t>POURVOI contre un arrêt de la Cour d’appel du Manitoba (le juge en chef Scott et les juges Beard et Monnin), 2013 MBCA 21, 288 Man. R. (2d) 304, 564 W.A.C. 304, [2013] 5 W.W.R. 635, [2013] M.J. No. 77 (QL), 2013 CarswellMan 108, qui a confirmé une décision de la juge McKelvey, 2011 MBQB 181, 267 Man. R. (2d) 91, [2011] M.J. No. 250 (QL), 2011 CarswellMan 403.  Pourvoi accueilli.</w:t>
      </w:r>
    </w:p>
    <w:p w:rsidR="00C910FF" w:rsidRDefault="00C910FF" w:rsidP="00C910FF">
      <w:pPr>
        <w:pStyle w:val="SCCNormalDoubleSpacing"/>
        <w:spacing w:line="240" w:lineRule="auto"/>
        <w:rPr>
          <w:rStyle w:val="SCCCounselNameChar"/>
          <w:sz w:val="20"/>
          <w:lang w:val="fr-CA"/>
        </w:rPr>
      </w:pPr>
    </w:p>
    <w:p w:rsidR="00C910FF" w:rsidRPr="002E547E" w:rsidRDefault="00C910FF" w:rsidP="00C910FF">
      <w:pPr>
        <w:pStyle w:val="SCCNormalDoubleSpacing"/>
        <w:spacing w:line="240" w:lineRule="auto"/>
        <w:rPr>
          <w:sz w:val="20"/>
          <w:lang w:val="fr-CA"/>
        </w:rPr>
      </w:pPr>
      <w:r w:rsidRPr="002E547E">
        <w:rPr>
          <w:rStyle w:val="SCCCounselNameChar"/>
          <w:sz w:val="20"/>
          <w:lang w:val="fr-CA"/>
        </w:rPr>
        <w:tab/>
        <w:t>Ami Kotler</w:t>
      </w:r>
      <w:r w:rsidRPr="002E547E">
        <w:rPr>
          <w:rStyle w:val="SCCCounselSeparatorChar"/>
          <w:sz w:val="20"/>
        </w:rPr>
        <w:t xml:space="preserve"> et </w:t>
      </w:r>
      <w:r w:rsidRPr="002E547E">
        <w:rPr>
          <w:rStyle w:val="SCCCounselNameChar"/>
          <w:sz w:val="20"/>
          <w:lang w:val="fr-CA"/>
        </w:rPr>
        <w:t>Neil Steen</w:t>
      </w:r>
      <w:r w:rsidRPr="002E547E">
        <w:rPr>
          <w:rStyle w:val="SCCCounselPartyRoleChar"/>
          <w:sz w:val="20"/>
          <w:lang w:val="fr-CA"/>
        </w:rPr>
        <w:t>, pour l’appelante.</w:t>
      </w:r>
    </w:p>
    <w:p w:rsidR="00C910FF" w:rsidRDefault="00C910FF" w:rsidP="00C910FF">
      <w:pPr>
        <w:pStyle w:val="SCCNormalDoubleSpacing"/>
        <w:spacing w:line="240" w:lineRule="auto"/>
        <w:rPr>
          <w:rStyle w:val="SCCCounselNameChar"/>
          <w:sz w:val="20"/>
          <w:lang w:val="fr-CA"/>
        </w:rPr>
      </w:pPr>
    </w:p>
    <w:p w:rsidR="00C910FF" w:rsidRPr="002E547E" w:rsidRDefault="00C910FF" w:rsidP="00C910FF">
      <w:pPr>
        <w:pStyle w:val="SCCNormalDoubleSpacing"/>
        <w:spacing w:line="240" w:lineRule="auto"/>
        <w:rPr>
          <w:sz w:val="20"/>
          <w:lang w:val="fr-CA"/>
        </w:rPr>
      </w:pPr>
      <w:r w:rsidRPr="002E547E">
        <w:rPr>
          <w:rStyle w:val="SCCCounselNameChar"/>
          <w:sz w:val="20"/>
          <w:lang w:val="fr-CA"/>
        </w:rPr>
        <w:lastRenderedPageBreak/>
        <w:tab/>
        <w:t>J. David L. Soper</w:t>
      </w:r>
      <w:r w:rsidRPr="002E547E">
        <w:rPr>
          <w:rStyle w:val="SCCCounselSeparatorChar"/>
          <w:sz w:val="20"/>
        </w:rPr>
        <w:t xml:space="preserve"> et </w:t>
      </w:r>
      <w:r w:rsidRPr="002E547E">
        <w:rPr>
          <w:rStyle w:val="SCCCounselNameChar"/>
          <w:sz w:val="20"/>
          <w:lang w:val="fr-CA"/>
        </w:rPr>
        <w:t>Amanda Sansregret</w:t>
      </w:r>
      <w:r w:rsidRPr="002E547E">
        <w:rPr>
          <w:rStyle w:val="SCCCounselPartyRoleChar"/>
          <w:sz w:val="20"/>
          <w:lang w:val="fr-CA"/>
        </w:rPr>
        <w:t>, pour l’intimé.</w:t>
      </w:r>
    </w:p>
    <w:p w:rsidR="00C910FF" w:rsidRDefault="00C910FF" w:rsidP="00C910FF">
      <w:pPr>
        <w:pStyle w:val="SCCNormalDoubleSpacing"/>
        <w:spacing w:line="240" w:lineRule="auto"/>
        <w:rPr>
          <w:rStyle w:val="SCCCounselNameChar"/>
          <w:sz w:val="20"/>
          <w:lang w:val="fr-CA"/>
        </w:rPr>
      </w:pPr>
    </w:p>
    <w:p w:rsidR="00C910FF" w:rsidRPr="002E547E" w:rsidRDefault="00C910FF" w:rsidP="00C910FF">
      <w:pPr>
        <w:pStyle w:val="SCCNormalDoubleSpacing"/>
        <w:spacing w:line="240" w:lineRule="auto"/>
        <w:rPr>
          <w:sz w:val="20"/>
          <w:lang w:val="fr-CA"/>
        </w:rPr>
      </w:pPr>
      <w:r w:rsidRPr="002E547E">
        <w:rPr>
          <w:rStyle w:val="SCCCounselNameChar"/>
          <w:sz w:val="20"/>
          <w:lang w:val="fr-CA"/>
        </w:rPr>
        <w:tab/>
        <w:t>Jeffrey G. Johnston</w:t>
      </w:r>
      <w:r w:rsidRPr="002E547E">
        <w:rPr>
          <w:rStyle w:val="SCCCounselPartyRoleChar"/>
          <w:sz w:val="20"/>
          <w:lang w:val="fr-CA"/>
        </w:rPr>
        <w:t>, pour l’intervenant le procureur général du Canada.</w:t>
      </w:r>
    </w:p>
    <w:p w:rsidR="00C910FF" w:rsidRDefault="00C910FF" w:rsidP="00C910FF">
      <w:pPr>
        <w:pStyle w:val="SCCNormalDoubleSpacing"/>
        <w:spacing w:line="240" w:lineRule="auto"/>
        <w:rPr>
          <w:rStyle w:val="SCCCounselNameChar"/>
          <w:sz w:val="20"/>
          <w:lang w:val="fr-CA"/>
        </w:rPr>
      </w:pPr>
    </w:p>
    <w:p w:rsidR="00C910FF" w:rsidRPr="002E547E" w:rsidRDefault="00C910FF" w:rsidP="00C910FF">
      <w:pPr>
        <w:pStyle w:val="SCCNormalDoubleSpacing"/>
        <w:spacing w:line="240" w:lineRule="auto"/>
        <w:rPr>
          <w:sz w:val="20"/>
          <w:lang w:val="fr-CA"/>
        </w:rPr>
      </w:pPr>
      <w:r w:rsidRPr="002E547E">
        <w:rPr>
          <w:rStyle w:val="SCCCounselNameChar"/>
          <w:sz w:val="20"/>
          <w:lang w:val="fr-CA"/>
        </w:rPr>
        <w:tab/>
        <w:t>Leslie Paine</w:t>
      </w:r>
      <w:r w:rsidRPr="002E547E">
        <w:rPr>
          <w:rStyle w:val="SCCCounselSeparatorChar"/>
          <w:sz w:val="20"/>
        </w:rPr>
        <w:t xml:space="preserve"> et </w:t>
      </w:r>
      <w:r w:rsidRPr="002E547E">
        <w:rPr>
          <w:rStyle w:val="SCCCounselNameChar"/>
          <w:sz w:val="20"/>
          <w:lang w:val="fr-CA"/>
        </w:rPr>
        <w:t>Michelle Campbell</w:t>
      </w:r>
      <w:r w:rsidRPr="002E547E">
        <w:rPr>
          <w:rStyle w:val="SCCCounselPartyRoleChar"/>
          <w:sz w:val="20"/>
          <w:lang w:val="fr-CA"/>
        </w:rPr>
        <w:t>, pour l’intervenant le procureur général de l’Ontario.</w:t>
      </w:r>
    </w:p>
    <w:p w:rsidR="00C910FF" w:rsidRDefault="00C910FF" w:rsidP="00C910FF">
      <w:pPr>
        <w:pStyle w:val="SCCLawFirm"/>
        <w:spacing w:line="240" w:lineRule="auto"/>
        <w:rPr>
          <w:sz w:val="20"/>
          <w:lang w:val="fr-CA"/>
        </w:rPr>
      </w:pPr>
    </w:p>
    <w:p w:rsidR="00C910FF" w:rsidRPr="002E547E" w:rsidRDefault="00C910FF" w:rsidP="00C910FF">
      <w:pPr>
        <w:pStyle w:val="SCCLawFirm"/>
        <w:spacing w:line="240" w:lineRule="auto"/>
        <w:rPr>
          <w:sz w:val="20"/>
          <w:lang w:val="fr-CA"/>
        </w:rPr>
      </w:pPr>
      <w:r w:rsidRPr="002E547E">
        <w:rPr>
          <w:sz w:val="20"/>
          <w:lang w:val="fr-CA"/>
        </w:rPr>
        <w:tab/>
        <w:t>Procureur de l’appelante : Procureur général du Manitoba, Winnipeg.</w:t>
      </w:r>
    </w:p>
    <w:p w:rsidR="00C910FF" w:rsidRDefault="00C910FF" w:rsidP="00C910FF">
      <w:pPr>
        <w:pStyle w:val="SCCLawFirm"/>
        <w:spacing w:line="240" w:lineRule="auto"/>
        <w:rPr>
          <w:sz w:val="20"/>
          <w:lang w:val="fr-CA"/>
        </w:rPr>
      </w:pPr>
    </w:p>
    <w:p w:rsidR="00C910FF" w:rsidRPr="002E547E" w:rsidRDefault="00C910FF" w:rsidP="00C910FF">
      <w:pPr>
        <w:pStyle w:val="SCCLawFirm"/>
        <w:spacing w:line="240" w:lineRule="auto"/>
        <w:rPr>
          <w:sz w:val="20"/>
          <w:lang w:val="fr-CA"/>
        </w:rPr>
      </w:pPr>
      <w:r w:rsidRPr="002E547E">
        <w:rPr>
          <w:sz w:val="20"/>
          <w:lang w:val="fr-CA"/>
        </w:rPr>
        <w:tab/>
        <w:t>Procureurs de l’intimé : Walsh &amp; Company, Winnipeg; Aide juridique Manitoba, Winnipeg.</w:t>
      </w:r>
    </w:p>
    <w:p w:rsidR="00C910FF" w:rsidRDefault="00C910FF" w:rsidP="00C910FF">
      <w:pPr>
        <w:pStyle w:val="SCCLawFirm"/>
        <w:spacing w:line="240" w:lineRule="auto"/>
        <w:rPr>
          <w:sz w:val="20"/>
          <w:lang w:val="fr-CA"/>
        </w:rPr>
      </w:pPr>
    </w:p>
    <w:p w:rsidR="00C910FF" w:rsidRPr="002E547E" w:rsidRDefault="00C910FF" w:rsidP="00C910FF">
      <w:pPr>
        <w:pStyle w:val="SCCLawFirm"/>
        <w:spacing w:line="240" w:lineRule="auto"/>
        <w:rPr>
          <w:sz w:val="20"/>
          <w:lang w:val="fr-CA"/>
        </w:rPr>
      </w:pPr>
      <w:r w:rsidRPr="002E547E">
        <w:rPr>
          <w:sz w:val="20"/>
          <w:lang w:val="fr-CA"/>
        </w:rPr>
        <w:tab/>
        <w:t>Procureur de l’intervenant le procureur général du Canada : Procureur général du Canada, Ottawa.</w:t>
      </w:r>
    </w:p>
    <w:p w:rsidR="00C910FF" w:rsidRDefault="00C910FF" w:rsidP="00C910FF">
      <w:pPr>
        <w:pStyle w:val="SCCLawFirm"/>
        <w:spacing w:line="240" w:lineRule="auto"/>
        <w:rPr>
          <w:sz w:val="20"/>
          <w:lang w:val="fr-CA"/>
        </w:rPr>
      </w:pPr>
    </w:p>
    <w:p w:rsidR="00C910FF" w:rsidRDefault="00C910FF" w:rsidP="00C910FF">
      <w:pPr>
        <w:pStyle w:val="SCCLawFirm"/>
        <w:spacing w:line="240" w:lineRule="auto"/>
        <w:rPr>
          <w:sz w:val="20"/>
          <w:lang w:val="fr-CA"/>
        </w:rPr>
      </w:pPr>
      <w:r w:rsidRPr="002E547E">
        <w:rPr>
          <w:sz w:val="20"/>
          <w:lang w:val="fr-CA"/>
        </w:rPr>
        <w:tab/>
        <w:t>Procureur de l’intervenant le procureur général de l’Ontario : Procureur général de l’Ontario, Toronto.</w:t>
      </w:r>
    </w:p>
    <w:p w:rsidR="003B3977" w:rsidRPr="00C910FF" w:rsidRDefault="003B3977" w:rsidP="005C6840">
      <w:pPr>
        <w:rPr>
          <w:rFonts w:cs="Times New Roman"/>
          <w:sz w:val="20"/>
          <w:szCs w:val="20"/>
          <w:lang w:val="fr-CA"/>
        </w:rPr>
      </w:pPr>
    </w:p>
    <w:p w:rsidR="005C6840" w:rsidRDefault="00F677DC" w:rsidP="005C6840">
      <w:pPr>
        <w:rPr>
          <w:lang w:val="fr-CA"/>
        </w:rPr>
      </w:pPr>
      <w:r>
        <w:rPr>
          <w:rFonts w:cs="Times New Roman"/>
          <w:sz w:val="20"/>
          <w:szCs w:val="20"/>
          <w:lang w:val="fr-CA"/>
        </w:rPr>
        <w:pict>
          <v:rect id="_x0000_i1106" style="width:144.3pt;height:1pt" o:hrpct="300" o:hralign="center" o:hrstd="t" o:hrnoshade="t" o:hr="t" fillcolor="black [3213]" stroked="f"/>
        </w:pict>
      </w:r>
      <w:r w:rsidR="005C6840">
        <w:rPr>
          <w:lang w:val="fr-CA"/>
        </w:rPr>
        <w:br w:type="page"/>
      </w:r>
    </w:p>
    <w:p w:rsidR="006925EC" w:rsidRPr="00387CE8" w:rsidRDefault="006925EC" w:rsidP="006925EC">
      <w:pPr>
        <w:tabs>
          <w:tab w:val="center" w:pos="4680"/>
        </w:tabs>
        <w:rPr>
          <w:sz w:val="20"/>
          <w:szCs w:val="20"/>
        </w:rPr>
      </w:pPr>
      <w:r w:rsidRPr="00387CE8">
        <w:rPr>
          <w:i/>
          <w:sz w:val="20"/>
          <w:szCs w:val="20"/>
        </w:rPr>
        <w:lastRenderedPageBreak/>
        <w:t>Estate of the Late Zahra (Ziba) Kazemi et al. v. Islamic Republic of Iran et al.</w:t>
      </w:r>
      <w:r w:rsidRPr="00387CE8">
        <w:rPr>
          <w:sz w:val="20"/>
          <w:szCs w:val="20"/>
        </w:rPr>
        <w:t xml:space="preserve"> (Que.) (</w:t>
      </w:r>
      <w:hyperlink r:id="rId88" w:history="1">
        <w:r w:rsidRPr="00387CE8">
          <w:rPr>
            <w:rStyle w:val="Hyperlink"/>
            <w:sz w:val="20"/>
            <w:szCs w:val="20"/>
          </w:rPr>
          <w:t>35034</w:t>
        </w:r>
      </w:hyperlink>
      <w:r w:rsidRPr="00387CE8">
        <w:rPr>
          <w:sz w:val="20"/>
          <w:szCs w:val="20"/>
        </w:rPr>
        <w:t>)</w:t>
      </w:r>
    </w:p>
    <w:p w:rsidR="00DA7379" w:rsidRDefault="00DA7379" w:rsidP="00DA7379">
      <w:pPr>
        <w:jc w:val="both"/>
        <w:rPr>
          <w:rStyle w:val="SCCRespondentForIndexChar"/>
          <w:rFonts w:eastAsiaTheme="minorHAnsi"/>
          <w:sz w:val="20"/>
          <w:lang w:val="fr-CA"/>
        </w:rPr>
      </w:pPr>
      <w:r w:rsidRPr="00DA7379">
        <w:rPr>
          <w:b/>
          <w:sz w:val="20"/>
          <w:szCs w:val="20"/>
          <w:lang w:val="fr-CA"/>
        </w:rPr>
        <w:t xml:space="preserve">Indexed as:  Kazemi Estate </w:t>
      </w:r>
      <w:r w:rsidRPr="00DA7379">
        <w:rPr>
          <w:b/>
          <w:i/>
          <w:sz w:val="20"/>
          <w:szCs w:val="20"/>
          <w:lang w:val="fr-CA"/>
        </w:rPr>
        <w:t>v.</w:t>
      </w:r>
      <w:r w:rsidRPr="00DA7379">
        <w:rPr>
          <w:b/>
          <w:sz w:val="20"/>
          <w:szCs w:val="20"/>
          <w:lang w:val="fr-CA"/>
        </w:rPr>
        <w:t xml:space="preserve"> </w:t>
      </w:r>
      <w:r w:rsidRPr="00DA7379">
        <w:rPr>
          <w:rStyle w:val="SCCRespondentForIndexChar"/>
          <w:rFonts w:eastAsiaTheme="minorHAnsi"/>
          <w:sz w:val="20"/>
          <w:lang w:val="fr-CA"/>
        </w:rPr>
        <w:t xml:space="preserve">Islamic Republic of Iran / </w:t>
      </w:r>
    </w:p>
    <w:p w:rsidR="00DA7379" w:rsidRPr="00DA7379" w:rsidRDefault="00DA7379" w:rsidP="00DA7379">
      <w:pPr>
        <w:jc w:val="both"/>
        <w:rPr>
          <w:b/>
          <w:sz w:val="20"/>
          <w:szCs w:val="20"/>
          <w:lang w:val="fr-CA"/>
        </w:rPr>
      </w:pPr>
      <w:r w:rsidRPr="00873676">
        <w:rPr>
          <w:b/>
          <w:sz w:val="20"/>
          <w:szCs w:val="20"/>
          <w:lang w:val="fr-CA"/>
        </w:rPr>
        <w:t xml:space="preserve">Répertorié : Kazemi (Succession) </w:t>
      </w:r>
      <w:r w:rsidRPr="00873676">
        <w:rPr>
          <w:b/>
          <w:i/>
          <w:sz w:val="20"/>
          <w:szCs w:val="20"/>
          <w:lang w:val="fr-CA"/>
        </w:rPr>
        <w:t>c.</w:t>
      </w:r>
      <w:r w:rsidRPr="00873676">
        <w:rPr>
          <w:b/>
          <w:sz w:val="20"/>
          <w:szCs w:val="20"/>
          <w:lang w:val="fr-CA"/>
        </w:rPr>
        <w:t xml:space="preserve"> République islamique d’Iran</w:t>
      </w:r>
    </w:p>
    <w:p w:rsidR="0052229C" w:rsidRPr="00AE41EE" w:rsidRDefault="0052229C" w:rsidP="0052229C">
      <w:pPr>
        <w:pStyle w:val="SCCSystemYear"/>
        <w:jc w:val="both"/>
        <w:rPr>
          <w:sz w:val="20"/>
        </w:rPr>
      </w:pPr>
      <w:r w:rsidRPr="00AE41EE">
        <w:rPr>
          <w:sz w:val="20"/>
        </w:rPr>
        <w:t>Neutral citation:  2014 SCC </w:t>
      </w:r>
      <w:r w:rsidR="006925EC" w:rsidRPr="00AE41EE">
        <w:rPr>
          <w:sz w:val="20"/>
        </w:rPr>
        <w:t>62</w:t>
      </w:r>
      <w:r w:rsidRPr="00AE41EE">
        <w:rPr>
          <w:sz w:val="20"/>
        </w:rPr>
        <w:t xml:space="preserve"> / Référence neutre : 2014 CSC </w:t>
      </w:r>
      <w:r w:rsidR="006925EC" w:rsidRPr="00AE41EE">
        <w:rPr>
          <w:sz w:val="20"/>
        </w:rPr>
        <w:t>62</w:t>
      </w:r>
    </w:p>
    <w:p w:rsidR="0052229C" w:rsidRPr="00F914F5" w:rsidRDefault="0052229C" w:rsidP="0052229C">
      <w:pPr>
        <w:rPr>
          <w:sz w:val="20"/>
          <w:szCs w:val="20"/>
          <w:lang w:val="fr-CA"/>
        </w:rPr>
      </w:pPr>
      <w:r w:rsidRPr="00F914F5">
        <w:rPr>
          <w:sz w:val="20"/>
          <w:szCs w:val="20"/>
          <w:lang w:val="fr-CA"/>
        </w:rPr>
        <w:t>Hearing:  Ma</w:t>
      </w:r>
      <w:r w:rsidR="00DA7379">
        <w:rPr>
          <w:sz w:val="20"/>
          <w:szCs w:val="20"/>
          <w:lang w:val="fr-CA"/>
        </w:rPr>
        <w:t>rch</w:t>
      </w:r>
      <w:r w:rsidRPr="00F914F5">
        <w:rPr>
          <w:sz w:val="20"/>
          <w:szCs w:val="20"/>
          <w:lang w:val="fr-CA"/>
        </w:rPr>
        <w:t xml:space="preserve"> </w:t>
      </w:r>
      <w:r w:rsidR="00DA7379">
        <w:rPr>
          <w:sz w:val="20"/>
          <w:szCs w:val="20"/>
          <w:lang w:val="fr-CA"/>
        </w:rPr>
        <w:t>18</w:t>
      </w:r>
      <w:r w:rsidRPr="00F914F5">
        <w:rPr>
          <w:sz w:val="20"/>
          <w:szCs w:val="20"/>
          <w:lang w:val="fr-CA"/>
        </w:rPr>
        <w:t>, 201</w:t>
      </w:r>
      <w:r w:rsidR="00DA7379">
        <w:rPr>
          <w:sz w:val="20"/>
          <w:szCs w:val="20"/>
          <w:lang w:val="fr-CA"/>
        </w:rPr>
        <w:t>4</w:t>
      </w:r>
      <w:r w:rsidRPr="00F914F5">
        <w:rPr>
          <w:sz w:val="20"/>
          <w:szCs w:val="20"/>
          <w:lang w:val="fr-CA"/>
        </w:rPr>
        <w:t xml:space="preserve"> / Judgment:  </w:t>
      </w:r>
      <w:r w:rsidR="006925EC" w:rsidRPr="00F914F5">
        <w:rPr>
          <w:sz w:val="20"/>
          <w:szCs w:val="20"/>
          <w:lang w:val="fr-CA"/>
        </w:rPr>
        <w:t>Octobe</w:t>
      </w:r>
      <w:r w:rsidRPr="00F914F5">
        <w:rPr>
          <w:sz w:val="20"/>
          <w:szCs w:val="20"/>
          <w:lang w:val="fr-CA"/>
        </w:rPr>
        <w:t>r 1</w:t>
      </w:r>
      <w:r w:rsidR="006925EC" w:rsidRPr="00F914F5">
        <w:rPr>
          <w:sz w:val="20"/>
          <w:szCs w:val="20"/>
          <w:lang w:val="fr-CA"/>
        </w:rPr>
        <w:t>0</w:t>
      </w:r>
      <w:r w:rsidRPr="00F914F5">
        <w:rPr>
          <w:sz w:val="20"/>
          <w:szCs w:val="20"/>
          <w:lang w:val="fr-CA"/>
        </w:rPr>
        <w:t>, 2014</w:t>
      </w:r>
    </w:p>
    <w:p w:rsidR="0052229C" w:rsidRPr="00F914F5" w:rsidRDefault="0052229C" w:rsidP="0052229C">
      <w:pPr>
        <w:rPr>
          <w:sz w:val="20"/>
          <w:szCs w:val="20"/>
          <w:lang w:val="fr-CA"/>
        </w:rPr>
      </w:pPr>
      <w:r w:rsidRPr="00F914F5">
        <w:rPr>
          <w:sz w:val="20"/>
          <w:szCs w:val="20"/>
          <w:lang w:val="fr-CA"/>
        </w:rPr>
        <w:t xml:space="preserve">Audition : Le </w:t>
      </w:r>
      <w:r w:rsidR="00DA7379">
        <w:rPr>
          <w:sz w:val="20"/>
          <w:szCs w:val="20"/>
          <w:lang w:val="fr-CA"/>
        </w:rPr>
        <w:t>18</w:t>
      </w:r>
      <w:r w:rsidRPr="00F914F5">
        <w:rPr>
          <w:sz w:val="20"/>
          <w:szCs w:val="20"/>
          <w:lang w:val="fr-CA"/>
        </w:rPr>
        <w:t xml:space="preserve"> ma</w:t>
      </w:r>
      <w:r w:rsidR="00DA7379">
        <w:rPr>
          <w:sz w:val="20"/>
          <w:szCs w:val="20"/>
          <w:lang w:val="fr-CA"/>
        </w:rPr>
        <w:t>rs</w:t>
      </w:r>
      <w:r w:rsidRPr="00F914F5">
        <w:rPr>
          <w:sz w:val="20"/>
          <w:szCs w:val="20"/>
          <w:lang w:val="fr-CA"/>
        </w:rPr>
        <w:t xml:space="preserve"> 201</w:t>
      </w:r>
      <w:r w:rsidR="00DA7379">
        <w:rPr>
          <w:sz w:val="20"/>
          <w:szCs w:val="20"/>
          <w:lang w:val="fr-CA"/>
        </w:rPr>
        <w:t>4</w:t>
      </w:r>
      <w:r w:rsidRPr="00F914F5">
        <w:rPr>
          <w:sz w:val="20"/>
          <w:szCs w:val="20"/>
          <w:lang w:val="fr-CA"/>
        </w:rPr>
        <w:t xml:space="preserve"> / Jugement : Le 1</w:t>
      </w:r>
      <w:r w:rsidR="006925EC" w:rsidRPr="00F914F5">
        <w:rPr>
          <w:sz w:val="20"/>
          <w:szCs w:val="20"/>
          <w:lang w:val="fr-CA"/>
        </w:rPr>
        <w:t>0</w:t>
      </w:r>
      <w:r w:rsidRPr="00F914F5">
        <w:rPr>
          <w:sz w:val="20"/>
          <w:szCs w:val="20"/>
          <w:lang w:val="fr-CA"/>
        </w:rPr>
        <w:t xml:space="preserve"> </w:t>
      </w:r>
      <w:r w:rsidR="006925EC" w:rsidRPr="00F914F5">
        <w:rPr>
          <w:sz w:val="20"/>
          <w:szCs w:val="20"/>
          <w:lang w:val="fr-CA"/>
        </w:rPr>
        <w:t>octob</w:t>
      </w:r>
      <w:r w:rsidRPr="00F914F5">
        <w:rPr>
          <w:sz w:val="20"/>
          <w:szCs w:val="20"/>
          <w:lang w:val="fr-CA"/>
        </w:rPr>
        <w:t>r</w:t>
      </w:r>
      <w:r w:rsidR="006925EC" w:rsidRPr="00F914F5">
        <w:rPr>
          <w:sz w:val="20"/>
          <w:szCs w:val="20"/>
          <w:lang w:val="fr-CA"/>
        </w:rPr>
        <w:t>e</w:t>
      </w:r>
      <w:r w:rsidRPr="00F914F5">
        <w:rPr>
          <w:sz w:val="20"/>
          <w:szCs w:val="20"/>
          <w:lang w:val="fr-CA"/>
        </w:rPr>
        <w:t xml:space="preserve"> 2014</w:t>
      </w:r>
    </w:p>
    <w:p w:rsidR="005C6840" w:rsidRPr="003B3977" w:rsidRDefault="00F677DC" w:rsidP="005C6840">
      <w:pPr>
        <w:rPr>
          <w:sz w:val="20"/>
          <w:szCs w:val="20"/>
          <w:lang w:val="fr-CA"/>
        </w:rPr>
      </w:pPr>
      <w:r>
        <w:rPr>
          <w:i/>
          <w:sz w:val="20"/>
          <w:szCs w:val="20"/>
        </w:rPr>
        <w:pict>
          <v:rect id="_x0000_i1107"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8927CA" w:rsidRPr="00EB034A" w:rsidRDefault="008927CA" w:rsidP="008927CA">
      <w:pPr>
        <w:jc w:val="both"/>
        <w:rPr>
          <w:sz w:val="20"/>
        </w:rPr>
      </w:pPr>
      <w:r w:rsidRPr="00EB034A">
        <w:rPr>
          <w:sz w:val="20"/>
        </w:rPr>
        <w:t>Present:  McLachlin C.J. and LeBel, Abella, Rothstein, Cromwell, Moldaver and Karakatsanis JJ.</w:t>
      </w:r>
    </w:p>
    <w:p w:rsidR="008927CA" w:rsidRDefault="008927CA" w:rsidP="008927CA">
      <w:pPr>
        <w:pStyle w:val="SCCNormalDoubleSpacing"/>
        <w:spacing w:line="240" w:lineRule="auto"/>
        <w:rPr>
          <w:sz w:val="20"/>
          <w:lang w:val="en-US"/>
        </w:rPr>
      </w:pPr>
    </w:p>
    <w:p w:rsidR="008927CA" w:rsidRPr="00EB034A" w:rsidRDefault="008927CA" w:rsidP="008927CA">
      <w:pPr>
        <w:pStyle w:val="SCCNormalDoubleSpacing"/>
        <w:spacing w:line="240" w:lineRule="auto"/>
        <w:rPr>
          <w:i/>
          <w:sz w:val="20"/>
          <w:lang w:val="en-US"/>
        </w:rPr>
      </w:pPr>
      <w:r w:rsidRPr="00EB034A">
        <w:rPr>
          <w:sz w:val="20"/>
          <w:lang w:val="en-US"/>
        </w:rPr>
        <w:tab/>
      </w:r>
      <w:r w:rsidRPr="00EB034A">
        <w:rPr>
          <w:i/>
          <w:sz w:val="20"/>
          <w:lang w:val="en-US"/>
        </w:rPr>
        <w:t>Public International Law — Sovereign immunity — Civil proceedings initiated in Quebec against Iran, Iranian head of state and two state officials in relation to alleged torture and death of Canadian citizen in Iran — Whether proceedings are barred, in whole or in part, by application of State Immunity Act — Whether international law requires State Immunity Act to be interpreted to include exception in cases of torture — Whether immunity extends to foreign public officials acting in their official capacity — Whether torture may constitute an official act of a state — State Immunity Act, R.S.C., 1985, c. S</w:t>
      </w:r>
      <w:r w:rsidRPr="00EB034A">
        <w:rPr>
          <w:i/>
          <w:sz w:val="20"/>
          <w:lang w:val="en-US"/>
        </w:rPr>
        <w:noBreakHyphen/>
        <w:t>18, s. 3(1)</w:t>
      </w:r>
    </w:p>
    <w:p w:rsidR="008927CA" w:rsidRDefault="008927CA" w:rsidP="008927CA">
      <w:pPr>
        <w:pStyle w:val="SCCNormalDoubleSpacing"/>
        <w:spacing w:line="240" w:lineRule="auto"/>
        <w:rPr>
          <w:i/>
          <w:sz w:val="20"/>
          <w:lang w:val="en-US"/>
        </w:rPr>
      </w:pPr>
    </w:p>
    <w:p w:rsidR="008927CA" w:rsidRPr="00EB034A" w:rsidRDefault="008927CA" w:rsidP="008927CA">
      <w:pPr>
        <w:pStyle w:val="SCCNormalDoubleSpacing"/>
        <w:spacing w:line="240" w:lineRule="auto"/>
        <w:rPr>
          <w:i/>
          <w:sz w:val="20"/>
          <w:lang w:val="en-US"/>
        </w:rPr>
      </w:pPr>
      <w:r w:rsidRPr="00EB034A">
        <w:rPr>
          <w:i/>
          <w:sz w:val="20"/>
          <w:lang w:val="en-US"/>
        </w:rPr>
        <w:tab/>
        <w:t>Constitutional law — Charter of Rights — Bill of Rights — Right to security of person — Right to a fair hearing — Sovereign immunity — Civil proceedings initiated in Quebec against Iran, Iranian head of state and two state officials in relation to alleged torture and death of Canadian citizen in Iran — Proceedings barred by application of s. 3(1) of State Immunity Act — Whether s. 3(1) of State Immunity Act inconsistent with s. 2(e) of Bill of Rights or infringes s. 7 of Charter —</w:t>
      </w:r>
      <w:r w:rsidRPr="00EB034A">
        <w:rPr>
          <w:sz w:val="20"/>
          <w:lang w:val="en-US"/>
        </w:rPr>
        <w:t xml:space="preserve"> </w:t>
      </w:r>
      <w:r w:rsidRPr="00EB034A">
        <w:rPr>
          <w:i/>
          <w:sz w:val="20"/>
          <w:lang w:val="en-US"/>
        </w:rPr>
        <w:t>State Immunity Act, R.S.C., 1985, c. S</w:t>
      </w:r>
      <w:r w:rsidRPr="00EB034A">
        <w:rPr>
          <w:i/>
          <w:sz w:val="20"/>
          <w:lang w:val="en-US"/>
        </w:rPr>
        <w:noBreakHyphen/>
        <w:t>18, s. 3(1) — Canadian Bill of Rights, R.S.C. 1985, App. III, s. 2(e) — Charter of Rights and Freedoms, s. 7</w:t>
      </w:r>
    </w:p>
    <w:p w:rsidR="008927CA" w:rsidRDefault="008927CA" w:rsidP="008927CA">
      <w:pPr>
        <w:pStyle w:val="SCCNormalDoubleSpacing"/>
        <w:spacing w:line="240" w:lineRule="auto"/>
        <w:rPr>
          <w:sz w:val="20"/>
          <w:lang w:val="en-US"/>
        </w:rPr>
      </w:pPr>
    </w:p>
    <w:p w:rsidR="008927CA" w:rsidRPr="00EB034A" w:rsidRDefault="008927CA" w:rsidP="008927CA">
      <w:pPr>
        <w:pStyle w:val="SCCNormalDoubleSpacing"/>
        <w:spacing w:line="240" w:lineRule="auto"/>
        <w:rPr>
          <w:sz w:val="20"/>
          <w:lang w:val="en-US"/>
        </w:rPr>
      </w:pPr>
      <w:r w:rsidRPr="00EB034A">
        <w:rPr>
          <w:sz w:val="20"/>
          <w:lang w:val="en-US"/>
        </w:rPr>
        <w:tab/>
        <w:t>K, a Canadian citizen, visited Iran in 2003 as a freelance photographer and journalist. She was arrested, detained and interrogated by Iranian authorities. During her detention, she was beaten, sexually assaulted and tortured. She later died as the result of a brain injury sustained while in the custody of Iranian officials. Despite requests made by K’s son, H, that her remains be sent to Canada for burial, she was buried in Iran. Although a report commissioned by the Iranian government linked members of the judiciary and the Office of the Prosecutor to K’s torture, only one individual was tried. That person was acquitted following a trial marked by a lack of transparency. In short, it was impossible for K and her family to obtain justice in Iran.</w:t>
      </w:r>
    </w:p>
    <w:p w:rsidR="008927CA" w:rsidRDefault="008927CA" w:rsidP="008927CA">
      <w:pPr>
        <w:pStyle w:val="SCCNormalDoubleSpacing"/>
        <w:spacing w:line="240" w:lineRule="auto"/>
        <w:rPr>
          <w:sz w:val="20"/>
          <w:lang w:val="en-US"/>
        </w:rPr>
      </w:pPr>
    </w:p>
    <w:p w:rsidR="008927CA" w:rsidRPr="00EB034A" w:rsidRDefault="008927CA" w:rsidP="008927CA">
      <w:pPr>
        <w:pStyle w:val="SCCNormalDoubleSpacing"/>
        <w:spacing w:line="240" w:lineRule="auto"/>
        <w:rPr>
          <w:sz w:val="20"/>
          <w:lang w:val="en-US"/>
        </w:rPr>
      </w:pPr>
      <w:r w:rsidRPr="00EB034A">
        <w:rPr>
          <w:sz w:val="20"/>
          <w:lang w:val="en-US"/>
        </w:rPr>
        <w:tab/>
        <w:t xml:space="preserve">In 2006, H instituted civil proceedings in Quebec seeking damages on behalf of himself and his mother’s estate against the Islamic Republic of Iran, its head of state, the Chief Public Prosecutor of Tehran and the former Deputy Chief of Intelligence of the prison where K was detained and tortured. H sought damages on behalf of K’s estate for her physical, psychological, and emotional pain and suffering as well as damages for the psychological and emotional prejudice that he sustained as the result of the loss of his mother. Both H and the estate also sought punitive damages. The Iranian defendants brought a motion in Quebec Superior Court to dismiss the action on the basis of state immunity. In response, H and K’s estate raised certain exceptions provided in the </w:t>
      </w:r>
      <w:r w:rsidRPr="00EB034A">
        <w:rPr>
          <w:i/>
          <w:sz w:val="20"/>
          <w:lang w:val="en-US"/>
        </w:rPr>
        <w:t>State Immunity Act</w:t>
      </w:r>
      <w:r w:rsidRPr="00EB034A">
        <w:rPr>
          <w:sz w:val="20"/>
          <w:lang w:val="en-US"/>
        </w:rPr>
        <w:t xml:space="preserve"> (“</w:t>
      </w:r>
      <w:r w:rsidRPr="00EB034A">
        <w:rPr>
          <w:i/>
          <w:sz w:val="20"/>
          <w:lang w:val="en-US"/>
        </w:rPr>
        <w:t>SIA</w:t>
      </w:r>
      <w:r w:rsidRPr="00EB034A">
        <w:rPr>
          <w:sz w:val="20"/>
          <w:lang w:val="en-US"/>
        </w:rPr>
        <w:t>”), and challenged the constitutionality of certain provisions of that Act.</w:t>
      </w:r>
    </w:p>
    <w:p w:rsidR="008927CA" w:rsidRDefault="008927CA" w:rsidP="008927CA">
      <w:pPr>
        <w:pStyle w:val="SCCNormalDoubleSpacing"/>
        <w:spacing w:line="240" w:lineRule="auto"/>
        <w:rPr>
          <w:sz w:val="20"/>
          <w:lang w:val="en-US"/>
        </w:rPr>
      </w:pPr>
    </w:p>
    <w:p w:rsidR="008927CA" w:rsidRPr="00EB034A" w:rsidRDefault="008927CA" w:rsidP="008927CA">
      <w:pPr>
        <w:pStyle w:val="SCCNormalDoubleSpacing"/>
        <w:spacing w:line="240" w:lineRule="auto"/>
        <w:rPr>
          <w:sz w:val="20"/>
          <w:lang w:val="en-US"/>
        </w:rPr>
      </w:pPr>
      <w:r w:rsidRPr="00EB034A">
        <w:rPr>
          <w:sz w:val="20"/>
          <w:lang w:val="en-US"/>
        </w:rPr>
        <w:tab/>
        <w:t xml:space="preserve">The Quebec Superior Court dismissed the constitutional challenge to the </w:t>
      </w:r>
      <w:r w:rsidRPr="00EB034A">
        <w:rPr>
          <w:i/>
          <w:sz w:val="20"/>
          <w:lang w:val="en-US"/>
        </w:rPr>
        <w:t>SIA</w:t>
      </w:r>
      <w:r w:rsidRPr="00EB034A">
        <w:rPr>
          <w:sz w:val="20"/>
          <w:lang w:val="en-US"/>
        </w:rPr>
        <w:t xml:space="preserve">, allowed the defendants’ motion to dismiss the action with respect to the claim brought by K’s estate but dismissed the motion with respect to the recourse sought by H personally. The court held that the </w:t>
      </w:r>
      <w:r w:rsidRPr="00EB034A">
        <w:rPr>
          <w:i/>
          <w:sz w:val="20"/>
          <w:lang w:val="en-US"/>
        </w:rPr>
        <w:t>SIA</w:t>
      </w:r>
      <w:r w:rsidRPr="00EB034A">
        <w:rPr>
          <w:sz w:val="20"/>
          <w:lang w:val="en-US"/>
        </w:rPr>
        <w:t xml:space="preserve"> exhaustively captures the law of state immunity and that there are no unwritten exceptions to state immunity at common law, in international law, or in international treaties that would allow the claims to proceed. However, it found that H’s personal action could potentially fall within a statutory exception to state immunity applicable to proceedings relating to personal injury that occurs in Canada. The Quebec Court of Appeal dismissed the estate’s appeal and allowed the Iranian defendants’ appeal with respect to H’s claim.  </w:t>
      </w:r>
    </w:p>
    <w:p w:rsidR="008927CA" w:rsidRDefault="008927CA" w:rsidP="008927CA">
      <w:pPr>
        <w:pStyle w:val="SCCNormalDoubleSpacing"/>
        <w:spacing w:line="240" w:lineRule="auto"/>
        <w:rPr>
          <w:sz w:val="20"/>
          <w:lang w:val="en-US"/>
        </w:rPr>
      </w:pPr>
    </w:p>
    <w:p w:rsidR="008927CA" w:rsidRPr="00EB034A" w:rsidRDefault="008927CA" w:rsidP="008927CA">
      <w:pPr>
        <w:pStyle w:val="SCCNormalDoubleSpacing"/>
        <w:spacing w:line="240" w:lineRule="auto"/>
        <w:rPr>
          <w:sz w:val="20"/>
        </w:rPr>
      </w:pPr>
      <w:r w:rsidRPr="00EB034A">
        <w:rPr>
          <w:sz w:val="20"/>
          <w:lang w:val="en-US"/>
        </w:rPr>
        <w:tab/>
        <w:t xml:space="preserve">At issue in this appeal is whether the Islamic Republic of Iran, its head of state and the individuals who allegedly detained, tortured and killed K in Iran are entitled to immunity by operation of the </w:t>
      </w:r>
      <w:r w:rsidRPr="00EB034A">
        <w:rPr>
          <w:i/>
          <w:sz w:val="20"/>
          <w:lang w:val="en-US"/>
        </w:rPr>
        <w:t>SIA</w:t>
      </w:r>
      <w:r w:rsidRPr="00EB034A">
        <w:rPr>
          <w:sz w:val="20"/>
          <w:lang w:val="en-US"/>
        </w:rPr>
        <w:t xml:space="preserve">. The resolution of that issue rests on the scope of the </w:t>
      </w:r>
      <w:r w:rsidRPr="00EB034A">
        <w:rPr>
          <w:i/>
          <w:sz w:val="20"/>
          <w:lang w:val="en-US"/>
        </w:rPr>
        <w:t>SIA</w:t>
      </w:r>
      <w:r w:rsidRPr="00EB034A">
        <w:rPr>
          <w:sz w:val="20"/>
          <w:lang w:val="en-US"/>
        </w:rPr>
        <w:t xml:space="preserve">, the impact that the evolution of international law since the </w:t>
      </w:r>
      <w:r w:rsidRPr="00EB034A">
        <w:rPr>
          <w:i/>
          <w:sz w:val="20"/>
          <w:lang w:val="en-US"/>
        </w:rPr>
        <w:t>SIA</w:t>
      </w:r>
      <w:r w:rsidRPr="00EB034A">
        <w:rPr>
          <w:sz w:val="20"/>
          <w:lang w:val="en-US"/>
        </w:rPr>
        <w:t xml:space="preserve">’s adoption might have on its interpretation, and whether the Act is constitutional. An overarching question, which permeates almost all aspects of this appeal, is whether international law has created a mandatory universal civil jurisdiction in respect of claims of torture, which would require Canada to open its courts to the claims of victims of acts of torture that were </w:t>
      </w:r>
      <w:r w:rsidRPr="00EB034A">
        <w:rPr>
          <w:sz w:val="20"/>
          <w:lang w:val="en-US"/>
        </w:rPr>
        <w:lastRenderedPageBreak/>
        <w:t>committed abroad. Moreover, this Court is asked to determine whether torture may constitute an official act of a state and whether public officials having committed acts of torture can benefit from immunity.</w:t>
      </w:r>
    </w:p>
    <w:p w:rsidR="008927CA" w:rsidRDefault="008927CA" w:rsidP="008927CA">
      <w:pPr>
        <w:pStyle w:val="SCCNormalDoubleSpacing"/>
        <w:spacing w:line="240" w:lineRule="auto"/>
        <w:rPr>
          <w:sz w:val="20"/>
        </w:rPr>
      </w:pPr>
    </w:p>
    <w:p w:rsidR="008927CA" w:rsidRPr="00EB034A" w:rsidRDefault="008927CA" w:rsidP="008927CA">
      <w:pPr>
        <w:pStyle w:val="SCCNormalDoubleSpacing"/>
        <w:spacing w:line="240" w:lineRule="auto"/>
        <w:rPr>
          <w:sz w:val="20"/>
        </w:rPr>
      </w:pPr>
      <w:r w:rsidRPr="00EB034A">
        <w:rPr>
          <w:sz w:val="20"/>
        </w:rPr>
        <w:tab/>
      </w:r>
      <w:r w:rsidRPr="00EB034A">
        <w:rPr>
          <w:i/>
          <w:sz w:val="20"/>
          <w:lang w:val="en-US"/>
        </w:rPr>
        <w:t>Held</w:t>
      </w:r>
      <w:r w:rsidRPr="00EB034A">
        <w:rPr>
          <w:sz w:val="20"/>
          <w:lang w:val="en-US"/>
        </w:rPr>
        <w:t xml:space="preserve"> (Abella J. dissenting): The appeal should be dismissed.</w:t>
      </w:r>
    </w:p>
    <w:p w:rsidR="008927CA" w:rsidRDefault="008927CA" w:rsidP="008927CA">
      <w:pPr>
        <w:pStyle w:val="SCCNormalDoubleSpacing"/>
        <w:spacing w:line="240" w:lineRule="auto"/>
        <w:rPr>
          <w:sz w:val="20"/>
        </w:rPr>
      </w:pPr>
    </w:p>
    <w:p w:rsidR="008927CA" w:rsidRPr="00EB034A" w:rsidRDefault="008927CA" w:rsidP="008927CA">
      <w:pPr>
        <w:pStyle w:val="SCCNormalDoubleSpacing"/>
        <w:spacing w:line="240" w:lineRule="auto"/>
        <w:rPr>
          <w:sz w:val="20"/>
          <w:lang w:val="en-US"/>
        </w:rPr>
      </w:pPr>
      <w:r w:rsidRPr="00EB034A">
        <w:rPr>
          <w:sz w:val="20"/>
        </w:rPr>
        <w:tab/>
      </w:r>
      <w:r w:rsidRPr="00EB034A">
        <w:rPr>
          <w:i/>
          <w:sz w:val="20"/>
          <w:lang w:val="en-US"/>
        </w:rPr>
        <w:t>Per</w:t>
      </w:r>
      <w:r w:rsidRPr="00EB034A">
        <w:rPr>
          <w:sz w:val="20"/>
          <w:lang w:val="en-US"/>
        </w:rPr>
        <w:t xml:space="preserve"> McLachlin C.J. and </w:t>
      </w:r>
      <w:r w:rsidRPr="00EB034A">
        <w:rPr>
          <w:b/>
          <w:sz w:val="20"/>
          <w:lang w:val="en-US"/>
        </w:rPr>
        <w:t>LeBel</w:t>
      </w:r>
      <w:r w:rsidRPr="00EB034A">
        <w:rPr>
          <w:sz w:val="20"/>
          <w:lang w:val="en-US"/>
        </w:rPr>
        <w:t>, Rothstein, Cromwell, Moldaver and Karakatsanis JJ.: Neither H nor K’s estate may avail themselves of a Canadian court in order to sue Iran or its functionaries for the torture that K endured. Furthermore, the challenges brought by the appellants based on s. 2(</w:t>
      </w:r>
      <w:r w:rsidRPr="00EB034A">
        <w:rPr>
          <w:i/>
          <w:sz w:val="20"/>
          <w:lang w:val="en-US"/>
        </w:rPr>
        <w:t>e</w:t>
      </w:r>
      <w:r w:rsidRPr="00EB034A">
        <w:rPr>
          <w:sz w:val="20"/>
          <w:lang w:val="en-US"/>
        </w:rPr>
        <w:t xml:space="preserve">) of the </w:t>
      </w:r>
      <w:r w:rsidRPr="00EB034A">
        <w:rPr>
          <w:i/>
          <w:sz w:val="20"/>
          <w:lang w:val="en-US"/>
        </w:rPr>
        <w:t>Canadian Bill of Rights</w:t>
      </w:r>
      <w:r w:rsidRPr="00EB034A">
        <w:rPr>
          <w:sz w:val="20"/>
          <w:lang w:val="en-US"/>
        </w:rPr>
        <w:t xml:space="preserve"> and s. 7 of the </w:t>
      </w:r>
      <w:r w:rsidRPr="00EB034A">
        <w:rPr>
          <w:i/>
          <w:sz w:val="20"/>
          <w:lang w:val="en-US"/>
        </w:rPr>
        <w:t>Charter</w:t>
      </w:r>
      <w:r w:rsidRPr="00EB034A">
        <w:rPr>
          <w:sz w:val="20"/>
          <w:lang w:val="en-US"/>
        </w:rPr>
        <w:t xml:space="preserve"> should be dismissed.</w:t>
      </w:r>
    </w:p>
    <w:p w:rsidR="008927CA" w:rsidRDefault="008927CA" w:rsidP="008927CA">
      <w:pPr>
        <w:pStyle w:val="SCCNormalDoubleSpacing"/>
        <w:spacing w:line="240" w:lineRule="auto"/>
        <w:rPr>
          <w:sz w:val="20"/>
          <w:lang w:val="en-US"/>
        </w:rPr>
      </w:pPr>
    </w:p>
    <w:p w:rsidR="008927CA" w:rsidRPr="00EB034A" w:rsidRDefault="008927CA" w:rsidP="008927CA">
      <w:pPr>
        <w:pStyle w:val="SCCNormalDoubleSpacing"/>
        <w:spacing w:line="240" w:lineRule="auto"/>
        <w:rPr>
          <w:sz w:val="20"/>
          <w:lang w:val="en-US"/>
        </w:rPr>
      </w:pPr>
      <w:r w:rsidRPr="00EB034A">
        <w:rPr>
          <w:sz w:val="20"/>
          <w:lang w:val="en-US"/>
        </w:rPr>
        <w:tab/>
        <w:t xml:space="preserve">State immunity is not solely a rule of international law, it also reflects domestic choices made for policy reasons, particularly in matters of international relations. Canada’s commitment to the universal prohibition of torture is strong. However, Parliament has made a choice to give priority to a foreign state’s immunity over civil redress for citizens who have been tortured abroad. That policy choice is not a comment about the evils of torture, but rather an indication of what principles Parliament has chosen to promote. </w:t>
      </w:r>
    </w:p>
    <w:p w:rsidR="008927CA" w:rsidRDefault="008927CA" w:rsidP="008927CA">
      <w:pPr>
        <w:pStyle w:val="SCCNormalDoubleSpacing"/>
        <w:spacing w:line="240" w:lineRule="auto"/>
        <w:rPr>
          <w:sz w:val="20"/>
          <w:lang w:val="en-US"/>
        </w:rPr>
      </w:pPr>
    </w:p>
    <w:p w:rsidR="008927CA" w:rsidRPr="00EB034A" w:rsidRDefault="008927CA" w:rsidP="008927CA">
      <w:pPr>
        <w:pStyle w:val="SCCNormalDoubleSpacing"/>
        <w:spacing w:line="240" w:lineRule="auto"/>
        <w:rPr>
          <w:sz w:val="20"/>
          <w:lang w:val="en-US"/>
        </w:rPr>
      </w:pPr>
      <w:r w:rsidRPr="00EB034A">
        <w:rPr>
          <w:sz w:val="20"/>
          <w:lang w:val="en-US"/>
        </w:rPr>
        <w:tab/>
        <w:t xml:space="preserve">In Canada, state immunity from civil suits is codified in the </w:t>
      </w:r>
      <w:r w:rsidRPr="00EB034A">
        <w:rPr>
          <w:i/>
          <w:sz w:val="20"/>
          <w:lang w:val="en-US"/>
        </w:rPr>
        <w:t>SIA</w:t>
      </w:r>
      <w:r w:rsidRPr="00EB034A">
        <w:rPr>
          <w:sz w:val="20"/>
          <w:lang w:val="en-US"/>
        </w:rPr>
        <w:t xml:space="preserve">. That Act is a complete codification of Canadian law as it relates to state immunity from civil proceedings. It </w:t>
      </w:r>
      <w:r w:rsidRPr="00EB034A">
        <w:rPr>
          <w:bCs/>
          <w:sz w:val="20"/>
          <w:lang w:val="en-US"/>
        </w:rPr>
        <w:t xml:space="preserve">provides an </w:t>
      </w:r>
      <w:r w:rsidRPr="00EB034A">
        <w:rPr>
          <w:sz w:val="20"/>
          <w:lang w:val="en-US"/>
        </w:rPr>
        <w:t>exhaustive</w:t>
      </w:r>
      <w:r w:rsidRPr="00EB034A">
        <w:rPr>
          <w:bCs/>
          <w:sz w:val="20"/>
          <w:lang w:val="en-US"/>
        </w:rPr>
        <w:t xml:space="preserve"> list of exceptions to state immunity and it does not contain an exception to immunity from civil suits alleging acts of torture committed abroad. For that reason, reliance need not, and indeed cannot, be placed on the common law, </w:t>
      </w:r>
      <w:r w:rsidRPr="00EB034A">
        <w:rPr>
          <w:bCs/>
          <w:i/>
          <w:sz w:val="20"/>
          <w:lang w:val="en-US"/>
        </w:rPr>
        <w:t xml:space="preserve">jus cogens </w:t>
      </w:r>
      <w:r w:rsidRPr="00EB034A">
        <w:rPr>
          <w:bCs/>
          <w:sz w:val="20"/>
          <w:lang w:val="en-US"/>
        </w:rPr>
        <w:t xml:space="preserve">norms or customary international law to carve out additional exceptions to the immunity granted to foreign states pursuant to the </w:t>
      </w:r>
      <w:r w:rsidRPr="00EB034A">
        <w:rPr>
          <w:bCs/>
          <w:i/>
          <w:sz w:val="20"/>
          <w:lang w:val="en-US"/>
        </w:rPr>
        <w:t>SIA</w:t>
      </w:r>
      <w:r w:rsidRPr="00EB034A">
        <w:rPr>
          <w:bCs/>
          <w:sz w:val="20"/>
          <w:lang w:val="en-US"/>
        </w:rPr>
        <w:t xml:space="preserve">. </w:t>
      </w:r>
      <w:r w:rsidRPr="00EB034A">
        <w:rPr>
          <w:sz w:val="20"/>
          <w:lang w:val="en-US"/>
        </w:rPr>
        <w:t xml:space="preserve">Although there is no doubt that the prohibition of torture has reached the level of a peremptory norm, the current state of customary international law regarding redress for victims of torture does not alter the </w:t>
      </w:r>
      <w:r w:rsidRPr="00EB034A">
        <w:rPr>
          <w:i/>
          <w:sz w:val="20"/>
          <w:lang w:val="en-US"/>
        </w:rPr>
        <w:t>SIA</w:t>
      </w:r>
      <w:r w:rsidRPr="00EB034A">
        <w:rPr>
          <w:sz w:val="20"/>
          <w:lang w:val="en-US"/>
        </w:rPr>
        <w:t>, nor does it render it ambiguous.</w:t>
      </w:r>
    </w:p>
    <w:p w:rsidR="008927CA" w:rsidRDefault="008927CA" w:rsidP="008927CA">
      <w:pPr>
        <w:pStyle w:val="SCCNormalDoubleSpacing"/>
        <w:spacing w:line="240" w:lineRule="auto"/>
        <w:rPr>
          <w:sz w:val="20"/>
          <w:lang w:val="en-US"/>
        </w:rPr>
      </w:pPr>
    </w:p>
    <w:p w:rsidR="008927CA" w:rsidRPr="00EB034A" w:rsidRDefault="008927CA" w:rsidP="008927CA">
      <w:pPr>
        <w:pStyle w:val="SCCNormalDoubleSpacing"/>
        <w:spacing w:line="240" w:lineRule="auto"/>
        <w:rPr>
          <w:sz w:val="20"/>
          <w:lang w:val="en-US"/>
        </w:rPr>
      </w:pPr>
      <w:r w:rsidRPr="00EB034A">
        <w:rPr>
          <w:sz w:val="20"/>
          <w:lang w:val="en-US"/>
        </w:rPr>
        <w:tab/>
        <w:t>H seeks to avail himself of the “personal or bodily injury” exception to state immunity set out at s. 6(</w:t>
      </w:r>
      <w:r w:rsidRPr="00EB034A">
        <w:rPr>
          <w:i/>
          <w:sz w:val="20"/>
          <w:lang w:val="en-US"/>
        </w:rPr>
        <w:t>a</w:t>
      </w:r>
      <w:r w:rsidRPr="00EB034A">
        <w:rPr>
          <w:sz w:val="20"/>
          <w:lang w:val="en-US"/>
        </w:rPr>
        <w:t xml:space="preserve">) of the </w:t>
      </w:r>
      <w:r w:rsidRPr="00EB034A">
        <w:rPr>
          <w:i/>
          <w:sz w:val="20"/>
          <w:lang w:val="en-US"/>
        </w:rPr>
        <w:t>SIA</w:t>
      </w:r>
      <w:r w:rsidRPr="00EB034A">
        <w:rPr>
          <w:sz w:val="20"/>
          <w:lang w:val="en-US"/>
        </w:rPr>
        <w:t>. If H’s psychological suffering is captured by the personal injury exception to state immunity set out at s. 6(</w:t>
      </w:r>
      <w:r w:rsidRPr="00EB034A">
        <w:rPr>
          <w:i/>
          <w:sz w:val="20"/>
          <w:lang w:val="en-US"/>
        </w:rPr>
        <w:t>a</w:t>
      </w:r>
      <w:r w:rsidRPr="00EB034A">
        <w:rPr>
          <w:sz w:val="20"/>
          <w:lang w:val="en-US"/>
        </w:rPr>
        <w:t>), his claim would be allowed to proceed. However, when the words of s. 6(</w:t>
      </w:r>
      <w:r w:rsidRPr="00EB034A">
        <w:rPr>
          <w:i/>
          <w:sz w:val="20"/>
          <w:lang w:val="en-US"/>
        </w:rPr>
        <w:t>a</w:t>
      </w:r>
      <w:r w:rsidRPr="00EB034A">
        <w:rPr>
          <w:sz w:val="20"/>
          <w:lang w:val="en-US"/>
        </w:rPr>
        <w:t xml:space="preserve">) are examined in conjunction with the purpose of the Act, it becomes apparent that the exception applies only where the tort causing the personal injury or death has occurred in Canada. It does not apply where the impugned events, or the tort causing the personal injury or death, did not take place in Canada. Accordingly, H’s claim is barred by the </w:t>
      </w:r>
      <w:r w:rsidRPr="00EB034A">
        <w:rPr>
          <w:i/>
          <w:sz w:val="20"/>
          <w:lang w:val="en-US"/>
        </w:rPr>
        <w:t xml:space="preserve">SIA </w:t>
      </w:r>
      <w:r w:rsidRPr="00EB034A">
        <w:rPr>
          <w:sz w:val="20"/>
          <w:lang w:val="en-US"/>
        </w:rPr>
        <w:t xml:space="preserve">because the alleged tort did not “occur in Canada”. His claim is also barred by the </w:t>
      </w:r>
      <w:r w:rsidRPr="00EB034A">
        <w:rPr>
          <w:i/>
          <w:sz w:val="20"/>
          <w:lang w:val="en-US"/>
        </w:rPr>
        <w:t>SIA</w:t>
      </w:r>
      <w:r w:rsidRPr="00EB034A">
        <w:rPr>
          <w:sz w:val="20"/>
          <w:lang w:val="en-US"/>
        </w:rPr>
        <w:t xml:space="preserve"> on the further ground that the “personal or bodily injury” exception does not apply where the injury allegedly suffered by the plaintiff does not stem from a physical breach of personal integrity. Only when psychological distress manifests itself after a physical injury will the exception to state immunity be triggered. In the present case, H did not plead any kind of physical harm nor did he claim to have suffered an injury to his physical integrity.</w:t>
      </w:r>
    </w:p>
    <w:p w:rsidR="008927CA" w:rsidRDefault="008927CA" w:rsidP="008927CA">
      <w:pPr>
        <w:pStyle w:val="SCCNormalDoubleSpacing"/>
        <w:spacing w:line="240" w:lineRule="auto"/>
        <w:rPr>
          <w:sz w:val="20"/>
          <w:lang w:val="en-US"/>
        </w:rPr>
      </w:pPr>
    </w:p>
    <w:p w:rsidR="008927CA" w:rsidRPr="00EB034A" w:rsidRDefault="008927CA" w:rsidP="008927CA">
      <w:pPr>
        <w:pStyle w:val="SCCNormalDoubleSpacing"/>
        <w:spacing w:line="240" w:lineRule="auto"/>
        <w:rPr>
          <w:sz w:val="20"/>
          <w:lang w:val="en-US"/>
        </w:rPr>
      </w:pPr>
      <w:r w:rsidRPr="00EB034A">
        <w:rPr>
          <w:sz w:val="20"/>
          <w:lang w:val="en-US"/>
        </w:rPr>
        <w:tab/>
        <w:t xml:space="preserve">A further issue to be determined is whether the respondents M and B are immune from legal action by operation of the </w:t>
      </w:r>
      <w:r w:rsidRPr="00EB034A">
        <w:rPr>
          <w:i/>
          <w:sz w:val="20"/>
          <w:lang w:val="en-US"/>
        </w:rPr>
        <w:t>SIA</w:t>
      </w:r>
      <w:r w:rsidRPr="00EB034A">
        <w:rPr>
          <w:sz w:val="20"/>
          <w:lang w:val="en-US"/>
        </w:rPr>
        <w:t xml:space="preserve">. Section 3(1) of the </w:t>
      </w:r>
      <w:r w:rsidRPr="00EB034A">
        <w:rPr>
          <w:i/>
          <w:sz w:val="20"/>
          <w:lang w:val="en-US"/>
        </w:rPr>
        <w:t>SIA</w:t>
      </w:r>
      <w:r w:rsidRPr="00EB034A">
        <w:rPr>
          <w:sz w:val="20"/>
          <w:lang w:val="en-US"/>
        </w:rPr>
        <w:t xml:space="preserve"> provides that a “foreign state” is immune from the jurisdiction of any court in Canada. The definition of “foreign state” at s. 2 of the </w:t>
      </w:r>
      <w:r w:rsidRPr="00EB034A">
        <w:rPr>
          <w:i/>
          <w:sz w:val="20"/>
          <w:lang w:val="en-US"/>
        </w:rPr>
        <w:t xml:space="preserve">SIA </w:t>
      </w:r>
      <w:r w:rsidRPr="00EB034A">
        <w:rPr>
          <w:sz w:val="20"/>
          <w:lang w:val="en-US"/>
        </w:rPr>
        <w:t xml:space="preserve">includes a reference to the term “government”. The absence of an explicit reference to “public officials” in the </w:t>
      </w:r>
      <w:r w:rsidRPr="00EB034A">
        <w:rPr>
          <w:i/>
          <w:sz w:val="20"/>
          <w:lang w:val="en-US"/>
        </w:rPr>
        <w:t>SIA</w:t>
      </w:r>
      <w:r w:rsidRPr="00EB034A">
        <w:rPr>
          <w:sz w:val="20"/>
          <w:lang w:val="en-US"/>
        </w:rPr>
        <w:t xml:space="preserve"> requires that the term “government” be interpreted in context and against the backdrop of international law. Following such an exercise, it becomes clear that public officials must be included in the meaning of “government” as it is used in the </w:t>
      </w:r>
      <w:r w:rsidRPr="00EB034A">
        <w:rPr>
          <w:i/>
          <w:sz w:val="20"/>
          <w:lang w:val="en-US"/>
        </w:rPr>
        <w:t>SIA</w:t>
      </w:r>
      <w:r w:rsidRPr="00EB034A">
        <w:rPr>
          <w:sz w:val="20"/>
          <w:lang w:val="en-US"/>
        </w:rPr>
        <w:t xml:space="preserve">. States are abstract entities that can only act through individuals. Excluding public officials from the meaning of government would completely thwart the purposes of the </w:t>
      </w:r>
      <w:r w:rsidRPr="00EB034A">
        <w:rPr>
          <w:i/>
          <w:sz w:val="20"/>
          <w:lang w:val="en-US"/>
        </w:rPr>
        <w:t>SIA</w:t>
      </w:r>
      <w:r w:rsidRPr="00EB034A">
        <w:rPr>
          <w:sz w:val="20"/>
          <w:lang w:val="en-US"/>
        </w:rPr>
        <w:t>, as allowing civil claims against individual public officials would require Canadian courts to scrutinize other states’ decision</w:t>
      </w:r>
      <w:r w:rsidRPr="00EB034A">
        <w:rPr>
          <w:sz w:val="20"/>
          <w:lang w:val="en-US"/>
        </w:rPr>
        <w:noBreakHyphen/>
        <w:t xml:space="preserve">making as carried out by their public officials. Accordingly, public officials, being necessary instruments of the state, are included in the term “government” as used in the </w:t>
      </w:r>
      <w:r w:rsidRPr="00EB034A">
        <w:rPr>
          <w:i/>
          <w:sz w:val="20"/>
          <w:lang w:val="en-US"/>
        </w:rPr>
        <w:t>SIA</w:t>
      </w:r>
      <w:r w:rsidRPr="00EB034A">
        <w:rPr>
          <w:sz w:val="20"/>
          <w:lang w:val="en-US"/>
        </w:rPr>
        <w:t>. However, those public officials will only benefit from state immunity when acting in their official capacity.</w:t>
      </w:r>
    </w:p>
    <w:p w:rsidR="008927CA" w:rsidRDefault="008927CA" w:rsidP="008927CA">
      <w:pPr>
        <w:pStyle w:val="SCCNormalDoubleSpacing"/>
        <w:spacing w:line="240" w:lineRule="auto"/>
        <w:rPr>
          <w:sz w:val="20"/>
          <w:lang w:val="en-US"/>
        </w:rPr>
      </w:pPr>
    </w:p>
    <w:p w:rsidR="008927CA" w:rsidRPr="00EB034A" w:rsidRDefault="008927CA" w:rsidP="008927CA">
      <w:pPr>
        <w:pStyle w:val="SCCNormalDoubleSpacing"/>
        <w:spacing w:line="240" w:lineRule="auto"/>
        <w:rPr>
          <w:sz w:val="20"/>
          <w:lang w:val="en-US"/>
        </w:rPr>
      </w:pPr>
      <w:r w:rsidRPr="00EB034A">
        <w:rPr>
          <w:sz w:val="20"/>
          <w:lang w:val="en-US"/>
        </w:rPr>
        <w:tab/>
        <w:t>The acts of torture allegedly committed by M and B have all the bearings of official acts, and no suggestion was made that either of these public officials were acting in their personal capacity or in a way that was unconnected to their roles as state functionaries. The heinous nature of these acts of torture does not transform the actions of M and B into private acts, undertaken outside of their official capacity. By definition, torture is necessarily an official act of the state. It is the state</w:t>
      </w:r>
      <w:r w:rsidRPr="00EB034A">
        <w:rPr>
          <w:sz w:val="20"/>
          <w:lang w:val="en-US"/>
        </w:rPr>
        <w:noBreakHyphen/>
        <w:t xml:space="preserve">sanctioned or official nature of torture that makes it such a despicable crime. There continues to be very strong support for the conclusion that immunity from civil suits extends to public officials engaging in acts of </w:t>
      </w:r>
      <w:r w:rsidRPr="00EB034A">
        <w:rPr>
          <w:sz w:val="20"/>
          <w:lang w:val="en-US"/>
        </w:rPr>
        <w:lastRenderedPageBreak/>
        <w:t xml:space="preserve">torture, and it is not yet possible to conclude that either a consistent state practice or </w:t>
      </w:r>
      <w:r w:rsidRPr="00EB034A">
        <w:rPr>
          <w:i/>
          <w:sz w:val="20"/>
          <w:lang w:val="en-US"/>
        </w:rPr>
        <w:t>opinio juris</w:t>
      </w:r>
      <w:r w:rsidRPr="00EB034A">
        <w:rPr>
          <w:sz w:val="20"/>
          <w:lang w:val="en-US"/>
        </w:rPr>
        <w:t xml:space="preserve"> to the contrary effect exists. As a result, given that M and B were public officials acting in their official capacity, they are captured by the term “government” found at s. 2 of the </w:t>
      </w:r>
      <w:r w:rsidRPr="00EB034A">
        <w:rPr>
          <w:i/>
          <w:sz w:val="20"/>
          <w:lang w:val="en-US"/>
        </w:rPr>
        <w:t>SIA</w:t>
      </w:r>
      <w:r w:rsidRPr="00EB034A">
        <w:rPr>
          <w:sz w:val="20"/>
          <w:lang w:val="en-US"/>
        </w:rPr>
        <w:t>. By virtue of that statute, they are immune from the jurisdiction of Canadian courts.</w:t>
      </w:r>
    </w:p>
    <w:p w:rsidR="008927CA" w:rsidRDefault="008927CA" w:rsidP="008927CA">
      <w:pPr>
        <w:pStyle w:val="SCCNormalDoubleSpacing"/>
        <w:spacing w:line="240" w:lineRule="auto"/>
        <w:rPr>
          <w:sz w:val="20"/>
          <w:lang w:val="en-US"/>
        </w:rPr>
      </w:pPr>
    </w:p>
    <w:p w:rsidR="008927CA" w:rsidRPr="00EB034A" w:rsidRDefault="008927CA" w:rsidP="008927CA">
      <w:pPr>
        <w:pStyle w:val="SCCNormalDoubleSpacing"/>
        <w:spacing w:line="240" w:lineRule="auto"/>
        <w:rPr>
          <w:sz w:val="20"/>
          <w:lang w:val="en-US"/>
        </w:rPr>
      </w:pPr>
      <w:r w:rsidRPr="00EB034A">
        <w:rPr>
          <w:sz w:val="20"/>
          <w:lang w:val="en-US"/>
        </w:rPr>
        <w:tab/>
        <w:t xml:space="preserve">Parliament has given no indication whatsoever that Canadian courts are to deem torture an “unofficial act” and that a universal civil jurisdiction has been created allowing foreign officials to be sued in our courts. Creating this kind of jurisdiction would have potentially considerable impact on Canada’s international relations. This decision is to be made by Parliament, not the courts. </w:t>
      </w:r>
    </w:p>
    <w:p w:rsidR="008927CA" w:rsidRDefault="008927CA" w:rsidP="008927CA">
      <w:pPr>
        <w:pStyle w:val="SCCNormalDoubleSpacing"/>
        <w:spacing w:line="240" w:lineRule="auto"/>
        <w:rPr>
          <w:sz w:val="20"/>
          <w:lang w:val="en-US"/>
        </w:rPr>
      </w:pPr>
    </w:p>
    <w:p w:rsidR="008927CA" w:rsidRPr="00EB034A" w:rsidRDefault="008927CA" w:rsidP="008927CA">
      <w:pPr>
        <w:pStyle w:val="SCCNormalDoubleSpacing"/>
        <w:spacing w:line="240" w:lineRule="auto"/>
        <w:rPr>
          <w:sz w:val="20"/>
          <w:lang w:val="en-US"/>
        </w:rPr>
      </w:pPr>
      <w:r w:rsidRPr="00EB034A">
        <w:rPr>
          <w:sz w:val="20"/>
          <w:lang w:val="en-US"/>
        </w:rPr>
        <w:tab/>
        <w:t xml:space="preserve">The </w:t>
      </w:r>
      <w:r w:rsidRPr="00EB034A">
        <w:rPr>
          <w:i/>
          <w:sz w:val="20"/>
          <w:lang w:val="en-US"/>
        </w:rPr>
        <w:t>SIA</w:t>
      </w:r>
      <w:r w:rsidRPr="00EB034A">
        <w:rPr>
          <w:sz w:val="20"/>
          <w:lang w:val="en-US"/>
        </w:rPr>
        <w:t xml:space="preserve"> withstands constitutional scrutiny despite the fact that it prevents H and his mother’s estate from suing Iran or its functionaries in Canada for the torture that K endured. The challenge brought by the appellants based on s. 2(</w:t>
      </w:r>
      <w:r w:rsidRPr="00EB034A">
        <w:rPr>
          <w:i/>
          <w:sz w:val="20"/>
          <w:lang w:val="en-US"/>
        </w:rPr>
        <w:t>e</w:t>
      </w:r>
      <w:r w:rsidRPr="00EB034A">
        <w:rPr>
          <w:sz w:val="20"/>
          <w:lang w:val="en-US"/>
        </w:rPr>
        <w:t xml:space="preserve">) of the </w:t>
      </w:r>
      <w:r w:rsidRPr="00EB034A">
        <w:rPr>
          <w:i/>
          <w:sz w:val="20"/>
          <w:lang w:val="en-US"/>
        </w:rPr>
        <w:t xml:space="preserve">Bill of Rights </w:t>
      </w:r>
      <w:r w:rsidRPr="00EB034A">
        <w:rPr>
          <w:sz w:val="20"/>
          <w:lang w:val="en-US"/>
        </w:rPr>
        <w:t>should be dismissed as that provision is not engaged in the present case. Section 2(</w:t>
      </w:r>
      <w:r w:rsidRPr="00EB034A">
        <w:rPr>
          <w:i/>
          <w:sz w:val="20"/>
          <w:lang w:val="en-US"/>
        </w:rPr>
        <w:t>e</w:t>
      </w:r>
      <w:r w:rsidRPr="00EB034A">
        <w:rPr>
          <w:sz w:val="20"/>
          <w:lang w:val="en-US"/>
        </w:rPr>
        <w:t>) guarantees fairness in the context of proceedings before a Canadian court or a tribunal. It does not create a self</w:t>
      </w:r>
      <w:r w:rsidRPr="00EB034A">
        <w:rPr>
          <w:sz w:val="20"/>
          <w:lang w:val="en-US"/>
        </w:rPr>
        <w:noBreakHyphen/>
        <w:t>standing right to a fair hearing where the law does not allow for an adjudicative process. Accordingly, in order to engage s. 2(</w:t>
      </w:r>
      <w:r w:rsidRPr="00EB034A">
        <w:rPr>
          <w:i/>
          <w:sz w:val="20"/>
          <w:lang w:val="en-US"/>
        </w:rPr>
        <w:t>e</w:t>
      </w:r>
      <w:r w:rsidRPr="00EB034A">
        <w:rPr>
          <w:sz w:val="20"/>
          <w:lang w:val="en-US"/>
        </w:rPr>
        <w:t xml:space="preserve">), a court or tribunal must properly have jurisdiction over a matter. As previously discussed, the existence of state immunity means that no jurisdiction exists in Canada to adjudicate the appellants’ claims. </w:t>
      </w:r>
    </w:p>
    <w:p w:rsidR="008927CA" w:rsidRDefault="008927CA" w:rsidP="008927CA">
      <w:pPr>
        <w:pStyle w:val="SCCNormalDoubleSpacing"/>
        <w:spacing w:line="240" w:lineRule="auto"/>
        <w:rPr>
          <w:sz w:val="20"/>
          <w:lang w:val="en-US"/>
        </w:rPr>
      </w:pPr>
    </w:p>
    <w:p w:rsidR="008927CA" w:rsidRPr="00EB034A" w:rsidRDefault="008927CA" w:rsidP="008927CA">
      <w:pPr>
        <w:pStyle w:val="SCCNormalDoubleSpacing"/>
        <w:spacing w:line="240" w:lineRule="auto"/>
        <w:rPr>
          <w:sz w:val="20"/>
          <w:lang w:val="en-US"/>
        </w:rPr>
      </w:pPr>
      <w:r w:rsidRPr="00EB034A">
        <w:rPr>
          <w:sz w:val="20"/>
          <w:lang w:val="en-US"/>
        </w:rPr>
        <w:tab/>
        <w:t xml:space="preserve">Similarly, the appellants’ challenge of the </w:t>
      </w:r>
      <w:r w:rsidRPr="00EB034A">
        <w:rPr>
          <w:i/>
          <w:sz w:val="20"/>
          <w:lang w:val="en-US"/>
        </w:rPr>
        <w:t>SIA</w:t>
      </w:r>
      <w:r w:rsidRPr="00EB034A">
        <w:rPr>
          <w:sz w:val="20"/>
          <w:lang w:val="en-US"/>
        </w:rPr>
        <w:t xml:space="preserve"> pursuant to s. 7 of the </w:t>
      </w:r>
      <w:r w:rsidRPr="00EB034A">
        <w:rPr>
          <w:i/>
          <w:sz w:val="20"/>
          <w:lang w:val="en-US"/>
        </w:rPr>
        <w:t>Charter</w:t>
      </w:r>
      <w:r w:rsidRPr="00EB034A">
        <w:rPr>
          <w:sz w:val="20"/>
          <w:lang w:val="en-US"/>
        </w:rPr>
        <w:t xml:space="preserve"> must fail. Insofar as it prevents victims of torture or their next of kin from finding closure by seeking civil redress, it is arguable that s. 3(1) of the </w:t>
      </w:r>
      <w:r w:rsidRPr="00EB034A">
        <w:rPr>
          <w:i/>
          <w:sz w:val="20"/>
          <w:lang w:val="en-US"/>
        </w:rPr>
        <w:t>SIA</w:t>
      </w:r>
      <w:r w:rsidRPr="00EB034A">
        <w:rPr>
          <w:sz w:val="20"/>
          <w:lang w:val="en-US"/>
        </w:rPr>
        <w:t xml:space="preserve"> might cause such serious psychological prejudice that the security of the person is engaged and violated. However, it is not necessary to decide whether s. 3(1) of the </w:t>
      </w:r>
      <w:r w:rsidRPr="00EB034A">
        <w:rPr>
          <w:i/>
          <w:sz w:val="20"/>
          <w:lang w:val="en-US"/>
        </w:rPr>
        <w:t>SIA</w:t>
      </w:r>
      <w:r w:rsidRPr="00EB034A">
        <w:rPr>
          <w:sz w:val="20"/>
          <w:lang w:val="en-US"/>
        </w:rPr>
        <w:t xml:space="preserve"> engages the security of the person interest under s. 7 of the </w:t>
      </w:r>
      <w:r w:rsidRPr="00EB034A">
        <w:rPr>
          <w:i/>
          <w:sz w:val="20"/>
          <w:lang w:val="en-US"/>
        </w:rPr>
        <w:t>Charter</w:t>
      </w:r>
      <w:r w:rsidRPr="00EB034A">
        <w:rPr>
          <w:sz w:val="20"/>
          <w:lang w:val="en-US"/>
        </w:rPr>
        <w:t xml:space="preserve"> because that provision of the </w:t>
      </w:r>
      <w:r w:rsidRPr="00EB034A">
        <w:rPr>
          <w:i/>
          <w:sz w:val="20"/>
          <w:lang w:val="en-US"/>
        </w:rPr>
        <w:t>SIA</w:t>
      </w:r>
      <w:r w:rsidRPr="00EB034A">
        <w:rPr>
          <w:sz w:val="20"/>
          <w:lang w:val="en-US"/>
        </w:rPr>
        <w:t xml:space="preserve"> does not violate any principles of fundamental justice. </w:t>
      </w:r>
    </w:p>
    <w:p w:rsidR="008927CA" w:rsidRDefault="008927CA" w:rsidP="008927CA">
      <w:pPr>
        <w:pStyle w:val="SCCNormalDoubleSpacing"/>
        <w:spacing w:line="240" w:lineRule="auto"/>
        <w:rPr>
          <w:sz w:val="20"/>
          <w:lang w:val="en-US"/>
        </w:rPr>
      </w:pPr>
    </w:p>
    <w:p w:rsidR="008927CA" w:rsidRPr="00EB034A" w:rsidRDefault="008927CA" w:rsidP="008927CA">
      <w:pPr>
        <w:pStyle w:val="SCCNormalDoubleSpacing"/>
        <w:spacing w:line="240" w:lineRule="auto"/>
        <w:rPr>
          <w:sz w:val="20"/>
          <w:lang w:val="en-US"/>
        </w:rPr>
      </w:pPr>
      <w:r w:rsidRPr="00EB034A">
        <w:rPr>
          <w:sz w:val="20"/>
          <w:lang w:val="en-US"/>
        </w:rPr>
        <w:tab/>
        <w:t xml:space="preserve">Not all commitments in international agreements amount to principles of fundamental justice. When a party points to a provision in an international treaty as evidence of a principle of fundamental justice, a court must determine (a) whether there is significant international consensus regarding the interpretation of the treaty, and (b) whether there is consensus that the particular interpretation is fundamental to the way in which the international legal system ought to fairly operate. The absence of such consensus weighs against finding that the principle is fundamental to the operation of the legal system. Although the appellants argue that art. 14 of the </w:t>
      </w:r>
      <w:r w:rsidRPr="00EB034A">
        <w:rPr>
          <w:i/>
          <w:sz w:val="20"/>
          <w:lang w:val="en-US"/>
        </w:rPr>
        <w:t>Convention Against Torture</w:t>
      </w:r>
      <w:r w:rsidRPr="00EB034A">
        <w:rPr>
          <w:sz w:val="20"/>
          <w:lang w:val="en-US"/>
        </w:rPr>
        <w:t xml:space="preserve"> requires Canada to ensure that a civil remedy be available to victims of torture committed in foreign countries and allege that this obligation is a principle of fundamental justice within the meaning of s. 7, they have not argued, let alone established, that their interpretation of art. 14 reflects customary international law, or that it has been incorporated into Canadian law through legislation. There appears to be no consensus that art. 14 should be interpreted in the manner the appellants suggest. In fact, the language of art. 14 as well as the interpretation of that provision by some party states and by international and domestic judicial authorities support a conclusion that art. 14 ensures redress and compensation for torture committed within the forum state’s own territorial jurisdiction.</w:t>
      </w:r>
    </w:p>
    <w:p w:rsidR="008927CA" w:rsidRDefault="008927CA" w:rsidP="008927CA">
      <w:pPr>
        <w:pStyle w:val="SCCNormalDoubleSpacing"/>
        <w:spacing w:line="240" w:lineRule="auto"/>
        <w:rPr>
          <w:sz w:val="20"/>
          <w:lang w:val="en-US"/>
        </w:rPr>
      </w:pPr>
    </w:p>
    <w:p w:rsidR="008927CA" w:rsidRPr="00EB034A" w:rsidRDefault="008927CA" w:rsidP="008927CA">
      <w:pPr>
        <w:pStyle w:val="SCCNormalDoubleSpacing"/>
        <w:spacing w:line="240" w:lineRule="auto"/>
        <w:rPr>
          <w:sz w:val="20"/>
          <w:lang w:val="en-US"/>
        </w:rPr>
      </w:pPr>
      <w:r w:rsidRPr="00EB034A">
        <w:rPr>
          <w:sz w:val="20"/>
          <w:lang w:val="en-US"/>
        </w:rPr>
        <w:tab/>
        <w:t xml:space="preserve">While the prohibition of torture is certainly a </w:t>
      </w:r>
      <w:r w:rsidRPr="00EB034A">
        <w:rPr>
          <w:i/>
          <w:sz w:val="20"/>
          <w:lang w:val="en-US"/>
        </w:rPr>
        <w:t>jus cogens</w:t>
      </w:r>
      <w:r w:rsidRPr="00EB034A">
        <w:rPr>
          <w:sz w:val="20"/>
          <w:lang w:val="en-US"/>
        </w:rPr>
        <w:t xml:space="preserve"> norm from which Canada cannot derogate and is also very likely a principle of fundamental justice, the peremptory norm prohibiting torture has not yet created an exception to state immunity from civil liability in cases of torture committed abroad. At this point in time, state practice and </w:t>
      </w:r>
      <w:r w:rsidRPr="00EB034A">
        <w:rPr>
          <w:i/>
          <w:sz w:val="20"/>
          <w:lang w:val="en-US"/>
        </w:rPr>
        <w:t>opinio juris</w:t>
      </w:r>
      <w:r w:rsidRPr="00EB034A">
        <w:rPr>
          <w:sz w:val="20"/>
          <w:lang w:val="en-US"/>
        </w:rPr>
        <w:t xml:space="preserve"> do not suggest that Canada is obligated by the </w:t>
      </w:r>
      <w:r w:rsidRPr="00EB034A">
        <w:rPr>
          <w:i/>
          <w:sz w:val="20"/>
          <w:lang w:val="en-US"/>
        </w:rPr>
        <w:t>jus cogens</w:t>
      </w:r>
      <w:r w:rsidRPr="00EB034A">
        <w:rPr>
          <w:sz w:val="20"/>
          <w:lang w:val="en-US"/>
        </w:rPr>
        <w:t xml:space="preserve"> prohibition on torture to open its courts so that its citizens may seek civil redress for torture committed abroad. Consequently, failing to grant such access would not be a breach of the principles of fundamental justice.</w:t>
      </w:r>
    </w:p>
    <w:p w:rsidR="008927CA" w:rsidRDefault="008927CA" w:rsidP="008927CA">
      <w:pPr>
        <w:pStyle w:val="SCCNormalDoubleSpacing"/>
        <w:spacing w:line="240" w:lineRule="auto"/>
        <w:rPr>
          <w:sz w:val="20"/>
          <w:lang w:val="en-US"/>
        </w:rPr>
      </w:pPr>
    </w:p>
    <w:p w:rsidR="008927CA" w:rsidRPr="00EB034A" w:rsidRDefault="008927CA" w:rsidP="008927CA">
      <w:pPr>
        <w:pStyle w:val="SCCNormalDoubleSpacing"/>
        <w:spacing w:line="240" w:lineRule="auto"/>
        <w:rPr>
          <w:sz w:val="20"/>
          <w:lang w:val="en-US"/>
        </w:rPr>
      </w:pPr>
      <w:r w:rsidRPr="00EB034A">
        <w:rPr>
          <w:sz w:val="20"/>
          <w:lang w:val="en-US"/>
        </w:rPr>
        <w:tab/>
        <w:t xml:space="preserve">In conclusion, the </w:t>
      </w:r>
      <w:r w:rsidRPr="00EB034A">
        <w:rPr>
          <w:i/>
          <w:sz w:val="20"/>
          <w:lang w:val="en-US"/>
        </w:rPr>
        <w:t>SIA</w:t>
      </w:r>
      <w:r w:rsidRPr="00EB034A">
        <w:rPr>
          <w:sz w:val="20"/>
          <w:lang w:val="en-US"/>
        </w:rPr>
        <w:t xml:space="preserve">, in its present form, does not provide for an exception to foreign state immunity from civil suits alleging acts of torture occurring outside Canada. Consequently, a foreign state and its functionaries cannot be sued in Canadian courts for acts of torture committed abroad. This conclusion does not, however, freeze state immunity in time. Parliament has the power and the capacity to change the current state of the law on exceptions to state immunity, just as it has done in the past, and to allow those in situations like H and his mother’s estate to seek redress in Canadian courts. </w:t>
      </w:r>
    </w:p>
    <w:p w:rsidR="008927CA" w:rsidRDefault="008927CA" w:rsidP="008927CA">
      <w:pPr>
        <w:pStyle w:val="SCCNormalDoubleSpacing"/>
        <w:spacing w:line="240" w:lineRule="auto"/>
        <w:rPr>
          <w:i/>
          <w:sz w:val="20"/>
          <w:lang w:val="en-US"/>
        </w:rPr>
      </w:pPr>
    </w:p>
    <w:p w:rsidR="008927CA" w:rsidRPr="00EB034A" w:rsidRDefault="008927CA" w:rsidP="008927CA">
      <w:pPr>
        <w:pStyle w:val="SCCNormalDoubleSpacing"/>
        <w:spacing w:line="240" w:lineRule="auto"/>
        <w:rPr>
          <w:sz w:val="20"/>
          <w:lang w:val="en-US"/>
        </w:rPr>
      </w:pPr>
      <w:r w:rsidRPr="00EB034A">
        <w:rPr>
          <w:i/>
          <w:sz w:val="20"/>
          <w:lang w:val="en-US"/>
        </w:rPr>
        <w:tab/>
        <w:t>Per</w:t>
      </w:r>
      <w:r w:rsidRPr="00EB034A">
        <w:rPr>
          <w:sz w:val="20"/>
          <w:lang w:val="en-US"/>
        </w:rPr>
        <w:t xml:space="preserve"> </w:t>
      </w:r>
      <w:r w:rsidRPr="00EB034A">
        <w:rPr>
          <w:b/>
          <w:sz w:val="20"/>
          <w:lang w:val="en-US"/>
        </w:rPr>
        <w:t>Abella</w:t>
      </w:r>
      <w:r w:rsidRPr="00EB034A">
        <w:rPr>
          <w:sz w:val="20"/>
          <w:lang w:val="en-US"/>
        </w:rPr>
        <w:t xml:space="preserve"> J. (dissenting): The doctrine of sovereign immunity is not entirely codified under the </w:t>
      </w:r>
      <w:r w:rsidRPr="00EB034A">
        <w:rPr>
          <w:i/>
          <w:sz w:val="20"/>
          <w:lang w:val="en-US"/>
        </w:rPr>
        <w:t>State Immunity Act</w:t>
      </w:r>
      <w:r w:rsidRPr="00EB034A">
        <w:rPr>
          <w:sz w:val="20"/>
          <w:lang w:val="en-US"/>
        </w:rPr>
        <w:t xml:space="preserve">. The only individuals expressly included in the definition of a “foreign state” are “any sovereign or other head of the foreign state . . . while acting as such in a public capacity”. There is no reference to public officials apart </w:t>
      </w:r>
      <w:r w:rsidRPr="00EB034A">
        <w:rPr>
          <w:sz w:val="20"/>
          <w:lang w:val="en-US"/>
        </w:rPr>
        <w:lastRenderedPageBreak/>
        <w:t xml:space="preserve">from heads of state. That silence creates an ambiguity as to whether the </w:t>
      </w:r>
      <w:r w:rsidRPr="00EB034A">
        <w:rPr>
          <w:i/>
          <w:sz w:val="20"/>
          <w:lang w:val="en-US"/>
        </w:rPr>
        <w:t>State Immunity Act</w:t>
      </w:r>
      <w:r w:rsidRPr="00EB034A">
        <w:rPr>
          <w:sz w:val="20"/>
          <w:lang w:val="en-US"/>
        </w:rPr>
        <w:t xml:space="preserve"> applies to lower</w:t>
      </w:r>
      <w:r w:rsidRPr="00EB034A">
        <w:rPr>
          <w:sz w:val="20"/>
          <w:lang w:val="en-US"/>
        </w:rPr>
        <w:noBreakHyphen/>
        <w:t>level officials. Resolving that ambiguity is assisted by reference to customary international law and the significant development of the principle of reparation under public international law.</w:t>
      </w:r>
    </w:p>
    <w:p w:rsidR="008927CA" w:rsidRDefault="008927CA" w:rsidP="008927CA">
      <w:pPr>
        <w:pStyle w:val="SCCNormalDoubleSpacing"/>
        <w:spacing w:line="240" w:lineRule="auto"/>
        <w:rPr>
          <w:sz w:val="20"/>
          <w:lang w:val="en-US"/>
        </w:rPr>
      </w:pPr>
    </w:p>
    <w:p w:rsidR="008927CA" w:rsidRPr="00EB034A" w:rsidRDefault="008927CA" w:rsidP="008927CA">
      <w:pPr>
        <w:pStyle w:val="SCCNormalDoubleSpacing"/>
        <w:spacing w:line="240" w:lineRule="auto"/>
        <w:rPr>
          <w:sz w:val="20"/>
          <w:lang w:val="en-US"/>
        </w:rPr>
      </w:pPr>
      <w:r w:rsidRPr="00EB034A">
        <w:rPr>
          <w:sz w:val="20"/>
          <w:lang w:val="en-US"/>
        </w:rPr>
        <w:tab/>
        <w:t xml:space="preserve">The prohibition on torture is a peremptory norm — </w:t>
      </w:r>
      <w:r w:rsidRPr="00EB034A">
        <w:rPr>
          <w:i/>
          <w:sz w:val="20"/>
          <w:lang w:val="en-US"/>
        </w:rPr>
        <w:t>jus cogens</w:t>
      </w:r>
      <w:r w:rsidRPr="00EB034A">
        <w:rPr>
          <w:sz w:val="20"/>
          <w:lang w:val="en-US"/>
        </w:rPr>
        <w:t xml:space="preserve"> — under international law. That means that the international community has agreed that the prohibition cannot be derogated from by any state. The question then is how can torture be an official function for the purpose of immunity under international law when international law itself universally prohibits torture? This poses challenges for the integrity of international law and leaves this Court with a choice about whether to extend immunity to foreign officials for such acts.</w:t>
      </w:r>
    </w:p>
    <w:p w:rsidR="008927CA" w:rsidRDefault="008927CA" w:rsidP="008927CA">
      <w:pPr>
        <w:pStyle w:val="SCCNormalDoubleSpacing"/>
        <w:spacing w:line="240" w:lineRule="auto"/>
        <w:rPr>
          <w:sz w:val="20"/>
          <w:lang w:val="en-US"/>
        </w:rPr>
      </w:pPr>
    </w:p>
    <w:p w:rsidR="008927CA" w:rsidRPr="00EB034A" w:rsidRDefault="008927CA" w:rsidP="008927CA">
      <w:pPr>
        <w:pStyle w:val="SCCNormalDoubleSpacing"/>
        <w:spacing w:line="240" w:lineRule="auto"/>
        <w:rPr>
          <w:sz w:val="20"/>
          <w:lang w:val="en-US"/>
        </w:rPr>
      </w:pPr>
      <w:r w:rsidRPr="00EB034A">
        <w:rPr>
          <w:sz w:val="20"/>
          <w:lang w:val="en-US"/>
        </w:rPr>
        <w:tab/>
        <w:t xml:space="preserve">Under international law generally, the protection for and treatment of individuals as legal subjects has evolved dramatically. With that evolving protection has come the recognition of a victim’s right to redress for a violation of fundamental human rights. The claims for civil damages brought by K’s estate and her son H are founded on Canada’s and Iran’s obligations under international human rights law and the </w:t>
      </w:r>
      <w:r w:rsidRPr="00EB034A">
        <w:rPr>
          <w:i/>
          <w:sz w:val="20"/>
          <w:lang w:val="en-US"/>
        </w:rPr>
        <w:t>jus cogens</w:t>
      </w:r>
      <w:r w:rsidRPr="00EB034A">
        <w:rPr>
          <w:sz w:val="20"/>
          <w:lang w:val="en-US"/>
        </w:rPr>
        <w:t xml:space="preserve"> prohibition against torture. These claims must be situated in the context of the significant development of the principle of reparation under public international law throughout the twentieth century. At its most fundamental, the principle of reparation means that when the legal rights of an individual are violated, the wrongdoer owes redress to the victim for harm suffered. The aim of the principle of reparation is restorative.</w:t>
      </w:r>
    </w:p>
    <w:p w:rsidR="008927CA" w:rsidRDefault="008927CA" w:rsidP="008927CA">
      <w:pPr>
        <w:pStyle w:val="SCCNormalDoubleSpacing"/>
        <w:spacing w:line="240" w:lineRule="auto"/>
        <w:rPr>
          <w:sz w:val="20"/>
          <w:lang w:val="en-US"/>
        </w:rPr>
      </w:pPr>
    </w:p>
    <w:p w:rsidR="008927CA" w:rsidRPr="00EB034A" w:rsidRDefault="008927CA" w:rsidP="008927CA">
      <w:pPr>
        <w:pStyle w:val="SCCNormalDoubleSpacing"/>
        <w:spacing w:line="240" w:lineRule="auto"/>
        <w:rPr>
          <w:sz w:val="20"/>
          <w:lang w:val="en-US"/>
        </w:rPr>
      </w:pPr>
      <w:r w:rsidRPr="00EB034A">
        <w:rPr>
          <w:sz w:val="20"/>
          <w:lang w:val="en-US"/>
        </w:rPr>
        <w:tab/>
        <w:t>While early international criminal proceedings did little to recognize victims’ rights, several international courts now recognize victims’ rights to reparation against individual perpetrators of international crimes. This shift is, in part, the result of the recognition of the principle of reparation as a general principle of international law in the enabling treaties and statutes of these courts. The treatment of immunity for civil claims should not be different from that for criminal proceedings.</w:t>
      </w:r>
    </w:p>
    <w:p w:rsidR="008927CA" w:rsidRDefault="008927CA" w:rsidP="008927CA">
      <w:pPr>
        <w:pStyle w:val="SCCNormalDoubleSpacing"/>
        <w:spacing w:line="240" w:lineRule="auto"/>
        <w:rPr>
          <w:sz w:val="20"/>
          <w:lang w:val="en-US"/>
        </w:rPr>
      </w:pPr>
    </w:p>
    <w:p w:rsidR="008927CA" w:rsidRPr="00EB034A" w:rsidRDefault="008927CA" w:rsidP="008927CA">
      <w:pPr>
        <w:pStyle w:val="SCCNormalDoubleSpacing"/>
        <w:spacing w:line="240" w:lineRule="auto"/>
        <w:rPr>
          <w:sz w:val="20"/>
          <w:lang w:val="en-US"/>
        </w:rPr>
      </w:pPr>
      <w:r w:rsidRPr="00EB034A">
        <w:rPr>
          <w:sz w:val="20"/>
          <w:lang w:val="en-US"/>
        </w:rPr>
        <w:tab/>
        <w:t xml:space="preserve">The development and international acceptance of the principle of reparation demonstrates that an individual’s right to a remedy against a state for violations of his or her human rights is now a recognized principle of international law. There is also growing acceptance that </w:t>
      </w:r>
      <w:r w:rsidRPr="00EB034A">
        <w:rPr>
          <w:i/>
          <w:sz w:val="20"/>
          <w:lang w:val="en-US"/>
        </w:rPr>
        <w:t>jus cogens</w:t>
      </w:r>
      <w:r w:rsidRPr="00EB034A">
        <w:rPr>
          <w:sz w:val="20"/>
          <w:lang w:val="en-US"/>
        </w:rPr>
        <w:t xml:space="preserve"> violations such as torture do not constitute “official acts” justifying immunity for individual state officials. </w:t>
      </w:r>
    </w:p>
    <w:p w:rsidR="008927CA" w:rsidRDefault="008927CA" w:rsidP="008927CA">
      <w:pPr>
        <w:pStyle w:val="SCCNormalDoubleSpacing"/>
        <w:spacing w:line="240" w:lineRule="auto"/>
        <w:rPr>
          <w:sz w:val="20"/>
          <w:lang w:val="en-US"/>
        </w:rPr>
      </w:pPr>
    </w:p>
    <w:p w:rsidR="008927CA" w:rsidRPr="00EB034A" w:rsidRDefault="008927CA" w:rsidP="008927CA">
      <w:pPr>
        <w:pStyle w:val="SCCNormalDoubleSpacing"/>
        <w:spacing w:line="240" w:lineRule="auto"/>
        <w:rPr>
          <w:sz w:val="20"/>
          <w:lang w:val="en-US"/>
        </w:rPr>
      </w:pPr>
      <w:r w:rsidRPr="00EB034A">
        <w:rPr>
          <w:sz w:val="20"/>
          <w:lang w:val="en-US"/>
        </w:rPr>
        <w:tab/>
        <w:t xml:space="preserve">The purpose of the </w:t>
      </w:r>
      <w:r w:rsidRPr="00EB034A">
        <w:rPr>
          <w:i/>
          <w:sz w:val="20"/>
          <w:lang w:val="en-US"/>
        </w:rPr>
        <w:t>Convention Against Torture</w:t>
      </w:r>
      <w:r w:rsidRPr="00EB034A">
        <w:rPr>
          <w:sz w:val="20"/>
          <w:lang w:val="en-US"/>
        </w:rPr>
        <w:t xml:space="preserve"> is consistent with a broad obligation to protect victims’ rights to remedies for torture regardless of where it occurred. The </w:t>
      </w:r>
      <w:r w:rsidRPr="00EB034A">
        <w:rPr>
          <w:i/>
          <w:sz w:val="20"/>
          <w:lang w:val="en-US"/>
        </w:rPr>
        <w:t xml:space="preserve">Convention </w:t>
      </w:r>
      <w:r w:rsidRPr="00EB034A">
        <w:rPr>
          <w:sz w:val="20"/>
          <w:lang w:val="en-US"/>
        </w:rPr>
        <w:t>established a shared commitment to “make more effective the struggle against torture . . . throughout the world”. On a plain reading, Article 14 imposes an obligation on state parties to ensure that all victims of torture from their countries can obtain “redress and ha[ve] an enforceable right to fair and adequate compensation”. The text provides no indication that the “act of torture” must occur within the territory of the state party for the obligation to be engaged. If a state undertakes to ensure access to a remedy for torture committed abroad, this necessarily implicates the question of the immunity of the perpetrators of that torture.</w:t>
      </w:r>
    </w:p>
    <w:p w:rsidR="008927CA" w:rsidRDefault="008927CA" w:rsidP="008927CA">
      <w:pPr>
        <w:pStyle w:val="SCCNormalDoubleSpacing"/>
        <w:spacing w:line="240" w:lineRule="auto"/>
        <w:rPr>
          <w:sz w:val="20"/>
          <w:lang w:val="en-US"/>
        </w:rPr>
      </w:pPr>
    </w:p>
    <w:p w:rsidR="008927CA" w:rsidRPr="00EB034A" w:rsidRDefault="008927CA" w:rsidP="008927CA">
      <w:pPr>
        <w:pStyle w:val="SCCNormalDoubleSpacing"/>
        <w:spacing w:line="240" w:lineRule="auto"/>
        <w:rPr>
          <w:sz w:val="20"/>
          <w:lang w:val="en-US"/>
        </w:rPr>
      </w:pPr>
      <w:r w:rsidRPr="00EB034A">
        <w:rPr>
          <w:sz w:val="20"/>
          <w:lang w:val="en-US"/>
        </w:rPr>
        <w:tab/>
        <w:t xml:space="preserve">In the face of the universal acceptance of the prohibition against torture, concerns about any interference with sovereignty which may be created by acting in judgment of an individual state official who violates this prohibition, necessarily shrink. The very nature of the prohibition as a peremptory norm means that all states agree that torture cannot be condoned. Torture cannot, therefore, be an official state act for the purposes of immunity </w:t>
      </w:r>
      <w:r w:rsidRPr="00EB034A">
        <w:rPr>
          <w:i/>
          <w:sz w:val="20"/>
          <w:lang w:val="en-US"/>
        </w:rPr>
        <w:t>ratione materiae</w:t>
      </w:r>
      <w:r w:rsidRPr="00EB034A">
        <w:rPr>
          <w:sz w:val="20"/>
          <w:lang w:val="en-US"/>
        </w:rPr>
        <w:t xml:space="preserve">. </w:t>
      </w:r>
    </w:p>
    <w:p w:rsidR="008927CA" w:rsidRDefault="008927CA" w:rsidP="008927CA">
      <w:pPr>
        <w:pStyle w:val="SCCNormalDoubleSpacing"/>
        <w:spacing w:line="240" w:lineRule="auto"/>
        <w:rPr>
          <w:sz w:val="20"/>
          <w:lang w:val="en-US"/>
        </w:rPr>
      </w:pPr>
    </w:p>
    <w:p w:rsidR="008927CA" w:rsidRPr="00EB034A" w:rsidRDefault="008927CA" w:rsidP="008927CA">
      <w:pPr>
        <w:pStyle w:val="SCCNormalDoubleSpacing"/>
        <w:spacing w:line="240" w:lineRule="auto"/>
        <w:rPr>
          <w:sz w:val="20"/>
          <w:lang w:val="en-US"/>
        </w:rPr>
      </w:pPr>
      <w:r w:rsidRPr="00EB034A">
        <w:rPr>
          <w:sz w:val="20"/>
          <w:lang w:val="en-US"/>
        </w:rPr>
        <w:tab/>
        <w:t xml:space="preserve">Under customary international law, there is a distinction between the blanket immunity </w:t>
      </w:r>
      <w:r w:rsidRPr="00EB034A">
        <w:rPr>
          <w:i/>
          <w:sz w:val="20"/>
          <w:lang w:val="en-US"/>
        </w:rPr>
        <w:t>ratione personae</w:t>
      </w:r>
      <w:r w:rsidRPr="00EB034A">
        <w:rPr>
          <w:sz w:val="20"/>
          <w:lang w:val="en-US"/>
        </w:rPr>
        <w:t xml:space="preserve"> of high</w:t>
      </w:r>
      <w:r w:rsidRPr="00EB034A">
        <w:rPr>
          <w:sz w:val="20"/>
          <w:lang w:val="en-US"/>
        </w:rPr>
        <w:noBreakHyphen/>
        <w:t xml:space="preserve">ranking individuals such as the head of state, and the immunity </w:t>
      </w:r>
      <w:r w:rsidRPr="00EB034A">
        <w:rPr>
          <w:i/>
          <w:sz w:val="20"/>
          <w:lang w:val="en-US"/>
        </w:rPr>
        <w:t>ratione materiae</w:t>
      </w:r>
      <w:r w:rsidRPr="00EB034A">
        <w:rPr>
          <w:sz w:val="20"/>
          <w:lang w:val="en-US"/>
        </w:rPr>
        <w:t xml:space="preserve"> for former heads of state and lower</w:t>
      </w:r>
      <w:r w:rsidRPr="00EB034A">
        <w:rPr>
          <w:sz w:val="20"/>
          <w:lang w:val="en-US"/>
        </w:rPr>
        <w:noBreakHyphen/>
        <w:t xml:space="preserve">ranking officials which applies only in respect of official acts performed for or on behalf of the state. These doctrines recognize the unique role and responsibility of heads of state. At present, state practice reveals a palpable, albeit slow trend in the international jurisprudence to recognize that torture, as a violation of a peremptory norm, does not constitute officially sanctioned state conduct for the purposes of immunity </w:t>
      </w:r>
      <w:r w:rsidRPr="00EB034A">
        <w:rPr>
          <w:i/>
          <w:sz w:val="20"/>
          <w:lang w:val="en-US"/>
        </w:rPr>
        <w:t>ratione materiae</w:t>
      </w:r>
      <w:r w:rsidRPr="00EB034A">
        <w:rPr>
          <w:sz w:val="20"/>
          <w:lang w:val="en-US"/>
        </w:rPr>
        <w:t xml:space="preserve">. </w:t>
      </w:r>
    </w:p>
    <w:p w:rsidR="008927CA" w:rsidRDefault="008927CA" w:rsidP="008927CA">
      <w:pPr>
        <w:pStyle w:val="SCCNormalDoubleSpacing"/>
        <w:spacing w:line="240" w:lineRule="auto"/>
        <w:rPr>
          <w:sz w:val="20"/>
          <w:lang w:val="en-US"/>
        </w:rPr>
      </w:pPr>
    </w:p>
    <w:p w:rsidR="008927CA" w:rsidRPr="00EB034A" w:rsidRDefault="008927CA" w:rsidP="008927CA">
      <w:pPr>
        <w:pStyle w:val="SCCNormalDoubleSpacing"/>
        <w:spacing w:line="240" w:lineRule="auto"/>
        <w:rPr>
          <w:sz w:val="20"/>
          <w:lang w:val="en-US"/>
        </w:rPr>
      </w:pPr>
      <w:r w:rsidRPr="00EB034A">
        <w:rPr>
          <w:sz w:val="20"/>
          <w:lang w:val="en-US"/>
        </w:rPr>
        <w:tab/>
        <w:t>In light of the equivocal state of the customary international law of immunity, the long</w:t>
      </w:r>
      <w:r w:rsidRPr="00EB034A">
        <w:rPr>
          <w:sz w:val="20"/>
          <w:lang w:val="en-US"/>
        </w:rPr>
        <w:noBreakHyphen/>
        <w:t xml:space="preserve">standing international acceptance of the principle of reparation manifested in Article 14 of the </w:t>
      </w:r>
      <w:r w:rsidRPr="00EB034A">
        <w:rPr>
          <w:i/>
          <w:sz w:val="20"/>
          <w:lang w:val="en-US"/>
        </w:rPr>
        <w:t>Convention Against Torture</w:t>
      </w:r>
      <w:r w:rsidRPr="00EB034A">
        <w:rPr>
          <w:sz w:val="20"/>
          <w:lang w:val="en-US"/>
        </w:rPr>
        <w:t xml:space="preserve">, and almost a century of increasing international recognition that human rights violations threaten global peace and stability, there is no reason to include torture in the category of official state conduct attracting individual immunity. Equivocal </w:t>
      </w:r>
      <w:r w:rsidRPr="00EB034A">
        <w:rPr>
          <w:sz w:val="20"/>
          <w:lang w:val="en-US"/>
        </w:rPr>
        <w:lastRenderedPageBreak/>
        <w:t>customary international law should not be interpreted so as to block access to a civil remedy for what is unequivocally prohibited.</w:t>
      </w:r>
    </w:p>
    <w:p w:rsidR="008927CA" w:rsidRDefault="008927CA" w:rsidP="008927CA">
      <w:pPr>
        <w:pStyle w:val="SCCNormalDoubleSpacing"/>
        <w:spacing w:line="240" w:lineRule="auto"/>
        <w:rPr>
          <w:sz w:val="20"/>
          <w:lang w:val="en-US"/>
        </w:rPr>
      </w:pPr>
    </w:p>
    <w:p w:rsidR="008927CA" w:rsidRDefault="008927CA" w:rsidP="008927CA">
      <w:pPr>
        <w:pStyle w:val="SCCNormalDoubleSpacing"/>
        <w:spacing w:line="240" w:lineRule="auto"/>
        <w:rPr>
          <w:sz w:val="20"/>
          <w:lang w:val="en-US"/>
        </w:rPr>
      </w:pPr>
      <w:r w:rsidRPr="00EB034A">
        <w:rPr>
          <w:sz w:val="20"/>
          <w:lang w:val="en-US"/>
        </w:rPr>
        <w:tab/>
        <w:t xml:space="preserve">The </w:t>
      </w:r>
      <w:r w:rsidRPr="00EB034A">
        <w:rPr>
          <w:i/>
          <w:sz w:val="20"/>
          <w:lang w:val="en-US"/>
        </w:rPr>
        <w:t>State Immunity Act</w:t>
      </w:r>
      <w:r w:rsidRPr="00EB034A">
        <w:rPr>
          <w:sz w:val="20"/>
          <w:lang w:val="en-US"/>
        </w:rPr>
        <w:t xml:space="preserve"> therefore does not apply to M and B. They are not immune from the jurisdiction of Canadian courts and the claims against them should be allowed to proceed.</w:t>
      </w:r>
    </w:p>
    <w:p w:rsidR="008927CA" w:rsidRDefault="008927CA" w:rsidP="008927CA">
      <w:pPr>
        <w:pStyle w:val="SCCNormalDoubleSpacing"/>
        <w:spacing w:line="240" w:lineRule="auto"/>
        <w:rPr>
          <w:sz w:val="20"/>
          <w:lang w:val="en-US"/>
        </w:rPr>
      </w:pPr>
    </w:p>
    <w:p w:rsidR="008927CA" w:rsidRPr="00EB034A" w:rsidRDefault="008927CA" w:rsidP="008927CA">
      <w:pPr>
        <w:pStyle w:val="SCCNormalDoubleSpacing"/>
        <w:spacing w:line="240" w:lineRule="auto"/>
        <w:rPr>
          <w:sz w:val="20"/>
          <w:lang w:val="en-US"/>
        </w:rPr>
      </w:pPr>
      <w:r w:rsidRPr="00EB034A">
        <w:rPr>
          <w:sz w:val="20"/>
        </w:rPr>
        <w:tab/>
        <w:t xml:space="preserve">APPEAL from a judgment of the Quebec Court of Appeal (Morissette, Wagner and Gascon JJ.A.), 2012 QCCA 1449, </w:t>
      </w:r>
      <w:r w:rsidRPr="00EB034A">
        <w:rPr>
          <w:sz w:val="20"/>
          <w:lang w:val="en-US"/>
        </w:rPr>
        <w:t>[2012] R.J.Q. 1567, 265 C.R.R. (2d) 265, 354 D.L.R. (4th) 385, [2012] AZ</w:t>
      </w:r>
      <w:r w:rsidRPr="00EB034A">
        <w:rPr>
          <w:sz w:val="20"/>
          <w:lang w:val="en-US"/>
        </w:rPr>
        <w:noBreakHyphen/>
        <w:t>50886272, [2012] Q.J. No. 7754 (QL), 2012 CarswellQue 8098, reversing in part a decision of Mongeon J., 2011 QCCS 196, 330 D.L.R. (4th) 1, 227 C.R.R. (2d) 233, [2011] AZ</w:t>
      </w:r>
      <w:r w:rsidRPr="00EB034A">
        <w:rPr>
          <w:sz w:val="20"/>
          <w:lang w:val="en-US"/>
        </w:rPr>
        <w:noBreakHyphen/>
        <w:t>50714217, [2011] Q.J. No. 412 (QL), 2011 CarswellQue 488.  Appeal dismissed, Abella J. dissenting.</w:t>
      </w:r>
    </w:p>
    <w:p w:rsidR="008927CA" w:rsidRDefault="008927CA" w:rsidP="008927CA">
      <w:pPr>
        <w:pStyle w:val="SCCNormalDoubleSpacing"/>
        <w:spacing w:line="240" w:lineRule="auto"/>
        <w:rPr>
          <w:rStyle w:val="SCCCounselNameChar"/>
          <w:sz w:val="20"/>
        </w:rPr>
      </w:pPr>
    </w:p>
    <w:p w:rsidR="008927CA" w:rsidRPr="00EB034A" w:rsidRDefault="008927CA" w:rsidP="008927CA">
      <w:pPr>
        <w:pStyle w:val="SCCNormalDoubleSpacing"/>
        <w:spacing w:line="240" w:lineRule="auto"/>
        <w:rPr>
          <w:rStyle w:val="SCCCounselPartyRoleChar"/>
          <w:sz w:val="20"/>
        </w:rPr>
      </w:pPr>
      <w:r w:rsidRPr="00EB034A">
        <w:rPr>
          <w:rStyle w:val="SCCCounselNameChar"/>
          <w:sz w:val="20"/>
        </w:rPr>
        <w:tab/>
        <w:t>Kurt A. Johnson</w:t>
      </w:r>
      <w:r w:rsidRPr="008927CA">
        <w:rPr>
          <w:rStyle w:val="SCCCounselSeparatorChar"/>
          <w:sz w:val="20"/>
          <w:lang w:val="en-CA"/>
        </w:rPr>
        <w:t xml:space="preserve">, </w:t>
      </w:r>
      <w:r w:rsidRPr="00EB034A">
        <w:rPr>
          <w:rStyle w:val="SCCCounselNameChar"/>
          <w:sz w:val="20"/>
        </w:rPr>
        <w:t>Mathieu Bouchard</w:t>
      </w:r>
      <w:r w:rsidRPr="00EB034A">
        <w:rPr>
          <w:rStyle w:val="SCCCounselNameChar"/>
          <w:i w:val="0"/>
          <w:sz w:val="20"/>
        </w:rPr>
        <w:t xml:space="preserve">, </w:t>
      </w:r>
      <w:r w:rsidRPr="00EB034A">
        <w:rPr>
          <w:rStyle w:val="SCCCounselNameChar"/>
          <w:sz w:val="20"/>
        </w:rPr>
        <w:t>Audrey Boctor</w:t>
      </w:r>
      <w:r w:rsidRPr="008927CA">
        <w:rPr>
          <w:rStyle w:val="SCCCounselSeparatorChar"/>
          <w:sz w:val="20"/>
          <w:lang w:val="en-CA"/>
        </w:rPr>
        <w:t xml:space="preserve"> and </w:t>
      </w:r>
      <w:r w:rsidRPr="00EB034A">
        <w:rPr>
          <w:rStyle w:val="SCCCounselNameChar"/>
          <w:sz w:val="20"/>
        </w:rPr>
        <w:t>David Grossman</w:t>
      </w:r>
      <w:r w:rsidRPr="00EB034A">
        <w:rPr>
          <w:rStyle w:val="SCCCounselPartyRoleChar"/>
          <w:sz w:val="20"/>
        </w:rPr>
        <w:t>, for the appellants.</w:t>
      </w:r>
    </w:p>
    <w:p w:rsidR="008927CA" w:rsidRDefault="008927CA" w:rsidP="008927CA">
      <w:pPr>
        <w:pStyle w:val="SCCLawFirm"/>
        <w:spacing w:line="240" w:lineRule="auto"/>
        <w:rPr>
          <w:sz w:val="20"/>
        </w:rPr>
      </w:pPr>
    </w:p>
    <w:p w:rsidR="008927CA" w:rsidRPr="00EB034A" w:rsidRDefault="008927CA" w:rsidP="008927CA">
      <w:pPr>
        <w:pStyle w:val="SCCLawFirm"/>
        <w:spacing w:line="240" w:lineRule="auto"/>
        <w:rPr>
          <w:i w:val="0"/>
          <w:sz w:val="20"/>
        </w:rPr>
      </w:pPr>
      <w:r w:rsidRPr="00EB034A">
        <w:rPr>
          <w:sz w:val="20"/>
        </w:rPr>
        <w:tab/>
      </w:r>
      <w:r w:rsidRPr="00EB034A">
        <w:rPr>
          <w:i w:val="0"/>
          <w:sz w:val="20"/>
        </w:rPr>
        <w:t>No one appeared for the respondents the Islamic Republic of Iran, Ayatollah Sayyid Ali Khamenei, Saeed Mortazavi and Mohammad Bakhshi.</w:t>
      </w:r>
    </w:p>
    <w:p w:rsidR="008927CA" w:rsidRDefault="008927CA" w:rsidP="008927CA">
      <w:pPr>
        <w:pStyle w:val="SCCNormalDoubleSpacing"/>
        <w:spacing w:line="240" w:lineRule="auto"/>
        <w:rPr>
          <w:rStyle w:val="SCCCounselNameChar"/>
          <w:sz w:val="20"/>
        </w:rPr>
      </w:pPr>
    </w:p>
    <w:p w:rsidR="008927CA" w:rsidRPr="00EB034A" w:rsidRDefault="008927CA" w:rsidP="008927CA">
      <w:pPr>
        <w:pStyle w:val="SCCNormalDoubleSpacing"/>
        <w:spacing w:line="240" w:lineRule="auto"/>
        <w:rPr>
          <w:sz w:val="20"/>
        </w:rPr>
      </w:pPr>
      <w:r w:rsidRPr="00EB034A">
        <w:rPr>
          <w:rStyle w:val="SCCCounselNameChar"/>
          <w:sz w:val="20"/>
        </w:rPr>
        <w:tab/>
        <w:t>Bernard Letarte</w:t>
      </w:r>
      <w:r w:rsidRPr="008927CA">
        <w:rPr>
          <w:rStyle w:val="SCCCounselSeparatorChar"/>
          <w:sz w:val="20"/>
          <w:lang w:val="en-CA"/>
        </w:rPr>
        <w:t xml:space="preserve"> and </w:t>
      </w:r>
      <w:r w:rsidRPr="00EB034A">
        <w:rPr>
          <w:rStyle w:val="SCCCounselNameChar"/>
          <w:sz w:val="20"/>
        </w:rPr>
        <w:t>René LeBlanc</w:t>
      </w:r>
      <w:r w:rsidRPr="00EB034A">
        <w:rPr>
          <w:rStyle w:val="SCCCounselPartyRoleChar"/>
          <w:sz w:val="20"/>
        </w:rPr>
        <w:t>, for the respondent the Attorney General of Canada.</w:t>
      </w:r>
    </w:p>
    <w:p w:rsidR="008927CA" w:rsidRDefault="008927CA" w:rsidP="008927CA">
      <w:pPr>
        <w:pStyle w:val="SCCNormalDoubleSpacing"/>
        <w:spacing w:line="240" w:lineRule="auto"/>
        <w:rPr>
          <w:rStyle w:val="SCCCounselNameChar"/>
          <w:sz w:val="20"/>
        </w:rPr>
      </w:pPr>
    </w:p>
    <w:p w:rsidR="008927CA" w:rsidRPr="00EB034A" w:rsidRDefault="008927CA" w:rsidP="008927CA">
      <w:pPr>
        <w:pStyle w:val="SCCNormalDoubleSpacing"/>
        <w:spacing w:line="240" w:lineRule="auto"/>
        <w:rPr>
          <w:rStyle w:val="SCCCounselNameChar"/>
          <w:sz w:val="20"/>
        </w:rPr>
      </w:pPr>
      <w:r w:rsidRPr="00EB034A">
        <w:rPr>
          <w:rStyle w:val="SCCCounselNameChar"/>
          <w:sz w:val="20"/>
        </w:rPr>
        <w:tab/>
        <w:t>Christopher D. Bredt</w:t>
      </w:r>
      <w:r w:rsidRPr="008927CA">
        <w:rPr>
          <w:rStyle w:val="SCCCounselSeparatorChar"/>
          <w:sz w:val="20"/>
          <w:lang w:val="en-CA"/>
        </w:rPr>
        <w:t xml:space="preserve"> and </w:t>
      </w:r>
      <w:r w:rsidRPr="00EB034A">
        <w:rPr>
          <w:rStyle w:val="SCCCounselNameChar"/>
          <w:sz w:val="20"/>
        </w:rPr>
        <w:t>Heather Pessione</w:t>
      </w:r>
      <w:r w:rsidRPr="00EB034A">
        <w:rPr>
          <w:rStyle w:val="SCCCounselPartyRoleChar"/>
          <w:sz w:val="20"/>
        </w:rPr>
        <w:t xml:space="preserve">, for the </w:t>
      </w:r>
      <w:r w:rsidRPr="00EB034A">
        <w:rPr>
          <w:rStyle w:val="SCCCounselPartyRoleChar"/>
          <w:i/>
          <w:sz w:val="20"/>
        </w:rPr>
        <w:t>amicus curiae</w:t>
      </w:r>
      <w:r w:rsidRPr="00EB034A">
        <w:rPr>
          <w:rStyle w:val="SCCCounselPartyRoleChar"/>
          <w:sz w:val="20"/>
        </w:rPr>
        <w:t>.</w:t>
      </w:r>
    </w:p>
    <w:p w:rsidR="008927CA" w:rsidRDefault="008927CA" w:rsidP="008927CA">
      <w:pPr>
        <w:pStyle w:val="SCCNormalDoubleSpacing"/>
        <w:spacing w:line="240" w:lineRule="auto"/>
        <w:rPr>
          <w:rStyle w:val="SCCCounselNameChar"/>
          <w:sz w:val="20"/>
        </w:rPr>
      </w:pPr>
    </w:p>
    <w:p w:rsidR="008927CA" w:rsidRPr="00EB034A" w:rsidRDefault="008927CA" w:rsidP="008927CA">
      <w:pPr>
        <w:pStyle w:val="SCCNormalDoubleSpacing"/>
        <w:spacing w:line="240" w:lineRule="auto"/>
        <w:rPr>
          <w:rStyle w:val="SCCCounselPartyRoleChar"/>
          <w:sz w:val="20"/>
        </w:rPr>
      </w:pPr>
      <w:r w:rsidRPr="00EB034A">
        <w:rPr>
          <w:rStyle w:val="SCCCounselNameChar"/>
          <w:sz w:val="20"/>
        </w:rPr>
        <w:tab/>
        <w:t>Jill Copeland</w:t>
      </w:r>
      <w:r w:rsidRPr="008927CA">
        <w:rPr>
          <w:rStyle w:val="SCCCounselSeparatorChar"/>
          <w:sz w:val="20"/>
          <w:lang w:val="en-CA"/>
        </w:rPr>
        <w:t xml:space="preserve"> and </w:t>
      </w:r>
      <w:r w:rsidRPr="00EB034A">
        <w:rPr>
          <w:rStyle w:val="SCCCounselNameChar"/>
          <w:sz w:val="20"/>
        </w:rPr>
        <w:t>Emma Phillips</w:t>
      </w:r>
      <w:r w:rsidRPr="00EB034A">
        <w:rPr>
          <w:rStyle w:val="SCCCounselPartyRoleChar"/>
          <w:sz w:val="20"/>
        </w:rPr>
        <w:t>, for the intervener the Canadian Lawyers for International Human Rights.</w:t>
      </w:r>
    </w:p>
    <w:p w:rsidR="008927CA" w:rsidRDefault="008927CA" w:rsidP="008927CA">
      <w:pPr>
        <w:pStyle w:val="SCCNormalDoubleSpacing"/>
        <w:spacing w:line="240" w:lineRule="auto"/>
        <w:rPr>
          <w:rStyle w:val="SCCCounselNameChar"/>
          <w:sz w:val="20"/>
        </w:rPr>
      </w:pPr>
    </w:p>
    <w:p w:rsidR="008927CA" w:rsidRPr="00EB034A" w:rsidRDefault="008927CA" w:rsidP="008927CA">
      <w:pPr>
        <w:pStyle w:val="SCCNormalDoubleSpacing"/>
        <w:spacing w:line="240" w:lineRule="auto"/>
        <w:rPr>
          <w:sz w:val="20"/>
        </w:rPr>
      </w:pPr>
      <w:r w:rsidRPr="00EB034A">
        <w:rPr>
          <w:rStyle w:val="SCCCounselNameChar"/>
          <w:sz w:val="20"/>
        </w:rPr>
        <w:tab/>
        <w:t>François Larocque</w:t>
      </w:r>
      <w:r w:rsidRPr="008927CA">
        <w:rPr>
          <w:rStyle w:val="SCCCounselSeparatorChar"/>
          <w:sz w:val="20"/>
          <w:lang w:val="en-CA"/>
        </w:rPr>
        <w:t xml:space="preserve"> and </w:t>
      </w:r>
      <w:r w:rsidRPr="00EB034A">
        <w:rPr>
          <w:rStyle w:val="SCCCounselNameChar"/>
          <w:sz w:val="20"/>
        </w:rPr>
        <w:t>Alyssa Tomkins</w:t>
      </w:r>
      <w:r w:rsidRPr="00EB034A">
        <w:rPr>
          <w:rStyle w:val="SCCCounselPartyRoleChar"/>
          <w:sz w:val="20"/>
        </w:rPr>
        <w:t>, for the intervener Amnistie internationale, Section Canada francophone.</w:t>
      </w:r>
    </w:p>
    <w:p w:rsidR="008927CA" w:rsidRDefault="008927CA" w:rsidP="008927CA">
      <w:pPr>
        <w:pStyle w:val="SCCNormalDoubleSpacing"/>
        <w:spacing w:line="240" w:lineRule="auto"/>
        <w:rPr>
          <w:rStyle w:val="SCCCounselNameChar"/>
          <w:sz w:val="20"/>
        </w:rPr>
      </w:pPr>
    </w:p>
    <w:p w:rsidR="008927CA" w:rsidRPr="00EB034A" w:rsidRDefault="008927CA" w:rsidP="008927CA">
      <w:pPr>
        <w:pStyle w:val="SCCNormalDoubleSpacing"/>
        <w:spacing w:line="240" w:lineRule="auto"/>
        <w:rPr>
          <w:rStyle w:val="SCCCounselPartyRoleChar"/>
          <w:sz w:val="20"/>
        </w:rPr>
      </w:pPr>
      <w:r w:rsidRPr="00EB034A">
        <w:rPr>
          <w:rStyle w:val="SCCCounselNameChar"/>
          <w:sz w:val="20"/>
        </w:rPr>
        <w:tab/>
      </w:r>
      <w:r w:rsidRPr="00EB034A">
        <w:rPr>
          <w:rStyle w:val="SCCCounselNameChar"/>
          <w:i w:val="0"/>
          <w:sz w:val="20"/>
        </w:rPr>
        <w:t>Written submissions only by</w:t>
      </w:r>
      <w:r w:rsidRPr="00EB034A">
        <w:rPr>
          <w:rStyle w:val="SCCCounselPartyRoleChar"/>
          <w:sz w:val="20"/>
        </w:rPr>
        <w:t xml:space="preserve"> </w:t>
      </w:r>
      <w:r w:rsidRPr="00EB034A">
        <w:rPr>
          <w:rStyle w:val="SCCCounselNameChar"/>
          <w:sz w:val="20"/>
          <w:lang w:val="en-US"/>
        </w:rPr>
        <w:t>Azim Hussain</w:t>
      </w:r>
      <w:r w:rsidRPr="00EB034A">
        <w:rPr>
          <w:rStyle w:val="SCCCounselSeparatorChar"/>
          <w:sz w:val="20"/>
          <w:lang w:val="en-US"/>
        </w:rPr>
        <w:t xml:space="preserve">, </w:t>
      </w:r>
      <w:r w:rsidRPr="00EB034A">
        <w:rPr>
          <w:rStyle w:val="SCCCounselNameChar"/>
          <w:sz w:val="20"/>
          <w:lang w:val="en-US"/>
        </w:rPr>
        <w:t>Rahool P. Agarwal</w:t>
      </w:r>
      <w:r w:rsidRPr="00EB034A">
        <w:rPr>
          <w:rStyle w:val="SCCCounselSeparatorChar"/>
          <w:sz w:val="20"/>
          <w:lang w:val="en-US"/>
        </w:rPr>
        <w:t xml:space="preserve"> and </w:t>
      </w:r>
      <w:r w:rsidRPr="00EB034A">
        <w:rPr>
          <w:rStyle w:val="SCCCounselNameChar"/>
          <w:sz w:val="20"/>
          <w:lang w:val="en-US"/>
        </w:rPr>
        <w:t>Maureen R. A. Edwards</w:t>
      </w:r>
      <w:r w:rsidRPr="00EB034A">
        <w:rPr>
          <w:rStyle w:val="SCCCounselNameChar"/>
          <w:i w:val="0"/>
          <w:sz w:val="20"/>
          <w:lang w:val="en-US"/>
        </w:rPr>
        <w:t>,</w:t>
      </w:r>
      <w:r w:rsidRPr="00EB034A">
        <w:rPr>
          <w:rStyle w:val="SCCCounselPartyRoleChar"/>
          <w:i/>
          <w:sz w:val="20"/>
        </w:rPr>
        <w:t xml:space="preserve"> </w:t>
      </w:r>
      <w:r w:rsidRPr="00EB034A">
        <w:rPr>
          <w:rStyle w:val="SCCCounselPartyRoleChar"/>
          <w:sz w:val="20"/>
        </w:rPr>
        <w:t>for the intervener Redress Trust Ltd.</w:t>
      </w:r>
    </w:p>
    <w:p w:rsidR="008927CA" w:rsidRDefault="008927CA" w:rsidP="008927CA">
      <w:pPr>
        <w:pStyle w:val="SCCNormalDoubleSpacing"/>
        <w:spacing w:line="240" w:lineRule="auto"/>
        <w:rPr>
          <w:rStyle w:val="SCCCounselNameChar"/>
          <w:sz w:val="20"/>
        </w:rPr>
      </w:pPr>
    </w:p>
    <w:p w:rsidR="008927CA" w:rsidRPr="00EB034A" w:rsidRDefault="008927CA" w:rsidP="008927CA">
      <w:pPr>
        <w:pStyle w:val="SCCNormalDoubleSpacing"/>
        <w:spacing w:line="240" w:lineRule="auto"/>
        <w:rPr>
          <w:sz w:val="20"/>
        </w:rPr>
      </w:pPr>
      <w:r w:rsidRPr="00EB034A">
        <w:rPr>
          <w:rStyle w:val="SCCCounselNameChar"/>
          <w:sz w:val="20"/>
        </w:rPr>
        <w:tab/>
      </w:r>
      <w:r w:rsidRPr="00EB034A">
        <w:rPr>
          <w:rStyle w:val="SCCCounselNameChar"/>
          <w:i w:val="0"/>
          <w:sz w:val="20"/>
        </w:rPr>
        <w:t>Written submissions only by</w:t>
      </w:r>
      <w:r w:rsidRPr="00EB034A">
        <w:rPr>
          <w:rStyle w:val="SCCCounselNameChar"/>
          <w:sz w:val="20"/>
        </w:rPr>
        <w:t xml:space="preserve"> Daniel Sheppard</w:t>
      </w:r>
      <w:r w:rsidRPr="008927CA">
        <w:rPr>
          <w:rStyle w:val="SCCCounselSeparatorChar"/>
          <w:sz w:val="20"/>
          <w:lang w:val="en-CA"/>
        </w:rPr>
        <w:t xml:space="preserve"> and </w:t>
      </w:r>
      <w:r w:rsidRPr="00EB034A">
        <w:rPr>
          <w:rStyle w:val="SCCCounselNameChar"/>
          <w:sz w:val="20"/>
        </w:rPr>
        <w:t>Tamara Morgenthau</w:t>
      </w:r>
      <w:r w:rsidRPr="00EB034A">
        <w:rPr>
          <w:rStyle w:val="SCCCounselPartyRoleChar"/>
          <w:sz w:val="20"/>
        </w:rPr>
        <w:t>, for the intervener the Canadian Association of Refugee Lawyers.</w:t>
      </w:r>
    </w:p>
    <w:p w:rsidR="008927CA" w:rsidRDefault="008927CA" w:rsidP="008927CA">
      <w:pPr>
        <w:pStyle w:val="SCCNormalDoubleSpacing"/>
        <w:spacing w:line="240" w:lineRule="auto"/>
        <w:rPr>
          <w:rStyle w:val="SCCCounselNameChar"/>
          <w:sz w:val="20"/>
        </w:rPr>
      </w:pPr>
    </w:p>
    <w:p w:rsidR="008927CA" w:rsidRPr="00EB034A" w:rsidRDefault="008927CA" w:rsidP="008927CA">
      <w:pPr>
        <w:pStyle w:val="SCCNormalDoubleSpacing"/>
        <w:spacing w:line="240" w:lineRule="auto"/>
        <w:rPr>
          <w:sz w:val="20"/>
        </w:rPr>
      </w:pPr>
      <w:r w:rsidRPr="00EB034A">
        <w:rPr>
          <w:rStyle w:val="SCCCounselNameChar"/>
          <w:sz w:val="20"/>
        </w:rPr>
        <w:tab/>
      </w:r>
      <w:r w:rsidRPr="00EB034A">
        <w:rPr>
          <w:rStyle w:val="SCCCounselNameChar"/>
          <w:i w:val="0"/>
          <w:sz w:val="20"/>
        </w:rPr>
        <w:t xml:space="preserve">Written submissions only by </w:t>
      </w:r>
      <w:r w:rsidRPr="00EB034A">
        <w:rPr>
          <w:rStyle w:val="SCCCounselNameChar"/>
          <w:sz w:val="20"/>
        </w:rPr>
        <w:t>Michael Sobkin</w:t>
      </w:r>
      <w:r w:rsidRPr="00EB034A">
        <w:rPr>
          <w:rStyle w:val="SCCCounselPartyRoleChar"/>
          <w:sz w:val="20"/>
        </w:rPr>
        <w:t>, for the intervener the British Columbia Civil Liberties Association.</w:t>
      </w:r>
    </w:p>
    <w:p w:rsidR="008927CA" w:rsidRDefault="008927CA" w:rsidP="008927CA">
      <w:pPr>
        <w:pStyle w:val="SCCNormalDoubleSpacing"/>
        <w:spacing w:line="240" w:lineRule="auto"/>
        <w:rPr>
          <w:rStyle w:val="SCCCounselNameChar"/>
          <w:sz w:val="20"/>
        </w:rPr>
      </w:pPr>
    </w:p>
    <w:p w:rsidR="008927CA" w:rsidRPr="00EB034A" w:rsidRDefault="008927CA" w:rsidP="008927CA">
      <w:pPr>
        <w:pStyle w:val="SCCNormalDoubleSpacing"/>
        <w:spacing w:line="240" w:lineRule="auto"/>
        <w:rPr>
          <w:sz w:val="20"/>
        </w:rPr>
      </w:pPr>
      <w:r w:rsidRPr="00EB034A">
        <w:rPr>
          <w:rStyle w:val="SCCCounselNameChar"/>
          <w:sz w:val="20"/>
        </w:rPr>
        <w:tab/>
      </w:r>
      <w:r w:rsidRPr="00EB034A">
        <w:rPr>
          <w:rStyle w:val="SCCCounselNameChar"/>
          <w:i w:val="0"/>
          <w:sz w:val="20"/>
        </w:rPr>
        <w:t xml:space="preserve">Written submissions only by </w:t>
      </w:r>
      <w:r w:rsidRPr="00EB034A">
        <w:rPr>
          <w:rStyle w:val="SCCCounselNameChar"/>
          <w:sz w:val="20"/>
        </w:rPr>
        <w:t>David Matas</w:t>
      </w:r>
      <w:r w:rsidRPr="008927CA">
        <w:rPr>
          <w:rStyle w:val="SCCCounselSeparatorChar"/>
          <w:sz w:val="20"/>
          <w:lang w:val="en-CA"/>
        </w:rPr>
        <w:t xml:space="preserve">, </w:t>
      </w:r>
      <w:r w:rsidRPr="00EB034A">
        <w:rPr>
          <w:rStyle w:val="SCCCounselNameChar"/>
          <w:sz w:val="20"/>
        </w:rPr>
        <w:t>Monique Pongracic</w:t>
      </w:r>
      <w:r w:rsidRPr="00EB034A">
        <w:rPr>
          <w:rStyle w:val="SCCCounselNameChar"/>
          <w:sz w:val="20"/>
        </w:rPr>
        <w:noBreakHyphen/>
        <w:t>Speier</w:t>
      </w:r>
      <w:r w:rsidRPr="008927CA">
        <w:rPr>
          <w:rStyle w:val="SCCCounselSeparatorChar"/>
          <w:sz w:val="20"/>
          <w:lang w:val="en-CA"/>
        </w:rPr>
        <w:t xml:space="preserve"> and </w:t>
      </w:r>
      <w:r w:rsidRPr="00EB034A">
        <w:rPr>
          <w:rStyle w:val="SCCCounselNameChar"/>
          <w:sz w:val="20"/>
        </w:rPr>
        <w:t>Noemi Gal</w:t>
      </w:r>
      <w:r w:rsidRPr="00EB034A">
        <w:rPr>
          <w:rStyle w:val="SCCCounselNameChar"/>
          <w:sz w:val="20"/>
        </w:rPr>
        <w:noBreakHyphen/>
        <w:t>Or</w:t>
      </w:r>
      <w:r w:rsidRPr="00EB034A">
        <w:rPr>
          <w:rStyle w:val="SCCCounselPartyRoleChar"/>
          <w:sz w:val="20"/>
        </w:rPr>
        <w:t>, for the intervener the Canadian Bar Association.</w:t>
      </w:r>
    </w:p>
    <w:p w:rsidR="008927CA" w:rsidRDefault="008927CA" w:rsidP="008927CA">
      <w:pPr>
        <w:pStyle w:val="SCCNormalDoubleSpacing"/>
        <w:spacing w:line="240" w:lineRule="auto"/>
        <w:rPr>
          <w:rStyle w:val="SCCCounselNameChar"/>
          <w:sz w:val="20"/>
        </w:rPr>
      </w:pPr>
    </w:p>
    <w:p w:rsidR="008927CA" w:rsidRPr="00EB034A" w:rsidRDefault="008927CA" w:rsidP="008927CA">
      <w:pPr>
        <w:pStyle w:val="SCCNormalDoubleSpacing"/>
        <w:spacing w:line="240" w:lineRule="auto"/>
        <w:rPr>
          <w:sz w:val="20"/>
        </w:rPr>
      </w:pPr>
      <w:r w:rsidRPr="00EB034A">
        <w:rPr>
          <w:rStyle w:val="SCCCounselNameChar"/>
          <w:sz w:val="20"/>
        </w:rPr>
        <w:tab/>
        <w:t>Christopher A. Wayland</w:t>
      </w:r>
      <w:r w:rsidRPr="008927CA">
        <w:rPr>
          <w:rStyle w:val="SCCCounselSeparatorChar"/>
          <w:sz w:val="20"/>
          <w:lang w:val="en-CA"/>
        </w:rPr>
        <w:t xml:space="preserve"> and </w:t>
      </w:r>
      <w:r w:rsidRPr="00EB034A">
        <w:rPr>
          <w:rStyle w:val="SCCCounselNameChar"/>
          <w:sz w:val="20"/>
        </w:rPr>
        <w:t>Simon Chamberland</w:t>
      </w:r>
      <w:r w:rsidRPr="00EB034A">
        <w:rPr>
          <w:rStyle w:val="SCCCounselPartyRoleChar"/>
          <w:sz w:val="20"/>
        </w:rPr>
        <w:t>, for the intervener the Canadian Civil Liberties Association.</w:t>
      </w:r>
    </w:p>
    <w:p w:rsidR="008927CA" w:rsidRDefault="008927CA" w:rsidP="008927CA">
      <w:pPr>
        <w:pStyle w:val="SCCNormalDoubleSpacing"/>
        <w:spacing w:line="240" w:lineRule="auto"/>
        <w:rPr>
          <w:rStyle w:val="SCCCounselNameChar"/>
          <w:sz w:val="20"/>
        </w:rPr>
      </w:pPr>
    </w:p>
    <w:p w:rsidR="008927CA" w:rsidRPr="00EB034A" w:rsidRDefault="008927CA" w:rsidP="008927CA">
      <w:pPr>
        <w:pStyle w:val="SCCNormalDoubleSpacing"/>
        <w:spacing w:line="240" w:lineRule="auto"/>
        <w:rPr>
          <w:sz w:val="20"/>
        </w:rPr>
      </w:pPr>
      <w:r w:rsidRPr="00EB034A">
        <w:rPr>
          <w:rStyle w:val="SCCCounselNameChar"/>
          <w:sz w:val="20"/>
        </w:rPr>
        <w:tab/>
        <w:t>John Terry</w:t>
      </w:r>
      <w:r w:rsidRPr="008927CA">
        <w:rPr>
          <w:rStyle w:val="SCCCounselSeparatorChar"/>
          <w:sz w:val="20"/>
          <w:lang w:val="en-CA"/>
        </w:rPr>
        <w:t xml:space="preserve"> and </w:t>
      </w:r>
      <w:r w:rsidRPr="00EB034A">
        <w:rPr>
          <w:rStyle w:val="SCCCounselNameChar"/>
          <w:sz w:val="20"/>
        </w:rPr>
        <w:t>Sarah Shody</w:t>
      </w:r>
      <w:r w:rsidRPr="00EB034A">
        <w:rPr>
          <w:rStyle w:val="SCCCounselPartyRoleChar"/>
          <w:sz w:val="20"/>
        </w:rPr>
        <w:t>, for the intervener the Canadian Centre for International Justice.</w:t>
      </w:r>
    </w:p>
    <w:p w:rsidR="008927CA" w:rsidRDefault="008927CA" w:rsidP="008927CA">
      <w:pPr>
        <w:pStyle w:val="SCCNormalDoubleSpacing"/>
        <w:spacing w:line="240" w:lineRule="auto"/>
        <w:rPr>
          <w:rStyle w:val="SCCCounselNameChar"/>
          <w:sz w:val="20"/>
        </w:rPr>
      </w:pPr>
    </w:p>
    <w:p w:rsidR="008927CA" w:rsidRPr="00EB034A" w:rsidRDefault="008927CA" w:rsidP="008927CA">
      <w:pPr>
        <w:pStyle w:val="SCCNormalDoubleSpacing"/>
        <w:spacing w:line="240" w:lineRule="auto"/>
        <w:rPr>
          <w:sz w:val="20"/>
        </w:rPr>
      </w:pPr>
      <w:r w:rsidRPr="00EB034A">
        <w:rPr>
          <w:rStyle w:val="SCCCounselNameChar"/>
          <w:sz w:val="20"/>
        </w:rPr>
        <w:tab/>
        <w:t>John Norris</w:t>
      </w:r>
      <w:r w:rsidRPr="008927CA">
        <w:rPr>
          <w:rStyle w:val="SCCCounselSeparatorChar"/>
          <w:sz w:val="20"/>
          <w:lang w:val="en-CA"/>
        </w:rPr>
        <w:t xml:space="preserve"> and </w:t>
      </w:r>
      <w:r w:rsidRPr="00EB034A">
        <w:rPr>
          <w:rStyle w:val="SCCCounselNameChar"/>
          <w:sz w:val="20"/>
        </w:rPr>
        <w:t>Carmen Cheung</w:t>
      </w:r>
      <w:r w:rsidRPr="00EB034A">
        <w:rPr>
          <w:rStyle w:val="SCCCounselPartyRoleChar"/>
          <w:sz w:val="20"/>
        </w:rPr>
        <w:t>, for the interveners the David Asper Centre for Constitutional Rights and the International Human Rights Program at the University of Toronto Faculty of Law.</w:t>
      </w:r>
    </w:p>
    <w:p w:rsidR="008927CA" w:rsidRDefault="008927CA" w:rsidP="008927CA">
      <w:pPr>
        <w:pStyle w:val="SCCNormalDoubleSpacing"/>
        <w:spacing w:line="240" w:lineRule="auto"/>
        <w:rPr>
          <w:sz w:val="20"/>
          <w:lang w:val="en-US"/>
        </w:rPr>
      </w:pPr>
    </w:p>
    <w:p w:rsidR="008927CA" w:rsidRPr="00EB034A" w:rsidRDefault="008927CA" w:rsidP="008927CA">
      <w:pPr>
        <w:pStyle w:val="SCCNormalDoubleSpacing"/>
        <w:spacing w:line="240" w:lineRule="auto"/>
        <w:rPr>
          <w:sz w:val="20"/>
          <w:lang w:val="en-US"/>
        </w:rPr>
      </w:pPr>
      <w:r w:rsidRPr="00EB034A">
        <w:rPr>
          <w:sz w:val="20"/>
          <w:lang w:val="en-US"/>
        </w:rPr>
        <w:tab/>
      </w:r>
      <w:r w:rsidRPr="00EB034A">
        <w:rPr>
          <w:i/>
          <w:sz w:val="20"/>
          <w:lang w:val="en-US"/>
        </w:rPr>
        <w:t>Babak Barin</w:t>
      </w:r>
      <w:r w:rsidRPr="00EB034A">
        <w:rPr>
          <w:sz w:val="20"/>
          <w:lang w:val="en-US"/>
        </w:rPr>
        <w:t xml:space="preserve"> and </w:t>
      </w:r>
      <w:r w:rsidRPr="00EB034A">
        <w:rPr>
          <w:i/>
          <w:sz w:val="20"/>
          <w:lang w:val="en-US"/>
        </w:rPr>
        <w:t>Payam Akhavan</w:t>
      </w:r>
      <w:r w:rsidRPr="00EB034A">
        <w:rPr>
          <w:sz w:val="20"/>
          <w:lang w:val="en-US"/>
        </w:rPr>
        <w:t>, for the intervener the Iran Human Rights Documentation Center.</w:t>
      </w:r>
    </w:p>
    <w:p w:rsidR="008927CA" w:rsidRDefault="008927CA" w:rsidP="008927CA">
      <w:pPr>
        <w:pStyle w:val="SCCLawFirm"/>
        <w:spacing w:line="240" w:lineRule="auto"/>
        <w:rPr>
          <w:sz w:val="20"/>
        </w:rPr>
      </w:pPr>
    </w:p>
    <w:p w:rsidR="008927CA" w:rsidRPr="00EB034A" w:rsidRDefault="008927CA" w:rsidP="008927CA">
      <w:pPr>
        <w:pStyle w:val="SCCLawFirm"/>
        <w:spacing w:line="240" w:lineRule="auto"/>
        <w:rPr>
          <w:sz w:val="20"/>
        </w:rPr>
      </w:pPr>
      <w:r w:rsidRPr="00EB034A">
        <w:rPr>
          <w:sz w:val="20"/>
        </w:rPr>
        <w:tab/>
        <w:t>Solicitors for the appellants:  Irving Mitchell Kalichman, Montréal.</w:t>
      </w:r>
    </w:p>
    <w:p w:rsidR="008927CA" w:rsidRDefault="008927CA" w:rsidP="008927CA">
      <w:pPr>
        <w:pStyle w:val="SCCLawFirm"/>
        <w:spacing w:line="240" w:lineRule="auto"/>
        <w:rPr>
          <w:sz w:val="20"/>
        </w:rPr>
      </w:pPr>
    </w:p>
    <w:p w:rsidR="008927CA" w:rsidRPr="00EB034A" w:rsidRDefault="008927CA" w:rsidP="008927CA">
      <w:pPr>
        <w:pStyle w:val="SCCLawFirm"/>
        <w:spacing w:line="240" w:lineRule="auto"/>
        <w:rPr>
          <w:sz w:val="20"/>
          <w:lang w:val="en-US"/>
        </w:rPr>
      </w:pPr>
      <w:r w:rsidRPr="00EB034A">
        <w:rPr>
          <w:sz w:val="20"/>
        </w:rPr>
        <w:tab/>
      </w:r>
      <w:r w:rsidRPr="00EB034A">
        <w:rPr>
          <w:sz w:val="20"/>
          <w:lang w:val="en-US"/>
        </w:rPr>
        <w:t>Solicitor for the respondent the Attorney General of Canada:  Attorney General of Canada, Ottawa.</w:t>
      </w:r>
    </w:p>
    <w:p w:rsidR="008927CA" w:rsidRDefault="008927CA" w:rsidP="008927CA">
      <w:pPr>
        <w:pStyle w:val="SCCLawFirm"/>
        <w:spacing w:line="240" w:lineRule="auto"/>
        <w:rPr>
          <w:sz w:val="20"/>
        </w:rPr>
      </w:pPr>
    </w:p>
    <w:p w:rsidR="008927CA" w:rsidRPr="00EB034A" w:rsidRDefault="008927CA" w:rsidP="008927CA">
      <w:pPr>
        <w:pStyle w:val="SCCLawFirm"/>
        <w:spacing w:line="240" w:lineRule="auto"/>
        <w:rPr>
          <w:sz w:val="20"/>
        </w:rPr>
      </w:pPr>
      <w:r w:rsidRPr="00EB034A">
        <w:rPr>
          <w:sz w:val="20"/>
        </w:rPr>
        <w:tab/>
      </w:r>
      <w:r w:rsidRPr="00EB034A">
        <w:rPr>
          <w:iCs/>
          <w:sz w:val="20"/>
        </w:rPr>
        <w:t>Solicitors appointed by the Court as amicus curiae</w:t>
      </w:r>
      <w:r w:rsidRPr="00EB034A">
        <w:rPr>
          <w:i w:val="0"/>
          <w:iCs/>
          <w:sz w:val="20"/>
        </w:rPr>
        <w:t>:  </w:t>
      </w:r>
      <w:r w:rsidRPr="00EB034A">
        <w:rPr>
          <w:sz w:val="20"/>
        </w:rPr>
        <w:t>Borden Ladner Gervais, Toronto.</w:t>
      </w:r>
    </w:p>
    <w:p w:rsidR="008927CA" w:rsidRDefault="008927CA" w:rsidP="008927CA">
      <w:pPr>
        <w:pStyle w:val="SCCLawFirm"/>
        <w:spacing w:line="240" w:lineRule="auto"/>
        <w:rPr>
          <w:sz w:val="20"/>
        </w:rPr>
      </w:pPr>
    </w:p>
    <w:p w:rsidR="008927CA" w:rsidRPr="00EB034A" w:rsidRDefault="008927CA" w:rsidP="008927CA">
      <w:pPr>
        <w:pStyle w:val="SCCLawFirm"/>
        <w:spacing w:line="240" w:lineRule="auto"/>
        <w:rPr>
          <w:sz w:val="20"/>
        </w:rPr>
      </w:pPr>
      <w:r w:rsidRPr="00EB034A">
        <w:rPr>
          <w:sz w:val="20"/>
        </w:rPr>
        <w:tab/>
        <w:t>Solicitors for the intervener the Canadian Lawyers for International Human Rights:  Sack Goldblatt Mitchell, Toronto.</w:t>
      </w:r>
    </w:p>
    <w:p w:rsidR="008927CA" w:rsidRDefault="008927CA" w:rsidP="008927CA">
      <w:pPr>
        <w:pStyle w:val="SCCLawFirm"/>
        <w:spacing w:line="240" w:lineRule="auto"/>
        <w:rPr>
          <w:sz w:val="20"/>
        </w:rPr>
      </w:pPr>
    </w:p>
    <w:p w:rsidR="008927CA" w:rsidRPr="00EB034A" w:rsidRDefault="008927CA" w:rsidP="008927CA">
      <w:pPr>
        <w:pStyle w:val="SCCLawFirm"/>
        <w:spacing w:line="240" w:lineRule="auto"/>
        <w:rPr>
          <w:sz w:val="20"/>
        </w:rPr>
      </w:pPr>
      <w:r w:rsidRPr="00EB034A">
        <w:rPr>
          <w:sz w:val="20"/>
        </w:rPr>
        <w:tab/>
        <w:t>Solicitors for the intervener Amnistie internationale, Section Canada francophone:  Juristes Power Law, Ottawa</w:t>
      </w:r>
      <w:r w:rsidRPr="00EB034A">
        <w:rPr>
          <w:sz w:val="20"/>
          <w:lang w:val="en-US"/>
        </w:rPr>
        <w:t>; CazaSaikaley, Ottawa</w:t>
      </w:r>
      <w:r w:rsidRPr="00EB034A">
        <w:rPr>
          <w:sz w:val="20"/>
        </w:rPr>
        <w:t>.</w:t>
      </w:r>
    </w:p>
    <w:p w:rsidR="008927CA" w:rsidRDefault="008927CA" w:rsidP="008927CA">
      <w:pPr>
        <w:pStyle w:val="SCCLawFirm"/>
        <w:spacing w:line="240" w:lineRule="auto"/>
        <w:rPr>
          <w:sz w:val="20"/>
        </w:rPr>
      </w:pPr>
    </w:p>
    <w:p w:rsidR="008927CA" w:rsidRPr="00EB034A" w:rsidRDefault="008927CA" w:rsidP="008927CA">
      <w:pPr>
        <w:pStyle w:val="SCCLawFirm"/>
        <w:spacing w:line="240" w:lineRule="auto"/>
        <w:rPr>
          <w:sz w:val="20"/>
        </w:rPr>
      </w:pPr>
      <w:r w:rsidRPr="00EB034A">
        <w:rPr>
          <w:sz w:val="20"/>
        </w:rPr>
        <w:tab/>
        <w:t>Solicitors for the intervener Redress Trust Ltd.:  Norton Rose Fulbright Canada, Montréal and Toronto.</w:t>
      </w:r>
    </w:p>
    <w:p w:rsidR="008927CA" w:rsidRDefault="008927CA" w:rsidP="008927CA">
      <w:pPr>
        <w:pStyle w:val="SCCLawFirm"/>
        <w:spacing w:line="240" w:lineRule="auto"/>
        <w:rPr>
          <w:sz w:val="20"/>
        </w:rPr>
      </w:pPr>
    </w:p>
    <w:p w:rsidR="008927CA" w:rsidRPr="00EB034A" w:rsidRDefault="008927CA" w:rsidP="008927CA">
      <w:pPr>
        <w:pStyle w:val="SCCLawFirm"/>
        <w:spacing w:line="240" w:lineRule="auto"/>
        <w:rPr>
          <w:sz w:val="20"/>
        </w:rPr>
      </w:pPr>
      <w:r w:rsidRPr="00EB034A">
        <w:rPr>
          <w:sz w:val="20"/>
        </w:rPr>
        <w:tab/>
        <w:t>Solicitors for the intervener the Canadian Association of Refugee Lawyers:  Sack Goldblatt Mitchell, Toronto; Waldman &amp; Associates, Toronto.</w:t>
      </w:r>
    </w:p>
    <w:p w:rsidR="008927CA" w:rsidRDefault="008927CA" w:rsidP="008927CA">
      <w:pPr>
        <w:pStyle w:val="SCCLawFirm"/>
        <w:spacing w:line="240" w:lineRule="auto"/>
        <w:rPr>
          <w:sz w:val="20"/>
        </w:rPr>
      </w:pPr>
    </w:p>
    <w:p w:rsidR="008927CA" w:rsidRPr="00EB034A" w:rsidRDefault="008927CA" w:rsidP="008927CA">
      <w:pPr>
        <w:pStyle w:val="SCCLawFirm"/>
        <w:spacing w:line="240" w:lineRule="auto"/>
        <w:rPr>
          <w:sz w:val="20"/>
        </w:rPr>
      </w:pPr>
      <w:r w:rsidRPr="00EB034A">
        <w:rPr>
          <w:sz w:val="20"/>
        </w:rPr>
        <w:tab/>
        <w:t>Solicitors for the intervener the British Columbia Civil Liberties Association:  Branch, MacMaster, Vancouver; Michael Sobkin, Ottawa.</w:t>
      </w:r>
    </w:p>
    <w:p w:rsidR="008927CA" w:rsidRDefault="008927CA" w:rsidP="008927CA">
      <w:pPr>
        <w:pStyle w:val="SCCLawFirm"/>
        <w:spacing w:line="240" w:lineRule="auto"/>
        <w:rPr>
          <w:sz w:val="20"/>
        </w:rPr>
      </w:pPr>
    </w:p>
    <w:p w:rsidR="008927CA" w:rsidRPr="00EB034A" w:rsidRDefault="008927CA" w:rsidP="008927CA">
      <w:pPr>
        <w:pStyle w:val="SCCLawFirm"/>
        <w:spacing w:line="240" w:lineRule="auto"/>
        <w:rPr>
          <w:sz w:val="20"/>
        </w:rPr>
      </w:pPr>
      <w:r w:rsidRPr="00EB034A">
        <w:rPr>
          <w:sz w:val="20"/>
        </w:rPr>
        <w:tab/>
        <w:t>Solicitor for the intervener the Canadian Bar Association:  David Matas, Winnipeg</w:t>
      </w:r>
      <w:r w:rsidRPr="00EB034A">
        <w:rPr>
          <w:sz w:val="20"/>
          <w:lang w:val="en-US"/>
        </w:rPr>
        <w:t>; Ethos Law Group, Vancouver; Noemi Gal</w:t>
      </w:r>
      <w:r w:rsidRPr="00EB034A">
        <w:rPr>
          <w:sz w:val="20"/>
          <w:lang w:val="en-US"/>
        </w:rPr>
        <w:noBreakHyphen/>
        <w:t>Or Inc., Vancouver</w:t>
      </w:r>
      <w:r w:rsidRPr="00EB034A">
        <w:rPr>
          <w:sz w:val="20"/>
        </w:rPr>
        <w:t>.</w:t>
      </w:r>
    </w:p>
    <w:p w:rsidR="008927CA" w:rsidRDefault="008927CA" w:rsidP="008927CA">
      <w:pPr>
        <w:pStyle w:val="SCCLawFirm"/>
        <w:spacing w:line="240" w:lineRule="auto"/>
        <w:rPr>
          <w:sz w:val="20"/>
        </w:rPr>
      </w:pPr>
    </w:p>
    <w:p w:rsidR="008927CA" w:rsidRPr="00EB034A" w:rsidRDefault="008927CA" w:rsidP="008927CA">
      <w:pPr>
        <w:pStyle w:val="SCCLawFirm"/>
        <w:spacing w:line="240" w:lineRule="auto"/>
        <w:rPr>
          <w:sz w:val="20"/>
        </w:rPr>
      </w:pPr>
      <w:r w:rsidRPr="00EB034A">
        <w:rPr>
          <w:sz w:val="20"/>
        </w:rPr>
        <w:tab/>
        <w:t>Solicitors for the intervener the Canadian Civil Liberties Association:  McCarthy Tétrault, Toronto and Montréal.</w:t>
      </w:r>
    </w:p>
    <w:p w:rsidR="008927CA" w:rsidRDefault="008927CA" w:rsidP="008927CA">
      <w:pPr>
        <w:pStyle w:val="SCCLawFirm"/>
        <w:spacing w:line="240" w:lineRule="auto"/>
        <w:rPr>
          <w:sz w:val="20"/>
          <w:lang w:val="en-US"/>
        </w:rPr>
      </w:pPr>
    </w:p>
    <w:p w:rsidR="008927CA" w:rsidRPr="00EB034A" w:rsidRDefault="008927CA" w:rsidP="008927CA">
      <w:pPr>
        <w:pStyle w:val="SCCLawFirm"/>
        <w:spacing w:line="240" w:lineRule="auto"/>
        <w:rPr>
          <w:sz w:val="20"/>
        </w:rPr>
      </w:pPr>
      <w:r w:rsidRPr="00EB034A">
        <w:rPr>
          <w:sz w:val="20"/>
          <w:lang w:val="en-US"/>
        </w:rPr>
        <w:tab/>
      </w:r>
      <w:r w:rsidRPr="00EB034A">
        <w:rPr>
          <w:sz w:val="20"/>
        </w:rPr>
        <w:t>Solicitors for the intervener the Canadian Centre for International Justice:  Torys, Toronto.</w:t>
      </w:r>
    </w:p>
    <w:p w:rsidR="008927CA" w:rsidRDefault="008927CA" w:rsidP="008927CA">
      <w:pPr>
        <w:pStyle w:val="SCCLawFirm"/>
        <w:spacing w:line="240" w:lineRule="auto"/>
        <w:rPr>
          <w:sz w:val="20"/>
        </w:rPr>
      </w:pPr>
    </w:p>
    <w:p w:rsidR="008927CA" w:rsidRPr="00EB034A" w:rsidRDefault="008927CA" w:rsidP="008927CA">
      <w:pPr>
        <w:pStyle w:val="SCCLawFirm"/>
        <w:spacing w:line="240" w:lineRule="auto"/>
        <w:rPr>
          <w:sz w:val="20"/>
        </w:rPr>
      </w:pPr>
      <w:r w:rsidRPr="00EB034A">
        <w:rPr>
          <w:sz w:val="20"/>
        </w:rPr>
        <w:tab/>
        <w:t>Solicitors for the interveners the David Asper Centre for Constitutional Rights</w:t>
      </w:r>
      <w:r w:rsidRPr="00EB034A">
        <w:rPr>
          <w:i w:val="0"/>
          <w:sz w:val="20"/>
        </w:rPr>
        <w:t xml:space="preserve"> </w:t>
      </w:r>
      <w:r w:rsidRPr="00EB034A">
        <w:rPr>
          <w:sz w:val="20"/>
        </w:rPr>
        <w:t>and the International Human Rights Program at the University of Toronto Faculty of Law:  Simcoe Chambers, Toronto; University of Toronto, Toronto.</w:t>
      </w:r>
    </w:p>
    <w:p w:rsidR="008927CA" w:rsidRDefault="008927CA" w:rsidP="008927CA">
      <w:pPr>
        <w:pStyle w:val="SCCLawFirm"/>
        <w:spacing w:line="240" w:lineRule="auto"/>
        <w:rPr>
          <w:sz w:val="20"/>
        </w:rPr>
      </w:pPr>
    </w:p>
    <w:p w:rsidR="008927CA" w:rsidRDefault="008927CA" w:rsidP="008927CA">
      <w:pPr>
        <w:pStyle w:val="SCCLawFirm"/>
        <w:spacing w:line="240" w:lineRule="auto"/>
        <w:rPr>
          <w:sz w:val="20"/>
        </w:rPr>
      </w:pPr>
      <w:r w:rsidRPr="00EB034A">
        <w:rPr>
          <w:sz w:val="20"/>
        </w:rPr>
        <w:tab/>
        <w:t>Solicitors for the intervener the Iran Human Rights Documentation Center:  Barin Avocats, Montréal; McGill University, Montréal.</w:t>
      </w:r>
    </w:p>
    <w:p w:rsidR="0052229C" w:rsidRPr="00C42C54" w:rsidRDefault="0052229C" w:rsidP="0052229C">
      <w:pPr>
        <w:rPr>
          <w:sz w:val="20"/>
          <w:szCs w:val="20"/>
          <w:lang w:val="fr-CA"/>
        </w:rPr>
      </w:pPr>
      <w:r w:rsidRPr="00C42C54">
        <w:rPr>
          <w:sz w:val="20"/>
          <w:szCs w:val="20"/>
          <w:lang w:val="fr-CA"/>
        </w:rPr>
        <w:t>________________________</w:t>
      </w:r>
    </w:p>
    <w:p w:rsidR="0052229C" w:rsidRPr="00C42C54" w:rsidRDefault="0052229C" w:rsidP="0052229C">
      <w:pPr>
        <w:rPr>
          <w:sz w:val="20"/>
          <w:szCs w:val="20"/>
          <w:lang w:val="fr-CA"/>
        </w:rPr>
      </w:pPr>
    </w:p>
    <w:p w:rsidR="008927CA" w:rsidRPr="00873676" w:rsidRDefault="008927CA" w:rsidP="008927CA">
      <w:pPr>
        <w:jc w:val="both"/>
        <w:rPr>
          <w:sz w:val="20"/>
          <w:lang w:val="fr-CA"/>
        </w:rPr>
      </w:pPr>
      <w:r w:rsidRPr="00873676">
        <w:rPr>
          <w:sz w:val="20"/>
          <w:lang w:val="fr-CA"/>
        </w:rPr>
        <w:t>Présents : La juge en chef McLachlin et les juges LeBel, Abella, Rothstein, Cromwell, Moldaver et Karakatsanis.</w:t>
      </w:r>
    </w:p>
    <w:p w:rsidR="008927CA" w:rsidRDefault="008927CA" w:rsidP="008927CA">
      <w:pPr>
        <w:pStyle w:val="SCCNormalDoubleSpacing"/>
        <w:spacing w:line="240" w:lineRule="auto"/>
        <w:rPr>
          <w:sz w:val="20"/>
          <w:lang w:val="fr-CA"/>
        </w:rPr>
      </w:pPr>
    </w:p>
    <w:p w:rsidR="008927CA" w:rsidRPr="00873676" w:rsidRDefault="008927CA" w:rsidP="008927CA">
      <w:pPr>
        <w:pStyle w:val="SCCNormalDoubleSpacing"/>
        <w:spacing w:line="240" w:lineRule="auto"/>
        <w:rPr>
          <w:i/>
          <w:sz w:val="20"/>
          <w:lang w:val="fr-CA"/>
        </w:rPr>
      </w:pPr>
      <w:r w:rsidRPr="00873676">
        <w:rPr>
          <w:sz w:val="20"/>
          <w:lang w:val="fr-CA"/>
        </w:rPr>
        <w:tab/>
      </w:r>
      <w:r w:rsidRPr="00873676">
        <w:rPr>
          <w:i/>
          <w:sz w:val="20"/>
          <w:lang w:val="fr-CA"/>
        </w:rPr>
        <w:t>Droit international public — Immunité de juridiction — Action civile intentée au Québec contre l’Iran, le chef d’État de l’Iran et deux agents de l’État pour la torture alléguée et le décès d’une citoyenne canadienne en Iran — La Loi sur l’immunité des États fait</w:t>
      </w:r>
      <w:r w:rsidRPr="00873676">
        <w:rPr>
          <w:i/>
          <w:sz w:val="20"/>
          <w:lang w:val="fr-CA"/>
        </w:rPr>
        <w:noBreakHyphen/>
        <w:t>elle obstacle partiellement ou intégralement à l’action? — Le droit international exige</w:t>
      </w:r>
      <w:r w:rsidRPr="00873676">
        <w:rPr>
          <w:i/>
          <w:sz w:val="20"/>
          <w:lang w:val="fr-CA"/>
        </w:rPr>
        <w:noBreakHyphen/>
        <w:t>t</w:t>
      </w:r>
      <w:r w:rsidRPr="00873676">
        <w:rPr>
          <w:i/>
          <w:sz w:val="20"/>
          <w:lang w:val="fr-CA"/>
        </w:rPr>
        <w:noBreakHyphen/>
        <w:t>il une interprétation de la Loi sur l’immunité des États qui reconnaîtrait une exception dans les cas de torture? — L’immunité s’étend</w:t>
      </w:r>
      <w:r w:rsidRPr="00873676">
        <w:rPr>
          <w:i/>
          <w:sz w:val="20"/>
          <w:lang w:val="fr-CA"/>
        </w:rPr>
        <w:noBreakHyphen/>
        <w:t>elle aux agents d’États étrangers qui agissent dans l’exercice de leurs fonctions officielles? — La torture constitue</w:t>
      </w:r>
      <w:r w:rsidRPr="00873676">
        <w:rPr>
          <w:i/>
          <w:sz w:val="20"/>
          <w:lang w:val="fr-CA"/>
        </w:rPr>
        <w:noBreakHyphen/>
        <w:t>t</w:t>
      </w:r>
      <w:r w:rsidRPr="00873676">
        <w:rPr>
          <w:i/>
          <w:sz w:val="20"/>
          <w:lang w:val="fr-CA"/>
        </w:rPr>
        <w:noBreakHyphen/>
        <w:t>elle un acte officiel d’un État? — Loi sur l’immunité des États, L.R.C. 1985, ch. S</w:t>
      </w:r>
      <w:r w:rsidRPr="00873676">
        <w:rPr>
          <w:i/>
          <w:sz w:val="20"/>
          <w:lang w:val="fr-CA"/>
        </w:rPr>
        <w:noBreakHyphen/>
        <w:t>18, art. 3(1)</w:t>
      </w:r>
    </w:p>
    <w:p w:rsidR="008927CA" w:rsidRDefault="008927CA" w:rsidP="008927CA">
      <w:pPr>
        <w:pStyle w:val="SCCNormalDoubleSpacing"/>
        <w:spacing w:line="240" w:lineRule="auto"/>
        <w:rPr>
          <w:i/>
          <w:sz w:val="20"/>
          <w:lang w:val="fr-CA"/>
        </w:rPr>
      </w:pPr>
    </w:p>
    <w:p w:rsidR="008927CA" w:rsidRPr="00873676" w:rsidRDefault="008927CA" w:rsidP="008927CA">
      <w:pPr>
        <w:pStyle w:val="SCCNormalDoubleSpacing"/>
        <w:spacing w:line="240" w:lineRule="auto"/>
        <w:rPr>
          <w:i/>
          <w:sz w:val="20"/>
          <w:lang w:val="fr-CA"/>
        </w:rPr>
      </w:pPr>
      <w:r w:rsidRPr="00873676">
        <w:rPr>
          <w:i/>
          <w:sz w:val="20"/>
          <w:lang w:val="fr-CA"/>
        </w:rPr>
        <w:tab/>
        <w:t>Droit constitutionnel — Charte des droits — Déclaration des droits — Droit à la sécurité de la personne — Droit à une audition impartiale de sa cause — Immunité de juridiction — Action civile intentée au Québec contre l’Iran, le chef d’État de l’Iran et deux fonctionnaires pour la torture alléguée et le décès en Iran d’une citoyenne canadienne — Irrecevabilité de l’action par application du par. 3(1) de la Loi sur l’immunité des États — Le par. 3(1) de la Loi sur l’immunité des États est</w:t>
      </w:r>
      <w:r w:rsidRPr="00873676">
        <w:rPr>
          <w:i/>
          <w:sz w:val="20"/>
          <w:lang w:val="fr-CA"/>
        </w:rPr>
        <w:noBreakHyphen/>
        <w:t>il incompatible avec l’al. 2e) de la Déclaration des droits ou viole-t-il l’art. 7 de la Charte? —</w:t>
      </w:r>
      <w:r w:rsidRPr="00873676">
        <w:rPr>
          <w:sz w:val="20"/>
          <w:lang w:val="fr-CA"/>
        </w:rPr>
        <w:t xml:space="preserve"> </w:t>
      </w:r>
      <w:r w:rsidRPr="00873676">
        <w:rPr>
          <w:i/>
          <w:sz w:val="20"/>
          <w:lang w:val="fr-CA"/>
        </w:rPr>
        <w:t>Loi sur l’immunité des États, L.R.C. 1985, ch. S</w:t>
      </w:r>
      <w:r w:rsidRPr="00873676">
        <w:rPr>
          <w:i/>
          <w:sz w:val="20"/>
          <w:lang w:val="fr-CA"/>
        </w:rPr>
        <w:noBreakHyphen/>
        <w:t>18, art. 3(1) — Déclaration canadienne des droits, L.R.C. 1985, app. III, art. 2(e) — Charte des droits et libertés, art.7</w:t>
      </w:r>
    </w:p>
    <w:p w:rsidR="008927CA" w:rsidRDefault="008927CA" w:rsidP="008927CA">
      <w:pPr>
        <w:pStyle w:val="SCCNormalDoubleSpacing"/>
        <w:spacing w:line="240" w:lineRule="auto"/>
        <w:rPr>
          <w:sz w:val="20"/>
          <w:lang w:val="fr-CA"/>
        </w:rPr>
      </w:pPr>
    </w:p>
    <w:p w:rsidR="008927CA" w:rsidRPr="00873676" w:rsidRDefault="008927CA" w:rsidP="008927CA">
      <w:pPr>
        <w:pStyle w:val="SCCNormalDoubleSpacing"/>
        <w:spacing w:line="240" w:lineRule="auto"/>
        <w:rPr>
          <w:sz w:val="20"/>
          <w:lang w:val="fr-CA"/>
        </w:rPr>
      </w:pPr>
      <w:r w:rsidRPr="00873676">
        <w:rPr>
          <w:sz w:val="20"/>
          <w:lang w:val="fr-CA"/>
        </w:rPr>
        <w:tab/>
        <w:t>K, une citoyenne canadienne, s’est rendue en Iran en 2003 comme photographe et journaliste pigiste. Arrêtée, détenue et interrogée par les autorités iraniennes, elle a été battue, agressée sexuellement et torturée durant sa détention. Elle est morte des suites d’une lésion cérébrale subie alors qu’elle se trouvait détenue par les autorités iraniennes. Même si le fils de K, H, avait demandé que les restes de cette dernière soient envoyés au Canada pour qu’ils y soient inhumés, elle a été ensevelie en Iran. Bien qu’un rapport commandé par le gouvernement iranien ait impliqué des juges et le Bureau du procureur dans la torture de K, un seul individu a été traduit en justice et il a été acquitté à l’issue d’un procès marqué par un manque de transparence. Bref, il était impossible pour K et sa famille d’obtenir justice en Iran.</w:t>
      </w:r>
    </w:p>
    <w:p w:rsidR="008927CA" w:rsidRDefault="008927CA" w:rsidP="008927CA">
      <w:pPr>
        <w:pStyle w:val="SCCNormalDoubleSpacing"/>
        <w:spacing w:line="240" w:lineRule="auto"/>
        <w:rPr>
          <w:sz w:val="20"/>
          <w:lang w:val="fr-CA"/>
        </w:rPr>
      </w:pPr>
    </w:p>
    <w:p w:rsidR="008927CA" w:rsidRPr="00873676" w:rsidRDefault="008927CA" w:rsidP="008927CA">
      <w:pPr>
        <w:pStyle w:val="SCCNormalDoubleSpacing"/>
        <w:spacing w:line="240" w:lineRule="auto"/>
        <w:rPr>
          <w:sz w:val="20"/>
          <w:lang w:val="fr-CA"/>
        </w:rPr>
      </w:pPr>
      <w:r w:rsidRPr="00873676">
        <w:rPr>
          <w:sz w:val="20"/>
          <w:lang w:val="fr-CA"/>
        </w:rPr>
        <w:tab/>
        <w:t>En 2006, H, a intenté au Québec une action civile en dommages</w:t>
      </w:r>
      <w:r w:rsidRPr="00873676">
        <w:rPr>
          <w:sz w:val="20"/>
          <w:lang w:val="fr-CA"/>
        </w:rPr>
        <w:noBreakHyphen/>
        <w:t xml:space="preserve">intérêts en son propre nom et au nom de la succession de sa mère contre la République islamique d’Iran, son chef d’État, le procureur en chef des poursuites </w:t>
      </w:r>
      <w:r w:rsidRPr="00873676">
        <w:rPr>
          <w:sz w:val="20"/>
          <w:lang w:val="fr-CA"/>
        </w:rPr>
        <w:lastRenderedPageBreak/>
        <w:t>pénales de Téhéran et l’ancien chef adjoint du renseignement à la prison où K avait été détenue et torturée. H a réclamé des dommages</w:t>
      </w:r>
      <w:r w:rsidRPr="00873676">
        <w:rPr>
          <w:sz w:val="20"/>
          <w:lang w:val="fr-CA"/>
        </w:rPr>
        <w:noBreakHyphen/>
        <w:t>intérêts au nom de la succession de K pour les douleurs et souffrances physiques, psychologiques et émotionnelles qu’elle a subies ainsi que des dommages-intérêts pour le préjudice psychologique et émotionnel que lui a causé la perte de sa mère. H et la succession ont également réclamé des dommages</w:t>
      </w:r>
      <w:r w:rsidRPr="00873676">
        <w:rPr>
          <w:sz w:val="20"/>
          <w:lang w:val="fr-CA"/>
        </w:rPr>
        <w:noBreakHyphen/>
        <w:t xml:space="preserve">intérêts punitifs. Les défendeurs iraniens ont demandé par requête à la Cour supérieure du Québec le rejet de l’action en raison de l’immunité des États. H et la succession de K ont répondu en invoquant des exceptions prévues par la </w:t>
      </w:r>
      <w:r w:rsidRPr="00873676">
        <w:rPr>
          <w:i/>
          <w:sz w:val="20"/>
          <w:lang w:val="fr-CA"/>
        </w:rPr>
        <w:t>Loi sur l’immunité des États</w:t>
      </w:r>
      <w:r w:rsidRPr="00873676">
        <w:rPr>
          <w:sz w:val="20"/>
          <w:lang w:val="fr-CA"/>
        </w:rPr>
        <w:t xml:space="preserve"> (« </w:t>
      </w:r>
      <w:r w:rsidRPr="00873676">
        <w:rPr>
          <w:i/>
          <w:sz w:val="20"/>
          <w:lang w:val="fr-CA"/>
        </w:rPr>
        <w:t>LIÉ</w:t>
      </w:r>
      <w:r w:rsidRPr="00873676">
        <w:rPr>
          <w:sz w:val="20"/>
          <w:lang w:val="fr-CA"/>
        </w:rPr>
        <w:t> ») et en contestant la constitutionnalité de certaines des dispositions de cette loi.</w:t>
      </w:r>
    </w:p>
    <w:p w:rsidR="008927CA" w:rsidRDefault="008927CA" w:rsidP="008927CA">
      <w:pPr>
        <w:pStyle w:val="SCCNormalDoubleSpacing"/>
        <w:spacing w:line="240" w:lineRule="auto"/>
        <w:rPr>
          <w:sz w:val="20"/>
          <w:lang w:val="fr-CA"/>
        </w:rPr>
      </w:pPr>
    </w:p>
    <w:p w:rsidR="008927CA" w:rsidRPr="00873676" w:rsidRDefault="008927CA" w:rsidP="008927CA">
      <w:pPr>
        <w:pStyle w:val="SCCNormalDoubleSpacing"/>
        <w:spacing w:line="240" w:lineRule="auto"/>
        <w:rPr>
          <w:sz w:val="20"/>
          <w:lang w:val="fr-CA"/>
        </w:rPr>
      </w:pPr>
      <w:r w:rsidRPr="00873676">
        <w:rPr>
          <w:sz w:val="20"/>
          <w:lang w:val="fr-CA"/>
        </w:rPr>
        <w:tab/>
        <w:t xml:space="preserve">La Cour supérieure du Québec a rejeté la contestation constitutionnelle de la </w:t>
      </w:r>
      <w:r w:rsidRPr="00873676">
        <w:rPr>
          <w:i/>
          <w:sz w:val="20"/>
          <w:lang w:val="fr-CA"/>
        </w:rPr>
        <w:t>LIÉ</w:t>
      </w:r>
      <w:r w:rsidRPr="00873676">
        <w:rPr>
          <w:sz w:val="20"/>
          <w:lang w:val="fr-CA"/>
        </w:rPr>
        <w:t xml:space="preserve">, a accueilli la requête en rejet de l’action présentée par les défendeurs à l’égard du recours intenté au nom de la succession de K, mais a rejeté la requête relative au recours intenté par H en son propre nom. De l’avis de la cour, la </w:t>
      </w:r>
      <w:r w:rsidRPr="00873676">
        <w:rPr>
          <w:i/>
          <w:sz w:val="20"/>
          <w:lang w:val="fr-CA"/>
        </w:rPr>
        <w:t xml:space="preserve">LIÉ </w:t>
      </w:r>
      <w:r w:rsidRPr="00873676">
        <w:rPr>
          <w:sz w:val="20"/>
          <w:lang w:val="fr-CA"/>
        </w:rPr>
        <w:t xml:space="preserve">traite exhaustivement du droit à l’immunité des États et il n’existe en common law, en droit international ou dans les traités internationaux aucune exception non écrite à cette immunité susceptible de permettre la continuation des réclamations. Toutefois, la cour a conclu que l’action personnelle intentée par H relèverait possiblement d’une exception légale à l’immunité des États applicable aux actions découlant des dommages corporels survenus au Canada. La Cour d’appel du Québec a rejeté l’appel de la succession et accueilli celui des défendeurs iraniens quant à la réclamation de H. </w:t>
      </w:r>
    </w:p>
    <w:p w:rsidR="008927CA" w:rsidRDefault="008927CA" w:rsidP="008927CA">
      <w:pPr>
        <w:pStyle w:val="SCCNormalDoubleSpacing"/>
        <w:spacing w:line="240" w:lineRule="auto"/>
        <w:rPr>
          <w:sz w:val="20"/>
          <w:lang w:val="fr-CA"/>
        </w:rPr>
      </w:pPr>
    </w:p>
    <w:p w:rsidR="008927CA" w:rsidRPr="00873676" w:rsidRDefault="008927CA" w:rsidP="008927CA">
      <w:pPr>
        <w:pStyle w:val="SCCNormalDoubleSpacing"/>
        <w:spacing w:line="240" w:lineRule="auto"/>
        <w:rPr>
          <w:sz w:val="20"/>
          <w:lang w:val="fr-CA"/>
        </w:rPr>
      </w:pPr>
      <w:r w:rsidRPr="00873676">
        <w:rPr>
          <w:sz w:val="20"/>
          <w:lang w:val="fr-CA"/>
        </w:rPr>
        <w:tab/>
        <w:t xml:space="preserve">La question en litige dans le présent pourvoi est celle de savoir si la République islamique d’Iran, son chef d’État et les responsables présumés de la détention de K, de la torture dont elle a été victime et de son décès en Iran bénéficient de l’immunité en application de la </w:t>
      </w:r>
      <w:r w:rsidRPr="00873676">
        <w:rPr>
          <w:i/>
          <w:sz w:val="20"/>
          <w:lang w:val="fr-CA"/>
        </w:rPr>
        <w:t>LIÉ.</w:t>
      </w:r>
      <w:r w:rsidRPr="00873676">
        <w:rPr>
          <w:sz w:val="20"/>
          <w:lang w:val="fr-CA"/>
        </w:rPr>
        <w:t xml:space="preserve"> La réponse à cette question dépend de la portée de cette loi, de l’incidence que l’évolution du droit international depuis son adoption a pu avoir sur son interprétation, et de sa constitutionnalité. La question primordiale qui touche presque tous les aspects du présent pourvoi porte sur l’argument selon lequel le droit international a créé une compétence universelle obligatoire en matière civile à l’égard des allégations de torture qui obligerait le Canada à permettre aux victimes d’actes de torture commis à l’étranger de porter leurs réclamations devant ses tribunaux. En outre, la Cour est appelée à déterminer si des actes de torture peuvent constituer des actes officiels d’un État et si les fonctionnaires ayant commis des actes de torture peuvent bénéficier de l’immunité.</w:t>
      </w:r>
    </w:p>
    <w:p w:rsidR="008927CA" w:rsidRDefault="008927CA" w:rsidP="008927CA">
      <w:pPr>
        <w:pStyle w:val="SCCNormalDoubleSpacing"/>
        <w:spacing w:line="240" w:lineRule="auto"/>
        <w:rPr>
          <w:sz w:val="20"/>
          <w:lang w:val="fr-CA"/>
        </w:rPr>
      </w:pPr>
    </w:p>
    <w:p w:rsidR="008927CA" w:rsidRPr="00873676" w:rsidRDefault="008927CA" w:rsidP="008927CA">
      <w:pPr>
        <w:pStyle w:val="SCCNormalDoubleSpacing"/>
        <w:spacing w:line="240" w:lineRule="auto"/>
        <w:rPr>
          <w:sz w:val="20"/>
          <w:lang w:val="fr-CA"/>
        </w:rPr>
      </w:pPr>
      <w:r w:rsidRPr="00873676">
        <w:rPr>
          <w:sz w:val="20"/>
          <w:lang w:val="fr-CA"/>
        </w:rPr>
        <w:tab/>
      </w:r>
      <w:r w:rsidRPr="00873676">
        <w:rPr>
          <w:i/>
          <w:sz w:val="20"/>
          <w:lang w:val="fr-CA"/>
        </w:rPr>
        <w:t xml:space="preserve">Arrêt </w:t>
      </w:r>
      <w:r w:rsidRPr="00873676">
        <w:rPr>
          <w:sz w:val="20"/>
          <w:lang w:val="fr-CA"/>
        </w:rPr>
        <w:t>(la juge Abella est dissidente) : Le pourvoi est rejeté.</w:t>
      </w:r>
    </w:p>
    <w:p w:rsidR="008927CA" w:rsidRDefault="008927CA" w:rsidP="008927CA">
      <w:pPr>
        <w:pStyle w:val="SCCNormalDoubleSpacing"/>
        <w:spacing w:line="240" w:lineRule="auto"/>
        <w:rPr>
          <w:sz w:val="20"/>
          <w:lang w:val="fr-CA"/>
        </w:rPr>
      </w:pPr>
    </w:p>
    <w:p w:rsidR="008927CA" w:rsidRPr="00873676" w:rsidRDefault="008927CA" w:rsidP="008927CA">
      <w:pPr>
        <w:pStyle w:val="SCCNormalDoubleSpacing"/>
        <w:spacing w:line="240" w:lineRule="auto"/>
        <w:rPr>
          <w:sz w:val="20"/>
          <w:lang w:val="fr-CA"/>
        </w:rPr>
      </w:pPr>
      <w:r w:rsidRPr="00873676">
        <w:rPr>
          <w:sz w:val="20"/>
          <w:lang w:val="fr-CA"/>
        </w:rPr>
        <w:tab/>
        <w:t xml:space="preserve">La juge en chef McLachlin et les juges </w:t>
      </w:r>
      <w:r w:rsidRPr="00873676">
        <w:rPr>
          <w:b/>
          <w:sz w:val="20"/>
          <w:lang w:val="fr-CA"/>
        </w:rPr>
        <w:t>LeBel</w:t>
      </w:r>
      <w:r w:rsidRPr="00873676">
        <w:rPr>
          <w:sz w:val="20"/>
          <w:lang w:val="fr-CA"/>
        </w:rPr>
        <w:t>, Rothstein, Cromwell, Moldaver et Karakatsanis : Ni H, ni la succession de K ne peuvent poursuivre l’Iran ou ses fonctionnaires devant un tribunal canadien pour la torture subie par K. De plus, il faut rejeter les contestations des appelants fondées sur l’al. 2</w:t>
      </w:r>
      <w:r w:rsidRPr="00873676">
        <w:rPr>
          <w:i/>
          <w:sz w:val="20"/>
          <w:lang w:val="fr-CA"/>
        </w:rPr>
        <w:t>e</w:t>
      </w:r>
      <w:r w:rsidRPr="00873676">
        <w:rPr>
          <w:sz w:val="20"/>
          <w:lang w:val="fr-CA"/>
        </w:rPr>
        <w:t xml:space="preserve">) de la </w:t>
      </w:r>
      <w:r w:rsidRPr="00873676">
        <w:rPr>
          <w:i/>
          <w:sz w:val="20"/>
          <w:lang w:val="fr-CA"/>
        </w:rPr>
        <w:t>Déclaration canadienne des droits</w:t>
      </w:r>
      <w:r w:rsidRPr="00873676">
        <w:rPr>
          <w:sz w:val="20"/>
          <w:lang w:val="fr-CA"/>
        </w:rPr>
        <w:t xml:space="preserve"> et l’art. 7 de la </w:t>
      </w:r>
      <w:r w:rsidRPr="00873676">
        <w:rPr>
          <w:i/>
          <w:sz w:val="20"/>
          <w:lang w:val="fr-CA"/>
        </w:rPr>
        <w:t>Charte</w:t>
      </w:r>
      <w:r w:rsidRPr="00873676">
        <w:rPr>
          <w:sz w:val="20"/>
          <w:lang w:val="fr-CA"/>
        </w:rPr>
        <w:t>.</w:t>
      </w:r>
    </w:p>
    <w:p w:rsidR="008927CA" w:rsidRDefault="008927CA" w:rsidP="008927CA">
      <w:pPr>
        <w:pStyle w:val="SCCNormalDoubleSpacing"/>
        <w:spacing w:line="240" w:lineRule="auto"/>
        <w:rPr>
          <w:sz w:val="20"/>
          <w:lang w:val="fr-CA"/>
        </w:rPr>
      </w:pPr>
    </w:p>
    <w:p w:rsidR="008927CA" w:rsidRPr="00873676" w:rsidRDefault="008927CA" w:rsidP="008927CA">
      <w:pPr>
        <w:pStyle w:val="SCCNormalDoubleSpacing"/>
        <w:spacing w:line="240" w:lineRule="auto"/>
        <w:rPr>
          <w:sz w:val="20"/>
          <w:lang w:val="fr-CA"/>
        </w:rPr>
      </w:pPr>
      <w:r w:rsidRPr="00873676">
        <w:rPr>
          <w:sz w:val="20"/>
          <w:lang w:val="fr-CA"/>
        </w:rPr>
        <w:tab/>
        <w:t xml:space="preserve">L’immunité des États ne représente pas seulement une règle de droit international, mais témoigne aussi des choix faits par un pays pour des raisons politiques, notamment au sujet de ses relations internationales. L’engagement du Canada envers l’interdiction universelle de la torture reste fort. Cependant, le législateur a privilégié l’immunité des États étrangers par rapport à l’application de recours civils aux citoyens qui auraient été victimes de torture à l’étranger. Ce choix de politique générale ne représente pas un jugement sur les méfaits de la torture, mais une indication des principes que le législateur a décidé de promouvoir. </w:t>
      </w:r>
    </w:p>
    <w:p w:rsidR="008927CA" w:rsidRDefault="008927CA" w:rsidP="008927CA">
      <w:pPr>
        <w:pStyle w:val="SCCNormalDoubleSpacing"/>
        <w:spacing w:line="240" w:lineRule="auto"/>
        <w:rPr>
          <w:sz w:val="20"/>
          <w:lang w:val="fr-CA"/>
        </w:rPr>
      </w:pPr>
    </w:p>
    <w:p w:rsidR="008927CA" w:rsidRPr="00873676" w:rsidRDefault="008927CA" w:rsidP="008927CA">
      <w:pPr>
        <w:pStyle w:val="SCCNormalDoubleSpacing"/>
        <w:spacing w:line="240" w:lineRule="auto"/>
        <w:rPr>
          <w:sz w:val="20"/>
          <w:lang w:val="fr-CA"/>
        </w:rPr>
      </w:pPr>
      <w:r w:rsidRPr="00873676">
        <w:rPr>
          <w:sz w:val="20"/>
          <w:lang w:val="fr-CA"/>
        </w:rPr>
        <w:tab/>
        <w:t xml:space="preserve">Au Canada, l’immunité des États à l’égard des poursuites civiles est consacrée par la </w:t>
      </w:r>
      <w:r w:rsidRPr="00873676">
        <w:rPr>
          <w:i/>
          <w:sz w:val="20"/>
          <w:lang w:val="fr-CA"/>
        </w:rPr>
        <w:t>LIÉ</w:t>
      </w:r>
      <w:r w:rsidRPr="00873676">
        <w:rPr>
          <w:sz w:val="20"/>
          <w:lang w:val="fr-CA"/>
        </w:rPr>
        <w:t xml:space="preserve">. Cette loi codifie de manière exhaustive le droit canadien concernant la question de l’immunité des États à l’encontre de poursuites civiles. </w:t>
      </w:r>
      <w:r w:rsidRPr="00873676">
        <w:rPr>
          <w:bCs/>
          <w:sz w:val="20"/>
          <w:lang w:val="fr-CA"/>
        </w:rPr>
        <w:t>Elle</w:t>
      </w:r>
      <w:r w:rsidRPr="00873676">
        <w:rPr>
          <w:bCs/>
          <w:i/>
          <w:sz w:val="20"/>
          <w:lang w:val="fr-CA"/>
        </w:rPr>
        <w:t xml:space="preserve"> </w:t>
      </w:r>
      <w:r w:rsidRPr="00873676">
        <w:rPr>
          <w:bCs/>
          <w:sz w:val="20"/>
          <w:lang w:val="fr-CA"/>
        </w:rPr>
        <w:t xml:space="preserve">établit une liste exhaustive des exceptions à l’immunité des États et ne prévoit aucune exception à l’immunité à l’égard de poursuites civiles pour des actes allégués de torture commis à l’étranger. En conséquence, il n’est pas nécessaire de se fonder sur la common law, les normes de </w:t>
      </w:r>
      <w:r w:rsidRPr="00873676">
        <w:rPr>
          <w:bCs/>
          <w:i/>
          <w:sz w:val="20"/>
          <w:lang w:val="fr-CA"/>
        </w:rPr>
        <w:t xml:space="preserve">jus cogens </w:t>
      </w:r>
      <w:r w:rsidRPr="00873676">
        <w:rPr>
          <w:bCs/>
          <w:sz w:val="20"/>
          <w:lang w:val="fr-CA"/>
        </w:rPr>
        <w:t xml:space="preserve">ou le droit international coutumier — et il ne saurait en être ainsi — pour créer des exceptions additionnelles à l’immunité accordée aux États étrangers en application de la </w:t>
      </w:r>
      <w:r w:rsidRPr="00873676">
        <w:rPr>
          <w:i/>
          <w:sz w:val="20"/>
          <w:lang w:val="fr-CA"/>
        </w:rPr>
        <w:t>LIÉ</w:t>
      </w:r>
      <w:r w:rsidRPr="00873676">
        <w:rPr>
          <w:bCs/>
          <w:sz w:val="20"/>
          <w:lang w:val="fr-CA"/>
        </w:rPr>
        <w:t xml:space="preserve">. Même s’il ne fait aucun doute que </w:t>
      </w:r>
      <w:r w:rsidRPr="00873676">
        <w:rPr>
          <w:sz w:val="20"/>
          <w:lang w:val="fr-CA"/>
        </w:rPr>
        <w:t xml:space="preserve">l’interdiction de la torture a acquis un caractère impératif, l’état actuel du droit international coutumier sur les réparations destinées aux victimes de torture ne modifie pas la </w:t>
      </w:r>
      <w:r w:rsidRPr="00873676">
        <w:rPr>
          <w:i/>
          <w:sz w:val="20"/>
          <w:lang w:val="fr-CA"/>
        </w:rPr>
        <w:t>LIÉ</w:t>
      </w:r>
      <w:r w:rsidRPr="00873676">
        <w:rPr>
          <w:sz w:val="20"/>
          <w:lang w:val="fr-CA"/>
        </w:rPr>
        <w:t xml:space="preserve"> et ne la rend pas ambiguë.</w:t>
      </w:r>
    </w:p>
    <w:p w:rsidR="008927CA" w:rsidRDefault="008927CA" w:rsidP="008927CA">
      <w:pPr>
        <w:pStyle w:val="SCCNormalDoubleSpacing"/>
        <w:spacing w:line="240" w:lineRule="auto"/>
        <w:rPr>
          <w:sz w:val="20"/>
          <w:lang w:val="fr-CA"/>
        </w:rPr>
      </w:pPr>
    </w:p>
    <w:p w:rsidR="008927CA" w:rsidRPr="00873676" w:rsidRDefault="008927CA" w:rsidP="008927CA">
      <w:pPr>
        <w:pStyle w:val="SCCNormalDoubleSpacing"/>
        <w:spacing w:line="240" w:lineRule="auto"/>
        <w:rPr>
          <w:sz w:val="20"/>
          <w:lang w:val="fr-CA"/>
        </w:rPr>
      </w:pPr>
      <w:r w:rsidRPr="00873676">
        <w:rPr>
          <w:sz w:val="20"/>
          <w:lang w:val="fr-CA"/>
        </w:rPr>
        <w:tab/>
        <w:t>H invoque l’exception des « dommages corporels » à l’immunité des États, prévue à l’al. 6</w:t>
      </w:r>
      <w:r w:rsidRPr="00873676">
        <w:rPr>
          <w:i/>
          <w:sz w:val="20"/>
          <w:lang w:val="fr-CA"/>
        </w:rPr>
        <w:t>a</w:t>
      </w:r>
      <w:r w:rsidRPr="00873676">
        <w:rPr>
          <w:sz w:val="20"/>
          <w:lang w:val="fr-CA"/>
        </w:rPr>
        <w:t xml:space="preserve">) de la </w:t>
      </w:r>
      <w:r w:rsidRPr="00873676">
        <w:rPr>
          <w:i/>
          <w:sz w:val="20"/>
          <w:lang w:val="fr-CA"/>
        </w:rPr>
        <w:t>LIÉ</w:t>
      </w:r>
      <w:r w:rsidRPr="00873676">
        <w:rPr>
          <w:sz w:val="20"/>
          <w:lang w:val="fr-CA"/>
        </w:rPr>
        <w:t>. Si l’exception à l’immunité des États fondée sur les dommages corporels et prévue par l’al. 6</w:t>
      </w:r>
      <w:r w:rsidRPr="00873676">
        <w:rPr>
          <w:i/>
          <w:sz w:val="20"/>
          <w:lang w:val="fr-CA"/>
        </w:rPr>
        <w:t>a</w:t>
      </w:r>
      <w:r w:rsidRPr="00873676">
        <w:rPr>
          <w:sz w:val="20"/>
          <w:lang w:val="fr-CA"/>
        </w:rPr>
        <w:t>) englobe le préjudice psychologique subi par H, sa réclamation pourrait suivre son cours. Cependant, lorsqu’on examine le texte de l’al. 6</w:t>
      </w:r>
      <w:r w:rsidRPr="00873676">
        <w:rPr>
          <w:i/>
          <w:sz w:val="20"/>
          <w:lang w:val="fr-CA"/>
        </w:rPr>
        <w:t>a</w:t>
      </w:r>
      <w:r w:rsidRPr="00873676">
        <w:rPr>
          <w:sz w:val="20"/>
          <w:lang w:val="fr-CA"/>
        </w:rPr>
        <w:t xml:space="preserve">) </w:t>
      </w:r>
      <w:r w:rsidRPr="00873676">
        <w:rPr>
          <w:sz w:val="20"/>
          <w:lang w:val="fr-CA"/>
        </w:rPr>
        <w:lastRenderedPageBreak/>
        <w:t xml:space="preserve">en corrélation avec l’objet de la </w:t>
      </w:r>
      <w:r w:rsidRPr="00873676">
        <w:rPr>
          <w:i/>
          <w:sz w:val="20"/>
          <w:lang w:val="fr-CA"/>
        </w:rPr>
        <w:t>LIÉ</w:t>
      </w:r>
      <w:r w:rsidRPr="00873676">
        <w:rPr>
          <w:sz w:val="20"/>
          <w:lang w:val="fr-CA"/>
        </w:rPr>
        <w:t xml:space="preserve">, il devient évident que l’exception ne s’applique que si le délit qui a causé le dommage corporel ou le décès a été commis au Canada. L’exception ne s’applique pas si les faits reprochés, ou le délit, qui ont causé les dommages corporels ou le décès ne se sont pas produits au Canada. La </w:t>
      </w:r>
      <w:r w:rsidRPr="00873676">
        <w:rPr>
          <w:i/>
          <w:sz w:val="20"/>
          <w:lang w:val="fr-CA"/>
        </w:rPr>
        <w:t>LIÉ</w:t>
      </w:r>
      <w:r w:rsidRPr="00873676">
        <w:rPr>
          <w:sz w:val="20"/>
          <w:lang w:val="fr-CA"/>
        </w:rPr>
        <w:t xml:space="preserve"> fait donc obstacle à la réclamation de H parce que le délit reproché n’est pas « survenu au Canada ». La loi fait aussi obstacle à sa réclamation parce que l’exception des « dommages corporels » ne s’applique pas si le préjudice allégué par le demandeur ne découle pas d’une atteinte à son intégrité physique. Seule la manifestation d’une détresse psychologique à la suite d’un préjudice physique entraîne l’application de l’exception à l’immunité des États. En l’espèce, H n’a plaidé aucun préjudice physique ni allégué avoir subi une atteinte à son intégrité physique.</w:t>
      </w:r>
    </w:p>
    <w:p w:rsidR="008927CA" w:rsidRDefault="008927CA" w:rsidP="008927CA">
      <w:pPr>
        <w:pStyle w:val="SCCNormalDoubleSpacing"/>
        <w:spacing w:line="240" w:lineRule="auto"/>
        <w:rPr>
          <w:sz w:val="20"/>
          <w:lang w:val="fr-CA"/>
        </w:rPr>
      </w:pPr>
    </w:p>
    <w:p w:rsidR="008927CA" w:rsidRPr="00873676" w:rsidRDefault="008927CA" w:rsidP="008927CA">
      <w:pPr>
        <w:pStyle w:val="SCCNormalDoubleSpacing"/>
        <w:spacing w:line="240" w:lineRule="auto"/>
        <w:rPr>
          <w:sz w:val="20"/>
          <w:lang w:val="fr-CA"/>
        </w:rPr>
      </w:pPr>
      <w:r w:rsidRPr="00873676">
        <w:rPr>
          <w:sz w:val="20"/>
          <w:lang w:val="fr-CA"/>
        </w:rPr>
        <w:tab/>
        <w:t xml:space="preserve">Une autre question à déterminer est celle de savoir si l’application de la </w:t>
      </w:r>
      <w:r w:rsidRPr="00873676">
        <w:rPr>
          <w:i/>
          <w:sz w:val="20"/>
          <w:lang w:val="fr-CA"/>
        </w:rPr>
        <w:t>LIÉ</w:t>
      </w:r>
      <w:r w:rsidRPr="00873676">
        <w:rPr>
          <w:sz w:val="20"/>
          <w:lang w:val="fr-CA"/>
        </w:rPr>
        <w:t xml:space="preserve"> met M et B, intimés en l’espèce, à l’abri des poursuites judiciaires. Aux termes du par. 3(1) de la </w:t>
      </w:r>
      <w:r w:rsidRPr="00873676">
        <w:rPr>
          <w:i/>
          <w:sz w:val="20"/>
          <w:lang w:val="fr-CA"/>
        </w:rPr>
        <w:t>LIÉ</w:t>
      </w:r>
      <w:r w:rsidRPr="00873676">
        <w:rPr>
          <w:sz w:val="20"/>
          <w:lang w:val="fr-CA"/>
        </w:rPr>
        <w:t xml:space="preserve">, l’« État étranger » bénéficie de l’immunité de juridiction devant tout tribunal au Canada. La définition du terme « État étranger » à l’art. 2 inclut le terme « gouvernement ». Comme la </w:t>
      </w:r>
      <w:r w:rsidRPr="00873676">
        <w:rPr>
          <w:i/>
          <w:sz w:val="20"/>
          <w:lang w:val="fr-CA"/>
        </w:rPr>
        <w:t>LIÉ</w:t>
      </w:r>
      <w:r w:rsidRPr="00873676">
        <w:rPr>
          <w:sz w:val="20"/>
          <w:lang w:val="fr-CA"/>
        </w:rPr>
        <w:t xml:space="preserve"> n’utilise pas expressément le mot « fonctionnaire », le terme « gouvernement » doit être interprété selon son contexte et à la lumière du droit international. Il ressort à l’évidence d’un tel exercice que les agents de l’État doivent être visés par le sens du mot « gouvernement » qui figure à la </w:t>
      </w:r>
      <w:r w:rsidRPr="00873676">
        <w:rPr>
          <w:i/>
          <w:sz w:val="20"/>
          <w:lang w:val="fr-CA"/>
        </w:rPr>
        <w:t>LIÉ</w:t>
      </w:r>
      <w:r w:rsidRPr="00873676">
        <w:rPr>
          <w:sz w:val="20"/>
          <w:lang w:val="fr-CA"/>
        </w:rPr>
        <w:t xml:space="preserve">. L’État constitue une entité abstraite qui ne peut agir que par l’entremise d’individus. Si la définition du mot « gouvernement » excluait les fonctionnaires, cela contrecarrerait complètement les objectifs de la </w:t>
      </w:r>
      <w:r w:rsidRPr="00873676">
        <w:rPr>
          <w:i/>
          <w:sz w:val="20"/>
          <w:lang w:val="fr-CA"/>
        </w:rPr>
        <w:t>LIÉ</w:t>
      </w:r>
      <w:r w:rsidRPr="00873676">
        <w:rPr>
          <w:sz w:val="20"/>
          <w:lang w:val="fr-CA"/>
        </w:rPr>
        <w:t>,</w:t>
      </w:r>
      <w:r w:rsidRPr="00873676">
        <w:rPr>
          <w:i/>
          <w:sz w:val="20"/>
          <w:lang w:val="fr-CA"/>
        </w:rPr>
        <w:t xml:space="preserve"> </w:t>
      </w:r>
      <w:r w:rsidRPr="00873676">
        <w:rPr>
          <w:sz w:val="20"/>
          <w:lang w:val="fr-CA"/>
        </w:rPr>
        <w:t xml:space="preserve">tout comme l’autorisation de poursuites civiles contre des fonctionnaires, en particulier, obligerait les tribunaux canadiens à examiner les décisions d’États étrangers qu’auraient prises leurs agents. Ainsi, les fonctionnaires, en tant qu’instruments nécessaires de l’État, sont visés par le terme « gouvernement » qui figure dans la </w:t>
      </w:r>
      <w:r w:rsidRPr="00873676">
        <w:rPr>
          <w:i/>
          <w:sz w:val="20"/>
          <w:lang w:val="fr-CA"/>
        </w:rPr>
        <w:t>LIÉ</w:t>
      </w:r>
      <w:r w:rsidRPr="00873676">
        <w:rPr>
          <w:sz w:val="20"/>
          <w:lang w:val="fr-CA"/>
        </w:rPr>
        <w:t>. Les fonctionnaires ne peuvent toutefois bénéficier de l’immunité des États que lorsqu’ils exercent leurs fonctions officielles.</w:t>
      </w:r>
    </w:p>
    <w:p w:rsidR="008927CA" w:rsidRDefault="008927CA" w:rsidP="008927CA">
      <w:pPr>
        <w:pStyle w:val="SCCNormalDoubleSpacing"/>
        <w:spacing w:line="240" w:lineRule="auto"/>
        <w:rPr>
          <w:sz w:val="20"/>
          <w:lang w:val="fr-CA"/>
        </w:rPr>
      </w:pPr>
    </w:p>
    <w:p w:rsidR="008927CA" w:rsidRPr="00873676" w:rsidRDefault="008927CA" w:rsidP="008927CA">
      <w:pPr>
        <w:pStyle w:val="SCCNormalDoubleSpacing"/>
        <w:spacing w:line="240" w:lineRule="auto"/>
        <w:rPr>
          <w:sz w:val="20"/>
          <w:lang w:val="fr-CA"/>
        </w:rPr>
      </w:pPr>
      <w:r w:rsidRPr="00873676">
        <w:rPr>
          <w:sz w:val="20"/>
          <w:lang w:val="fr-CA"/>
        </w:rPr>
        <w:tab/>
        <w:t xml:space="preserve">Les actes de torture reprochés à M et à B revêtent toutes les caractéristiques d’actes officiels, et rien ne permet de croire que l’un ou l’autre de ces représentants de l’État agissait à titre personnel ou dans un cadre sans lien avec leur rôle d’agents de l’État. Le caractère odieux des actes de torture ne métamorphose pas les agissements de M et de B en des actes privés commis à l’extérieur du cadre de leurs fonctions officielles. Par définition, la torture est nécessairement un acte officiel de l’État. C’est la sanction officielle donnée par l’État à la torture qui rend ce crime si abominable. La conclusion selon laquelle l’immunité contre les poursuites civiles s’applique aux fonctionnaires qui se livrent à des actes de torture jouit toujours d’un appui très fort, et il est encore impossible de conclure à l’existence d’une pratique uniforme des États ou d’une </w:t>
      </w:r>
      <w:r w:rsidRPr="00873676">
        <w:rPr>
          <w:i/>
          <w:sz w:val="20"/>
          <w:lang w:val="fr-CA"/>
        </w:rPr>
        <w:t>opinio juris</w:t>
      </w:r>
      <w:r w:rsidRPr="00873676">
        <w:rPr>
          <w:sz w:val="20"/>
          <w:lang w:val="fr-CA"/>
        </w:rPr>
        <w:t xml:space="preserve"> allant dans le sens contraire. En conséquence, en tant que fonctionnaires dans l’exercice de leurs fonctions officielles, M et B sont visés par le terme « gouvernement » qui figure à l’art. 2 de la </w:t>
      </w:r>
      <w:r w:rsidRPr="00873676">
        <w:rPr>
          <w:i/>
          <w:sz w:val="20"/>
          <w:lang w:val="fr-CA"/>
        </w:rPr>
        <w:t>LIÉ</w:t>
      </w:r>
      <w:r w:rsidRPr="00873676">
        <w:rPr>
          <w:sz w:val="20"/>
          <w:lang w:val="fr-CA"/>
        </w:rPr>
        <w:t>. Ainsi, aux termes de cette loi, ils jouissent de l’immunité de juridiction devant les tribunaux canadiens.</w:t>
      </w:r>
    </w:p>
    <w:p w:rsidR="008927CA" w:rsidRDefault="008927CA" w:rsidP="008927CA">
      <w:pPr>
        <w:pStyle w:val="SCCNormalDoubleSpacing"/>
        <w:spacing w:line="240" w:lineRule="auto"/>
        <w:rPr>
          <w:sz w:val="20"/>
          <w:lang w:val="fr-CA"/>
        </w:rPr>
      </w:pPr>
    </w:p>
    <w:p w:rsidR="008927CA" w:rsidRPr="00873676" w:rsidRDefault="008927CA" w:rsidP="008927CA">
      <w:pPr>
        <w:pStyle w:val="SCCNormalDoubleSpacing"/>
        <w:spacing w:line="240" w:lineRule="auto"/>
        <w:rPr>
          <w:sz w:val="20"/>
          <w:lang w:val="fr-CA"/>
        </w:rPr>
      </w:pPr>
      <w:r w:rsidRPr="00873676">
        <w:rPr>
          <w:sz w:val="20"/>
          <w:lang w:val="fr-CA"/>
        </w:rPr>
        <w:tab/>
        <w:t xml:space="preserve">Le législateur n’a pas donné la moindre indication selon laquelle les tribunaux canadiens devraient considérer que la torture constitue un « acte non officiel » et qu’une compétence universelle en matière civile a été créée afin de poursuivre des agents d’un État étranger devant nos tribunaux. La création de ce type de compétence aurait des conséquences potentiellement graves sur les relations internationales du Canada. Cette décision incombe au législateur, et non aux tribunaux. </w:t>
      </w:r>
    </w:p>
    <w:p w:rsidR="008927CA" w:rsidRDefault="008927CA" w:rsidP="008927CA">
      <w:pPr>
        <w:pStyle w:val="SCCNormalDoubleSpacing"/>
        <w:spacing w:line="240" w:lineRule="auto"/>
        <w:rPr>
          <w:sz w:val="20"/>
          <w:lang w:val="fr-CA"/>
        </w:rPr>
      </w:pPr>
    </w:p>
    <w:p w:rsidR="008927CA" w:rsidRPr="00873676" w:rsidRDefault="008927CA" w:rsidP="008927CA">
      <w:pPr>
        <w:pStyle w:val="SCCNormalDoubleSpacing"/>
        <w:spacing w:line="240" w:lineRule="auto"/>
        <w:rPr>
          <w:sz w:val="20"/>
          <w:lang w:val="fr-CA"/>
        </w:rPr>
      </w:pPr>
      <w:r w:rsidRPr="00873676">
        <w:rPr>
          <w:sz w:val="20"/>
          <w:lang w:val="fr-CA"/>
        </w:rPr>
        <w:tab/>
        <w:t xml:space="preserve">La </w:t>
      </w:r>
      <w:r w:rsidRPr="00873676">
        <w:rPr>
          <w:i/>
          <w:sz w:val="20"/>
          <w:lang w:val="fr-CA"/>
        </w:rPr>
        <w:t>LIÉ</w:t>
      </w:r>
      <w:r w:rsidRPr="00873676">
        <w:rPr>
          <w:sz w:val="20"/>
          <w:lang w:val="fr-CA"/>
        </w:rPr>
        <w:t xml:space="preserve"> passe avec succès l’épreuve du contrôle de sa constitutionnalité malgré le fait qu’elle empêche H et la succession de sa mère de poursuivre l’Iran ou ses fonctionnaires au Canada pour la torture subie par K. Il faut rejeter la contestation soulevée par les appelants et fondée sur l’al. 2</w:t>
      </w:r>
      <w:r w:rsidRPr="00873676">
        <w:rPr>
          <w:i/>
          <w:sz w:val="20"/>
          <w:lang w:val="fr-CA"/>
        </w:rPr>
        <w:t>e</w:t>
      </w:r>
      <w:r w:rsidRPr="00873676">
        <w:rPr>
          <w:sz w:val="20"/>
          <w:lang w:val="fr-CA"/>
        </w:rPr>
        <w:t xml:space="preserve">) de la </w:t>
      </w:r>
      <w:r w:rsidRPr="00873676">
        <w:rPr>
          <w:i/>
          <w:sz w:val="20"/>
          <w:lang w:val="fr-CA"/>
        </w:rPr>
        <w:t>Déclaration canadienne des droits</w:t>
      </w:r>
      <w:r w:rsidRPr="00873676">
        <w:rPr>
          <w:sz w:val="20"/>
          <w:lang w:val="fr-CA"/>
        </w:rPr>
        <w:t>, car cette disposition ne s’applique pas en l’espèce. Elle garantit l’équité dans le contexte d’une instance devant une cour de justice ou un tribunal administratif canadien. Elle ne crée pas un droit autonome à un procès équitable dans les cas où la loi ne prévoit pas l’existence d’un tel procès. Donc, pour que s’applique l’al. 2</w:t>
      </w:r>
      <w:r w:rsidRPr="00873676">
        <w:rPr>
          <w:i/>
          <w:sz w:val="20"/>
          <w:lang w:val="fr-CA"/>
        </w:rPr>
        <w:t>e</w:t>
      </w:r>
      <w:r w:rsidRPr="00873676">
        <w:rPr>
          <w:sz w:val="20"/>
          <w:lang w:val="fr-CA"/>
        </w:rPr>
        <w:t>), il faut qu’une cour de justice ou un tribunal administratif soit régulièrement compétent en la matière. Répétons</w:t>
      </w:r>
      <w:r w:rsidRPr="00873676">
        <w:rPr>
          <w:sz w:val="20"/>
          <w:lang w:val="fr-CA"/>
        </w:rPr>
        <w:noBreakHyphen/>
        <w:t xml:space="preserve">le, l’existence de cette immunité signifie que le Canada ne possède aucune compétence pour statuer sur les demandes des appelants. </w:t>
      </w:r>
    </w:p>
    <w:p w:rsidR="008927CA" w:rsidRDefault="008927CA" w:rsidP="008927CA">
      <w:pPr>
        <w:pStyle w:val="SCCNormalDoubleSpacing"/>
        <w:spacing w:line="240" w:lineRule="auto"/>
        <w:rPr>
          <w:sz w:val="20"/>
          <w:lang w:val="fr-CA"/>
        </w:rPr>
      </w:pPr>
    </w:p>
    <w:p w:rsidR="008927CA" w:rsidRPr="00873676" w:rsidRDefault="008927CA" w:rsidP="008927CA">
      <w:pPr>
        <w:pStyle w:val="SCCNormalDoubleSpacing"/>
        <w:spacing w:line="240" w:lineRule="auto"/>
        <w:rPr>
          <w:sz w:val="20"/>
          <w:lang w:val="fr-CA"/>
        </w:rPr>
      </w:pPr>
      <w:r w:rsidRPr="00873676">
        <w:rPr>
          <w:sz w:val="20"/>
          <w:lang w:val="fr-CA"/>
        </w:rPr>
        <w:tab/>
        <w:t xml:space="preserve">De même, la contestation de la </w:t>
      </w:r>
      <w:r w:rsidRPr="00873676">
        <w:rPr>
          <w:i/>
          <w:sz w:val="20"/>
          <w:lang w:val="fr-CA"/>
        </w:rPr>
        <w:t>LIÉ</w:t>
      </w:r>
      <w:r w:rsidRPr="00873676">
        <w:rPr>
          <w:sz w:val="20"/>
          <w:lang w:val="fr-CA"/>
        </w:rPr>
        <w:t xml:space="preserve"> que les appelants fondent sur l’art. 7 de la </w:t>
      </w:r>
      <w:r w:rsidRPr="00873676">
        <w:rPr>
          <w:i/>
          <w:sz w:val="20"/>
          <w:lang w:val="fr-CA"/>
        </w:rPr>
        <w:t>Charte</w:t>
      </w:r>
      <w:r w:rsidRPr="00873676">
        <w:rPr>
          <w:sz w:val="20"/>
          <w:lang w:val="fr-CA"/>
        </w:rPr>
        <w:t xml:space="preserve"> doit être rejetée. On peut soutenir que dans la mesure où il empêche les victimes de torture ou leurs proches d’intenter un recours civil pour mettre fin à ce chapitre, le par. 3(1) de la </w:t>
      </w:r>
      <w:r w:rsidRPr="00873676">
        <w:rPr>
          <w:i/>
          <w:sz w:val="20"/>
          <w:lang w:val="fr-CA"/>
        </w:rPr>
        <w:t>LIÉ</w:t>
      </w:r>
      <w:r w:rsidRPr="00873676">
        <w:rPr>
          <w:sz w:val="20"/>
          <w:lang w:val="fr-CA"/>
        </w:rPr>
        <w:t xml:space="preserve"> pourrait causer un préjudice psychologique suffisamment grave pour que le droit à la sécurité de la personne entre en jeu et que l’on y porte atteinte. Cependant, il n’est pas nécessaire de décider si le par. 3(1) de la </w:t>
      </w:r>
      <w:r w:rsidRPr="00873676">
        <w:rPr>
          <w:i/>
          <w:sz w:val="20"/>
          <w:lang w:val="fr-CA"/>
        </w:rPr>
        <w:t>LIÉ</w:t>
      </w:r>
      <w:r w:rsidRPr="00873676">
        <w:rPr>
          <w:sz w:val="20"/>
          <w:lang w:val="fr-CA"/>
        </w:rPr>
        <w:t xml:space="preserve"> met en jeu le droit à la sécurité de la personne que garantit l’art. 7 de la </w:t>
      </w:r>
      <w:r w:rsidRPr="00873676">
        <w:rPr>
          <w:i/>
          <w:sz w:val="20"/>
          <w:lang w:val="fr-CA"/>
        </w:rPr>
        <w:t>Charte</w:t>
      </w:r>
      <w:r w:rsidRPr="00873676">
        <w:rPr>
          <w:sz w:val="20"/>
          <w:lang w:val="fr-CA"/>
        </w:rPr>
        <w:t xml:space="preserve">, car l’application de cette disposition de la </w:t>
      </w:r>
      <w:r w:rsidRPr="00873676">
        <w:rPr>
          <w:i/>
          <w:sz w:val="20"/>
          <w:lang w:val="fr-CA"/>
        </w:rPr>
        <w:t>LIÉ</w:t>
      </w:r>
      <w:r w:rsidRPr="00873676">
        <w:rPr>
          <w:sz w:val="20"/>
          <w:lang w:val="fr-CA"/>
        </w:rPr>
        <w:t xml:space="preserve"> ne porte atteinte à aucun principe de justice fondamentale. </w:t>
      </w:r>
    </w:p>
    <w:p w:rsidR="008927CA" w:rsidRDefault="008927CA" w:rsidP="008927CA">
      <w:pPr>
        <w:pStyle w:val="SCCNormalDoubleSpacing"/>
        <w:spacing w:line="240" w:lineRule="auto"/>
        <w:rPr>
          <w:sz w:val="20"/>
          <w:lang w:val="fr-CA"/>
        </w:rPr>
      </w:pPr>
    </w:p>
    <w:p w:rsidR="008927CA" w:rsidRPr="00873676" w:rsidRDefault="008927CA" w:rsidP="008927CA">
      <w:pPr>
        <w:pStyle w:val="SCCNormalDoubleSpacing"/>
        <w:spacing w:line="240" w:lineRule="auto"/>
        <w:rPr>
          <w:sz w:val="20"/>
          <w:lang w:val="fr-CA"/>
        </w:rPr>
      </w:pPr>
      <w:r w:rsidRPr="00873676">
        <w:rPr>
          <w:sz w:val="20"/>
          <w:lang w:val="fr-CA"/>
        </w:rPr>
        <w:lastRenderedPageBreak/>
        <w:tab/>
        <w:t xml:space="preserve">Les engagements pris dans des ententes internationales ne sont pas tous assimilables à des principes de justice fondamentale. Quand une partie invoque une disposition d’un traité international comme preuve d’un principe de justice fondamentale, la cour doit déterminer a) s’il existe un vaste consensus international à propos de l’interprétation de ce traité, et b) s’il y a un consensus sur le fait que l’interprétation particulière est essentielle au bon fonctionnement du système de justice international. L’absence d’un tel consensus milite contre une conclusion voulant que le principe soit essentiel au fonctionnement du système de justice. Même si, selon les appelants, l’art. 14 de la </w:t>
      </w:r>
      <w:r w:rsidRPr="00873676">
        <w:rPr>
          <w:i/>
          <w:sz w:val="20"/>
          <w:lang w:val="fr-CA"/>
        </w:rPr>
        <w:t>Convention contre la torture</w:t>
      </w:r>
      <w:r w:rsidRPr="00873676">
        <w:rPr>
          <w:sz w:val="20"/>
          <w:lang w:val="fr-CA"/>
        </w:rPr>
        <w:t xml:space="preserve"> oblige le Canada à veiller à ce que l’on assure une réparation civile aux victimes d’actes de torture commis à l’étranger et que cette obligation constitue un principe de justice fondamentale au sens de l’art. 7, ils n’ont pas prétendu — et encore moins établi — que leur interprétation de l’art. 14 correspond au droit international coutumier ou qu’elle a été intégrée au droit canadien par voie législative. En effet, aucun consensus ne semble s’être établi pour reconnaître que l’art. 14 devrait être interprété comme le souhaitent les appelants. En fait, tant le libellé de l’art. 14 que ses interprétations étatiques et judiciaires nationales et internationales étayent la conclusion selon laquelle cette disposition garantit une réparation et une indemnisation pour des actes de torture commis sur le territoire même de l’État du for.</w:t>
      </w:r>
    </w:p>
    <w:p w:rsidR="008927CA" w:rsidRDefault="008927CA" w:rsidP="008927CA">
      <w:pPr>
        <w:pStyle w:val="SCCNormalDoubleSpacing"/>
        <w:spacing w:line="240" w:lineRule="auto"/>
        <w:rPr>
          <w:sz w:val="20"/>
          <w:lang w:val="fr-CA"/>
        </w:rPr>
      </w:pPr>
    </w:p>
    <w:p w:rsidR="008927CA" w:rsidRPr="00873676" w:rsidRDefault="008927CA" w:rsidP="008927CA">
      <w:pPr>
        <w:pStyle w:val="SCCNormalDoubleSpacing"/>
        <w:spacing w:line="240" w:lineRule="auto"/>
        <w:rPr>
          <w:sz w:val="20"/>
          <w:lang w:val="fr-CA"/>
        </w:rPr>
      </w:pPr>
      <w:r w:rsidRPr="00873676">
        <w:rPr>
          <w:sz w:val="20"/>
          <w:lang w:val="fr-CA"/>
        </w:rPr>
        <w:tab/>
        <w:t xml:space="preserve">Si l’interdiction de la torture est assurément une norme du </w:t>
      </w:r>
      <w:r w:rsidRPr="00873676">
        <w:rPr>
          <w:i/>
          <w:sz w:val="20"/>
          <w:lang w:val="fr-CA"/>
        </w:rPr>
        <w:t>jus cogens</w:t>
      </w:r>
      <w:r w:rsidRPr="00873676">
        <w:rPr>
          <w:sz w:val="20"/>
          <w:lang w:val="fr-CA"/>
        </w:rPr>
        <w:t xml:space="preserve"> à laquelle le Canada ne peut déroger et aussi, fort probablement, un principe de justice fondamentale, la norme impérative qui interdit la torture n’a pas encore entraîné la création d’une exception à l’immunité des États contre toute responsabilité civile à l’égard d’actes de torture commis à l’étranger. À l’heure actuelle, les pratiques étatiques et l’</w:t>
      </w:r>
      <w:r w:rsidRPr="00873676">
        <w:rPr>
          <w:i/>
          <w:sz w:val="20"/>
          <w:lang w:val="fr-CA"/>
        </w:rPr>
        <w:t>opinio juris</w:t>
      </w:r>
      <w:r w:rsidRPr="00873676">
        <w:rPr>
          <w:sz w:val="20"/>
          <w:lang w:val="fr-CA"/>
        </w:rPr>
        <w:t xml:space="preserve"> ne sous</w:t>
      </w:r>
      <w:r w:rsidRPr="00873676">
        <w:rPr>
          <w:sz w:val="20"/>
          <w:lang w:val="fr-CA"/>
        </w:rPr>
        <w:noBreakHyphen/>
        <w:t xml:space="preserve">entendent pas que le Canada est tenu par les règles du </w:t>
      </w:r>
      <w:r w:rsidRPr="00873676">
        <w:rPr>
          <w:i/>
          <w:sz w:val="20"/>
          <w:lang w:val="fr-CA"/>
        </w:rPr>
        <w:t>jus cogens</w:t>
      </w:r>
      <w:r w:rsidRPr="00873676">
        <w:rPr>
          <w:sz w:val="20"/>
          <w:lang w:val="fr-CA"/>
        </w:rPr>
        <w:t xml:space="preserve"> relatives à l’interdiction de la torture d’ouvrir ses tribunaux de sorte que ses citoyens puissent solliciter une réparation civile pour des actes de torture commis à l’étranger. En conséquence, ne pas accorder un tel accès ne constituerait pas une violation des principes de justice fondamentale.</w:t>
      </w:r>
    </w:p>
    <w:p w:rsidR="008927CA" w:rsidRDefault="008927CA" w:rsidP="008927CA">
      <w:pPr>
        <w:pStyle w:val="SCCNormalDoubleSpacing"/>
        <w:spacing w:line="240" w:lineRule="auto"/>
        <w:rPr>
          <w:sz w:val="20"/>
          <w:lang w:val="fr-CA"/>
        </w:rPr>
      </w:pPr>
    </w:p>
    <w:p w:rsidR="008927CA" w:rsidRPr="00873676" w:rsidRDefault="008927CA" w:rsidP="008927CA">
      <w:pPr>
        <w:pStyle w:val="SCCNormalDoubleSpacing"/>
        <w:spacing w:line="240" w:lineRule="auto"/>
        <w:rPr>
          <w:sz w:val="20"/>
          <w:lang w:val="fr-CA"/>
        </w:rPr>
      </w:pPr>
      <w:r w:rsidRPr="00873676">
        <w:rPr>
          <w:sz w:val="20"/>
          <w:lang w:val="fr-CA"/>
        </w:rPr>
        <w:tab/>
        <w:t xml:space="preserve">Pour conclure, la </w:t>
      </w:r>
      <w:r w:rsidRPr="00873676">
        <w:rPr>
          <w:i/>
          <w:sz w:val="20"/>
          <w:lang w:val="fr-CA"/>
        </w:rPr>
        <w:t>LIÉ</w:t>
      </w:r>
      <w:r w:rsidRPr="00873676">
        <w:rPr>
          <w:bCs/>
          <w:sz w:val="20"/>
          <w:lang w:val="fr-CA"/>
        </w:rPr>
        <w:t>, dans sa forme actuelle, ne prévoit aucune exception à l’immunité des États étrangers à l’égard des poursuites civiles pour des actes allégués de torture commis à l’extérieur du Canada.</w:t>
      </w:r>
      <w:r w:rsidRPr="00873676">
        <w:rPr>
          <w:sz w:val="20"/>
          <w:lang w:val="fr-CA"/>
        </w:rPr>
        <w:t xml:space="preserve"> En conséquence, une personne ne peut pas poursuivre un État étranger et ses fonctionnaires devant les tribunaux canadiens pour des actes de torture commis à l’étranger. </w:t>
      </w:r>
      <w:r w:rsidRPr="00873676">
        <w:rPr>
          <w:bCs/>
          <w:sz w:val="20"/>
          <w:lang w:val="fr-CA"/>
        </w:rPr>
        <w:t>Cette conclusion ne fige toutefois pas l’immunité des États dans le temps.</w:t>
      </w:r>
      <w:r w:rsidRPr="00873676">
        <w:rPr>
          <w:sz w:val="20"/>
          <w:lang w:val="fr-CA"/>
        </w:rPr>
        <w:t xml:space="preserve"> Le législateur a le pouvoir et la capacité de modifier l’état actuel du droit régissant les exceptions à l’immunité des États, tout comme il l’a déjà fait, et de permettre aux personnes qui se trouvent dans une situation semblable à celle de H et de la succession de sa mère d’obtenir réparation devant les tribunaux canadiens. </w:t>
      </w:r>
    </w:p>
    <w:p w:rsidR="008927CA" w:rsidRDefault="008927CA" w:rsidP="008927CA">
      <w:pPr>
        <w:pStyle w:val="SCCNormalDoubleSpacing"/>
        <w:spacing w:line="240" w:lineRule="auto"/>
        <w:rPr>
          <w:i/>
          <w:sz w:val="20"/>
          <w:lang w:val="fr-CA"/>
        </w:rPr>
      </w:pPr>
    </w:p>
    <w:p w:rsidR="008927CA" w:rsidRPr="00873676" w:rsidRDefault="008927CA" w:rsidP="008927CA">
      <w:pPr>
        <w:pStyle w:val="SCCNormalDoubleSpacing"/>
        <w:spacing w:line="240" w:lineRule="auto"/>
        <w:rPr>
          <w:sz w:val="20"/>
          <w:lang w:val="fr-CA"/>
        </w:rPr>
      </w:pPr>
      <w:r w:rsidRPr="00873676">
        <w:rPr>
          <w:i/>
          <w:sz w:val="20"/>
          <w:lang w:val="fr-CA"/>
        </w:rPr>
        <w:tab/>
        <w:t xml:space="preserve">La </w:t>
      </w:r>
      <w:r w:rsidRPr="00873676">
        <w:rPr>
          <w:sz w:val="20"/>
          <w:lang w:val="fr-CA"/>
        </w:rPr>
        <w:t xml:space="preserve">juge </w:t>
      </w:r>
      <w:r w:rsidRPr="00873676">
        <w:rPr>
          <w:b/>
          <w:sz w:val="20"/>
          <w:lang w:val="fr-CA"/>
        </w:rPr>
        <w:t>Abella</w:t>
      </w:r>
      <w:r w:rsidRPr="00873676">
        <w:rPr>
          <w:sz w:val="20"/>
          <w:lang w:val="fr-CA"/>
        </w:rPr>
        <w:t xml:space="preserve"> (dissidente) : La doctrine de l’immunité de juridiction n’est pas entièrement codifiée par la </w:t>
      </w:r>
      <w:r w:rsidRPr="00873676">
        <w:rPr>
          <w:i/>
          <w:sz w:val="20"/>
          <w:lang w:val="fr-CA"/>
        </w:rPr>
        <w:t>Loi sur l’immunité des États</w:t>
      </w:r>
      <w:r w:rsidRPr="00873676">
        <w:rPr>
          <w:sz w:val="20"/>
          <w:lang w:val="fr-CA"/>
        </w:rPr>
        <w:t xml:space="preserve">. Les seuls individus </w:t>
      </w:r>
      <w:r w:rsidRPr="00873676">
        <w:rPr>
          <w:bCs/>
          <w:sz w:val="20"/>
          <w:lang w:val="fr-CA"/>
        </w:rPr>
        <w:t>expressément</w:t>
      </w:r>
      <w:r w:rsidRPr="00873676">
        <w:rPr>
          <w:sz w:val="20"/>
          <w:lang w:val="fr-CA"/>
        </w:rPr>
        <w:t xml:space="preserve"> visés par la définition d’« État étranger » sont « le chef ou souverain de cet État [. . .], dans l’exercice de ses fonctions officielles ». Il n’y est pas fait mention des agents ou des représentants officiels, hormis les chefs d’État. Ce silence crée une ambiguïté quant à la question de savoir si la </w:t>
      </w:r>
      <w:r w:rsidRPr="00873676">
        <w:rPr>
          <w:i/>
          <w:sz w:val="20"/>
          <w:lang w:val="fr-CA"/>
        </w:rPr>
        <w:t xml:space="preserve">Loi sur l’immunité des États </w:t>
      </w:r>
      <w:r w:rsidRPr="00873676">
        <w:rPr>
          <w:sz w:val="20"/>
          <w:lang w:val="fr-CA"/>
        </w:rPr>
        <w:t>s’applique aux agents de rang inférieur et, pour la dissiper, il est utile de se référer au droit international coutumier et à la nette évolution du principe de réparation en droit international public.</w:t>
      </w:r>
    </w:p>
    <w:p w:rsidR="008927CA" w:rsidRDefault="008927CA" w:rsidP="008927CA">
      <w:pPr>
        <w:pStyle w:val="SCCNormalDoubleSpacing"/>
        <w:spacing w:line="240" w:lineRule="auto"/>
        <w:rPr>
          <w:sz w:val="20"/>
          <w:lang w:val="fr-CA"/>
        </w:rPr>
      </w:pPr>
    </w:p>
    <w:p w:rsidR="008927CA" w:rsidRPr="00873676" w:rsidRDefault="008927CA" w:rsidP="008927CA">
      <w:pPr>
        <w:pStyle w:val="SCCNormalDoubleSpacing"/>
        <w:spacing w:line="240" w:lineRule="auto"/>
        <w:rPr>
          <w:sz w:val="20"/>
          <w:lang w:val="fr-CA"/>
        </w:rPr>
      </w:pPr>
      <w:r w:rsidRPr="00873676">
        <w:rPr>
          <w:sz w:val="20"/>
          <w:lang w:val="fr-CA"/>
        </w:rPr>
        <w:tab/>
        <w:t xml:space="preserve">La prohibition </w:t>
      </w:r>
      <w:r w:rsidRPr="00873676">
        <w:rPr>
          <w:rStyle w:val="sfbbfee58"/>
          <w:rFonts w:eastAsiaTheme="majorEastAsia"/>
          <w:sz w:val="20"/>
          <w:lang w:val="fr-CA"/>
        </w:rPr>
        <w:t xml:space="preserve">de la torture est une norme impérative — de </w:t>
      </w:r>
      <w:r w:rsidRPr="00873676">
        <w:rPr>
          <w:rStyle w:val="s1a844bc0"/>
          <w:i/>
          <w:sz w:val="20"/>
          <w:lang w:val="fr-CA"/>
        </w:rPr>
        <w:t xml:space="preserve">jus cogens </w:t>
      </w:r>
      <w:r w:rsidRPr="00873676">
        <w:rPr>
          <w:rStyle w:val="s1a844bc0"/>
          <w:sz w:val="20"/>
          <w:lang w:val="fr-CA"/>
        </w:rPr>
        <w:t xml:space="preserve">— en droit </w:t>
      </w:r>
      <w:r w:rsidRPr="00873676">
        <w:rPr>
          <w:bCs/>
          <w:sz w:val="20"/>
          <w:lang w:val="fr-FR"/>
        </w:rPr>
        <w:t>international</w:t>
      </w:r>
      <w:r w:rsidRPr="00873676">
        <w:rPr>
          <w:rStyle w:val="s1a844bc0"/>
          <w:sz w:val="20"/>
          <w:lang w:val="fr-CA"/>
        </w:rPr>
        <w:t>. Ceci</w:t>
      </w:r>
      <w:r w:rsidRPr="00873676">
        <w:rPr>
          <w:sz w:val="20"/>
          <w:lang w:val="fr-CA"/>
        </w:rPr>
        <w:t xml:space="preserve"> veut dire que la communauté internationale a convenu qu’aucun État ne peut y déroger. Il faut alors se demander comment la torture peut être considérée comme une fonction officielle pour l’application du principe de l’immunité en droit international quand le droit international lui</w:t>
      </w:r>
      <w:r w:rsidRPr="00873676">
        <w:rPr>
          <w:sz w:val="20"/>
          <w:lang w:val="fr-CA"/>
        </w:rPr>
        <w:noBreakHyphen/>
        <w:t>même interdit universellement cette pratique. Cela pose certains défis pour l’intégrité du droit international et laisse à la Cour un choix quant à savoir s’il convient d’étendre l’immunité aux agents d’États étrangers pour de tels actes.</w:t>
      </w:r>
    </w:p>
    <w:p w:rsidR="008927CA" w:rsidRDefault="008927CA" w:rsidP="008927CA">
      <w:pPr>
        <w:pStyle w:val="SCCNormalDoubleSpacing"/>
        <w:spacing w:line="240" w:lineRule="auto"/>
        <w:rPr>
          <w:sz w:val="20"/>
          <w:lang w:val="fr-CA"/>
        </w:rPr>
      </w:pPr>
    </w:p>
    <w:p w:rsidR="008927CA" w:rsidRPr="00873676" w:rsidRDefault="008927CA" w:rsidP="008927CA">
      <w:pPr>
        <w:pStyle w:val="SCCNormalDoubleSpacing"/>
        <w:spacing w:line="240" w:lineRule="auto"/>
        <w:rPr>
          <w:sz w:val="20"/>
          <w:lang w:val="fr-CA"/>
        </w:rPr>
      </w:pPr>
      <w:r w:rsidRPr="00873676">
        <w:rPr>
          <w:sz w:val="20"/>
          <w:lang w:val="fr-CA"/>
        </w:rPr>
        <w:tab/>
        <w:t xml:space="preserve">De façon générale, en droit international, le régime de protection et de traitement des personnes en tant que sujets de droit a radicalement évolué. Cette protection en évolution s’est accompagnée de la reconnaissance du droit des victimes à </w:t>
      </w:r>
      <w:r w:rsidRPr="00873676">
        <w:rPr>
          <w:bCs/>
          <w:sz w:val="20"/>
          <w:lang w:val="fr-CA"/>
        </w:rPr>
        <w:t>une</w:t>
      </w:r>
      <w:r w:rsidRPr="00873676">
        <w:rPr>
          <w:sz w:val="20"/>
          <w:lang w:val="fr-CA"/>
        </w:rPr>
        <w:t xml:space="preserve"> réparation en cas de violation de droits fondamentaux de la personne. Les poursuites en dommages</w:t>
      </w:r>
      <w:r w:rsidRPr="00873676">
        <w:rPr>
          <w:sz w:val="20"/>
          <w:lang w:val="fr-CA"/>
        </w:rPr>
        <w:noBreakHyphen/>
        <w:t xml:space="preserve">intérêts que la succession de feu K et son fils H ont engagées au civil reposent sur les obligations qu’impose le droit international en matière de droits de la personne au Canada et à l’Iran et sur la prohibition de la torture fondée sur le </w:t>
      </w:r>
      <w:r w:rsidRPr="00873676">
        <w:rPr>
          <w:i/>
          <w:sz w:val="20"/>
          <w:lang w:val="fr-CA"/>
        </w:rPr>
        <w:t>jus cogens</w:t>
      </w:r>
      <w:r w:rsidRPr="00873676">
        <w:rPr>
          <w:sz w:val="20"/>
          <w:lang w:val="fr-CA"/>
        </w:rPr>
        <w:t xml:space="preserve">. Ces poursuites doivent être situées dans le contexte de la nette évolution du principe de réparation en droit international public depuis le début du </w:t>
      </w:r>
      <w:r w:rsidRPr="00873676">
        <w:rPr>
          <w:smallCaps/>
          <w:sz w:val="20"/>
          <w:lang w:val="fr-CA"/>
        </w:rPr>
        <w:t>xx</w:t>
      </w:r>
      <w:r w:rsidRPr="00873676">
        <w:rPr>
          <w:sz w:val="20"/>
          <w:vertAlign w:val="superscript"/>
          <w:lang w:val="fr-CA"/>
        </w:rPr>
        <w:t>e</w:t>
      </w:r>
      <w:r w:rsidRPr="00873676">
        <w:rPr>
          <w:sz w:val="20"/>
          <w:lang w:val="fr-CA"/>
        </w:rPr>
        <w:t> siècle, un principe qui, dans son aspect le plus fondamental, signifie que, s’il y a violation des droits d’un individu, l’auteur de cette violation doit réparation à la victime pour le préjudice qu’elle a subi. L’objectif de ce principe est de nature réparatrice.</w:t>
      </w:r>
    </w:p>
    <w:p w:rsidR="008927CA" w:rsidRDefault="008927CA" w:rsidP="008927CA">
      <w:pPr>
        <w:pStyle w:val="SCCNormalDoubleSpacing"/>
        <w:spacing w:line="240" w:lineRule="auto"/>
        <w:rPr>
          <w:sz w:val="20"/>
          <w:lang w:val="fr-CA"/>
        </w:rPr>
      </w:pPr>
    </w:p>
    <w:p w:rsidR="008927CA" w:rsidRPr="00873676" w:rsidRDefault="008927CA" w:rsidP="008927CA">
      <w:pPr>
        <w:pStyle w:val="SCCNormalDoubleSpacing"/>
        <w:spacing w:line="240" w:lineRule="auto"/>
        <w:rPr>
          <w:sz w:val="20"/>
          <w:lang w:val="fr-CA"/>
        </w:rPr>
      </w:pPr>
      <w:r w:rsidRPr="00873676">
        <w:rPr>
          <w:sz w:val="20"/>
          <w:lang w:val="fr-CA"/>
        </w:rPr>
        <w:lastRenderedPageBreak/>
        <w:tab/>
        <w:t>Les premières poursuites criminelles en droit international ne se souciaient guère des droits des victimes, mais plusieurs tribunaux internationaux reconnaissent de nos jours les droits qu’ont les victimes à une réparation à l’encontre d’auteurs individuels de crimes internationaux. Ce changement résulte, en partie, de la reconnaissance du fait que le principe de la réparation est un principe général de droit international reconnu par la loi et les traités portant création de ces tribunaux. Le traitement de l’immunité dans le cas d’une action civile ne devrait pas être différent de celui qui s’applique aux actions criminelles.</w:t>
      </w:r>
    </w:p>
    <w:p w:rsidR="008927CA" w:rsidRDefault="008927CA" w:rsidP="008927CA">
      <w:pPr>
        <w:pStyle w:val="SCCNormalDoubleSpacing"/>
        <w:spacing w:line="240" w:lineRule="auto"/>
        <w:rPr>
          <w:sz w:val="20"/>
          <w:lang w:val="fr-CA"/>
        </w:rPr>
      </w:pPr>
    </w:p>
    <w:p w:rsidR="008927CA" w:rsidRPr="00873676" w:rsidRDefault="008927CA" w:rsidP="008927CA">
      <w:pPr>
        <w:pStyle w:val="SCCNormalDoubleSpacing"/>
        <w:spacing w:line="240" w:lineRule="auto"/>
        <w:rPr>
          <w:sz w:val="20"/>
          <w:lang w:val="fr-CA"/>
        </w:rPr>
      </w:pPr>
      <w:r w:rsidRPr="00873676">
        <w:rPr>
          <w:sz w:val="20"/>
          <w:lang w:val="fr-CA"/>
        </w:rPr>
        <w:tab/>
        <w:t xml:space="preserve">L’évolution et l’acceptation internationale du principe de réparation </w:t>
      </w:r>
      <w:r w:rsidRPr="00873676">
        <w:rPr>
          <w:bCs/>
          <w:sz w:val="20"/>
          <w:lang w:val="fr-CA"/>
        </w:rPr>
        <w:t>démontrent</w:t>
      </w:r>
      <w:r w:rsidRPr="00873676">
        <w:rPr>
          <w:sz w:val="20"/>
          <w:lang w:val="fr-CA"/>
        </w:rPr>
        <w:t xml:space="preserve"> que le droit d’un individu à une réparation à l’encontre d’un État pour violation de ses droits de la personne est aujourd’hui un principe de droit international reconnu. On accepte également de plus en plus que les violations du </w:t>
      </w:r>
      <w:r w:rsidRPr="00873676">
        <w:rPr>
          <w:i/>
          <w:sz w:val="20"/>
          <w:lang w:val="fr-CA"/>
        </w:rPr>
        <w:t>jus cogens</w:t>
      </w:r>
      <w:r w:rsidRPr="00873676">
        <w:rPr>
          <w:sz w:val="20"/>
          <w:lang w:val="fr-CA"/>
        </w:rPr>
        <w:t xml:space="preserve"> comme la torture ne constituent pas des « actes officiels » justifiant l’immunité pour les représentants de l’État. </w:t>
      </w:r>
    </w:p>
    <w:p w:rsidR="008927CA" w:rsidRDefault="008927CA" w:rsidP="008927CA">
      <w:pPr>
        <w:pStyle w:val="SCCNormalDoubleSpacing"/>
        <w:spacing w:line="240" w:lineRule="auto"/>
        <w:rPr>
          <w:sz w:val="20"/>
          <w:lang w:val="fr-CA"/>
        </w:rPr>
      </w:pPr>
    </w:p>
    <w:p w:rsidR="008927CA" w:rsidRPr="00873676" w:rsidRDefault="008927CA" w:rsidP="008927CA">
      <w:pPr>
        <w:pStyle w:val="SCCNormalDoubleSpacing"/>
        <w:spacing w:line="240" w:lineRule="auto"/>
        <w:rPr>
          <w:sz w:val="20"/>
          <w:lang w:val="fr-CA"/>
        </w:rPr>
      </w:pPr>
      <w:r w:rsidRPr="00873676">
        <w:rPr>
          <w:sz w:val="20"/>
          <w:lang w:val="fr-CA"/>
        </w:rPr>
        <w:tab/>
        <w:t xml:space="preserve">L’objet de la </w:t>
      </w:r>
      <w:r w:rsidRPr="00873676">
        <w:rPr>
          <w:i/>
          <w:sz w:val="20"/>
          <w:lang w:val="fr-CA"/>
        </w:rPr>
        <w:t>Convention contre la torture</w:t>
      </w:r>
      <w:r w:rsidRPr="00873676">
        <w:rPr>
          <w:sz w:val="20"/>
          <w:lang w:val="fr-CA"/>
        </w:rPr>
        <w:t xml:space="preserve"> concorde avec l’obligation générale de protéger le droit des victimes de torture d’obtenir réparation, peu importe </w:t>
      </w:r>
      <w:r w:rsidRPr="00873676">
        <w:rPr>
          <w:bCs/>
          <w:sz w:val="20"/>
          <w:lang w:val="fr-CA"/>
        </w:rPr>
        <w:t>l’endroit</w:t>
      </w:r>
      <w:r w:rsidRPr="00873676">
        <w:rPr>
          <w:sz w:val="20"/>
          <w:lang w:val="fr-CA"/>
        </w:rPr>
        <w:t xml:space="preserve"> où les actes ont été commis. La </w:t>
      </w:r>
      <w:r w:rsidRPr="00873676">
        <w:rPr>
          <w:i/>
          <w:sz w:val="20"/>
          <w:lang w:val="fr-CA"/>
        </w:rPr>
        <w:t>Convention</w:t>
      </w:r>
      <w:r w:rsidRPr="00873676">
        <w:rPr>
          <w:sz w:val="20"/>
          <w:lang w:val="fr-CA"/>
        </w:rPr>
        <w:t xml:space="preserve"> consacre l’engagement commun d’« accroître l’efficacité de la lutte contre la torture [. . .] dans le monde entier ». Une simple lecture de l’art. 14 permet de constater que cette disposition oblige les États parties à faire en sorte que toutes les victimes de torture de leur pays puissent obtenir « réparation et [. . .] être indemnisées équitablement et de manière adéquate ». Le texte n’indique nullement que l’« acte de torture » doit avoir été commis sur le sol de l’État partie pour que l’obligation soit engagée. Lorsqu’un État s’engage à accorder une réparation pour des actes de torture commis à l’étranger, cela met forcément en cause la question de l’immunité de l’auteur de ces actes.</w:t>
      </w:r>
    </w:p>
    <w:p w:rsidR="008927CA" w:rsidRDefault="008927CA" w:rsidP="008927CA">
      <w:pPr>
        <w:pStyle w:val="SCCNormalDoubleSpacing"/>
        <w:spacing w:line="240" w:lineRule="auto"/>
        <w:rPr>
          <w:sz w:val="20"/>
          <w:lang w:val="fr-CA"/>
        </w:rPr>
      </w:pPr>
    </w:p>
    <w:p w:rsidR="008927CA" w:rsidRPr="00873676" w:rsidRDefault="008927CA" w:rsidP="008927CA">
      <w:pPr>
        <w:pStyle w:val="SCCNormalDoubleSpacing"/>
        <w:spacing w:line="240" w:lineRule="auto"/>
        <w:rPr>
          <w:sz w:val="20"/>
          <w:lang w:val="fr-CA"/>
        </w:rPr>
      </w:pPr>
      <w:r w:rsidRPr="00873676">
        <w:rPr>
          <w:sz w:val="20"/>
          <w:lang w:val="fr-CA"/>
        </w:rPr>
        <w:tab/>
        <w:t xml:space="preserve">Compte tenu de l’acceptation universelle de la prohibition de la torture, les </w:t>
      </w:r>
      <w:r w:rsidRPr="00873676">
        <w:rPr>
          <w:bCs/>
          <w:sz w:val="20"/>
          <w:lang w:val="fr-CA"/>
        </w:rPr>
        <w:t>préoccupations</w:t>
      </w:r>
      <w:r w:rsidRPr="00873676">
        <w:rPr>
          <w:sz w:val="20"/>
          <w:lang w:val="fr-CA"/>
        </w:rPr>
        <w:t xml:space="preserve"> relatives aux atteintes à la souveraineté que pourrait créer le fait de juger l’agent de l’État qui viole cette interdiction s’atténuent forcément. La nature même de cette prohibition en tant que norme impérative signifie que les États sont tous d’accord pour dire que l’on ne peut pas tolérer la torture. Il ne peut donc pas s’agir d’un acte étatique officiel pour l’application de l’immunité </w:t>
      </w:r>
      <w:r w:rsidRPr="00873676">
        <w:rPr>
          <w:i/>
          <w:sz w:val="20"/>
          <w:lang w:val="fr-CA"/>
        </w:rPr>
        <w:t>ratione materiae</w:t>
      </w:r>
      <w:r w:rsidRPr="00873676">
        <w:rPr>
          <w:sz w:val="20"/>
          <w:lang w:val="fr-CA"/>
        </w:rPr>
        <w:t xml:space="preserve">. </w:t>
      </w:r>
    </w:p>
    <w:p w:rsidR="008927CA" w:rsidRDefault="008927CA" w:rsidP="008927CA">
      <w:pPr>
        <w:pStyle w:val="SCCNormalDoubleSpacing"/>
        <w:spacing w:line="240" w:lineRule="auto"/>
        <w:rPr>
          <w:sz w:val="20"/>
          <w:lang w:val="fr-CA"/>
        </w:rPr>
      </w:pPr>
    </w:p>
    <w:p w:rsidR="008927CA" w:rsidRPr="00873676" w:rsidRDefault="008927CA" w:rsidP="008927CA">
      <w:pPr>
        <w:pStyle w:val="SCCNormalDoubleSpacing"/>
        <w:spacing w:line="240" w:lineRule="auto"/>
        <w:rPr>
          <w:sz w:val="20"/>
          <w:lang w:val="fr-CA"/>
        </w:rPr>
      </w:pPr>
      <w:r w:rsidRPr="00873676">
        <w:rPr>
          <w:sz w:val="20"/>
          <w:lang w:val="fr-CA"/>
        </w:rPr>
        <w:tab/>
        <w:t xml:space="preserve">En droit international coutumier, il existe une distinction entre l’immunité générale </w:t>
      </w:r>
      <w:r w:rsidRPr="00873676">
        <w:rPr>
          <w:i/>
          <w:sz w:val="20"/>
          <w:lang w:val="fr-CA"/>
        </w:rPr>
        <w:t>ratione personae</w:t>
      </w:r>
      <w:r w:rsidRPr="00873676">
        <w:rPr>
          <w:sz w:val="20"/>
          <w:lang w:val="fr-CA"/>
        </w:rPr>
        <w:t xml:space="preserve">, dont bénéficient les personnes d’un rang supérieur comme </w:t>
      </w:r>
      <w:r w:rsidRPr="00873676">
        <w:rPr>
          <w:bCs/>
          <w:sz w:val="20"/>
          <w:lang w:val="fr-CA"/>
        </w:rPr>
        <w:t>les</w:t>
      </w:r>
      <w:r w:rsidRPr="00873676">
        <w:rPr>
          <w:sz w:val="20"/>
          <w:lang w:val="fr-CA"/>
        </w:rPr>
        <w:t xml:space="preserve"> chefs d’État, et l’immunité </w:t>
      </w:r>
      <w:r w:rsidRPr="00873676">
        <w:rPr>
          <w:i/>
          <w:sz w:val="20"/>
          <w:lang w:val="fr-CA"/>
        </w:rPr>
        <w:t>ratione materiae</w:t>
      </w:r>
      <w:r w:rsidRPr="00873676">
        <w:rPr>
          <w:sz w:val="20"/>
          <w:lang w:val="fr-CA"/>
        </w:rPr>
        <w:t xml:space="preserve">, qui s’applique aux anciens chefs d’État et aux agents de rang inférieur et qui ne vaut que pour les actes officiels accomplis pour l’État ou en son nom. Ces principes reconnaissent le rôle et la responsabilité uniques des chefs d’État. À l’heure actuelle, la pratique des États dénote une tendance palpable, quoique lente, dans la jurisprudence internationale à reconnaître que la torture, en tant que violation d’une norme impérative, n’est pas une conduite étatique officiellement sanctionnée pour l’application de l’immunité </w:t>
      </w:r>
      <w:r w:rsidRPr="00873676">
        <w:rPr>
          <w:i/>
          <w:sz w:val="20"/>
          <w:lang w:val="fr-CA"/>
        </w:rPr>
        <w:t>ratione materiae</w:t>
      </w:r>
      <w:r w:rsidRPr="00873676">
        <w:rPr>
          <w:sz w:val="20"/>
          <w:lang w:val="fr-CA"/>
        </w:rPr>
        <w:t>.</w:t>
      </w:r>
    </w:p>
    <w:p w:rsidR="008927CA" w:rsidRDefault="008927CA" w:rsidP="008927CA">
      <w:pPr>
        <w:pStyle w:val="SCCNormalDoubleSpacing"/>
        <w:spacing w:line="240" w:lineRule="auto"/>
        <w:rPr>
          <w:sz w:val="20"/>
          <w:lang w:val="fr-CA"/>
        </w:rPr>
      </w:pPr>
    </w:p>
    <w:p w:rsidR="008927CA" w:rsidRPr="00873676" w:rsidRDefault="008927CA" w:rsidP="008927CA">
      <w:pPr>
        <w:pStyle w:val="SCCNormalDoubleSpacing"/>
        <w:spacing w:line="240" w:lineRule="auto"/>
        <w:rPr>
          <w:sz w:val="20"/>
          <w:lang w:val="fr-CA"/>
        </w:rPr>
      </w:pPr>
      <w:r w:rsidRPr="00873676">
        <w:rPr>
          <w:sz w:val="20"/>
          <w:lang w:val="fr-CA"/>
        </w:rPr>
        <w:tab/>
        <w:t xml:space="preserve">Compte tenu du caractère équivoque du droit international coutumier en matière d’immunité, du fait que la communauté internationale souscrit de longue date au </w:t>
      </w:r>
      <w:r w:rsidRPr="00873676">
        <w:rPr>
          <w:bCs/>
          <w:sz w:val="20"/>
          <w:lang w:val="fr-CA"/>
        </w:rPr>
        <w:t>principe</w:t>
      </w:r>
      <w:r w:rsidRPr="00873676">
        <w:rPr>
          <w:sz w:val="20"/>
          <w:lang w:val="fr-CA"/>
        </w:rPr>
        <w:t xml:space="preserve"> de réparation énoncé à l’art. 14 de la </w:t>
      </w:r>
      <w:r w:rsidRPr="00873676">
        <w:rPr>
          <w:i/>
          <w:sz w:val="20"/>
          <w:lang w:val="fr-CA"/>
        </w:rPr>
        <w:t>Convention contre la torture</w:t>
      </w:r>
      <w:r w:rsidRPr="00873676">
        <w:rPr>
          <w:sz w:val="20"/>
          <w:lang w:val="fr-CA"/>
        </w:rPr>
        <w:t>, ainsi que de la reconnaissance grandissante à l’échelle internationale, depuis près d’un siècle, que les violations des droits de la personne menacent la paix et la stabilité mondiales, rien ne permet de faire entrer la torture dans la catégorie des conduites étatiques officielles qui donnent naissance à une immunité individuelle. Il n’y a pas lieu d’interpréter les dispositions équivoques du droit international coutumier de façon à faire obstacle à une réparation de nature civile pour des actes qui sont catégoriquement interdits.</w:t>
      </w:r>
    </w:p>
    <w:p w:rsidR="008927CA" w:rsidRDefault="008927CA" w:rsidP="008927CA">
      <w:pPr>
        <w:pStyle w:val="SCCNormalDoubleSpacing"/>
        <w:spacing w:line="240" w:lineRule="auto"/>
        <w:rPr>
          <w:sz w:val="20"/>
          <w:lang w:val="fr-CA"/>
        </w:rPr>
      </w:pPr>
    </w:p>
    <w:p w:rsidR="008927CA" w:rsidRDefault="008927CA" w:rsidP="008927CA">
      <w:pPr>
        <w:pStyle w:val="SCCNormalDoubleSpacing"/>
        <w:spacing w:line="240" w:lineRule="auto"/>
        <w:rPr>
          <w:sz w:val="20"/>
          <w:lang w:val="fr-CA"/>
        </w:rPr>
      </w:pPr>
      <w:r w:rsidRPr="00873676">
        <w:rPr>
          <w:sz w:val="20"/>
          <w:lang w:val="fr-CA"/>
        </w:rPr>
        <w:tab/>
        <w:t xml:space="preserve">La </w:t>
      </w:r>
      <w:r w:rsidRPr="00873676">
        <w:rPr>
          <w:i/>
          <w:sz w:val="20"/>
          <w:lang w:val="fr-CA"/>
        </w:rPr>
        <w:t xml:space="preserve">Loi sur l’immunité des États </w:t>
      </w:r>
      <w:r w:rsidRPr="00873676">
        <w:rPr>
          <w:sz w:val="20"/>
          <w:lang w:val="fr-CA"/>
        </w:rPr>
        <w:t>ne s’applique donc pas à M et à B. Ceux</w:t>
      </w:r>
      <w:r w:rsidRPr="00873676">
        <w:rPr>
          <w:sz w:val="20"/>
          <w:lang w:val="fr-CA"/>
        </w:rPr>
        <w:noBreakHyphen/>
        <w:t xml:space="preserve">ci ne </w:t>
      </w:r>
      <w:r w:rsidRPr="00873676">
        <w:rPr>
          <w:bCs/>
          <w:sz w:val="20"/>
          <w:lang w:val="fr-CA"/>
        </w:rPr>
        <w:t>bénéficient</w:t>
      </w:r>
      <w:r w:rsidRPr="00873676">
        <w:rPr>
          <w:sz w:val="20"/>
          <w:lang w:val="fr-CA"/>
        </w:rPr>
        <w:t xml:space="preserve"> pas de l’immunité de juridiction devant les tribunaux canadiens et les poursuites intentées contre eux devraient pouvoir suivre leur cours.</w:t>
      </w:r>
    </w:p>
    <w:p w:rsidR="008927CA" w:rsidRDefault="008927CA" w:rsidP="008927CA">
      <w:pPr>
        <w:pStyle w:val="SCCNormalDoubleSpacing"/>
        <w:spacing w:line="240" w:lineRule="auto"/>
        <w:rPr>
          <w:sz w:val="20"/>
          <w:lang w:val="fr-CA"/>
        </w:rPr>
      </w:pPr>
    </w:p>
    <w:p w:rsidR="008927CA" w:rsidRPr="00873676" w:rsidRDefault="008927CA" w:rsidP="008927CA">
      <w:pPr>
        <w:pStyle w:val="SCCNormalDoubleSpacing"/>
        <w:spacing w:line="240" w:lineRule="auto"/>
        <w:rPr>
          <w:sz w:val="20"/>
          <w:lang w:val="fr-CA"/>
        </w:rPr>
      </w:pPr>
      <w:r w:rsidRPr="00873676">
        <w:rPr>
          <w:sz w:val="20"/>
          <w:lang w:val="fr-CA"/>
        </w:rPr>
        <w:tab/>
        <w:t>POURVOI contre un arrêt de la Cour d’appel du Québec (les juges Morissette, Wagner et Gascon), 2012 QCCA 1449, [2012] R.J.Q. 1567, 265 C.R.R. (2d) 265, 354 D.L.R. (4th) 385, [2012] AZ</w:t>
      </w:r>
      <w:r w:rsidRPr="00873676">
        <w:rPr>
          <w:sz w:val="20"/>
          <w:lang w:val="fr-CA"/>
        </w:rPr>
        <w:noBreakHyphen/>
        <w:t>50886272, [2012] Q.J. No. 7754 (QL), 2012 CarswellQue 8098, qui a infirmé en partie une décision du juge Mongeon, 2011 QCCS 196, 330 D.L.R. (4th) 1, 227 C.R.R. (2d) 233, [2011] AZ</w:t>
      </w:r>
      <w:r w:rsidRPr="00873676">
        <w:rPr>
          <w:sz w:val="20"/>
          <w:lang w:val="fr-CA"/>
        </w:rPr>
        <w:noBreakHyphen/>
        <w:t>50714217, [2011] Q.J. No. 412 (QL), 2011 CarswellQue 488.  Pourvoi rejeté, la juge Abella est dissidente.</w:t>
      </w:r>
    </w:p>
    <w:p w:rsidR="008927CA" w:rsidRDefault="008927CA" w:rsidP="008927CA">
      <w:pPr>
        <w:pStyle w:val="SCCNormalDoubleSpacing"/>
        <w:spacing w:line="240" w:lineRule="auto"/>
        <w:rPr>
          <w:rStyle w:val="SCCCounselNameChar"/>
          <w:sz w:val="20"/>
          <w:lang w:val="fr-CA"/>
        </w:rPr>
      </w:pPr>
    </w:p>
    <w:p w:rsidR="008927CA" w:rsidRPr="00873676" w:rsidRDefault="008927CA" w:rsidP="008927CA">
      <w:pPr>
        <w:pStyle w:val="SCCNormalDoubleSpacing"/>
        <w:spacing w:line="240" w:lineRule="auto"/>
        <w:rPr>
          <w:sz w:val="20"/>
          <w:lang w:val="fr-CA"/>
        </w:rPr>
      </w:pPr>
      <w:r w:rsidRPr="00873676">
        <w:rPr>
          <w:rStyle w:val="SCCCounselNameChar"/>
          <w:sz w:val="20"/>
          <w:lang w:val="fr-CA"/>
        </w:rPr>
        <w:tab/>
        <w:t>Kurt A. Johnson</w:t>
      </w:r>
      <w:r w:rsidRPr="00873676">
        <w:rPr>
          <w:rStyle w:val="SCCCounselSeparatorChar"/>
          <w:sz w:val="20"/>
        </w:rPr>
        <w:t xml:space="preserve">, </w:t>
      </w:r>
      <w:r w:rsidRPr="00873676">
        <w:rPr>
          <w:rStyle w:val="SCCCounselNameChar"/>
          <w:sz w:val="20"/>
          <w:lang w:val="fr-CA"/>
        </w:rPr>
        <w:t>Mathieu Bouchard</w:t>
      </w:r>
      <w:r w:rsidRPr="00873676">
        <w:rPr>
          <w:rStyle w:val="SCCCounselNameChar"/>
          <w:i w:val="0"/>
          <w:sz w:val="20"/>
          <w:lang w:val="fr-CA"/>
        </w:rPr>
        <w:t xml:space="preserve">, </w:t>
      </w:r>
      <w:r w:rsidRPr="00873676">
        <w:rPr>
          <w:rStyle w:val="SCCCounselNameChar"/>
          <w:sz w:val="20"/>
          <w:lang w:val="fr-CA"/>
        </w:rPr>
        <w:t>Audrey Boctor</w:t>
      </w:r>
      <w:r w:rsidRPr="00873676">
        <w:rPr>
          <w:rStyle w:val="SCCCounselSeparatorChar"/>
          <w:sz w:val="20"/>
        </w:rPr>
        <w:t xml:space="preserve"> et </w:t>
      </w:r>
      <w:r w:rsidRPr="00873676">
        <w:rPr>
          <w:rStyle w:val="SCCCounselNameChar"/>
          <w:sz w:val="20"/>
          <w:lang w:val="fr-CA"/>
        </w:rPr>
        <w:t>David Grossman</w:t>
      </w:r>
      <w:r w:rsidRPr="00873676">
        <w:rPr>
          <w:rStyle w:val="SCCCounselPartyRoleChar"/>
          <w:sz w:val="20"/>
          <w:lang w:val="fr-CA"/>
        </w:rPr>
        <w:t>, pour les appelants.</w:t>
      </w:r>
    </w:p>
    <w:p w:rsidR="008927CA" w:rsidRDefault="008927CA" w:rsidP="008927CA">
      <w:pPr>
        <w:pStyle w:val="SCCNormalDoubleSpacing"/>
        <w:spacing w:line="240" w:lineRule="auto"/>
        <w:rPr>
          <w:sz w:val="20"/>
          <w:lang w:val="fr-CA"/>
        </w:rPr>
      </w:pPr>
    </w:p>
    <w:p w:rsidR="008927CA" w:rsidRPr="00873676" w:rsidRDefault="008927CA" w:rsidP="008927CA">
      <w:pPr>
        <w:pStyle w:val="SCCNormalDoubleSpacing"/>
        <w:spacing w:line="240" w:lineRule="auto"/>
        <w:rPr>
          <w:sz w:val="20"/>
          <w:lang w:val="fr-CA"/>
        </w:rPr>
      </w:pPr>
      <w:r w:rsidRPr="00873676">
        <w:rPr>
          <w:sz w:val="20"/>
          <w:lang w:val="fr-CA"/>
        </w:rPr>
        <w:lastRenderedPageBreak/>
        <w:tab/>
        <w:t>Personne n’a comparu pour les intimés la République islamique d’Iran, Ayatollah Sayyid Ali Khamenei, Saeed Mortazavi et Mohammad Bakhshi.</w:t>
      </w:r>
    </w:p>
    <w:p w:rsidR="008927CA" w:rsidRDefault="008927CA" w:rsidP="008927CA">
      <w:pPr>
        <w:pStyle w:val="SCCNormalDoubleSpacing"/>
        <w:spacing w:line="240" w:lineRule="auto"/>
        <w:rPr>
          <w:rStyle w:val="SCCCounselNameChar"/>
          <w:sz w:val="20"/>
          <w:lang w:val="fr-CA"/>
        </w:rPr>
      </w:pPr>
    </w:p>
    <w:p w:rsidR="008927CA" w:rsidRPr="00873676" w:rsidRDefault="008927CA" w:rsidP="008927CA">
      <w:pPr>
        <w:pStyle w:val="SCCNormalDoubleSpacing"/>
        <w:spacing w:line="240" w:lineRule="auto"/>
        <w:rPr>
          <w:rStyle w:val="SCCCounselPartyRoleChar"/>
          <w:sz w:val="20"/>
          <w:lang w:val="fr-CA"/>
        </w:rPr>
      </w:pPr>
      <w:r w:rsidRPr="00873676">
        <w:rPr>
          <w:rStyle w:val="SCCCounselNameChar"/>
          <w:sz w:val="20"/>
          <w:lang w:val="fr-CA"/>
        </w:rPr>
        <w:tab/>
        <w:t>Bernard Letarte</w:t>
      </w:r>
      <w:r w:rsidRPr="00873676">
        <w:rPr>
          <w:rStyle w:val="SCCCounselSeparatorChar"/>
          <w:sz w:val="20"/>
        </w:rPr>
        <w:t xml:space="preserve"> et </w:t>
      </w:r>
      <w:r w:rsidRPr="00873676">
        <w:rPr>
          <w:rStyle w:val="SCCCounselNameChar"/>
          <w:sz w:val="20"/>
          <w:lang w:val="fr-CA"/>
        </w:rPr>
        <w:t>René LeBlanc</w:t>
      </w:r>
      <w:r w:rsidRPr="00873676">
        <w:rPr>
          <w:rStyle w:val="SCCCounselPartyRoleChar"/>
          <w:sz w:val="20"/>
          <w:lang w:val="fr-CA"/>
        </w:rPr>
        <w:t>, pour l’intimé le procureur général du Canada.</w:t>
      </w:r>
    </w:p>
    <w:p w:rsidR="008927CA" w:rsidRDefault="008927CA" w:rsidP="008927CA">
      <w:pPr>
        <w:pStyle w:val="SCCNormalDoubleSpacing"/>
        <w:spacing w:line="240" w:lineRule="auto"/>
        <w:rPr>
          <w:rStyle w:val="SCCCounselNameChar"/>
          <w:sz w:val="20"/>
          <w:lang w:val="fr-CA"/>
        </w:rPr>
      </w:pPr>
    </w:p>
    <w:p w:rsidR="008927CA" w:rsidRPr="00873676" w:rsidRDefault="008927CA" w:rsidP="008927CA">
      <w:pPr>
        <w:pStyle w:val="SCCNormalDoubleSpacing"/>
        <w:spacing w:line="240" w:lineRule="auto"/>
        <w:rPr>
          <w:rStyle w:val="SCCCounselNameChar"/>
          <w:sz w:val="20"/>
          <w:lang w:val="fr-CA"/>
        </w:rPr>
      </w:pPr>
      <w:r w:rsidRPr="00873676">
        <w:rPr>
          <w:rStyle w:val="SCCCounselNameChar"/>
          <w:sz w:val="20"/>
          <w:lang w:val="fr-CA"/>
        </w:rPr>
        <w:tab/>
        <w:t>Christopher D. Bredt</w:t>
      </w:r>
      <w:r w:rsidRPr="00873676">
        <w:rPr>
          <w:rStyle w:val="SCCCounselSeparatorChar"/>
          <w:sz w:val="20"/>
        </w:rPr>
        <w:t xml:space="preserve"> et </w:t>
      </w:r>
      <w:r w:rsidRPr="00873676">
        <w:rPr>
          <w:rStyle w:val="SCCCounselNameChar"/>
          <w:sz w:val="20"/>
          <w:lang w:val="fr-CA"/>
        </w:rPr>
        <w:t>Heather Pessione</w:t>
      </w:r>
      <w:r w:rsidRPr="00873676">
        <w:rPr>
          <w:rStyle w:val="SCCCounselPartyRoleChar"/>
          <w:sz w:val="20"/>
          <w:lang w:val="fr-CA"/>
        </w:rPr>
        <w:t>, pour l’</w:t>
      </w:r>
      <w:r w:rsidRPr="00873676">
        <w:rPr>
          <w:rStyle w:val="SCCCounselPartyRoleChar"/>
          <w:i/>
          <w:sz w:val="20"/>
          <w:lang w:val="fr-CA"/>
        </w:rPr>
        <w:t>amicus curiae</w:t>
      </w:r>
      <w:r w:rsidRPr="00873676">
        <w:rPr>
          <w:rStyle w:val="SCCCounselPartyRoleChar"/>
          <w:sz w:val="20"/>
          <w:lang w:val="fr-CA"/>
        </w:rPr>
        <w:t>.</w:t>
      </w:r>
    </w:p>
    <w:p w:rsidR="008927CA" w:rsidRDefault="008927CA" w:rsidP="008927CA">
      <w:pPr>
        <w:pStyle w:val="SCCNormalDoubleSpacing"/>
        <w:spacing w:line="240" w:lineRule="auto"/>
        <w:rPr>
          <w:rStyle w:val="SCCCounselNameChar"/>
          <w:sz w:val="20"/>
          <w:lang w:val="fr-CA"/>
        </w:rPr>
      </w:pPr>
    </w:p>
    <w:p w:rsidR="008927CA" w:rsidRPr="00873676" w:rsidRDefault="008927CA" w:rsidP="008927CA">
      <w:pPr>
        <w:pStyle w:val="SCCNormalDoubleSpacing"/>
        <w:spacing w:line="240" w:lineRule="auto"/>
        <w:rPr>
          <w:sz w:val="20"/>
          <w:lang w:val="fr-CA"/>
        </w:rPr>
      </w:pPr>
      <w:r w:rsidRPr="00873676">
        <w:rPr>
          <w:rStyle w:val="SCCCounselNameChar"/>
          <w:sz w:val="20"/>
          <w:lang w:val="fr-CA"/>
        </w:rPr>
        <w:tab/>
        <w:t>Jill Copeland</w:t>
      </w:r>
      <w:r w:rsidRPr="00873676">
        <w:rPr>
          <w:rStyle w:val="SCCCounselSeparatorChar"/>
          <w:sz w:val="20"/>
        </w:rPr>
        <w:t xml:space="preserve"> et </w:t>
      </w:r>
      <w:r w:rsidRPr="00873676">
        <w:rPr>
          <w:rStyle w:val="SCCCounselNameChar"/>
          <w:sz w:val="20"/>
          <w:lang w:val="fr-CA"/>
        </w:rPr>
        <w:t>Emma Phillips</w:t>
      </w:r>
      <w:r w:rsidRPr="00873676">
        <w:rPr>
          <w:rStyle w:val="SCCCounselPartyRoleChar"/>
          <w:sz w:val="20"/>
          <w:lang w:val="fr-CA"/>
        </w:rPr>
        <w:t>, pour l’intervenante Canadian Lawyers for International Human Rights</w:t>
      </w:r>
      <w:r w:rsidRPr="00873676">
        <w:rPr>
          <w:sz w:val="20"/>
          <w:lang w:val="fr-CA"/>
        </w:rPr>
        <w:t>.</w:t>
      </w:r>
    </w:p>
    <w:p w:rsidR="008927CA" w:rsidRDefault="008927CA" w:rsidP="008927CA">
      <w:pPr>
        <w:pStyle w:val="SCCNormalDoubleSpacing"/>
        <w:spacing w:line="240" w:lineRule="auto"/>
        <w:rPr>
          <w:rStyle w:val="SCCCounselNameChar"/>
          <w:sz w:val="20"/>
          <w:lang w:val="fr-CA"/>
        </w:rPr>
      </w:pPr>
    </w:p>
    <w:p w:rsidR="008927CA" w:rsidRPr="00873676" w:rsidRDefault="008927CA" w:rsidP="008927CA">
      <w:pPr>
        <w:pStyle w:val="SCCNormalDoubleSpacing"/>
        <w:spacing w:line="240" w:lineRule="auto"/>
        <w:rPr>
          <w:sz w:val="20"/>
          <w:lang w:val="fr-CA"/>
        </w:rPr>
      </w:pPr>
      <w:r w:rsidRPr="00873676">
        <w:rPr>
          <w:rStyle w:val="SCCCounselNameChar"/>
          <w:sz w:val="20"/>
          <w:lang w:val="fr-CA"/>
        </w:rPr>
        <w:tab/>
        <w:t>François Larocque</w:t>
      </w:r>
      <w:r w:rsidRPr="00873676">
        <w:rPr>
          <w:rStyle w:val="SCCCounselSeparatorChar"/>
          <w:sz w:val="20"/>
        </w:rPr>
        <w:t xml:space="preserve"> et </w:t>
      </w:r>
      <w:r w:rsidRPr="00873676">
        <w:rPr>
          <w:rStyle w:val="SCCCounselNameChar"/>
          <w:sz w:val="20"/>
          <w:lang w:val="fr-CA"/>
        </w:rPr>
        <w:t>Alyssa Tomkins</w:t>
      </w:r>
      <w:r w:rsidRPr="00873676">
        <w:rPr>
          <w:rStyle w:val="SCCCounselPartyRoleChar"/>
          <w:sz w:val="20"/>
          <w:lang w:val="fr-CA"/>
        </w:rPr>
        <w:t>, pour l’intervenante Amnistie internationale, Section Canada francophone.</w:t>
      </w:r>
    </w:p>
    <w:p w:rsidR="008927CA" w:rsidRDefault="008927CA" w:rsidP="008927CA">
      <w:pPr>
        <w:pStyle w:val="SCCNormalDoubleSpacing"/>
        <w:spacing w:line="240" w:lineRule="auto"/>
        <w:rPr>
          <w:rStyle w:val="SCCCounselNameChar"/>
          <w:sz w:val="20"/>
          <w:lang w:val="fr-CA"/>
        </w:rPr>
      </w:pPr>
    </w:p>
    <w:p w:rsidR="008927CA" w:rsidRPr="00873676" w:rsidRDefault="008927CA" w:rsidP="008927CA">
      <w:pPr>
        <w:pStyle w:val="SCCNormalDoubleSpacing"/>
        <w:spacing w:line="240" w:lineRule="auto"/>
        <w:rPr>
          <w:rStyle w:val="SCCCounselPartyRoleChar"/>
          <w:sz w:val="20"/>
          <w:lang w:val="fr-CA"/>
        </w:rPr>
      </w:pPr>
      <w:r w:rsidRPr="00873676">
        <w:rPr>
          <w:rStyle w:val="SCCCounselNameChar"/>
          <w:sz w:val="20"/>
          <w:lang w:val="fr-CA"/>
        </w:rPr>
        <w:tab/>
      </w:r>
      <w:r w:rsidRPr="00873676">
        <w:rPr>
          <w:rStyle w:val="SCCCounselNameChar"/>
          <w:i w:val="0"/>
          <w:sz w:val="20"/>
          <w:lang w:val="fr-CA"/>
        </w:rPr>
        <w:t>Argumentation écrite seulement par</w:t>
      </w:r>
      <w:r w:rsidRPr="00873676">
        <w:rPr>
          <w:rStyle w:val="SCCCounselNameChar"/>
          <w:sz w:val="20"/>
          <w:lang w:val="fr-CA"/>
        </w:rPr>
        <w:t xml:space="preserve"> Azim Hussain</w:t>
      </w:r>
      <w:r w:rsidRPr="00873676">
        <w:rPr>
          <w:rStyle w:val="SCCCounselSeparatorChar"/>
          <w:sz w:val="20"/>
        </w:rPr>
        <w:t xml:space="preserve">, </w:t>
      </w:r>
      <w:r w:rsidRPr="00873676">
        <w:rPr>
          <w:rStyle w:val="SCCCounselNameChar"/>
          <w:sz w:val="20"/>
          <w:lang w:val="fr-CA"/>
        </w:rPr>
        <w:t>Rahool P. Agarwal</w:t>
      </w:r>
      <w:r w:rsidRPr="00873676">
        <w:rPr>
          <w:rStyle w:val="SCCCounselSeparatorChar"/>
          <w:sz w:val="20"/>
        </w:rPr>
        <w:t xml:space="preserve"> et </w:t>
      </w:r>
      <w:r w:rsidRPr="00873676">
        <w:rPr>
          <w:rStyle w:val="SCCCounselNameChar"/>
          <w:sz w:val="20"/>
          <w:lang w:val="fr-CA"/>
        </w:rPr>
        <w:t>Maureen R. A. Edwards</w:t>
      </w:r>
      <w:r w:rsidRPr="00873676">
        <w:rPr>
          <w:rStyle w:val="SCCCounselPartyRoleChar"/>
          <w:sz w:val="20"/>
          <w:lang w:val="fr-CA"/>
        </w:rPr>
        <w:t>, pour l’intervenante Redress Trust Ltd.</w:t>
      </w:r>
    </w:p>
    <w:p w:rsidR="008927CA" w:rsidRDefault="008927CA" w:rsidP="008927CA">
      <w:pPr>
        <w:pStyle w:val="SCCNormalDoubleSpacing"/>
        <w:spacing w:line="240" w:lineRule="auto"/>
        <w:rPr>
          <w:rStyle w:val="SCCCounselNameChar"/>
          <w:sz w:val="20"/>
          <w:lang w:val="fr-CA"/>
        </w:rPr>
      </w:pPr>
    </w:p>
    <w:p w:rsidR="008927CA" w:rsidRPr="00873676" w:rsidRDefault="008927CA" w:rsidP="008927CA">
      <w:pPr>
        <w:pStyle w:val="SCCNormalDoubleSpacing"/>
        <w:spacing w:line="240" w:lineRule="auto"/>
        <w:rPr>
          <w:sz w:val="20"/>
          <w:lang w:val="fr-CA"/>
        </w:rPr>
      </w:pPr>
      <w:r w:rsidRPr="00873676">
        <w:rPr>
          <w:rStyle w:val="SCCCounselNameChar"/>
          <w:sz w:val="20"/>
          <w:lang w:val="fr-CA"/>
        </w:rPr>
        <w:tab/>
      </w:r>
      <w:r w:rsidRPr="00873676">
        <w:rPr>
          <w:rStyle w:val="SCCCounselNameChar"/>
          <w:i w:val="0"/>
          <w:sz w:val="20"/>
          <w:lang w:val="fr-CA"/>
        </w:rPr>
        <w:t>Argumentation écrite seulement par</w:t>
      </w:r>
      <w:r w:rsidRPr="00873676">
        <w:rPr>
          <w:rStyle w:val="SCCCounselNameChar"/>
          <w:sz w:val="20"/>
          <w:lang w:val="fr-CA"/>
        </w:rPr>
        <w:t xml:space="preserve"> Daniel Sheppard</w:t>
      </w:r>
      <w:r w:rsidRPr="00873676">
        <w:rPr>
          <w:rStyle w:val="SCCCounselSeparatorChar"/>
          <w:sz w:val="20"/>
        </w:rPr>
        <w:t xml:space="preserve"> et </w:t>
      </w:r>
      <w:r w:rsidRPr="00873676">
        <w:rPr>
          <w:rStyle w:val="SCCCounselNameChar"/>
          <w:sz w:val="20"/>
          <w:lang w:val="fr-CA"/>
        </w:rPr>
        <w:t>Tamara Morgenthau</w:t>
      </w:r>
      <w:r w:rsidRPr="00873676">
        <w:rPr>
          <w:rStyle w:val="SCCCounselPartyRoleChar"/>
          <w:sz w:val="20"/>
          <w:lang w:val="fr-CA"/>
        </w:rPr>
        <w:t>, pour l’intervenante l’Association canadienne des avocats et avocates en droit des réfugiés.</w:t>
      </w:r>
    </w:p>
    <w:p w:rsidR="008927CA" w:rsidRDefault="008927CA" w:rsidP="008927CA">
      <w:pPr>
        <w:pStyle w:val="SCCNormalDoubleSpacing"/>
        <w:spacing w:line="240" w:lineRule="auto"/>
        <w:rPr>
          <w:rStyle w:val="SCCCounselNameChar"/>
          <w:sz w:val="20"/>
          <w:lang w:val="fr-CA"/>
        </w:rPr>
      </w:pPr>
    </w:p>
    <w:p w:rsidR="008927CA" w:rsidRPr="00873676" w:rsidRDefault="008927CA" w:rsidP="008927CA">
      <w:pPr>
        <w:pStyle w:val="SCCNormalDoubleSpacing"/>
        <w:spacing w:line="240" w:lineRule="auto"/>
        <w:rPr>
          <w:sz w:val="20"/>
          <w:lang w:val="fr-CA"/>
        </w:rPr>
      </w:pPr>
      <w:r w:rsidRPr="00873676">
        <w:rPr>
          <w:rStyle w:val="SCCCounselNameChar"/>
          <w:sz w:val="20"/>
          <w:lang w:val="fr-CA"/>
        </w:rPr>
        <w:tab/>
      </w:r>
      <w:r w:rsidRPr="00873676">
        <w:rPr>
          <w:rStyle w:val="SCCCounselNameChar"/>
          <w:i w:val="0"/>
          <w:sz w:val="20"/>
          <w:lang w:val="fr-CA"/>
        </w:rPr>
        <w:t>Argumentation écrite seulement par</w:t>
      </w:r>
      <w:r w:rsidRPr="00873676">
        <w:rPr>
          <w:rStyle w:val="SCCCounselNameChar"/>
          <w:sz w:val="20"/>
          <w:lang w:val="fr-CA"/>
        </w:rPr>
        <w:t xml:space="preserve"> Micheal Sobkin</w:t>
      </w:r>
      <w:r w:rsidRPr="00873676">
        <w:rPr>
          <w:rStyle w:val="SCCCounselPartyRoleChar"/>
          <w:sz w:val="20"/>
          <w:lang w:val="fr-CA"/>
        </w:rPr>
        <w:t>, pour l’intervenante l’Association des libertés civiles de la Colombie</w:t>
      </w:r>
      <w:r w:rsidRPr="00873676">
        <w:rPr>
          <w:rStyle w:val="SCCCounselPartyRoleChar"/>
          <w:sz w:val="20"/>
          <w:lang w:val="fr-CA"/>
        </w:rPr>
        <w:noBreakHyphen/>
        <w:t>Britannique.</w:t>
      </w:r>
    </w:p>
    <w:p w:rsidR="008927CA" w:rsidRDefault="008927CA" w:rsidP="008927CA">
      <w:pPr>
        <w:pStyle w:val="SCCNormalDoubleSpacing"/>
        <w:spacing w:line="240" w:lineRule="auto"/>
        <w:rPr>
          <w:rStyle w:val="SCCCounselNameChar"/>
          <w:sz w:val="20"/>
          <w:lang w:val="fr-CA"/>
        </w:rPr>
      </w:pPr>
    </w:p>
    <w:p w:rsidR="008927CA" w:rsidRPr="00873676" w:rsidRDefault="008927CA" w:rsidP="008927CA">
      <w:pPr>
        <w:pStyle w:val="SCCNormalDoubleSpacing"/>
        <w:spacing w:line="240" w:lineRule="auto"/>
        <w:rPr>
          <w:sz w:val="20"/>
          <w:lang w:val="fr-CA"/>
        </w:rPr>
      </w:pPr>
      <w:r w:rsidRPr="00873676">
        <w:rPr>
          <w:rStyle w:val="SCCCounselNameChar"/>
          <w:sz w:val="20"/>
          <w:lang w:val="fr-CA"/>
        </w:rPr>
        <w:tab/>
      </w:r>
      <w:r w:rsidRPr="00873676">
        <w:rPr>
          <w:rStyle w:val="SCCCounselNameChar"/>
          <w:i w:val="0"/>
          <w:sz w:val="20"/>
          <w:lang w:val="fr-CA"/>
        </w:rPr>
        <w:t>Argumentation écrite seulement par</w:t>
      </w:r>
      <w:r w:rsidRPr="00873676">
        <w:rPr>
          <w:rStyle w:val="SCCCounselNameChar"/>
          <w:sz w:val="20"/>
          <w:lang w:val="fr-CA"/>
        </w:rPr>
        <w:t xml:space="preserve"> David Matas</w:t>
      </w:r>
      <w:r w:rsidRPr="00873676">
        <w:rPr>
          <w:rStyle w:val="SCCCounselSeparatorChar"/>
          <w:sz w:val="20"/>
        </w:rPr>
        <w:t xml:space="preserve">, </w:t>
      </w:r>
      <w:r w:rsidRPr="00873676">
        <w:rPr>
          <w:rStyle w:val="SCCCounselNameChar"/>
          <w:sz w:val="20"/>
          <w:lang w:val="fr-CA"/>
        </w:rPr>
        <w:t>Monique Pongracic</w:t>
      </w:r>
      <w:r w:rsidRPr="00873676">
        <w:rPr>
          <w:rStyle w:val="SCCCounselNameChar"/>
          <w:sz w:val="20"/>
          <w:lang w:val="fr-CA"/>
        </w:rPr>
        <w:noBreakHyphen/>
        <w:t>Speier</w:t>
      </w:r>
      <w:r w:rsidRPr="00873676">
        <w:rPr>
          <w:rStyle w:val="SCCCounselSeparatorChar"/>
          <w:sz w:val="20"/>
        </w:rPr>
        <w:t xml:space="preserve"> et </w:t>
      </w:r>
      <w:r w:rsidRPr="00873676">
        <w:rPr>
          <w:rStyle w:val="SCCCounselNameChar"/>
          <w:sz w:val="20"/>
          <w:lang w:val="fr-CA"/>
        </w:rPr>
        <w:t>Noemi Gal</w:t>
      </w:r>
      <w:r w:rsidRPr="00873676">
        <w:rPr>
          <w:rStyle w:val="SCCCounselNameChar"/>
          <w:sz w:val="20"/>
          <w:lang w:val="fr-CA"/>
        </w:rPr>
        <w:noBreakHyphen/>
        <w:t>Or</w:t>
      </w:r>
      <w:r w:rsidRPr="00873676">
        <w:rPr>
          <w:rStyle w:val="SCCCounselPartyRoleChar"/>
          <w:sz w:val="20"/>
          <w:lang w:val="fr-CA"/>
        </w:rPr>
        <w:t>, pour l’intervenante l’Association du Barreau canadien.</w:t>
      </w:r>
    </w:p>
    <w:p w:rsidR="008927CA" w:rsidRDefault="008927CA" w:rsidP="008927CA">
      <w:pPr>
        <w:pStyle w:val="SCCNormalDoubleSpacing"/>
        <w:spacing w:line="240" w:lineRule="auto"/>
        <w:rPr>
          <w:rStyle w:val="SCCCounselNameChar"/>
          <w:sz w:val="20"/>
          <w:lang w:val="fr-CA"/>
        </w:rPr>
      </w:pPr>
    </w:p>
    <w:p w:rsidR="008927CA" w:rsidRPr="00873676" w:rsidRDefault="008927CA" w:rsidP="008927CA">
      <w:pPr>
        <w:pStyle w:val="SCCNormalDoubleSpacing"/>
        <w:spacing w:line="240" w:lineRule="auto"/>
        <w:rPr>
          <w:sz w:val="20"/>
          <w:lang w:val="fr-CA"/>
        </w:rPr>
      </w:pPr>
      <w:r w:rsidRPr="00873676">
        <w:rPr>
          <w:rStyle w:val="SCCCounselNameChar"/>
          <w:sz w:val="20"/>
          <w:lang w:val="fr-CA"/>
        </w:rPr>
        <w:tab/>
        <w:t>Christopher A. Wayland</w:t>
      </w:r>
      <w:r w:rsidRPr="00873676">
        <w:rPr>
          <w:rStyle w:val="SCCCounselSeparatorChar"/>
          <w:sz w:val="20"/>
        </w:rPr>
        <w:t xml:space="preserve"> et </w:t>
      </w:r>
      <w:r w:rsidRPr="00873676">
        <w:rPr>
          <w:rStyle w:val="SCCCounselNameChar"/>
          <w:sz w:val="20"/>
          <w:lang w:val="fr-CA"/>
        </w:rPr>
        <w:t>Simon Chamberland</w:t>
      </w:r>
      <w:r w:rsidRPr="00873676">
        <w:rPr>
          <w:rStyle w:val="SCCCounselPartyRoleChar"/>
          <w:sz w:val="20"/>
          <w:lang w:val="fr-CA"/>
        </w:rPr>
        <w:t>, pour l’intervenante l’Association canadienne des libertés civiles.</w:t>
      </w:r>
    </w:p>
    <w:p w:rsidR="008927CA" w:rsidRDefault="008927CA" w:rsidP="008927CA">
      <w:pPr>
        <w:pStyle w:val="SCCNormalDoubleSpacing"/>
        <w:spacing w:line="240" w:lineRule="auto"/>
        <w:rPr>
          <w:rStyle w:val="SCCCounselNameChar"/>
          <w:sz w:val="20"/>
          <w:lang w:val="fr-CA"/>
        </w:rPr>
      </w:pPr>
    </w:p>
    <w:p w:rsidR="008927CA" w:rsidRPr="00873676" w:rsidRDefault="008927CA" w:rsidP="008927CA">
      <w:pPr>
        <w:pStyle w:val="SCCNormalDoubleSpacing"/>
        <w:spacing w:line="240" w:lineRule="auto"/>
        <w:rPr>
          <w:sz w:val="20"/>
          <w:lang w:val="fr-CA"/>
        </w:rPr>
      </w:pPr>
      <w:r w:rsidRPr="00873676">
        <w:rPr>
          <w:rStyle w:val="SCCCounselNameChar"/>
          <w:sz w:val="20"/>
          <w:lang w:val="fr-CA"/>
        </w:rPr>
        <w:tab/>
        <w:t>John Terry</w:t>
      </w:r>
      <w:r w:rsidRPr="00873676">
        <w:rPr>
          <w:rStyle w:val="SCCCounselSeparatorChar"/>
          <w:sz w:val="20"/>
        </w:rPr>
        <w:t xml:space="preserve"> et </w:t>
      </w:r>
      <w:r w:rsidRPr="00873676">
        <w:rPr>
          <w:rStyle w:val="SCCCounselNameChar"/>
          <w:sz w:val="20"/>
          <w:lang w:val="fr-CA"/>
        </w:rPr>
        <w:t>Sarah Shody</w:t>
      </w:r>
      <w:r w:rsidRPr="00873676">
        <w:rPr>
          <w:rStyle w:val="SCCCounselPartyRoleChar"/>
          <w:sz w:val="20"/>
          <w:lang w:val="fr-CA"/>
        </w:rPr>
        <w:t>, pour l’intervenant le Centre canadien pour la justice internationale.</w:t>
      </w:r>
    </w:p>
    <w:p w:rsidR="008927CA" w:rsidRDefault="008927CA" w:rsidP="008927CA">
      <w:pPr>
        <w:pStyle w:val="SCCNormalDoubleSpacing"/>
        <w:spacing w:line="240" w:lineRule="auto"/>
        <w:rPr>
          <w:rStyle w:val="SCCCounselNameChar"/>
          <w:sz w:val="20"/>
          <w:lang w:val="fr-CA"/>
        </w:rPr>
      </w:pPr>
    </w:p>
    <w:p w:rsidR="008927CA" w:rsidRPr="00873676" w:rsidRDefault="008927CA" w:rsidP="008927CA">
      <w:pPr>
        <w:pStyle w:val="SCCNormalDoubleSpacing"/>
        <w:spacing w:line="240" w:lineRule="auto"/>
        <w:rPr>
          <w:sz w:val="20"/>
          <w:lang w:val="en-US"/>
        </w:rPr>
      </w:pPr>
      <w:r w:rsidRPr="00873676">
        <w:rPr>
          <w:rStyle w:val="SCCCounselNameChar"/>
          <w:sz w:val="20"/>
          <w:lang w:val="fr-CA"/>
        </w:rPr>
        <w:tab/>
      </w:r>
      <w:r w:rsidRPr="00873676">
        <w:rPr>
          <w:rStyle w:val="SCCCounselNameChar"/>
          <w:sz w:val="20"/>
          <w:lang w:val="en-US"/>
        </w:rPr>
        <w:t>John Norris</w:t>
      </w:r>
      <w:r w:rsidRPr="00873676">
        <w:rPr>
          <w:rStyle w:val="SCCCounselSeparatorChar"/>
          <w:sz w:val="20"/>
          <w:lang w:val="en-US"/>
        </w:rPr>
        <w:t xml:space="preserve"> et </w:t>
      </w:r>
      <w:r w:rsidRPr="00873676">
        <w:rPr>
          <w:rStyle w:val="SCCCounselNameChar"/>
          <w:sz w:val="20"/>
          <w:lang w:val="en-US"/>
        </w:rPr>
        <w:t>Carmen Cheung</w:t>
      </w:r>
      <w:r w:rsidRPr="00873676">
        <w:rPr>
          <w:rStyle w:val="SCCCounselPartyRoleChar"/>
          <w:sz w:val="20"/>
          <w:lang w:val="en-US"/>
        </w:rPr>
        <w:t>, pour les intervenants David Asper Centre for Constitutional Rights et International Human Rights Program at the University of Toronto Faculty of Law.</w:t>
      </w:r>
    </w:p>
    <w:p w:rsidR="008927CA" w:rsidRDefault="008927CA" w:rsidP="008927CA">
      <w:pPr>
        <w:pStyle w:val="SCCNormalDoubleSpacing"/>
        <w:spacing w:line="240" w:lineRule="auto"/>
        <w:rPr>
          <w:sz w:val="20"/>
          <w:lang w:val="en-US"/>
        </w:rPr>
      </w:pPr>
    </w:p>
    <w:p w:rsidR="008927CA" w:rsidRPr="00873676" w:rsidRDefault="008927CA" w:rsidP="008927CA">
      <w:pPr>
        <w:pStyle w:val="SCCNormalDoubleSpacing"/>
        <w:spacing w:line="240" w:lineRule="auto"/>
        <w:rPr>
          <w:sz w:val="20"/>
          <w:lang w:val="fr-CA"/>
        </w:rPr>
      </w:pPr>
      <w:r w:rsidRPr="00873676">
        <w:rPr>
          <w:sz w:val="20"/>
          <w:lang w:val="en-US"/>
        </w:rPr>
        <w:tab/>
      </w:r>
      <w:r w:rsidRPr="00873676">
        <w:rPr>
          <w:i/>
          <w:sz w:val="20"/>
          <w:lang w:val="fr-CA"/>
        </w:rPr>
        <w:t>Babak Barin</w:t>
      </w:r>
      <w:r w:rsidRPr="00873676">
        <w:rPr>
          <w:sz w:val="20"/>
          <w:lang w:val="fr-CA"/>
        </w:rPr>
        <w:t xml:space="preserve"> et </w:t>
      </w:r>
      <w:r w:rsidRPr="00873676">
        <w:rPr>
          <w:i/>
          <w:sz w:val="20"/>
          <w:lang w:val="fr-CA"/>
        </w:rPr>
        <w:t>Payam Akhavan</w:t>
      </w:r>
      <w:r w:rsidRPr="00873676">
        <w:rPr>
          <w:sz w:val="20"/>
          <w:lang w:val="fr-CA"/>
        </w:rPr>
        <w:t>, pour l’intervenant Iran Human Rights Documentation Center.</w:t>
      </w:r>
    </w:p>
    <w:p w:rsidR="008927CA" w:rsidRDefault="008927CA" w:rsidP="008927CA">
      <w:pPr>
        <w:pStyle w:val="SCCLawFirm"/>
        <w:spacing w:line="240" w:lineRule="auto"/>
        <w:rPr>
          <w:sz w:val="20"/>
          <w:lang w:val="fr-CA"/>
        </w:rPr>
      </w:pPr>
    </w:p>
    <w:p w:rsidR="008927CA" w:rsidRPr="00873676" w:rsidRDefault="008927CA" w:rsidP="008927CA">
      <w:pPr>
        <w:pStyle w:val="SCCLawFirm"/>
        <w:spacing w:line="240" w:lineRule="auto"/>
        <w:rPr>
          <w:sz w:val="20"/>
          <w:lang w:val="fr-CA"/>
        </w:rPr>
      </w:pPr>
      <w:r w:rsidRPr="00873676">
        <w:rPr>
          <w:sz w:val="20"/>
          <w:lang w:val="fr-CA"/>
        </w:rPr>
        <w:tab/>
        <w:t>Procureurs des appelants : Irving Mitchell Kalichman, Montréal.</w:t>
      </w:r>
    </w:p>
    <w:p w:rsidR="008927CA" w:rsidRDefault="008927CA" w:rsidP="008927CA">
      <w:pPr>
        <w:pStyle w:val="SCCLawFirm"/>
        <w:spacing w:line="240" w:lineRule="auto"/>
        <w:rPr>
          <w:sz w:val="20"/>
          <w:lang w:val="fr-CA"/>
        </w:rPr>
      </w:pPr>
    </w:p>
    <w:p w:rsidR="008927CA" w:rsidRPr="00873676" w:rsidRDefault="008927CA" w:rsidP="008927CA">
      <w:pPr>
        <w:pStyle w:val="SCCLawFirm"/>
        <w:spacing w:line="240" w:lineRule="auto"/>
        <w:rPr>
          <w:sz w:val="20"/>
          <w:lang w:val="fr-CA"/>
        </w:rPr>
      </w:pPr>
      <w:r w:rsidRPr="00873676">
        <w:rPr>
          <w:sz w:val="20"/>
          <w:lang w:val="fr-CA"/>
        </w:rPr>
        <w:tab/>
        <w:t>Procureur de l’intimé le procureur général du Canada : Procureur général du Canada, Ottawa.</w:t>
      </w:r>
    </w:p>
    <w:p w:rsidR="008927CA" w:rsidRDefault="008927CA" w:rsidP="008927CA">
      <w:pPr>
        <w:pStyle w:val="SCCLawFirm"/>
        <w:spacing w:line="240" w:lineRule="auto"/>
        <w:rPr>
          <w:sz w:val="20"/>
          <w:lang w:val="fr-CA"/>
        </w:rPr>
      </w:pPr>
    </w:p>
    <w:p w:rsidR="008927CA" w:rsidRPr="00873676" w:rsidRDefault="008927CA" w:rsidP="008927CA">
      <w:pPr>
        <w:pStyle w:val="SCCLawFirm"/>
        <w:spacing w:line="240" w:lineRule="auto"/>
        <w:rPr>
          <w:sz w:val="20"/>
          <w:lang w:val="fr-CA"/>
        </w:rPr>
      </w:pPr>
      <w:r w:rsidRPr="00873676">
        <w:rPr>
          <w:sz w:val="20"/>
          <w:lang w:val="fr-CA"/>
        </w:rPr>
        <w:tab/>
        <w:t>Procureurs nommés par la Cour en qualité d’amicus curiae : Borden Ladner Gervais, Toronto.</w:t>
      </w:r>
    </w:p>
    <w:p w:rsidR="008927CA" w:rsidRDefault="008927CA" w:rsidP="008927CA">
      <w:pPr>
        <w:pStyle w:val="SCCLawFirm"/>
        <w:spacing w:line="240" w:lineRule="auto"/>
        <w:rPr>
          <w:sz w:val="20"/>
          <w:lang w:val="fr-CA"/>
        </w:rPr>
      </w:pPr>
    </w:p>
    <w:p w:rsidR="008927CA" w:rsidRPr="00873676" w:rsidRDefault="008927CA" w:rsidP="008927CA">
      <w:pPr>
        <w:pStyle w:val="SCCLawFirm"/>
        <w:spacing w:line="240" w:lineRule="auto"/>
        <w:rPr>
          <w:sz w:val="20"/>
          <w:lang w:val="en-US"/>
        </w:rPr>
      </w:pPr>
      <w:r w:rsidRPr="00873676">
        <w:rPr>
          <w:sz w:val="20"/>
          <w:lang w:val="fr-CA"/>
        </w:rPr>
        <w:tab/>
      </w:r>
      <w:r w:rsidRPr="00873676">
        <w:rPr>
          <w:sz w:val="20"/>
          <w:lang w:val="en-US"/>
        </w:rPr>
        <w:t>Procureurs de l’intervenante Canadian Lawyers for International Human Rights : Sack Goldblatt Mitchell, Toronto.</w:t>
      </w:r>
    </w:p>
    <w:p w:rsidR="008927CA" w:rsidRDefault="008927CA" w:rsidP="008927CA">
      <w:pPr>
        <w:pStyle w:val="SCCLawFirm"/>
        <w:spacing w:line="240" w:lineRule="auto"/>
        <w:rPr>
          <w:sz w:val="20"/>
          <w:lang w:val="en-US"/>
        </w:rPr>
      </w:pPr>
    </w:p>
    <w:p w:rsidR="008927CA" w:rsidRPr="00873676" w:rsidRDefault="008927CA" w:rsidP="008927CA">
      <w:pPr>
        <w:pStyle w:val="SCCLawFirm"/>
        <w:spacing w:line="240" w:lineRule="auto"/>
        <w:rPr>
          <w:sz w:val="20"/>
          <w:lang w:val="fr-CA"/>
        </w:rPr>
      </w:pPr>
      <w:r w:rsidRPr="00873676">
        <w:rPr>
          <w:sz w:val="20"/>
          <w:lang w:val="en-US"/>
        </w:rPr>
        <w:tab/>
      </w:r>
      <w:r w:rsidRPr="00873676">
        <w:rPr>
          <w:sz w:val="20"/>
          <w:lang w:val="fr-CA"/>
        </w:rPr>
        <w:t>Procureurs de l’intervenante Amnistie internationale, Section Canada francophone : Juristes Power Law, Ottawa; CazaSaikaley, Ottawa.</w:t>
      </w:r>
    </w:p>
    <w:p w:rsidR="008927CA" w:rsidRDefault="008927CA" w:rsidP="008927CA">
      <w:pPr>
        <w:pStyle w:val="SCCLawFirm"/>
        <w:spacing w:line="240" w:lineRule="auto"/>
        <w:rPr>
          <w:sz w:val="20"/>
          <w:lang w:val="fr-CA"/>
        </w:rPr>
      </w:pPr>
    </w:p>
    <w:p w:rsidR="008927CA" w:rsidRPr="00873676" w:rsidRDefault="008927CA" w:rsidP="008927CA">
      <w:pPr>
        <w:pStyle w:val="SCCLawFirm"/>
        <w:spacing w:line="240" w:lineRule="auto"/>
        <w:rPr>
          <w:sz w:val="20"/>
          <w:lang w:val="fr-CA"/>
        </w:rPr>
      </w:pPr>
      <w:r w:rsidRPr="00873676">
        <w:rPr>
          <w:sz w:val="20"/>
          <w:lang w:val="fr-CA"/>
        </w:rPr>
        <w:tab/>
        <w:t>Procureurs de l’intervenante Redress Trust Ltd. : Norton Rose Fulbright Canada, Montréal et Toronto.</w:t>
      </w:r>
    </w:p>
    <w:p w:rsidR="008927CA" w:rsidRDefault="008927CA" w:rsidP="008927CA">
      <w:pPr>
        <w:pStyle w:val="SCCLawFirm"/>
        <w:spacing w:line="240" w:lineRule="auto"/>
        <w:rPr>
          <w:sz w:val="20"/>
          <w:lang w:val="fr-CA"/>
        </w:rPr>
      </w:pPr>
    </w:p>
    <w:p w:rsidR="008927CA" w:rsidRPr="00873676" w:rsidRDefault="008927CA" w:rsidP="008927CA">
      <w:pPr>
        <w:pStyle w:val="SCCLawFirm"/>
        <w:spacing w:line="240" w:lineRule="auto"/>
        <w:rPr>
          <w:sz w:val="20"/>
          <w:lang w:val="fr-CA"/>
        </w:rPr>
      </w:pPr>
      <w:r w:rsidRPr="00873676">
        <w:rPr>
          <w:sz w:val="20"/>
          <w:lang w:val="fr-CA"/>
        </w:rPr>
        <w:tab/>
        <w:t xml:space="preserve">Procureurs de l’intervenante </w:t>
      </w:r>
      <w:r w:rsidRPr="00873676">
        <w:rPr>
          <w:rStyle w:val="SCCCounselPartyRoleChar"/>
          <w:sz w:val="20"/>
          <w:lang w:val="fr-CA"/>
        </w:rPr>
        <w:t>l’Association canadienne des avocats et avocates en droit des réfugiés </w:t>
      </w:r>
      <w:r w:rsidRPr="00873676">
        <w:rPr>
          <w:sz w:val="20"/>
          <w:lang w:val="fr-CA"/>
        </w:rPr>
        <w:t>: Sack Goldblatt Mitchell, Toronto; Waldman &amp; Associates, Toronto.</w:t>
      </w:r>
    </w:p>
    <w:p w:rsidR="008927CA" w:rsidRDefault="008927CA" w:rsidP="008927CA">
      <w:pPr>
        <w:pStyle w:val="SCCLawFirm"/>
        <w:spacing w:line="240" w:lineRule="auto"/>
        <w:rPr>
          <w:sz w:val="20"/>
          <w:lang w:val="fr-CA"/>
        </w:rPr>
      </w:pPr>
    </w:p>
    <w:p w:rsidR="008927CA" w:rsidRPr="00873676" w:rsidRDefault="008927CA" w:rsidP="008927CA">
      <w:pPr>
        <w:pStyle w:val="SCCLawFirm"/>
        <w:spacing w:line="240" w:lineRule="auto"/>
        <w:rPr>
          <w:sz w:val="20"/>
          <w:lang w:val="fr-CA"/>
        </w:rPr>
      </w:pPr>
      <w:r w:rsidRPr="00873676">
        <w:rPr>
          <w:sz w:val="20"/>
          <w:lang w:val="fr-CA"/>
        </w:rPr>
        <w:tab/>
        <w:t>Procureurs de l’intervenante l’Association des libertés civiles de la Colombie</w:t>
      </w:r>
      <w:r w:rsidRPr="00873676">
        <w:rPr>
          <w:sz w:val="20"/>
          <w:lang w:val="fr-CA"/>
        </w:rPr>
        <w:noBreakHyphen/>
        <w:t>Britannique : Branch, MacMaster, Vancouver; Michael Sobkin, Ottawa.</w:t>
      </w:r>
    </w:p>
    <w:p w:rsidR="008927CA" w:rsidRDefault="008927CA" w:rsidP="008927CA">
      <w:pPr>
        <w:pStyle w:val="SCCLawFirm"/>
        <w:spacing w:line="240" w:lineRule="auto"/>
        <w:rPr>
          <w:sz w:val="20"/>
          <w:lang w:val="fr-CA"/>
        </w:rPr>
      </w:pPr>
    </w:p>
    <w:p w:rsidR="008927CA" w:rsidRPr="00873676" w:rsidRDefault="008927CA" w:rsidP="008927CA">
      <w:pPr>
        <w:pStyle w:val="SCCLawFirm"/>
        <w:spacing w:line="240" w:lineRule="auto"/>
        <w:rPr>
          <w:sz w:val="20"/>
          <w:lang w:val="fr-CA"/>
        </w:rPr>
      </w:pPr>
      <w:r w:rsidRPr="00873676">
        <w:rPr>
          <w:sz w:val="20"/>
          <w:lang w:val="fr-CA"/>
        </w:rPr>
        <w:lastRenderedPageBreak/>
        <w:tab/>
        <w:t>Procureur de l’intervenante l’Association du Barreau canadien : David Matas, Winnipeg; Ethos Law Group, Vancouver; Noemi Gal</w:t>
      </w:r>
      <w:r w:rsidRPr="00873676">
        <w:rPr>
          <w:sz w:val="20"/>
          <w:lang w:val="fr-CA"/>
        </w:rPr>
        <w:noBreakHyphen/>
        <w:t>Or Inc., Vancouver.</w:t>
      </w:r>
    </w:p>
    <w:p w:rsidR="008927CA" w:rsidRDefault="008927CA" w:rsidP="008927CA">
      <w:pPr>
        <w:pStyle w:val="SCCLawFirm"/>
        <w:spacing w:line="240" w:lineRule="auto"/>
        <w:rPr>
          <w:sz w:val="20"/>
          <w:lang w:val="fr-CA"/>
        </w:rPr>
      </w:pPr>
    </w:p>
    <w:p w:rsidR="008927CA" w:rsidRPr="00873676" w:rsidRDefault="008927CA" w:rsidP="008927CA">
      <w:pPr>
        <w:pStyle w:val="SCCLawFirm"/>
        <w:spacing w:line="240" w:lineRule="auto"/>
        <w:rPr>
          <w:sz w:val="20"/>
          <w:lang w:val="fr-CA"/>
        </w:rPr>
      </w:pPr>
      <w:r w:rsidRPr="00873676">
        <w:rPr>
          <w:sz w:val="20"/>
          <w:lang w:val="fr-CA"/>
        </w:rPr>
        <w:tab/>
        <w:t>Procureurs de l’intervenante l’Association canadienne des libertés civiles : McCarthy Tétrault, Toronto et Montréal.</w:t>
      </w:r>
    </w:p>
    <w:p w:rsidR="008927CA" w:rsidRDefault="008927CA" w:rsidP="008927CA">
      <w:pPr>
        <w:pStyle w:val="SCCLawFirm"/>
        <w:spacing w:line="240" w:lineRule="auto"/>
        <w:rPr>
          <w:sz w:val="20"/>
          <w:lang w:val="fr-CA"/>
        </w:rPr>
      </w:pPr>
    </w:p>
    <w:p w:rsidR="008927CA" w:rsidRPr="00873676" w:rsidRDefault="008927CA" w:rsidP="008927CA">
      <w:pPr>
        <w:pStyle w:val="SCCLawFirm"/>
        <w:spacing w:line="240" w:lineRule="auto"/>
        <w:rPr>
          <w:sz w:val="20"/>
          <w:lang w:val="fr-CA"/>
        </w:rPr>
      </w:pPr>
      <w:r w:rsidRPr="00873676">
        <w:rPr>
          <w:sz w:val="20"/>
          <w:lang w:val="fr-CA"/>
        </w:rPr>
        <w:tab/>
        <w:t>Procureurs de l’intervenant le Centre canadien pour la justice internationale : Torys, Toronto.</w:t>
      </w:r>
    </w:p>
    <w:p w:rsidR="008927CA" w:rsidRDefault="008927CA" w:rsidP="008927CA">
      <w:pPr>
        <w:pStyle w:val="SCCLawFirm"/>
        <w:spacing w:line="240" w:lineRule="auto"/>
        <w:rPr>
          <w:sz w:val="20"/>
          <w:lang w:val="fr-CA"/>
        </w:rPr>
      </w:pPr>
    </w:p>
    <w:p w:rsidR="008927CA" w:rsidRPr="00873676" w:rsidRDefault="008927CA" w:rsidP="008927CA">
      <w:pPr>
        <w:pStyle w:val="SCCLawFirm"/>
        <w:spacing w:line="240" w:lineRule="auto"/>
        <w:rPr>
          <w:sz w:val="20"/>
          <w:lang w:val="en-US"/>
        </w:rPr>
      </w:pPr>
      <w:r w:rsidRPr="00873676">
        <w:rPr>
          <w:sz w:val="20"/>
          <w:lang w:val="fr-CA"/>
        </w:rPr>
        <w:tab/>
      </w:r>
      <w:r w:rsidRPr="00873676">
        <w:rPr>
          <w:sz w:val="20"/>
          <w:lang w:val="en-US"/>
        </w:rPr>
        <w:t>Procureurs des intervenants David Asper Centre for Constitutional Rights et International Human Rights Program at the University of Toronto Faculty of Law : Simcoe Chambers, Toronto, Université de Toronto, Toronto.</w:t>
      </w:r>
    </w:p>
    <w:p w:rsidR="008927CA" w:rsidRDefault="008927CA" w:rsidP="008927CA">
      <w:pPr>
        <w:pStyle w:val="SCCLawFirm"/>
        <w:spacing w:line="240" w:lineRule="auto"/>
        <w:rPr>
          <w:sz w:val="20"/>
          <w:lang w:val="en-US"/>
        </w:rPr>
      </w:pPr>
    </w:p>
    <w:p w:rsidR="008927CA" w:rsidRDefault="008927CA" w:rsidP="008927CA">
      <w:pPr>
        <w:pStyle w:val="SCCLawFirm"/>
        <w:spacing w:line="240" w:lineRule="auto"/>
        <w:rPr>
          <w:sz w:val="20"/>
          <w:lang w:val="fr-CA"/>
        </w:rPr>
      </w:pPr>
      <w:r w:rsidRPr="00873676">
        <w:rPr>
          <w:sz w:val="20"/>
          <w:lang w:val="en-US"/>
        </w:rPr>
        <w:tab/>
      </w:r>
      <w:r w:rsidRPr="00873676">
        <w:rPr>
          <w:sz w:val="20"/>
          <w:lang w:val="fr-CA"/>
        </w:rPr>
        <w:t>Procureurs de l’intervenant Iran Human Rights Documentation Center : Barin Avocats, Montréal; Université McGill, Montréal.</w:t>
      </w:r>
    </w:p>
    <w:p w:rsidR="00902E51" w:rsidRPr="00352A49" w:rsidRDefault="00902E51" w:rsidP="00902E51">
      <w:pPr>
        <w:rPr>
          <w:sz w:val="20"/>
          <w:szCs w:val="20"/>
          <w:lang w:val="fr-CA"/>
        </w:rPr>
      </w:pPr>
    </w:p>
    <w:p w:rsidR="00902E51" w:rsidRDefault="00F677DC" w:rsidP="00902E51">
      <w:pPr>
        <w:rPr>
          <w:rFonts w:cs="Times New Roman"/>
          <w:sz w:val="20"/>
          <w:szCs w:val="20"/>
          <w:lang w:val="fr-CA"/>
        </w:rPr>
      </w:pPr>
      <w:r>
        <w:rPr>
          <w:rFonts w:cs="Times New Roman"/>
          <w:sz w:val="20"/>
          <w:szCs w:val="20"/>
          <w:lang w:val="fr-CA"/>
        </w:rPr>
        <w:pict>
          <v:rect id="_x0000_i1108" style="width:144.3pt;height:1pt" o:hrpct="300" o:hralign="center" o:hrstd="t" o:hrnoshade="t" o:hr="t" fillcolor="black [3213]" stroked="f"/>
        </w:pict>
      </w: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89"/>
          <w:headerReference w:type="default" r:id="rId90"/>
          <w:footerReference w:type="even" r:id="rId91"/>
          <w:footerReference w:type="default" r:id="rId92"/>
          <w:headerReference w:type="first" r:id="rId93"/>
          <w:footerReference w:type="first" r:id="rId94"/>
          <w:pgSz w:w="12240" w:h="15840"/>
          <w:pgMar w:top="720" w:right="965" w:bottom="1080" w:left="1656" w:header="576" w:footer="960" w:gutter="0"/>
          <w:cols w:space="720"/>
          <w:titlePg/>
          <w:docGrid w:linePitch="272"/>
        </w:sectPr>
      </w:pPr>
    </w:p>
    <w:p w:rsidR="008112A9" w:rsidRPr="002E0C7E" w:rsidRDefault="00274132" w:rsidP="008112A9">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12A9"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12A9" w:rsidRPr="002E0C7E">
        <w:rPr>
          <w:rFonts w:asciiTheme="minorHAnsi" w:hAnsiTheme="minorHAnsi" w:cstheme="minorHAnsi"/>
          <w:b/>
          <w:szCs w:val="24"/>
        </w:rPr>
        <w:t>SUPREME COURT OF CANADA SCHEDULE / CALENDRIER DE LA COUR SUPREME</w:t>
      </w:r>
    </w:p>
    <w:p w:rsidR="008112A9" w:rsidRPr="002E0C7E" w:rsidRDefault="008112A9" w:rsidP="008112A9">
      <w:pPr>
        <w:widowControl w:val="0"/>
        <w:spacing w:line="180" w:lineRule="auto"/>
        <w:rPr>
          <w:rFonts w:asciiTheme="minorHAnsi" w:hAnsiTheme="minorHAnsi" w:cstheme="minorHAnsi"/>
          <w:szCs w:val="24"/>
        </w:rPr>
      </w:pPr>
    </w:p>
    <w:p w:rsidR="008112A9" w:rsidRPr="002E0C7E" w:rsidRDefault="008112A9" w:rsidP="008112A9">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12A9" w:rsidRPr="002E0C7E" w:rsidTr="008802EB">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8802EB">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8802EB">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8802EB">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8802EB">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8802EB">
            <w:pPr>
              <w:widowControl w:val="0"/>
              <w:jc w:val="center"/>
              <w:rPr>
                <w:rFonts w:ascii="Arial" w:hAnsi="Arial"/>
                <w:sz w:val="14"/>
              </w:rPr>
            </w:pPr>
            <w:r w:rsidRPr="002E0C7E">
              <w:rPr>
                <w:rFonts w:ascii="Arial" w:hAnsi="Arial"/>
                <w:b/>
                <w:sz w:val="14"/>
              </w:rPr>
              <w:t>DECEMBER - DÉCEMBRE</w:t>
            </w:r>
          </w:p>
        </w:tc>
      </w:tr>
      <w:tr w:rsidR="008112A9" w:rsidRPr="002E0C7E" w:rsidTr="008802EB">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S</w:t>
            </w:r>
          </w:p>
          <w:p w:rsidR="008112A9" w:rsidRPr="002E0C7E" w:rsidRDefault="008112A9" w:rsidP="008802EB">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M</w:t>
            </w:r>
          </w:p>
          <w:p w:rsidR="008112A9" w:rsidRPr="002E0C7E" w:rsidRDefault="008112A9" w:rsidP="008802EB">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T</w:t>
            </w:r>
          </w:p>
          <w:p w:rsidR="008112A9" w:rsidRPr="002E0C7E" w:rsidRDefault="008112A9" w:rsidP="008802EB">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W</w:t>
            </w:r>
          </w:p>
          <w:p w:rsidR="008112A9" w:rsidRPr="002E0C7E" w:rsidRDefault="008112A9" w:rsidP="008802EB">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T</w:t>
            </w:r>
          </w:p>
          <w:p w:rsidR="008112A9" w:rsidRPr="002E0C7E" w:rsidRDefault="008112A9" w:rsidP="008802EB">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F</w:t>
            </w:r>
          </w:p>
          <w:p w:rsidR="008112A9" w:rsidRPr="002E0C7E" w:rsidRDefault="008112A9" w:rsidP="008802EB">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S</w:t>
            </w:r>
          </w:p>
          <w:p w:rsidR="008112A9" w:rsidRPr="002E0C7E" w:rsidRDefault="008112A9" w:rsidP="008802E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S</w:t>
            </w:r>
          </w:p>
          <w:p w:rsidR="008112A9" w:rsidRPr="002E0C7E" w:rsidRDefault="008112A9" w:rsidP="008802EB">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M</w:t>
            </w:r>
          </w:p>
          <w:p w:rsidR="008112A9" w:rsidRPr="002E0C7E" w:rsidRDefault="008112A9" w:rsidP="008802EB">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T</w:t>
            </w:r>
          </w:p>
          <w:p w:rsidR="008112A9" w:rsidRPr="002E0C7E" w:rsidRDefault="008112A9" w:rsidP="008802EB">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W</w:t>
            </w:r>
          </w:p>
          <w:p w:rsidR="008112A9" w:rsidRPr="002E0C7E" w:rsidRDefault="008112A9" w:rsidP="008802EB">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T</w:t>
            </w:r>
          </w:p>
          <w:p w:rsidR="008112A9" w:rsidRPr="002E0C7E" w:rsidRDefault="008112A9" w:rsidP="008802EB">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F</w:t>
            </w:r>
          </w:p>
          <w:p w:rsidR="008112A9" w:rsidRPr="002E0C7E" w:rsidRDefault="008112A9" w:rsidP="008802EB">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S</w:t>
            </w:r>
          </w:p>
          <w:p w:rsidR="008112A9" w:rsidRPr="002E0C7E" w:rsidRDefault="008112A9" w:rsidP="008802E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S</w:t>
            </w:r>
          </w:p>
          <w:p w:rsidR="008112A9" w:rsidRPr="002E0C7E" w:rsidRDefault="008112A9" w:rsidP="008802EB">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M</w:t>
            </w:r>
          </w:p>
          <w:p w:rsidR="008112A9" w:rsidRPr="002E0C7E" w:rsidRDefault="008112A9" w:rsidP="008802EB">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T</w:t>
            </w:r>
          </w:p>
          <w:p w:rsidR="008112A9" w:rsidRPr="002E0C7E" w:rsidRDefault="008112A9" w:rsidP="008802EB">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W</w:t>
            </w:r>
          </w:p>
          <w:p w:rsidR="008112A9" w:rsidRPr="002E0C7E" w:rsidRDefault="008112A9" w:rsidP="008802EB">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T</w:t>
            </w:r>
          </w:p>
          <w:p w:rsidR="008112A9" w:rsidRPr="002E0C7E" w:rsidRDefault="008112A9" w:rsidP="008802EB">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F</w:t>
            </w:r>
          </w:p>
          <w:p w:rsidR="008112A9" w:rsidRPr="002E0C7E" w:rsidRDefault="008112A9" w:rsidP="008802EB">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S</w:t>
            </w:r>
          </w:p>
          <w:p w:rsidR="008112A9" w:rsidRPr="002E0C7E" w:rsidRDefault="008112A9" w:rsidP="008802EB">
            <w:pPr>
              <w:widowControl w:val="0"/>
              <w:jc w:val="center"/>
              <w:rPr>
                <w:rFonts w:ascii="Arial" w:hAnsi="Arial"/>
                <w:sz w:val="14"/>
              </w:rPr>
            </w:pPr>
            <w:r w:rsidRPr="002E0C7E">
              <w:rPr>
                <w:rFonts w:ascii="Arial" w:hAnsi="Arial"/>
                <w:sz w:val="14"/>
              </w:rPr>
              <w:t>S</w:t>
            </w:r>
          </w:p>
        </w:tc>
      </w:tr>
      <w:tr w:rsidR="008112A9" w:rsidRPr="002E0C7E" w:rsidTr="008802EB">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35CC4" w:rsidRDefault="008112A9" w:rsidP="008802EB">
            <w:pPr>
              <w:widowControl w:val="0"/>
              <w:jc w:val="center"/>
              <w:rPr>
                <w:rFonts w:ascii="Arial" w:hAnsi="Arial"/>
                <w:b/>
                <w:sz w:val="14"/>
              </w:rPr>
            </w:pPr>
            <w:r>
              <w:rPr>
                <w:rFonts w:ascii="Arial" w:hAnsi="Arial"/>
                <w:b/>
                <w:sz w:val="14"/>
              </w:rPr>
              <w:t>M</w:t>
            </w:r>
          </w:p>
          <w:p w:rsidR="008112A9" w:rsidRPr="002E0C7E" w:rsidRDefault="008112A9" w:rsidP="008802EB">
            <w:pPr>
              <w:widowControl w:val="0"/>
              <w:jc w:val="center"/>
              <w:rPr>
                <w:rFonts w:ascii="Arial" w:hAnsi="Arial"/>
                <w:sz w:val="14"/>
              </w:rPr>
            </w:pPr>
            <w:r>
              <w:rPr>
                <w:rFonts w:ascii="Arial" w:hAnsi="Arial"/>
                <w:sz w:val="14"/>
              </w:rPr>
              <w:t>1</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6</w:t>
            </w:r>
          </w:p>
        </w:tc>
      </w:tr>
      <w:tr w:rsidR="008112A9" w:rsidRPr="002E0C7E" w:rsidTr="008802EB">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C583B" w:rsidRDefault="008112A9" w:rsidP="008802EB">
            <w:pPr>
              <w:widowControl w:val="0"/>
              <w:jc w:val="center"/>
              <w:rPr>
                <w:rFonts w:ascii="Arial" w:hAnsi="Arial"/>
                <w:b/>
                <w:sz w:val="14"/>
              </w:rPr>
            </w:pPr>
            <w:r>
              <w:rPr>
                <w:rFonts w:ascii="Arial" w:hAnsi="Arial"/>
                <w:b/>
                <w:sz w:val="14"/>
              </w:rPr>
              <w:t>M</w:t>
            </w:r>
          </w:p>
          <w:p w:rsidR="008112A9" w:rsidRPr="002E0C7E" w:rsidRDefault="008112A9" w:rsidP="008802EB">
            <w:pPr>
              <w:widowControl w:val="0"/>
              <w:jc w:val="center"/>
              <w:rPr>
                <w:rFonts w:ascii="Arial" w:hAnsi="Arial"/>
                <w:sz w:val="14"/>
              </w:rPr>
            </w:pPr>
            <w:r>
              <w:rPr>
                <w:rFonts w:ascii="Arial" w:hAnsi="Arial"/>
                <w:sz w:val="14"/>
              </w:rPr>
              <w:t>6</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0C583B" w:rsidRDefault="008112A9" w:rsidP="008802EB">
            <w:pPr>
              <w:widowControl w:val="0"/>
              <w:jc w:val="center"/>
              <w:rPr>
                <w:rFonts w:ascii="Arial" w:hAnsi="Arial"/>
                <w:b/>
                <w:sz w:val="14"/>
              </w:rPr>
            </w:pPr>
          </w:p>
          <w:p w:rsidR="008112A9" w:rsidRPr="002E0C7E" w:rsidRDefault="008112A9" w:rsidP="008802E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11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2</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b/>
                <w:sz w:val="14"/>
              </w:rPr>
              <w:t>M</w:t>
            </w:r>
          </w:p>
          <w:p w:rsidR="008112A9" w:rsidRPr="002E0C7E" w:rsidRDefault="008112A9" w:rsidP="008802EB">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double" w:sz="6"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13</w:t>
            </w:r>
          </w:p>
        </w:tc>
      </w:tr>
      <w:tr w:rsidR="008112A9" w:rsidRPr="002E0C7E" w:rsidTr="008802EB">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0C583B" w:rsidRDefault="008112A9" w:rsidP="008802EB">
            <w:pPr>
              <w:widowControl w:val="0"/>
              <w:jc w:val="center"/>
              <w:rPr>
                <w:rFonts w:ascii="Arial" w:hAnsi="Arial"/>
                <w:b/>
                <w:sz w:val="14"/>
              </w:rPr>
            </w:pPr>
            <w:r>
              <w:rPr>
                <w:rFonts w:ascii="Arial" w:hAnsi="Arial"/>
                <w:b/>
                <w:sz w:val="14"/>
              </w:rPr>
              <w:t>H</w:t>
            </w:r>
          </w:p>
          <w:p w:rsidR="008112A9" w:rsidRPr="002E0C7E" w:rsidRDefault="008112A9" w:rsidP="008802EB">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C583B"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18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9</w:t>
            </w:r>
          </w:p>
        </w:tc>
        <w:tc>
          <w:tcPr>
            <w:tcW w:w="470" w:type="dxa"/>
            <w:tcBorders>
              <w:top w:val="double" w:sz="6" w:space="0" w:color="000000"/>
              <w:left w:val="single" w:sz="8" w:space="0" w:color="000000"/>
              <w:bottom w:val="single" w:sz="4" w:space="0" w:color="auto"/>
              <w:right w:val="double" w:sz="6" w:space="0" w:color="000000"/>
            </w:tcBorders>
            <w:shd w:val="pct30" w:color="auto" w:fill="auto"/>
            <w:tcMar>
              <w:top w:w="72" w:type="dxa"/>
              <w:left w:w="0" w:type="dxa"/>
              <w:bottom w:w="43" w:type="dxa"/>
              <w:right w:w="0" w:type="dxa"/>
            </w:tcMar>
          </w:tcPr>
          <w:p w:rsidR="008112A9" w:rsidRPr="004030BA"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4F066E" w:rsidRDefault="008112A9" w:rsidP="008802EB">
            <w:pPr>
              <w:widowControl w:val="0"/>
              <w:jc w:val="center"/>
              <w:rPr>
                <w:rFonts w:ascii="Arial" w:hAnsi="Arial"/>
                <w:b/>
                <w:sz w:val="14"/>
              </w:rPr>
            </w:pPr>
            <w:r w:rsidRPr="004F066E">
              <w:rPr>
                <w:rFonts w:ascii="Arial" w:hAnsi="Arial"/>
                <w:b/>
                <w:sz w:val="14"/>
              </w:rPr>
              <w:t>H</w:t>
            </w:r>
          </w:p>
          <w:p w:rsidR="008112A9" w:rsidRPr="002E0C7E" w:rsidRDefault="008112A9" w:rsidP="008802EB">
            <w:pPr>
              <w:widowControl w:val="0"/>
              <w:jc w:val="center"/>
              <w:rPr>
                <w:rFonts w:ascii="Arial" w:hAnsi="Arial"/>
                <w:sz w:val="14"/>
              </w:rPr>
            </w:pPr>
            <w:r>
              <w:rPr>
                <w:rFonts w:ascii="Arial" w:hAnsi="Arial"/>
                <w:sz w:val="14"/>
              </w:rPr>
              <w:t>11</w:t>
            </w:r>
          </w:p>
        </w:tc>
        <w:tc>
          <w:tcPr>
            <w:tcW w:w="470"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4" w:space="0" w:color="auto"/>
              <w:right w:val="single" w:sz="8" w:space="0" w:color="000000"/>
            </w:tcBorders>
            <w:shd w:val="clear"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20</w:t>
            </w:r>
          </w:p>
        </w:tc>
      </w:tr>
      <w:tr w:rsidR="008112A9" w:rsidRPr="002E0C7E" w:rsidTr="008802EB">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16</w:t>
            </w:r>
          </w:p>
        </w:tc>
        <w:tc>
          <w:tcPr>
            <w:tcW w:w="470" w:type="dxa"/>
            <w:tcBorders>
              <w:top w:val="single" w:sz="4" w:space="0" w:color="auto"/>
              <w:left w:val="single" w:sz="8" w:space="0" w:color="000000"/>
              <w:bottom w:val="nil"/>
              <w:right w:val="nil"/>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nil"/>
              <w:right w:val="nil"/>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2</w:t>
            </w:r>
            <w:r>
              <w:rPr>
                <w:rFonts w:ascii="Arial" w:hAnsi="Arial"/>
                <w:sz w:val="14"/>
              </w:rPr>
              <w:t>0</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23</w:t>
            </w: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8802EB">
            <w:pPr>
              <w:widowControl w:val="0"/>
              <w:jc w:val="center"/>
              <w:rPr>
                <w:rFonts w:ascii="Arial" w:hAnsi="Arial"/>
                <w:b/>
                <w:sz w:val="14"/>
              </w:rPr>
            </w:pPr>
          </w:p>
          <w:p w:rsidR="008112A9" w:rsidRPr="002E0C7E" w:rsidRDefault="008112A9" w:rsidP="008802EB">
            <w:pPr>
              <w:widowControl w:val="0"/>
              <w:jc w:val="center"/>
              <w:rPr>
                <w:rFonts w:ascii="Arial" w:hAnsi="Arial"/>
                <w:sz w:val="14"/>
              </w:rPr>
            </w:pPr>
            <w:r>
              <w:rPr>
                <w:rFonts w:ascii="Arial" w:hAnsi="Arial"/>
                <w:sz w:val="14"/>
              </w:rPr>
              <w:t>24</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8802EB">
            <w:pPr>
              <w:widowControl w:val="0"/>
              <w:jc w:val="center"/>
              <w:rPr>
                <w:rFonts w:ascii="Arial" w:hAnsi="Arial"/>
                <w:b/>
                <w:sz w:val="14"/>
              </w:rPr>
            </w:pPr>
            <w:r>
              <w:rPr>
                <w:rFonts w:ascii="Arial" w:hAnsi="Arial"/>
                <w:b/>
                <w:sz w:val="14"/>
              </w:rPr>
              <w:t>H</w:t>
            </w:r>
          </w:p>
          <w:p w:rsidR="008112A9" w:rsidRPr="002E0C7E" w:rsidRDefault="008112A9" w:rsidP="008802EB">
            <w:pPr>
              <w:widowControl w:val="0"/>
              <w:jc w:val="center"/>
              <w:rPr>
                <w:rFonts w:ascii="Arial" w:hAnsi="Arial"/>
                <w:sz w:val="14"/>
              </w:rPr>
            </w:pPr>
            <w:r>
              <w:rPr>
                <w:rFonts w:ascii="Arial" w:hAnsi="Arial"/>
                <w:sz w:val="14"/>
              </w:rPr>
              <w:t>25</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8802EB">
            <w:pPr>
              <w:widowControl w:val="0"/>
              <w:jc w:val="center"/>
              <w:rPr>
                <w:rFonts w:ascii="Arial" w:hAnsi="Arial"/>
                <w:b/>
                <w:sz w:val="14"/>
              </w:rPr>
            </w:pPr>
            <w:r>
              <w:rPr>
                <w:rFonts w:ascii="Arial" w:hAnsi="Arial"/>
                <w:b/>
                <w:sz w:val="14"/>
              </w:rPr>
              <w:t>H</w:t>
            </w:r>
          </w:p>
          <w:p w:rsidR="008112A9" w:rsidRPr="002E0C7E" w:rsidRDefault="008112A9" w:rsidP="008802EB">
            <w:pPr>
              <w:widowControl w:val="0"/>
              <w:jc w:val="center"/>
              <w:rPr>
                <w:rFonts w:ascii="Arial" w:hAnsi="Arial"/>
                <w:sz w:val="14"/>
              </w:rPr>
            </w:pPr>
            <w:r>
              <w:rPr>
                <w:rFonts w:ascii="Arial" w:hAnsi="Arial"/>
                <w:sz w:val="14"/>
              </w:rPr>
              <w:t>26</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8802EB">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31</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8802EB">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3</w:t>
            </w:r>
          </w:p>
          <w:p w:rsidR="008112A9" w:rsidRPr="002E0C7E" w:rsidRDefault="008112A9" w:rsidP="008802EB">
            <w:pPr>
              <w:widowControl w:val="0"/>
              <w:rPr>
                <w:rFonts w:ascii="Arial" w:hAnsi="Arial"/>
                <w:sz w:val="14"/>
              </w:rPr>
            </w:pPr>
            <w:r>
              <w:rPr>
                <w:rFonts w:ascii="Arial" w:hAnsi="Arial"/>
                <w:sz w:val="14"/>
              </w:rPr>
              <w:t xml:space="preserve">      30</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29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30</w:t>
            </w:r>
          </w:p>
        </w:tc>
        <w:tc>
          <w:tcPr>
            <w:tcW w:w="469" w:type="dxa"/>
            <w:tcBorders>
              <w:top w:val="single" w:sz="4" w:space="0" w:color="auto"/>
              <w:left w:val="single" w:sz="8" w:space="0" w:color="000000"/>
              <w:bottom w:val="double" w:sz="6" w:space="0" w:color="000000"/>
              <w:right w:val="single" w:sz="4" w:space="0" w:color="auto"/>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31</w:t>
            </w: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p>
        </w:tc>
      </w:tr>
    </w:tbl>
    <w:p w:rsidR="008112A9" w:rsidRPr="002E0C7E" w:rsidRDefault="008112A9" w:rsidP="008112A9">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12A9" w:rsidRPr="002E0C7E" w:rsidTr="008802EB">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8802EB">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8802EB">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8802EB">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8802EB">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8802EB">
            <w:pPr>
              <w:widowControl w:val="0"/>
              <w:jc w:val="center"/>
              <w:rPr>
                <w:rFonts w:ascii="Arial" w:hAnsi="Arial"/>
                <w:sz w:val="14"/>
              </w:rPr>
            </w:pPr>
            <w:r w:rsidRPr="002E0C7E">
              <w:rPr>
                <w:rFonts w:ascii="Arial" w:hAnsi="Arial"/>
                <w:b/>
                <w:sz w:val="14"/>
              </w:rPr>
              <w:t>MARCH - MARS</w:t>
            </w:r>
          </w:p>
        </w:tc>
      </w:tr>
      <w:tr w:rsidR="008112A9" w:rsidRPr="002E0C7E" w:rsidTr="008802EB">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S</w:t>
            </w:r>
          </w:p>
          <w:p w:rsidR="008112A9" w:rsidRPr="002E0C7E" w:rsidRDefault="008112A9" w:rsidP="008802E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M</w:t>
            </w:r>
          </w:p>
          <w:p w:rsidR="008112A9" w:rsidRPr="002E0C7E" w:rsidRDefault="008112A9" w:rsidP="008802E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T</w:t>
            </w:r>
          </w:p>
          <w:p w:rsidR="008112A9" w:rsidRPr="002E0C7E" w:rsidRDefault="008112A9" w:rsidP="008802E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4" w:space="0" w:color="auto"/>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W</w:t>
            </w:r>
          </w:p>
          <w:p w:rsidR="008112A9" w:rsidRPr="002E0C7E" w:rsidRDefault="008112A9" w:rsidP="008802E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T</w:t>
            </w:r>
          </w:p>
          <w:p w:rsidR="008112A9" w:rsidRPr="002E0C7E" w:rsidRDefault="008112A9" w:rsidP="008802E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F</w:t>
            </w:r>
          </w:p>
          <w:p w:rsidR="008112A9" w:rsidRPr="002E0C7E" w:rsidRDefault="008112A9" w:rsidP="008802E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S</w:t>
            </w:r>
          </w:p>
          <w:p w:rsidR="008112A9" w:rsidRPr="002E0C7E" w:rsidRDefault="008112A9" w:rsidP="008802E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S</w:t>
            </w:r>
          </w:p>
          <w:p w:rsidR="008112A9" w:rsidRPr="002E0C7E" w:rsidRDefault="008112A9" w:rsidP="008802E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M</w:t>
            </w:r>
          </w:p>
          <w:p w:rsidR="008112A9" w:rsidRPr="002E0C7E" w:rsidRDefault="008112A9" w:rsidP="008802E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T</w:t>
            </w:r>
          </w:p>
          <w:p w:rsidR="008112A9" w:rsidRPr="002E0C7E" w:rsidRDefault="008112A9" w:rsidP="008802EB">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W</w:t>
            </w:r>
          </w:p>
          <w:p w:rsidR="008112A9" w:rsidRPr="002E0C7E" w:rsidRDefault="008112A9" w:rsidP="008802E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T</w:t>
            </w:r>
          </w:p>
          <w:p w:rsidR="008112A9" w:rsidRPr="002E0C7E" w:rsidRDefault="008112A9" w:rsidP="008802E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F</w:t>
            </w:r>
          </w:p>
          <w:p w:rsidR="008112A9" w:rsidRPr="002E0C7E" w:rsidRDefault="008112A9" w:rsidP="008802E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S</w:t>
            </w:r>
          </w:p>
          <w:p w:rsidR="008112A9" w:rsidRPr="002E0C7E" w:rsidRDefault="008112A9" w:rsidP="008802E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S</w:t>
            </w:r>
          </w:p>
          <w:p w:rsidR="008112A9" w:rsidRPr="002E0C7E" w:rsidRDefault="008112A9" w:rsidP="008802E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M</w:t>
            </w:r>
          </w:p>
          <w:p w:rsidR="008112A9" w:rsidRPr="002E0C7E" w:rsidRDefault="008112A9" w:rsidP="008802E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T</w:t>
            </w:r>
          </w:p>
          <w:p w:rsidR="008112A9" w:rsidRPr="002E0C7E" w:rsidRDefault="008112A9" w:rsidP="008802E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W</w:t>
            </w:r>
          </w:p>
          <w:p w:rsidR="008112A9" w:rsidRPr="002E0C7E" w:rsidRDefault="008112A9" w:rsidP="008802E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T</w:t>
            </w:r>
          </w:p>
          <w:p w:rsidR="008112A9" w:rsidRPr="002E0C7E" w:rsidRDefault="008112A9" w:rsidP="008802E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F</w:t>
            </w:r>
          </w:p>
          <w:p w:rsidR="008112A9" w:rsidRPr="002E0C7E" w:rsidRDefault="008112A9" w:rsidP="008802EB">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S</w:t>
            </w:r>
          </w:p>
          <w:p w:rsidR="008112A9" w:rsidRPr="002E0C7E" w:rsidRDefault="008112A9" w:rsidP="008802EB">
            <w:pPr>
              <w:widowControl w:val="0"/>
              <w:jc w:val="center"/>
              <w:rPr>
                <w:rFonts w:ascii="Arial" w:hAnsi="Arial"/>
                <w:sz w:val="14"/>
              </w:rPr>
            </w:pPr>
            <w:r w:rsidRPr="002E0C7E">
              <w:rPr>
                <w:rFonts w:ascii="Arial" w:hAnsi="Arial"/>
                <w:sz w:val="14"/>
              </w:rPr>
              <w:t>S</w:t>
            </w:r>
          </w:p>
        </w:tc>
      </w:tr>
      <w:tr w:rsidR="008112A9" w:rsidRPr="002E0C7E" w:rsidTr="008802E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317A69" w:rsidRDefault="008112A9" w:rsidP="008802EB">
            <w:pPr>
              <w:widowControl w:val="0"/>
              <w:jc w:val="center"/>
              <w:rPr>
                <w:rFonts w:ascii="Arial" w:hAnsi="Arial"/>
                <w:b/>
                <w:sz w:val="14"/>
              </w:rPr>
            </w:pPr>
          </w:p>
          <w:p w:rsidR="008112A9" w:rsidRPr="002E0C7E" w:rsidRDefault="008112A9" w:rsidP="008802EB">
            <w:pPr>
              <w:widowControl w:val="0"/>
              <w:jc w:val="center"/>
              <w:rPr>
                <w:rFonts w:ascii="Arial" w:hAnsi="Arial"/>
                <w:sz w:val="14"/>
              </w:rPr>
            </w:pP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8802EB">
            <w:pPr>
              <w:widowControl w:val="0"/>
              <w:jc w:val="center"/>
              <w:rPr>
                <w:rFonts w:ascii="Arial" w:hAnsi="Arial"/>
                <w:b/>
                <w:sz w:val="14"/>
              </w:rPr>
            </w:pPr>
          </w:p>
          <w:p w:rsidR="008112A9" w:rsidRPr="002E0C7E" w:rsidRDefault="008112A9" w:rsidP="008802EB">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4F066E" w:rsidRDefault="008112A9" w:rsidP="008802EB">
            <w:pPr>
              <w:widowControl w:val="0"/>
              <w:jc w:val="center"/>
              <w:rPr>
                <w:rFonts w:ascii="Arial" w:hAnsi="Arial"/>
                <w:b/>
                <w:sz w:val="14"/>
              </w:rPr>
            </w:pPr>
            <w:r w:rsidRPr="004F066E">
              <w:rPr>
                <w:rFonts w:ascii="Arial" w:hAnsi="Arial"/>
                <w:b/>
                <w:sz w:val="14"/>
              </w:rPr>
              <w:t>H</w:t>
            </w:r>
          </w:p>
          <w:p w:rsidR="008112A9" w:rsidRPr="002E0C7E" w:rsidRDefault="008112A9" w:rsidP="008802EB">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7</w:t>
            </w:r>
          </w:p>
        </w:tc>
      </w:tr>
      <w:tr w:rsidR="008112A9" w:rsidRPr="002E0C7E" w:rsidTr="008802E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6</w:t>
            </w:r>
          </w:p>
        </w:tc>
        <w:tc>
          <w:tcPr>
            <w:tcW w:w="469" w:type="dxa"/>
            <w:tcBorders>
              <w:top w:val="single" w:sz="4" w:space="0" w:color="auto"/>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45AC1" w:rsidRDefault="008112A9" w:rsidP="008802EB">
            <w:pPr>
              <w:widowControl w:val="0"/>
              <w:jc w:val="center"/>
              <w:rPr>
                <w:rFonts w:ascii="Arial" w:hAnsi="Arial"/>
                <w:b/>
                <w:sz w:val="14"/>
              </w:rPr>
            </w:pPr>
            <w:r>
              <w:rPr>
                <w:rFonts w:ascii="Arial" w:hAnsi="Arial"/>
                <w:b/>
                <w:sz w:val="14"/>
              </w:rPr>
              <w:t>M</w:t>
            </w:r>
          </w:p>
          <w:p w:rsidR="008112A9" w:rsidRPr="002E0C7E" w:rsidRDefault="008112A9" w:rsidP="008802EB">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14</w:t>
            </w:r>
          </w:p>
        </w:tc>
      </w:tr>
      <w:tr w:rsidR="008112A9" w:rsidRPr="002E0C7E" w:rsidTr="008802EB">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7255AD" w:rsidRDefault="008112A9" w:rsidP="008802EB">
            <w:pPr>
              <w:widowControl w:val="0"/>
              <w:jc w:val="center"/>
              <w:rPr>
                <w:rFonts w:ascii="Arial" w:hAnsi="Arial"/>
                <w:b/>
                <w:sz w:val="14"/>
              </w:rPr>
            </w:pPr>
            <w:r>
              <w:rPr>
                <w:rFonts w:ascii="Arial" w:hAnsi="Arial"/>
                <w:b/>
                <w:sz w:val="14"/>
              </w:rPr>
              <w:t>M</w:t>
            </w:r>
          </w:p>
          <w:p w:rsidR="008112A9" w:rsidRPr="002E0C7E" w:rsidRDefault="008112A9" w:rsidP="008802E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16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15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E2B85" w:rsidRDefault="008112A9" w:rsidP="008802EB">
            <w:pPr>
              <w:widowControl w:val="0"/>
              <w:jc w:val="center"/>
              <w:rPr>
                <w:rFonts w:ascii="Arial" w:hAnsi="Arial"/>
                <w:b/>
                <w:sz w:val="14"/>
              </w:rPr>
            </w:pPr>
          </w:p>
          <w:p w:rsidR="008112A9" w:rsidRPr="002E0C7E" w:rsidRDefault="008112A9" w:rsidP="008802E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9900C5" w:rsidRDefault="008112A9" w:rsidP="008802EB">
            <w:pPr>
              <w:widowControl w:val="0"/>
              <w:jc w:val="center"/>
              <w:rPr>
                <w:rFonts w:ascii="Arial" w:hAnsi="Arial"/>
                <w:b/>
                <w:sz w:val="14"/>
              </w:rPr>
            </w:pPr>
            <w:r w:rsidRPr="009900C5">
              <w:rPr>
                <w:rFonts w:ascii="Arial" w:hAnsi="Arial"/>
                <w:b/>
                <w:sz w:val="14"/>
              </w:rPr>
              <w:t>M</w:t>
            </w:r>
          </w:p>
          <w:p w:rsidR="008112A9" w:rsidRPr="002E0C7E" w:rsidRDefault="008112A9" w:rsidP="008802E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2</w:t>
            </w:r>
            <w:r w:rsidRPr="002E0C7E">
              <w:rPr>
                <w:rFonts w:ascii="Arial" w:hAnsi="Arial"/>
                <w:sz w:val="14"/>
              </w:rPr>
              <w:t>1</w:t>
            </w:r>
          </w:p>
        </w:tc>
      </w:tr>
      <w:tr w:rsidR="008112A9" w:rsidRPr="002E0C7E" w:rsidTr="008802E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D34238" w:rsidRDefault="008112A9" w:rsidP="008802EB">
            <w:pPr>
              <w:widowControl w:val="0"/>
              <w:jc w:val="center"/>
              <w:rPr>
                <w:rFonts w:ascii="Arial" w:hAnsi="Arial"/>
                <w:b/>
                <w:sz w:val="14"/>
              </w:rPr>
            </w:pPr>
          </w:p>
          <w:p w:rsidR="008112A9" w:rsidRPr="002E0C7E" w:rsidRDefault="008112A9" w:rsidP="008802EB">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2</w:t>
            </w:r>
            <w:r>
              <w:rPr>
                <w:rFonts w:ascii="Arial" w:hAnsi="Arial"/>
                <w:sz w:val="14"/>
              </w:rPr>
              <w:t>8</w:t>
            </w:r>
          </w:p>
        </w:tc>
      </w:tr>
      <w:tr w:rsidR="008112A9" w:rsidRPr="002E0C7E" w:rsidTr="008802EB">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61B35" w:rsidRDefault="008112A9" w:rsidP="008802EB">
            <w:pPr>
              <w:widowControl w:val="0"/>
              <w:jc w:val="center"/>
              <w:rPr>
                <w:rFonts w:ascii="Arial" w:hAnsi="Arial"/>
                <w:b/>
                <w:sz w:val="14"/>
              </w:rPr>
            </w:pPr>
          </w:p>
          <w:p w:rsidR="008112A9" w:rsidRPr="002E0C7E" w:rsidRDefault="008112A9" w:rsidP="008802E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tc>
      </w:tr>
    </w:tbl>
    <w:p w:rsidR="008112A9" w:rsidRPr="002E0C7E" w:rsidRDefault="008112A9" w:rsidP="008112A9">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12A9" w:rsidRPr="002E0C7E" w:rsidTr="008802EB">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8802EB">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8802EB">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8802EB">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8802EB">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8802EB">
            <w:pPr>
              <w:widowControl w:val="0"/>
              <w:jc w:val="center"/>
              <w:rPr>
                <w:rFonts w:ascii="Arial" w:hAnsi="Arial"/>
                <w:sz w:val="14"/>
              </w:rPr>
            </w:pPr>
            <w:r w:rsidRPr="002E0C7E">
              <w:rPr>
                <w:rFonts w:ascii="Arial" w:hAnsi="Arial"/>
                <w:b/>
                <w:sz w:val="14"/>
              </w:rPr>
              <w:t>JUNE - JUIN</w:t>
            </w:r>
          </w:p>
        </w:tc>
      </w:tr>
      <w:tr w:rsidR="008112A9" w:rsidRPr="002E0C7E" w:rsidTr="008802EB">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S</w:t>
            </w:r>
          </w:p>
          <w:p w:rsidR="008112A9" w:rsidRPr="002E0C7E" w:rsidRDefault="008112A9" w:rsidP="008802E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M</w:t>
            </w:r>
          </w:p>
          <w:p w:rsidR="008112A9" w:rsidRPr="002E0C7E" w:rsidRDefault="008112A9" w:rsidP="008802E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T</w:t>
            </w:r>
          </w:p>
          <w:p w:rsidR="008112A9" w:rsidRPr="002E0C7E" w:rsidRDefault="008112A9" w:rsidP="008802E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W</w:t>
            </w:r>
          </w:p>
          <w:p w:rsidR="008112A9" w:rsidRPr="002E0C7E" w:rsidRDefault="008112A9" w:rsidP="008802E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T</w:t>
            </w:r>
          </w:p>
          <w:p w:rsidR="008112A9" w:rsidRPr="002E0C7E" w:rsidRDefault="008112A9" w:rsidP="008802E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F</w:t>
            </w:r>
          </w:p>
          <w:p w:rsidR="008112A9" w:rsidRPr="002E0C7E" w:rsidRDefault="008112A9" w:rsidP="008802E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S</w:t>
            </w:r>
          </w:p>
          <w:p w:rsidR="008112A9" w:rsidRPr="002E0C7E" w:rsidRDefault="008112A9" w:rsidP="008802EB">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S</w:t>
            </w:r>
          </w:p>
          <w:p w:rsidR="008112A9" w:rsidRPr="002E0C7E" w:rsidRDefault="008112A9" w:rsidP="008802E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M</w:t>
            </w:r>
          </w:p>
          <w:p w:rsidR="008112A9" w:rsidRPr="002E0C7E" w:rsidRDefault="008112A9" w:rsidP="008802E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T</w:t>
            </w:r>
          </w:p>
          <w:p w:rsidR="008112A9" w:rsidRPr="002E0C7E" w:rsidRDefault="008112A9" w:rsidP="008802E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W</w:t>
            </w:r>
          </w:p>
          <w:p w:rsidR="008112A9" w:rsidRPr="002E0C7E" w:rsidRDefault="008112A9" w:rsidP="008802E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T</w:t>
            </w:r>
          </w:p>
          <w:p w:rsidR="008112A9" w:rsidRPr="002E0C7E" w:rsidRDefault="008112A9" w:rsidP="008802E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F</w:t>
            </w:r>
          </w:p>
          <w:p w:rsidR="008112A9" w:rsidRPr="002E0C7E" w:rsidRDefault="008112A9" w:rsidP="008802E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S</w:t>
            </w:r>
          </w:p>
          <w:p w:rsidR="008112A9" w:rsidRPr="002E0C7E" w:rsidRDefault="008112A9" w:rsidP="008802EB">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S</w:t>
            </w:r>
          </w:p>
          <w:p w:rsidR="008112A9" w:rsidRPr="002E0C7E" w:rsidRDefault="008112A9" w:rsidP="008802E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M</w:t>
            </w:r>
          </w:p>
          <w:p w:rsidR="008112A9" w:rsidRPr="002E0C7E" w:rsidRDefault="008112A9" w:rsidP="008802E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T</w:t>
            </w:r>
          </w:p>
          <w:p w:rsidR="008112A9" w:rsidRPr="002E0C7E" w:rsidRDefault="008112A9" w:rsidP="008802E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W</w:t>
            </w:r>
          </w:p>
          <w:p w:rsidR="008112A9" w:rsidRPr="002E0C7E" w:rsidRDefault="008112A9" w:rsidP="008802E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T</w:t>
            </w:r>
          </w:p>
          <w:p w:rsidR="008112A9" w:rsidRPr="002E0C7E" w:rsidRDefault="008112A9" w:rsidP="008802E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sidRPr="002E0C7E">
              <w:rPr>
                <w:rFonts w:ascii="Arial" w:hAnsi="Arial"/>
                <w:sz w:val="14"/>
              </w:rPr>
              <w:t>F</w:t>
            </w:r>
          </w:p>
          <w:p w:rsidR="008112A9" w:rsidRPr="002E0C7E" w:rsidRDefault="008112A9" w:rsidP="008802EB">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r>
              <w:rPr>
                <w:rFonts w:ascii="Arial" w:hAnsi="Arial"/>
                <w:sz w:val="14"/>
              </w:rPr>
              <w:t>S</w:t>
            </w:r>
          </w:p>
          <w:p w:rsidR="008112A9" w:rsidRPr="002E0C7E" w:rsidRDefault="008112A9" w:rsidP="008802EB">
            <w:pPr>
              <w:widowControl w:val="0"/>
              <w:jc w:val="center"/>
              <w:rPr>
                <w:rFonts w:ascii="Arial" w:hAnsi="Arial"/>
                <w:sz w:val="14"/>
              </w:rPr>
            </w:pPr>
            <w:r>
              <w:rPr>
                <w:rFonts w:ascii="Arial" w:hAnsi="Arial"/>
                <w:sz w:val="14"/>
              </w:rPr>
              <w:t>S</w:t>
            </w:r>
          </w:p>
        </w:tc>
      </w:tr>
      <w:tr w:rsidR="008112A9" w:rsidRPr="002E0C7E" w:rsidTr="008802EB">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072FEE" w:rsidRDefault="008112A9" w:rsidP="008802EB">
            <w:pPr>
              <w:widowControl w:val="0"/>
              <w:jc w:val="center"/>
              <w:rPr>
                <w:rFonts w:ascii="Arial" w:hAnsi="Arial"/>
                <w:b/>
                <w:sz w:val="14"/>
              </w:rPr>
            </w:pPr>
            <w:r>
              <w:rPr>
                <w:rFonts w:ascii="Arial" w:hAnsi="Arial"/>
                <w:b/>
                <w:sz w:val="14"/>
              </w:rPr>
              <w:t>H</w:t>
            </w:r>
          </w:p>
          <w:p w:rsidR="008112A9" w:rsidRPr="002E0C7E" w:rsidRDefault="008112A9" w:rsidP="008802EB">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b/>
                <w:sz w:val="14"/>
              </w:rPr>
            </w:pPr>
          </w:p>
          <w:p w:rsidR="008112A9" w:rsidRPr="002E0C7E" w:rsidRDefault="008112A9" w:rsidP="008802E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6</w:t>
            </w:r>
          </w:p>
        </w:tc>
      </w:tr>
      <w:tr w:rsidR="008112A9" w:rsidRPr="002E0C7E" w:rsidTr="008802EB">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710C8B" w:rsidRDefault="008112A9" w:rsidP="008802EB">
            <w:pPr>
              <w:widowControl w:val="0"/>
              <w:jc w:val="center"/>
              <w:rPr>
                <w:rFonts w:ascii="Arial" w:hAnsi="Arial"/>
                <w:b/>
                <w:sz w:val="14"/>
              </w:rPr>
            </w:pPr>
            <w:r>
              <w:rPr>
                <w:rFonts w:ascii="Arial" w:hAnsi="Arial"/>
                <w:b/>
                <w:sz w:val="14"/>
              </w:rPr>
              <w:t>H</w:t>
            </w:r>
          </w:p>
          <w:p w:rsidR="008112A9" w:rsidRPr="002E0C7E" w:rsidRDefault="008112A9" w:rsidP="008802EB">
            <w:pPr>
              <w:widowControl w:val="0"/>
              <w:jc w:val="center"/>
              <w:rPr>
                <w:rFonts w:ascii="Arial" w:hAnsi="Arial"/>
                <w:sz w:val="14"/>
              </w:rPr>
            </w:pP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9</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D6F71" w:rsidRDefault="008112A9" w:rsidP="008802EB">
            <w:pPr>
              <w:widowControl w:val="0"/>
              <w:jc w:val="center"/>
              <w:rPr>
                <w:rFonts w:ascii="Arial" w:hAnsi="Arial"/>
                <w:b/>
                <w:sz w:val="14"/>
              </w:rPr>
            </w:pPr>
            <w:r>
              <w:rPr>
                <w:rFonts w:ascii="Arial" w:hAnsi="Arial"/>
                <w:b/>
                <w:sz w:val="14"/>
              </w:rPr>
              <w:t>M</w:t>
            </w:r>
          </w:p>
          <w:p w:rsidR="008112A9" w:rsidRPr="002E0C7E" w:rsidRDefault="008112A9" w:rsidP="008802EB">
            <w:pPr>
              <w:widowControl w:val="0"/>
              <w:jc w:val="center"/>
              <w:rPr>
                <w:rFonts w:ascii="Arial" w:hAnsi="Arial"/>
                <w:sz w:val="14"/>
              </w:rPr>
            </w:pPr>
            <w:r>
              <w:rPr>
                <w:rFonts w:ascii="Arial" w:hAnsi="Arial"/>
                <w:sz w:val="14"/>
              </w:rPr>
              <w:t>8</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13</w:t>
            </w:r>
          </w:p>
        </w:tc>
      </w:tr>
      <w:tr w:rsidR="008112A9" w:rsidRPr="002E0C7E" w:rsidTr="008802EB">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DB5777" w:rsidRDefault="008112A9" w:rsidP="008802EB">
            <w:pPr>
              <w:widowControl w:val="0"/>
              <w:jc w:val="center"/>
              <w:rPr>
                <w:rFonts w:ascii="Arial" w:hAnsi="Arial"/>
                <w:b/>
                <w:sz w:val="14"/>
              </w:rPr>
            </w:pPr>
            <w:r>
              <w:rPr>
                <w:rFonts w:ascii="Arial" w:hAnsi="Arial"/>
                <w:b/>
                <w:sz w:val="14"/>
              </w:rPr>
              <w:t>M</w:t>
            </w:r>
          </w:p>
          <w:p w:rsidR="008112A9" w:rsidRPr="002E0C7E" w:rsidRDefault="008112A9" w:rsidP="008802E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852172" w:rsidRDefault="008112A9" w:rsidP="008802EB">
            <w:pPr>
              <w:widowControl w:val="0"/>
              <w:jc w:val="center"/>
              <w:rPr>
                <w:rFonts w:ascii="Arial" w:hAnsi="Arial"/>
                <w:b/>
                <w:sz w:val="14"/>
              </w:rPr>
            </w:pPr>
          </w:p>
          <w:p w:rsidR="008112A9" w:rsidRPr="002E0C7E" w:rsidRDefault="008112A9" w:rsidP="008802EB">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18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453E3" w:rsidRDefault="008112A9" w:rsidP="008802EB">
            <w:pPr>
              <w:widowControl w:val="0"/>
              <w:jc w:val="center"/>
              <w:rPr>
                <w:rFonts w:ascii="Arial" w:hAnsi="Arial"/>
                <w:b/>
                <w:sz w:val="14"/>
              </w:rPr>
            </w:pPr>
            <w:r w:rsidRPr="002453E3">
              <w:rPr>
                <w:rFonts w:ascii="Arial" w:hAnsi="Arial"/>
                <w:b/>
                <w:sz w:val="14"/>
              </w:rPr>
              <w:t>M</w:t>
            </w:r>
          </w:p>
          <w:p w:rsidR="008112A9" w:rsidRPr="002E0C7E" w:rsidRDefault="008112A9" w:rsidP="008802E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14</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20</w:t>
            </w:r>
          </w:p>
        </w:tc>
      </w:tr>
      <w:tr w:rsidR="008112A9" w:rsidRPr="002E0C7E" w:rsidTr="008802E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8112A9" w:rsidRPr="00CD57C3" w:rsidRDefault="008112A9" w:rsidP="008802EB">
            <w:pPr>
              <w:widowControl w:val="0"/>
              <w:jc w:val="center"/>
              <w:rPr>
                <w:rFonts w:ascii="Arial" w:hAnsi="Arial"/>
                <w:b/>
                <w:sz w:val="14"/>
              </w:rPr>
            </w:pPr>
          </w:p>
          <w:p w:rsidR="008112A9" w:rsidRPr="002E0C7E" w:rsidRDefault="008112A9" w:rsidP="008802E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2453E3" w:rsidRDefault="008112A9" w:rsidP="008802EB">
            <w:pPr>
              <w:widowControl w:val="0"/>
              <w:jc w:val="center"/>
              <w:rPr>
                <w:rFonts w:ascii="Arial" w:hAnsi="Arial"/>
                <w:b/>
                <w:sz w:val="14"/>
              </w:rPr>
            </w:pPr>
            <w:r>
              <w:rPr>
                <w:rFonts w:ascii="Arial" w:hAnsi="Arial"/>
                <w:b/>
                <w:sz w:val="14"/>
              </w:rPr>
              <w:t>H</w:t>
            </w:r>
          </w:p>
          <w:p w:rsidR="008112A9" w:rsidRPr="002E0C7E" w:rsidRDefault="008112A9" w:rsidP="008802EB">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8802EB">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8802EB">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112A9" w:rsidRPr="002E0C7E" w:rsidRDefault="008112A9" w:rsidP="008802EB">
            <w:pPr>
              <w:widowControl w:val="0"/>
              <w:jc w:val="center"/>
              <w:rPr>
                <w:rFonts w:ascii="Arial" w:hAnsi="Arial"/>
                <w:sz w:val="14"/>
              </w:rPr>
            </w:pPr>
            <w:r>
              <w:rPr>
                <w:rFonts w:ascii="Arial" w:hAnsi="Arial"/>
                <w:sz w:val="14"/>
              </w:rPr>
              <w:t xml:space="preserve">    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8802EB">
            <w:pPr>
              <w:widowControl w:val="0"/>
              <w:jc w:val="center"/>
              <w:rPr>
                <w:rFonts w:ascii="Arial" w:hAnsi="Arial"/>
                <w:sz w:val="14"/>
              </w:rPr>
            </w:pPr>
          </w:p>
          <w:p w:rsidR="008112A9" w:rsidRPr="002E0C7E" w:rsidRDefault="008112A9" w:rsidP="008802EB">
            <w:pPr>
              <w:widowControl w:val="0"/>
              <w:jc w:val="center"/>
              <w:rPr>
                <w:rFonts w:ascii="Arial" w:hAnsi="Arial"/>
                <w:sz w:val="14"/>
              </w:rPr>
            </w:pPr>
          </w:p>
        </w:tc>
      </w:tr>
    </w:tbl>
    <w:p w:rsidR="008112A9" w:rsidRPr="002E0C7E" w:rsidRDefault="008112A9" w:rsidP="008112A9">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12A9" w:rsidRPr="002E0C7E" w:rsidTr="008802EB">
        <w:trPr>
          <w:cantSplit/>
        </w:trPr>
        <w:tc>
          <w:tcPr>
            <w:tcW w:w="1710" w:type="dxa"/>
            <w:tcBorders>
              <w:top w:val="nil"/>
              <w:left w:val="nil"/>
              <w:bottom w:val="nil"/>
              <w:right w:val="nil"/>
            </w:tcBorders>
            <w:tcMar>
              <w:top w:w="43" w:type="dxa"/>
              <w:left w:w="120" w:type="dxa"/>
              <w:bottom w:w="29" w:type="dxa"/>
              <w:right w:w="120" w:type="dxa"/>
            </w:tcMar>
          </w:tcPr>
          <w:p w:rsidR="008112A9" w:rsidRPr="002E0C7E" w:rsidRDefault="008112A9" w:rsidP="008802EB">
            <w:pPr>
              <w:widowControl w:val="0"/>
              <w:rPr>
                <w:rFonts w:ascii="Arial" w:hAnsi="Arial"/>
                <w:sz w:val="16"/>
              </w:rPr>
            </w:pPr>
            <w:r w:rsidRPr="002E0C7E">
              <w:rPr>
                <w:rFonts w:ascii="Arial" w:hAnsi="Arial"/>
                <w:sz w:val="16"/>
              </w:rPr>
              <w:t>Sittings of the court:</w:t>
            </w:r>
          </w:p>
          <w:p w:rsidR="008112A9" w:rsidRPr="002E0C7E" w:rsidRDefault="008112A9" w:rsidP="008802EB">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12A9" w:rsidRPr="002E0C7E" w:rsidRDefault="008112A9" w:rsidP="008802EB">
            <w:pPr>
              <w:widowControl w:val="0"/>
              <w:rPr>
                <w:rFonts w:ascii="Arial" w:hAnsi="Arial"/>
                <w:sz w:val="16"/>
              </w:rPr>
            </w:pPr>
          </w:p>
          <w:p w:rsidR="008112A9" w:rsidRPr="002E0C7E" w:rsidRDefault="008112A9" w:rsidP="008802EB">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12A9" w:rsidRPr="00B058C3" w:rsidRDefault="008112A9" w:rsidP="008802E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12A9" w:rsidRPr="00B058C3" w:rsidRDefault="008112A9" w:rsidP="008802E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12A9" w:rsidRPr="00B058C3" w:rsidRDefault="008112A9" w:rsidP="008802E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12A9" w:rsidRPr="002E0C7E" w:rsidRDefault="008112A9" w:rsidP="008802E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3</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12A9" w:rsidRPr="002E0C7E" w:rsidRDefault="008112A9" w:rsidP="008802E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8802EB">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8802E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12A9" w:rsidRPr="002E0C7E" w:rsidRDefault="008112A9" w:rsidP="008802E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12A9" w:rsidRPr="002E0C7E" w:rsidRDefault="008112A9" w:rsidP="008802E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8802E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8802EB">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8802E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12A9" w:rsidRPr="002E0C7E" w:rsidRDefault="008112A9" w:rsidP="008802E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12A9" w:rsidRPr="002E0C7E" w:rsidRDefault="008112A9" w:rsidP="008802EB">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8802E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12A9" w:rsidRPr="002E0C7E" w:rsidRDefault="008112A9" w:rsidP="008112A9">
      <w:pPr>
        <w:widowControl w:val="0"/>
        <w:rPr>
          <w:rFonts w:ascii="Arial" w:hAnsi="Arial"/>
          <w:sz w:val="16"/>
        </w:rPr>
      </w:pPr>
    </w:p>
    <w:bookmarkEnd w:id="0"/>
    <w:p w:rsidR="002410B8" w:rsidRPr="0022323B" w:rsidRDefault="002410B8" w:rsidP="0081610A">
      <w:pPr>
        <w:widowControl w:val="0"/>
        <w:spacing w:line="180" w:lineRule="auto"/>
        <w:jc w:val="center"/>
        <w:rPr>
          <w:lang w:val="fr-CA"/>
        </w:rPr>
      </w:pPr>
    </w:p>
    <w:sectPr w:rsidR="002410B8" w:rsidRPr="0022323B" w:rsidSect="00924065">
      <w:headerReference w:type="default" r:id="rId95"/>
      <w:footerReference w:type="default" r:id="rId96"/>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477" w:rsidRDefault="00B55477" w:rsidP="00A87207">
      <w:r>
        <w:separator/>
      </w:r>
    </w:p>
  </w:endnote>
  <w:endnote w:type="continuationSeparator" w:id="0">
    <w:p w:rsidR="00B55477" w:rsidRDefault="00B55477"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EE"/>
    <w:family w:val="roman"/>
    <w:pitch w:val="variable"/>
    <w:sig w:usb0="00000007"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477" w:rsidRDefault="00B5547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477" w:rsidRDefault="00F677DC">
    <w:pPr>
      <w:pStyle w:val="Footer"/>
      <w:rPr>
        <w:lang w:val="fr-CA"/>
      </w:rPr>
    </w:pPr>
    <w:r>
      <w:rPr>
        <w:lang w:val="fr-CA"/>
      </w:rPr>
      <w:pict>
        <v:rect id="_x0000_i1081" style="width:480.95pt;height:1pt" o:hralign="center" o:hrstd="t" o:hrnoshade="t" o:hr="t" fillcolor="black [3213]" stroked="f"/>
      </w:pict>
    </w:r>
  </w:p>
  <w:p w:rsidR="00B55477" w:rsidRDefault="00B55477" w:rsidP="00245129">
    <w:pPr>
      <w:tabs>
        <w:tab w:val="center" w:pos="4680"/>
      </w:tabs>
    </w:pPr>
    <w:r>
      <w:tab/>
    </w:r>
    <w:r w:rsidRPr="0009648D">
      <w:t xml:space="preserve">- </w:t>
    </w:r>
    <w:r w:rsidR="00F677DC">
      <w:fldChar w:fldCharType="begin"/>
    </w:r>
    <w:r w:rsidR="00F677DC">
      <w:instrText xml:space="preserve"> PAGE   \* MERGEFORMAT </w:instrText>
    </w:r>
    <w:r w:rsidR="00F677DC">
      <w:fldChar w:fldCharType="separate"/>
    </w:r>
    <w:r w:rsidR="00F677DC">
      <w:rPr>
        <w:noProof/>
      </w:rPr>
      <w:t>1540</w:t>
    </w:r>
    <w:r w:rsidR="00F677DC">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477" w:rsidRDefault="00B554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55477" w:rsidRDefault="00B554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55477" w:rsidRDefault="00B55477">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477" w:rsidRDefault="00F677DC" w:rsidP="00755F22">
    <w:pPr>
      <w:tabs>
        <w:tab w:val="left" w:pos="-1440"/>
        <w:tab w:val="left" w:pos="-720"/>
      </w:tabs>
    </w:pPr>
    <w:r>
      <w:pict>
        <v:rect id="_x0000_i1090" style="width:480.95pt;height:1pt" o:hralign="center" o:hrstd="t" o:hrnoshade="t" o:hr="t" fillcolor="black [3213]" stroked="f"/>
      </w:pict>
    </w:r>
  </w:p>
  <w:p w:rsidR="00B55477" w:rsidRDefault="00B55477" w:rsidP="00EB2B90">
    <w:pPr>
      <w:tabs>
        <w:tab w:val="center" w:pos="4680"/>
      </w:tabs>
    </w:pPr>
    <w:r>
      <w:tab/>
      <w:t xml:space="preserve">- </w:t>
    </w:r>
    <w:r w:rsidR="00F677DC">
      <w:fldChar w:fldCharType="begin"/>
    </w:r>
    <w:r w:rsidR="00F677DC">
      <w:instrText xml:space="preserve"> PAGE   \* MERGEFORMAT </w:instrText>
    </w:r>
    <w:r w:rsidR="00F677DC">
      <w:fldChar w:fldCharType="separate"/>
    </w:r>
    <w:r w:rsidR="00F677DC">
      <w:rPr>
        <w:noProof/>
      </w:rPr>
      <w:t>1578</w:t>
    </w:r>
    <w:r w:rsidR="00F677DC">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477" w:rsidRDefault="00F677DC" w:rsidP="00EB2B90">
    <w:pPr>
      <w:tabs>
        <w:tab w:val="center" w:pos="4680"/>
      </w:tabs>
    </w:pPr>
    <w:r>
      <w:pict>
        <v:rect id="_x0000_i1091" style="width:480.95pt;height:1pt" o:hralign="center" o:hrstd="t" o:hrnoshade="t" o:hr="t" fillcolor="black [3213]" stroked="f"/>
      </w:pict>
    </w:r>
  </w:p>
  <w:p w:rsidR="00B55477" w:rsidRPr="0031432F" w:rsidRDefault="00B55477" w:rsidP="00EB2B90">
    <w:pPr>
      <w:tabs>
        <w:tab w:val="center" w:pos="4680"/>
      </w:tabs>
    </w:pPr>
    <w:r>
      <w:tab/>
      <w:t xml:space="preserve">- </w:t>
    </w:r>
    <w:r w:rsidR="00F677DC">
      <w:fldChar w:fldCharType="begin"/>
    </w:r>
    <w:r w:rsidR="00F677DC">
      <w:instrText xml:space="preserve"> PAGE   \* MERGEFORMAT </w:instrText>
    </w:r>
    <w:r w:rsidR="00F677DC">
      <w:fldChar w:fldCharType="separate"/>
    </w:r>
    <w:r w:rsidR="00F677DC">
      <w:rPr>
        <w:noProof/>
      </w:rPr>
      <w:t>1568</w:t>
    </w:r>
    <w:r w:rsidR="00F677DC">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477" w:rsidRDefault="00B554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55477" w:rsidRDefault="00B554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55477" w:rsidRDefault="00B55477">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477" w:rsidRDefault="00F677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93" style="width:480.95pt;height:1pt" o:hralign="center" o:hrstd="t" o:hrnoshade="t" o:hr="t" fillcolor="black [3213]" stroked="f"/>
      </w:pict>
    </w:r>
  </w:p>
  <w:p w:rsidR="00B55477" w:rsidRDefault="00B55477" w:rsidP="00EB2B90">
    <w:pPr>
      <w:tabs>
        <w:tab w:val="center" w:pos="4680"/>
      </w:tabs>
    </w:pPr>
    <w:r>
      <w:tab/>
      <w:t xml:space="preserve">- </w:t>
    </w:r>
    <w:r w:rsidR="00F677DC">
      <w:fldChar w:fldCharType="begin"/>
    </w:r>
    <w:r w:rsidR="00F677DC">
      <w:instrText xml:space="preserve"> PAGE   \* MERGEFORMAT </w:instrText>
    </w:r>
    <w:r w:rsidR="00F677DC">
      <w:fldChar w:fldCharType="separate"/>
    </w:r>
    <w:r>
      <w:rPr>
        <w:noProof/>
      </w:rPr>
      <w:t>524</w:t>
    </w:r>
    <w:r w:rsidR="00F677DC">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477" w:rsidRDefault="00F677DC">
    <w:pPr>
      <w:pStyle w:val="Footer"/>
      <w:rPr>
        <w:lang w:val="fr-CA"/>
      </w:rPr>
    </w:pPr>
    <w:r>
      <w:rPr>
        <w:lang w:val="fr-CA"/>
      </w:rPr>
      <w:pict>
        <v:rect id="_x0000_i1094" style="width:480.95pt;height:1pt" o:hralign="center" o:hrstd="t" o:hrnoshade="t" o:hr="t" fillcolor="black [3213]" stroked="f"/>
      </w:pict>
    </w:r>
  </w:p>
  <w:p w:rsidR="00B55477" w:rsidRDefault="00B55477" w:rsidP="00EB2B90">
    <w:pPr>
      <w:tabs>
        <w:tab w:val="center" w:pos="4680"/>
      </w:tabs>
    </w:pPr>
    <w:r>
      <w:tab/>
      <w:t xml:space="preserve">- </w:t>
    </w:r>
    <w:r w:rsidR="00F677DC">
      <w:fldChar w:fldCharType="begin"/>
    </w:r>
    <w:r w:rsidR="00F677DC">
      <w:instrText xml:space="preserve"> PAGE   \* MERGEFORMAT </w:instrText>
    </w:r>
    <w:r w:rsidR="00F677DC">
      <w:fldChar w:fldCharType="separate"/>
    </w:r>
    <w:r w:rsidR="00F677DC">
      <w:rPr>
        <w:noProof/>
      </w:rPr>
      <w:t>1579</w:t>
    </w:r>
    <w:r w:rsidR="00F677DC">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477" w:rsidRDefault="00B554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55477" w:rsidRDefault="00B554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55477" w:rsidRDefault="00B55477">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477" w:rsidRDefault="00F677DC" w:rsidP="00732DB7">
    <w:r>
      <w:pict>
        <v:rect id="_x0000_i1099" style="width:480.95pt;height:1pt" o:hralign="center" o:hrstd="t" o:hrnoshade="t" o:hr="t" fillcolor="black" stroked="f"/>
      </w:pict>
    </w:r>
  </w:p>
  <w:p w:rsidR="00B55477" w:rsidRDefault="00B55477">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477" w:rsidRDefault="00F677DC">
    <w:pPr>
      <w:pStyle w:val="Footer"/>
    </w:pPr>
    <w:r>
      <w:pict>
        <v:rect id="_x0000_i1100" style="width:480.95pt;height:1pt" o:hralign="center" o:hrstd="t" o:hrnoshade="t" o:hr="t" fillcolor="black" stroked="f"/>
      </w:pict>
    </w:r>
  </w:p>
  <w:p w:rsidR="00B55477" w:rsidRPr="00283C52" w:rsidRDefault="00B55477">
    <w:pPr>
      <w:pStyle w:val="Footer"/>
    </w:pPr>
    <w:r>
      <w:tab/>
    </w:r>
    <w:r w:rsidRPr="00283C52">
      <w:t xml:space="preserve">- </w:t>
    </w:r>
    <w:r w:rsidRPr="00283C52">
      <w:pgNum/>
    </w:r>
    <w:r w:rsidRPr="00283C5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477" w:rsidRDefault="00B55477">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477" w:rsidRDefault="00B554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55477" w:rsidRDefault="00B554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55477" w:rsidRDefault="00B55477">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477" w:rsidRDefault="00F677DC" w:rsidP="00732DB7">
    <w:r>
      <w:pict>
        <v:rect id="_x0000_i1103" style="width:480.95pt;height:1pt" o:hralign="center" o:hrstd="t" o:hrnoshade="t" o:hr="t" fillcolor="black" stroked="f"/>
      </w:pict>
    </w:r>
  </w:p>
  <w:p w:rsidR="00B55477" w:rsidRDefault="00B55477">
    <w:pPr>
      <w:tabs>
        <w:tab w:val="center" w:pos="4740"/>
      </w:tabs>
      <w:spacing w:line="0" w:lineRule="atLeast"/>
    </w:pPr>
    <w:r>
      <w:tab/>
      <w:t xml:space="preserve">- </w:t>
    </w:r>
    <w:r>
      <w:pgNum/>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477" w:rsidRDefault="00F677DC">
    <w:pPr>
      <w:pStyle w:val="Footer"/>
    </w:pPr>
    <w:r>
      <w:pict>
        <v:rect id="_x0000_i1104" style="width:480.95pt;height:1pt" o:hralign="center" o:hrstd="t" o:hrnoshade="t" o:hr="t" fillcolor="black [3213]" stroked="f"/>
      </w:pict>
    </w:r>
  </w:p>
  <w:p w:rsidR="00B55477" w:rsidRPr="003C2C0F" w:rsidRDefault="00B55477" w:rsidP="00697C62">
    <w:pPr>
      <w:tabs>
        <w:tab w:val="center" w:pos="4680"/>
      </w:tabs>
    </w:pPr>
    <w:r>
      <w:tab/>
      <w:t xml:space="preserve">- </w:t>
    </w:r>
    <w:r w:rsidR="00F677DC">
      <w:fldChar w:fldCharType="begin"/>
    </w:r>
    <w:r w:rsidR="00F677DC">
      <w:instrText xml:space="preserve"> PAGE   \* MERGEFORMAT </w:instrText>
    </w:r>
    <w:r w:rsidR="00F677DC">
      <w:fldChar w:fldCharType="separate"/>
    </w:r>
    <w:r w:rsidR="00F677DC">
      <w:rPr>
        <w:noProof/>
      </w:rPr>
      <w:t>1584</w:t>
    </w:r>
    <w:r w:rsidR="00F677DC">
      <w:rPr>
        <w:noProof/>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477" w:rsidRDefault="00B554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55477" w:rsidRDefault="00B554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55477" w:rsidRDefault="00B55477">
    <w:pPr>
      <w:tabs>
        <w:tab w:val="center" w:pos="4740"/>
      </w:tabs>
    </w:pPr>
    <w:r>
      <w:tab/>
      <w:t xml:space="preserve">- </w:t>
    </w:r>
    <w:r>
      <w:pgNum/>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477" w:rsidRDefault="00B554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55477" w:rsidRDefault="00F677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09" style="width:480.95pt;height:1pt" o:hralign="center" o:hrstd="t" o:hrnoshade="t" o:hr="t" fillcolor="black [3213]" stroked="f"/>
      </w:pict>
    </w:r>
  </w:p>
  <w:p w:rsidR="00B55477" w:rsidRDefault="00B55477"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F677DC">
      <w:rPr>
        <w:noProof/>
        <w:szCs w:val="24"/>
      </w:rPr>
      <w:t>1602</w:t>
    </w:r>
    <w:r w:rsidRPr="001775C1">
      <w:rPr>
        <w:szCs w:val="24"/>
      </w:rPr>
      <w:fldChar w:fldCharType="end"/>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477" w:rsidRDefault="00F677DC" w:rsidP="00782AE4">
    <w:pPr>
      <w:tabs>
        <w:tab w:val="center" w:pos="4680"/>
      </w:tabs>
    </w:pPr>
    <w:r>
      <w:pict>
        <v:rect id="_x0000_i1110" style="width:480.95pt;height:1pt" o:hralign="center" o:hrstd="t" o:hrnoshade="t" o:hr="t" fillcolor="black [3213]" stroked="f"/>
      </w:pict>
    </w:r>
  </w:p>
  <w:p w:rsidR="00B55477" w:rsidRDefault="00B55477"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F677DC">
      <w:rPr>
        <w:noProof/>
        <w:szCs w:val="24"/>
      </w:rPr>
      <w:t>1586</w:t>
    </w:r>
    <w:r w:rsidRPr="001775C1">
      <w:rPr>
        <w:szCs w:val="24"/>
      </w:rPr>
      <w:fldChar w:fldCharType="end"/>
    </w: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477" w:rsidRPr="00924065" w:rsidRDefault="00B55477"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477" w:rsidRDefault="00B554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477" w:rsidRDefault="00F677DC" w:rsidP="00A87207">
    <w:pPr>
      <w:pStyle w:val="Footer"/>
    </w:pPr>
    <w:r>
      <w:pict>
        <v:rect id="_x0000_i1048" style="width:480.95pt;height:1pt" o:hralign="center" o:hrstd="t" o:hrnoshade="t" o:hr="t" fillcolor="black [3213]" stroked="f"/>
      </w:pict>
    </w:r>
  </w:p>
  <w:p w:rsidR="00B55477" w:rsidRPr="00B7374B" w:rsidRDefault="00B5547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F677DC">
      <w:rPr>
        <w:noProof/>
        <w:szCs w:val="24"/>
      </w:rPr>
      <w:t>1538</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477" w:rsidRDefault="00F677DC" w:rsidP="00755F22">
    <w:pPr>
      <w:tabs>
        <w:tab w:val="left" w:pos="-1440"/>
        <w:tab w:val="left" w:pos="-720"/>
      </w:tabs>
    </w:pPr>
    <w:r>
      <w:pict>
        <v:rect id="_x0000_i1049" style="width:480.95pt;height:1pt" o:hralign="center" o:hrstd="t" o:hrnoshade="t" o:hr="t" fillcolor="black [3213]" stroked="f"/>
      </w:pict>
    </w:r>
  </w:p>
  <w:p w:rsidR="00B55477" w:rsidRPr="00954D22" w:rsidRDefault="00B55477"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F677DC">
      <w:rPr>
        <w:noProof/>
        <w:szCs w:val="24"/>
      </w:rPr>
      <w:t>1536</w:t>
    </w:r>
    <w:r>
      <w:rPr>
        <w:szCs w:val="24"/>
      </w:rPr>
      <w:fldChar w:fldCharType="end"/>
    </w:r>
    <w:r w:rsidRPr="00954D22">
      <w:rPr>
        <w:szCs w:val="24"/>
      </w:rPr>
      <w:t xml:space="preserve"> -</w:t>
    </w:r>
  </w:p>
  <w:p w:rsidR="00B55477" w:rsidRDefault="00B5547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477" w:rsidRDefault="00F677DC" w:rsidP="00A87207">
    <w:pPr>
      <w:pStyle w:val="Footer"/>
    </w:pPr>
    <w:r>
      <w:pict>
        <v:rect id="_x0000_i1051" style="width:480.95pt;height:1pt" o:hralign="center" o:hrstd="t" o:hrnoshade="t" o:hr="t" fillcolor="black [3213]" stroked="f"/>
      </w:pict>
    </w:r>
  </w:p>
  <w:p w:rsidR="00B55477" w:rsidRPr="00B7374B" w:rsidRDefault="00B5547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1539</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477" w:rsidRDefault="00F677DC"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2" style="width:480.95pt;height:1pt" o:hralign="center" o:hrstd="t" o:hrnoshade="t" o:hr="t" fillcolor="black [3213]" stroked="f"/>
      </w:pict>
    </w:r>
  </w:p>
  <w:p w:rsidR="00B55477" w:rsidRPr="00954D22" w:rsidRDefault="00B5547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F677DC">
      <w:rPr>
        <w:noProof/>
        <w:szCs w:val="24"/>
      </w:rPr>
      <w:t>1539</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477" w:rsidRDefault="00B554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B55477" w:rsidRDefault="00B554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55477" w:rsidRDefault="00B55477">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477" w:rsidRDefault="00F677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0" style="width:480.95pt;height:1pt" o:hralign="center" o:hrstd="t" o:hrnoshade="t" o:hr="t" fillcolor="black [3213]" stroked="f"/>
      </w:pict>
    </w:r>
  </w:p>
  <w:p w:rsidR="00B55477" w:rsidRPr="0009648D" w:rsidRDefault="00B55477" w:rsidP="00ED7E83">
    <w:pPr>
      <w:tabs>
        <w:tab w:val="center" w:pos="4680"/>
      </w:tabs>
    </w:pPr>
    <w:r>
      <w:tab/>
    </w:r>
    <w:r w:rsidRPr="0009648D">
      <w:t xml:space="preserve">- </w:t>
    </w:r>
    <w:r w:rsidR="00F677DC">
      <w:fldChar w:fldCharType="begin"/>
    </w:r>
    <w:r w:rsidR="00F677DC">
      <w:instrText xml:space="preserve"> PAGE   \* MERGEFORMAT </w:instrText>
    </w:r>
    <w:r w:rsidR="00F677DC">
      <w:fldChar w:fldCharType="separate"/>
    </w:r>
    <w:r w:rsidR="00F677DC">
      <w:rPr>
        <w:noProof/>
      </w:rPr>
      <w:t>1567</w:t>
    </w:r>
    <w:r w:rsidR="00F677DC">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477" w:rsidRDefault="00B55477" w:rsidP="00A87207">
      <w:r>
        <w:separator/>
      </w:r>
    </w:p>
  </w:footnote>
  <w:footnote w:type="continuationSeparator" w:id="0">
    <w:p w:rsidR="00B55477" w:rsidRDefault="00B55477"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477" w:rsidRDefault="00B5547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477" w:rsidRDefault="00B5547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B55477">
      <w:tc>
        <w:tcPr>
          <w:tcW w:w="4230" w:type="dxa"/>
          <w:tcMar>
            <w:left w:w="0" w:type="dxa"/>
            <w:right w:w="0" w:type="dxa"/>
          </w:tcMar>
        </w:tcPr>
        <w:p w:rsidR="00B55477" w:rsidRDefault="00B554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B55477" w:rsidRDefault="00B5547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55477" w:rsidRDefault="00B5547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B55477">
      <w:trPr>
        <w:gridAfter w:val="2"/>
        <w:wAfter w:w="5250" w:type="dxa"/>
      </w:trPr>
      <w:tc>
        <w:tcPr>
          <w:tcW w:w="4230" w:type="dxa"/>
          <w:tcMar>
            <w:left w:w="0" w:type="dxa"/>
            <w:right w:w="0" w:type="dxa"/>
          </w:tcMar>
        </w:tcPr>
        <w:p w:rsidR="00B55477" w:rsidRDefault="00B554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55477" w:rsidRDefault="00B554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B55477" w:rsidRPr="00755F22" w:rsidTr="00245129">
      <w:tc>
        <w:tcPr>
          <w:tcW w:w="4230" w:type="dxa"/>
          <w:tcMar>
            <w:left w:w="0" w:type="dxa"/>
            <w:right w:w="0" w:type="dxa"/>
          </w:tcMar>
        </w:tcPr>
        <w:p w:rsidR="00B55477" w:rsidRPr="00755F22" w:rsidRDefault="00B55477" w:rsidP="00831CA9">
          <w:pPr>
            <w:keepNext/>
            <w:keepLines/>
            <w:rPr>
              <w:sz w:val="20"/>
              <w:szCs w:val="20"/>
            </w:rPr>
          </w:pPr>
          <w:r w:rsidRPr="00755F22">
            <w:rPr>
              <w:sz w:val="20"/>
              <w:szCs w:val="20"/>
            </w:rPr>
            <w:t>MOTIONS</w:t>
          </w:r>
        </w:p>
      </w:tc>
      <w:tc>
        <w:tcPr>
          <w:tcW w:w="1170" w:type="dxa"/>
          <w:tcMar>
            <w:left w:w="0" w:type="dxa"/>
            <w:right w:w="0" w:type="dxa"/>
          </w:tcMar>
        </w:tcPr>
        <w:p w:rsidR="00B55477" w:rsidRPr="00755F22" w:rsidRDefault="00B55477" w:rsidP="00831CA9">
          <w:pPr>
            <w:keepLines/>
            <w:jc w:val="center"/>
            <w:rPr>
              <w:sz w:val="20"/>
              <w:szCs w:val="20"/>
            </w:rPr>
          </w:pPr>
        </w:p>
        <w:p w:rsidR="00B55477" w:rsidRPr="00755F22" w:rsidRDefault="00B55477" w:rsidP="00831CA9">
          <w:pPr>
            <w:keepLines/>
            <w:tabs>
              <w:tab w:val="left" w:pos="-1440"/>
              <w:tab w:val="left" w:pos="-720"/>
            </w:tabs>
            <w:jc w:val="center"/>
            <w:rPr>
              <w:sz w:val="20"/>
              <w:szCs w:val="20"/>
            </w:rPr>
          </w:pPr>
        </w:p>
      </w:tc>
      <w:tc>
        <w:tcPr>
          <w:tcW w:w="4080" w:type="dxa"/>
          <w:tcMar>
            <w:left w:w="0" w:type="dxa"/>
            <w:right w:w="0" w:type="dxa"/>
          </w:tcMar>
        </w:tcPr>
        <w:p w:rsidR="00B55477" w:rsidRPr="00BA6468" w:rsidRDefault="00B55477" w:rsidP="00BA6468">
          <w:pPr>
            <w:keepLines/>
            <w:rPr>
              <w:sz w:val="20"/>
              <w:szCs w:val="20"/>
              <w:lang w:val="fr-CA"/>
            </w:rPr>
          </w:pPr>
          <w:r w:rsidRPr="00BA6468">
            <w:rPr>
              <w:sz w:val="20"/>
              <w:szCs w:val="20"/>
              <w:lang w:val="fr-CA"/>
            </w:rPr>
            <w:t>REQUÊTES</w:t>
          </w:r>
        </w:p>
      </w:tc>
    </w:tr>
  </w:tbl>
  <w:p w:rsidR="00B55477" w:rsidRDefault="00B55477"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477" w:rsidRDefault="00B5547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55477" w:rsidRPr="00DA7379">
      <w:tc>
        <w:tcPr>
          <w:tcW w:w="4200" w:type="dxa"/>
          <w:tcMar>
            <w:left w:w="0" w:type="dxa"/>
            <w:right w:w="0" w:type="dxa"/>
          </w:tcMar>
        </w:tcPr>
        <w:p w:rsidR="00B55477" w:rsidRDefault="00B554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B55477" w:rsidRDefault="00B554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55477" w:rsidRPr="00B01A03" w:rsidRDefault="00B5547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B55477" w:rsidRPr="00B01A03" w:rsidRDefault="00B554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B55477" w:rsidRPr="00B01A03" w:rsidRDefault="00B554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B55477" w:rsidRPr="00DA7379" w:rsidTr="00245129">
      <w:tc>
        <w:tcPr>
          <w:tcW w:w="4200" w:type="dxa"/>
          <w:tcMar>
            <w:left w:w="0" w:type="dxa"/>
            <w:right w:w="0" w:type="dxa"/>
          </w:tcMar>
        </w:tcPr>
        <w:p w:rsidR="00B55477" w:rsidRPr="00F40249" w:rsidRDefault="00B55477"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B55477" w:rsidRDefault="00B55477" w:rsidP="00102926">
          <w:pPr>
            <w:keepNext/>
            <w:keepLines/>
            <w:tabs>
              <w:tab w:val="left" w:pos="-1440"/>
              <w:tab w:val="left" w:pos="-720"/>
            </w:tabs>
            <w:jc w:val="center"/>
            <w:rPr>
              <w:sz w:val="20"/>
              <w:szCs w:val="20"/>
            </w:rPr>
          </w:pPr>
        </w:p>
        <w:p w:rsidR="00B55477" w:rsidRDefault="00B55477" w:rsidP="00102926">
          <w:pPr>
            <w:keepNext/>
            <w:keepLines/>
            <w:tabs>
              <w:tab w:val="left" w:pos="-1440"/>
              <w:tab w:val="left" w:pos="-720"/>
            </w:tabs>
            <w:jc w:val="center"/>
            <w:rPr>
              <w:sz w:val="20"/>
              <w:szCs w:val="20"/>
            </w:rPr>
          </w:pPr>
        </w:p>
        <w:p w:rsidR="00B55477" w:rsidRPr="00F40249" w:rsidRDefault="00B55477" w:rsidP="00102926">
          <w:pPr>
            <w:keepNext/>
            <w:keepLines/>
            <w:tabs>
              <w:tab w:val="left" w:pos="-1440"/>
              <w:tab w:val="left" w:pos="-720"/>
            </w:tabs>
            <w:jc w:val="center"/>
            <w:rPr>
              <w:sz w:val="20"/>
              <w:szCs w:val="20"/>
            </w:rPr>
          </w:pPr>
        </w:p>
      </w:tc>
      <w:tc>
        <w:tcPr>
          <w:tcW w:w="4230" w:type="dxa"/>
          <w:tcMar>
            <w:left w:w="0" w:type="dxa"/>
            <w:right w:w="0" w:type="dxa"/>
          </w:tcMar>
        </w:tcPr>
        <w:p w:rsidR="00B55477" w:rsidRPr="00F40249" w:rsidRDefault="00B55477"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B55477" w:rsidRPr="00B01A03" w:rsidRDefault="00B55477"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477" w:rsidRDefault="00B5547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55477" w:rsidRPr="00DA7379">
      <w:tc>
        <w:tcPr>
          <w:tcW w:w="4200" w:type="dxa"/>
          <w:tcMar>
            <w:left w:w="0" w:type="dxa"/>
            <w:right w:w="0" w:type="dxa"/>
          </w:tcMar>
        </w:tcPr>
        <w:p w:rsidR="00B55477" w:rsidRDefault="00B554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B55477" w:rsidRDefault="00B554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55477" w:rsidRPr="00283C52" w:rsidRDefault="00B5547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B55477" w:rsidRPr="00283C52" w:rsidRDefault="00B554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B55477" w:rsidRPr="00283C52" w:rsidRDefault="00B554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55477" w:rsidRPr="00DA7379" w:rsidTr="00245129">
      <w:tc>
        <w:tcPr>
          <w:tcW w:w="4200" w:type="dxa"/>
          <w:tcMar>
            <w:left w:w="0" w:type="dxa"/>
            <w:right w:w="0" w:type="dxa"/>
          </w:tcMar>
        </w:tcPr>
        <w:p w:rsidR="00B55477" w:rsidRPr="00732DB7" w:rsidRDefault="00B55477"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B55477" w:rsidRPr="00732DB7" w:rsidRDefault="00B55477" w:rsidP="00732DB7">
          <w:pPr>
            <w:keepNext/>
            <w:keepLines/>
            <w:tabs>
              <w:tab w:val="left" w:pos="-1440"/>
              <w:tab w:val="left" w:pos="-720"/>
            </w:tabs>
            <w:jc w:val="center"/>
            <w:rPr>
              <w:sz w:val="20"/>
              <w:szCs w:val="20"/>
            </w:rPr>
          </w:pPr>
        </w:p>
        <w:p w:rsidR="00B55477" w:rsidRPr="00732DB7" w:rsidRDefault="00B55477" w:rsidP="00732DB7">
          <w:pPr>
            <w:keepNext/>
            <w:keepLines/>
            <w:tabs>
              <w:tab w:val="left" w:pos="-1440"/>
              <w:tab w:val="left" w:pos="-720"/>
            </w:tabs>
            <w:jc w:val="center"/>
            <w:rPr>
              <w:sz w:val="20"/>
              <w:szCs w:val="20"/>
            </w:rPr>
          </w:pPr>
        </w:p>
        <w:p w:rsidR="00B55477" w:rsidRPr="00732DB7" w:rsidRDefault="00B55477" w:rsidP="00732DB7">
          <w:pPr>
            <w:keepNext/>
            <w:keepLines/>
            <w:tabs>
              <w:tab w:val="left" w:pos="-1440"/>
              <w:tab w:val="left" w:pos="-720"/>
            </w:tabs>
            <w:jc w:val="center"/>
            <w:rPr>
              <w:sz w:val="20"/>
              <w:szCs w:val="20"/>
            </w:rPr>
          </w:pPr>
        </w:p>
      </w:tc>
      <w:tc>
        <w:tcPr>
          <w:tcW w:w="4080" w:type="dxa"/>
          <w:tcMar>
            <w:left w:w="0" w:type="dxa"/>
            <w:right w:w="0" w:type="dxa"/>
          </w:tcMar>
        </w:tcPr>
        <w:p w:rsidR="00B55477" w:rsidRPr="00732DB7" w:rsidRDefault="00B55477"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B55477" w:rsidRPr="00283C52" w:rsidRDefault="00B55477"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477" w:rsidRDefault="00B554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477" w:rsidRDefault="00B55477">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55477" w:rsidRPr="00DA7379">
      <w:tc>
        <w:tcPr>
          <w:tcW w:w="4200" w:type="dxa"/>
          <w:tcMar>
            <w:left w:w="0" w:type="dxa"/>
            <w:right w:w="0" w:type="dxa"/>
          </w:tcMar>
        </w:tcPr>
        <w:p w:rsidR="00B55477" w:rsidRDefault="00B554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B55477" w:rsidRDefault="00B554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B55477" w:rsidRDefault="00B554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B55477" w:rsidRPr="003C2C0F" w:rsidRDefault="00B5547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B55477" w:rsidRPr="003C2C0F" w:rsidRDefault="00B554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B55477" w:rsidRPr="003C2C0F" w:rsidRDefault="00B554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55477" w:rsidRPr="00DA7379" w:rsidTr="00245129">
      <w:tc>
        <w:tcPr>
          <w:tcW w:w="4200" w:type="dxa"/>
          <w:tcMar>
            <w:left w:w="0" w:type="dxa"/>
            <w:right w:w="0" w:type="dxa"/>
          </w:tcMar>
        </w:tcPr>
        <w:p w:rsidR="00B55477" w:rsidRPr="00FF6EEC" w:rsidRDefault="00B55477" w:rsidP="00FF6EEC">
          <w:pPr>
            <w:rPr>
              <w:sz w:val="20"/>
              <w:szCs w:val="20"/>
            </w:rPr>
          </w:pPr>
          <w:r w:rsidRPr="00FF6EEC">
            <w:rPr>
              <w:sz w:val="20"/>
              <w:szCs w:val="20"/>
            </w:rPr>
            <w:t>PRONOUNCEMENTS OF APPEALS RESERVED</w:t>
          </w:r>
        </w:p>
      </w:tc>
      <w:tc>
        <w:tcPr>
          <w:tcW w:w="1200" w:type="dxa"/>
          <w:tcMar>
            <w:left w:w="0" w:type="dxa"/>
            <w:right w:w="0" w:type="dxa"/>
          </w:tcMar>
        </w:tcPr>
        <w:p w:rsidR="00B55477" w:rsidRPr="00FF6EEC" w:rsidRDefault="00B55477" w:rsidP="00FF6EEC">
          <w:pPr>
            <w:jc w:val="center"/>
            <w:rPr>
              <w:sz w:val="20"/>
              <w:szCs w:val="20"/>
            </w:rPr>
          </w:pPr>
        </w:p>
        <w:p w:rsidR="00B55477" w:rsidRPr="00FF6EEC" w:rsidRDefault="00B55477" w:rsidP="00FF6EEC">
          <w:pPr>
            <w:jc w:val="center"/>
            <w:rPr>
              <w:sz w:val="20"/>
              <w:szCs w:val="20"/>
            </w:rPr>
          </w:pPr>
        </w:p>
        <w:p w:rsidR="00B55477" w:rsidRPr="00FF6EEC" w:rsidRDefault="00B55477" w:rsidP="00FF6EEC">
          <w:pPr>
            <w:jc w:val="center"/>
            <w:rPr>
              <w:sz w:val="20"/>
              <w:szCs w:val="20"/>
            </w:rPr>
          </w:pPr>
        </w:p>
      </w:tc>
      <w:tc>
        <w:tcPr>
          <w:tcW w:w="4080" w:type="dxa"/>
          <w:tcMar>
            <w:left w:w="0" w:type="dxa"/>
            <w:right w:w="0" w:type="dxa"/>
          </w:tcMar>
        </w:tcPr>
        <w:p w:rsidR="00B55477" w:rsidRPr="00FF6EEC" w:rsidRDefault="00B55477" w:rsidP="00FF6EEC">
          <w:pPr>
            <w:rPr>
              <w:sz w:val="20"/>
              <w:szCs w:val="20"/>
              <w:lang w:val="fr-CA"/>
            </w:rPr>
          </w:pPr>
          <w:r w:rsidRPr="00FF6EEC">
            <w:rPr>
              <w:sz w:val="20"/>
              <w:szCs w:val="20"/>
              <w:lang w:val="fr-CA"/>
            </w:rPr>
            <w:t>JUGEMENTS RENDUS SUR LES APPELS EN DÉLIBÉRÉ</w:t>
          </w:r>
        </w:p>
      </w:tc>
    </w:tr>
  </w:tbl>
  <w:p w:rsidR="00B55477" w:rsidRPr="003C2C0F" w:rsidRDefault="00B55477"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477" w:rsidRDefault="00B55477">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B55477">
      <w:tc>
        <w:tcPr>
          <w:tcW w:w="4230" w:type="dxa"/>
          <w:tcMar>
            <w:left w:w="0" w:type="dxa"/>
            <w:right w:w="0" w:type="dxa"/>
          </w:tcMar>
        </w:tcPr>
        <w:p w:rsidR="00B55477" w:rsidRDefault="00B554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B55477" w:rsidRDefault="00B554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B55477" w:rsidRDefault="00B554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B55477" w:rsidRDefault="00B554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55477" w:rsidRDefault="00B554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B55477" w:rsidRDefault="00B5547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B55477" w:rsidRDefault="00B554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55477" w:rsidRDefault="00B554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B55477" w:rsidRPr="00782AE4" w:rsidTr="00245129">
      <w:tc>
        <w:tcPr>
          <w:tcW w:w="4230" w:type="dxa"/>
          <w:tcMar>
            <w:left w:w="0" w:type="dxa"/>
            <w:right w:w="0" w:type="dxa"/>
          </w:tcMar>
        </w:tcPr>
        <w:p w:rsidR="00B55477" w:rsidRPr="00782AE4" w:rsidRDefault="00B55477" w:rsidP="00102926">
          <w:pPr>
            <w:keepNext/>
            <w:keepLines/>
            <w:tabs>
              <w:tab w:val="left" w:pos="-1440"/>
              <w:tab w:val="left" w:pos="-720"/>
            </w:tabs>
            <w:rPr>
              <w:sz w:val="20"/>
              <w:szCs w:val="20"/>
            </w:rPr>
          </w:pPr>
          <w:r w:rsidRPr="00782AE4">
            <w:rPr>
              <w:sz w:val="20"/>
              <w:szCs w:val="20"/>
            </w:rPr>
            <w:t xml:space="preserve">HEADNOTES OF RECENT </w:t>
          </w:r>
        </w:p>
        <w:p w:rsidR="00B55477" w:rsidRPr="00782AE4" w:rsidRDefault="00B554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B55477" w:rsidRDefault="00B55477" w:rsidP="00102926">
          <w:pPr>
            <w:keepNext/>
            <w:keepLines/>
            <w:tabs>
              <w:tab w:val="left" w:pos="-1440"/>
              <w:tab w:val="left" w:pos="-720"/>
            </w:tabs>
            <w:jc w:val="center"/>
            <w:rPr>
              <w:sz w:val="20"/>
              <w:szCs w:val="20"/>
            </w:rPr>
          </w:pPr>
        </w:p>
        <w:p w:rsidR="00B55477" w:rsidRDefault="00B55477" w:rsidP="00102926">
          <w:pPr>
            <w:keepNext/>
            <w:keepLines/>
            <w:tabs>
              <w:tab w:val="left" w:pos="-1440"/>
              <w:tab w:val="left" w:pos="-720"/>
            </w:tabs>
            <w:jc w:val="center"/>
            <w:rPr>
              <w:sz w:val="20"/>
              <w:szCs w:val="20"/>
            </w:rPr>
          </w:pPr>
        </w:p>
        <w:p w:rsidR="00B55477" w:rsidRPr="00782AE4" w:rsidRDefault="00B55477" w:rsidP="00102926">
          <w:pPr>
            <w:keepNext/>
            <w:keepLines/>
            <w:tabs>
              <w:tab w:val="left" w:pos="-1440"/>
              <w:tab w:val="left" w:pos="-720"/>
            </w:tabs>
            <w:jc w:val="center"/>
            <w:rPr>
              <w:sz w:val="20"/>
              <w:szCs w:val="20"/>
            </w:rPr>
          </w:pPr>
        </w:p>
      </w:tc>
      <w:tc>
        <w:tcPr>
          <w:tcW w:w="4080" w:type="dxa"/>
          <w:tcMar>
            <w:left w:w="0" w:type="dxa"/>
            <w:right w:w="0" w:type="dxa"/>
          </w:tcMar>
        </w:tcPr>
        <w:p w:rsidR="00B55477" w:rsidRPr="00102926" w:rsidRDefault="00B554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B55477" w:rsidRPr="00782AE4" w:rsidRDefault="00B55477" w:rsidP="00102926">
          <w:pPr>
            <w:keepLines/>
            <w:tabs>
              <w:tab w:val="left" w:pos="-1440"/>
              <w:tab w:val="left" w:pos="-720"/>
            </w:tabs>
            <w:rPr>
              <w:sz w:val="20"/>
              <w:szCs w:val="20"/>
            </w:rPr>
          </w:pPr>
          <w:r w:rsidRPr="00102926">
            <w:rPr>
              <w:sz w:val="20"/>
              <w:szCs w:val="20"/>
              <w:lang w:val="fr-CA"/>
            </w:rPr>
            <w:t>RÉCENTS</w:t>
          </w:r>
        </w:p>
      </w:tc>
    </w:tr>
  </w:tbl>
  <w:p w:rsidR="00B55477" w:rsidRDefault="00B55477"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477" w:rsidRDefault="00B55477">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477" w:rsidRDefault="00B554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477" w:rsidRDefault="00B554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B55477" w:rsidRPr="0044776A" w:rsidTr="00245129">
      <w:tc>
        <w:tcPr>
          <w:tcW w:w="4290" w:type="dxa"/>
          <w:tcMar>
            <w:left w:w="0" w:type="dxa"/>
            <w:right w:w="0" w:type="dxa"/>
          </w:tcMar>
        </w:tcPr>
        <w:p w:rsidR="00B55477" w:rsidRPr="0044776A" w:rsidRDefault="00B55477"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B55477" w:rsidRPr="0044776A" w:rsidRDefault="00B55477" w:rsidP="002E2327">
          <w:pPr>
            <w:keepNext/>
            <w:keepLines/>
            <w:tabs>
              <w:tab w:val="left" w:pos="-1440"/>
              <w:tab w:val="left" w:pos="-720"/>
            </w:tabs>
            <w:jc w:val="center"/>
            <w:rPr>
              <w:sz w:val="20"/>
              <w:szCs w:val="20"/>
            </w:rPr>
          </w:pPr>
        </w:p>
        <w:p w:rsidR="00B55477" w:rsidRPr="0044776A" w:rsidRDefault="00B55477" w:rsidP="002E2327">
          <w:pPr>
            <w:keepNext/>
            <w:keepLines/>
            <w:tabs>
              <w:tab w:val="left" w:pos="-1440"/>
              <w:tab w:val="left" w:pos="-720"/>
            </w:tabs>
            <w:jc w:val="center"/>
            <w:rPr>
              <w:sz w:val="20"/>
              <w:szCs w:val="20"/>
            </w:rPr>
          </w:pPr>
        </w:p>
        <w:p w:rsidR="00B55477" w:rsidRPr="0044776A" w:rsidRDefault="00B55477" w:rsidP="002E2327">
          <w:pPr>
            <w:keepNext/>
            <w:keepLines/>
            <w:tabs>
              <w:tab w:val="left" w:pos="-1440"/>
              <w:tab w:val="left" w:pos="-720"/>
            </w:tabs>
            <w:jc w:val="center"/>
            <w:rPr>
              <w:sz w:val="20"/>
              <w:szCs w:val="20"/>
            </w:rPr>
          </w:pPr>
        </w:p>
      </w:tc>
      <w:tc>
        <w:tcPr>
          <w:tcW w:w="4320" w:type="dxa"/>
          <w:tcMar>
            <w:left w:w="0" w:type="dxa"/>
            <w:right w:w="0" w:type="dxa"/>
          </w:tcMar>
        </w:tcPr>
        <w:p w:rsidR="00B55477" w:rsidRPr="0044776A" w:rsidRDefault="00B55477" w:rsidP="002E2327">
          <w:pPr>
            <w:keepLines/>
            <w:rPr>
              <w:sz w:val="20"/>
              <w:szCs w:val="20"/>
              <w:lang w:val="fr-CA"/>
            </w:rPr>
          </w:pPr>
          <w:r w:rsidRPr="0044776A">
            <w:rPr>
              <w:sz w:val="20"/>
              <w:szCs w:val="20"/>
              <w:lang w:val="fr-CA"/>
            </w:rPr>
            <w:t>DEMANDES D'AUTORISATION D'APPEL DÉPOSÉES</w:t>
          </w:r>
        </w:p>
      </w:tc>
    </w:tr>
  </w:tbl>
  <w:p w:rsidR="00B55477" w:rsidRDefault="00B5547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477" w:rsidRDefault="00B5547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55477" w:rsidRPr="00DA7379" w:rsidTr="00245129">
      <w:tc>
        <w:tcPr>
          <w:tcW w:w="4200" w:type="dxa"/>
          <w:tcMar>
            <w:left w:w="0" w:type="dxa"/>
            <w:right w:w="0" w:type="dxa"/>
          </w:tcMar>
        </w:tcPr>
        <w:p w:rsidR="00B55477" w:rsidRPr="0044776A" w:rsidRDefault="00B55477" w:rsidP="0044776A">
          <w:pPr>
            <w:keepNext/>
            <w:keepLines/>
            <w:widowControl w:val="0"/>
            <w:rPr>
              <w:sz w:val="20"/>
              <w:szCs w:val="20"/>
            </w:rPr>
          </w:pPr>
          <w:r>
            <w:rPr>
              <w:sz w:val="20"/>
              <w:szCs w:val="20"/>
            </w:rPr>
            <w:t>APPLICATIONS FOR LEAVE</w:t>
          </w:r>
        </w:p>
        <w:p w:rsidR="00B55477" w:rsidRPr="0044776A" w:rsidRDefault="00B55477"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B55477" w:rsidRPr="0044776A" w:rsidRDefault="00B55477" w:rsidP="0044776A">
          <w:pPr>
            <w:keepNext/>
            <w:keepLines/>
            <w:widowControl w:val="0"/>
            <w:jc w:val="center"/>
            <w:rPr>
              <w:sz w:val="20"/>
              <w:szCs w:val="20"/>
            </w:rPr>
          </w:pPr>
        </w:p>
        <w:p w:rsidR="00B55477" w:rsidRPr="0044776A" w:rsidRDefault="00B55477" w:rsidP="0044776A">
          <w:pPr>
            <w:keepNext/>
            <w:keepLines/>
            <w:widowControl w:val="0"/>
            <w:jc w:val="center"/>
            <w:rPr>
              <w:sz w:val="20"/>
              <w:szCs w:val="20"/>
            </w:rPr>
          </w:pPr>
        </w:p>
        <w:p w:rsidR="00B55477" w:rsidRPr="0044776A" w:rsidRDefault="00B55477" w:rsidP="0044776A">
          <w:pPr>
            <w:keepNext/>
            <w:keepLines/>
            <w:widowControl w:val="0"/>
            <w:jc w:val="center"/>
            <w:rPr>
              <w:sz w:val="20"/>
              <w:szCs w:val="20"/>
            </w:rPr>
          </w:pPr>
        </w:p>
      </w:tc>
      <w:tc>
        <w:tcPr>
          <w:tcW w:w="4080" w:type="dxa"/>
          <w:tcMar>
            <w:left w:w="0" w:type="dxa"/>
            <w:right w:w="0" w:type="dxa"/>
          </w:tcMar>
        </w:tcPr>
        <w:p w:rsidR="00B55477" w:rsidRPr="0044776A" w:rsidRDefault="00B55477" w:rsidP="0044776A">
          <w:pPr>
            <w:keepLines/>
            <w:widowControl w:val="0"/>
            <w:rPr>
              <w:sz w:val="20"/>
              <w:szCs w:val="20"/>
              <w:lang w:val="fr-CA"/>
            </w:rPr>
          </w:pPr>
          <w:r w:rsidRPr="0044776A">
            <w:rPr>
              <w:sz w:val="20"/>
              <w:szCs w:val="20"/>
              <w:lang w:val="fr-CA"/>
            </w:rPr>
            <w:t>DEMANDES SOUMISES À LA COUR DEPUIS LA DERNIÈRE PARUTION</w:t>
          </w:r>
        </w:p>
        <w:p w:rsidR="00B55477" w:rsidRPr="0044776A" w:rsidRDefault="00B55477" w:rsidP="0044776A">
          <w:pPr>
            <w:widowControl w:val="0"/>
            <w:rPr>
              <w:sz w:val="20"/>
              <w:szCs w:val="20"/>
              <w:lang w:val="fr-CA"/>
            </w:rPr>
          </w:pPr>
        </w:p>
      </w:tc>
    </w:tr>
  </w:tbl>
  <w:p w:rsidR="00B55477" w:rsidRPr="002E2327" w:rsidRDefault="00B55477">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477" w:rsidRDefault="00B5547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55477" w:rsidRPr="00DA7379">
      <w:tc>
        <w:tcPr>
          <w:tcW w:w="4200" w:type="dxa"/>
          <w:tcMar>
            <w:left w:w="0" w:type="dxa"/>
            <w:right w:w="0" w:type="dxa"/>
          </w:tcMar>
        </w:tcPr>
        <w:p w:rsidR="00B55477" w:rsidRDefault="00B554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B55477" w:rsidRDefault="00B554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B55477" w:rsidRDefault="00B5547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55477" w:rsidRPr="00FF6BA5" w:rsidRDefault="00B5547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B55477" w:rsidRPr="00FF6BA5" w:rsidRDefault="00B554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B55477" w:rsidRPr="00FF6BA5" w:rsidRDefault="00B554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B55477" w:rsidRPr="00FF6BA5" w:rsidRDefault="00B554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55477" w:rsidRPr="00DA7379" w:rsidTr="00245129">
      <w:tc>
        <w:tcPr>
          <w:tcW w:w="4200" w:type="dxa"/>
          <w:tcMar>
            <w:left w:w="0" w:type="dxa"/>
            <w:right w:w="0" w:type="dxa"/>
          </w:tcMar>
        </w:tcPr>
        <w:p w:rsidR="00B55477" w:rsidRPr="00755F22" w:rsidRDefault="00B554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B55477" w:rsidRPr="00755F22" w:rsidRDefault="00B554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B55477" w:rsidRPr="00755F22" w:rsidRDefault="00B5547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B55477" w:rsidRPr="00755F22" w:rsidRDefault="00B5547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B55477" w:rsidRPr="00755F22" w:rsidRDefault="00B5547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B55477" w:rsidRPr="00755F22" w:rsidRDefault="00B5547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B55477" w:rsidRPr="00FF6BA5" w:rsidRDefault="00B55477"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D1B0D"/>
    <w:multiLevelType w:val="hybridMultilevel"/>
    <w:tmpl w:val="D8966E66"/>
    <w:lvl w:ilvl="0" w:tplc="61206F56">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2D7810A6"/>
    <w:multiLevelType w:val="hybridMultilevel"/>
    <w:tmpl w:val="8CDEAD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84A7CD3"/>
    <w:multiLevelType w:val="hybridMultilevel"/>
    <w:tmpl w:val="06AA1504"/>
    <w:lvl w:ilvl="0" w:tplc="04090017">
      <w:start w:val="1"/>
      <w:numFmt w:val="lowerLetter"/>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B616305"/>
    <w:multiLevelType w:val="hybridMultilevel"/>
    <w:tmpl w:val="282805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54A024A"/>
    <w:multiLevelType w:val="hybridMultilevel"/>
    <w:tmpl w:val="E14E00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DC45A0A"/>
    <w:multiLevelType w:val="hybridMultilevel"/>
    <w:tmpl w:val="040E0728"/>
    <w:lvl w:ilvl="0" w:tplc="7C6CBDC0">
      <w:start w:val="1"/>
      <w:numFmt w:val="lowerLetter"/>
      <w:lvlText w:val="(%1)"/>
      <w:lvlJc w:val="left"/>
      <w:pPr>
        <w:ind w:left="2448" w:hanging="72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8" w15:restartNumberingAfterBreak="0">
    <w:nsid w:val="6F5900A4"/>
    <w:multiLevelType w:val="hybridMultilevel"/>
    <w:tmpl w:val="8CDEAD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6920FB1"/>
    <w:multiLevelType w:val="hybridMultilevel"/>
    <w:tmpl w:val="D8966E66"/>
    <w:lvl w:ilvl="0" w:tplc="61206F56">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4"/>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6"/>
  </w:num>
  <w:num w:numId="10">
    <w:abstractNumId w:val="1"/>
  </w:num>
  <w:num w:numId="11">
    <w:abstractNumId w:val="9"/>
  </w:num>
  <w:num w:numId="12">
    <w:abstractNumId w:val="0"/>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drawingGridHorizontalSpacing w:val="120"/>
  <w:displayHorizontalDrawingGridEvery w:val="2"/>
  <w:characterSpacingControl w:val="doNotCompress"/>
  <w:hdrShapeDefaults>
    <o:shapedefaults v:ext="edit" spidmax="69649"/>
  </w:hdrShapeDefaults>
  <w:footnotePr>
    <w:footnote w:id="-1"/>
    <w:footnote w:id="0"/>
  </w:footnotePr>
  <w:endnotePr>
    <w:endnote w:id="-1"/>
    <w:endnote w:id="0"/>
  </w:endnotePr>
  <w:compat>
    <w:compatSetting w:name="compatibilityMode" w:uri="http://schemas.microsoft.com/office/word" w:val="12"/>
  </w:compat>
  <w:rsids>
    <w:rsidRoot w:val="00F85833"/>
    <w:rsid w:val="00012EB9"/>
    <w:rsid w:val="000163CA"/>
    <w:rsid w:val="00020CE4"/>
    <w:rsid w:val="0003223B"/>
    <w:rsid w:val="000327B2"/>
    <w:rsid w:val="0004528B"/>
    <w:rsid w:val="00086E2F"/>
    <w:rsid w:val="00091FA6"/>
    <w:rsid w:val="00096BD9"/>
    <w:rsid w:val="000B3C9A"/>
    <w:rsid w:val="000B40A2"/>
    <w:rsid w:val="000B4624"/>
    <w:rsid w:val="000C0ACD"/>
    <w:rsid w:val="000C0D2A"/>
    <w:rsid w:val="000C5CE8"/>
    <w:rsid w:val="000E2959"/>
    <w:rsid w:val="000F0B60"/>
    <w:rsid w:val="00102926"/>
    <w:rsid w:val="0010587F"/>
    <w:rsid w:val="00111C6B"/>
    <w:rsid w:val="0012102B"/>
    <w:rsid w:val="0013369E"/>
    <w:rsid w:val="00144C30"/>
    <w:rsid w:val="00164E6D"/>
    <w:rsid w:val="0017301E"/>
    <w:rsid w:val="00183454"/>
    <w:rsid w:val="00185470"/>
    <w:rsid w:val="001A7AC8"/>
    <w:rsid w:val="001B1027"/>
    <w:rsid w:val="001B157C"/>
    <w:rsid w:val="001B4006"/>
    <w:rsid w:val="001B5C23"/>
    <w:rsid w:val="001D0D5F"/>
    <w:rsid w:val="001D6B8C"/>
    <w:rsid w:val="001F1F83"/>
    <w:rsid w:val="001F40DF"/>
    <w:rsid w:val="002021A9"/>
    <w:rsid w:val="002139A7"/>
    <w:rsid w:val="00215F7C"/>
    <w:rsid w:val="0022323B"/>
    <w:rsid w:val="002245C6"/>
    <w:rsid w:val="002410B8"/>
    <w:rsid w:val="00242AEE"/>
    <w:rsid w:val="00245129"/>
    <w:rsid w:val="00245879"/>
    <w:rsid w:val="002656C4"/>
    <w:rsid w:val="00267FD5"/>
    <w:rsid w:val="00274132"/>
    <w:rsid w:val="00274D34"/>
    <w:rsid w:val="00283ED8"/>
    <w:rsid w:val="002868D0"/>
    <w:rsid w:val="002A008C"/>
    <w:rsid w:val="002A27D1"/>
    <w:rsid w:val="002A4AFA"/>
    <w:rsid w:val="002B087B"/>
    <w:rsid w:val="002B516C"/>
    <w:rsid w:val="002B5709"/>
    <w:rsid w:val="002D72EB"/>
    <w:rsid w:val="002E2327"/>
    <w:rsid w:val="002E3583"/>
    <w:rsid w:val="002E5576"/>
    <w:rsid w:val="002F53FD"/>
    <w:rsid w:val="00331B52"/>
    <w:rsid w:val="003359D3"/>
    <w:rsid w:val="00350F44"/>
    <w:rsid w:val="00355967"/>
    <w:rsid w:val="00376E87"/>
    <w:rsid w:val="00382C47"/>
    <w:rsid w:val="00384384"/>
    <w:rsid w:val="003866AE"/>
    <w:rsid w:val="003B3977"/>
    <w:rsid w:val="003C4A3F"/>
    <w:rsid w:val="003D0C01"/>
    <w:rsid w:val="003E1D4C"/>
    <w:rsid w:val="004137A0"/>
    <w:rsid w:val="00422D9A"/>
    <w:rsid w:val="00432989"/>
    <w:rsid w:val="00440E24"/>
    <w:rsid w:val="004450A2"/>
    <w:rsid w:val="0044776A"/>
    <w:rsid w:val="00460AFC"/>
    <w:rsid w:val="0047471F"/>
    <w:rsid w:val="004A1E2B"/>
    <w:rsid w:val="004B195E"/>
    <w:rsid w:val="004B66B4"/>
    <w:rsid w:val="004B7F60"/>
    <w:rsid w:val="004C1AAC"/>
    <w:rsid w:val="004E1E0A"/>
    <w:rsid w:val="004F090E"/>
    <w:rsid w:val="005009A6"/>
    <w:rsid w:val="00501F3C"/>
    <w:rsid w:val="00504DB4"/>
    <w:rsid w:val="0052229C"/>
    <w:rsid w:val="00527CC7"/>
    <w:rsid w:val="00571CA4"/>
    <w:rsid w:val="00582136"/>
    <w:rsid w:val="005C6840"/>
    <w:rsid w:val="005F1ED8"/>
    <w:rsid w:val="005F263E"/>
    <w:rsid w:val="00600252"/>
    <w:rsid w:val="00612A40"/>
    <w:rsid w:val="00620FF8"/>
    <w:rsid w:val="0062714A"/>
    <w:rsid w:val="00675479"/>
    <w:rsid w:val="00680709"/>
    <w:rsid w:val="00681DD7"/>
    <w:rsid w:val="006925EC"/>
    <w:rsid w:val="00696BF9"/>
    <w:rsid w:val="00697C62"/>
    <w:rsid w:val="006A329B"/>
    <w:rsid w:val="006A7EB8"/>
    <w:rsid w:val="006B6926"/>
    <w:rsid w:val="006C3F47"/>
    <w:rsid w:val="006C5F7A"/>
    <w:rsid w:val="006C71BB"/>
    <w:rsid w:val="006D77C0"/>
    <w:rsid w:val="006E06AF"/>
    <w:rsid w:val="006F350F"/>
    <w:rsid w:val="00726999"/>
    <w:rsid w:val="00732DB7"/>
    <w:rsid w:val="0074238B"/>
    <w:rsid w:val="00745EF7"/>
    <w:rsid w:val="00755F22"/>
    <w:rsid w:val="007606CB"/>
    <w:rsid w:val="00766E4A"/>
    <w:rsid w:val="007732B1"/>
    <w:rsid w:val="007753CE"/>
    <w:rsid w:val="007820CE"/>
    <w:rsid w:val="00782AE4"/>
    <w:rsid w:val="00795A83"/>
    <w:rsid w:val="0079724F"/>
    <w:rsid w:val="007A3EAE"/>
    <w:rsid w:val="007C04FC"/>
    <w:rsid w:val="007C47C2"/>
    <w:rsid w:val="007D3E0F"/>
    <w:rsid w:val="007E4282"/>
    <w:rsid w:val="007F387B"/>
    <w:rsid w:val="00802863"/>
    <w:rsid w:val="008112A9"/>
    <w:rsid w:val="00815B3C"/>
    <w:rsid w:val="0081610A"/>
    <w:rsid w:val="0082783A"/>
    <w:rsid w:val="00831CA9"/>
    <w:rsid w:val="00834E7B"/>
    <w:rsid w:val="00850E1F"/>
    <w:rsid w:val="0085476B"/>
    <w:rsid w:val="0086340B"/>
    <w:rsid w:val="008802EB"/>
    <w:rsid w:val="00890FEB"/>
    <w:rsid w:val="008927CA"/>
    <w:rsid w:val="00895E7E"/>
    <w:rsid w:val="008A5C1A"/>
    <w:rsid w:val="008A7E93"/>
    <w:rsid w:val="008B4AF6"/>
    <w:rsid w:val="008C1621"/>
    <w:rsid w:val="008D292F"/>
    <w:rsid w:val="008E03DC"/>
    <w:rsid w:val="008E7B8C"/>
    <w:rsid w:val="00902E51"/>
    <w:rsid w:val="00924065"/>
    <w:rsid w:val="00930D68"/>
    <w:rsid w:val="00932DB4"/>
    <w:rsid w:val="00941A4B"/>
    <w:rsid w:val="00946242"/>
    <w:rsid w:val="0095096B"/>
    <w:rsid w:val="00970CD3"/>
    <w:rsid w:val="009723FA"/>
    <w:rsid w:val="009839AB"/>
    <w:rsid w:val="00984546"/>
    <w:rsid w:val="00996510"/>
    <w:rsid w:val="009A0405"/>
    <w:rsid w:val="009D1F15"/>
    <w:rsid w:val="009D555E"/>
    <w:rsid w:val="009F3024"/>
    <w:rsid w:val="00A021BA"/>
    <w:rsid w:val="00A0355E"/>
    <w:rsid w:val="00A35845"/>
    <w:rsid w:val="00A375D1"/>
    <w:rsid w:val="00A51D10"/>
    <w:rsid w:val="00A52631"/>
    <w:rsid w:val="00A52A83"/>
    <w:rsid w:val="00A6552C"/>
    <w:rsid w:val="00A87207"/>
    <w:rsid w:val="00A935AA"/>
    <w:rsid w:val="00A956D3"/>
    <w:rsid w:val="00AB2201"/>
    <w:rsid w:val="00AB4E4F"/>
    <w:rsid w:val="00AB5190"/>
    <w:rsid w:val="00AD1D34"/>
    <w:rsid w:val="00AD3259"/>
    <w:rsid w:val="00AE41EE"/>
    <w:rsid w:val="00AF1715"/>
    <w:rsid w:val="00AF3904"/>
    <w:rsid w:val="00B010C0"/>
    <w:rsid w:val="00B01280"/>
    <w:rsid w:val="00B05869"/>
    <w:rsid w:val="00B14976"/>
    <w:rsid w:val="00B4740D"/>
    <w:rsid w:val="00B54C39"/>
    <w:rsid w:val="00B55477"/>
    <w:rsid w:val="00B61629"/>
    <w:rsid w:val="00B645CD"/>
    <w:rsid w:val="00B7374B"/>
    <w:rsid w:val="00B8316E"/>
    <w:rsid w:val="00B90DC0"/>
    <w:rsid w:val="00BA116A"/>
    <w:rsid w:val="00BA5582"/>
    <w:rsid w:val="00BA6468"/>
    <w:rsid w:val="00BB1D44"/>
    <w:rsid w:val="00BD06DA"/>
    <w:rsid w:val="00BD4217"/>
    <w:rsid w:val="00BF25F3"/>
    <w:rsid w:val="00C14E98"/>
    <w:rsid w:val="00C1697B"/>
    <w:rsid w:val="00C21644"/>
    <w:rsid w:val="00C21CB5"/>
    <w:rsid w:val="00C27AC4"/>
    <w:rsid w:val="00C46376"/>
    <w:rsid w:val="00C50A5C"/>
    <w:rsid w:val="00C50FDF"/>
    <w:rsid w:val="00C63381"/>
    <w:rsid w:val="00C73D06"/>
    <w:rsid w:val="00C73E1B"/>
    <w:rsid w:val="00C759B4"/>
    <w:rsid w:val="00C77713"/>
    <w:rsid w:val="00C85BB7"/>
    <w:rsid w:val="00C87F01"/>
    <w:rsid w:val="00C910FF"/>
    <w:rsid w:val="00CA2DEA"/>
    <w:rsid w:val="00CA55F9"/>
    <w:rsid w:val="00CB3520"/>
    <w:rsid w:val="00CB43D5"/>
    <w:rsid w:val="00CC4D84"/>
    <w:rsid w:val="00CD5199"/>
    <w:rsid w:val="00CE198A"/>
    <w:rsid w:val="00CF08C8"/>
    <w:rsid w:val="00D004FC"/>
    <w:rsid w:val="00D01417"/>
    <w:rsid w:val="00D06934"/>
    <w:rsid w:val="00D25A37"/>
    <w:rsid w:val="00D43EF2"/>
    <w:rsid w:val="00D54A7B"/>
    <w:rsid w:val="00D64901"/>
    <w:rsid w:val="00D6745F"/>
    <w:rsid w:val="00D76BDF"/>
    <w:rsid w:val="00D862C1"/>
    <w:rsid w:val="00D93B50"/>
    <w:rsid w:val="00D94028"/>
    <w:rsid w:val="00D94670"/>
    <w:rsid w:val="00DA46F6"/>
    <w:rsid w:val="00DA7379"/>
    <w:rsid w:val="00DD0B49"/>
    <w:rsid w:val="00DE0502"/>
    <w:rsid w:val="00DE349D"/>
    <w:rsid w:val="00E06DFA"/>
    <w:rsid w:val="00E10C69"/>
    <w:rsid w:val="00E170E3"/>
    <w:rsid w:val="00E20A0A"/>
    <w:rsid w:val="00E240C2"/>
    <w:rsid w:val="00E3007E"/>
    <w:rsid w:val="00E356C7"/>
    <w:rsid w:val="00E41A5A"/>
    <w:rsid w:val="00E45FE4"/>
    <w:rsid w:val="00E64FA7"/>
    <w:rsid w:val="00E770CB"/>
    <w:rsid w:val="00E820FB"/>
    <w:rsid w:val="00E903A1"/>
    <w:rsid w:val="00E940EB"/>
    <w:rsid w:val="00E9703F"/>
    <w:rsid w:val="00EB2B90"/>
    <w:rsid w:val="00EC2E4E"/>
    <w:rsid w:val="00ED7E83"/>
    <w:rsid w:val="00EE091F"/>
    <w:rsid w:val="00EE3A32"/>
    <w:rsid w:val="00EF4B63"/>
    <w:rsid w:val="00F0068D"/>
    <w:rsid w:val="00F0576D"/>
    <w:rsid w:val="00F14E6D"/>
    <w:rsid w:val="00F15EA8"/>
    <w:rsid w:val="00F16C8D"/>
    <w:rsid w:val="00F26C61"/>
    <w:rsid w:val="00F33CCE"/>
    <w:rsid w:val="00F40249"/>
    <w:rsid w:val="00F43C59"/>
    <w:rsid w:val="00F51D88"/>
    <w:rsid w:val="00F526C8"/>
    <w:rsid w:val="00F677DC"/>
    <w:rsid w:val="00F761A3"/>
    <w:rsid w:val="00F85833"/>
    <w:rsid w:val="00F914F5"/>
    <w:rsid w:val="00F9272D"/>
    <w:rsid w:val="00F9518C"/>
    <w:rsid w:val="00FA316E"/>
    <w:rsid w:val="00FA59EF"/>
    <w:rsid w:val="00FB19A2"/>
    <w:rsid w:val="00FE1746"/>
    <w:rsid w:val="00FF1BD6"/>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9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C14E98"/>
    <w:pPr>
      <w:jc w:val="center"/>
    </w:pPr>
    <w:rPr>
      <w:b/>
      <w:szCs w:val="24"/>
    </w:rPr>
  </w:style>
  <w:style w:type="character" w:customStyle="1" w:styleId="SCCLsocPartyChar">
    <w:name w:val="SCC.Lsoc.Party Char"/>
    <w:basedOn w:val="DefaultParagraphFont"/>
    <w:link w:val="SCCLsocParty"/>
    <w:rsid w:val="00C14E98"/>
    <w:rPr>
      <w:b/>
      <w:szCs w:val="24"/>
      <w:lang w:val="en-CA"/>
    </w:rPr>
  </w:style>
  <w:style w:type="table" w:customStyle="1" w:styleId="TableGrid2">
    <w:name w:val="Table Grid2"/>
    <w:basedOn w:val="TableNormal"/>
    <w:next w:val="TableGrid"/>
    <w:uiPriority w:val="59"/>
    <w:rsid w:val="00A35845"/>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AB4E4F"/>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834E7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834E7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834E7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834E7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834E7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834E7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834E7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834E7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834E7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fbbfee58">
    <w:name w:val="sfbbfee58"/>
    <w:basedOn w:val="DefaultParagraphFont"/>
    <w:rsid w:val="008927CA"/>
  </w:style>
  <w:style w:type="character" w:customStyle="1" w:styleId="s1a844bc0">
    <w:name w:val="s1a844bc0"/>
    <w:basedOn w:val="DefaultParagraphFont"/>
    <w:rsid w:val="00892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nlii.org/en/on/onca/doc/2014/2014onca216/2014onca216.html" TargetMode="External"/><Relationship Id="rId21" Type="http://schemas.openxmlformats.org/officeDocument/2006/relationships/header" Target="header6.xml"/><Relationship Id="rId34" Type="http://schemas.openxmlformats.org/officeDocument/2006/relationships/hyperlink" Target="http://www.canlii.org/en/ab/abca/doc/2014/2014abca85/2014abca85.html" TargetMode="External"/><Relationship Id="rId42" Type="http://schemas.openxmlformats.org/officeDocument/2006/relationships/hyperlink" Target="http://www.canlii.org/en/ns/nssc/doc/2013/2013nssc85/2013nssc85.html" TargetMode="External"/><Relationship Id="rId47" Type="http://schemas.openxmlformats.org/officeDocument/2006/relationships/hyperlink" Target="http://canlii.ca/t/g6pg1" TargetMode="External"/><Relationship Id="rId50" Type="http://schemas.openxmlformats.org/officeDocument/2006/relationships/hyperlink" Target="http://canlii.ca/t/g6pg1" TargetMode="External"/><Relationship Id="rId55" Type="http://schemas.openxmlformats.org/officeDocument/2006/relationships/footer" Target="footer8.xml"/><Relationship Id="rId63" Type="http://schemas.openxmlformats.org/officeDocument/2006/relationships/header" Target="header13.xml"/><Relationship Id="rId68" Type="http://schemas.openxmlformats.org/officeDocument/2006/relationships/footer" Target="footer15.xml"/><Relationship Id="rId76" Type="http://schemas.openxmlformats.org/officeDocument/2006/relationships/header" Target="header18.xml"/><Relationship Id="rId84" Type="http://schemas.openxmlformats.org/officeDocument/2006/relationships/footer" Target="footer21.xml"/><Relationship Id="rId89" Type="http://schemas.openxmlformats.org/officeDocument/2006/relationships/header" Target="header23.xm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scc-csc.ca/case-dossier/info/sum-som-eng.aspx?cas=35475" TargetMode="External"/><Relationship Id="rId92" Type="http://schemas.openxmlformats.org/officeDocument/2006/relationships/footer" Target="footer24.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canlii.ca/t/g66ht" TargetMode="Externa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yperlink" Target="http://www.canlii.org/fr/qc/qcca/doc/2014/2014qcca865/2014qcca865.html" TargetMode="External"/><Relationship Id="rId37" Type="http://schemas.openxmlformats.org/officeDocument/2006/relationships/hyperlink" Target="http://www.canlii.org/en/nb/nbca/doc/2013/2013nbca35/2013nbca35.html" TargetMode="External"/><Relationship Id="rId40" Type="http://schemas.openxmlformats.org/officeDocument/2006/relationships/hyperlink" Target="http://www.canlii.org/en/ns/nssc/doc/2013/2013nssc85/2013nssc85.html" TargetMode="External"/><Relationship Id="rId45" Type="http://schemas.openxmlformats.org/officeDocument/2006/relationships/hyperlink" Target="http://canlii.ca/t/fvm3z" TargetMode="External"/><Relationship Id="rId53" Type="http://schemas.openxmlformats.org/officeDocument/2006/relationships/header" Target="header8.xml"/><Relationship Id="rId58" Type="http://schemas.openxmlformats.org/officeDocument/2006/relationships/footer" Target="footer10.xml"/><Relationship Id="rId66" Type="http://schemas.openxmlformats.org/officeDocument/2006/relationships/header" Target="header15.xml"/><Relationship Id="rId74" Type="http://schemas.openxmlformats.org/officeDocument/2006/relationships/hyperlink" Target="http://www.scc-csc.ca/case-dossier/info/sum-som-eng.aspx?cas=35518" TargetMode="External"/><Relationship Id="rId79" Type="http://schemas.openxmlformats.org/officeDocument/2006/relationships/header" Target="header19.xml"/><Relationship Id="rId87" Type="http://schemas.openxmlformats.org/officeDocument/2006/relationships/hyperlink" Target="http://www.scc-csc.ca/case-dossier/info/sum-som-eng.aspx?cas=35364" TargetMode="External"/><Relationship Id="rId5" Type="http://schemas.openxmlformats.org/officeDocument/2006/relationships/webSettings" Target="webSettings.xml"/><Relationship Id="rId61" Type="http://schemas.openxmlformats.org/officeDocument/2006/relationships/footer" Target="footer11.xml"/><Relationship Id="rId82" Type="http://schemas.openxmlformats.org/officeDocument/2006/relationships/header" Target="header21.xml"/><Relationship Id="rId90" Type="http://schemas.openxmlformats.org/officeDocument/2006/relationships/header" Target="header24.xml"/><Relationship Id="rId95" Type="http://schemas.openxmlformats.org/officeDocument/2006/relationships/header" Target="header26.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www.canlii.org/en/on/onsc/doc/2013/2013onsc5940/2013onsc5940.html" TargetMode="External"/><Relationship Id="rId30" Type="http://schemas.openxmlformats.org/officeDocument/2006/relationships/hyperlink" Target="http://canlii.ca/t/g66ht" TargetMode="External"/><Relationship Id="rId35" Type="http://schemas.openxmlformats.org/officeDocument/2006/relationships/hyperlink" Target="http://www.canlii.org/en/nb/nbca/doc/2013/2013nbca35/2013nbca35.html" TargetMode="External"/><Relationship Id="rId43" Type="http://schemas.openxmlformats.org/officeDocument/2006/relationships/hyperlink" Target="http://www.canlii.org/en/ns/nssc/doc/2013/2013nssc85/2013nssc85.html" TargetMode="External"/><Relationship Id="rId48" Type="http://schemas.openxmlformats.org/officeDocument/2006/relationships/hyperlink" Target="http://canlii.ca/t/fvm3z" TargetMode="External"/><Relationship Id="rId56" Type="http://schemas.openxmlformats.org/officeDocument/2006/relationships/footer" Target="footer9.xml"/><Relationship Id="rId64" Type="http://schemas.openxmlformats.org/officeDocument/2006/relationships/footer" Target="footer13.xml"/><Relationship Id="rId69" Type="http://schemas.openxmlformats.org/officeDocument/2006/relationships/header" Target="header16.xml"/><Relationship Id="rId77" Type="http://schemas.openxmlformats.org/officeDocument/2006/relationships/footer" Target="footer17.xml"/><Relationship Id="rId8" Type="http://schemas.openxmlformats.org/officeDocument/2006/relationships/image" Target="media/image1.wmf"/><Relationship Id="rId51" Type="http://schemas.openxmlformats.org/officeDocument/2006/relationships/hyperlink" Target="http://canlii.ca/t/g6vl6" TargetMode="External"/><Relationship Id="rId72" Type="http://schemas.openxmlformats.org/officeDocument/2006/relationships/hyperlink" Target="http://www.scc-csc.ca/case-dossier/info/sum-som-eng.aspx?cas=35492" TargetMode="External"/><Relationship Id="rId80" Type="http://schemas.openxmlformats.org/officeDocument/2006/relationships/footer" Target="footer19.xml"/><Relationship Id="rId85" Type="http://schemas.openxmlformats.org/officeDocument/2006/relationships/header" Target="header22.xml"/><Relationship Id="rId93" Type="http://schemas.openxmlformats.org/officeDocument/2006/relationships/header" Target="header25.xm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canlii.org/en/on/onsc/doc/2013/2013onsc5940/2013onsc5940.html" TargetMode="External"/><Relationship Id="rId33" Type="http://schemas.openxmlformats.org/officeDocument/2006/relationships/hyperlink" Target="http://www.canlii.org/en/ab/abca/doc/2014/2014abca85/2014abca85.html" TargetMode="External"/><Relationship Id="rId38" Type="http://schemas.openxmlformats.org/officeDocument/2006/relationships/hyperlink" Target="http://www.canlii.org/en/nb/nbca/doc/2014/2014nbca20/2014nbca20.html" TargetMode="External"/><Relationship Id="rId46" Type="http://schemas.openxmlformats.org/officeDocument/2006/relationships/hyperlink" Target="http://canlii.ca/t/fw14n" TargetMode="External"/><Relationship Id="rId59" Type="http://schemas.openxmlformats.org/officeDocument/2006/relationships/header" Target="header11.xml"/><Relationship Id="rId67" Type="http://schemas.openxmlformats.org/officeDocument/2006/relationships/footer" Target="footer14.xml"/><Relationship Id="rId20" Type="http://schemas.openxmlformats.org/officeDocument/2006/relationships/footer" Target="footer5.xml"/><Relationship Id="rId41" Type="http://schemas.openxmlformats.org/officeDocument/2006/relationships/hyperlink" Target="http://www.canlii.org/en/ns/nsca/doc/2014/2014nsca39/2014nsca39.html" TargetMode="External"/><Relationship Id="rId54" Type="http://schemas.openxmlformats.org/officeDocument/2006/relationships/header" Target="header9.xml"/><Relationship Id="rId62" Type="http://schemas.openxmlformats.org/officeDocument/2006/relationships/footer" Target="footer12.xml"/><Relationship Id="rId70" Type="http://schemas.openxmlformats.org/officeDocument/2006/relationships/footer" Target="footer16.xml"/><Relationship Id="rId75" Type="http://schemas.openxmlformats.org/officeDocument/2006/relationships/header" Target="header17.xml"/><Relationship Id="rId83" Type="http://schemas.openxmlformats.org/officeDocument/2006/relationships/footer" Target="footer20.xml"/><Relationship Id="rId88" Type="http://schemas.openxmlformats.org/officeDocument/2006/relationships/hyperlink" Target="http://www.scc-csc.ca/case-dossier/info/sum-som-eng.aspx?cas=35034" TargetMode="External"/><Relationship Id="rId91" Type="http://schemas.openxmlformats.org/officeDocument/2006/relationships/footer" Target="footer23.xml"/><Relationship Id="rId96" Type="http://schemas.openxmlformats.org/officeDocument/2006/relationships/footer" Target="footer2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www.canlii.org/en/on/onca/doc/2014/2014onca216/2014onca216.html" TargetMode="External"/><Relationship Id="rId36" Type="http://schemas.openxmlformats.org/officeDocument/2006/relationships/hyperlink" Target="http://www.canlii.org/en/nb/nbca/doc/2014/2014nbca20/2014nbca20.html" TargetMode="External"/><Relationship Id="rId49" Type="http://schemas.openxmlformats.org/officeDocument/2006/relationships/hyperlink" Target="http://canlii.ca/t/fw14n" TargetMode="External"/><Relationship Id="rId57" Type="http://schemas.openxmlformats.org/officeDocument/2006/relationships/header" Target="header10.xml"/><Relationship Id="rId10" Type="http://schemas.openxmlformats.org/officeDocument/2006/relationships/hyperlink" Target="http://www.scc-csc.ca" TargetMode="External"/><Relationship Id="rId31" Type="http://schemas.openxmlformats.org/officeDocument/2006/relationships/hyperlink" Target="http://www.canlii.org/fr/qc/qccq/doc/2013/2013qccq3014/2013qccq3014.html" TargetMode="External"/><Relationship Id="rId44" Type="http://schemas.openxmlformats.org/officeDocument/2006/relationships/hyperlink" Target="http://www.canlii.org/en/ns/nsca/doc/2014/2014nsca39/2014nsca39.html" TargetMode="External"/><Relationship Id="rId52" Type="http://schemas.openxmlformats.org/officeDocument/2006/relationships/hyperlink" Target="http://canlii.ca/t/g6vl6" TargetMode="External"/><Relationship Id="rId60" Type="http://schemas.openxmlformats.org/officeDocument/2006/relationships/header" Target="header12.xml"/><Relationship Id="rId65" Type="http://schemas.openxmlformats.org/officeDocument/2006/relationships/header" Target="header14.xml"/><Relationship Id="rId73" Type="http://schemas.openxmlformats.org/officeDocument/2006/relationships/hyperlink" Target="http://www.scc-csc.ca/case-dossier/info/sum-som-fra.aspx?cas=35448" TargetMode="External"/><Relationship Id="rId78" Type="http://schemas.openxmlformats.org/officeDocument/2006/relationships/footer" Target="footer18.xml"/><Relationship Id="rId81" Type="http://schemas.openxmlformats.org/officeDocument/2006/relationships/header" Target="header20.xml"/><Relationship Id="rId86" Type="http://schemas.openxmlformats.org/officeDocument/2006/relationships/footer" Target="footer22.xml"/><Relationship Id="rId94" Type="http://schemas.openxmlformats.org/officeDocument/2006/relationships/footer" Target="footer25.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yperlink" Target="http://www.canlii.org/en/ns/nssc/doc/2013/2013nssc85/2013nssc8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C2DFA-5CCC-484D-9CAC-51133BEF1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28051</Words>
  <Characters>159896</Characters>
  <Application>Microsoft Office Word</Application>
  <DocSecurity>0</DocSecurity>
  <Lines>1332</Lines>
  <Paragraphs>375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2014-10-06T15:15:00Z</dcterms:created>
  <dcterms:modified xsi:type="dcterms:W3CDTF">2015-11-30T15:06:00Z</dcterms:modified>
</cp:coreProperties>
</file>