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4461B"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446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4461B"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4461B"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4461B" w:rsidTr="002E5576">
        <w:tc>
          <w:tcPr>
            <w:tcW w:w="4518" w:type="dxa"/>
          </w:tcPr>
          <w:p w:rsidR="00BF25F3" w:rsidRPr="002E2327" w:rsidRDefault="00680749"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680749"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4461B"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4461B"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E4461B">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E4461B">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DF3651" w:rsidP="00F0068D">
      <w:pPr>
        <w:pBdr>
          <w:bottom w:val="single" w:sz="6" w:space="1" w:color="auto"/>
        </w:pBdr>
        <w:tabs>
          <w:tab w:val="center" w:pos="4680"/>
          <w:tab w:val="right" w:pos="9360"/>
        </w:tabs>
        <w:rPr>
          <w:lang w:val="fr-CA"/>
        </w:rPr>
      </w:pPr>
      <w:r>
        <w:rPr>
          <w:lang w:val="fr-CA"/>
        </w:rPr>
        <w:t>Decembe</w:t>
      </w:r>
      <w:r w:rsidR="00C73D06">
        <w:rPr>
          <w:lang w:val="fr-CA"/>
        </w:rPr>
        <w:t>r</w:t>
      </w:r>
      <w:r w:rsidR="00440E24" w:rsidRPr="00675479">
        <w:rPr>
          <w:lang w:val="fr-CA"/>
        </w:rPr>
        <w:t xml:space="preserve"> </w:t>
      </w:r>
      <w:r>
        <w:rPr>
          <w:lang w:val="fr-CA"/>
        </w:rPr>
        <w:t>12</w:t>
      </w:r>
      <w:r w:rsidR="00440E24" w:rsidRPr="00675479">
        <w:rPr>
          <w:lang w:val="fr-CA"/>
        </w:rPr>
        <w:t>, 201</w:t>
      </w:r>
      <w:r w:rsidR="00501F3C">
        <w:rPr>
          <w:lang w:val="fr-CA"/>
        </w:rPr>
        <w:t>4</w:t>
      </w:r>
      <w:r w:rsidR="00F0068D" w:rsidRPr="00675479">
        <w:rPr>
          <w:lang w:val="fr-CA"/>
        </w:rPr>
        <w:tab/>
        <w:t>1</w:t>
      </w:r>
      <w:r>
        <w:rPr>
          <w:lang w:val="fr-CA"/>
        </w:rPr>
        <w:t>970</w:t>
      </w:r>
      <w:r w:rsidR="00F0068D" w:rsidRPr="00675479">
        <w:rPr>
          <w:lang w:val="fr-CA"/>
        </w:rPr>
        <w:t xml:space="preserve"> - </w:t>
      </w:r>
      <w:r w:rsidR="00EE06EA">
        <w:rPr>
          <w:lang w:val="fr-CA"/>
        </w:rPr>
        <w:t>2022</w:t>
      </w:r>
      <w:r w:rsidR="00440E24" w:rsidRPr="00675479">
        <w:rPr>
          <w:lang w:val="fr-CA"/>
        </w:rPr>
        <w:tab/>
      </w:r>
      <w:r w:rsidR="00440E24" w:rsidRPr="002E2327">
        <w:rPr>
          <w:lang w:val="fr-CA"/>
        </w:rPr>
        <w:t>Le</w:t>
      </w:r>
      <w:r w:rsidR="00C73D06">
        <w:rPr>
          <w:lang w:val="fr-CA"/>
        </w:rPr>
        <w:t xml:space="preserve"> </w:t>
      </w:r>
      <w:r>
        <w:rPr>
          <w:lang w:val="fr-CA"/>
        </w:rPr>
        <w:t>12 déc</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091A3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2539A3">
            <w:pPr>
              <w:tabs>
                <w:tab w:val="right" w:pos="9360"/>
              </w:tabs>
              <w:rPr>
                <w:rFonts w:cs="Times New Roman"/>
                <w:sz w:val="20"/>
                <w:szCs w:val="20"/>
              </w:rPr>
            </w:pPr>
          </w:p>
        </w:tc>
        <w:tc>
          <w:tcPr>
            <w:tcW w:w="1980" w:type="dxa"/>
          </w:tcPr>
          <w:p w:rsidR="0095096B" w:rsidRPr="002E2327" w:rsidRDefault="00DF3651" w:rsidP="0095096B">
            <w:pPr>
              <w:jc w:val="center"/>
              <w:rPr>
                <w:rFonts w:cs="Times New Roman"/>
                <w:sz w:val="20"/>
                <w:szCs w:val="20"/>
              </w:rPr>
            </w:pPr>
            <w:r>
              <w:rPr>
                <w:rFonts w:cs="Times New Roman"/>
                <w:sz w:val="20"/>
                <w:szCs w:val="20"/>
              </w:rPr>
              <w:t>1970</w:t>
            </w:r>
            <w:r w:rsidR="00680749" w:rsidRPr="002E2327">
              <w:rPr>
                <w:rFonts w:cs="Times New Roman"/>
                <w:sz w:val="20"/>
                <w:szCs w:val="20"/>
              </w:rPr>
              <w:fldChar w:fldCharType="begin"/>
            </w:r>
            <w:r w:rsidR="0095096B" w:rsidRPr="002E2327">
              <w:rPr>
                <w:rFonts w:cs="Times New Roman"/>
                <w:sz w:val="20"/>
                <w:szCs w:val="20"/>
              </w:rPr>
              <w:instrText xml:space="preserve"> SEQ CHAPTER \h \r 1</w:instrText>
            </w:r>
            <w:r w:rsidR="00680749"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0578B4" w:rsidP="0095096B">
            <w:pPr>
              <w:jc w:val="center"/>
              <w:rPr>
                <w:rFonts w:cs="Times New Roman"/>
                <w:sz w:val="20"/>
                <w:szCs w:val="20"/>
              </w:rPr>
            </w:pPr>
            <w:r>
              <w:rPr>
                <w:rFonts w:cs="Times New Roman"/>
                <w:sz w:val="20"/>
                <w:szCs w:val="20"/>
              </w:rPr>
              <w:t>1971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539A3" w:rsidP="0095096B">
            <w:pPr>
              <w:jc w:val="center"/>
              <w:rPr>
                <w:rFonts w:cs="Times New Roman"/>
                <w:sz w:val="20"/>
                <w:szCs w:val="20"/>
              </w:rPr>
            </w:pPr>
            <w:r>
              <w:rPr>
                <w:rFonts w:cs="Times New Roman"/>
                <w:sz w:val="20"/>
                <w:szCs w:val="20"/>
              </w:rPr>
              <w:t xml:space="preserve">1972 </w:t>
            </w:r>
            <w:r w:rsidR="0095096B" w:rsidRPr="002E2327">
              <w:rPr>
                <w:rFonts w:cs="Times New Roman"/>
                <w:sz w:val="20"/>
                <w:szCs w:val="20"/>
              </w:rPr>
              <w:t>-</w:t>
            </w:r>
            <w:r w:rsidR="00EE06EA">
              <w:rPr>
                <w:rFonts w:cs="Times New Roman"/>
                <w:sz w:val="20"/>
                <w:szCs w:val="20"/>
              </w:rPr>
              <w:t xml:space="preserve"> 2003</w:t>
            </w:r>
          </w:p>
          <w:p w:rsidR="0095096B" w:rsidRDefault="0095096B" w:rsidP="0095096B">
            <w:pPr>
              <w:jc w:val="center"/>
              <w:rPr>
                <w:rFonts w:cs="Times New Roman"/>
                <w:sz w:val="20"/>
                <w:szCs w:val="20"/>
              </w:rPr>
            </w:pPr>
          </w:p>
          <w:p w:rsidR="002539A3" w:rsidRPr="002E2327" w:rsidRDefault="002539A3" w:rsidP="0095096B">
            <w:pPr>
              <w:jc w:val="center"/>
              <w:rPr>
                <w:rFonts w:cs="Times New Roman"/>
                <w:sz w:val="20"/>
                <w:szCs w:val="20"/>
              </w:rPr>
            </w:pPr>
          </w:p>
          <w:p w:rsidR="0095096B" w:rsidRPr="002E2327" w:rsidRDefault="00EE06EA" w:rsidP="0095096B">
            <w:pPr>
              <w:jc w:val="center"/>
              <w:rPr>
                <w:rFonts w:cs="Times New Roman"/>
                <w:sz w:val="20"/>
                <w:szCs w:val="20"/>
              </w:rPr>
            </w:pPr>
            <w:r>
              <w:rPr>
                <w:rFonts w:cs="Times New Roman"/>
                <w:sz w:val="20"/>
                <w:szCs w:val="20"/>
              </w:rPr>
              <w:t xml:space="preserve">2004 </w:t>
            </w:r>
            <w:r w:rsidR="0095096B" w:rsidRPr="002E2327">
              <w:rPr>
                <w:rFonts w:cs="Times New Roman"/>
                <w:sz w:val="20"/>
                <w:szCs w:val="20"/>
              </w:rPr>
              <w:t>-</w:t>
            </w:r>
            <w:r>
              <w:rPr>
                <w:rFonts w:cs="Times New Roman"/>
                <w:sz w:val="20"/>
                <w:szCs w:val="20"/>
              </w:rPr>
              <w:t xml:space="preserve"> 2005</w:t>
            </w:r>
          </w:p>
          <w:p w:rsidR="0095096B" w:rsidRPr="002E2327" w:rsidRDefault="0095096B" w:rsidP="0095096B">
            <w:pPr>
              <w:jc w:val="center"/>
              <w:rPr>
                <w:rFonts w:cs="Times New Roman"/>
                <w:sz w:val="20"/>
                <w:szCs w:val="20"/>
              </w:rPr>
            </w:pPr>
          </w:p>
          <w:p w:rsidR="0095096B" w:rsidRPr="002E2327" w:rsidRDefault="00EE06EA" w:rsidP="0095096B">
            <w:pPr>
              <w:jc w:val="center"/>
              <w:rPr>
                <w:rFonts w:cs="Times New Roman"/>
                <w:sz w:val="20"/>
                <w:szCs w:val="20"/>
              </w:rPr>
            </w:pPr>
            <w:r>
              <w:rPr>
                <w:rFonts w:cs="Times New Roman"/>
                <w:sz w:val="20"/>
                <w:szCs w:val="20"/>
              </w:rPr>
              <w:t>2006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06EA" w:rsidP="0095096B">
            <w:pPr>
              <w:jc w:val="center"/>
              <w:rPr>
                <w:rFonts w:cs="Times New Roman"/>
                <w:sz w:val="20"/>
                <w:szCs w:val="20"/>
              </w:rPr>
            </w:pPr>
            <w:r>
              <w:rPr>
                <w:rFonts w:cs="Times New Roman"/>
                <w:sz w:val="20"/>
                <w:szCs w:val="20"/>
              </w:rPr>
              <w:t xml:space="preserve">2007 </w:t>
            </w:r>
            <w:r w:rsidR="0095096B" w:rsidRPr="002E2327">
              <w:rPr>
                <w:rFonts w:cs="Times New Roman"/>
                <w:sz w:val="20"/>
                <w:szCs w:val="20"/>
              </w:rPr>
              <w:t>-</w:t>
            </w:r>
            <w:r>
              <w:rPr>
                <w:rFonts w:cs="Times New Roman"/>
                <w:sz w:val="20"/>
                <w:szCs w:val="20"/>
              </w:rPr>
              <w:t xml:space="preserve"> 2012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06EA" w:rsidP="0095096B">
            <w:pPr>
              <w:jc w:val="center"/>
              <w:rPr>
                <w:rFonts w:cs="Times New Roman"/>
                <w:sz w:val="20"/>
                <w:szCs w:val="20"/>
              </w:rPr>
            </w:pPr>
            <w:r>
              <w:rPr>
                <w:rFonts w:cs="Times New Roman"/>
                <w:sz w:val="20"/>
                <w:szCs w:val="20"/>
              </w:rPr>
              <w:t>2013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E06EA" w:rsidP="0095096B">
            <w:pPr>
              <w:jc w:val="center"/>
              <w:rPr>
                <w:rFonts w:cs="Times New Roman"/>
                <w:sz w:val="20"/>
                <w:szCs w:val="20"/>
              </w:rPr>
            </w:pPr>
            <w:r>
              <w:rPr>
                <w:rFonts w:cs="Times New Roman"/>
                <w:sz w:val="20"/>
                <w:szCs w:val="20"/>
              </w:rPr>
              <w:t xml:space="preserve">2014 </w:t>
            </w:r>
            <w:r w:rsidR="0095096B" w:rsidRPr="002E2327">
              <w:rPr>
                <w:rFonts w:cs="Times New Roman"/>
                <w:sz w:val="20"/>
                <w:szCs w:val="20"/>
              </w:rPr>
              <w:t>-</w:t>
            </w:r>
            <w:r>
              <w:rPr>
                <w:rFonts w:cs="Times New Roman"/>
                <w:sz w:val="20"/>
                <w:szCs w:val="20"/>
              </w:rPr>
              <w:t xml:space="preserve"> 2022</w:t>
            </w:r>
          </w:p>
          <w:p w:rsidR="00A87207" w:rsidRPr="002E2327" w:rsidRDefault="00A87207" w:rsidP="002539A3">
            <w:pPr>
              <w:jc w:val="center"/>
              <w:rPr>
                <w:rFonts w:cs="Times New Roman"/>
                <w:sz w:val="20"/>
                <w:szCs w:val="20"/>
              </w:rPr>
            </w:pPr>
          </w:p>
        </w:tc>
        <w:tc>
          <w:tcPr>
            <w:tcW w:w="3888" w:type="dxa"/>
          </w:tcPr>
          <w:p w:rsidR="0095096B" w:rsidRPr="002E2327" w:rsidRDefault="00680749"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2539A3">
            <w:pPr>
              <w:rPr>
                <w:rFonts w:cs="Times New Roman"/>
                <w:sz w:val="20"/>
                <w:szCs w:val="20"/>
                <w:lang w:val="fr-CA"/>
              </w:rPr>
            </w:pPr>
          </w:p>
        </w:tc>
      </w:tr>
    </w:tbl>
    <w:p w:rsidR="0095096B" w:rsidRPr="00660B35" w:rsidRDefault="0095096B" w:rsidP="0095096B">
      <w:pPr>
        <w:tabs>
          <w:tab w:val="right" w:pos="9360"/>
        </w:tabs>
        <w:rPr>
          <w:sz w:val="20"/>
          <w:szCs w:val="20"/>
          <w:lang w:val="fr-CA"/>
        </w:rPr>
      </w:pPr>
    </w:p>
    <w:p w:rsidR="00332FFA" w:rsidRPr="00660B35" w:rsidRDefault="00332FFA" w:rsidP="0095096B">
      <w:pPr>
        <w:tabs>
          <w:tab w:val="right" w:pos="9360"/>
        </w:tabs>
        <w:rPr>
          <w:sz w:val="20"/>
          <w:szCs w:val="20"/>
          <w:lang w:val="fr-CA"/>
        </w:rPr>
      </w:pPr>
    </w:p>
    <w:p w:rsidR="00332FFA" w:rsidRPr="00660B35" w:rsidRDefault="00332FFA" w:rsidP="0095096B">
      <w:pPr>
        <w:tabs>
          <w:tab w:val="right" w:pos="9360"/>
        </w:tabs>
        <w:rPr>
          <w:sz w:val="20"/>
          <w:szCs w:val="20"/>
          <w:lang w:val="fr-CA"/>
        </w:rPr>
      </w:pPr>
    </w:p>
    <w:p w:rsidR="00332FFA" w:rsidRPr="00660B35" w:rsidRDefault="00332FFA" w:rsidP="0095096B">
      <w:pPr>
        <w:tabs>
          <w:tab w:val="right" w:pos="9360"/>
        </w:tabs>
        <w:rPr>
          <w:sz w:val="20"/>
          <w:szCs w:val="20"/>
          <w:lang w:val="fr-CA"/>
        </w:rPr>
      </w:pPr>
    </w:p>
    <w:p w:rsidR="00332FFA" w:rsidRPr="00660B35" w:rsidRDefault="00332FFA"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E4461B"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57077B" w:rsidRPr="00C21644" w:rsidTr="003B3977">
        <w:tc>
          <w:tcPr>
            <w:tcW w:w="4320" w:type="dxa"/>
            <w:shd w:val="clear" w:color="auto" w:fill="auto"/>
          </w:tcPr>
          <w:p w:rsidR="0057077B" w:rsidRPr="008877D5" w:rsidRDefault="008877D5" w:rsidP="005F1ED8">
            <w:pPr>
              <w:rPr>
                <w:b/>
                <w:sz w:val="20"/>
                <w:szCs w:val="20"/>
                <w:lang w:val="fr-CA"/>
              </w:rPr>
            </w:pPr>
            <w:r w:rsidRPr="008877D5">
              <w:rPr>
                <w:b/>
                <w:sz w:val="20"/>
                <w:szCs w:val="20"/>
                <w:lang w:val="fr-CA"/>
              </w:rPr>
              <w:t>Co</w:t>
            </w:r>
            <w:r w:rsidR="0057077B" w:rsidRPr="008877D5">
              <w:rPr>
                <w:b/>
                <w:sz w:val="20"/>
                <w:szCs w:val="20"/>
                <w:lang w:val="fr-CA"/>
              </w:rPr>
              <w:t>n</w:t>
            </w:r>
            <w:r w:rsidRPr="008877D5">
              <w:rPr>
                <w:b/>
                <w:sz w:val="20"/>
                <w:szCs w:val="20"/>
                <w:lang w:val="fr-CA"/>
              </w:rPr>
              <w:t>fé</w:t>
            </w:r>
            <w:r>
              <w:rPr>
                <w:b/>
                <w:sz w:val="20"/>
                <w:szCs w:val="20"/>
                <w:lang w:val="fr-CA"/>
              </w:rPr>
              <w:t>r</w:t>
            </w:r>
            <w:r w:rsidR="0057077B" w:rsidRPr="008877D5">
              <w:rPr>
                <w:b/>
                <w:sz w:val="20"/>
                <w:szCs w:val="20"/>
                <w:lang w:val="fr-CA"/>
              </w:rPr>
              <w:t>e</w:t>
            </w:r>
            <w:r>
              <w:rPr>
                <w:b/>
                <w:sz w:val="20"/>
                <w:szCs w:val="20"/>
                <w:lang w:val="fr-CA"/>
              </w:rPr>
              <w:t>nce des juges de paix magistrats</w:t>
            </w:r>
            <w:r w:rsidR="0057077B" w:rsidRPr="008877D5">
              <w:rPr>
                <w:b/>
                <w:sz w:val="20"/>
                <w:szCs w:val="20"/>
                <w:lang w:val="fr-CA"/>
              </w:rPr>
              <w:t xml:space="preserve"> </w:t>
            </w:r>
            <w:r>
              <w:rPr>
                <w:b/>
                <w:sz w:val="20"/>
                <w:szCs w:val="20"/>
                <w:lang w:val="fr-CA"/>
              </w:rPr>
              <w:t xml:space="preserve">du Québec </w:t>
            </w:r>
            <w:r w:rsidR="0057077B" w:rsidRPr="008877D5">
              <w:rPr>
                <w:b/>
                <w:sz w:val="20"/>
                <w:szCs w:val="20"/>
                <w:lang w:val="fr-CA"/>
              </w:rPr>
              <w:t>et</w:t>
            </w:r>
            <w:r>
              <w:rPr>
                <w:b/>
                <w:sz w:val="20"/>
                <w:szCs w:val="20"/>
                <w:lang w:val="fr-CA"/>
              </w:rPr>
              <w:t> </w:t>
            </w:r>
            <w:r w:rsidR="0057077B" w:rsidRPr="008877D5">
              <w:rPr>
                <w:b/>
                <w:sz w:val="20"/>
                <w:szCs w:val="20"/>
                <w:lang w:val="fr-CA"/>
              </w:rPr>
              <w:t>a</w:t>
            </w:r>
            <w:r>
              <w:rPr>
                <w:b/>
                <w:sz w:val="20"/>
                <w:szCs w:val="20"/>
                <w:lang w:val="fr-CA"/>
              </w:rPr>
              <w:t>utres</w:t>
            </w:r>
          </w:p>
          <w:p w:rsidR="0057077B" w:rsidRPr="0084682C" w:rsidRDefault="0057077B" w:rsidP="005F1ED8">
            <w:pPr>
              <w:tabs>
                <w:tab w:val="left" w:pos="-1440"/>
                <w:tab w:val="left" w:pos="-720"/>
              </w:tabs>
              <w:rPr>
                <w:sz w:val="20"/>
                <w:szCs w:val="20"/>
              </w:rPr>
            </w:pPr>
            <w:r w:rsidRPr="008877D5">
              <w:rPr>
                <w:sz w:val="20"/>
                <w:szCs w:val="20"/>
                <w:lang w:val="fr-CA"/>
              </w:rPr>
              <w:tab/>
            </w:r>
            <w:r w:rsidR="008877D5" w:rsidRPr="0084682C">
              <w:rPr>
                <w:sz w:val="20"/>
                <w:szCs w:val="20"/>
              </w:rPr>
              <w:t>R</w:t>
            </w:r>
            <w:r w:rsidRPr="0084682C">
              <w:rPr>
                <w:sz w:val="20"/>
                <w:szCs w:val="20"/>
              </w:rPr>
              <w:t>a</w:t>
            </w:r>
            <w:r w:rsidR="008877D5" w:rsidRPr="0084682C">
              <w:rPr>
                <w:sz w:val="20"/>
                <w:szCs w:val="20"/>
              </w:rPr>
              <w:t>ymond Doray</w:t>
            </w:r>
            <w:r w:rsidRPr="0084682C">
              <w:rPr>
                <w:sz w:val="20"/>
                <w:szCs w:val="20"/>
              </w:rPr>
              <w:t xml:space="preserve"> </w:t>
            </w:r>
          </w:p>
          <w:p w:rsidR="0057077B" w:rsidRPr="0084682C" w:rsidRDefault="0057077B" w:rsidP="005F1ED8">
            <w:pPr>
              <w:tabs>
                <w:tab w:val="left" w:pos="-1440"/>
                <w:tab w:val="left" w:pos="-720"/>
              </w:tabs>
              <w:rPr>
                <w:sz w:val="20"/>
                <w:szCs w:val="20"/>
              </w:rPr>
            </w:pPr>
            <w:r w:rsidRPr="0084682C">
              <w:rPr>
                <w:sz w:val="20"/>
                <w:szCs w:val="20"/>
              </w:rPr>
              <w:tab/>
            </w:r>
            <w:r w:rsidR="008877D5" w:rsidRPr="0084682C">
              <w:rPr>
                <w:sz w:val="20"/>
                <w:szCs w:val="20"/>
              </w:rPr>
              <w:t>Lav</w:t>
            </w:r>
            <w:r w:rsidRPr="0084682C">
              <w:rPr>
                <w:sz w:val="20"/>
                <w:szCs w:val="20"/>
              </w:rPr>
              <w:t>e</w:t>
            </w:r>
            <w:r w:rsidR="008877D5" w:rsidRPr="0084682C">
              <w:rPr>
                <w:sz w:val="20"/>
                <w:szCs w:val="20"/>
              </w:rPr>
              <w:t>r</w:t>
            </w:r>
            <w:r w:rsidRPr="0084682C">
              <w:rPr>
                <w:sz w:val="20"/>
                <w:szCs w:val="20"/>
              </w:rPr>
              <w:t xml:space="preserve">y, </w:t>
            </w:r>
            <w:r w:rsidR="008877D5" w:rsidRPr="0084682C">
              <w:rPr>
                <w:sz w:val="20"/>
                <w:szCs w:val="20"/>
              </w:rPr>
              <w:t>de Bi</w:t>
            </w:r>
            <w:r w:rsidRPr="0084682C">
              <w:rPr>
                <w:sz w:val="20"/>
                <w:szCs w:val="20"/>
              </w:rPr>
              <w:t>l</w:t>
            </w:r>
            <w:r w:rsidR="008877D5" w:rsidRPr="0084682C">
              <w:rPr>
                <w:sz w:val="20"/>
                <w:szCs w:val="20"/>
              </w:rPr>
              <w:t>ly</w:t>
            </w:r>
          </w:p>
          <w:p w:rsidR="0057077B" w:rsidRPr="0084682C" w:rsidRDefault="0057077B" w:rsidP="005F1ED8">
            <w:pPr>
              <w:tabs>
                <w:tab w:val="left" w:pos="-1440"/>
                <w:tab w:val="left" w:pos="-720"/>
              </w:tabs>
              <w:rPr>
                <w:sz w:val="20"/>
                <w:szCs w:val="20"/>
              </w:rPr>
            </w:pPr>
          </w:p>
          <w:p w:rsidR="0057077B" w:rsidRPr="0084682C" w:rsidRDefault="0057077B" w:rsidP="005F1ED8">
            <w:pPr>
              <w:tabs>
                <w:tab w:val="left" w:pos="-1440"/>
                <w:tab w:val="left" w:pos="-720"/>
              </w:tabs>
              <w:rPr>
                <w:sz w:val="20"/>
                <w:szCs w:val="20"/>
              </w:rPr>
            </w:pPr>
            <w:r w:rsidRPr="0084682C">
              <w:rPr>
                <w:sz w:val="20"/>
                <w:szCs w:val="20"/>
              </w:rPr>
              <w:tab/>
            </w:r>
            <w:r w:rsidR="008877D5" w:rsidRPr="0084682C">
              <w:rPr>
                <w:sz w:val="20"/>
                <w:szCs w:val="20"/>
              </w:rPr>
              <w:t>c</w:t>
            </w:r>
            <w:r w:rsidRPr="0084682C">
              <w:rPr>
                <w:sz w:val="20"/>
                <w:szCs w:val="20"/>
              </w:rPr>
              <w:t>. (36</w:t>
            </w:r>
            <w:r w:rsidR="00D56CB4" w:rsidRPr="0084682C">
              <w:rPr>
                <w:sz w:val="20"/>
                <w:szCs w:val="20"/>
              </w:rPr>
              <w:t>165</w:t>
            </w:r>
            <w:r w:rsidRPr="0084682C">
              <w:rPr>
                <w:sz w:val="20"/>
                <w:szCs w:val="20"/>
              </w:rPr>
              <w:t>)</w:t>
            </w:r>
          </w:p>
          <w:p w:rsidR="0057077B" w:rsidRPr="0084682C" w:rsidRDefault="0057077B" w:rsidP="005F1ED8">
            <w:pPr>
              <w:tabs>
                <w:tab w:val="left" w:pos="-1440"/>
                <w:tab w:val="left" w:pos="-720"/>
              </w:tabs>
              <w:rPr>
                <w:sz w:val="20"/>
                <w:szCs w:val="20"/>
              </w:rPr>
            </w:pPr>
          </w:p>
          <w:p w:rsidR="0057077B" w:rsidRPr="008877D5" w:rsidRDefault="008877D5" w:rsidP="005F1ED8">
            <w:pPr>
              <w:tabs>
                <w:tab w:val="left" w:pos="-1440"/>
                <w:tab w:val="left" w:pos="-720"/>
              </w:tabs>
              <w:rPr>
                <w:b/>
                <w:sz w:val="20"/>
                <w:szCs w:val="20"/>
                <w:lang w:val="fr-CA"/>
              </w:rPr>
            </w:pPr>
            <w:r>
              <w:rPr>
                <w:b/>
                <w:sz w:val="20"/>
                <w:szCs w:val="20"/>
                <w:lang w:val="fr-CA"/>
              </w:rPr>
              <w:t>Pr</w:t>
            </w:r>
            <w:r w:rsidR="0057077B" w:rsidRPr="00E95CE4">
              <w:rPr>
                <w:b/>
                <w:sz w:val="20"/>
                <w:szCs w:val="20"/>
                <w:lang w:val="fr-CA"/>
              </w:rPr>
              <w:t>o</w:t>
            </w:r>
            <w:r>
              <w:rPr>
                <w:b/>
                <w:sz w:val="20"/>
                <w:szCs w:val="20"/>
                <w:lang w:val="fr-CA"/>
              </w:rPr>
              <w:t xml:space="preserve">cureur général du Québec </w:t>
            </w:r>
            <w:r w:rsidR="0057077B" w:rsidRPr="00E95CE4">
              <w:rPr>
                <w:b/>
                <w:sz w:val="20"/>
                <w:szCs w:val="20"/>
                <w:lang w:val="fr-CA"/>
              </w:rPr>
              <w:t>et a</w:t>
            </w:r>
            <w:r>
              <w:rPr>
                <w:b/>
                <w:sz w:val="20"/>
                <w:szCs w:val="20"/>
                <w:lang w:val="fr-CA"/>
              </w:rPr>
              <w:t>utre</w:t>
            </w:r>
            <w:r w:rsidR="0057077B" w:rsidRPr="00E95CE4">
              <w:rPr>
                <w:sz w:val="20"/>
                <w:szCs w:val="20"/>
                <w:lang w:val="fr-CA"/>
              </w:rPr>
              <w:t xml:space="preserve"> </w:t>
            </w:r>
            <w:r w:rsidR="0057077B" w:rsidRPr="008877D5">
              <w:rPr>
                <w:b/>
                <w:sz w:val="20"/>
                <w:szCs w:val="20"/>
                <w:lang w:val="fr-CA"/>
              </w:rPr>
              <w:t>(</w:t>
            </w:r>
            <w:r w:rsidRPr="008877D5">
              <w:rPr>
                <w:b/>
                <w:sz w:val="20"/>
                <w:szCs w:val="20"/>
                <w:lang w:val="fr-CA"/>
              </w:rPr>
              <w:t>Qc</w:t>
            </w:r>
            <w:r w:rsidR="0057077B" w:rsidRPr="008877D5">
              <w:rPr>
                <w:b/>
                <w:sz w:val="20"/>
                <w:szCs w:val="20"/>
                <w:lang w:val="fr-CA"/>
              </w:rPr>
              <w:t>)</w:t>
            </w:r>
          </w:p>
          <w:p w:rsidR="0057077B" w:rsidRPr="008877D5" w:rsidRDefault="0057077B" w:rsidP="005F1ED8">
            <w:pPr>
              <w:tabs>
                <w:tab w:val="left" w:pos="-1440"/>
                <w:tab w:val="left" w:pos="-720"/>
              </w:tabs>
              <w:rPr>
                <w:sz w:val="20"/>
                <w:szCs w:val="20"/>
                <w:lang w:val="fr-CA"/>
              </w:rPr>
            </w:pPr>
            <w:r w:rsidRPr="008877D5">
              <w:rPr>
                <w:sz w:val="20"/>
                <w:szCs w:val="20"/>
                <w:lang w:val="fr-CA"/>
              </w:rPr>
              <w:tab/>
            </w:r>
            <w:r w:rsidR="008877D5">
              <w:rPr>
                <w:sz w:val="20"/>
                <w:szCs w:val="20"/>
                <w:lang w:val="fr-CA"/>
              </w:rPr>
              <w:t>Fr</w:t>
            </w:r>
            <w:r w:rsidRPr="008877D5">
              <w:rPr>
                <w:sz w:val="20"/>
                <w:szCs w:val="20"/>
                <w:lang w:val="fr-CA"/>
              </w:rPr>
              <w:t>an</w:t>
            </w:r>
            <w:r w:rsidR="008877D5" w:rsidRPr="008877D5">
              <w:rPr>
                <w:sz w:val="20"/>
                <w:szCs w:val="20"/>
                <w:lang w:val="fr-CA"/>
              </w:rPr>
              <w:t>ce Bonsaint</w:t>
            </w:r>
          </w:p>
          <w:p w:rsidR="0057077B" w:rsidRPr="008877D5" w:rsidRDefault="0057077B" w:rsidP="005F1ED8">
            <w:pPr>
              <w:tabs>
                <w:tab w:val="left" w:pos="-1440"/>
                <w:tab w:val="left" w:pos="-720"/>
              </w:tabs>
              <w:rPr>
                <w:sz w:val="20"/>
                <w:szCs w:val="20"/>
                <w:lang w:val="fr-CA"/>
              </w:rPr>
            </w:pPr>
            <w:r w:rsidRPr="008877D5">
              <w:rPr>
                <w:sz w:val="20"/>
                <w:szCs w:val="20"/>
                <w:lang w:val="fr-CA"/>
              </w:rPr>
              <w:tab/>
              <w:t>P</w:t>
            </w:r>
            <w:r w:rsidR="008877D5" w:rsidRPr="008877D5">
              <w:rPr>
                <w:sz w:val="20"/>
                <w:szCs w:val="20"/>
                <w:lang w:val="fr-CA"/>
              </w:rPr>
              <w:t>rocureur général du Québec</w:t>
            </w:r>
          </w:p>
          <w:p w:rsidR="0057077B" w:rsidRPr="008877D5" w:rsidRDefault="0057077B" w:rsidP="005F1ED8">
            <w:pPr>
              <w:tabs>
                <w:tab w:val="left" w:pos="-1440"/>
                <w:tab w:val="left" w:pos="-720"/>
              </w:tabs>
              <w:rPr>
                <w:sz w:val="20"/>
                <w:szCs w:val="20"/>
                <w:lang w:val="fr-CA"/>
              </w:rPr>
            </w:pPr>
          </w:p>
          <w:p w:rsidR="0057077B" w:rsidRPr="00A935AA" w:rsidRDefault="008877D5" w:rsidP="008877D5">
            <w:pPr>
              <w:rPr>
                <w:sz w:val="20"/>
                <w:szCs w:val="20"/>
              </w:rPr>
            </w:pPr>
            <w:r w:rsidRPr="00806A5B">
              <w:rPr>
                <w:sz w:val="20"/>
                <w:szCs w:val="20"/>
                <w:lang w:val="fr-CA"/>
              </w:rPr>
              <w:t>DATE DE PRODUCTION</w:t>
            </w:r>
            <w:r w:rsidR="00E30277">
              <w:rPr>
                <w:sz w:val="20"/>
                <w:szCs w:val="20"/>
                <w:lang w:val="fr-CA"/>
              </w:rPr>
              <w:t xml:space="preserve"> </w:t>
            </w:r>
            <w:r w:rsidRPr="00806A5B">
              <w:rPr>
                <w:sz w:val="20"/>
                <w:szCs w:val="20"/>
                <w:lang w:val="fr-CA"/>
              </w:rPr>
              <w:t>: 1</w:t>
            </w:r>
            <w:r>
              <w:rPr>
                <w:sz w:val="20"/>
                <w:szCs w:val="20"/>
                <w:lang w:val="fr-CA"/>
              </w:rPr>
              <w:t>0</w:t>
            </w:r>
            <w:r w:rsidRPr="00806A5B">
              <w:rPr>
                <w:sz w:val="20"/>
                <w:szCs w:val="20"/>
                <w:lang w:val="fr-CA"/>
              </w:rPr>
              <w:t>.</w:t>
            </w:r>
            <w:r>
              <w:rPr>
                <w:sz w:val="20"/>
                <w:szCs w:val="20"/>
                <w:lang w:val="fr-CA"/>
              </w:rPr>
              <w:t>1</w:t>
            </w:r>
            <w:r w:rsidRPr="00806A5B">
              <w:rPr>
                <w:sz w:val="20"/>
                <w:szCs w:val="20"/>
                <w:lang w:val="fr-CA"/>
              </w:rPr>
              <w:t>1.2014</w:t>
            </w:r>
            <w:r w:rsidR="00E4461B">
              <w:rPr>
                <w:sz w:val="20"/>
                <w:szCs w:val="20"/>
                <w:lang w:val="fr-CA"/>
              </w:rPr>
              <w:pict>
                <v:rect id="_x0000_i1025" style="width:108pt;height:1pt" o:hrpct="0" o:hralign="center" o:hrstd="t" o:hrnoshade="t" o:hr="t" fillcolor="black [3213]" stroked="f"/>
              </w:pict>
            </w:r>
          </w:p>
        </w:tc>
        <w:tc>
          <w:tcPr>
            <w:tcW w:w="1181" w:type="dxa"/>
            <w:shd w:val="clear" w:color="auto" w:fill="auto"/>
          </w:tcPr>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Pr="00A935AA" w:rsidRDefault="0057077B" w:rsidP="00242AEE">
            <w:pPr>
              <w:jc w:val="center"/>
              <w:rPr>
                <w:sz w:val="20"/>
                <w:szCs w:val="20"/>
              </w:rPr>
            </w:pPr>
          </w:p>
          <w:p w:rsidR="0057077B" w:rsidRDefault="0057077B" w:rsidP="00242AEE">
            <w:pPr>
              <w:jc w:val="center"/>
              <w:rPr>
                <w:sz w:val="20"/>
                <w:szCs w:val="20"/>
              </w:rPr>
            </w:pPr>
          </w:p>
          <w:p w:rsidR="008877D5" w:rsidRPr="00A935AA" w:rsidRDefault="008877D5" w:rsidP="00242AEE">
            <w:pPr>
              <w:jc w:val="center"/>
              <w:rPr>
                <w:sz w:val="20"/>
                <w:szCs w:val="20"/>
              </w:rPr>
            </w:pPr>
          </w:p>
          <w:p w:rsidR="0057077B" w:rsidRPr="00A935AA" w:rsidRDefault="0057077B" w:rsidP="00242AEE">
            <w:pPr>
              <w:jc w:val="center"/>
              <w:rPr>
                <w:sz w:val="20"/>
                <w:szCs w:val="20"/>
              </w:rPr>
            </w:pPr>
          </w:p>
        </w:tc>
        <w:tc>
          <w:tcPr>
            <w:tcW w:w="4320" w:type="dxa"/>
            <w:shd w:val="clear" w:color="auto" w:fill="auto"/>
          </w:tcPr>
          <w:p w:rsidR="0057077B" w:rsidRPr="008877D5" w:rsidRDefault="008877D5" w:rsidP="006E1D53">
            <w:pPr>
              <w:keepNext/>
              <w:keepLines/>
              <w:tabs>
                <w:tab w:val="left" w:pos="-1440"/>
                <w:tab w:val="left" w:pos="-720"/>
              </w:tabs>
              <w:rPr>
                <w:b/>
                <w:sz w:val="20"/>
                <w:szCs w:val="20"/>
              </w:rPr>
            </w:pPr>
            <w:r w:rsidRPr="008877D5">
              <w:rPr>
                <w:b/>
                <w:sz w:val="20"/>
                <w:szCs w:val="20"/>
              </w:rPr>
              <w:t>Ali Tahmourpour</w:t>
            </w:r>
          </w:p>
          <w:p w:rsidR="0057077B" w:rsidRPr="008877D5" w:rsidRDefault="0057077B" w:rsidP="006E1D53">
            <w:pPr>
              <w:keepNext/>
              <w:keepLines/>
              <w:tabs>
                <w:tab w:val="left" w:pos="-1440"/>
                <w:tab w:val="left" w:pos="-720"/>
              </w:tabs>
              <w:rPr>
                <w:sz w:val="20"/>
                <w:szCs w:val="20"/>
              </w:rPr>
            </w:pPr>
            <w:r w:rsidRPr="008877D5">
              <w:rPr>
                <w:sz w:val="20"/>
                <w:szCs w:val="20"/>
              </w:rPr>
              <w:tab/>
            </w:r>
            <w:r w:rsidR="008877D5" w:rsidRPr="008877D5">
              <w:rPr>
                <w:sz w:val="20"/>
                <w:szCs w:val="20"/>
              </w:rPr>
              <w:t>Paul Champ</w:t>
            </w:r>
          </w:p>
          <w:p w:rsidR="0057077B" w:rsidRPr="00A935AA" w:rsidRDefault="0057077B" w:rsidP="006E1D53">
            <w:pPr>
              <w:keepNext/>
              <w:keepLines/>
              <w:tabs>
                <w:tab w:val="left" w:pos="-1440"/>
                <w:tab w:val="left" w:pos="-720"/>
              </w:tabs>
              <w:rPr>
                <w:sz w:val="20"/>
                <w:szCs w:val="20"/>
              </w:rPr>
            </w:pPr>
            <w:r w:rsidRPr="008877D5">
              <w:rPr>
                <w:sz w:val="20"/>
                <w:szCs w:val="20"/>
              </w:rPr>
              <w:tab/>
            </w:r>
            <w:r w:rsidR="008877D5" w:rsidRPr="008877D5">
              <w:rPr>
                <w:sz w:val="20"/>
                <w:szCs w:val="20"/>
              </w:rPr>
              <w:t>Champ and Associates</w:t>
            </w:r>
          </w:p>
          <w:p w:rsidR="0057077B" w:rsidRPr="00A935AA" w:rsidRDefault="0057077B" w:rsidP="006E1D53">
            <w:pPr>
              <w:keepNext/>
              <w:keepLines/>
              <w:tabs>
                <w:tab w:val="left" w:pos="-1440"/>
                <w:tab w:val="left" w:pos="-720"/>
              </w:tabs>
              <w:rPr>
                <w:sz w:val="20"/>
                <w:szCs w:val="20"/>
              </w:rPr>
            </w:pPr>
          </w:p>
          <w:p w:rsidR="0057077B" w:rsidRPr="00A935AA" w:rsidRDefault="0057077B" w:rsidP="006E1D53">
            <w:pPr>
              <w:keepNext/>
              <w:keepLines/>
              <w:tabs>
                <w:tab w:val="left" w:pos="-1440"/>
                <w:tab w:val="left" w:pos="-720"/>
              </w:tabs>
              <w:rPr>
                <w:sz w:val="20"/>
                <w:szCs w:val="20"/>
              </w:rPr>
            </w:pPr>
            <w:r w:rsidRPr="00A935AA">
              <w:rPr>
                <w:sz w:val="20"/>
                <w:szCs w:val="20"/>
              </w:rPr>
              <w:tab/>
              <w:t>v. (3</w:t>
            </w:r>
            <w:r w:rsidR="008877D5">
              <w:rPr>
                <w:sz w:val="20"/>
                <w:szCs w:val="20"/>
              </w:rPr>
              <w:t>6172</w:t>
            </w:r>
            <w:r w:rsidRPr="00A935AA">
              <w:rPr>
                <w:sz w:val="20"/>
                <w:szCs w:val="20"/>
              </w:rPr>
              <w:t>)</w:t>
            </w:r>
          </w:p>
          <w:p w:rsidR="0057077B" w:rsidRPr="00A935AA" w:rsidRDefault="0057077B" w:rsidP="006E1D53">
            <w:pPr>
              <w:keepNext/>
              <w:keepLines/>
              <w:tabs>
                <w:tab w:val="left" w:pos="-1440"/>
                <w:tab w:val="left" w:pos="-720"/>
              </w:tabs>
              <w:rPr>
                <w:sz w:val="20"/>
                <w:szCs w:val="20"/>
              </w:rPr>
            </w:pPr>
          </w:p>
          <w:p w:rsidR="0057077B" w:rsidRPr="00A935AA" w:rsidRDefault="008877D5" w:rsidP="006E1D53">
            <w:pPr>
              <w:keepNext/>
              <w:keepLines/>
              <w:tabs>
                <w:tab w:val="left" w:pos="-1440"/>
                <w:tab w:val="left" w:pos="-720"/>
              </w:tabs>
              <w:rPr>
                <w:b/>
                <w:sz w:val="20"/>
                <w:szCs w:val="20"/>
              </w:rPr>
            </w:pPr>
            <w:r>
              <w:rPr>
                <w:b/>
                <w:sz w:val="20"/>
                <w:szCs w:val="20"/>
              </w:rPr>
              <w:t xml:space="preserve">Canadian Human Rights Commission et al. </w:t>
            </w:r>
            <w:r w:rsidR="0057077B" w:rsidRPr="00A935AA">
              <w:rPr>
                <w:b/>
                <w:sz w:val="20"/>
                <w:szCs w:val="20"/>
              </w:rPr>
              <w:t>(</w:t>
            </w:r>
            <w:r>
              <w:rPr>
                <w:b/>
                <w:sz w:val="20"/>
                <w:szCs w:val="20"/>
              </w:rPr>
              <w:t>F</w:t>
            </w:r>
            <w:r w:rsidR="0057077B">
              <w:rPr>
                <w:b/>
                <w:sz w:val="20"/>
                <w:szCs w:val="20"/>
              </w:rPr>
              <w:t>.C</w:t>
            </w:r>
            <w:r w:rsidR="0057077B" w:rsidRPr="00A935AA">
              <w:rPr>
                <w:b/>
                <w:sz w:val="20"/>
                <w:szCs w:val="20"/>
              </w:rPr>
              <w:t>.)</w:t>
            </w:r>
          </w:p>
          <w:p w:rsidR="0057077B" w:rsidRPr="00A935AA" w:rsidRDefault="0057077B" w:rsidP="006E1D53">
            <w:pPr>
              <w:keepNext/>
              <w:keepLines/>
              <w:tabs>
                <w:tab w:val="left" w:pos="-1440"/>
                <w:tab w:val="left" w:pos="-720"/>
              </w:tabs>
              <w:rPr>
                <w:sz w:val="20"/>
                <w:szCs w:val="20"/>
              </w:rPr>
            </w:pPr>
            <w:r w:rsidRPr="00A935AA">
              <w:rPr>
                <w:sz w:val="20"/>
                <w:szCs w:val="20"/>
              </w:rPr>
              <w:tab/>
            </w:r>
            <w:r w:rsidR="008877D5">
              <w:rPr>
                <w:sz w:val="20"/>
                <w:szCs w:val="20"/>
              </w:rPr>
              <w:t>Daniel Poulin</w:t>
            </w:r>
          </w:p>
          <w:p w:rsidR="0057077B" w:rsidRPr="00A935AA" w:rsidRDefault="0057077B" w:rsidP="006E1D53">
            <w:pPr>
              <w:keepNext/>
              <w:keepLines/>
              <w:tabs>
                <w:tab w:val="left" w:pos="-1440"/>
                <w:tab w:val="left" w:pos="-720"/>
              </w:tabs>
              <w:rPr>
                <w:sz w:val="20"/>
                <w:szCs w:val="20"/>
              </w:rPr>
            </w:pPr>
            <w:r w:rsidRPr="00A935AA">
              <w:rPr>
                <w:sz w:val="20"/>
                <w:szCs w:val="20"/>
              </w:rPr>
              <w:tab/>
            </w:r>
            <w:r w:rsidR="008877D5">
              <w:rPr>
                <w:sz w:val="20"/>
                <w:szCs w:val="20"/>
              </w:rPr>
              <w:t>Canadian Human Rights Commission</w:t>
            </w:r>
          </w:p>
          <w:p w:rsidR="0057077B" w:rsidRPr="00A935AA" w:rsidRDefault="0057077B" w:rsidP="006E1D53">
            <w:pPr>
              <w:keepNext/>
              <w:keepLines/>
              <w:tabs>
                <w:tab w:val="left" w:pos="-1440"/>
                <w:tab w:val="left" w:pos="-720"/>
              </w:tabs>
              <w:rPr>
                <w:sz w:val="20"/>
                <w:szCs w:val="20"/>
              </w:rPr>
            </w:pPr>
          </w:p>
          <w:p w:rsidR="0057077B" w:rsidRPr="00A935AA" w:rsidRDefault="0057077B" w:rsidP="008877D5">
            <w:pPr>
              <w:rPr>
                <w:sz w:val="20"/>
                <w:szCs w:val="20"/>
              </w:rPr>
            </w:pPr>
            <w:r w:rsidRPr="00A935AA">
              <w:rPr>
                <w:sz w:val="20"/>
                <w:szCs w:val="20"/>
              </w:rPr>
              <w:t xml:space="preserve">FILING DATE: </w:t>
            </w:r>
            <w:r w:rsidR="008877D5">
              <w:rPr>
                <w:sz w:val="20"/>
                <w:szCs w:val="20"/>
              </w:rPr>
              <w:t>14</w:t>
            </w:r>
            <w:r w:rsidRPr="00A935AA">
              <w:rPr>
                <w:sz w:val="20"/>
                <w:szCs w:val="20"/>
              </w:rPr>
              <w:t>.</w:t>
            </w:r>
            <w:r w:rsidR="008877D5">
              <w:rPr>
                <w:sz w:val="20"/>
                <w:szCs w:val="20"/>
              </w:rPr>
              <w:t>11</w:t>
            </w:r>
            <w:r w:rsidRPr="00A935AA">
              <w:rPr>
                <w:sz w:val="20"/>
                <w:szCs w:val="20"/>
              </w:rPr>
              <w:t>.201</w:t>
            </w:r>
            <w:r>
              <w:rPr>
                <w:sz w:val="20"/>
                <w:szCs w:val="20"/>
              </w:rPr>
              <w:t>4</w:t>
            </w:r>
            <w:r w:rsidR="00E4461B">
              <w:rPr>
                <w:sz w:val="20"/>
                <w:szCs w:val="20"/>
                <w:lang w:val="fr-CA"/>
              </w:rPr>
              <w:pict>
                <v:rect id="_x0000_i1026" style="width:108pt;height:1pt" o:hrpct="0" o:hralign="center" o:hrstd="t" o:hrnoshade="t" o:hr="t" fillcolor="black [3213]" stroked="f"/>
              </w:pict>
            </w:r>
          </w:p>
        </w:tc>
      </w:tr>
      <w:tr w:rsidR="00C21644" w:rsidRPr="00E4461B" w:rsidTr="003B3977">
        <w:tc>
          <w:tcPr>
            <w:tcW w:w="4320" w:type="dxa"/>
            <w:shd w:val="clear" w:color="auto" w:fill="auto"/>
          </w:tcPr>
          <w:p w:rsidR="00C21644" w:rsidRPr="0057077B" w:rsidRDefault="008877D5" w:rsidP="003B3977">
            <w:pPr>
              <w:rPr>
                <w:b/>
                <w:sz w:val="20"/>
                <w:szCs w:val="20"/>
              </w:rPr>
            </w:pPr>
            <w:r>
              <w:rPr>
                <w:b/>
                <w:sz w:val="20"/>
                <w:szCs w:val="20"/>
              </w:rPr>
              <w:t>Sudesh Mangal et al.</w:t>
            </w:r>
          </w:p>
          <w:p w:rsidR="00C21644" w:rsidRPr="0057077B" w:rsidRDefault="00C21644" w:rsidP="003B3977">
            <w:pPr>
              <w:tabs>
                <w:tab w:val="left" w:pos="-1440"/>
                <w:tab w:val="left" w:pos="-720"/>
              </w:tabs>
              <w:rPr>
                <w:sz w:val="20"/>
                <w:szCs w:val="20"/>
              </w:rPr>
            </w:pPr>
            <w:r w:rsidRPr="0057077B">
              <w:rPr>
                <w:sz w:val="20"/>
                <w:szCs w:val="20"/>
              </w:rPr>
              <w:tab/>
            </w:r>
            <w:r w:rsidR="008877D5">
              <w:rPr>
                <w:sz w:val="20"/>
                <w:szCs w:val="20"/>
              </w:rPr>
              <w:t>Richard M. Bogoroch</w:t>
            </w:r>
          </w:p>
          <w:p w:rsidR="00C21644" w:rsidRPr="0057077B" w:rsidRDefault="00C21644" w:rsidP="003B3977">
            <w:pPr>
              <w:tabs>
                <w:tab w:val="left" w:pos="-1440"/>
                <w:tab w:val="left" w:pos="-720"/>
              </w:tabs>
              <w:rPr>
                <w:sz w:val="20"/>
                <w:szCs w:val="20"/>
              </w:rPr>
            </w:pPr>
            <w:r w:rsidRPr="0057077B">
              <w:rPr>
                <w:sz w:val="20"/>
                <w:szCs w:val="20"/>
              </w:rPr>
              <w:tab/>
            </w:r>
            <w:r w:rsidR="008877D5">
              <w:rPr>
                <w:sz w:val="20"/>
                <w:szCs w:val="20"/>
              </w:rPr>
              <w:t>Bogoroch &amp; Associates</w:t>
            </w:r>
          </w:p>
          <w:p w:rsidR="00C21644" w:rsidRPr="0057077B"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57077B">
              <w:rPr>
                <w:sz w:val="20"/>
                <w:szCs w:val="20"/>
              </w:rPr>
              <w:tab/>
            </w:r>
            <w:r w:rsidRPr="00A935AA">
              <w:rPr>
                <w:sz w:val="20"/>
                <w:szCs w:val="20"/>
              </w:rPr>
              <w:t>v. (3</w:t>
            </w:r>
            <w:r w:rsidR="008877D5">
              <w:rPr>
                <w:sz w:val="20"/>
                <w:szCs w:val="20"/>
              </w:rPr>
              <w:t>6174</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8877D5" w:rsidP="003B3977">
            <w:pPr>
              <w:tabs>
                <w:tab w:val="left" w:pos="-1440"/>
                <w:tab w:val="left" w:pos="-720"/>
              </w:tabs>
              <w:rPr>
                <w:b/>
                <w:sz w:val="20"/>
                <w:szCs w:val="20"/>
              </w:rPr>
            </w:pPr>
            <w:r>
              <w:rPr>
                <w:b/>
                <w:sz w:val="20"/>
                <w:szCs w:val="20"/>
              </w:rPr>
              <w:t xml:space="preserve">William Osler Health Centre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8877D5">
              <w:rPr>
                <w:sz w:val="20"/>
                <w:szCs w:val="20"/>
              </w:rPr>
              <w:t>William D.T. Carter</w:t>
            </w:r>
          </w:p>
          <w:p w:rsidR="00C21644" w:rsidRPr="00A935AA" w:rsidRDefault="00C21644" w:rsidP="003B3977">
            <w:pPr>
              <w:tabs>
                <w:tab w:val="left" w:pos="-1440"/>
                <w:tab w:val="left" w:pos="-720"/>
              </w:tabs>
              <w:rPr>
                <w:sz w:val="20"/>
                <w:szCs w:val="20"/>
              </w:rPr>
            </w:pPr>
            <w:r w:rsidRPr="00A935AA">
              <w:rPr>
                <w:sz w:val="20"/>
                <w:szCs w:val="20"/>
              </w:rPr>
              <w:tab/>
            </w:r>
            <w:r w:rsidR="008877D5">
              <w:rPr>
                <w:sz w:val="20"/>
                <w:szCs w:val="20"/>
              </w:rPr>
              <w:t>Borden Ladner Gervais LLP</w:t>
            </w:r>
          </w:p>
          <w:p w:rsidR="00C21644" w:rsidRPr="00A935AA" w:rsidRDefault="00C21644" w:rsidP="003B3977">
            <w:pPr>
              <w:tabs>
                <w:tab w:val="left" w:pos="-1440"/>
                <w:tab w:val="left" w:pos="-720"/>
              </w:tabs>
              <w:rPr>
                <w:sz w:val="20"/>
                <w:szCs w:val="20"/>
              </w:rPr>
            </w:pPr>
          </w:p>
          <w:p w:rsidR="00C21644" w:rsidRPr="00A935AA" w:rsidRDefault="00C21644" w:rsidP="008877D5">
            <w:pPr>
              <w:rPr>
                <w:sz w:val="20"/>
                <w:szCs w:val="20"/>
              </w:rPr>
            </w:pPr>
            <w:r w:rsidRPr="00A935AA">
              <w:rPr>
                <w:sz w:val="20"/>
                <w:szCs w:val="20"/>
              </w:rPr>
              <w:t xml:space="preserve">FILING DATE: </w:t>
            </w:r>
            <w:r w:rsidR="008877D5">
              <w:rPr>
                <w:sz w:val="20"/>
                <w:szCs w:val="20"/>
              </w:rPr>
              <w:t>14</w:t>
            </w:r>
            <w:r w:rsidRPr="00A935AA">
              <w:rPr>
                <w:sz w:val="20"/>
                <w:szCs w:val="20"/>
              </w:rPr>
              <w:t>.</w:t>
            </w:r>
            <w:r w:rsidR="008877D5">
              <w:rPr>
                <w:sz w:val="20"/>
                <w:szCs w:val="20"/>
              </w:rPr>
              <w:t>11</w:t>
            </w:r>
            <w:r w:rsidRPr="00A935AA">
              <w:rPr>
                <w:sz w:val="20"/>
                <w:szCs w:val="20"/>
              </w:rPr>
              <w:t>.201</w:t>
            </w:r>
            <w:r>
              <w:rPr>
                <w:sz w:val="20"/>
                <w:szCs w:val="20"/>
              </w:rPr>
              <w:t>4</w:t>
            </w:r>
            <w:r w:rsidR="00E4461B">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877D5" w:rsidRDefault="008877D5" w:rsidP="003B3977">
            <w:pPr>
              <w:keepNext/>
              <w:keepLines/>
              <w:tabs>
                <w:tab w:val="left" w:pos="-1440"/>
                <w:tab w:val="left" w:pos="-720"/>
              </w:tabs>
              <w:rPr>
                <w:b/>
                <w:sz w:val="20"/>
                <w:szCs w:val="20"/>
                <w:lang w:val="fr-CA"/>
              </w:rPr>
            </w:pPr>
            <w:r w:rsidRPr="008877D5">
              <w:rPr>
                <w:b/>
                <w:sz w:val="20"/>
                <w:szCs w:val="20"/>
                <w:lang w:val="fr-CA"/>
              </w:rPr>
              <w:t>Tim Ching Mou Chou et al.</w:t>
            </w:r>
          </w:p>
          <w:p w:rsidR="00C21644" w:rsidRPr="008877D5" w:rsidRDefault="00C21644" w:rsidP="003B3977">
            <w:pPr>
              <w:keepNext/>
              <w:keepLines/>
              <w:tabs>
                <w:tab w:val="left" w:pos="-1440"/>
                <w:tab w:val="left" w:pos="-720"/>
              </w:tabs>
              <w:rPr>
                <w:sz w:val="20"/>
                <w:szCs w:val="20"/>
                <w:lang w:val="fr-CA"/>
              </w:rPr>
            </w:pPr>
            <w:r w:rsidRPr="008877D5">
              <w:rPr>
                <w:sz w:val="20"/>
                <w:szCs w:val="20"/>
                <w:lang w:val="fr-CA"/>
              </w:rPr>
              <w:tab/>
            </w:r>
            <w:r w:rsidR="008877D5">
              <w:rPr>
                <w:sz w:val="20"/>
                <w:szCs w:val="20"/>
                <w:lang w:val="fr-CA"/>
              </w:rPr>
              <w:t>Tim Ching Mou Chou et al.</w:t>
            </w:r>
          </w:p>
          <w:p w:rsidR="00C21644" w:rsidRPr="008877D5" w:rsidRDefault="00C21644" w:rsidP="003B3977">
            <w:pPr>
              <w:keepNext/>
              <w:keepLines/>
              <w:tabs>
                <w:tab w:val="left" w:pos="-1440"/>
                <w:tab w:val="left" w:pos="-720"/>
              </w:tabs>
              <w:rPr>
                <w:sz w:val="20"/>
                <w:szCs w:val="20"/>
                <w:lang w:val="fr-CA"/>
              </w:rPr>
            </w:pPr>
          </w:p>
          <w:p w:rsidR="00C21644" w:rsidRPr="008877D5" w:rsidRDefault="00C21644" w:rsidP="003B3977">
            <w:pPr>
              <w:keepNext/>
              <w:keepLines/>
              <w:tabs>
                <w:tab w:val="left" w:pos="-1440"/>
                <w:tab w:val="left" w:pos="-720"/>
              </w:tabs>
              <w:rPr>
                <w:sz w:val="20"/>
                <w:szCs w:val="20"/>
                <w:lang w:val="fr-CA"/>
              </w:rPr>
            </w:pPr>
            <w:r w:rsidRPr="008877D5">
              <w:rPr>
                <w:sz w:val="20"/>
                <w:szCs w:val="20"/>
                <w:lang w:val="fr-CA"/>
              </w:rPr>
              <w:tab/>
              <w:t>v. (3</w:t>
            </w:r>
            <w:r w:rsidR="008877D5" w:rsidRPr="008877D5">
              <w:rPr>
                <w:sz w:val="20"/>
                <w:szCs w:val="20"/>
                <w:lang w:val="fr-CA"/>
              </w:rPr>
              <w:t>617</w:t>
            </w:r>
            <w:r w:rsidRPr="008877D5">
              <w:rPr>
                <w:sz w:val="20"/>
                <w:szCs w:val="20"/>
                <w:lang w:val="fr-CA"/>
              </w:rPr>
              <w:t>5)</w:t>
            </w:r>
          </w:p>
          <w:p w:rsidR="00C21644" w:rsidRPr="008877D5" w:rsidRDefault="00C21644" w:rsidP="003B3977">
            <w:pPr>
              <w:keepNext/>
              <w:keepLines/>
              <w:tabs>
                <w:tab w:val="left" w:pos="-1440"/>
                <w:tab w:val="left" w:pos="-720"/>
              </w:tabs>
              <w:rPr>
                <w:sz w:val="20"/>
                <w:szCs w:val="20"/>
                <w:lang w:val="fr-CA"/>
              </w:rPr>
            </w:pPr>
          </w:p>
          <w:p w:rsidR="00C21644" w:rsidRPr="008877D5" w:rsidRDefault="008877D5" w:rsidP="003B3977">
            <w:pPr>
              <w:keepNext/>
              <w:keepLines/>
              <w:tabs>
                <w:tab w:val="left" w:pos="-1440"/>
                <w:tab w:val="left" w:pos="-720"/>
              </w:tabs>
              <w:rPr>
                <w:b/>
                <w:sz w:val="20"/>
                <w:szCs w:val="20"/>
                <w:lang w:val="fr-CA"/>
              </w:rPr>
            </w:pPr>
            <w:r w:rsidRPr="008877D5">
              <w:rPr>
                <w:b/>
                <w:sz w:val="20"/>
                <w:szCs w:val="20"/>
                <w:lang w:val="fr-CA"/>
              </w:rPr>
              <w:t>Fréchette Constructions Inc.</w:t>
            </w:r>
            <w:r>
              <w:rPr>
                <w:b/>
                <w:sz w:val="20"/>
                <w:szCs w:val="20"/>
                <w:lang w:val="fr-CA"/>
              </w:rPr>
              <w:t xml:space="preserve"> </w:t>
            </w:r>
            <w:r w:rsidR="00C21644" w:rsidRPr="008877D5">
              <w:rPr>
                <w:b/>
                <w:sz w:val="20"/>
                <w:szCs w:val="20"/>
                <w:lang w:val="fr-CA"/>
              </w:rPr>
              <w:t>(</w:t>
            </w:r>
            <w:r>
              <w:rPr>
                <w:b/>
                <w:sz w:val="20"/>
                <w:szCs w:val="20"/>
                <w:lang w:val="fr-CA"/>
              </w:rPr>
              <w:t>Que</w:t>
            </w:r>
            <w:r w:rsidR="00C21644" w:rsidRPr="008877D5">
              <w:rPr>
                <w:b/>
                <w:sz w:val="20"/>
                <w:szCs w:val="20"/>
                <w:lang w:val="fr-CA"/>
              </w:rPr>
              <w:t>.)</w:t>
            </w:r>
          </w:p>
          <w:p w:rsidR="00C21644" w:rsidRPr="008877D5" w:rsidRDefault="00C21644" w:rsidP="003B3977">
            <w:pPr>
              <w:keepNext/>
              <w:keepLines/>
              <w:tabs>
                <w:tab w:val="left" w:pos="-1440"/>
                <w:tab w:val="left" w:pos="-720"/>
              </w:tabs>
              <w:rPr>
                <w:sz w:val="20"/>
                <w:szCs w:val="20"/>
                <w:lang w:val="fr-CA"/>
              </w:rPr>
            </w:pPr>
            <w:r w:rsidRPr="008877D5">
              <w:rPr>
                <w:sz w:val="20"/>
                <w:szCs w:val="20"/>
                <w:lang w:val="fr-CA"/>
              </w:rPr>
              <w:tab/>
            </w:r>
            <w:r w:rsidR="008877D5">
              <w:rPr>
                <w:sz w:val="20"/>
                <w:szCs w:val="20"/>
                <w:lang w:val="fr-CA"/>
              </w:rPr>
              <w:t>Michel Seméteys</w:t>
            </w:r>
          </w:p>
          <w:p w:rsidR="00C21644" w:rsidRPr="008877D5" w:rsidRDefault="00C21644" w:rsidP="003B3977">
            <w:pPr>
              <w:keepNext/>
              <w:keepLines/>
              <w:tabs>
                <w:tab w:val="left" w:pos="-1440"/>
                <w:tab w:val="left" w:pos="-720"/>
              </w:tabs>
              <w:rPr>
                <w:sz w:val="20"/>
                <w:szCs w:val="20"/>
                <w:lang w:val="fr-CA"/>
              </w:rPr>
            </w:pPr>
            <w:r w:rsidRPr="008877D5">
              <w:rPr>
                <w:sz w:val="20"/>
                <w:szCs w:val="20"/>
                <w:lang w:val="fr-CA"/>
              </w:rPr>
              <w:tab/>
            </w:r>
            <w:r w:rsidR="008877D5">
              <w:rPr>
                <w:sz w:val="20"/>
                <w:szCs w:val="20"/>
                <w:lang w:val="fr-CA"/>
              </w:rPr>
              <w:t>Croch</w:t>
            </w:r>
            <w:r w:rsidR="00D56CB4">
              <w:rPr>
                <w:sz w:val="20"/>
                <w:szCs w:val="20"/>
                <w:lang w:val="fr-CA"/>
              </w:rPr>
              <w:t>è</w:t>
            </w:r>
            <w:r w:rsidR="008877D5">
              <w:rPr>
                <w:sz w:val="20"/>
                <w:szCs w:val="20"/>
                <w:lang w:val="fr-CA"/>
              </w:rPr>
              <w:t>ti</w:t>
            </w:r>
            <w:r w:rsidR="00D56CB4">
              <w:rPr>
                <w:sz w:val="20"/>
                <w:szCs w:val="20"/>
                <w:lang w:val="fr-CA"/>
              </w:rPr>
              <w:t>e</w:t>
            </w:r>
            <w:r w:rsidR="008877D5">
              <w:rPr>
                <w:sz w:val="20"/>
                <w:szCs w:val="20"/>
                <w:lang w:val="fr-CA"/>
              </w:rPr>
              <w:t>re Pétrin</w:t>
            </w:r>
          </w:p>
          <w:p w:rsidR="00C21644" w:rsidRPr="008877D5" w:rsidRDefault="00C21644" w:rsidP="003B3977">
            <w:pPr>
              <w:keepNext/>
              <w:keepLines/>
              <w:tabs>
                <w:tab w:val="left" w:pos="-1440"/>
                <w:tab w:val="left" w:pos="-720"/>
              </w:tabs>
              <w:rPr>
                <w:sz w:val="20"/>
                <w:szCs w:val="20"/>
                <w:lang w:val="fr-CA"/>
              </w:rPr>
            </w:pPr>
          </w:p>
          <w:p w:rsidR="00C21644" w:rsidRPr="008877D5" w:rsidRDefault="00C21644" w:rsidP="008877D5">
            <w:pPr>
              <w:rPr>
                <w:sz w:val="20"/>
                <w:szCs w:val="20"/>
                <w:lang w:val="fr-CA"/>
              </w:rPr>
            </w:pPr>
            <w:r w:rsidRPr="008877D5">
              <w:rPr>
                <w:sz w:val="20"/>
                <w:szCs w:val="20"/>
                <w:lang w:val="fr-CA"/>
              </w:rPr>
              <w:t xml:space="preserve">FILING DATE: </w:t>
            </w:r>
            <w:r w:rsidR="008877D5">
              <w:rPr>
                <w:sz w:val="20"/>
                <w:szCs w:val="20"/>
                <w:lang w:val="fr-CA"/>
              </w:rPr>
              <w:t>14</w:t>
            </w:r>
            <w:r w:rsidRPr="008877D5">
              <w:rPr>
                <w:sz w:val="20"/>
                <w:szCs w:val="20"/>
                <w:lang w:val="fr-CA"/>
              </w:rPr>
              <w:t>.</w:t>
            </w:r>
            <w:r w:rsidR="008877D5">
              <w:rPr>
                <w:sz w:val="20"/>
                <w:szCs w:val="20"/>
                <w:lang w:val="fr-CA"/>
              </w:rPr>
              <w:t>11</w:t>
            </w:r>
            <w:r w:rsidRPr="008877D5">
              <w:rPr>
                <w:sz w:val="20"/>
                <w:szCs w:val="20"/>
                <w:lang w:val="fr-CA"/>
              </w:rPr>
              <w:t>.2014</w:t>
            </w:r>
            <w:r w:rsidR="00E4461B">
              <w:rPr>
                <w:sz w:val="20"/>
                <w:szCs w:val="20"/>
                <w:lang w:val="fr-CA"/>
              </w:rPr>
              <w:pict>
                <v:rect id="_x0000_i1028" style="width:108pt;height:1pt" o:hrpct="0" o:hralign="center" o:hrstd="t" o:hrnoshade="t" o:hr="t" fillcolor="black [3213]" stroked="f"/>
              </w:pict>
            </w:r>
          </w:p>
        </w:tc>
      </w:tr>
      <w:tr w:rsidR="0057077B" w:rsidRPr="00A935AA" w:rsidTr="003B3977">
        <w:tc>
          <w:tcPr>
            <w:tcW w:w="4320" w:type="dxa"/>
            <w:shd w:val="clear" w:color="auto" w:fill="auto"/>
          </w:tcPr>
          <w:p w:rsidR="0057077B" w:rsidRDefault="0057077B" w:rsidP="005F1ED8">
            <w:pPr>
              <w:rPr>
                <w:b/>
                <w:sz w:val="20"/>
                <w:szCs w:val="20"/>
                <w:lang w:val="fr-CA"/>
              </w:rPr>
            </w:pPr>
          </w:p>
          <w:p w:rsidR="008877D5" w:rsidRPr="008877D5" w:rsidRDefault="008877D5" w:rsidP="005F1ED8">
            <w:pPr>
              <w:rPr>
                <w:b/>
                <w:sz w:val="20"/>
                <w:szCs w:val="20"/>
                <w:lang w:val="fr-CA"/>
              </w:rPr>
            </w:pPr>
            <w:r>
              <w:rPr>
                <w:b/>
                <w:sz w:val="20"/>
                <w:szCs w:val="20"/>
                <w:lang w:val="fr-CA"/>
              </w:rPr>
              <w:t>Immunovaccine Technologies Inc.</w:t>
            </w:r>
          </w:p>
          <w:p w:rsidR="0057077B" w:rsidRPr="008877D5" w:rsidRDefault="0057077B" w:rsidP="005F1ED8">
            <w:pPr>
              <w:tabs>
                <w:tab w:val="left" w:pos="-1440"/>
                <w:tab w:val="left" w:pos="-720"/>
              </w:tabs>
              <w:rPr>
                <w:sz w:val="20"/>
                <w:szCs w:val="20"/>
                <w:lang w:val="fr-CA"/>
              </w:rPr>
            </w:pPr>
            <w:r w:rsidRPr="008877D5">
              <w:rPr>
                <w:sz w:val="20"/>
                <w:szCs w:val="20"/>
                <w:lang w:val="fr-CA"/>
              </w:rPr>
              <w:tab/>
            </w:r>
            <w:r w:rsidR="008877D5">
              <w:rPr>
                <w:sz w:val="20"/>
                <w:szCs w:val="20"/>
                <w:lang w:val="fr-CA"/>
              </w:rPr>
              <w:t>Bruce S. Russell, Q.C.</w:t>
            </w:r>
          </w:p>
          <w:p w:rsidR="0057077B" w:rsidRPr="00E30277" w:rsidRDefault="0057077B" w:rsidP="005F1ED8">
            <w:pPr>
              <w:tabs>
                <w:tab w:val="left" w:pos="-1440"/>
                <w:tab w:val="left" w:pos="-720"/>
              </w:tabs>
              <w:rPr>
                <w:sz w:val="20"/>
                <w:szCs w:val="20"/>
              </w:rPr>
            </w:pPr>
            <w:r w:rsidRPr="008877D5">
              <w:rPr>
                <w:sz w:val="20"/>
                <w:szCs w:val="20"/>
                <w:lang w:val="fr-CA"/>
              </w:rPr>
              <w:tab/>
            </w:r>
            <w:r w:rsidR="008877D5" w:rsidRPr="00E30277">
              <w:rPr>
                <w:sz w:val="20"/>
                <w:szCs w:val="20"/>
              </w:rPr>
              <w:t>McInnes Cooper</w:t>
            </w:r>
          </w:p>
          <w:p w:rsidR="0057077B" w:rsidRPr="00E30277" w:rsidRDefault="0057077B" w:rsidP="005F1ED8">
            <w:pPr>
              <w:tabs>
                <w:tab w:val="left" w:pos="-1440"/>
                <w:tab w:val="left" w:pos="-720"/>
              </w:tabs>
              <w:rPr>
                <w:sz w:val="20"/>
                <w:szCs w:val="20"/>
              </w:rPr>
            </w:pPr>
          </w:p>
          <w:p w:rsidR="0057077B" w:rsidRPr="00E30277" w:rsidRDefault="0057077B" w:rsidP="005F1ED8">
            <w:pPr>
              <w:tabs>
                <w:tab w:val="left" w:pos="-1440"/>
                <w:tab w:val="left" w:pos="-720"/>
              </w:tabs>
              <w:rPr>
                <w:sz w:val="20"/>
                <w:szCs w:val="20"/>
              </w:rPr>
            </w:pPr>
            <w:r w:rsidRPr="00E30277">
              <w:rPr>
                <w:sz w:val="20"/>
                <w:szCs w:val="20"/>
              </w:rPr>
              <w:tab/>
              <w:t>v. (3</w:t>
            </w:r>
            <w:r w:rsidR="008877D5" w:rsidRPr="00E30277">
              <w:rPr>
                <w:sz w:val="20"/>
                <w:szCs w:val="20"/>
              </w:rPr>
              <w:t>6177</w:t>
            </w:r>
            <w:r w:rsidRPr="00E30277">
              <w:rPr>
                <w:sz w:val="20"/>
                <w:szCs w:val="20"/>
              </w:rPr>
              <w:t>)</w:t>
            </w:r>
          </w:p>
          <w:p w:rsidR="0057077B" w:rsidRPr="00E30277" w:rsidRDefault="0057077B" w:rsidP="005F1ED8">
            <w:pPr>
              <w:tabs>
                <w:tab w:val="left" w:pos="-1440"/>
                <w:tab w:val="left" w:pos="-720"/>
              </w:tabs>
              <w:rPr>
                <w:sz w:val="20"/>
                <w:szCs w:val="20"/>
              </w:rPr>
            </w:pPr>
          </w:p>
          <w:p w:rsidR="0057077B" w:rsidRPr="00E30277" w:rsidRDefault="00E30277" w:rsidP="005F1ED8">
            <w:pPr>
              <w:tabs>
                <w:tab w:val="left" w:pos="-1440"/>
                <w:tab w:val="left" w:pos="-720"/>
              </w:tabs>
              <w:rPr>
                <w:b/>
                <w:sz w:val="20"/>
                <w:szCs w:val="20"/>
              </w:rPr>
            </w:pPr>
            <w:r w:rsidRPr="00E30277">
              <w:rPr>
                <w:b/>
                <w:sz w:val="20"/>
                <w:szCs w:val="20"/>
              </w:rPr>
              <w:t xml:space="preserve">Her Majesty the Queen </w:t>
            </w:r>
            <w:r w:rsidR="0057077B" w:rsidRPr="00E30277">
              <w:rPr>
                <w:b/>
                <w:sz w:val="20"/>
                <w:szCs w:val="20"/>
              </w:rPr>
              <w:t>(</w:t>
            </w:r>
            <w:r w:rsidRPr="00E30277">
              <w:rPr>
                <w:b/>
                <w:sz w:val="20"/>
                <w:szCs w:val="20"/>
              </w:rPr>
              <w:t>F.C</w:t>
            </w:r>
            <w:r w:rsidR="0057077B" w:rsidRPr="00E30277">
              <w:rPr>
                <w:b/>
                <w:sz w:val="20"/>
                <w:szCs w:val="20"/>
              </w:rPr>
              <w:t>.)</w:t>
            </w:r>
          </w:p>
          <w:p w:rsidR="0057077B" w:rsidRPr="00E30277" w:rsidRDefault="0057077B" w:rsidP="005F1ED8">
            <w:pPr>
              <w:tabs>
                <w:tab w:val="left" w:pos="-1440"/>
                <w:tab w:val="left" w:pos="-720"/>
              </w:tabs>
              <w:rPr>
                <w:sz w:val="20"/>
                <w:szCs w:val="20"/>
              </w:rPr>
            </w:pPr>
            <w:r w:rsidRPr="00E30277">
              <w:rPr>
                <w:sz w:val="20"/>
                <w:szCs w:val="20"/>
              </w:rPr>
              <w:tab/>
            </w:r>
            <w:r w:rsidR="00E30277">
              <w:rPr>
                <w:sz w:val="20"/>
                <w:szCs w:val="20"/>
              </w:rPr>
              <w:t>Daniel Bourgeois</w:t>
            </w:r>
          </w:p>
          <w:p w:rsidR="0057077B" w:rsidRPr="00E30277" w:rsidRDefault="0057077B" w:rsidP="005F1ED8">
            <w:pPr>
              <w:tabs>
                <w:tab w:val="left" w:pos="-1440"/>
                <w:tab w:val="left" w:pos="-720"/>
              </w:tabs>
              <w:rPr>
                <w:sz w:val="20"/>
                <w:szCs w:val="20"/>
              </w:rPr>
            </w:pPr>
            <w:r w:rsidRPr="00E30277">
              <w:rPr>
                <w:sz w:val="20"/>
                <w:szCs w:val="20"/>
              </w:rPr>
              <w:tab/>
            </w:r>
            <w:r w:rsidR="00E30277">
              <w:rPr>
                <w:sz w:val="20"/>
                <w:szCs w:val="20"/>
              </w:rPr>
              <w:t>A.G. of Canada</w:t>
            </w:r>
          </w:p>
          <w:p w:rsidR="0057077B" w:rsidRPr="00E30277" w:rsidRDefault="0057077B" w:rsidP="005F1ED8">
            <w:pPr>
              <w:tabs>
                <w:tab w:val="left" w:pos="-1440"/>
                <w:tab w:val="left" w:pos="-720"/>
              </w:tabs>
              <w:rPr>
                <w:sz w:val="20"/>
                <w:szCs w:val="20"/>
              </w:rPr>
            </w:pPr>
          </w:p>
          <w:p w:rsidR="0057077B" w:rsidRPr="008877D5" w:rsidRDefault="0057077B" w:rsidP="00E30277">
            <w:pPr>
              <w:rPr>
                <w:sz w:val="20"/>
                <w:szCs w:val="20"/>
                <w:lang w:val="fr-CA"/>
              </w:rPr>
            </w:pPr>
            <w:r w:rsidRPr="008877D5">
              <w:rPr>
                <w:sz w:val="20"/>
                <w:szCs w:val="20"/>
                <w:lang w:val="fr-CA"/>
              </w:rPr>
              <w:t xml:space="preserve">FILING DATE: </w:t>
            </w:r>
            <w:r w:rsidR="00E30277">
              <w:rPr>
                <w:sz w:val="20"/>
                <w:szCs w:val="20"/>
                <w:lang w:val="fr-CA"/>
              </w:rPr>
              <w:t>17</w:t>
            </w:r>
            <w:r w:rsidRPr="008877D5">
              <w:rPr>
                <w:sz w:val="20"/>
                <w:szCs w:val="20"/>
                <w:lang w:val="fr-CA"/>
              </w:rPr>
              <w:t>.</w:t>
            </w:r>
            <w:r w:rsidR="00E30277">
              <w:rPr>
                <w:sz w:val="20"/>
                <w:szCs w:val="20"/>
                <w:lang w:val="fr-CA"/>
              </w:rPr>
              <w:t>11</w:t>
            </w:r>
            <w:r w:rsidRPr="008877D5">
              <w:rPr>
                <w:sz w:val="20"/>
                <w:szCs w:val="20"/>
                <w:lang w:val="fr-CA"/>
              </w:rPr>
              <w:t>.2014</w:t>
            </w:r>
            <w:r w:rsidR="00E4461B">
              <w:rPr>
                <w:sz w:val="20"/>
                <w:szCs w:val="20"/>
                <w:lang w:val="fr-CA"/>
              </w:rPr>
              <w:pict>
                <v:rect id="_x0000_i1029" style="width:108pt;height:1pt" o:hrpct="0" o:hralign="center" o:hrstd="t" o:hrnoshade="t" o:hr="t" fillcolor="black [3213]" stroked="f"/>
              </w:pict>
            </w:r>
          </w:p>
        </w:tc>
        <w:tc>
          <w:tcPr>
            <w:tcW w:w="1181" w:type="dxa"/>
            <w:shd w:val="clear" w:color="auto" w:fill="auto"/>
          </w:tcPr>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Pr="008877D5" w:rsidRDefault="0057077B" w:rsidP="00242AEE">
            <w:pPr>
              <w:jc w:val="center"/>
              <w:rPr>
                <w:sz w:val="20"/>
                <w:szCs w:val="20"/>
                <w:lang w:val="fr-CA"/>
              </w:rPr>
            </w:pPr>
          </w:p>
          <w:p w:rsidR="0057077B" w:rsidRDefault="0057077B" w:rsidP="00242AEE">
            <w:pPr>
              <w:jc w:val="center"/>
              <w:rPr>
                <w:sz w:val="20"/>
                <w:szCs w:val="20"/>
                <w:lang w:val="fr-CA"/>
              </w:rPr>
            </w:pPr>
          </w:p>
          <w:p w:rsidR="00E30277" w:rsidRPr="008877D5" w:rsidRDefault="00E30277" w:rsidP="00242AEE">
            <w:pPr>
              <w:jc w:val="center"/>
              <w:rPr>
                <w:sz w:val="20"/>
                <w:szCs w:val="20"/>
                <w:lang w:val="fr-CA"/>
              </w:rPr>
            </w:pPr>
          </w:p>
          <w:p w:rsidR="0057077B" w:rsidRPr="008877D5" w:rsidRDefault="0057077B" w:rsidP="00242AEE">
            <w:pPr>
              <w:jc w:val="center"/>
              <w:rPr>
                <w:sz w:val="20"/>
                <w:szCs w:val="20"/>
                <w:lang w:val="fr-CA"/>
              </w:rPr>
            </w:pPr>
          </w:p>
        </w:tc>
        <w:tc>
          <w:tcPr>
            <w:tcW w:w="4320" w:type="dxa"/>
            <w:shd w:val="clear" w:color="auto" w:fill="auto"/>
          </w:tcPr>
          <w:p w:rsidR="0057077B" w:rsidRPr="00806A5B" w:rsidRDefault="00E30277" w:rsidP="006E1D53">
            <w:pPr>
              <w:keepNext/>
              <w:keepLines/>
              <w:tabs>
                <w:tab w:val="left" w:pos="-1440"/>
                <w:tab w:val="left" w:pos="-720"/>
              </w:tabs>
              <w:rPr>
                <w:b/>
                <w:sz w:val="20"/>
                <w:szCs w:val="20"/>
                <w:lang w:val="fr-CA"/>
              </w:rPr>
            </w:pPr>
            <w:r>
              <w:rPr>
                <w:b/>
                <w:sz w:val="20"/>
                <w:szCs w:val="20"/>
                <w:lang w:val="fr-CA"/>
              </w:rPr>
              <w:t>Sharon Baron</w:t>
            </w:r>
          </w:p>
          <w:p w:rsidR="0057077B" w:rsidRPr="00806A5B" w:rsidRDefault="0057077B" w:rsidP="006E1D53">
            <w:pPr>
              <w:keepNext/>
              <w:keepLines/>
              <w:tabs>
                <w:tab w:val="left" w:pos="-1440"/>
                <w:tab w:val="left" w:pos="-720"/>
              </w:tabs>
              <w:rPr>
                <w:sz w:val="20"/>
                <w:szCs w:val="20"/>
                <w:lang w:val="fr-CA"/>
              </w:rPr>
            </w:pPr>
            <w:r w:rsidRPr="00806A5B">
              <w:rPr>
                <w:sz w:val="20"/>
                <w:szCs w:val="20"/>
                <w:lang w:val="fr-CA"/>
              </w:rPr>
              <w:tab/>
            </w:r>
            <w:r w:rsidR="00E30277">
              <w:rPr>
                <w:sz w:val="20"/>
                <w:szCs w:val="20"/>
                <w:lang w:val="fr-CA"/>
              </w:rPr>
              <w:t>Yves G</w:t>
            </w:r>
            <w:r w:rsidRPr="00806A5B">
              <w:rPr>
                <w:sz w:val="20"/>
                <w:szCs w:val="20"/>
                <w:lang w:val="fr-CA"/>
              </w:rPr>
              <w:t>r</w:t>
            </w:r>
            <w:r w:rsidR="00E30277">
              <w:rPr>
                <w:sz w:val="20"/>
                <w:szCs w:val="20"/>
                <w:lang w:val="fr-CA"/>
              </w:rPr>
              <w:t>at</w:t>
            </w:r>
            <w:r w:rsidRPr="00806A5B">
              <w:rPr>
                <w:sz w:val="20"/>
                <w:szCs w:val="20"/>
                <w:lang w:val="fr-CA"/>
              </w:rPr>
              <w:t>t</w:t>
            </w:r>
            <w:r w:rsidR="00E30277">
              <w:rPr>
                <w:sz w:val="20"/>
                <w:szCs w:val="20"/>
                <w:lang w:val="fr-CA"/>
              </w:rPr>
              <w:t>on</w:t>
            </w:r>
          </w:p>
          <w:p w:rsidR="0057077B" w:rsidRPr="00806A5B" w:rsidRDefault="0057077B" w:rsidP="006E1D53">
            <w:pPr>
              <w:keepNext/>
              <w:keepLines/>
              <w:tabs>
                <w:tab w:val="left" w:pos="-1440"/>
                <w:tab w:val="left" w:pos="-720"/>
              </w:tabs>
              <w:rPr>
                <w:sz w:val="20"/>
                <w:szCs w:val="20"/>
                <w:lang w:val="fr-CA"/>
              </w:rPr>
            </w:pPr>
            <w:r w:rsidRPr="00806A5B">
              <w:rPr>
                <w:sz w:val="20"/>
                <w:szCs w:val="20"/>
                <w:lang w:val="fr-CA"/>
              </w:rPr>
              <w:tab/>
            </w:r>
            <w:r w:rsidR="00E30277">
              <w:rPr>
                <w:sz w:val="20"/>
                <w:szCs w:val="20"/>
                <w:lang w:val="fr-CA"/>
              </w:rPr>
              <w:t>Des Longchamps</w:t>
            </w:r>
            <w:r w:rsidRPr="00806A5B">
              <w:rPr>
                <w:sz w:val="20"/>
                <w:szCs w:val="20"/>
                <w:lang w:val="fr-CA"/>
              </w:rPr>
              <w:t xml:space="preserve">, </w:t>
            </w:r>
            <w:r w:rsidR="00E30277">
              <w:rPr>
                <w:sz w:val="20"/>
                <w:szCs w:val="20"/>
                <w:lang w:val="fr-CA"/>
              </w:rPr>
              <w:t>B</w:t>
            </w:r>
            <w:r w:rsidRPr="00806A5B">
              <w:rPr>
                <w:sz w:val="20"/>
                <w:szCs w:val="20"/>
                <w:lang w:val="fr-CA"/>
              </w:rPr>
              <w:t>ou</w:t>
            </w:r>
            <w:r w:rsidR="00E30277">
              <w:rPr>
                <w:sz w:val="20"/>
                <w:szCs w:val="20"/>
                <w:lang w:val="fr-CA"/>
              </w:rPr>
              <w:t>r</w:t>
            </w:r>
            <w:r w:rsidRPr="00806A5B">
              <w:rPr>
                <w:sz w:val="20"/>
                <w:szCs w:val="20"/>
                <w:lang w:val="fr-CA"/>
              </w:rPr>
              <w:t>a</w:t>
            </w:r>
            <w:r w:rsidR="00E30277">
              <w:rPr>
                <w:sz w:val="20"/>
                <w:szCs w:val="20"/>
                <w:lang w:val="fr-CA"/>
              </w:rPr>
              <w:t xml:space="preserve">ssa, Trudeau &amp; </w:t>
            </w:r>
            <w:r w:rsidR="00E30277">
              <w:rPr>
                <w:sz w:val="20"/>
                <w:szCs w:val="20"/>
                <w:lang w:val="fr-CA"/>
              </w:rPr>
              <w:tab/>
              <w:t>Lafran</w:t>
            </w:r>
            <w:r w:rsidRPr="00806A5B">
              <w:rPr>
                <w:sz w:val="20"/>
                <w:szCs w:val="20"/>
                <w:lang w:val="fr-CA"/>
              </w:rPr>
              <w:t>c</w:t>
            </w:r>
            <w:r w:rsidR="00E30277">
              <w:rPr>
                <w:sz w:val="20"/>
                <w:szCs w:val="20"/>
                <w:lang w:val="fr-CA"/>
              </w:rPr>
              <w:t>e</w:t>
            </w:r>
          </w:p>
          <w:p w:rsidR="0057077B" w:rsidRPr="00806A5B" w:rsidRDefault="0057077B" w:rsidP="006E1D53">
            <w:pPr>
              <w:keepNext/>
              <w:keepLines/>
              <w:tabs>
                <w:tab w:val="left" w:pos="-1440"/>
                <w:tab w:val="left" w:pos="-720"/>
              </w:tabs>
              <w:rPr>
                <w:sz w:val="20"/>
                <w:szCs w:val="20"/>
                <w:lang w:val="fr-CA"/>
              </w:rPr>
            </w:pPr>
          </w:p>
          <w:p w:rsidR="0057077B" w:rsidRPr="00806A5B" w:rsidRDefault="0057077B" w:rsidP="006E1D53">
            <w:pPr>
              <w:keepNext/>
              <w:keepLines/>
              <w:tabs>
                <w:tab w:val="left" w:pos="-1440"/>
                <w:tab w:val="left" w:pos="-720"/>
              </w:tabs>
              <w:rPr>
                <w:sz w:val="20"/>
                <w:szCs w:val="20"/>
                <w:lang w:val="fr-CA"/>
              </w:rPr>
            </w:pPr>
            <w:r w:rsidRPr="00806A5B">
              <w:rPr>
                <w:sz w:val="20"/>
                <w:szCs w:val="20"/>
                <w:lang w:val="fr-CA"/>
              </w:rPr>
              <w:tab/>
              <w:t>c. (36</w:t>
            </w:r>
            <w:r w:rsidR="00E30277">
              <w:rPr>
                <w:sz w:val="20"/>
                <w:szCs w:val="20"/>
                <w:lang w:val="fr-CA"/>
              </w:rPr>
              <w:t>1</w:t>
            </w:r>
            <w:r w:rsidRPr="00806A5B">
              <w:rPr>
                <w:sz w:val="20"/>
                <w:szCs w:val="20"/>
                <w:lang w:val="fr-CA"/>
              </w:rPr>
              <w:t>7</w:t>
            </w:r>
            <w:r w:rsidR="00E30277">
              <w:rPr>
                <w:sz w:val="20"/>
                <w:szCs w:val="20"/>
                <w:lang w:val="fr-CA"/>
              </w:rPr>
              <w:t>3</w:t>
            </w:r>
            <w:r w:rsidRPr="00806A5B">
              <w:rPr>
                <w:sz w:val="20"/>
                <w:szCs w:val="20"/>
                <w:lang w:val="fr-CA"/>
              </w:rPr>
              <w:t>)</w:t>
            </w:r>
          </w:p>
          <w:p w:rsidR="0057077B" w:rsidRPr="00806A5B" w:rsidRDefault="0057077B" w:rsidP="006E1D53">
            <w:pPr>
              <w:keepNext/>
              <w:keepLines/>
              <w:tabs>
                <w:tab w:val="left" w:pos="-1440"/>
                <w:tab w:val="left" w:pos="-720"/>
              </w:tabs>
              <w:rPr>
                <w:sz w:val="20"/>
                <w:szCs w:val="20"/>
                <w:lang w:val="fr-CA"/>
              </w:rPr>
            </w:pPr>
          </w:p>
          <w:p w:rsidR="0057077B" w:rsidRPr="00806A5B" w:rsidRDefault="0057077B" w:rsidP="006E1D53">
            <w:pPr>
              <w:keepNext/>
              <w:keepLines/>
              <w:tabs>
                <w:tab w:val="left" w:pos="-1440"/>
                <w:tab w:val="left" w:pos="-720"/>
              </w:tabs>
              <w:rPr>
                <w:b/>
                <w:sz w:val="20"/>
                <w:szCs w:val="20"/>
                <w:lang w:val="fr-CA"/>
              </w:rPr>
            </w:pPr>
            <w:r w:rsidRPr="00806A5B">
              <w:rPr>
                <w:b/>
                <w:sz w:val="20"/>
                <w:szCs w:val="20"/>
                <w:lang w:val="fr-CA"/>
              </w:rPr>
              <w:t>Sa Majesté la Reine (Qc)</w:t>
            </w:r>
          </w:p>
          <w:p w:rsidR="0057077B" w:rsidRPr="00806A5B" w:rsidRDefault="0057077B" w:rsidP="006E1D53">
            <w:pPr>
              <w:keepNext/>
              <w:keepLines/>
              <w:tabs>
                <w:tab w:val="left" w:pos="-1440"/>
                <w:tab w:val="left" w:pos="-720"/>
              </w:tabs>
              <w:rPr>
                <w:sz w:val="20"/>
                <w:szCs w:val="20"/>
                <w:lang w:val="fr-CA"/>
              </w:rPr>
            </w:pPr>
            <w:r w:rsidRPr="00806A5B">
              <w:rPr>
                <w:sz w:val="20"/>
                <w:szCs w:val="20"/>
                <w:lang w:val="fr-CA"/>
              </w:rPr>
              <w:tab/>
            </w:r>
            <w:r w:rsidR="00E30277">
              <w:rPr>
                <w:sz w:val="20"/>
                <w:szCs w:val="20"/>
                <w:lang w:val="fr-CA"/>
              </w:rPr>
              <w:t>D</w:t>
            </w:r>
            <w:r>
              <w:rPr>
                <w:sz w:val="20"/>
                <w:szCs w:val="20"/>
                <w:lang w:val="fr-CA"/>
              </w:rPr>
              <w:t>enn</w:t>
            </w:r>
            <w:r w:rsidR="00E30277">
              <w:rPr>
                <w:sz w:val="20"/>
                <w:szCs w:val="20"/>
                <w:lang w:val="fr-CA"/>
              </w:rPr>
              <w:t>is</w:t>
            </w:r>
            <w:r w:rsidR="00937236">
              <w:rPr>
                <w:sz w:val="20"/>
                <w:szCs w:val="20"/>
                <w:lang w:val="fr-CA"/>
              </w:rPr>
              <w:t xml:space="preserve"> Galiatsatos</w:t>
            </w:r>
          </w:p>
          <w:p w:rsidR="0057077B" w:rsidRPr="00806A5B" w:rsidRDefault="0057077B" w:rsidP="006E1D53">
            <w:pPr>
              <w:keepNext/>
              <w:keepLines/>
              <w:tabs>
                <w:tab w:val="left" w:pos="-1440"/>
                <w:tab w:val="left" w:pos="-720"/>
              </w:tabs>
              <w:rPr>
                <w:sz w:val="20"/>
                <w:szCs w:val="20"/>
                <w:lang w:val="fr-CA"/>
              </w:rPr>
            </w:pPr>
            <w:r w:rsidRPr="00806A5B">
              <w:rPr>
                <w:sz w:val="20"/>
                <w:szCs w:val="20"/>
                <w:lang w:val="fr-CA"/>
              </w:rPr>
              <w:tab/>
            </w:r>
            <w:r>
              <w:rPr>
                <w:sz w:val="20"/>
                <w:szCs w:val="20"/>
                <w:lang w:val="fr-CA"/>
              </w:rPr>
              <w:t xml:space="preserve">Poursuites criminelles et pénales du </w:t>
            </w:r>
            <w:r>
              <w:rPr>
                <w:sz w:val="20"/>
                <w:szCs w:val="20"/>
                <w:lang w:val="fr-CA"/>
              </w:rPr>
              <w:tab/>
              <w:t>Québec</w:t>
            </w:r>
          </w:p>
          <w:p w:rsidR="0057077B" w:rsidRPr="00806A5B" w:rsidRDefault="0057077B" w:rsidP="006E1D53">
            <w:pPr>
              <w:keepNext/>
              <w:keepLines/>
              <w:tabs>
                <w:tab w:val="left" w:pos="-1440"/>
                <w:tab w:val="left" w:pos="-720"/>
              </w:tabs>
              <w:rPr>
                <w:sz w:val="20"/>
                <w:szCs w:val="20"/>
                <w:lang w:val="fr-CA"/>
              </w:rPr>
            </w:pPr>
          </w:p>
          <w:p w:rsidR="0057077B" w:rsidRPr="00806A5B" w:rsidRDefault="0057077B" w:rsidP="00E30277">
            <w:pPr>
              <w:rPr>
                <w:sz w:val="20"/>
                <w:szCs w:val="20"/>
                <w:lang w:val="fr-CA"/>
              </w:rPr>
            </w:pPr>
            <w:r w:rsidRPr="00806A5B">
              <w:rPr>
                <w:sz w:val="20"/>
                <w:szCs w:val="20"/>
                <w:lang w:val="fr-CA"/>
              </w:rPr>
              <w:t>DATE DE PRODUCTION</w:t>
            </w:r>
            <w:r w:rsidR="00E30277">
              <w:rPr>
                <w:sz w:val="20"/>
                <w:szCs w:val="20"/>
                <w:lang w:val="fr-CA"/>
              </w:rPr>
              <w:t xml:space="preserve"> </w:t>
            </w:r>
            <w:r w:rsidRPr="00806A5B">
              <w:rPr>
                <w:sz w:val="20"/>
                <w:szCs w:val="20"/>
                <w:lang w:val="fr-CA"/>
              </w:rPr>
              <w:t>: 1</w:t>
            </w:r>
            <w:r w:rsidR="00E30277">
              <w:rPr>
                <w:sz w:val="20"/>
                <w:szCs w:val="20"/>
                <w:lang w:val="fr-CA"/>
              </w:rPr>
              <w:t>7.1</w:t>
            </w:r>
            <w:r w:rsidRPr="00806A5B">
              <w:rPr>
                <w:sz w:val="20"/>
                <w:szCs w:val="20"/>
                <w:lang w:val="fr-CA"/>
              </w:rPr>
              <w:t>1.2014</w:t>
            </w:r>
            <w:r w:rsidR="00E4461B">
              <w:rPr>
                <w:sz w:val="20"/>
                <w:szCs w:val="20"/>
                <w:lang w:val="fr-CA"/>
              </w:rPr>
              <w:pict>
                <v:rect id="_x0000_i1030" style="width:108pt;height:1pt" o:hrpct="0" o:hralign="center" o:hrstd="t" o:hrnoshade="t" o:hr="t" fillcolor="black [3213]" stroked="f"/>
              </w:pict>
            </w:r>
          </w:p>
        </w:tc>
      </w:tr>
      <w:tr w:rsidR="00C21644" w:rsidRPr="00E4461B" w:rsidTr="003B3977">
        <w:trPr>
          <w:cantSplit/>
        </w:trPr>
        <w:tc>
          <w:tcPr>
            <w:tcW w:w="4320" w:type="dxa"/>
            <w:shd w:val="clear" w:color="auto" w:fill="auto"/>
          </w:tcPr>
          <w:p w:rsidR="00C21644" w:rsidRPr="00A935AA" w:rsidRDefault="00E30277" w:rsidP="005F1ED8">
            <w:pPr>
              <w:rPr>
                <w:b/>
                <w:sz w:val="20"/>
                <w:szCs w:val="20"/>
              </w:rPr>
            </w:pPr>
            <w:r>
              <w:rPr>
                <w:b/>
                <w:sz w:val="20"/>
                <w:szCs w:val="20"/>
              </w:rPr>
              <w:t>Daryle Jackson Blackduck</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Michael J. Martin</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Community Legal Aid Clinic</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E30277">
              <w:rPr>
                <w:sz w:val="20"/>
                <w:szCs w:val="20"/>
              </w:rPr>
              <w:t>618</w:t>
            </w:r>
            <w:r>
              <w:rPr>
                <w:sz w:val="20"/>
                <w:szCs w:val="20"/>
              </w:rPr>
              <w:t>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E30277"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N.W.T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Alexander P. Godfrey</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Public Prosecution Service of Canada</w:t>
            </w:r>
          </w:p>
          <w:p w:rsidR="00C21644" w:rsidRPr="00A935AA" w:rsidRDefault="00C21644" w:rsidP="005F1ED8">
            <w:pPr>
              <w:tabs>
                <w:tab w:val="left" w:pos="-1440"/>
                <w:tab w:val="left" w:pos="-720"/>
              </w:tabs>
              <w:rPr>
                <w:sz w:val="20"/>
                <w:szCs w:val="20"/>
              </w:rPr>
            </w:pPr>
          </w:p>
          <w:p w:rsidR="00C21644" w:rsidRPr="00A935AA" w:rsidRDefault="00C21644" w:rsidP="00E30277">
            <w:pPr>
              <w:rPr>
                <w:sz w:val="20"/>
                <w:szCs w:val="20"/>
              </w:rPr>
            </w:pPr>
            <w:r w:rsidRPr="00A935AA">
              <w:rPr>
                <w:sz w:val="20"/>
                <w:szCs w:val="20"/>
              </w:rPr>
              <w:t>FILING DATE: 2</w:t>
            </w:r>
            <w:r w:rsidR="00E30277">
              <w:rPr>
                <w:sz w:val="20"/>
                <w:szCs w:val="20"/>
              </w:rPr>
              <w:t>0</w:t>
            </w:r>
            <w:r w:rsidRPr="00A935AA">
              <w:rPr>
                <w:sz w:val="20"/>
                <w:szCs w:val="20"/>
              </w:rPr>
              <w:t>.</w:t>
            </w:r>
            <w:r w:rsidR="00E30277">
              <w:rPr>
                <w:sz w:val="20"/>
                <w:szCs w:val="20"/>
              </w:rPr>
              <w:t>11</w:t>
            </w:r>
            <w:r w:rsidRPr="00A935AA">
              <w:rPr>
                <w:sz w:val="20"/>
                <w:szCs w:val="20"/>
              </w:rPr>
              <w:t>.201</w:t>
            </w:r>
            <w:r>
              <w:rPr>
                <w:sz w:val="20"/>
                <w:szCs w:val="20"/>
              </w:rPr>
              <w:t>4</w:t>
            </w:r>
            <w:r w:rsidR="00E4461B">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E30277" w:rsidRPr="00A935AA" w:rsidRDefault="00E30277" w:rsidP="00242AEE">
            <w:pPr>
              <w:jc w:val="center"/>
              <w:rPr>
                <w:sz w:val="20"/>
                <w:szCs w:val="20"/>
              </w:rPr>
            </w:pPr>
          </w:p>
        </w:tc>
        <w:tc>
          <w:tcPr>
            <w:tcW w:w="4320" w:type="dxa"/>
            <w:shd w:val="clear" w:color="auto" w:fill="auto"/>
          </w:tcPr>
          <w:p w:rsidR="00C21644" w:rsidRDefault="00C21644" w:rsidP="005F1ED8">
            <w:pPr>
              <w:rPr>
                <w:b/>
                <w:sz w:val="20"/>
                <w:szCs w:val="20"/>
              </w:rPr>
            </w:pPr>
          </w:p>
          <w:p w:rsidR="00E30277" w:rsidRPr="00A935AA" w:rsidRDefault="00E30277" w:rsidP="005F1ED8">
            <w:pPr>
              <w:rPr>
                <w:b/>
                <w:sz w:val="20"/>
                <w:szCs w:val="20"/>
              </w:rPr>
            </w:pPr>
            <w:r>
              <w:rPr>
                <w:b/>
                <w:sz w:val="20"/>
                <w:szCs w:val="20"/>
              </w:rPr>
              <w:t>4345126 Canada Inc.</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Patrick Girard</w:t>
            </w:r>
          </w:p>
          <w:p w:rsidR="00C21644" w:rsidRPr="00A935AA" w:rsidRDefault="00C21644" w:rsidP="005F1ED8">
            <w:pPr>
              <w:tabs>
                <w:tab w:val="left" w:pos="-1440"/>
                <w:tab w:val="left" w:pos="-720"/>
              </w:tabs>
              <w:rPr>
                <w:sz w:val="20"/>
                <w:szCs w:val="20"/>
              </w:rPr>
            </w:pPr>
            <w:r w:rsidRPr="00A935AA">
              <w:rPr>
                <w:sz w:val="20"/>
                <w:szCs w:val="20"/>
              </w:rPr>
              <w:tab/>
            </w:r>
            <w:r w:rsidR="00E30277">
              <w:rPr>
                <w:sz w:val="20"/>
                <w:szCs w:val="20"/>
              </w:rPr>
              <w:t>Stikeman Elliott LLP</w:t>
            </w:r>
          </w:p>
          <w:p w:rsidR="00C21644" w:rsidRPr="00A935AA" w:rsidRDefault="00C21644" w:rsidP="005F1ED8">
            <w:pPr>
              <w:tabs>
                <w:tab w:val="left" w:pos="-1440"/>
                <w:tab w:val="left" w:pos="-720"/>
              </w:tabs>
              <w:rPr>
                <w:sz w:val="20"/>
                <w:szCs w:val="20"/>
              </w:rPr>
            </w:pPr>
          </w:p>
          <w:p w:rsidR="00C21644" w:rsidRPr="00E30277" w:rsidRDefault="00C21644" w:rsidP="005F1ED8">
            <w:pPr>
              <w:tabs>
                <w:tab w:val="left" w:pos="-1440"/>
                <w:tab w:val="left" w:pos="-720"/>
              </w:tabs>
              <w:rPr>
                <w:sz w:val="20"/>
                <w:szCs w:val="20"/>
                <w:lang w:val="fr-CA"/>
              </w:rPr>
            </w:pPr>
            <w:r w:rsidRPr="00A935AA">
              <w:rPr>
                <w:sz w:val="20"/>
                <w:szCs w:val="20"/>
              </w:rPr>
              <w:tab/>
            </w:r>
            <w:r w:rsidR="00E30277" w:rsidRPr="00E30277">
              <w:rPr>
                <w:sz w:val="20"/>
                <w:szCs w:val="20"/>
                <w:lang w:val="fr-CA"/>
              </w:rPr>
              <w:t>c</w:t>
            </w:r>
            <w:r w:rsidRPr="00E30277">
              <w:rPr>
                <w:sz w:val="20"/>
                <w:szCs w:val="20"/>
                <w:lang w:val="fr-CA"/>
              </w:rPr>
              <w:t>. (3</w:t>
            </w:r>
            <w:r w:rsidR="00E30277" w:rsidRPr="00E30277">
              <w:rPr>
                <w:sz w:val="20"/>
                <w:szCs w:val="20"/>
                <w:lang w:val="fr-CA"/>
              </w:rPr>
              <w:t>6180</w:t>
            </w:r>
            <w:r w:rsidRPr="00E30277">
              <w:rPr>
                <w:sz w:val="20"/>
                <w:szCs w:val="20"/>
                <w:lang w:val="fr-CA"/>
              </w:rPr>
              <w:t>)</w:t>
            </w:r>
          </w:p>
          <w:p w:rsidR="00C21644" w:rsidRPr="00E30277" w:rsidRDefault="00C21644" w:rsidP="005F1ED8">
            <w:pPr>
              <w:tabs>
                <w:tab w:val="left" w:pos="-1440"/>
                <w:tab w:val="left" w:pos="-720"/>
              </w:tabs>
              <w:rPr>
                <w:sz w:val="20"/>
                <w:szCs w:val="20"/>
                <w:lang w:val="fr-CA"/>
              </w:rPr>
            </w:pPr>
          </w:p>
          <w:p w:rsidR="00C21644" w:rsidRPr="00E30277" w:rsidRDefault="00E30277" w:rsidP="005F1ED8">
            <w:pPr>
              <w:tabs>
                <w:tab w:val="left" w:pos="-1440"/>
                <w:tab w:val="left" w:pos="-720"/>
              </w:tabs>
              <w:rPr>
                <w:b/>
                <w:sz w:val="20"/>
                <w:szCs w:val="20"/>
                <w:lang w:val="fr-CA"/>
              </w:rPr>
            </w:pPr>
            <w:r w:rsidRPr="00E30277">
              <w:rPr>
                <w:b/>
                <w:sz w:val="20"/>
                <w:szCs w:val="20"/>
                <w:lang w:val="fr-CA"/>
              </w:rPr>
              <w:t xml:space="preserve">Serge Bruneau et autres </w:t>
            </w:r>
            <w:r w:rsidR="00C21644" w:rsidRPr="00E30277">
              <w:rPr>
                <w:b/>
                <w:sz w:val="20"/>
                <w:szCs w:val="20"/>
                <w:lang w:val="fr-CA"/>
              </w:rPr>
              <w:t>(</w:t>
            </w:r>
            <w:r w:rsidRPr="00E30277">
              <w:rPr>
                <w:b/>
                <w:sz w:val="20"/>
                <w:szCs w:val="20"/>
                <w:lang w:val="fr-CA"/>
              </w:rPr>
              <w:t>Qc</w:t>
            </w:r>
            <w:r w:rsidR="00C21644" w:rsidRPr="00E30277">
              <w:rPr>
                <w:b/>
                <w:sz w:val="20"/>
                <w:szCs w:val="20"/>
                <w:lang w:val="fr-CA"/>
              </w:rPr>
              <w:t>)</w:t>
            </w:r>
          </w:p>
          <w:p w:rsidR="00C21644" w:rsidRPr="00E30277" w:rsidRDefault="00C21644" w:rsidP="005F1ED8">
            <w:pPr>
              <w:tabs>
                <w:tab w:val="left" w:pos="-1440"/>
                <w:tab w:val="left" w:pos="-720"/>
              </w:tabs>
              <w:rPr>
                <w:sz w:val="20"/>
                <w:szCs w:val="20"/>
                <w:lang w:val="fr-CA"/>
              </w:rPr>
            </w:pPr>
            <w:r w:rsidRPr="00E30277">
              <w:rPr>
                <w:sz w:val="20"/>
                <w:szCs w:val="20"/>
                <w:lang w:val="fr-CA"/>
              </w:rPr>
              <w:tab/>
            </w:r>
            <w:r w:rsidR="00E30277">
              <w:rPr>
                <w:sz w:val="20"/>
                <w:szCs w:val="20"/>
                <w:lang w:val="fr-CA"/>
              </w:rPr>
              <w:t>Denyse Langelier</w:t>
            </w:r>
          </w:p>
          <w:p w:rsidR="00C21644" w:rsidRPr="00E30277" w:rsidRDefault="00C21644" w:rsidP="005F1ED8">
            <w:pPr>
              <w:tabs>
                <w:tab w:val="left" w:pos="-1440"/>
                <w:tab w:val="left" w:pos="-720"/>
              </w:tabs>
              <w:rPr>
                <w:sz w:val="20"/>
                <w:szCs w:val="20"/>
                <w:lang w:val="fr-CA"/>
              </w:rPr>
            </w:pPr>
          </w:p>
          <w:p w:rsidR="00C21644" w:rsidRPr="0084682C" w:rsidRDefault="00E30277" w:rsidP="00E30277">
            <w:pPr>
              <w:rPr>
                <w:sz w:val="20"/>
                <w:szCs w:val="20"/>
                <w:lang w:val="fr-CA"/>
              </w:rPr>
            </w:pPr>
            <w:r w:rsidRPr="00806A5B">
              <w:rPr>
                <w:sz w:val="20"/>
                <w:szCs w:val="20"/>
                <w:lang w:val="fr-CA"/>
              </w:rPr>
              <w:t>DATE DE PRODUCTION</w:t>
            </w:r>
            <w:r>
              <w:rPr>
                <w:sz w:val="20"/>
                <w:szCs w:val="20"/>
                <w:lang w:val="fr-CA"/>
              </w:rPr>
              <w:t xml:space="preserve"> </w:t>
            </w:r>
            <w:r w:rsidRPr="00806A5B">
              <w:rPr>
                <w:sz w:val="20"/>
                <w:szCs w:val="20"/>
                <w:lang w:val="fr-CA"/>
              </w:rPr>
              <w:t>: 1</w:t>
            </w:r>
            <w:r>
              <w:rPr>
                <w:sz w:val="20"/>
                <w:szCs w:val="20"/>
                <w:lang w:val="fr-CA"/>
              </w:rPr>
              <w:t>8.1</w:t>
            </w:r>
            <w:r w:rsidRPr="00806A5B">
              <w:rPr>
                <w:sz w:val="20"/>
                <w:szCs w:val="20"/>
                <w:lang w:val="fr-CA"/>
              </w:rPr>
              <w:t>1.2014</w:t>
            </w:r>
            <w:r w:rsidR="00E4461B">
              <w:rPr>
                <w:sz w:val="20"/>
                <w:szCs w:val="20"/>
                <w:lang w:val="fr-CA"/>
              </w:rPr>
              <w:pict>
                <v:rect id="_x0000_i1032" style="width:108pt;height:1pt" o:hrpct="0" o:hralign="center" o:hrstd="t" o:hrnoshade="t" o:hr="t" fillcolor="black [3213]" stroked="f"/>
              </w:pict>
            </w:r>
          </w:p>
        </w:tc>
      </w:tr>
    </w:tbl>
    <w:p w:rsidR="00242AEE" w:rsidRPr="0084682C" w:rsidRDefault="00242AEE" w:rsidP="0095096B">
      <w:pPr>
        <w:tabs>
          <w:tab w:val="right" w:pos="9360"/>
        </w:tabs>
        <w:rPr>
          <w:sz w:val="20"/>
          <w:szCs w:val="20"/>
          <w:lang w:val="fr-CA"/>
        </w:rPr>
      </w:pPr>
    </w:p>
    <w:p w:rsidR="00242AEE" w:rsidRPr="0084682C" w:rsidRDefault="00242AEE" w:rsidP="0095096B">
      <w:pPr>
        <w:tabs>
          <w:tab w:val="right" w:pos="9360"/>
        </w:tabs>
        <w:rPr>
          <w:sz w:val="20"/>
          <w:szCs w:val="20"/>
          <w:lang w:val="fr-CA"/>
        </w:rPr>
        <w:sectPr w:rsidR="00242AEE" w:rsidRPr="0084682C" w:rsidSect="00982EDD">
          <w:headerReference w:type="default" r:id="rId17"/>
          <w:footerReference w:type="default" r:id="rId18"/>
          <w:headerReference w:type="first" r:id="rId19"/>
          <w:footerReference w:type="first" r:id="rId20"/>
          <w:pgSz w:w="12240" w:h="15840"/>
          <w:pgMar w:top="720" w:right="965" w:bottom="1080" w:left="1656" w:header="706" w:footer="706" w:gutter="0"/>
          <w:pgNumType w:start="197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E4461B"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7077B" w:rsidP="00CB3520">
      <w:pPr>
        <w:widowControl w:val="0"/>
        <w:rPr>
          <w:b/>
          <w:sz w:val="20"/>
          <w:szCs w:val="20"/>
        </w:rPr>
      </w:pPr>
      <w:r>
        <w:rPr>
          <w:b/>
          <w:sz w:val="20"/>
          <w:szCs w:val="20"/>
        </w:rPr>
        <w:t>DECEMBE</w:t>
      </w:r>
      <w:r w:rsidR="00CB3520">
        <w:rPr>
          <w:b/>
          <w:sz w:val="20"/>
          <w:szCs w:val="20"/>
        </w:rPr>
        <w:t xml:space="preserve">R </w:t>
      </w:r>
      <w:r>
        <w:rPr>
          <w:b/>
          <w:sz w:val="20"/>
          <w:szCs w:val="20"/>
        </w:rPr>
        <w:t>8</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8 DÉC</w:t>
      </w:r>
      <w:r w:rsidR="00CB3520">
        <w:rPr>
          <w:b/>
          <w:sz w:val="20"/>
          <w:szCs w:val="20"/>
        </w:rPr>
        <w:t>E</w:t>
      </w:r>
      <w:r>
        <w:rPr>
          <w:b/>
          <w:sz w:val="20"/>
          <w:szCs w:val="20"/>
        </w:rPr>
        <w:t>MB</w:t>
      </w:r>
      <w:r w:rsidR="00CB3520">
        <w:rPr>
          <w:b/>
          <w:sz w:val="20"/>
          <w:szCs w:val="20"/>
        </w:rPr>
        <w:t>R</w:t>
      </w:r>
      <w:r>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84682C">
        <w:rPr>
          <w:b/>
          <w:sz w:val="20"/>
          <w:szCs w:val="20"/>
        </w:rPr>
        <w:t>K</w:t>
      </w:r>
      <w:r w:rsidR="0057077B">
        <w:rPr>
          <w:b/>
          <w:sz w:val="20"/>
          <w:szCs w:val="20"/>
        </w:rPr>
        <w:t>a</w:t>
      </w:r>
      <w:r w:rsidR="0084682C">
        <w:rPr>
          <w:b/>
          <w:sz w:val="20"/>
          <w:szCs w:val="20"/>
        </w:rPr>
        <w:t>rakatsa</w:t>
      </w:r>
      <w:r w:rsidR="0057077B">
        <w:rPr>
          <w:b/>
          <w:sz w:val="20"/>
          <w:szCs w:val="20"/>
        </w:rPr>
        <w:t>n</w:t>
      </w:r>
      <w:r w:rsidR="0084682C">
        <w:rPr>
          <w:b/>
          <w:sz w:val="20"/>
          <w:szCs w:val="20"/>
        </w:rPr>
        <w:t>is</w:t>
      </w:r>
      <w:r w:rsidR="0057077B">
        <w:rPr>
          <w:b/>
          <w:sz w:val="20"/>
          <w:szCs w:val="20"/>
        </w:rPr>
        <w:t xml:space="preserve"> </w:t>
      </w:r>
      <w:r w:rsidRPr="00C50A5C">
        <w:rPr>
          <w:b/>
          <w:sz w:val="20"/>
          <w:szCs w:val="20"/>
        </w:rPr>
        <w:t xml:space="preserve">and </w:t>
      </w:r>
      <w:r w:rsidR="0057077B">
        <w:rPr>
          <w:b/>
          <w:sz w:val="20"/>
          <w:szCs w:val="20"/>
        </w:rPr>
        <w:t>Gascon</w:t>
      </w:r>
      <w:r>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84682C">
        <w:rPr>
          <w:b/>
          <w:sz w:val="20"/>
          <w:szCs w:val="20"/>
          <w:lang w:val="fr-CA"/>
        </w:rPr>
        <w:t>Karakatsanis</w:t>
      </w:r>
      <w:r w:rsidR="0057077B">
        <w:rPr>
          <w:b/>
          <w:sz w:val="20"/>
          <w:szCs w:val="20"/>
          <w:lang w:val="fr-CA"/>
        </w:rPr>
        <w:t xml:space="preserve"> </w:t>
      </w:r>
      <w:r w:rsidRPr="00C50A5C">
        <w:rPr>
          <w:b/>
          <w:sz w:val="20"/>
          <w:szCs w:val="20"/>
          <w:lang w:val="fr-CA"/>
        </w:rPr>
        <w:t xml:space="preserve">et </w:t>
      </w:r>
      <w:r w:rsidR="0057077B">
        <w:rPr>
          <w:b/>
          <w:sz w:val="20"/>
          <w:szCs w:val="20"/>
          <w:lang w:val="fr-CA"/>
        </w:rPr>
        <w:t>Gascon</w:t>
      </w:r>
    </w:p>
    <w:p w:rsidR="00CB3520" w:rsidRPr="00C50A5C" w:rsidRDefault="00CB3520" w:rsidP="00CB3520">
      <w:pPr>
        <w:widowControl w:val="0"/>
        <w:rPr>
          <w:sz w:val="20"/>
          <w:szCs w:val="20"/>
          <w:lang w:val="fr-CA"/>
        </w:rPr>
      </w:pPr>
    </w:p>
    <w:p w:rsidR="00CB3520" w:rsidRPr="00F8036E" w:rsidRDefault="00F8036E" w:rsidP="00CB3520">
      <w:pPr>
        <w:pStyle w:val="ListParagraph"/>
        <w:widowControl w:val="0"/>
        <w:numPr>
          <w:ilvl w:val="0"/>
          <w:numId w:val="1"/>
        </w:numPr>
        <w:ind w:hanging="720"/>
        <w:jc w:val="both"/>
        <w:rPr>
          <w:sz w:val="20"/>
          <w:szCs w:val="20"/>
          <w:lang w:val="fr-CA"/>
        </w:rPr>
      </w:pPr>
      <w:r w:rsidRPr="00F8036E">
        <w:rPr>
          <w:i/>
          <w:sz w:val="20"/>
          <w:szCs w:val="20"/>
          <w:lang w:val="fr-CA"/>
        </w:rPr>
        <w:t>Myriam Bohémier c. Barreau du Québec et a</w:t>
      </w:r>
      <w:r w:rsidR="003104AE">
        <w:rPr>
          <w:i/>
          <w:sz w:val="20"/>
          <w:szCs w:val="20"/>
          <w:lang w:val="fr-CA"/>
        </w:rPr>
        <w:t>utres</w:t>
      </w:r>
      <w:r w:rsidRPr="0084682C">
        <w:rPr>
          <w:sz w:val="20"/>
          <w:szCs w:val="20"/>
          <w:lang w:val="fr-CA"/>
        </w:rPr>
        <w:t xml:space="preserve"> (Qc) (Civile) (Autorisation) </w:t>
      </w:r>
      <w:r w:rsidR="00CB3520" w:rsidRPr="00F8036E">
        <w:rPr>
          <w:sz w:val="20"/>
          <w:szCs w:val="20"/>
          <w:lang w:val="fr-CA"/>
        </w:rPr>
        <w:t>(36</w:t>
      </w:r>
      <w:r w:rsidRPr="00F8036E">
        <w:rPr>
          <w:sz w:val="20"/>
          <w:szCs w:val="20"/>
          <w:lang w:val="fr-CA"/>
        </w:rPr>
        <w:t>00</w:t>
      </w:r>
      <w:r w:rsidR="00CB3520" w:rsidRPr="00F8036E">
        <w:rPr>
          <w:sz w:val="20"/>
          <w:szCs w:val="20"/>
          <w:lang w:val="fr-CA"/>
        </w:rPr>
        <w:t>6)</w:t>
      </w:r>
    </w:p>
    <w:p w:rsidR="00CB3520" w:rsidRPr="00F8036E" w:rsidRDefault="00CB3520" w:rsidP="00CB3520">
      <w:pPr>
        <w:widowControl w:val="0"/>
        <w:jc w:val="both"/>
        <w:rPr>
          <w:sz w:val="20"/>
          <w:szCs w:val="20"/>
          <w:lang w:val="fr-CA"/>
        </w:rPr>
      </w:pPr>
    </w:p>
    <w:p w:rsidR="0084682C" w:rsidRPr="00F8036E" w:rsidRDefault="0084682C" w:rsidP="00CB3520">
      <w:pPr>
        <w:widowControl w:val="0"/>
        <w:jc w:val="both"/>
        <w:rPr>
          <w:sz w:val="20"/>
          <w:szCs w:val="20"/>
          <w:lang w:val="fr-CA"/>
        </w:rPr>
      </w:pPr>
    </w:p>
    <w:p w:rsidR="0084682C" w:rsidRPr="00C50A5C" w:rsidRDefault="0084682C" w:rsidP="0084682C">
      <w:pPr>
        <w:widowControl w:val="0"/>
        <w:jc w:val="center"/>
        <w:rPr>
          <w:b/>
          <w:sz w:val="20"/>
          <w:szCs w:val="20"/>
        </w:rPr>
      </w:pPr>
      <w:r w:rsidRPr="00C50A5C">
        <w:rPr>
          <w:b/>
          <w:sz w:val="20"/>
          <w:szCs w:val="20"/>
        </w:rPr>
        <w:t xml:space="preserve">CORAM:  Chief Justice McLachlin and </w:t>
      </w:r>
      <w:r>
        <w:rPr>
          <w:b/>
          <w:sz w:val="20"/>
          <w:szCs w:val="20"/>
        </w:rPr>
        <w:t xml:space="preserve">Wagner </w:t>
      </w:r>
      <w:r w:rsidRPr="00C50A5C">
        <w:rPr>
          <w:b/>
          <w:sz w:val="20"/>
          <w:szCs w:val="20"/>
        </w:rPr>
        <w:t xml:space="preserve">and </w:t>
      </w:r>
      <w:r>
        <w:rPr>
          <w:b/>
          <w:sz w:val="20"/>
          <w:szCs w:val="20"/>
        </w:rPr>
        <w:t xml:space="preserve">Gascon </w:t>
      </w:r>
      <w:r w:rsidRPr="00C50A5C">
        <w:rPr>
          <w:b/>
          <w:sz w:val="20"/>
          <w:szCs w:val="20"/>
        </w:rPr>
        <w:t>JJ.</w:t>
      </w:r>
    </w:p>
    <w:p w:rsidR="0084682C" w:rsidRPr="00C50A5C" w:rsidRDefault="0084682C" w:rsidP="0084682C">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 xml:space="preserve">Wagner </w:t>
      </w:r>
      <w:r w:rsidRPr="00C50A5C">
        <w:rPr>
          <w:b/>
          <w:sz w:val="20"/>
          <w:szCs w:val="20"/>
          <w:lang w:val="fr-CA"/>
        </w:rPr>
        <w:t xml:space="preserve">et </w:t>
      </w:r>
      <w:r>
        <w:rPr>
          <w:b/>
          <w:sz w:val="20"/>
          <w:szCs w:val="20"/>
          <w:lang w:val="fr-CA"/>
        </w:rPr>
        <w:t>Gascon</w:t>
      </w:r>
    </w:p>
    <w:p w:rsidR="0084682C" w:rsidRPr="0084682C" w:rsidRDefault="0084682C" w:rsidP="00CB3520">
      <w:pPr>
        <w:widowControl w:val="0"/>
        <w:jc w:val="both"/>
        <w:rPr>
          <w:sz w:val="20"/>
          <w:szCs w:val="20"/>
          <w:lang w:val="fr-CA"/>
        </w:rPr>
      </w:pPr>
    </w:p>
    <w:p w:rsidR="00CB3520" w:rsidRPr="00F8036E" w:rsidRDefault="00F8036E" w:rsidP="00CB3520">
      <w:pPr>
        <w:pStyle w:val="ListParagraph"/>
        <w:widowControl w:val="0"/>
        <w:numPr>
          <w:ilvl w:val="0"/>
          <w:numId w:val="1"/>
        </w:numPr>
        <w:ind w:hanging="720"/>
        <w:jc w:val="both"/>
        <w:rPr>
          <w:sz w:val="20"/>
          <w:szCs w:val="20"/>
          <w:lang w:val="fr-CA"/>
        </w:rPr>
      </w:pPr>
      <w:r w:rsidRPr="00F8036E">
        <w:rPr>
          <w:i/>
          <w:sz w:val="20"/>
          <w:szCs w:val="20"/>
          <w:lang w:val="fr-CA"/>
        </w:rPr>
        <w:t>Carol Lebreux c. Sa Majesté la Reine</w:t>
      </w:r>
      <w:r w:rsidRPr="0084682C">
        <w:rPr>
          <w:sz w:val="20"/>
          <w:szCs w:val="20"/>
          <w:lang w:val="fr-CA"/>
        </w:rPr>
        <w:t xml:space="preserve"> (Qc) (Crim.) (Autorisation)</w:t>
      </w:r>
      <w:r w:rsidRPr="00F8036E">
        <w:rPr>
          <w:sz w:val="20"/>
          <w:szCs w:val="20"/>
          <w:lang w:val="fr-CA"/>
        </w:rPr>
        <w:t xml:space="preserve"> </w:t>
      </w:r>
      <w:r w:rsidR="00CB3520" w:rsidRPr="00F8036E">
        <w:rPr>
          <w:sz w:val="20"/>
          <w:szCs w:val="20"/>
          <w:lang w:val="fr-CA"/>
        </w:rPr>
        <w:t>(36</w:t>
      </w:r>
      <w:r w:rsidRPr="00F8036E">
        <w:rPr>
          <w:sz w:val="20"/>
          <w:szCs w:val="20"/>
          <w:lang w:val="fr-CA"/>
        </w:rPr>
        <w:t>119</w:t>
      </w:r>
      <w:r w:rsidR="00CB3520" w:rsidRPr="00F8036E">
        <w:rPr>
          <w:sz w:val="20"/>
          <w:szCs w:val="20"/>
          <w:lang w:val="fr-CA"/>
        </w:rPr>
        <w:t>)</w:t>
      </w:r>
    </w:p>
    <w:p w:rsidR="00CB3520" w:rsidRPr="00F8036E" w:rsidRDefault="00CB3520" w:rsidP="00CB3520">
      <w:pPr>
        <w:widowControl w:val="0"/>
        <w:jc w:val="both"/>
        <w:rPr>
          <w:sz w:val="20"/>
          <w:szCs w:val="20"/>
          <w:lang w:val="fr-CA"/>
        </w:rPr>
      </w:pPr>
    </w:p>
    <w:p w:rsidR="00CB3520" w:rsidRPr="00F8036E" w:rsidRDefault="00F8036E" w:rsidP="00CB3520">
      <w:pPr>
        <w:pStyle w:val="ListParagraph"/>
        <w:widowControl w:val="0"/>
        <w:numPr>
          <w:ilvl w:val="0"/>
          <w:numId w:val="1"/>
        </w:numPr>
        <w:ind w:hanging="720"/>
        <w:jc w:val="both"/>
        <w:rPr>
          <w:sz w:val="20"/>
          <w:szCs w:val="20"/>
          <w:lang w:val="fr-CA"/>
        </w:rPr>
      </w:pPr>
      <w:r w:rsidRPr="00F8036E">
        <w:rPr>
          <w:i/>
          <w:sz w:val="20"/>
          <w:szCs w:val="20"/>
          <w:lang w:val="fr-CA"/>
        </w:rPr>
        <w:t>Patrick Lemonnier c. Sa Majesté la Reine</w:t>
      </w:r>
      <w:r w:rsidRPr="0084682C">
        <w:rPr>
          <w:sz w:val="20"/>
          <w:szCs w:val="20"/>
          <w:lang w:val="fr-CA"/>
        </w:rPr>
        <w:t xml:space="preserve"> (Qc) (Crim.) (Autorisation)</w:t>
      </w:r>
      <w:r w:rsidRPr="00F8036E">
        <w:rPr>
          <w:sz w:val="20"/>
          <w:szCs w:val="20"/>
          <w:lang w:val="fr-CA"/>
        </w:rPr>
        <w:t xml:space="preserve"> </w:t>
      </w:r>
      <w:r w:rsidR="00CB3520" w:rsidRPr="00F8036E">
        <w:rPr>
          <w:sz w:val="20"/>
          <w:szCs w:val="20"/>
          <w:lang w:val="fr-CA"/>
        </w:rPr>
        <w:t>(3</w:t>
      </w:r>
      <w:r w:rsidRPr="00F8036E">
        <w:rPr>
          <w:sz w:val="20"/>
          <w:szCs w:val="20"/>
          <w:lang w:val="fr-CA"/>
        </w:rPr>
        <w:t>6113</w:t>
      </w:r>
      <w:r w:rsidR="00CB3520" w:rsidRPr="00F8036E">
        <w:rPr>
          <w:sz w:val="20"/>
          <w:szCs w:val="20"/>
          <w:lang w:val="fr-CA"/>
        </w:rPr>
        <w:t>)</w:t>
      </w:r>
    </w:p>
    <w:p w:rsidR="00CB3520" w:rsidRPr="00F8036E" w:rsidRDefault="00CB3520" w:rsidP="00CB3520">
      <w:pPr>
        <w:widowControl w:val="0"/>
        <w:rPr>
          <w:sz w:val="20"/>
          <w:szCs w:val="20"/>
          <w:lang w:val="fr-CA"/>
        </w:rPr>
      </w:pPr>
    </w:p>
    <w:p w:rsidR="0084682C" w:rsidRPr="00F8036E" w:rsidRDefault="0084682C" w:rsidP="00CB3520">
      <w:pPr>
        <w:widowControl w:val="0"/>
        <w:rPr>
          <w:sz w:val="20"/>
          <w:szCs w:val="20"/>
          <w:lang w:val="fr-CA"/>
        </w:rPr>
      </w:pPr>
    </w:p>
    <w:p w:rsidR="0084682C" w:rsidRPr="00C50A5C" w:rsidRDefault="0084682C" w:rsidP="0084682C">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Karakatsanis</w:t>
      </w:r>
      <w:r w:rsidRPr="00C50A5C">
        <w:rPr>
          <w:b/>
          <w:sz w:val="20"/>
          <w:szCs w:val="20"/>
        </w:rPr>
        <w:t xml:space="preserve"> and </w:t>
      </w:r>
      <w:r>
        <w:rPr>
          <w:b/>
          <w:sz w:val="20"/>
          <w:szCs w:val="20"/>
        </w:rPr>
        <w:t xml:space="preserve">Wagner </w:t>
      </w:r>
      <w:r w:rsidRPr="00C50A5C">
        <w:rPr>
          <w:b/>
          <w:sz w:val="20"/>
          <w:szCs w:val="20"/>
        </w:rPr>
        <w:t>JJ.</w:t>
      </w:r>
    </w:p>
    <w:p w:rsidR="0084682C" w:rsidRPr="00C50A5C" w:rsidRDefault="0084682C" w:rsidP="0084682C">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Pr="0057077B">
        <w:rPr>
          <w:b/>
          <w:sz w:val="20"/>
          <w:szCs w:val="20"/>
          <w:lang w:val="fr-CA"/>
        </w:rPr>
        <w:t>Wagner</w:t>
      </w:r>
      <w:r>
        <w:rPr>
          <w:b/>
          <w:sz w:val="20"/>
          <w:szCs w:val="20"/>
          <w:lang w:val="fr-CA"/>
        </w:rPr>
        <w:t xml:space="preserve"> </w:t>
      </w:r>
    </w:p>
    <w:p w:rsidR="0084682C" w:rsidRPr="0084682C" w:rsidRDefault="0084682C" w:rsidP="00CB3520">
      <w:pPr>
        <w:widowControl w:val="0"/>
        <w:rPr>
          <w:sz w:val="20"/>
          <w:szCs w:val="20"/>
          <w:lang w:val="fr-CA"/>
        </w:rPr>
      </w:pPr>
    </w:p>
    <w:p w:rsidR="00CB3520" w:rsidRPr="00C50A5C" w:rsidRDefault="00F8036E" w:rsidP="00CB3520">
      <w:pPr>
        <w:pStyle w:val="ListParagraph"/>
        <w:widowControl w:val="0"/>
        <w:numPr>
          <w:ilvl w:val="0"/>
          <w:numId w:val="1"/>
        </w:numPr>
        <w:ind w:hanging="720"/>
        <w:jc w:val="both"/>
        <w:rPr>
          <w:sz w:val="20"/>
          <w:szCs w:val="20"/>
        </w:rPr>
      </w:pPr>
      <w:r w:rsidRPr="00F8036E">
        <w:rPr>
          <w:i/>
          <w:sz w:val="20"/>
          <w:szCs w:val="20"/>
        </w:rPr>
        <w:t xml:space="preserve">Faruq Khalil Muhammad </w:t>
      </w:r>
      <w:r w:rsidR="00C77E17">
        <w:rPr>
          <w:i/>
          <w:sz w:val="20"/>
          <w:szCs w:val="20"/>
        </w:rPr>
        <w:t>‘</w:t>
      </w:r>
      <w:r w:rsidRPr="00F8036E">
        <w:rPr>
          <w:i/>
          <w:sz w:val="20"/>
          <w:szCs w:val="20"/>
        </w:rPr>
        <w:t xml:space="preserve">Isa, also known as Khalil Muhammad </w:t>
      </w:r>
      <w:r w:rsidR="00C77E17">
        <w:rPr>
          <w:i/>
          <w:sz w:val="20"/>
          <w:szCs w:val="20"/>
        </w:rPr>
        <w:t>‘</w:t>
      </w:r>
      <w:r w:rsidRPr="00F8036E">
        <w:rPr>
          <w:i/>
          <w:sz w:val="20"/>
          <w:szCs w:val="20"/>
        </w:rPr>
        <w:t>Isa, Sayfildin Tahir Sharif and Tahir Sharif Sayfildin v. Attorney General of Canada on behalf of the United States of America</w:t>
      </w:r>
      <w:r w:rsidRPr="0084682C">
        <w:rPr>
          <w:sz w:val="20"/>
          <w:szCs w:val="20"/>
        </w:rPr>
        <w:t xml:space="preserve"> (Alta.) (Crim.) (By Leave)</w:t>
      </w:r>
      <w:r w:rsidRPr="00C50A5C">
        <w:rPr>
          <w:sz w:val="20"/>
          <w:szCs w:val="20"/>
        </w:rPr>
        <w:t xml:space="preserve"> </w:t>
      </w:r>
      <w:r w:rsidR="00CB3520" w:rsidRPr="00C50A5C">
        <w:rPr>
          <w:sz w:val="20"/>
          <w:szCs w:val="20"/>
        </w:rPr>
        <w:t>(3</w:t>
      </w:r>
      <w:r w:rsidR="00CB3520">
        <w:rPr>
          <w:sz w:val="20"/>
          <w:szCs w:val="20"/>
        </w:rPr>
        <w:t>60</w:t>
      </w:r>
      <w:r>
        <w:rPr>
          <w:sz w:val="20"/>
          <w:szCs w:val="20"/>
        </w:rPr>
        <w:t>72</w:t>
      </w:r>
      <w:r w:rsidR="00CB3520" w:rsidRPr="00C50A5C">
        <w:rPr>
          <w:sz w:val="20"/>
          <w:szCs w:val="20"/>
        </w:rPr>
        <w:t>)</w:t>
      </w:r>
    </w:p>
    <w:p w:rsidR="00CB3520" w:rsidRDefault="00CB3520" w:rsidP="00CB3520">
      <w:pPr>
        <w:widowControl w:val="0"/>
        <w:jc w:val="both"/>
        <w:rPr>
          <w:sz w:val="20"/>
          <w:szCs w:val="20"/>
        </w:rPr>
      </w:pPr>
    </w:p>
    <w:p w:rsidR="00CB3520" w:rsidRPr="009C5D38" w:rsidRDefault="00F8036E" w:rsidP="00CB3520">
      <w:pPr>
        <w:pStyle w:val="ListParagraph"/>
        <w:widowControl w:val="0"/>
        <w:numPr>
          <w:ilvl w:val="0"/>
          <w:numId w:val="1"/>
        </w:numPr>
        <w:ind w:hanging="720"/>
        <w:jc w:val="both"/>
        <w:rPr>
          <w:sz w:val="20"/>
          <w:szCs w:val="20"/>
        </w:rPr>
      </w:pPr>
      <w:r w:rsidRPr="00F8036E">
        <w:rPr>
          <w:i/>
          <w:sz w:val="20"/>
          <w:szCs w:val="20"/>
        </w:rPr>
        <w:t>Erich Chemama v. Her Majesty the Queen</w:t>
      </w:r>
      <w:r w:rsidRPr="0084682C">
        <w:rPr>
          <w:sz w:val="20"/>
          <w:szCs w:val="20"/>
        </w:rPr>
        <w:t xml:space="preserve"> (Ont.) (Crim.) (By Leave)</w:t>
      </w:r>
      <w:r w:rsidRPr="009C5D38">
        <w:rPr>
          <w:sz w:val="20"/>
          <w:szCs w:val="20"/>
        </w:rPr>
        <w:t xml:space="preserve"> </w:t>
      </w:r>
      <w:r w:rsidR="00CB3520" w:rsidRPr="009C5D38">
        <w:rPr>
          <w:sz w:val="20"/>
          <w:szCs w:val="20"/>
        </w:rPr>
        <w:t>(36</w:t>
      </w:r>
      <w:r>
        <w:rPr>
          <w:sz w:val="20"/>
          <w:szCs w:val="20"/>
        </w:rPr>
        <w:t>080</w:t>
      </w:r>
      <w:r w:rsidR="00CB3520" w:rsidRPr="009C5D38">
        <w:rPr>
          <w:sz w:val="20"/>
          <w:szCs w:val="20"/>
        </w:rPr>
        <w:t>)</w:t>
      </w:r>
    </w:p>
    <w:p w:rsidR="00CB3520" w:rsidRPr="00F8036E" w:rsidRDefault="00CB3520" w:rsidP="00CB3520">
      <w:pPr>
        <w:widowControl w:val="0"/>
        <w:jc w:val="both"/>
        <w:rPr>
          <w:sz w:val="20"/>
          <w:szCs w:val="20"/>
        </w:rPr>
      </w:pPr>
    </w:p>
    <w:p w:rsidR="00CB3520" w:rsidRPr="00F8036E" w:rsidRDefault="00F8036E" w:rsidP="00CB3520">
      <w:pPr>
        <w:pStyle w:val="ListParagraph"/>
        <w:widowControl w:val="0"/>
        <w:numPr>
          <w:ilvl w:val="0"/>
          <w:numId w:val="1"/>
        </w:numPr>
        <w:ind w:hanging="720"/>
        <w:jc w:val="both"/>
        <w:rPr>
          <w:sz w:val="20"/>
          <w:szCs w:val="20"/>
        </w:rPr>
      </w:pPr>
      <w:r w:rsidRPr="00F8036E">
        <w:rPr>
          <w:i/>
          <w:sz w:val="20"/>
          <w:szCs w:val="20"/>
        </w:rPr>
        <w:t>Erich Chemama v. Her Majesty the Queen</w:t>
      </w:r>
      <w:r w:rsidRPr="0084682C">
        <w:rPr>
          <w:sz w:val="20"/>
          <w:szCs w:val="20"/>
        </w:rPr>
        <w:t xml:space="preserve"> (Que.) (Crim.) (By Leave)</w:t>
      </w:r>
      <w:r w:rsidRPr="00F8036E">
        <w:rPr>
          <w:sz w:val="20"/>
          <w:szCs w:val="20"/>
        </w:rPr>
        <w:t xml:space="preserve"> </w:t>
      </w:r>
      <w:r w:rsidR="00CB3520" w:rsidRPr="00F8036E">
        <w:rPr>
          <w:sz w:val="20"/>
          <w:szCs w:val="20"/>
        </w:rPr>
        <w:t>(36</w:t>
      </w:r>
      <w:r w:rsidRPr="00F8036E">
        <w:rPr>
          <w:sz w:val="20"/>
          <w:szCs w:val="20"/>
        </w:rPr>
        <w:t>125</w:t>
      </w:r>
      <w:r w:rsidR="00CB3520" w:rsidRPr="00F8036E">
        <w:rPr>
          <w:sz w:val="20"/>
          <w:szCs w:val="20"/>
        </w:rPr>
        <w:t>)</w:t>
      </w:r>
    </w:p>
    <w:p w:rsidR="00CB3520" w:rsidRPr="00F8036E" w:rsidRDefault="00CB3520" w:rsidP="00CB3520">
      <w:pPr>
        <w:widowControl w:val="0"/>
        <w:jc w:val="both"/>
        <w:rPr>
          <w:sz w:val="20"/>
          <w:szCs w:val="20"/>
        </w:rPr>
      </w:pPr>
    </w:p>
    <w:p w:rsidR="0084682C" w:rsidRPr="00F8036E" w:rsidRDefault="0084682C" w:rsidP="00CB3520">
      <w:pPr>
        <w:widowControl w:val="0"/>
        <w:jc w:val="both"/>
        <w:rPr>
          <w:sz w:val="20"/>
          <w:szCs w:val="20"/>
        </w:rPr>
      </w:pPr>
    </w:p>
    <w:p w:rsidR="0084682C" w:rsidRPr="00C50A5C" w:rsidRDefault="0084682C" w:rsidP="0084682C">
      <w:pPr>
        <w:widowControl w:val="0"/>
        <w:jc w:val="center"/>
        <w:rPr>
          <w:b/>
          <w:sz w:val="20"/>
          <w:szCs w:val="20"/>
        </w:rPr>
      </w:pPr>
      <w:r w:rsidRPr="00C50A5C">
        <w:rPr>
          <w:b/>
          <w:sz w:val="20"/>
          <w:szCs w:val="20"/>
        </w:rPr>
        <w:t xml:space="preserve">CORAM: </w:t>
      </w:r>
      <w:r>
        <w:rPr>
          <w:b/>
          <w:sz w:val="20"/>
          <w:szCs w:val="20"/>
        </w:rPr>
        <w:t>Rothstein, Cromwell</w:t>
      </w:r>
      <w:r w:rsidRPr="00C50A5C">
        <w:rPr>
          <w:b/>
          <w:sz w:val="20"/>
          <w:szCs w:val="20"/>
        </w:rPr>
        <w:t xml:space="preserve"> and </w:t>
      </w:r>
      <w:r>
        <w:rPr>
          <w:b/>
          <w:sz w:val="20"/>
          <w:szCs w:val="20"/>
        </w:rPr>
        <w:t>Moldaver</w:t>
      </w:r>
      <w:r w:rsidRPr="00C50A5C">
        <w:rPr>
          <w:b/>
          <w:sz w:val="20"/>
          <w:szCs w:val="20"/>
        </w:rPr>
        <w:t xml:space="preserve"> JJ.</w:t>
      </w:r>
    </w:p>
    <w:p w:rsidR="0084682C" w:rsidRPr="00C50A5C" w:rsidRDefault="0084682C" w:rsidP="0084682C">
      <w:pPr>
        <w:widowControl w:val="0"/>
        <w:jc w:val="center"/>
        <w:rPr>
          <w:b/>
          <w:sz w:val="20"/>
          <w:szCs w:val="20"/>
          <w:lang w:val="fr-CA"/>
        </w:rPr>
      </w:pPr>
      <w:r w:rsidRPr="00C50A5C">
        <w:rPr>
          <w:b/>
          <w:sz w:val="20"/>
          <w:szCs w:val="20"/>
          <w:lang w:val="fr-CA"/>
        </w:rPr>
        <w:t xml:space="preserve">Les juges </w:t>
      </w:r>
      <w:r>
        <w:rPr>
          <w:b/>
          <w:sz w:val="20"/>
          <w:szCs w:val="20"/>
          <w:lang w:val="fr-CA"/>
        </w:rPr>
        <w:t>Rothstein, Cromwell</w:t>
      </w:r>
      <w:r w:rsidRPr="00C50A5C">
        <w:rPr>
          <w:b/>
          <w:sz w:val="20"/>
          <w:szCs w:val="20"/>
          <w:lang w:val="fr-CA"/>
        </w:rPr>
        <w:t xml:space="preserve"> et </w:t>
      </w:r>
      <w:r>
        <w:rPr>
          <w:b/>
          <w:sz w:val="20"/>
          <w:szCs w:val="20"/>
          <w:lang w:val="fr-CA"/>
        </w:rPr>
        <w:t>Moldaver</w:t>
      </w:r>
    </w:p>
    <w:p w:rsidR="0084682C" w:rsidRPr="00115C9E" w:rsidRDefault="0084682C" w:rsidP="00CB3520">
      <w:pPr>
        <w:widowControl w:val="0"/>
        <w:jc w:val="both"/>
        <w:rPr>
          <w:sz w:val="20"/>
          <w:szCs w:val="20"/>
          <w:lang w:val="fr-CA"/>
        </w:rPr>
      </w:pPr>
    </w:p>
    <w:p w:rsidR="00CB3520" w:rsidRPr="009C5D38" w:rsidRDefault="00F8036E" w:rsidP="00CB3520">
      <w:pPr>
        <w:pStyle w:val="ListParagraph"/>
        <w:widowControl w:val="0"/>
        <w:numPr>
          <w:ilvl w:val="0"/>
          <w:numId w:val="1"/>
        </w:numPr>
        <w:ind w:hanging="720"/>
        <w:jc w:val="both"/>
        <w:rPr>
          <w:sz w:val="20"/>
          <w:szCs w:val="20"/>
        </w:rPr>
      </w:pPr>
      <w:r w:rsidRPr="00F8036E">
        <w:rPr>
          <w:i/>
          <w:sz w:val="20"/>
          <w:szCs w:val="20"/>
        </w:rPr>
        <w:t>Melvin Lorman  Gauchier et al. v. Her Majesty the Queen</w:t>
      </w:r>
      <w:r w:rsidRPr="0084682C">
        <w:rPr>
          <w:sz w:val="20"/>
          <w:szCs w:val="20"/>
        </w:rPr>
        <w:t xml:space="preserve"> (Alta.) (Criminal) (By Leave)</w:t>
      </w:r>
      <w:r w:rsidRPr="009C5D38">
        <w:rPr>
          <w:sz w:val="20"/>
          <w:szCs w:val="20"/>
        </w:rPr>
        <w:t xml:space="preserve"> </w:t>
      </w:r>
      <w:r w:rsidR="00CB3520" w:rsidRPr="009C5D38">
        <w:rPr>
          <w:sz w:val="20"/>
          <w:szCs w:val="20"/>
        </w:rPr>
        <w:t>(36</w:t>
      </w:r>
      <w:r>
        <w:rPr>
          <w:sz w:val="20"/>
          <w:szCs w:val="20"/>
        </w:rPr>
        <w:t>045</w:t>
      </w:r>
      <w:r w:rsidR="00CB3520" w:rsidRPr="009C5D38">
        <w:rPr>
          <w:sz w:val="20"/>
          <w:szCs w:val="20"/>
        </w:rPr>
        <w:t>)</w:t>
      </w:r>
    </w:p>
    <w:p w:rsidR="00CB3520" w:rsidRPr="009C5D38" w:rsidRDefault="00CB3520" w:rsidP="00CB3520">
      <w:pPr>
        <w:widowControl w:val="0"/>
        <w:jc w:val="both"/>
        <w:rPr>
          <w:sz w:val="20"/>
          <w:szCs w:val="20"/>
        </w:rPr>
      </w:pPr>
    </w:p>
    <w:p w:rsidR="00CB3520" w:rsidRPr="00C50A5C" w:rsidRDefault="00F8036E" w:rsidP="00CB3520">
      <w:pPr>
        <w:pStyle w:val="ListParagraph"/>
        <w:widowControl w:val="0"/>
        <w:numPr>
          <w:ilvl w:val="0"/>
          <w:numId w:val="1"/>
        </w:numPr>
        <w:ind w:hanging="720"/>
        <w:jc w:val="both"/>
        <w:rPr>
          <w:sz w:val="20"/>
          <w:szCs w:val="20"/>
          <w:lang w:val="fr-CA"/>
        </w:rPr>
      </w:pPr>
      <w:r w:rsidRPr="00F8036E">
        <w:rPr>
          <w:i/>
          <w:sz w:val="20"/>
          <w:szCs w:val="20"/>
        </w:rPr>
        <w:t>Olayemi Olaywale Fatunmbi v. Her Majesty the Queen</w:t>
      </w:r>
      <w:r w:rsidRPr="0084682C">
        <w:rPr>
          <w:sz w:val="20"/>
          <w:szCs w:val="20"/>
        </w:rPr>
        <w:t xml:space="preserve"> (Man.) (Crim.) (By Leave)</w:t>
      </w:r>
      <w:r w:rsidRPr="00C50A5C">
        <w:rPr>
          <w:sz w:val="20"/>
          <w:szCs w:val="20"/>
          <w:lang w:val="fr-CA"/>
        </w:rPr>
        <w:t xml:space="preserve"> </w:t>
      </w:r>
      <w:r w:rsidR="00CB3520" w:rsidRPr="00C50A5C">
        <w:rPr>
          <w:sz w:val="20"/>
          <w:szCs w:val="20"/>
          <w:lang w:val="fr-CA"/>
        </w:rPr>
        <w:t>(3</w:t>
      </w:r>
      <w:r w:rsidR="00CB3520">
        <w:rPr>
          <w:sz w:val="20"/>
          <w:szCs w:val="20"/>
          <w:lang w:val="fr-CA"/>
        </w:rPr>
        <w:t>6</w:t>
      </w:r>
      <w:r>
        <w:rPr>
          <w:sz w:val="20"/>
          <w:szCs w:val="20"/>
          <w:lang w:val="fr-CA"/>
        </w:rPr>
        <w:t>038</w:t>
      </w:r>
      <w:r w:rsidR="00CB3520" w:rsidRPr="00C50A5C">
        <w:rPr>
          <w:sz w:val="20"/>
          <w:szCs w:val="20"/>
          <w:lang w:val="fr-CA"/>
        </w:rPr>
        <w:t>)</w:t>
      </w:r>
    </w:p>
    <w:p w:rsidR="00CB3520" w:rsidRDefault="00CB3520" w:rsidP="00CB3520">
      <w:pPr>
        <w:widowControl w:val="0"/>
        <w:rPr>
          <w:sz w:val="20"/>
          <w:szCs w:val="20"/>
          <w:lang w:val="fr-CA"/>
        </w:rPr>
      </w:pPr>
    </w:p>
    <w:p w:rsidR="00CB3520" w:rsidRPr="00F8036E" w:rsidRDefault="00F8036E" w:rsidP="00CB3520">
      <w:pPr>
        <w:pStyle w:val="ListParagraph"/>
        <w:widowControl w:val="0"/>
        <w:numPr>
          <w:ilvl w:val="0"/>
          <w:numId w:val="1"/>
        </w:numPr>
        <w:ind w:hanging="720"/>
        <w:jc w:val="both"/>
        <w:rPr>
          <w:sz w:val="20"/>
          <w:szCs w:val="20"/>
        </w:rPr>
      </w:pPr>
      <w:r w:rsidRPr="00F8036E">
        <w:rPr>
          <w:i/>
          <w:sz w:val="20"/>
          <w:szCs w:val="20"/>
        </w:rPr>
        <w:t>Chibuike Nwagwu v. Her Majesty the Queen</w:t>
      </w:r>
      <w:r w:rsidRPr="0084682C">
        <w:rPr>
          <w:sz w:val="20"/>
          <w:szCs w:val="20"/>
        </w:rPr>
        <w:t xml:space="preserve"> (Ont.) (Crim.) (By Leave)</w:t>
      </w:r>
      <w:r w:rsidRPr="00F8036E">
        <w:rPr>
          <w:sz w:val="20"/>
          <w:szCs w:val="20"/>
        </w:rPr>
        <w:t xml:space="preserve"> </w:t>
      </w:r>
      <w:r w:rsidR="00CB3520" w:rsidRPr="00F8036E">
        <w:rPr>
          <w:sz w:val="20"/>
          <w:szCs w:val="20"/>
        </w:rPr>
        <w:t>(35</w:t>
      </w:r>
      <w:r w:rsidRPr="00F8036E">
        <w:rPr>
          <w:sz w:val="20"/>
          <w:szCs w:val="20"/>
        </w:rPr>
        <w:t>95</w:t>
      </w:r>
      <w:r w:rsidR="00CB3520" w:rsidRPr="00F8036E">
        <w:rPr>
          <w:sz w:val="20"/>
          <w:szCs w:val="20"/>
        </w:rPr>
        <w:t>6)</w:t>
      </w:r>
    </w:p>
    <w:p w:rsidR="00CB3520" w:rsidRPr="00F8036E" w:rsidRDefault="00CB3520" w:rsidP="00CB3520">
      <w:pPr>
        <w:widowControl w:val="0"/>
        <w:jc w:val="both"/>
        <w:rPr>
          <w:sz w:val="20"/>
          <w:szCs w:val="20"/>
        </w:rPr>
      </w:pPr>
    </w:p>
    <w:p w:rsidR="00CB3520" w:rsidRPr="00115C9E" w:rsidRDefault="00F8036E" w:rsidP="00CB3520">
      <w:pPr>
        <w:pStyle w:val="ListParagraph"/>
        <w:widowControl w:val="0"/>
        <w:numPr>
          <w:ilvl w:val="0"/>
          <w:numId w:val="1"/>
        </w:numPr>
        <w:ind w:hanging="720"/>
        <w:jc w:val="both"/>
        <w:rPr>
          <w:sz w:val="20"/>
          <w:szCs w:val="20"/>
        </w:rPr>
      </w:pPr>
      <w:r w:rsidRPr="003104AE">
        <w:rPr>
          <w:i/>
          <w:sz w:val="20"/>
          <w:szCs w:val="20"/>
        </w:rPr>
        <w:t>Dixon Ormiston, by his Litigation Guardian, Scott Ormiston v. Insurance Corporation of British Columbia and John Doe</w:t>
      </w:r>
      <w:r w:rsidRPr="0084682C">
        <w:rPr>
          <w:sz w:val="20"/>
          <w:szCs w:val="20"/>
        </w:rPr>
        <w:t xml:space="preserve"> (B.C.) (Civil) (By Leave)</w:t>
      </w:r>
      <w:r w:rsidRPr="00115C9E">
        <w:rPr>
          <w:sz w:val="20"/>
          <w:szCs w:val="20"/>
        </w:rPr>
        <w:t xml:space="preserve"> </w:t>
      </w:r>
      <w:r w:rsidR="00CB3520" w:rsidRPr="00115C9E">
        <w:rPr>
          <w:sz w:val="20"/>
          <w:szCs w:val="20"/>
        </w:rPr>
        <w:t>(3</w:t>
      </w:r>
      <w:r>
        <w:rPr>
          <w:sz w:val="20"/>
          <w:szCs w:val="20"/>
        </w:rPr>
        <w:t>6067</w:t>
      </w:r>
      <w:r w:rsidR="00CB3520" w:rsidRPr="00115C9E">
        <w:rPr>
          <w:sz w:val="20"/>
          <w:szCs w:val="20"/>
        </w:rPr>
        <w:t>)</w:t>
      </w:r>
    </w:p>
    <w:p w:rsidR="002E2327" w:rsidRPr="00CB3520" w:rsidRDefault="002E2327" w:rsidP="002E2327">
      <w:pPr>
        <w:widowControl w:val="0"/>
        <w:rPr>
          <w:sz w:val="20"/>
          <w:szCs w:val="20"/>
        </w:rPr>
      </w:pPr>
    </w:p>
    <w:p w:rsidR="002E2327" w:rsidRDefault="00E4461B"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E4461B"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17B96" w:rsidP="000E2959">
      <w:pPr>
        <w:rPr>
          <w:b/>
          <w:sz w:val="20"/>
          <w:szCs w:val="20"/>
        </w:rPr>
      </w:pPr>
      <w:r>
        <w:rPr>
          <w:b/>
          <w:sz w:val="20"/>
          <w:szCs w:val="20"/>
        </w:rPr>
        <w:t>DECE</w:t>
      </w:r>
      <w:r w:rsidR="000E2959">
        <w:rPr>
          <w:b/>
          <w:sz w:val="20"/>
          <w:szCs w:val="20"/>
        </w:rPr>
        <w:t>M</w:t>
      </w:r>
      <w:r>
        <w:rPr>
          <w:b/>
          <w:sz w:val="20"/>
          <w:szCs w:val="20"/>
        </w:rPr>
        <w:t>BER</w:t>
      </w:r>
      <w:r w:rsidR="000E2959" w:rsidRPr="00C50A5C">
        <w:rPr>
          <w:b/>
          <w:sz w:val="20"/>
          <w:szCs w:val="20"/>
        </w:rPr>
        <w:t xml:space="preserve"> </w:t>
      </w:r>
      <w:r>
        <w:rPr>
          <w:b/>
          <w:sz w:val="20"/>
          <w:szCs w:val="20"/>
        </w:rPr>
        <w:t>11</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11</w:t>
      </w:r>
      <w:r w:rsidR="000E2959" w:rsidRPr="00C50A5C">
        <w:rPr>
          <w:b/>
          <w:sz w:val="20"/>
          <w:szCs w:val="20"/>
        </w:rPr>
        <w:t xml:space="preserve"> </w:t>
      </w:r>
      <w:r>
        <w:rPr>
          <w:b/>
          <w:sz w:val="20"/>
          <w:szCs w:val="20"/>
        </w:rPr>
        <w:t>DÉCE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70EF9" w:rsidRPr="00E4461B" w:rsidTr="00570EF9">
        <w:trPr>
          <w:cantSplit/>
        </w:trPr>
        <w:tc>
          <w:tcPr>
            <w:tcW w:w="1458" w:type="dxa"/>
          </w:tcPr>
          <w:p w:rsidR="00570EF9" w:rsidRPr="00570EF9" w:rsidRDefault="00570EF9" w:rsidP="00570EF9">
            <w:pPr>
              <w:rPr>
                <w:sz w:val="20"/>
              </w:rPr>
            </w:pPr>
            <w:r w:rsidRPr="00570EF9">
              <w:rPr>
                <w:b/>
                <w:sz w:val="20"/>
                <w:lang w:val="fr-CA"/>
              </w:rPr>
              <w:t>35898</w:t>
            </w:r>
          </w:p>
          <w:p w:rsidR="00570EF9" w:rsidRPr="00570EF9" w:rsidRDefault="00570EF9" w:rsidP="00570EF9">
            <w:pPr>
              <w:rPr>
                <w:b/>
                <w:sz w:val="20"/>
                <w:lang w:val="fr-CA"/>
              </w:rPr>
            </w:pPr>
          </w:p>
        </w:tc>
        <w:tc>
          <w:tcPr>
            <w:tcW w:w="8118" w:type="dxa"/>
          </w:tcPr>
          <w:p w:rsidR="00570EF9" w:rsidRPr="00570EF9" w:rsidRDefault="00570EF9" w:rsidP="00570EF9">
            <w:pPr>
              <w:jc w:val="both"/>
              <w:rPr>
                <w:sz w:val="20"/>
                <w:lang w:val="fr-CA"/>
              </w:rPr>
            </w:pPr>
            <w:r w:rsidRPr="00570EF9">
              <w:rPr>
                <w:b/>
                <w:sz w:val="20"/>
                <w:u w:val="single"/>
                <w:lang w:val="fr-CA"/>
              </w:rPr>
              <w:t>Commission scolaire de Laval</w:t>
            </w:r>
            <w:r>
              <w:rPr>
                <w:b/>
                <w:sz w:val="20"/>
                <w:u w:val="single"/>
                <w:lang w:val="fr-CA"/>
              </w:rPr>
              <w:t xml:space="preserve"> et</w:t>
            </w:r>
            <w:r w:rsidRPr="00570EF9">
              <w:rPr>
                <w:b/>
                <w:sz w:val="20"/>
                <w:u w:val="single"/>
                <w:lang w:val="fr-CA"/>
              </w:rPr>
              <w:t xml:space="preserve"> Fédération des commissions scolaires du Québec c. Syndicat de l</w:t>
            </w:r>
            <w:r w:rsidR="005B5000">
              <w:rPr>
                <w:b/>
                <w:sz w:val="20"/>
                <w:u w:val="single"/>
                <w:lang w:val="fr-CA"/>
              </w:rPr>
              <w:t>’</w:t>
            </w:r>
            <w:r w:rsidRPr="00570EF9">
              <w:rPr>
                <w:b/>
                <w:sz w:val="20"/>
                <w:u w:val="single"/>
                <w:lang w:val="fr-CA"/>
              </w:rPr>
              <w:t>enseignement de la région de Laval</w:t>
            </w:r>
            <w:r w:rsidR="005B5000">
              <w:rPr>
                <w:b/>
                <w:sz w:val="20"/>
                <w:u w:val="single"/>
                <w:lang w:val="fr-CA"/>
              </w:rPr>
              <w:t xml:space="preserve"> et</w:t>
            </w:r>
            <w:r w:rsidRPr="00570EF9">
              <w:rPr>
                <w:b/>
                <w:sz w:val="20"/>
                <w:u w:val="single"/>
                <w:lang w:val="fr-CA"/>
              </w:rPr>
              <w:t xml:space="preserve"> Fédération autonome de l</w:t>
            </w:r>
            <w:r w:rsidR="005B5000">
              <w:rPr>
                <w:b/>
                <w:sz w:val="20"/>
                <w:u w:val="single"/>
                <w:lang w:val="fr-CA"/>
              </w:rPr>
              <w:t>’</w:t>
            </w:r>
            <w:r w:rsidRPr="00570EF9">
              <w:rPr>
                <w:b/>
                <w:sz w:val="20"/>
                <w:u w:val="single"/>
                <w:lang w:val="fr-CA"/>
              </w:rPr>
              <w:t>enseignement</w:t>
            </w:r>
            <w:r w:rsidRPr="00570EF9">
              <w:rPr>
                <w:sz w:val="20"/>
                <w:lang w:val="fr-CA"/>
              </w:rPr>
              <w:t xml:space="preserve"> (Qc) (Civile) (Autorisation)</w:t>
            </w:r>
          </w:p>
          <w:p w:rsidR="00570EF9" w:rsidRPr="00570EF9" w:rsidRDefault="00570EF9" w:rsidP="00570EF9">
            <w:pPr>
              <w:jc w:val="both"/>
              <w:rPr>
                <w:sz w:val="20"/>
                <w:lang w:val="fr-CA"/>
              </w:rPr>
            </w:pPr>
          </w:p>
        </w:tc>
      </w:tr>
      <w:tr w:rsidR="00570EF9" w:rsidRPr="00E4461B" w:rsidTr="00570EF9">
        <w:trPr>
          <w:cantSplit/>
        </w:trPr>
        <w:tc>
          <w:tcPr>
            <w:tcW w:w="1458" w:type="dxa"/>
          </w:tcPr>
          <w:p w:rsidR="00570EF9" w:rsidRPr="00570EF9" w:rsidRDefault="00570EF9" w:rsidP="00570EF9">
            <w:pPr>
              <w:rPr>
                <w:sz w:val="20"/>
              </w:rPr>
            </w:pPr>
            <w:r w:rsidRPr="00570EF9">
              <w:rPr>
                <w:sz w:val="20"/>
              </w:rPr>
              <w:t>Coram :</w:t>
            </w:r>
          </w:p>
        </w:tc>
        <w:tc>
          <w:tcPr>
            <w:tcW w:w="8118" w:type="dxa"/>
          </w:tcPr>
          <w:p w:rsidR="00570EF9" w:rsidRPr="00570EF9" w:rsidRDefault="00570EF9" w:rsidP="00570EF9">
            <w:pPr>
              <w:rPr>
                <w:sz w:val="20"/>
                <w:lang w:val="fr-CA"/>
              </w:rPr>
            </w:pPr>
            <w:r w:rsidRPr="00570EF9">
              <w:rPr>
                <w:sz w:val="20"/>
                <w:u w:val="single"/>
                <w:lang w:val="fr-CA"/>
              </w:rPr>
              <w:t>La juge en chef McLachlin et les juges Cromwell et Wagner</w:t>
            </w:r>
          </w:p>
          <w:p w:rsidR="00570EF9" w:rsidRPr="00570EF9" w:rsidRDefault="00570EF9" w:rsidP="00570EF9">
            <w:pPr>
              <w:rPr>
                <w:sz w:val="20"/>
                <w:u w:val="single"/>
                <w:lang w:val="fr-CA"/>
              </w:rPr>
            </w:pPr>
          </w:p>
        </w:tc>
      </w:tr>
      <w:tr w:rsidR="00570EF9" w:rsidRPr="00570EF9" w:rsidTr="00570EF9">
        <w:trPr>
          <w:cantSplit/>
        </w:trPr>
        <w:tc>
          <w:tcPr>
            <w:tcW w:w="9576" w:type="dxa"/>
            <w:gridSpan w:val="2"/>
          </w:tcPr>
          <w:p w:rsidR="00570EF9" w:rsidRPr="00570EF9" w:rsidRDefault="00570EF9" w:rsidP="00570EF9">
            <w:pPr>
              <w:ind w:firstLine="720"/>
              <w:jc w:val="both"/>
              <w:rPr>
                <w:sz w:val="20"/>
                <w:lang w:val="fr-CA"/>
              </w:rPr>
            </w:pPr>
            <w:r w:rsidRPr="00570EF9">
              <w:rPr>
                <w:sz w:val="20"/>
                <w:lang w:val="fr-CA"/>
              </w:rPr>
              <w:t>La demande d’autorisation d’appel de l’arrêt de la Cour d’appel du Québec (Montréal), numéro 500-09-022442-123 et 500-09-022453-120, 2014 QCCA 591, daté du 21 mars 2014, est accueillie avec dépens selon l’issue de la cause.</w:t>
            </w:r>
          </w:p>
          <w:p w:rsidR="00570EF9" w:rsidRPr="00570EF9" w:rsidRDefault="00570EF9" w:rsidP="00570EF9">
            <w:pPr>
              <w:jc w:val="both"/>
              <w:rPr>
                <w:sz w:val="20"/>
                <w:lang w:val="fr-CA"/>
              </w:rPr>
            </w:pPr>
          </w:p>
          <w:p w:rsidR="00570EF9" w:rsidRPr="00570EF9" w:rsidRDefault="00570EF9" w:rsidP="005B5000">
            <w:pPr>
              <w:ind w:firstLine="720"/>
              <w:jc w:val="both"/>
              <w:rPr>
                <w:sz w:val="20"/>
              </w:rPr>
            </w:pPr>
            <w:r w:rsidRPr="00570EF9">
              <w:rPr>
                <w:sz w:val="20"/>
              </w:rPr>
              <w:t>The application for leave to appeal from the judgment of the Court of Appeal of Quebec (Montréal), Number 500-09-022442-123 and 500-09-022453-120, 2014 QCCA 591, dated March 21, 2014, is granted with costs in the cause.</w:t>
            </w:r>
          </w:p>
        </w:tc>
      </w:tr>
    </w:tbl>
    <w:p w:rsidR="00E56A3F" w:rsidRDefault="00E56A3F" w:rsidP="00E56A3F">
      <w:pPr>
        <w:rPr>
          <w:sz w:val="20"/>
          <w:szCs w:val="20"/>
        </w:rPr>
      </w:pPr>
    </w:p>
    <w:p w:rsidR="00E56A3F" w:rsidRPr="001B157C" w:rsidRDefault="00E56A3F" w:rsidP="00E56A3F">
      <w:pPr>
        <w:rPr>
          <w:sz w:val="20"/>
          <w:szCs w:val="20"/>
          <w:u w:val="single"/>
        </w:rPr>
      </w:pPr>
      <w:r w:rsidRPr="001B157C">
        <w:rPr>
          <w:sz w:val="20"/>
          <w:szCs w:val="20"/>
          <w:u w:val="single"/>
        </w:rPr>
        <w:t>CASE SUMMARY</w:t>
      </w:r>
    </w:p>
    <w:p w:rsidR="00E56A3F" w:rsidRDefault="00E56A3F" w:rsidP="00E56A3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164D42" w:rsidTr="00B02DE5">
        <w:tc>
          <w:tcPr>
            <w:tcW w:w="5000" w:type="pct"/>
            <w:gridSpan w:val="3"/>
          </w:tcPr>
          <w:p w:rsidR="00E56A3F" w:rsidRPr="00164D42" w:rsidRDefault="00E56A3F" w:rsidP="00B02DE5">
            <w:pPr>
              <w:jc w:val="both"/>
              <w:rPr>
                <w:rFonts w:eastAsia="Calibri"/>
                <w:sz w:val="20"/>
              </w:rPr>
            </w:pPr>
            <w:r w:rsidRPr="00164D42">
              <w:rPr>
                <w:rFonts w:eastAsia="Calibri"/>
                <w:sz w:val="20"/>
              </w:rPr>
              <w:t>Labour relations – Judicial review – Whether public law rule that reasons of collective decision-making body of public organization that has not been accused of bad faith or of acting in manner prejudicial to public interest are unknowable with exception of what was set out in resolution of that body is inapplicable merely because decision concerns labour law issue – Whether principle that reasons for decisions of such bodies are unknowable applies only to legislative, regulatory, policy or discretionary decisions, or also applies to decisions that are administrative or private in nature – Whether principle of deliberative secrecy or that of confidentiality of in camera proceeding applies exclusively to body performing adjudicative functions.</w:t>
            </w:r>
          </w:p>
        </w:tc>
      </w:tr>
      <w:tr w:rsidR="00E56A3F" w:rsidRPr="00164D42" w:rsidTr="00B02DE5">
        <w:tc>
          <w:tcPr>
            <w:tcW w:w="5000" w:type="pct"/>
            <w:gridSpan w:val="3"/>
          </w:tcPr>
          <w:p w:rsidR="00E56A3F" w:rsidRPr="00164D42" w:rsidRDefault="00E56A3F" w:rsidP="00B02DE5">
            <w:pPr>
              <w:jc w:val="both"/>
              <w:rPr>
                <w:rFonts w:eastAsia="Calibri"/>
                <w:sz w:val="20"/>
              </w:rPr>
            </w:pPr>
          </w:p>
        </w:tc>
      </w:tr>
      <w:tr w:rsidR="00E56A3F" w:rsidRPr="00164D42" w:rsidTr="00B02DE5">
        <w:tc>
          <w:tcPr>
            <w:tcW w:w="5000" w:type="pct"/>
            <w:gridSpan w:val="3"/>
          </w:tcPr>
          <w:p w:rsidR="00E56A3F" w:rsidRPr="00164D42" w:rsidRDefault="00E56A3F" w:rsidP="00B02DE5">
            <w:pPr>
              <w:jc w:val="both"/>
              <w:rPr>
                <w:rFonts w:eastAsia="Calibri"/>
                <w:sz w:val="20"/>
              </w:rPr>
            </w:pPr>
            <w:r w:rsidRPr="00164D42">
              <w:rPr>
                <w:rFonts w:eastAsia="Calibri"/>
                <w:sz w:val="20"/>
              </w:rPr>
              <w:t>On June 29, 2009, the executive committee of the applicant Commission scolaire de Laval decided unanimously to terminate the employment of a teacher who was a member of the Syndicat de l’enseignement de la région de Laval (the “union”).  The meeting that led to this decision had been held partly in public and partly in camera.  The committee first ordered that the union and the teacher be heard in camera, and then asked the union and the teacher to withdraw so that it could deliberate, still in camera.  The resolution setting out the decision to dismiss the teacher was subsequently adopted in a public meeting.  That decision was contested by way of a grievance submitted to an arbitrator.  In the course of the arbitration proceeding, the union summoned three members of the executive committee who had been at the meeting of June 29, 2009 to testify before the arbitrator.  In a decision dated March 24, 2011, the arbitrator authorized the testimony of the three commissioner members, explaining that the executive committee did not benefit from “deliberative secrecy” and that it would be impossible to determine whether the termination of the employment relationship was consistent with the collective agreement [</w:t>
            </w:r>
            <w:r w:rsidRPr="00164D42">
              <w:rPr>
                <w:rFonts w:eastAsia="Calibri"/>
                <w:smallCaps/>
                <w:sz w:val="20"/>
              </w:rPr>
              <w:t>translation</w:t>
            </w:r>
            <w:r w:rsidRPr="00164D42">
              <w:rPr>
                <w:rFonts w:eastAsia="Calibri"/>
                <w:sz w:val="20"/>
              </w:rPr>
              <w:t>] “without a detailed knowledge of the deliberations”.</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January 31, 2012</w:t>
            </w:r>
          </w:p>
          <w:p w:rsidR="00E56A3F" w:rsidRPr="00164D42" w:rsidRDefault="00E56A3F" w:rsidP="00B02DE5">
            <w:pPr>
              <w:jc w:val="both"/>
              <w:rPr>
                <w:rFonts w:eastAsia="Calibri"/>
                <w:sz w:val="20"/>
              </w:rPr>
            </w:pPr>
            <w:r w:rsidRPr="00164D42">
              <w:rPr>
                <w:rFonts w:eastAsia="Calibri"/>
                <w:sz w:val="20"/>
              </w:rPr>
              <w:t>Quebec Superior Court</w:t>
            </w:r>
          </w:p>
          <w:p w:rsidR="00E56A3F" w:rsidRPr="00164D42" w:rsidRDefault="00E56A3F" w:rsidP="00B02DE5">
            <w:pPr>
              <w:jc w:val="both"/>
              <w:rPr>
                <w:rFonts w:eastAsia="Calibri"/>
                <w:sz w:val="20"/>
              </w:rPr>
            </w:pPr>
            <w:r w:rsidRPr="00164D42">
              <w:rPr>
                <w:rFonts w:eastAsia="Calibri"/>
                <w:sz w:val="20"/>
              </w:rPr>
              <w:t>(Delorme J.)</w:t>
            </w:r>
          </w:p>
          <w:p w:rsidR="00E56A3F" w:rsidRPr="00164D42" w:rsidRDefault="00E56A3F" w:rsidP="00B02DE5">
            <w:pPr>
              <w:jc w:val="both"/>
              <w:rPr>
                <w:rFonts w:eastAsia="Calibri"/>
                <w:sz w:val="20"/>
              </w:rPr>
            </w:pPr>
            <w:r w:rsidRPr="00164D42">
              <w:rPr>
                <w:rFonts w:eastAsia="Calibri"/>
                <w:sz w:val="20"/>
              </w:rPr>
              <w:t>No. 540-17-004529-110</w:t>
            </w:r>
          </w:p>
          <w:p w:rsidR="00E56A3F" w:rsidRPr="00164D42" w:rsidRDefault="00E4461B" w:rsidP="00B02DE5">
            <w:pPr>
              <w:jc w:val="both"/>
              <w:rPr>
                <w:rFonts w:eastAsia="Calibri"/>
                <w:sz w:val="20"/>
              </w:rPr>
            </w:pPr>
            <w:hyperlink r:id="rId25" w:history="1">
              <w:r w:rsidR="00E56A3F" w:rsidRPr="00164D42">
                <w:rPr>
                  <w:rFonts w:eastAsia="Calibri"/>
                  <w:color w:val="0000FF"/>
                  <w:sz w:val="20"/>
                  <w:u w:val="single"/>
                </w:rPr>
                <w:t>2012 QCCS 248</w:t>
              </w:r>
            </w:hyperlink>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Motion for judicial review granted; interlocutory arbitral decision dated March 24, 2011 set aside</w:t>
            </w:r>
          </w:p>
        </w:tc>
      </w:tr>
      <w:tr w:rsidR="00E56A3F" w:rsidRPr="00164D42" w:rsidTr="006535BF">
        <w:trPr>
          <w:cantSplit/>
        </w:trPr>
        <w:tc>
          <w:tcPr>
            <w:tcW w:w="2427" w:type="pct"/>
          </w:tcPr>
          <w:p w:rsidR="00E56A3F" w:rsidRPr="00164D42" w:rsidRDefault="00E56A3F" w:rsidP="00B02DE5">
            <w:pPr>
              <w:jc w:val="both"/>
              <w:rPr>
                <w:rFonts w:eastAsia="Calibri"/>
                <w:sz w:val="20"/>
              </w:rPr>
            </w:pPr>
            <w:r w:rsidRPr="00164D42">
              <w:rPr>
                <w:rFonts w:eastAsia="Calibri"/>
                <w:sz w:val="20"/>
              </w:rPr>
              <w:lastRenderedPageBreak/>
              <w:t>March 21, 2014</w:t>
            </w:r>
          </w:p>
          <w:p w:rsidR="00E56A3F" w:rsidRPr="00164D42" w:rsidRDefault="00E56A3F" w:rsidP="00B02DE5">
            <w:pPr>
              <w:jc w:val="both"/>
              <w:rPr>
                <w:rFonts w:eastAsia="Calibri"/>
                <w:sz w:val="20"/>
              </w:rPr>
            </w:pPr>
            <w:r w:rsidRPr="00164D42">
              <w:rPr>
                <w:rFonts w:eastAsia="Calibri"/>
                <w:sz w:val="20"/>
              </w:rPr>
              <w:t>Quebec Court of Appeal (Montréal)</w:t>
            </w:r>
          </w:p>
          <w:p w:rsidR="00E56A3F" w:rsidRPr="00164D42" w:rsidRDefault="00E56A3F" w:rsidP="00B02DE5">
            <w:pPr>
              <w:jc w:val="both"/>
              <w:rPr>
                <w:rFonts w:eastAsia="Calibri"/>
                <w:sz w:val="20"/>
              </w:rPr>
            </w:pPr>
            <w:r w:rsidRPr="00164D42">
              <w:rPr>
                <w:rFonts w:eastAsia="Calibri"/>
                <w:sz w:val="20"/>
              </w:rPr>
              <w:t>(Bich, Gagnon [dissenting] and Savard JJ.A.)</w:t>
            </w:r>
          </w:p>
          <w:p w:rsidR="00E56A3F" w:rsidRPr="00164D42" w:rsidRDefault="00E56A3F" w:rsidP="00B02DE5">
            <w:pPr>
              <w:jc w:val="both"/>
              <w:rPr>
                <w:rFonts w:eastAsia="Calibri"/>
                <w:sz w:val="20"/>
              </w:rPr>
            </w:pPr>
            <w:r w:rsidRPr="00164D42">
              <w:rPr>
                <w:rFonts w:eastAsia="Calibri"/>
                <w:sz w:val="20"/>
              </w:rPr>
              <w:t xml:space="preserve">Nos. </w:t>
            </w:r>
            <w:bookmarkStart w:id="2" w:name="NoDossier"/>
            <w:r w:rsidRPr="00164D42">
              <w:rPr>
                <w:rFonts w:eastAsia="Calibri"/>
                <w:sz w:val="20"/>
              </w:rPr>
              <w:t>500-09-022442-123</w:t>
            </w:r>
            <w:bookmarkEnd w:id="2"/>
            <w:r w:rsidRPr="00164D42">
              <w:rPr>
                <w:rFonts w:eastAsia="Calibri"/>
                <w:sz w:val="20"/>
              </w:rPr>
              <w:t xml:space="preserve"> and 500-09-022453-120</w:t>
            </w:r>
          </w:p>
          <w:p w:rsidR="00E56A3F" w:rsidRPr="00164D42" w:rsidRDefault="00E4461B" w:rsidP="00B02DE5">
            <w:pPr>
              <w:jc w:val="both"/>
              <w:rPr>
                <w:rFonts w:eastAsia="Calibri"/>
                <w:sz w:val="20"/>
              </w:rPr>
            </w:pPr>
            <w:hyperlink r:id="rId26" w:history="1">
              <w:r w:rsidR="00E56A3F" w:rsidRPr="00164D42">
                <w:rPr>
                  <w:rFonts w:eastAsia="Calibri"/>
                  <w:color w:val="0000FF"/>
                  <w:sz w:val="20"/>
                  <w:u w:val="single"/>
                </w:rPr>
                <w:t>2014 QCCA 591</w:t>
              </w:r>
            </w:hyperlink>
            <w:r w:rsidR="00E56A3F" w:rsidRPr="00164D42">
              <w:rPr>
                <w:rFonts w:eastAsia="Calibri"/>
                <w:sz w:val="20"/>
              </w:rPr>
              <w:t xml:space="preserve"> </w:t>
            </w:r>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Appeal allowed; motion for judicial review dismissed; interlocutory arbitral decision dated March 24, 2011 restored</w:t>
            </w:r>
          </w:p>
          <w:p w:rsidR="00E56A3F" w:rsidRPr="00164D42" w:rsidRDefault="00E56A3F" w:rsidP="00B02DE5">
            <w:pPr>
              <w:jc w:val="both"/>
              <w:rPr>
                <w:rFonts w:eastAsia="Calibri"/>
                <w:sz w:val="20"/>
              </w:rPr>
            </w:pPr>
          </w:p>
        </w:tc>
      </w:tr>
      <w:tr w:rsidR="00E56A3F" w:rsidRPr="00164D42" w:rsidTr="006535BF">
        <w:trPr>
          <w:cantSplit/>
        </w:trPr>
        <w:tc>
          <w:tcPr>
            <w:tcW w:w="2427" w:type="pct"/>
          </w:tcPr>
          <w:p w:rsidR="00E56A3F" w:rsidRPr="00164D42" w:rsidRDefault="00E56A3F" w:rsidP="00B02DE5">
            <w:pPr>
              <w:jc w:val="both"/>
              <w:rPr>
                <w:rFonts w:eastAsia="Calibri"/>
                <w:sz w:val="20"/>
              </w:rPr>
            </w:pPr>
            <w:r w:rsidRPr="00164D42">
              <w:rPr>
                <w:rFonts w:eastAsia="Calibri"/>
                <w:sz w:val="20"/>
              </w:rPr>
              <w:t>May 20, 2014</w:t>
            </w:r>
          </w:p>
          <w:p w:rsidR="00E56A3F" w:rsidRPr="00164D42" w:rsidRDefault="00E56A3F" w:rsidP="00B02DE5">
            <w:pPr>
              <w:jc w:val="both"/>
              <w:rPr>
                <w:rFonts w:eastAsia="Calibri"/>
                <w:sz w:val="20"/>
              </w:rPr>
            </w:pPr>
            <w:r w:rsidRPr="00164D42">
              <w:rPr>
                <w:rFonts w:eastAsia="Calibri"/>
                <w:sz w:val="20"/>
              </w:rPr>
              <w:t>Supreme Court of Canada</w:t>
            </w: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Application for leave to appeal filed</w:t>
            </w:r>
          </w:p>
          <w:p w:rsidR="00E56A3F" w:rsidRPr="00164D42" w:rsidRDefault="00E56A3F" w:rsidP="00B02DE5">
            <w:pPr>
              <w:jc w:val="both"/>
              <w:rPr>
                <w:rFonts w:eastAsia="Calibri"/>
                <w:sz w:val="20"/>
              </w:rPr>
            </w:pPr>
          </w:p>
        </w:tc>
      </w:tr>
    </w:tbl>
    <w:p w:rsidR="00E56A3F" w:rsidRDefault="00E56A3F" w:rsidP="00E56A3F">
      <w:pPr>
        <w:rPr>
          <w:sz w:val="20"/>
          <w:szCs w:val="20"/>
        </w:rPr>
      </w:pPr>
    </w:p>
    <w:p w:rsidR="00E56A3F" w:rsidRPr="00C50A5C" w:rsidRDefault="00E4461B" w:rsidP="00E56A3F">
      <w:pPr>
        <w:rPr>
          <w:sz w:val="20"/>
          <w:szCs w:val="20"/>
        </w:rPr>
      </w:pPr>
      <w:r>
        <w:rPr>
          <w:sz w:val="20"/>
          <w:szCs w:val="20"/>
          <w:lang w:val="fr-CA"/>
        </w:rPr>
        <w:pict>
          <v:rect id="_x0000_i1038" style="width:2in;height:1pt" o:hrpct="0" o:hralign="center" o:hrstd="t" o:hrnoshade="t" o:hr="t" fillcolor="black [3213]" stroked="f"/>
        </w:pict>
      </w:r>
    </w:p>
    <w:p w:rsidR="00E56A3F" w:rsidRDefault="00E56A3F" w:rsidP="00E56A3F">
      <w:pPr>
        <w:rPr>
          <w:sz w:val="20"/>
          <w:szCs w:val="20"/>
        </w:rPr>
      </w:pPr>
    </w:p>
    <w:p w:rsidR="00E56A3F" w:rsidRPr="001B157C" w:rsidRDefault="00E56A3F" w:rsidP="00E56A3F">
      <w:pPr>
        <w:rPr>
          <w:sz w:val="20"/>
          <w:szCs w:val="20"/>
          <w:u w:val="single"/>
          <w:lang w:val="fr-CA"/>
        </w:rPr>
      </w:pPr>
      <w:r w:rsidRPr="001B157C">
        <w:rPr>
          <w:sz w:val="20"/>
          <w:szCs w:val="20"/>
          <w:u w:val="single"/>
          <w:lang w:val="fr-CA"/>
        </w:rPr>
        <w:t>RÉSUMÉ DE L’AFFAIRE</w:t>
      </w:r>
    </w:p>
    <w:p w:rsidR="00E56A3F" w:rsidRDefault="00E56A3F" w:rsidP="00E56A3F">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E4461B" w:rsidTr="00B02DE5">
        <w:tc>
          <w:tcPr>
            <w:tcW w:w="5000" w:type="pct"/>
            <w:gridSpan w:val="3"/>
          </w:tcPr>
          <w:p w:rsidR="00E56A3F" w:rsidRPr="00164D42" w:rsidRDefault="00E56A3F" w:rsidP="00B02DE5">
            <w:pPr>
              <w:jc w:val="both"/>
              <w:rPr>
                <w:rFonts w:eastAsia="Calibri"/>
                <w:sz w:val="20"/>
                <w:lang w:val="fr-CA"/>
              </w:rPr>
            </w:pPr>
            <w:r w:rsidRPr="00164D42">
              <w:rPr>
                <w:rFonts w:eastAsia="Calibri"/>
                <w:sz w:val="20"/>
                <w:lang w:val="fr-CA"/>
              </w:rPr>
              <w:t>Relations de travail – Révision judiciaire – La règle de droit public selon laquelle les motifs de l’organe décisionnel collectif d’un corps public sur lequel ne pèse aucune allégation de mauvaise foi ou d’atteinte à l’intérêt public sont inconnaissables, à l’exception de ce qui est exprimé dans sa résolution, est-elle inapplicable du seul fait que la décision porte sur une question de droit du travail? – L’application du principe de l’inconnaissabilité des motifs des décisions des corps publics est-elle limitée à leurs décisions de nature législative, règlementaire, politique ou discrétionnaire ou s’étend-t-elle à leurs décisions de nature administrative ou privée? – Le secret du délibéré ou la confidentialité du huis clos sont-ils des principes applicables exclusivement à un organe exerçant des fonctions juridictionnelles?</w:t>
            </w:r>
          </w:p>
        </w:tc>
      </w:tr>
      <w:tr w:rsidR="00E56A3F" w:rsidRPr="00E4461B" w:rsidTr="00B02DE5">
        <w:tc>
          <w:tcPr>
            <w:tcW w:w="5000" w:type="pct"/>
            <w:gridSpan w:val="3"/>
          </w:tcPr>
          <w:p w:rsidR="00E56A3F" w:rsidRPr="00164D42" w:rsidRDefault="00E56A3F" w:rsidP="00B02DE5">
            <w:pPr>
              <w:jc w:val="both"/>
              <w:rPr>
                <w:rFonts w:eastAsia="Calibri"/>
                <w:sz w:val="20"/>
                <w:lang w:val="fr-CA"/>
              </w:rPr>
            </w:pPr>
          </w:p>
        </w:tc>
      </w:tr>
      <w:tr w:rsidR="00E56A3F" w:rsidRPr="00E4461B" w:rsidTr="00B02DE5">
        <w:tc>
          <w:tcPr>
            <w:tcW w:w="5000" w:type="pct"/>
            <w:gridSpan w:val="3"/>
          </w:tcPr>
          <w:p w:rsidR="00E56A3F" w:rsidRPr="00164D42" w:rsidRDefault="00E56A3F" w:rsidP="00B02DE5">
            <w:pPr>
              <w:jc w:val="both"/>
              <w:rPr>
                <w:rFonts w:eastAsia="Calibri"/>
                <w:sz w:val="20"/>
                <w:lang w:val="fr-CA"/>
              </w:rPr>
            </w:pPr>
            <w:r w:rsidRPr="00164D42">
              <w:rPr>
                <w:rFonts w:eastAsia="Calibri"/>
                <w:sz w:val="20"/>
                <w:lang w:val="fr-CA"/>
              </w:rPr>
              <w:t>Le 29 juin 2009, par décision unanime, le comité exécutif de la demanderesse, Commission scolaire de Laval, a mis fin au lien d’emploi d’un enseignant membre du Syndicat de l’enseignement de la région de Laval (le « Syndicat »).  La séance ayant mené à cette décision a été tenue en partie publiquement et en partie à huis clos.  Le comité a d’abord décrété un huis clos pour entendre le Syndicat et l’enseignant, et ensuite le comité a demandé au Syndicat et à l’enseignant de se retirer afin de délibérer, toujours à huis clos.  La résolution prononçant la décision relative au congédiement de l’enseignant a par la suite été adoptée en séance publique.  La décision en cause a été contestée par voie de grief devant arbitre.  Dans le cadre de l’instance arbitrale, le Syndicat a assigné à comparaître devant l’arbitre trois des membres du comité exécutif présents à la séance du 29 juin 2009.  Dans une décision rendue le 24 mars 2011, l’arbitre autorise le témoignage des trois membres commissaires en précisant que le comité exécutif ne bénéficie d’aucun « secret du délibéré » et que pour pouvoir juger si la résiliation du lien d’emploi est conforme aux dispositions de la convention collective, « il faut connaître la teneur des délibérations en détail ».</w:t>
            </w:r>
          </w:p>
          <w:p w:rsidR="00E56A3F" w:rsidRPr="00164D42" w:rsidRDefault="00E56A3F" w:rsidP="00B02DE5">
            <w:pPr>
              <w:jc w:val="both"/>
              <w:rPr>
                <w:rFonts w:eastAsia="Calibri"/>
                <w:sz w:val="20"/>
                <w:lang w:val="fr-CA"/>
              </w:rPr>
            </w:pP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Le 31 janvier 2012</w:t>
            </w:r>
          </w:p>
          <w:p w:rsidR="00E56A3F" w:rsidRPr="00164D42" w:rsidRDefault="00E56A3F" w:rsidP="00B02DE5">
            <w:pPr>
              <w:jc w:val="both"/>
              <w:rPr>
                <w:rFonts w:eastAsia="Calibri"/>
                <w:sz w:val="20"/>
                <w:lang w:val="fr-CA"/>
              </w:rPr>
            </w:pPr>
            <w:r w:rsidRPr="00164D42">
              <w:rPr>
                <w:rFonts w:eastAsia="Calibri"/>
                <w:sz w:val="20"/>
                <w:lang w:val="fr-CA"/>
              </w:rPr>
              <w:t>Cour supérieure du Québec</w:t>
            </w:r>
          </w:p>
          <w:p w:rsidR="00E56A3F" w:rsidRPr="00164D42" w:rsidRDefault="00E56A3F" w:rsidP="00B02DE5">
            <w:pPr>
              <w:jc w:val="both"/>
              <w:rPr>
                <w:rFonts w:eastAsia="Calibri"/>
                <w:sz w:val="20"/>
                <w:lang w:val="fr-CA"/>
              </w:rPr>
            </w:pPr>
            <w:r w:rsidRPr="00164D42">
              <w:rPr>
                <w:rFonts w:eastAsia="Calibri"/>
                <w:sz w:val="20"/>
                <w:lang w:val="fr-CA"/>
              </w:rPr>
              <w:t>(Le juge Delorme)</w:t>
            </w:r>
          </w:p>
          <w:p w:rsidR="00E56A3F" w:rsidRPr="00164D42" w:rsidRDefault="00E56A3F" w:rsidP="00B02DE5">
            <w:pPr>
              <w:jc w:val="both"/>
              <w:rPr>
                <w:rFonts w:eastAsia="Calibri"/>
                <w:sz w:val="20"/>
                <w:lang w:val="fr-CA"/>
              </w:rPr>
            </w:pPr>
            <w:r w:rsidRPr="00164D42">
              <w:rPr>
                <w:rFonts w:eastAsia="Calibri"/>
                <w:sz w:val="20"/>
                <w:lang w:val="fr-CA"/>
              </w:rPr>
              <w:t>No. 540-17-004529-110</w:t>
            </w:r>
          </w:p>
          <w:p w:rsidR="00E56A3F" w:rsidRPr="00164D42" w:rsidRDefault="00E4461B" w:rsidP="00B02DE5">
            <w:pPr>
              <w:jc w:val="both"/>
              <w:rPr>
                <w:rFonts w:eastAsia="Calibri"/>
                <w:sz w:val="20"/>
                <w:lang w:val="fr-CA"/>
              </w:rPr>
            </w:pPr>
            <w:hyperlink r:id="rId27" w:history="1">
              <w:r w:rsidR="00E56A3F" w:rsidRPr="00164D42">
                <w:rPr>
                  <w:rFonts w:eastAsia="Calibri"/>
                  <w:color w:val="0000FF"/>
                  <w:sz w:val="20"/>
                  <w:u w:val="single"/>
                  <w:lang w:val="fr-CA"/>
                </w:rPr>
                <w:t>2012 QCCS 248</w:t>
              </w:r>
            </w:hyperlink>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Requête en révision judiciaire accueillie; décision arbitrale interlocutoire prononcée le 24 mars 2011 annulée.</w:t>
            </w: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Le 21 mars 2014</w:t>
            </w:r>
          </w:p>
          <w:p w:rsidR="00E56A3F" w:rsidRPr="00164D42" w:rsidRDefault="00E56A3F" w:rsidP="00B02DE5">
            <w:pPr>
              <w:jc w:val="both"/>
              <w:rPr>
                <w:rFonts w:eastAsia="Calibri"/>
                <w:sz w:val="20"/>
                <w:lang w:val="fr-CA"/>
              </w:rPr>
            </w:pPr>
            <w:r w:rsidRPr="00164D42">
              <w:rPr>
                <w:rFonts w:eastAsia="Calibri"/>
                <w:sz w:val="20"/>
                <w:lang w:val="fr-CA"/>
              </w:rPr>
              <w:t>Cour d’appel du Québec (Montréal)</w:t>
            </w:r>
          </w:p>
          <w:p w:rsidR="00E56A3F" w:rsidRPr="00164D42" w:rsidRDefault="00E56A3F" w:rsidP="00B02DE5">
            <w:pPr>
              <w:jc w:val="both"/>
              <w:rPr>
                <w:rFonts w:eastAsia="Calibri"/>
                <w:sz w:val="20"/>
                <w:lang w:val="fr-CA"/>
              </w:rPr>
            </w:pPr>
            <w:r w:rsidRPr="00164D42">
              <w:rPr>
                <w:rFonts w:eastAsia="Calibri"/>
                <w:sz w:val="20"/>
                <w:lang w:val="fr-CA"/>
              </w:rPr>
              <w:t>(Les juges Bich, Gagnon [dissident et Savard)</w:t>
            </w:r>
          </w:p>
          <w:p w:rsidR="00E56A3F" w:rsidRPr="00164D42" w:rsidRDefault="00E56A3F" w:rsidP="00B02DE5">
            <w:pPr>
              <w:jc w:val="both"/>
              <w:rPr>
                <w:rFonts w:eastAsia="Calibri"/>
                <w:sz w:val="20"/>
                <w:lang w:val="fr-CA"/>
              </w:rPr>
            </w:pPr>
            <w:r w:rsidRPr="00164D42">
              <w:rPr>
                <w:rFonts w:eastAsia="Calibri"/>
                <w:sz w:val="20"/>
                <w:lang w:val="fr-CA"/>
              </w:rPr>
              <w:t>Nos. 500-09-022442-123 et 500-09-022453-120</w:t>
            </w:r>
          </w:p>
          <w:p w:rsidR="00E56A3F" w:rsidRPr="00164D42" w:rsidRDefault="00E4461B" w:rsidP="00B02DE5">
            <w:pPr>
              <w:jc w:val="both"/>
              <w:rPr>
                <w:rFonts w:eastAsia="Calibri"/>
                <w:sz w:val="20"/>
                <w:lang w:val="fr-CA"/>
              </w:rPr>
            </w:pPr>
            <w:hyperlink r:id="rId28" w:history="1">
              <w:r w:rsidR="00E56A3F" w:rsidRPr="00164D42">
                <w:rPr>
                  <w:rFonts w:eastAsia="Calibri"/>
                  <w:color w:val="0000FF"/>
                  <w:sz w:val="20"/>
                  <w:u w:val="single"/>
                  <w:lang w:val="fr-CA"/>
                </w:rPr>
                <w:t>2014 QCCA 591</w:t>
              </w:r>
            </w:hyperlink>
            <w:r w:rsidR="00E56A3F" w:rsidRPr="00164D42">
              <w:rPr>
                <w:rFonts w:eastAsia="Calibri"/>
                <w:sz w:val="20"/>
                <w:lang w:val="fr-CA"/>
              </w:rPr>
              <w:t xml:space="preserve"> </w:t>
            </w:r>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Appel accueilli; requête en révision judiciaire rejetée; décision arbitrale interlocutoire prononcée le 24 mars 2011 rétablie.</w:t>
            </w: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Le 20 mai 2014</w:t>
            </w:r>
          </w:p>
          <w:p w:rsidR="00E56A3F" w:rsidRPr="00164D42" w:rsidRDefault="00E56A3F" w:rsidP="00B02DE5">
            <w:pPr>
              <w:jc w:val="both"/>
              <w:rPr>
                <w:rFonts w:eastAsia="Calibri"/>
                <w:sz w:val="20"/>
                <w:lang w:val="fr-CA"/>
              </w:rPr>
            </w:pPr>
            <w:r w:rsidRPr="00164D42">
              <w:rPr>
                <w:rFonts w:eastAsia="Calibri"/>
                <w:sz w:val="20"/>
                <w:lang w:val="fr-CA"/>
              </w:rPr>
              <w:t>Cour suprême du Canada</w:t>
            </w: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Demande d’autorisation d’appel déposée.</w:t>
            </w:r>
          </w:p>
          <w:p w:rsidR="00E56A3F" w:rsidRPr="00164D42" w:rsidRDefault="00E56A3F" w:rsidP="00B02DE5">
            <w:pPr>
              <w:jc w:val="both"/>
              <w:rPr>
                <w:rFonts w:eastAsia="Calibri"/>
                <w:sz w:val="20"/>
                <w:lang w:val="fr-CA"/>
              </w:rPr>
            </w:pPr>
          </w:p>
        </w:tc>
      </w:tr>
    </w:tbl>
    <w:p w:rsidR="00E56A3F" w:rsidRDefault="00E56A3F" w:rsidP="00E56A3F">
      <w:pPr>
        <w:rPr>
          <w:sz w:val="20"/>
          <w:szCs w:val="20"/>
        </w:rPr>
      </w:pPr>
    </w:p>
    <w:p w:rsidR="00E56A3F" w:rsidRDefault="00E4461B" w:rsidP="00E56A3F">
      <w:pPr>
        <w:rPr>
          <w:sz w:val="20"/>
          <w:szCs w:val="20"/>
          <w:lang w:val="fr-CA"/>
        </w:rPr>
      </w:pPr>
      <w:r>
        <w:rPr>
          <w:sz w:val="20"/>
          <w:szCs w:val="20"/>
          <w:lang w:val="fr-CA"/>
        </w:rPr>
        <w:pict>
          <v:rect id="_x0000_i1039" style="width:2in;height:1pt" o:hrpct="0" o:hralign="center" o:hrstd="t" o:hrnoshade="t" o:hr="t" fillcolor="black [3213]" stroked="f"/>
        </w:pict>
      </w:r>
    </w:p>
    <w:p w:rsidR="00E56A3F" w:rsidRDefault="00E56A3F" w:rsidP="00E56A3F">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1FE1" w:rsidRPr="00211FE1" w:rsidTr="00570EF9">
        <w:trPr>
          <w:cantSplit/>
        </w:trPr>
        <w:tc>
          <w:tcPr>
            <w:tcW w:w="1458" w:type="dxa"/>
          </w:tcPr>
          <w:p w:rsidR="00211FE1" w:rsidRPr="00211FE1" w:rsidRDefault="00211FE1" w:rsidP="00211FE1">
            <w:pPr>
              <w:rPr>
                <w:sz w:val="20"/>
              </w:rPr>
            </w:pPr>
            <w:r w:rsidRPr="00211FE1">
              <w:rPr>
                <w:b/>
                <w:sz w:val="20"/>
                <w:lang w:val="fr-CA"/>
              </w:rPr>
              <w:lastRenderedPageBreak/>
              <w:t>35924</w:t>
            </w:r>
          </w:p>
          <w:p w:rsidR="00211FE1" w:rsidRPr="00211FE1" w:rsidRDefault="00211FE1" w:rsidP="00211FE1">
            <w:pPr>
              <w:rPr>
                <w:b/>
                <w:sz w:val="20"/>
                <w:lang w:val="fr-CA"/>
              </w:rPr>
            </w:pPr>
          </w:p>
        </w:tc>
        <w:tc>
          <w:tcPr>
            <w:tcW w:w="8118" w:type="dxa"/>
          </w:tcPr>
          <w:p w:rsidR="00211FE1" w:rsidRPr="00211FE1" w:rsidRDefault="00211FE1" w:rsidP="00211FE1">
            <w:pPr>
              <w:jc w:val="both"/>
              <w:rPr>
                <w:sz w:val="20"/>
              </w:rPr>
            </w:pPr>
            <w:r w:rsidRPr="00211FE1">
              <w:rPr>
                <w:b/>
                <w:sz w:val="20"/>
                <w:u w:val="single"/>
              </w:rPr>
              <w:t>Jason Arbour v. Director of Public Prosecution</w:t>
            </w:r>
            <w:r>
              <w:rPr>
                <w:b/>
                <w:sz w:val="20"/>
                <w:u w:val="single"/>
              </w:rPr>
              <w:t xml:space="preserve"> and</w:t>
            </w:r>
            <w:r w:rsidRPr="00211FE1">
              <w:rPr>
                <w:b/>
                <w:sz w:val="20"/>
                <w:u w:val="single"/>
              </w:rPr>
              <w:t xml:space="preserve"> Attorney General of Québec</w:t>
            </w:r>
            <w:r w:rsidRPr="00211FE1">
              <w:rPr>
                <w:sz w:val="20"/>
              </w:rPr>
              <w:t xml:space="preserve"> (Que.) (Criminal) (By Leave)</w:t>
            </w:r>
          </w:p>
          <w:p w:rsidR="00211FE1" w:rsidRPr="00211FE1" w:rsidRDefault="00211FE1" w:rsidP="00211FE1">
            <w:pPr>
              <w:jc w:val="both"/>
              <w:rPr>
                <w:sz w:val="20"/>
              </w:rPr>
            </w:pPr>
          </w:p>
        </w:tc>
      </w:tr>
      <w:tr w:rsidR="00211FE1" w:rsidRPr="00211FE1" w:rsidTr="00570EF9">
        <w:trPr>
          <w:cantSplit/>
        </w:trPr>
        <w:tc>
          <w:tcPr>
            <w:tcW w:w="1458" w:type="dxa"/>
          </w:tcPr>
          <w:p w:rsidR="00211FE1" w:rsidRPr="00211FE1" w:rsidRDefault="00211FE1" w:rsidP="00211FE1">
            <w:pPr>
              <w:rPr>
                <w:sz w:val="20"/>
              </w:rPr>
            </w:pPr>
            <w:r w:rsidRPr="00211FE1">
              <w:rPr>
                <w:sz w:val="20"/>
              </w:rPr>
              <w:t>Coram :</w:t>
            </w:r>
          </w:p>
        </w:tc>
        <w:tc>
          <w:tcPr>
            <w:tcW w:w="8118" w:type="dxa"/>
          </w:tcPr>
          <w:p w:rsidR="00211FE1" w:rsidRPr="00211FE1" w:rsidRDefault="00211FE1" w:rsidP="00211FE1">
            <w:pPr>
              <w:rPr>
                <w:sz w:val="20"/>
              </w:rPr>
            </w:pPr>
            <w:r w:rsidRPr="00211FE1">
              <w:rPr>
                <w:sz w:val="20"/>
                <w:u w:val="single"/>
              </w:rPr>
              <w:t>McLachlin C.J. and Cromwell and Wagner JJ.</w:t>
            </w:r>
          </w:p>
          <w:p w:rsidR="00211FE1" w:rsidRPr="00211FE1" w:rsidRDefault="00211FE1" w:rsidP="00211FE1">
            <w:pPr>
              <w:rPr>
                <w:sz w:val="20"/>
                <w:u w:val="single"/>
              </w:rPr>
            </w:pPr>
          </w:p>
        </w:tc>
      </w:tr>
      <w:tr w:rsidR="00211FE1" w:rsidRPr="00E4461B" w:rsidTr="00570EF9">
        <w:trPr>
          <w:cantSplit/>
        </w:trPr>
        <w:tc>
          <w:tcPr>
            <w:tcW w:w="9576" w:type="dxa"/>
            <w:gridSpan w:val="2"/>
          </w:tcPr>
          <w:p w:rsidR="00211FE1" w:rsidRPr="00211FE1" w:rsidRDefault="00211FE1" w:rsidP="00211FE1">
            <w:pPr>
              <w:ind w:firstLine="720"/>
              <w:jc w:val="both"/>
              <w:rPr>
                <w:sz w:val="20"/>
              </w:rPr>
            </w:pPr>
            <w:r w:rsidRPr="00211FE1">
              <w:rPr>
                <w:sz w:val="20"/>
              </w:rPr>
              <w:t>The application for leave to appeal from the judgment of the Court of Appeal of Quebec (Montréal), Number 500-10-005611-148, 2014 QCCA 774, dated April 4, 2014, is dismissed without costs.</w:t>
            </w:r>
          </w:p>
          <w:p w:rsidR="00211FE1" w:rsidRPr="00211FE1" w:rsidRDefault="00211FE1" w:rsidP="00211FE1">
            <w:pPr>
              <w:jc w:val="both"/>
              <w:rPr>
                <w:sz w:val="20"/>
              </w:rPr>
            </w:pPr>
          </w:p>
          <w:p w:rsidR="00211FE1" w:rsidRPr="00211FE1" w:rsidRDefault="00211FE1" w:rsidP="00211FE1">
            <w:pPr>
              <w:ind w:firstLine="720"/>
              <w:jc w:val="both"/>
              <w:rPr>
                <w:sz w:val="20"/>
                <w:lang w:val="fr-CA"/>
              </w:rPr>
            </w:pPr>
            <w:r w:rsidRPr="00211FE1">
              <w:rPr>
                <w:sz w:val="20"/>
                <w:lang w:val="fr-CA"/>
              </w:rPr>
              <w:t>La demande d’autorisation d’appel de l’arrêt de la Cour d’appel du Québec (Montréal), numéro 500-10-005611-148, 2014 QCCA 774, daté du 4 avril 2014, est rejetée sans dépens.</w:t>
            </w:r>
          </w:p>
        </w:tc>
      </w:tr>
    </w:tbl>
    <w:p w:rsidR="00D17B96" w:rsidRPr="00211FE1" w:rsidRDefault="00D17B96" w:rsidP="000E2959">
      <w:pPr>
        <w:rPr>
          <w:sz w:val="20"/>
          <w:szCs w:val="20"/>
          <w:lang w:val="fr-CA"/>
        </w:rPr>
      </w:pPr>
    </w:p>
    <w:p w:rsidR="00D17B96" w:rsidRPr="001B157C" w:rsidRDefault="00D17B96" w:rsidP="00D17B96">
      <w:pPr>
        <w:rPr>
          <w:sz w:val="20"/>
          <w:szCs w:val="20"/>
          <w:u w:val="single"/>
        </w:rPr>
      </w:pPr>
      <w:r w:rsidRPr="001B157C">
        <w:rPr>
          <w:sz w:val="20"/>
          <w:szCs w:val="20"/>
          <w:u w:val="single"/>
        </w:rPr>
        <w:t>CASE SUMMARY</w:t>
      </w:r>
    </w:p>
    <w:p w:rsidR="00D17B96" w:rsidRDefault="00D17B96" w:rsidP="00D17B9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164D42" w:rsidTr="00B02DE5">
        <w:tc>
          <w:tcPr>
            <w:tcW w:w="5000" w:type="pct"/>
            <w:gridSpan w:val="3"/>
          </w:tcPr>
          <w:p w:rsidR="00E56A3F" w:rsidRPr="00164D42" w:rsidRDefault="00E56A3F" w:rsidP="00B02DE5">
            <w:pPr>
              <w:jc w:val="both"/>
              <w:rPr>
                <w:rFonts w:eastAsia="Calibri"/>
                <w:sz w:val="20"/>
              </w:rPr>
            </w:pPr>
            <w:r w:rsidRPr="00164D42">
              <w:rPr>
                <w:rFonts w:eastAsia="Calibri"/>
                <w:sz w:val="20"/>
              </w:rPr>
              <w:t xml:space="preserve">Aboriginal rights — Hunting — Non-status Indians — Applicant charged with hunting during a prohibited period — Applicant seeking stay of proceedings and invoking Aboriginal right to hunt — Motion for stay dismissed and applicant found guilty — Whether criteria set out in </w:t>
            </w:r>
            <w:r w:rsidRPr="00164D42">
              <w:rPr>
                <w:rFonts w:eastAsia="Calibri"/>
                <w:i/>
                <w:sz w:val="20"/>
              </w:rPr>
              <w:t>R. v. Powley</w:t>
            </w:r>
            <w:r w:rsidRPr="00164D42">
              <w:rPr>
                <w:rFonts w:eastAsia="Calibri"/>
                <w:sz w:val="20"/>
              </w:rPr>
              <w:t xml:space="preserve">, 2003 SCC 43, apply in whole or in part to assertion of Aboriginal rights by non-status Indians? — Whether descendants of an Aboriginal group that was disbanded and dispersed due to Crown conduct can revive ability to claim protections of s. 35 of </w:t>
            </w:r>
            <w:r w:rsidRPr="00164D42">
              <w:rPr>
                <w:rFonts w:eastAsia="Calibri"/>
                <w:i/>
                <w:sz w:val="20"/>
              </w:rPr>
              <w:t>Constitution Act, 1982</w:t>
            </w:r>
            <w:r w:rsidRPr="00164D42">
              <w:rPr>
                <w:rFonts w:eastAsia="Calibri"/>
                <w:sz w:val="20"/>
              </w:rPr>
              <w:t>? — Whether Crown can rely on effects of its historical conduct to disperse and assimilate an Aboriginal community in order to defeat an assertion of a s. 35 right? — Whether a person’s Aboriginal ancestry and assertion of an Aboriginal right constitute special and relevant considerations in determining whether state-funded counsel should be provided to defend against a regulatory offence?</w:t>
            </w:r>
          </w:p>
        </w:tc>
      </w:tr>
      <w:tr w:rsidR="00E56A3F" w:rsidRPr="00164D42" w:rsidTr="00B02DE5">
        <w:tc>
          <w:tcPr>
            <w:tcW w:w="5000" w:type="pct"/>
            <w:gridSpan w:val="3"/>
          </w:tcPr>
          <w:p w:rsidR="00E56A3F" w:rsidRPr="00164D42" w:rsidRDefault="00E56A3F" w:rsidP="00B02DE5">
            <w:pPr>
              <w:jc w:val="both"/>
              <w:rPr>
                <w:rFonts w:eastAsia="Calibri"/>
                <w:sz w:val="20"/>
              </w:rPr>
            </w:pPr>
          </w:p>
        </w:tc>
      </w:tr>
      <w:tr w:rsidR="00E56A3F" w:rsidRPr="00164D42" w:rsidTr="00B02DE5">
        <w:tc>
          <w:tcPr>
            <w:tcW w:w="5000" w:type="pct"/>
            <w:gridSpan w:val="3"/>
          </w:tcPr>
          <w:p w:rsidR="00E56A3F" w:rsidRPr="00164D42" w:rsidRDefault="00E56A3F" w:rsidP="00B02DE5">
            <w:pPr>
              <w:jc w:val="both"/>
              <w:rPr>
                <w:rFonts w:eastAsia="Calibri"/>
                <w:sz w:val="20"/>
              </w:rPr>
            </w:pPr>
            <w:r w:rsidRPr="00164D42">
              <w:rPr>
                <w:rFonts w:eastAsia="Calibri"/>
                <w:sz w:val="20"/>
              </w:rPr>
              <w:t xml:space="preserve">In October 2008, the applicant was intercepted by a game warden while hunting in a wildlife sanctuary located roughly 100 kilometers north of Gatineau, Quebec.  He was charged with hunting large game during a prohibited period, contrary to s. 56 of the </w:t>
            </w:r>
            <w:r w:rsidRPr="00164D42">
              <w:rPr>
                <w:rFonts w:eastAsia="Calibri"/>
                <w:i/>
                <w:sz w:val="20"/>
              </w:rPr>
              <w:t>Act Respecting the Conservation and Development of Wildlife,</w:t>
            </w:r>
            <w:r w:rsidRPr="00164D42">
              <w:rPr>
                <w:rFonts w:eastAsia="Calibri"/>
                <w:sz w:val="20"/>
              </w:rPr>
              <w:t xml:space="preserve"> C.Q.L.R. c. C-61.1 (“the Act”) and the </w:t>
            </w:r>
            <w:r w:rsidRPr="00164D42">
              <w:rPr>
                <w:rFonts w:eastAsia="Calibri"/>
                <w:i/>
                <w:sz w:val="20"/>
              </w:rPr>
              <w:t>Regulation Respecting Hunting</w:t>
            </w:r>
            <w:r w:rsidRPr="00164D42">
              <w:rPr>
                <w:rFonts w:eastAsia="Calibri"/>
                <w:sz w:val="20"/>
              </w:rPr>
              <w:t xml:space="preserve">, C.Q.L.R. c. C-61.1, r. 12.  </w:t>
            </w:r>
          </w:p>
          <w:p w:rsidR="00E56A3F" w:rsidRPr="00164D42" w:rsidRDefault="00E56A3F" w:rsidP="00B02DE5">
            <w:pPr>
              <w:jc w:val="both"/>
              <w:rPr>
                <w:rFonts w:eastAsia="Calibri"/>
                <w:sz w:val="20"/>
              </w:rPr>
            </w:pPr>
          </w:p>
          <w:p w:rsidR="00E56A3F" w:rsidRPr="00164D42" w:rsidRDefault="00E56A3F" w:rsidP="00B02DE5">
            <w:pPr>
              <w:jc w:val="both"/>
              <w:rPr>
                <w:rFonts w:eastAsia="Calibri"/>
                <w:sz w:val="20"/>
              </w:rPr>
            </w:pPr>
            <w:r w:rsidRPr="00164D42">
              <w:rPr>
                <w:rFonts w:eastAsia="Calibri"/>
                <w:sz w:val="20"/>
              </w:rPr>
              <w:t xml:space="preserve">A non-status Indian, the applicant requested a stay of proceedings on the basis of his aboriginal heritage. Pursuant to s. 95 of the </w:t>
            </w:r>
            <w:r w:rsidRPr="00164D42">
              <w:rPr>
                <w:rFonts w:eastAsia="Calibri"/>
                <w:i/>
                <w:sz w:val="20"/>
              </w:rPr>
              <w:t>Code of Civil Procedure</w:t>
            </w:r>
            <w:r w:rsidRPr="00164D42">
              <w:rPr>
                <w:rFonts w:eastAsia="Calibri"/>
                <w:sz w:val="20"/>
              </w:rPr>
              <w:t xml:space="preserve">, C.Q.L.R. c. C-25, he also filed a Notice of Intention signaling his intent to seek a ruling that s. 56 of the Act is inapplicable to him by reason of his ancestral rights under s. 35 of the </w:t>
            </w:r>
            <w:r w:rsidRPr="00164D42">
              <w:rPr>
                <w:rFonts w:eastAsia="Calibri"/>
                <w:i/>
                <w:sz w:val="20"/>
              </w:rPr>
              <w:t>Constitution Act, 1982</w:t>
            </w:r>
            <w:r w:rsidRPr="00164D42">
              <w:rPr>
                <w:rFonts w:eastAsia="Calibri"/>
                <w:sz w:val="20"/>
              </w:rPr>
              <w:t xml:space="preserve">. </w:t>
            </w:r>
          </w:p>
          <w:p w:rsidR="00E56A3F" w:rsidRPr="00164D42" w:rsidRDefault="00E56A3F" w:rsidP="00B02DE5">
            <w:pPr>
              <w:jc w:val="both"/>
              <w:rPr>
                <w:rFonts w:eastAsia="Calibri"/>
                <w:sz w:val="20"/>
              </w:rPr>
            </w:pPr>
          </w:p>
          <w:p w:rsidR="00E56A3F" w:rsidRPr="00164D42" w:rsidRDefault="00E56A3F" w:rsidP="00B02DE5">
            <w:pPr>
              <w:jc w:val="both"/>
              <w:rPr>
                <w:rFonts w:eastAsia="Calibri"/>
                <w:sz w:val="20"/>
              </w:rPr>
            </w:pPr>
            <w:r w:rsidRPr="00164D42">
              <w:rPr>
                <w:rFonts w:eastAsia="Calibri"/>
                <w:sz w:val="20"/>
              </w:rPr>
              <w:t>The applicant is a descendent of the Tsit-Kanaja Kaniengehaga, an Iroquoian people whose traditional territory was located in proximity to the Chaudière Falls which span the Ottawa River in the Ottawa/Gatineau area.  The applicant identifies as a member of the Tsit-Kanaja Kaniengehaga, a historic community that was evicted and disbanded in the 1800s.  That historic community, once disbanded, did not relocate as a group.  As an adult, the applicant took steps to create his own contemporary community within the wildlife sanctuary, an area to which he felt a spiritual attachment.</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June 10, 2011</w:t>
            </w:r>
          </w:p>
          <w:p w:rsidR="00E56A3F" w:rsidRPr="00164D42" w:rsidRDefault="00E56A3F" w:rsidP="00B02DE5">
            <w:pPr>
              <w:jc w:val="both"/>
              <w:rPr>
                <w:rFonts w:eastAsia="Calibri"/>
                <w:sz w:val="20"/>
              </w:rPr>
            </w:pPr>
            <w:r w:rsidRPr="00164D42">
              <w:rPr>
                <w:rFonts w:eastAsia="Calibri"/>
                <w:sz w:val="20"/>
              </w:rPr>
              <w:t>Court of Quebec</w:t>
            </w:r>
          </w:p>
          <w:p w:rsidR="00E56A3F" w:rsidRPr="00164D42" w:rsidRDefault="00E56A3F" w:rsidP="00B02DE5">
            <w:pPr>
              <w:jc w:val="both"/>
              <w:rPr>
                <w:rFonts w:eastAsia="Calibri"/>
                <w:sz w:val="20"/>
              </w:rPr>
            </w:pPr>
            <w:r w:rsidRPr="00164D42">
              <w:rPr>
                <w:rFonts w:eastAsia="Calibri"/>
                <w:sz w:val="20"/>
              </w:rPr>
              <w:t>(Auger J.)</w:t>
            </w:r>
          </w:p>
          <w:p w:rsidR="00E56A3F" w:rsidRPr="00164D42" w:rsidRDefault="00E56A3F" w:rsidP="00B02DE5">
            <w:pPr>
              <w:jc w:val="both"/>
              <w:rPr>
                <w:rFonts w:eastAsia="Calibri"/>
                <w:sz w:val="20"/>
              </w:rPr>
            </w:pPr>
            <w:r w:rsidRPr="00164D42">
              <w:rPr>
                <w:rFonts w:eastAsia="Calibri"/>
                <w:sz w:val="20"/>
              </w:rPr>
              <w:t>Docket No. 550-61-019736-103</w:t>
            </w:r>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Applicant’s motion for appointment of state-funded counsel, dismissed</w:t>
            </w: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May 4, 2012</w:t>
            </w:r>
          </w:p>
          <w:p w:rsidR="00E56A3F" w:rsidRPr="00164D42" w:rsidRDefault="00E56A3F" w:rsidP="00B02DE5">
            <w:pPr>
              <w:jc w:val="both"/>
              <w:rPr>
                <w:rFonts w:eastAsia="Calibri"/>
                <w:sz w:val="20"/>
              </w:rPr>
            </w:pPr>
            <w:r w:rsidRPr="00164D42">
              <w:rPr>
                <w:rFonts w:eastAsia="Calibri"/>
                <w:sz w:val="20"/>
              </w:rPr>
              <w:t>Court of Quebec</w:t>
            </w:r>
          </w:p>
          <w:p w:rsidR="00E56A3F" w:rsidRPr="00164D42" w:rsidRDefault="00E56A3F" w:rsidP="00B02DE5">
            <w:pPr>
              <w:jc w:val="both"/>
              <w:rPr>
                <w:rFonts w:eastAsia="Calibri"/>
                <w:sz w:val="20"/>
              </w:rPr>
            </w:pPr>
            <w:r w:rsidRPr="00164D42">
              <w:rPr>
                <w:rFonts w:eastAsia="Calibri"/>
                <w:sz w:val="20"/>
              </w:rPr>
              <w:t>(Auger J.)</w:t>
            </w:r>
          </w:p>
          <w:p w:rsidR="00E56A3F" w:rsidRPr="00164D42" w:rsidRDefault="00E56A3F" w:rsidP="00B02DE5">
            <w:pPr>
              <w:jc w:val="both"/>
              <w:rPr>
                <w:rFonts w:eastAsia="Calibri"/>
                <w:sz w:val="20"/>
              </w:rPr>
            </w:pPr>
            <w:r w:rsidRPr="00164D42">
              <w:rPr>
                <w:rFonts w:eastAsia="Calibri"/>
                <w:sz w:val="20"/>
              </w:rPr>
              <w:t>Docket No. 550-61-019736-103</w:t>
            </w:r>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 xml:space="preserve">Respondent’s motion to dismiss Notice of Intention, granted; Applicant’s motion for stay of proceedings, dismissed; Applicant’s request for an exemption pursuant to s. 35 of the </w:t>
            </w:r>
            <w:r w:rsidRPr="00164D42">
              <w:rPr>
                <w:rFonts w:eastAsia="Calibri"/>
                <w:i/>
                <w:sz w:val="20"/>
              </w:rPr>
              <w:t>Constitution Act, 1982</w:t>
            </w:r>
            <w:r w:rsidRPr="00164D42">
              <w:rPr>
                <w:rFonts w:eastAsia="Calibri"/>
                <w:sz w:val="20"/>
              </w:rPr>
              <w:t>, dismissed</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lastRenderedPageBreak/>
              <w:t>February 20, 2013</w:t>
            </w:r>
          </w:p>
          <w:p w:rsidR="00E56A3F" w:rsidRPr="00164D42" w:rsidRDefault="00E56A3F" w:rsidP="00B02DE5">
            <w:pPr>
              <w:jc w:val="both"/>
              <w:rPr>
                <w:rFonts w:eastAsia="Calibri"/>
                <w:sz w:val="20"/>
              </w:rPr>
            </w:pPr>
            <w:r w:rsidRPr="00164D42">
              <w:rPr>
                <w:rFonts w:eastAsia="Calibri"/>
                <w:sz w:val="20"/>
              </w:rPr>
              <w:t>Court of Quebec</w:t>
            </w:r>
          </w:p>
          <w:p w:rsidR="00E56A3F" w:rsidRPr="00164D42" w:rsidRDefault="00E56A3F" w:rsidP="00B02DE5">
            <w:pPr>
              <w:jc w:val="both"/>
              <w:rPr>
                <w:rFonts w:eastAsia="Calibri"/>
                <w:sz w:val="20"/>
              </w:rPr>
            </w:pPr>
            <w:r w:rsidRPr="00164D42">
              <w:rPr>
                <w:rFonts w:eastAsia="Calibri"/>
                <w:sz w:val="20"/>
              </w:rPr>
              <w:t>(Auger J. )</w:t>
            </w:r>
          </w:p>
          <w:p w:rsidR="00E56A3F" w:rsidRPr="00164D42" w:rsidRDefault="00E56A3F" w:rsidP="00B02DE5">
            <w:pPr>
              <w:jc w:val="both"/>
              <w:rPr>
                <w:rFonts w:eastAsia="Calibri"/>
                <w:sz w:val="20"/>
              </w:rPr>
            </w:pPr>
            <w:r w:rsidRPr="00164D42">
              <w:rPr>
                <w:rFonts w:eastAsia="Calibri"/>
                <w:sz w:val="20"/>
              </w:rPr>
              <w:t>Docket No. 550-61-019736-103</w:t>
            </w:r>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 xml:space="preserve">Applicant found guilty of having hunted large game during a prohibited period, contrary to s. 56 of the </w:t>
            </w:r>
            <w:r w:rsidRPr="00164D42">
              <w:rPr>
                <w:rFonts w:eastAsia="Calibri"/>
                <w:i/>
                <w:sz w:val="20"/>
              </w:rPr>
              <w:t>Act Respecting the Conservation and Development of Wildlife,</w:t>
            </w:r>
            <w:r w:rsidRPr="00164D42">
              <w:rPr>
                <w:rFonts w:eastAsia="Calibri"/>
                <w:sz w:val="20"/>
              </w:rPr>
              <w:t xml:space="preserve"> C.Q.L.R. c. C-61.1 and the </w:t>
            </w:r>
            <w:r w:rsidRPr="00164D42">
              <w:rPr>
                <w:rFonts w:eastAsia="Calibri"/>
                <w:i/>
                <w:sz w:val="20"/>
              </w:rPr>
              <w:t>Regulation Respecting Hunting</w:t>
            </w:r>
            <w:r w:rsidRPr="00164D42">
              <w:rPr>
                <w:rFonts w:eastAsia="Calibri"/>
                <w:sz w:val="20"/>
              </w:rPr>
              <w:t xml:space="preserve">, C.Q.L.R. c. C-61.1, r. 12; Applicant fined $1 825 </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February 24, 2014</w:t>
            </w:r>
          </w:p>
          <w:p w:rsidR="00E56A3F" w:rsidRPr="00164D42" w:rsidRDefault="00E56A3F" w:rsidP="00B02DE5">
            <w:pPr>
              <w:jc w:val="both"/>
              <w:rPr>
                <w:rFonts w:eastAsia="Calibri"/>
                <w:sz w:val="20"/>
              </w:rPr>
            </w:pPr>
            <w:r w:rsidRPr="00164D42">
              <w:rPr>
                <w:rFonts w:eastAsia="Calibri"/>
                <w:sz w:val="20"/>
              </w:rPr>
              <w:t>Superior Court of Quebec</w:t>
            </w:r>
          </w:p>
          <w:p w:rsidR="00E56A3F" w:rsidRPr="00164D42" w:rsidRDefault="00E56A3F" w:rsidP="00B02DE5">
            <w:pPr>
              <w:jc w:val="both"/>
              <w:rPr>
                <w:rFonts w:eastAsia="Calibri"/>
                <w:sz w:val="20"/>
              </w:rPr>
            </w:pPr>
            <w:r w:rsidRPr="00164D42">
              <w:rPr>
                <w:rFonts w:eastAsia="Calibri"/>
                <w:sz w:val="20"/>
              </w:rPr>
              <w:t>(Plouffe J.)</w:t>
            </w:r>
          </w:p>
          <w:p w:rsidR="00E56A3F" w:rsidRPr="00164D42" w:rsidRDefault="00E56A3F" w:rsidP="00B02DE5">
            <w:pPr>
              <w:jc w:val="both"/>
              <w:rPr>
                <w:rFonts w:eastAsia="Calibri"/>
                <w:sz w:val="20"/>
              </w:rPr>
            </w:pPr>
            <w:r w:rsidRPr="00164D42">
              <w:rPr>
                <w:rFonts w:eastAsia="Calibri"/>
                <w:sz w:val="20"/>
              </w:rPr>
              <w:t>Docket No. 550-36-000012-128</w:t>
            </w:r>
          </w:p>
          <w:p w:rsidR="00E56A3F" w:rsidRPr="00164D42" w:rsidRDefault="00E4461B" w:rsidP="00B02DE5">
            <w:pPr>
              <w:jc w:val="both"/>
              <w:rPr>
                <w:rFonts w:eastAsia="Calibri"/>
                <w:sz w:val="20"/>
              </w:rPr>
            </w:pPr>
            <w:hyperlink r:id="rId29" w:history="1">
              <w:r w:rsidR="00E56A3F" w:rsidRPr="00164D42">
                <w:rPr>
                  <w:rFonts w:eastAsia="Calibri"/>
                  <w:color w:val="0000FF"/>
                  <w:sz w:val="20"/>
                  <w:u w:val="single"/>
                </w:rPr>
                <w:t>2014 QCCS 666</w:t>
              </w:r>
            </w:hyperlink>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Appeal dismissed</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April 4, 2014</w:t>
            </w:r>
          </w:p>
          <w:p w:rsidR="00E56A3F" w:rsidRPr="00164D42" w:rsidRDefault="00E56A3F" w:rsidP="00B02DE5">
            <w:pPr>
              <w:jc w:val="both"/>
              <w:rPr>
                <w:rFonts w:eastAsia="Calibri"/>
                <w:sz w:val="20"/>
              </w:rPr>
            </w:pPr>
            <w:r w:rsidRPr="00164D42">
              <w:rPr>
                <w:rFonts w:eastAsia="Calibri"/>
                <w:sz w:val="20"/>
              </w:rPr>
              <w:t>Court of Appeal of Quebec (Montréal)</w:t>
            </w:r>
          </w:p>
          <w:p w:rsidR="00E56A3F" w:rsidRPr="00164D42" w:rsidRDefault="00E56A3F" w:rsidP="00B02DE5">
            <w:pPr>
              <w:jc w:val="both"/>
              <w:rPr>
                <w:rFonts w:eastAsia="Calibri"/>
                <w:sz w:val="20"/>
              </w:rPr>
            </w:pPr>
            <w:r w:rsidRPr="00164D42">
              <w:rPr>
                <w:rFonts w:eastAsia="Calibri"/>
                <w:sz w:val="20"/>
              </w:rPr>
              <w:t>(Vauclair J.A.)</w:t>
            </w:r>
          </w:p>
          <w:p w:rsidR="00E56A3F" w:rsidRPr="00164D42" w:rsidRDefault="00E56A3F" w:rsidP="00B02DE5">
            <w:pPr>
              <w:jc w:val="both"/>
              <w:rPr>
                <w:rFonts w:eastAsia="Calibri"/>
                <w:sz w:val="20"/>
              </w:rPr>
            </w:pPr>
            <w:r w:rsidRPr="00164D42">
              <w:rPr>
                <w:rFonts w:eastAsia="Calibri"/>
                <w:sz w:val="20"/>
              </w:rPr>
              <w:t>Docket No. 500-10-005611-148</w:t>
            </w:r>
          </w:p>
          <w:p w:rsidR="00E56A3F" w:rsidRPr="00164D42" w:rsidRDefault="00E4461B" w:rsidP="00B02DE5">
            <w:pPr>
              <w:jc w:val="both"/>
              <w:rPr>
                <w:rFonts w:eastAsia="Calibri"/>
                <w:sz w:val="20"/>
              </w:rPr>
            </w:pPr>
            <w:hyperlink r:id="rId30" w:history="1">
              <w:r w:rsidR="00E56A3F" w:rsidRPr="00164D42">
                <w:rPr>
                  <w:rFonts w:eastAsia="Calibri"/>
                  <w:color w:val="0000FF"/>
                  <w:sz w:val="20"/>
                  <w:u w:val="single"/>
                </w:rPr>
                <w:t>2014 QCCA 774</w:t>
              </w:r>
            </w:hyperlink>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Motion for leave to appeal, dismissed</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June 3, 2014</w:t>
            </w:r>
          </w:p>
          <w:p w:rsidR="00E56A3F" w:rsidRPr="00164D42" w:rsidRDefault="00E56A3F" w:rsidP="00B02DE5">
            <w:pPr>
              <w:jc w:val="both"/>
              <w:rPr>
                <w:rFonts w:eastAsia="Calibri"/>
                <w:sz w:val="20"/>
              </w:rPr>
            </w:pPr>
            <w:r w:rsidRPr="00164D42">
              <w:rPr>
                <w:rFonts w:eastAsia="Calibri"/>
                <w:sz w:val="20"/>
              </w:rPr>
              <w:t>Supreme Court of Canada</w:t>
            </w: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Application for leave to appeal filed</w:t>
            </w:r>
          </w:p>
          <w:p w:rsidR="00E56A3F" w:rsidRPr="00164D42" w:rsidRDefault="00E56A3F" w:rsidP="00B02DE5">
            <w:pPr>
              <w:jc w:val="both"/>
              <w:rPr>
                <w:rFonts w:eastAsia="Calibri"/>
                <w:sz w:val="20"/>
              </w:rPr>
            </w:pPr>
          </w:p>
        </w:tc>
      </w:tr>
    </w:tbl>
    <w:p w:rsidR="00D17B96" w:rsidRDefault="00D17B96" w:rsidP="000E2959">
      <w:pPr>
        <w:rPr>
          <w:sz w:val="20"/>
          <w:szCs w:val="20"/>
        </w:rPr>
      </w:pPr>
    </w:p>
    <w:p w:rsidR="00D17B96" w:rsidRPr="00C50A5C" w:rsidRDefault="00E4461B" w:rsidP="00D17B96">
      <w:pPr>
        <w:rPr>
          <w:sz w:val="20"/>
          <w:szCs w:val="20"/>
        </w:rPr>
      </w:pPr>
      <w:r>
        <w:rPr>
          <w:sz w:val="20"/>
          <w:szCs w:val="20"/>
          <w:lang w:val="fr-CA"/>
        </w:rPr>
        <w:pict>
          <v:rect id="_x0000_i1040" style="width:2in;height:1pt" o:hrpct="0" o:hralign="center" o:hrstd="t" o:hrnoshade="t" o:hr="t" fillcolor="black [3213]" stroked="f"/>
        </w:pict>
      </w:r>
    </w:p>
    <w:p w:rsidR="00D17B96" w:rsidRDefault="00D17B96" w:rsidP="00D17B96">
      <w:pPr>
        <w:rPr>
          <w:sz w:val="20"/>
          <w:szCs w:val="20"/>
        </w:rPr>
      </w:pPr>
    </w:p>
    <w:p w:rsidR="00D17B96" w:rsidRPr="001B157C" w:rsidRDefault="00D17B96" w:rsidP="00D17B96">
      <w:pPr>
        <w:rPr>
          <w:sz w:val="20"/>
          <w:szCs w:val="20"/>
          <w:u w:val="single"/>
          <w:lang w:val="fr-CA"/>
        </w:rPr>
      </w:pPr>
      <w:r w:rsidRPr="001B157C">
        <w:rPr>
          <w:sz w:val="20"/>
          <w:szCs w:val="20"/>
          <w:u w:val="single"/>
          <w:lang w:val="fr-CA"/>
        </w:rPr>
        <w:t>RÉSUMÉ DE L’AFFAIRE</w:t>
      </w:r>
    </w:p>
    <w:p w:rsidR="00D17B96" w:rsidRDefault="00D17B96"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E4461B" w:rsidTr="00B02DE5">
        <w:tc>
          <w:tcPr>
            <w:tcW w:w="5000" w:type="pct"/>
            <w:gridSpan w:val="3"/>
          </w:tcPr>
          <w:p w:rsidR="00E56A3F" w:rsidRPr="00164D42" w:rsidRDefault="00E56A3F" w:rsidP="00B02DE5">
            <w:pPr>
              <w:jc w:val="both"/>
              <w:rPr>
                <w:rFonts w:eastAsia="Calibri"/>
                <w:sz w:val="20"/>
                <w:lang w:val="fr-CA"/>
              </w:rPr>
            </w:pPr>
            <w:r w:rsidRPr="00164D42">
              <w:rPr>
                <w:rFonts w:eastAsia="Calibri"/>
                <w:sz w:val="20"/>
                <w:lang w:val="fr-CA"/>
              </w:rPr>
              <w:t xml:space="preserve">Droit des Autochtones — Chasse — Indiens non inscrits — Le demandeur a été accusé d’avoir chassé pendant une période d’interdiction — Le demandeur a demandé l’arrêt des procédures et a invoqué un droit ancestral lui permettant de chasser — La requête en arrêt des procédures a été rejetée et le demandeur a été déclaré coupable — Les critères énoncés dans l’arrêt </w:t>
            </w:r>
            <w:r w:rsidRPr="00164D42">
              <w:rPr>
                <w:rFonts w:eastAsia="Calibri"/>
                <w:i/>
                <w:sz w:val="20"/>
                <w:lang w:val="fr-CA"/>
              </w:rPr>
              <w:t>R. c. Powley</w:t>
            </w:r>
            <w:r w:rsidRPr="00164D42">
              <w:rPr>
                <w:rFonts w:eastAsia="Calibri"/>
                <w:sz w:val="20"/>
                <w:lang w:val="fr-CA"/>
              </w:rPr>
              <w:t xml:space="preserve">, 2003 CSC 43, s’appliquent-ils en tout ou en partie à la revendication de droits ancestraux par des Indiens non inscrits? — Les descendants d’un groupe d’Autochtones qui a été démantelé et dont les membres se sont dispersés en raison des actes de l’État peuvent-ils retrouver la capacité de revendiquer les protections accordées par l’art. 35 de la </w:t>
            </w:r>
            <w:r w:rsidRPr="00164D42">
              <w:rPr>
                <w:rFonts w:eastAsia="Calibri"/>
                <w:i/>
                <w:sz w:val="20"/>
                <w:lang w:val="fr-CA"/>
              </w:rPr>
              <w:t>Loi constitutionnelle de 1982</w:t>
            </w:r>
            <w:r w:rsidRPr="00164D42">
              <w:rPr>
                <w:rFonts w:eastAsia="Calibri"/>
                <w:sz w:val="20"/>
                <w:lang w:val="fr-CA"/>
              </w:rPr>
              <w:t>? — L’État peut-il s’appuyer sur les effets de ses actes passés pour disperser et assimiler une communauté autochtone afin de faire obstacle à la revendication d’un droit reconnu par l’art. 35? — L’ascendance autochtone d’une personne et la revendication d’un droit ancestral constituent-elles des considérations particulières et pertinentes dans la détermination de la question de savoir si un avocat financé par l’État devrait être fourni pour défendre contre une infraction réglementaire?</w:t>
            </w:r>
          </w:p>
        </w:tc>
      </w:tr>
      <w:tr w:rsidR="00E56A3F" w:rsidRPr="00E4461B" w:rsidTr="00B02DE5">
        <w:tc>
          <w:tcPr>
            <w:tcW w:w="5000" w:type="pct"/>
            <w:gridSpan w:val="3"/>
          </w:tcPr>
          <w:p w:rsidR="00E56A3F" w:rsidRPr="00164D42" w:rsidRDefault="00E56A3F" w:rsidP="00B02DE5">
            <w:pPr>
              <w:jc w:val="both"/>
              <w:rPr>
                <w:rFonts w:eastAsia="Calibri"/>
                <w:sz w:val="20"/>
                <w:lang w:val="fr-CA"/>
              </w:rPr>
            </w:pPr>
          </w:p>
        </w:tc>
      </w:tr>
      <w:tr w:rsidR="00E56A3F" w:rsidRPr="00E4461B" w:rsidTr="00B02DE5">
        <w:tc>
          <w:tcPr>
            <w:tcW w:w="5000" w:type="pct"/>
            <w:gridSpan w:val="3"/>
          </w:tcPr>
          <w:p w:rsidR="00E56A3F" w:rsidRPr="00164D42" w:rsidRDefault="00E56A3F" w:rsidP="00B02DE5">
            <w:pPr>
              <w:jc w:val="both"/>
              <w:rPr>
                <w:rFonts w:eastAsia="Calibri"/>
                <w:sz w:val="20"/>
                <w:lang w:val="fr-CA"/>
              </w:rPr>
            </w:pPr>
            <w:r w:rsidRPr="00164D42">
              <w:rPr>
                <w:rFonts w:eastAsia="Calibri"/>
                <w:sz w:val="20"/>
                <w:lang w:val="fr-CA"/>
              </w:rPr>
              <w:t xml:space="preserve">En octobre 2008, le demandeur a été intercepté par un garde-chasse alors qu’il chassait dans une réserve faunique située à une centaine de kilomètres au nord de Gatineau (Québec).  Il a été accusé d’avoir chassé du gros gibier pendant une période d’interdiction, contrairement à l’art. 56 de la </w:t>
            </w:r>
            <w:r w:rsidRPr="00164D42">
              <w:rPr>
                <w:rFonts w:eastAsia="Calibri"/>
                <w:i/>
                <w:sz w:val="20"/>
                <w:lang w:val="fr-CA"/>
              </w:rPr>
              <w:t>Loi sur la conservation et la mise en valeur de la faune,</w:t>
            </w:r>
            <w:r w:rsidRPr="00164D42">
              <w:rPr>
                <w:rFonts w:eastAsia="Calibri"/>
                <w:sz w:val="20"/>
                <w:lang w:val="fr-CA"/>
              </w:rPr>
              <w:t xml:space="preserve"> R.L.R.Q. C-61.1 (« la Loi ») et au </w:t>
            </w:r>
            <w:r w:rsidRPr="00164D42">
              <w:rPr>
                <w:rFonts w:eastAsia="Calibri"/>
                <w:i/>
                <w:sz w:val="20"/>
                <w:lang w:val="fr-CA"/>
              </w:rPr>
              <w:t>Règlement sur la chasse</w:t>
            </w:r>
            <w:r w:rsidRPr="00164D42">
              <w:rPr>
                <w:rFonts w:eastAsia="Calibri"/>
                <w:sz w:val="20"/>
                <w:lang w:val="fr-CA"/>
              </w:rPr>
              <w:t xml:space="preserve">, R.L.R.Q. C-61.1, r. 12.  </w:t>
            </w:r>
          </w:p>
          <w:p w:rsidR="00E56A3F" w:rsidRPr="00164D42" w:rsidRDefault="00E56A3F" w:rsidP="00B02DE5">
            <w:pPr>
              <w:jc w:val="both"/>
              <w:rPr>
                <w:rFonts w:eastAsia="Calibri"/>
                <w:sz w:val="20"/>
                <w:lang w:val="fr-CA"/>
              </w:rPr>
            </w:pPr>
          </w:p>
          <w:p w:rsidR="00E56A3F" w:rsidRPr="00164D42" w:rsidRDefault="00E56A3F" w:rsidP="00B02DE5">
            <w:pPr>
              <w:jc w:val="both"/>
              <w:rPr>
                <w:rFonts w:eastAsia="Calibri"/>
                <w:sz w:val="20"/>
                <w:lang w:val="fr-CA"/>
              </w:rPr>
            </w:pPr>
            <w:r w:rsidRPr="00164D42">
              <w:rPr>
                <w:rFonts w:eastAsia="Calibri"/>
                <w:sz w:val="20"/>
                <w:lang w:val="fr-CA"/>
              </w:rPr>
              <w:t xml:space="preserve">Le demandeur, un Indien non inscrit, a demandé l’arrêt des procédures en raison de son ascendance autochtone. En application de l’art. 95 du </w:t>
            </w:r>
            <w:r w:rsidRPr="00164D42">
              <w:rPr>
                <w:rFonts w:eastAsia="Calibri"/>
                <w:i/>
                <w:sz w:val="20"/>
                <w:lang w:val="fr-CA"/>
              </w:rPr>
              <w:t>Code de procédure civile</w:t>
            </w:r>
            <w:r w:rsidRPr="00164D42">
              <w:rPr>
                <w:rFonts w:eastAsia="Calibri"/>
                <w:sz w:val="20"/>
                <w:lang w:val="fr-CA"/>
              </w:rPr>
              <w:t xml:space="preserve">, R.L.R.Q. ch. C-25, il a également déposé un avis signalant son intention d’obtenir un jugement déclarant que l’art. 56 de la Loi était inopérante à son égard en raison des droits ancestraux que lui reconnaît l’art. 35 de la </w:t>
            </w:r>
            <w:r w:rsidRPr="00164D42">
              <w:rPr>
                <w:rFonts w:eastAsia="Calibri"/>
                <w:i/>
                <w:sz w:val="20"/>
                <w:lang w:val="fr-CA"/>
              </w:rPr>
              <w:t>Loi constitutionnelle de 1982</w:t>
            </w:r>
            <w:r w:rsidRPr="00164D42">
              <w:rPr>
                <w:rFonts w:eastAsia="Calibri"/>
                <w:sz w:val="20"/>
                <w:lang w:val="fr-CA"/>
              </w:rPr>
              <w:t xml:space="preserve">. </w:t>
            </w:r>
          </w:p>
          <w:p w:rsidR="00E56A3F" w:rsidRPr="00164D42" w:rsidRDefault="00E56A3F" w:rsidP="00B02DE5">
            <w:pPr>
              <w:jc w:val="both"/>
              <w:rPr>
                <w:rFonts w:eastAsia="Calibri"/>
                <w:sz w:val="20"/>
                <w:lang w:val="fr-CA"/>
              </w:rPr>
            </w:pPr>
          </w:p>
          <w:p w:rsidR="00E56A3F" w:rsidRPr="00164D42" w:rsidRDefault="00E56A3F" w:rsidP="00B02DE5">
            <w:pPr>
              <w:jc w:val="both"/>
              <w:rPr>
                <w:rFonts w:eastAsia="Calibri"/>
                <w:sz w:val="20"/>
                <w:lang w:val="fr-CA"/>
              </w:rPr>
            </w:pPr>
            <w:r w:rsidRPr="00164D42">
              <w:rPr>
                <w:rFonts w:eastAsia="Calibri"/>
                <w:sz w:val="20"/>
                <w:lang w:val="fr-CA"/>
              </w:rPr>
              <w:t xml:space="preserve">Le demandeur est un descendant des Tsit-Kanaja Kaniengehaga, un peuple iroquoien dont le territoire traditionnel était situé à proximité de la chute des Chaudières, sur la rivière des Outaouais dans la région d’Ottawa/Gatineau.  Le demandeur s’identifie comme membre des Tsit-Kanaja Kaniengehaga, une communauté historique qui a été évincée et </w:t>
            </w:r>
            <w:r w:rsidRPr="00164D42">
              <w:rPr>
                <w:rFonts w:eastAsia="Calibri"/>
                <w:sz w:val="20"/>
                <w:lang w:val="fr-CA"/>
              </w:rPr>
              <w:lastRenderedPageBreak/>
              <w:t>démantelée dans les années 1800.  Après son démantèlement, cette communauté ne s’est pas relocalisée en tant que groupe.  À l’âge adulte, le demandeur a pris des mesures pour créer sa propre communauté contemporaine à l’intérieur de la réserve faunique, un territoire pour lequel il ressentait un fort attachement spirituel.</w:t>
            </w:r>
          </w:p>
          <w:p w:rsidR="00E56A3F" w:rsidRPr="00164D42" w:rsidRDefault="00E56A3F" w:rsidP="00B02DE5">
            <w:pPr>
              <w:jc w:val="both"/>
              <w:rPr>
                <w:rFonts w:eastAsia="Calibri"/>
                <w:sz w:val="20"/>
                <w:lang w:val="fr-CA"/>
              </w:rPr>
            </w:pP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lastRenderedPageBreak/>
              <w:t>10 juin 2011</w:t>
            </w:r>
          </w:p>
          <w:p w:rsidR="00E56A3F" w:rsidRPr="00164D42" w:rsidRDefault="00E56A3F" w:rsidP="00B02DE5">
            <w:pPr>
              <w:jc w:val="both"/>
              <w:rPr>
                <w:rFonts w:eastAsia="Calibri"/>
                <w:sz w:val="20"/>
                <w:lang w:val="fr-CA"/>
              </w:rPr>
            </w:pPr>
            <w:r w:rsidRPr="00164D42">
              <w:rPr>
                <w:rFonts w:eastAsia="Calibri"/>
                <w:sz w:val="20"/>
                <w:lang w:val="fr-CA"/>
              </w:rPr>
              <w:t>Cour du Québec</w:t>
            </w:r>
          </w:p>
          <w:p w:rsidR="00E56A3F" w:rsidRPr="00164D42" w:rsidRDefault="00E56A3F" w:rsidP="00B02DE5">
            <w:pPr>
              <w:jc w:val="both"/>
              <w:rPr>
                <w:rFonts w:eastAsia="Calibri"/>
                <w:sz w:val="20"/>
                <w:lang w:val="fr-CA"/>
              </w:rPr>
            </w:pPr>
            <w:r w:rsidRPr="00164D42">
              <w:rPr>
                <w:rFonts w:eastAsia="Calibri"/>
                <w:sz w:val="20"/>
                <w:lang w:val="fr-CA"/>
              </w:rPr>
              <w:t>(Juge Auger)</w:t>
            </w:r>
          </w:p>
          <w:p w:rsidR="00E56A3F" w:rsidRPr="00164D42" w:rsidRDefault="00E56A3F"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du greffe 550-61-019736-103</w:t>
            </w:r>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Requête du demandeur pour la nomination d’un avocat financé par l’État, rejetée</w:t>
            </w: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4 mai 2012</w:t>
            </w:r>
          </w:p>
          <w:p w:rsidR="00E56A3F" w:rsidRPr="00164D42" w:rsidRDefault="00E56A3F" w:rsidP="00B02DE5">
            <w:pPr>
              <w:jc w:val="both"/>
              <w:rPr>
                <w:rFonts w:eastAsia="Calibri"/>
                <w:sz w:val="20"/>
                <w:lang w:val="fr-CA"/>
              </w:rPr>
            </w:pPr>
            <w:r w:rsidRPr="00164D42">
              <w:rPr>
                <w:rFonts w:eastAsia="Calibri"/>
                <w:sz w:val="20"/>
                <w:lang w:val="fr-CA"/>
              </w:rPr>
              <w:t>Cour du Québec</w:t>
            </w:r>
          </w:p>
          <w:p w:rsidR="00E56A3F" w:rsidRPr="00164D42" w:rsidRDefault="00E56A3F" w:rsidP="00B02DE5">
            <w:pPr>
              <w:jc w:val="both"/>
              <w:rPr>
                <w:rFonts w:eastAsia="Calibri"/>
                <w:sz w:val="20"/>
                <w:lang w:val="fr-CA"/>
              </w:rPr>
            </w:pPr>
            <w:r w:rsidRPr="00164D42">
              <w:rPr>
                <w:rFonts w:eastAsia="Calibri"/>
                <w:sz w:val="20"/>
                <w:lang w:val="fr-CA"/>
              </w:rPr>
              <w:t>(Juge Auger)</w:t>
            </w:r>
          </w:p>
          <w:p w:rsidR="00E56A3F" w:rsidRPr="00164D42" w:rsidRDefault="00E56A3F"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du greffe 550-61-019736-103</w:t>
            </w:r>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 xml:space="preserve">Requête de l’intimé pour rejeter l’avis d’intention, accueillie; requête du demandeur en arrêt des procédures, rejetée; demande du demandeur pour une exemption fondée sur l’art. 35 de la </w:t>
            </w:r>
            <w:r w:rsidRPr="00164D42">
              <w:rPr>
                <w:rFonts w:eastAsia="Calibri"/>
                <w:i/>
                <w:sz w:val="20"/>
                <w:lang w:val="fr-CA"/>
              </w:rPr>
              <w:t>Loi constitutionnelle de 1982</w:t>
            </w:r>
            <w:r w:rsidRPr="00164D42">
              <w:rPr>
                <w:rFonts w:eastAsia="Calibri"/>
                <w:sz w:val="20"/>
                <w:lang w:val="fr-CA"/>
              </w:rPr>
              <w:t>, rejetée</w:t>
            </w:r>
          </w:p>
          <w:p w:rsidR="00E56A3F" w:rsidRPr="00164D42" w:rsidRDefault="00E56A3F" w:rsidP="00B02DE5">
            <w:pPr>
              <w:jc w:val="both"/>
              <w:rPr>
                <w:rFonts w:eastAsia="Calibri"/>
                <w:sz w:val="20"/>
                <w:lang w:val="fr-CA"/>
              </w:rPr>
            </w:pP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20 février 2013</w:t>
            </w:r>
          </w:p>
          <w:p w:rsidR="00E56A3F" w:rsidRPr="00164D42" w:rsidRDefault="00E56A3F" w:rsidP="00B02DE5">
            <w:pPr>
              <w:jc w:val="both"/>
              <w:rPr>
                <w:rFonts w:eastAsia="Calibri"/>
                <w:sz w:val="20"/>
                <w:lang w:val="fr-CA"/>
              </w:rPr>
            </w:pPr>
            <w:r w:rsidRPr="00164D42">
              <w:rPr>
                <w:rFonts w:eastAsia="Calibri"/>
                <w:sz w:val="20"/>
                <w:lang w:val="fr-CA"/>
              </w:rPr>
              <w:t>Cour du Québec</w:t>
            </w:r>
          </w:p>
          <w:p w:rsidR="00E56A3F" w:rsidRPr="00164D42" w:rsidRDefault="00E56A3F" w:rsidP="00B02DE5">
            <w:pPr>
              <w:jc w:val="both"/>
              <w:rPr>
                <w:rFonts w:eastAsia="Calibri"/>
                <w:sz w:val="20"/>
                <w:lang w:val="fr-CA"/>
              </w:rPr>
            </w:pPr>
            <w:r w:rsidRPr="00164D42">
              <w:rPr>
                <w:rFonts w:eastAsia="Calibri"/>
                <w:sz w:val="20"/>
                <w:lang w:val="fr-CA"/>
              </w:rPr>
              <w:t>(Juge Auger)</w:t>
            </w:r>
          </w:p>
          <w:p w:rsidR="00E56A3F" w:rsidRPr="00164D42" w:rsidRDefault="00E56A3F"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du greffe 550-61-019736-103</w:t>
            </w:r>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 xml:space="preserve">Demandeur déclaré coupable  d’avoir chassé du gros gibier pendant une période d’interdiction, contrairement à l’art. 56 de la </w:t>
            </w:r>
            <w:r w:rsidRPr="00164D42">
              <w:rPr>
                <w:rFonts w:eastAsia="Calibri"/>
                <w:i/>
                <w:sz w:val="20"/>
                <w:lang w:val="fr-CA"/>
              </w:rPr>
              <w:t>Loi sur la conservation et la mise en valeur de la faune,</w:t>
            </w:r>
            <w:r w:rsidRPr="00164D42">
              <w:rPr>
                <w:rFonts w:eastAsia="Calibri"/>
                <w:sz w:val="20"/>
                <w:lang w:val="fr-CA"/>
              </w:rPr>
              <w:t xml:space="preserve"> R.L.R.Q. C-61.1 (« la Loi ») et au </w:t>
            </w:r>
            <w:r w:rsidRPr="00164D42">
              <w:rPr>
                <w:rFonts w:eastAsia="Calibri"/>
                <w:i/>
                <w:sz w:val="20"/>
                <w:lang w:val="fr-CA"/>
              </w:rPr>
              <w:t>Règlement sur la chasse</w:t>
            </w:r>
            <w:r w:rsidRPr="00164D42">
              <w:rPr>
                <w:rFonts w:eastAsia="Calibri"/>
                <w:sz w:val="20"/>
                <w:lang w:val="fr-CA"/>
              </w:rPr>
              <w:t>, R.L.R.Q. C-61.1, r. 12; amende de 1 825 $ imposée au demandeur</w:t>
            </w: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24 février 2014</w:t>
            </w:r>
          </w:p>
          <w:p w:rsidR="00E56A3F" w:rsidRPr="00164D42" w:rsidRDefault="00E56A3F" w:rsidP="00B02DE5">
            <w:pPr>
              <w:jc w:val="both"/>
              <w:rPr>
                <w:rFonts w:eastAsia="Calibri"/>
                <w:sz w:val="20"/>
                <w:lang w:val="fr-CA"/>
              </w:rPr>
            </w:pPr>
            <w:r w:rsidRPr="00164D42">
              <w:rPr>
                <w:rFonts w:eastAsia="Calibri"/>
                <w:sz w:val="20"/>
                <w:lang w:val="fr-CA"/>
              </w:rPr>
              <w:t>Cour supérieure du Québec</w:t>
            </w:r>
          </w:p>
          <w:p w:rsidR="00E56A3F" w:rsidRPr="00164D42" w:rsidRDefault="00E56A3F" w:rsidP="00B02DE5">
            <w:pPr>
              <w:jc w:val="both"/>
              <w:rPr>
                <w:rFonts w:eastAsia="Calibri"/>
                <w:sz w:val="20"/>
                <w:lang w:val="fr-CA"/>
              </w:rPr>
            </w:pPr>
            <w:r w:rsidRPr="00164D42">
              <w:rPr>
                <w:rFonts w:eastAsia="Calibri"/>
                <w:sz w:val="20"/>
                <w:lang w:val="fr-CA"/>
              </w:rPr>
              <w:t>(Juge Plouffe)</w:t>
            </w:r>
          </w:p>
          <w:p w:rsidR="00E56A3F" w:rsidRPr="00164D42" w:rsidRDefault="00E56A3F"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du greffe 550-36-000012-128</w:t>
            </w:r>
          </w:p>
          <w:p w:rsidR="00E56A3F" w:rsidRPr="00164D42" w:rsidRDefault="00E4461B" w:rsidP="00B02DE5">
            <w:pPr>
              <w:jc w:val="both"/>
              <w:rPr>
                <w:rFonts w:eastAsia="Calibri"/>
                <w:sz w:val="20"/>
                <w:lang w:val="fr-CA"/>
              </w:rPr>
            </w:pPr>
            <w:hyperlink r:id="rId31" w:history="1">
              <w:r w:rsidR="00E56A3F" w:rsidRPr="00164D42">
                <w:rPr>
                  <w:rFonts w:eastAsia="Calibri"/>
                  <w:color w:val="0000FF"/>
                  <w:sz w:val="20"/>
                  <w:u w:val="single"/>
                  <w:lang w:val="fr-CA"/>
                </w:rPr>
                <w:t>2014 QCCS 666</w:t>
              </w:r>
            </w:hyperlink>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Appel rejeté</w:t>
            </w: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4 avril 2014</w:t>
            </w:r>
          </w:p>
          <w:p w:rsidR="00E56A3F" w:rsidRPr="00164D42" w:rsidRDefault="00E56A3F" w:rsidP="00B02DE5">
            <w:pPr>
              <w:jc w:val="both"/>
              <w:rPr>
                <w:rFonts w:eastAsia="Calibri"/>
                <w:sz w:val="20"/>
                <w:lang w:val="fr-CA"/>
              </w:rPr>
            </w:pPr>
            <w:r w:rsidRPr="00164D42">
              <w:rPr>
                <w:rFonts w:eastAsia="Calibri"/>
                <w:sz w:val="20"/>
                <w:lang w:val="fr-CA"/>
              </w:rPr>
              <w:t>Cour d’appel du Québec (Montréal)</w:t>
            </w:r>
          </w:p>
          <w:p w:rsidR="00E56A3F" w:rsidRPr="00164D42" w:rsidRDefault="00E56A3F" w:rsidP="00B02DE5">
            <w:pPr>
              <w:jc w:val="both"/>
              <w:rPr>
                <w:rFonts w:eastAsia="Calibri"/>
                <w:sz w:val="20"/>
                <w:lang w:val="fr-CA"/>
              </w:rPr>
            </w:pPr>
            <w:r w:rsidRPr="00164D42">
              <w:rPr>
                <w:rFonts w:eastAsia="Calibri"/>
                <w:sz w:val="20"/>
                <w:lang w:val="fr-CA"/>
              </w:rPr>
              <w:t>(Juge Vauclair)</w:t>
            </w:r>
          </w:p>
          <w:p w:rsidR="00E56A3F" w:rsidRPr="00164D42" w:rsidRDefault="00E56A3F"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du greffe 500-10-005611-148</w:t>
            </w:r>
          </w:p>
          <w:p w:rsidR="00E56A3F" w:rsidRPr="00164D42" w:rsidRDefault="00E4461B" w:rsidP="00B02DE5">
            <w:pPr>
              <w:jc w:val="both"/>
              <w:rPr>
                <w:rFonts w:eastAsia="Calibri"/>
                <w:sz w:val="20"/>
                <w:lang w:val="fr-CA"/>
              </w:rPr>
            </w:pPr>
            <w:hyperlink r:id="rId32" w:history="1">
              <w:r w:rsidR="00E56A3F" w:rsidRPr="00164D42">
                <w:rPr>
                  <w:rFonts w:eastAsia="Calibri"/>
                  <w:color w:val="0000FF"/>
                  <w:sz w:val="20"/>
                  <w:u w:val="single"/>
                  <w:lang w:val="fr-CA"/>
                </w:rPr>
                <w:t>2014 QCCA 774</w:t>
              </w:r>
            </w:hyperlink>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Requête en autorisation d’appel, rejetée</w:t>
            </w: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3 juin 2014</w:t>
            </w:r>
          </w:p>
          <w:p w:rsidR="00E56A3F" w:rsidRPr="00164D42" w:rsidRDefault="00E56A3F" w:rsidP="00B02DE5">
            <w:pPr>
              <w:jc w:val="both"/>
              <w:rPr>
                <w:rFonts w:eastAsia="Calibri"/>
                <w:sz w:val="20"/>
                <w:lang w:val="fr-CA"/>
              </w:rPr>
            </w:pPr>
            <w:r w:rsidRPr="00164D42">
              <w:rPr>
                <w:rFonts w:eastAsia="Calibri"/>
                <w:sz w:val="20"/>
                <w:lang w:val="fr-CA"/>
              </w:rPr>
              <w:t>Cour suprême du Canada</w:t>
            </w: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Demande d’autorisation d’appel, rejetée</w:t>
            </w:r>
          </w:p>
          <w:p w:rsidR="00E56A3F" w:rsidRPr="00164D42" w:rsidRDefault="00E56A3F" w:rsidP="00B02DE5">
            <w:pPr>
              <w:jc w:val="both"/>
              <w:rPr>
                <w:rFonts w:eastAsia="Calibri"/>
                <w:sz w:val="20"/>
                <w:lang w:val="fr-CA"/>
              </w:rPr>
            </w:pPr>
          </w:p>
        </w:tc>
      </w:tr>
    </w:tbl>
    <w:p w:rsidR="00D17B96" w:rsidRDefault="00D17B96" w:rsidP="000E2959">
      <w:pPr>
        <w:rPr>
          <w:sz w:val="20"/>
          <w:szCs w:val="20"/>
        </w:rPr>
      </w:pPr>
    </w:p>
    <w:p w:rsidR="00D17B96" w:rsidRDefault="00E4461B" w:rsidP="000E2959">
      <w:pPr>
        <w:rPr>
          <w:sz w:val="20"/>
          <w:szCs w:val="20"/>
          <w:lang w:val="fr-CA"/>
        </w:rPr>
      </w:pPr>
      <w:r>
        <w:rPr>
          <w:sz w:val="20"/>
          <w:szCs w:val="20"/>
          <w:lang w:val="fr-CA"/>
        </w:rPr>
        <w:pict>
          <v:rect id="_x0000_i1041" style="width:2in;height:1pt" o:hrpct="0" o:hralign="center" o:hrstd="t" o:hrnoshade="t" o:hr="t" fillcolor="black [3213]" stroked="f"/>
        </w:pict>
      </w:r>
    </w:p>
    <w:p w:rsidR="00D17B96" w:rsidRDefault="00D17B96" w:rsidP="000E2959">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535BF" w:rsidRPr="006535BF" w:rsidTr="006535BF">
        <w:tc>
          <w:tcPr>
            <w:tcW w:w="1458" w:type="dxa"/>
          </w:tcPr>
          <w:p w:rsidR="006535BF" w:rsidRPr="006535BF" w:rsidRDefault="006535BF" w:rsidP="006535BF">
            <w:pPr>
              <w:rPr>
                <w:sz w:val="20"/>
              </w:rPr>
            </w:pPr>
            <w:r w:rsidRPr="006535BF">
              <w:rPr>
                <w:b/>
                <w:sz w:val="20"/>
                <w:lang w:val="fr-CA"/>
              </w:rPr>
              <w:t>35946</w:t>
            </w:r>
          </w:p>
          <w:p w:rsidR="006535BF" w:rsidRPr="006535BF" w:rsidRDefault="006535BF" w:rsidP="006535BF">
            <w:pPr>
              <w:rPr>
                <w:b/>
                <w:sz w:val="20"/>
                <w:lang w:val="fr-CA"/>
              </w:rPr>
            </w:pPr>
          </w:p>
        </w:tc>
        <w:tc>
          <w:tcPr>
            <w:tcW w:w="8118" w:type="dxa"/>
          </w:tcPr>
          <w:p w:rsidR="006535BF" w:rsidRPr="006535BF" w:rsidRDefault="006535BF" w:rsidP="006535BF">
            <w:pPr>
              <w:rPr>
                <w:sz w:val="20"/>
                <w:lang w:val="fr-CA"/>
              </w:rPr>
            </w:pPr>
            <w:r w:rsidRPr="006535BF">
              <w:rPr>
                <w:b/>
                <w:sz w:val="20"/>
                <w:u w:val="single"/>
                <w:lang w:val="fr-CA"/>
              </w:rPr>
              <w:t>Sergent Damien Arsenault c. Sa Majesté la Reine</w:t>
            </w:r>
            <w:r w:rsidRPr="006535BF">
              <w:rPr>
                <w:sz w:val="20"/>
                <w:lang w:val="fr-CA"/>
              </w:rPr>
              <w:t xml:space="preserve"> (C</w:t>
            </w:r>
            <w:r>
              <w:rPr>
                <w:sz w:val="20"/>
                <w:lang w:val="fr-CA"/>
              </w:rPr>
              <w:t>.</w:t>
            </w:r>
            <w:r w:rsidRPr="006535BF">
              <w:rPr>
                <w:sz w:val="20"/>
                <w:lang w:val="fr-CA"/>
              </w:rPr>
              <w:t>F</w:t>
            </w:r>
            <w:r>
              <w:rPr>
                <w:sz w:val="20"/>
                <w:lang w:val="fr-CA"/>
              </w:rPr>
              <w:t>.</w:t>
            </w:r>
            <w:r w:rsidRPr="006535BF">
              <w:rPr>
                <w:sz w:val="20"/>
                <w:lang w:val="fr-CA"/>
              </w:rPr>
              <w:t>) (Criminelle) (Autorisation)</w:t>
            </w:r>
          </w:p>
          <w:p w:rsidR="006535BF" w:rsidRPr="006535BF" w:rsidRDefault="006535BF" w:rsidP="006535BF">
            <w:pPr>
              <w:rPr>
                <w:sz w:val="20"/>
                <w:lang w:val="fr-CA"/>
              </w:rPr>
            </w:pPr>
          </w:p>
        </w:tc>
      </w:tr>
      <w:tr w:rsidR="006535BF" w:rsidRPr="00E4461B" w:rsidTr="006535BF">
        <w:tc>
          <w:tcPr>
            <w:tcW w:w="1458" w:type="dxa"/>
          </w:tcPr>
          <w:p w:rsidR="006535BF" w:rsidRPr="006535BF" w:rsidRDefault="006535BF" w:rsidP="006535BF">
            <w:pPr>
              <w:rPr>
                <w:sz w:val="20"/>
                <w:lang w:val="fr-CA"/>
              </w:rPr>
            </w:pPr>
            <w:r w:rsidRPr="006535BF">
              <w:rPr>
                <w:sz w:val="20"/>
                <w:lang w:val="fr-CA"/>
              </w:rPr>
              <w:t>Coram :</w:t>
            </w:r>
          </w:p>
        </w:tc>
        <w:tc>
          <w:tcPr>
            <w:tcW w:w="8118" w:type="dxa"/>
          </w:tcPr>
          <w:p w:rsidR="006535BF" w:rsidRPr="006535BF" w:rsidRDefault="006535BF" w:rsidP="006535BF">
            <w:pPr>
              <w:rPr>
                <w:sz w:val="20"/>
                <w:lang w:val="fr-CA"/>
              </w:rPr>
            </w:pPr>
            <w:r w:rsidRPr="006535BF">
              <w:rPr>
                <w:sz w:val="20"/>
                <w:u w:val="single"/>
                <w:lang w:val="fr-CA"/>
              </w:rPr>
              <w:t>La juge en chef McLachlin et les juges Cromwell et Wagner</w:t>
            </w:r>
          </w:p>
          <w:p w:rsidR="006535BF" w:rsidRPr="006535BF" w:rsidRDefault="006535BF" w:rsidP="006535BF">
            <w:pPr>
              <w:rPr>
                <w:sz w:val="20"/>
                <w:u w:val="single"/>
                <w:lang w:val="fr-CA"/>
              </w:rPr>
            </w:pPr>
          </w:p>
        </w:tc>
      </w:tr>
      <w:tr w:rsidR="006535BF" w:rsidRPr="006535BF" w:rsidTr="006535BF">
        <w:tc>
          <w:tcPr>
            <w:tcW w:w="9576" w:type="dxa"/>
            <w:gridSpan w:val="2"/>
          </w:tcPr>
          <w:p w:rsidR="006535BF" w:rsidRDefault="006535BF" w:rsidP="006535BF">
            <w:pPr>
              <w:ind w:firstLine="720"/>
              <w:jc w:val="both"/>
              <w:rPr>
                <w:sz w:val="20"/>
                <w:lang w:val="fr-CA"/>
              </w:rPr>
            </w:pPr>
            <w:r w:rsidRPr="006535BF">
              <w:rPr>
                <w:sz w:val="20"/>
                <w:lang w:val="fr-CA"/>
              </w:rPr>
              <w:t xml:space="preserve">La demande d’autorisation d’appel de l’arrêt de la Cour d’appel de la cour martiale du Canada, numéro CMAC-561, 2014 CACM 8, daté du 13 juin 2014, est accordée.  L’appel sera entendu avec les appels </w:t>
            </w:r>
            <w:r w:rsidRPr="006535BF">
              <w:rPr>
                <w:i/>
                <w:sz w:val="20"/>
                <w:lang w:val="fr-CA"/>
              </w:rPr>
              <w:t>Sous-lieutenant Moriarity c. Sa Majesté la Reine – et entre – Soldat M.B.A. Hannah c. Sa Majesté la Reine</w:t>
            </w:r>
            <w:r w:rsidRPr="006535BF">
              <w:rPr>
                <w:sz w:val="20"/>
                <w:lang w:val="fr-CA"/>
              </w:rPr>
              <w:t xml:space="preserve"> (35755) et </w:t>
            </w:r>
            <w:r w:rsidRPr="006535BF">
              <w:rPr>
                <w:i/>
                <w:sz w:val="20"/>
                <w:lang w:val="fr-CA"/>
              </w:rPr>
              <w:t>Soldate Alexandra Vézina c. Sa Majesté la  Reine</w:t>
            </w:r>
            <w:r w:rsidRPr="006535BF">
              <w:rPr>
                <w:sz w:val="20"/>
                <w:lang w:val="fr-CA"/>
              </w:rPr>
              <w:t xml:space="preserve"> (35873).</w:t>
            </w:r>
            <w:r>
              <w:rPr>
                <w:sz w:val="20"/>
                <w:lang w:val="fr-CA"/>
              </w:rPr>
              <w:t xml:space="preserve">  </w:t>
            </w:r>
          </w:p>
          <w:p w:rsidR="006535BF" w:rsidRPr="006535BF" w:rsidRDefault="006535BF" w:rsidP="006535BF">
            <w:pPr>
              <w:ind w:firstLine="720"/>
              <w:jc w:val="both"/>
              <w:rPr>
                <w:sz w:val="20"/>
                <w:lang w:val="fr-CA"/>
              </w:rPr>
            </w:pPr>
          </w:p>
          <w:p w:rsidR="006535BF" w:rsidRPr="006535BF" w:rsidRDefault="006535BF" w:rsidP="006535BF">
            <w:pPr>
              <w:ind w:firstLine="720"/>
              <w:jc w:val="both"/>
              <w:rPr>
                <w:sz w:val="20"/>
                <w:lang w:val="fr-CA"/>
              </w:rPr>
            </w:pPr>
            <w:r w:rsidRPr="006535BF">
              <w:rPr>
                <w:sz w:val="20"/>
                <w:lang w:val="fr-CA"/>
              </w:rPr>
              <w:t>L’échéancier pour le dépôt et la signification des documents sera fixé par le Registraire.</w:t>
            </w:r>
          </w:p>
          <w:p w:rsidR="006535BF" w:rsidRPr="006535BF" w:rsidRDefault="006535BF" w:rsidP="006535BF">
            <w:pPr>
              <w:jc w:val="both"/>
              <w:rPr>
                <w:sz w:val="20"/>
                <w:lang w:val="fr-CA"/>
              </w:rPr>
            </w:pPr>
          </w:p>
          <w:p w:rsidR="006535BF" w:rsidRDefault="006535BF" w:rsidP="006535BF">
            <w:pPr>
              <w:ind w:firstLine="720"/>
              <w:jc w:val="both"/>
              <w:rPr>
                <w:sz w:val="20"/>
              </w:rPr>
            </w:pPr>
            <w:r w:rsidRPr="006535BF">
              <w:rPr>
                <w:sz w:val="20"/>
              </w:rPr>
              <w:lastRenderedPageBreak/>
              <w:t xml:space="preserve">The application for leave to appeal from the judgment of the Court Martial Appeal Court of Canada, Number CMAC-561, 2014 CACM 8, dated June 13, 2014, is granted.   The appeal is to be heard with the appeals </w:t>
            </w:r>
            <w:r w:rsidRPr="006535BF">
              <w:rPr>
                <w:i/>
                <w:sz w:val="20"/>
              </w:rPr>
              <w:t>Second Lieutenant Moriarity v. Her Majesty the Queen – and between – Private M.B.A. Hannah v. Her Majesty the Queen</w:t>
            </w:r>
            <w:r w:rsidRPr="006535BF">
              <w:rPr>
                <w:sz w:val="20"/>
              </w:rPr>
              <w:t xml:space="preserve"> (35755) and </w:t>
            </w:r>
            <w:r w:rsidRPr="006535BF">
              <w:rPr>
                <w:i/>
                <w:sz w:val="20"/>
              </w:rPr>
              <w:t>Private Alexandra Vézina v. Her Majesty the Queen</w:t>
            </w:r>
            <w:r w:rsidRPr="006535BF">
              <w:rPr>
                <w:sz w:val="20"/>
              </w:rPr>
              <w:t xml:space="preserve"> (35873).</w:t>
            </w:r>
          </w:p>
          <w:p w:rsidR="006535BF" w:rsidRPr="006535BF" w:rsidRDefault="006535BF" w:rsidP="006535BF">
            <w:pPr>
              <w:ind w:firstLine="720"/>
              <w:jc w:val="both"/>
              <w:rPr>
                <w:sz w:val="20"/>
              </w:rPr>
            </w:pPr>
          </w:p>
          <w:p w:rsidR="006535BF" w:rsidRPr="006535BF" w:rsidRDefault="006535BF" w:rsidP="006535BF">
            <w:pPr>
              <w:ind w:firstLine="720"/>
              <w:jc w:val="both"/>
              <w:rPr>
                <w:sz w:val="20"/>
              </w:rPr>
            </w:pPr>
            <w:r w:rsidRPr="006535BF">
              <w:rPr>
                <w:sz w:val="20"/>
              </w:rPr>
              <w:t>The schedule for serving and filing material will be set by the Registrar.</w:t>
            </w:r>
          </w:p>
        </w:tc>
      </w:tr>
    </w:tbl>
    <w:p w:rsidR="00BC2489" w:rsidRDefault="00BC2489" w:rsidP="00BC2489">
      <w:pPr>
        <w:rPr>
          <w:sz w:val="20"/>
          <w:szCs w:val="20"/>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AC667A" w:rsidTr="00B02DE5">
        <w:tc>
          <w:tcPr>
            <w:tcW w:w="5000" w:type="pct"/>
            <w:gridSpan w:val="3"/>
          </w:tcPr>
          <w:p w:rsidR="00E56A3F" w:rsidRPr="00AC667A" w:rsidRDefault="00E56A3F" w:rsidP="00B02DE5">
            <w:pPr>
              <w:jc w:val="both"/>
              <w:rPr>
                <w:rFonts w:eastAsia="Calibri"/>
                <w:sz w:val="20"/>
              </w:rPr>
            </w:pPr>
            <w:r w:rsidRPr="00AC667A">
              <w:rPr>
                <w:rFonts w:eastAsia="Calibri"/>
                <w:i/>
                <w:sz w:val="20"/>
              </w:rPr>
              <w:t xml:space="preserve">Canadian Charter of Rights and Freedoms </w:t>
            </w:r>
            <w:r w:rsidRPr="00AC667A">
              <w:rPr>
                <w:rFonts w:eastAsia="Calibri"/>
                <w:sz w:val="20"/>
              </w:rPr>
              <w:t>– Military offences – Whether offence under s. 130(1)(</w:t>
            </w:r>
            <w:r w:rsidRPr="00AC667A">
              <w:rPr>
                <w:rFonts w:eastAsia="Calibri"/>
                <w:i/>
                <w:sz w:val="20"/>
              </w:rPr>
              <w:t>a</w:t>
            </w:r>
            <w:r w:rsidRPr="00AC667A">
              <w:rPr>
                <w:rFonts w:eastAsia="Calibri"/>
                <w:sz w:val="20"/>
              </w:rPr>
              <w:t xml:space="preserve">) of </w:t>
            </w:r>
            <w:r w:rsidRPr="00AC667A">
              <w:rPr>
                <w:rFonts w:eastAsia="Calibri"/>
                <w:i/>
                <w:iCs/>
                <w:sz w:val="20"/>
              </w:rPr>
              <w:t>National Defence Act</w:t>
            </w:r>
            <w:r w:rsidRPr="00AC667A">
              <w:rPr>
                <w:rFonts w:eastAsia="Calibri"/>
                <w:iCs/>
                <w:sz w:val="20"/>
              </w:rPr>
              <w:t xml:space="preserve">, </w:t>
            </w:r>
            <w:r w:rsidRPr="00AC667A">
              <w:rPr>
                <w:rFonts w:eastAsia="Calibri"/>
                <w:sz w:val="20"/>
              </w:rPr>
              <w:t xml:space="preserve">R.S.C. 1985, c N-5 (“NDA”), is overbroad, contrary to s. 7 of </w:t>
            </w:r>
            <w:r w:rsidRPr="00AC667A">
              <w:rPr>
                <w:rFonts w:eastAsia="Calibri"/>
                <w:i/>
                <w:iCs/>
                <w:sz w:val="20"/>
              </w:rPr>
              <w:t>Charter</w:t>
            </w:r>
            <w:r w:rsidRPr="00AC667A">
              <w:rPr>
                <w:rFonts w:eastAsia="Calibri"/>
                <w:sz w:val="20"/>
              </w:rPr>
              <w:t xml:space="preserve"> – Whether offence under s. 117(</w:t>
            </w:r>
            <w:r w:rsidRPr="00AC667A">
              <w:rPr>
                <w:rFonts w:eastAsia="Calibri"/>
                <w:i/>
                <w:sz w:val="20"/>
              </w:rPr>
              <w:t>f</w:t>
            </w:r>
            <w:r w:rsidRPr="00AC667A">
              <w:rPr>
                <w:rFonts w:eastAsia="Calibri"/>
                <w:sz w:val="20"/>
              </w:rPr>
              <w:t xml:space="preserve">) of NDA is overbroad, contrary to s. 7 of </w:t>
            </w:r>
            <w:r w:rsidRPr="00AC667A">
              <w:rPr>
                <w:rFonts w:eastAsia="Calibri"/>
                <w:i/>
                <w:iCs/>
                <w:sz w:val="20"/>
              </w:rPr>
              <w:t>Charter</w:t>
            </w:r>
            <w:r w:rsidRPr="00AC667A">
              <w:rPr>
                <w:rFonts w:eastAsia="Calibri"/>
                <w:sz w:val="20"/>
              </w:rPr>
              <w:t xml:space="preserve"> – </w:t>
            </w:r>
            <w:r w:rsidRPr="00AC667A">
              <w:rPr>
                <w:rFonts w:eastAsia="Calibri"/>
                <w:i/>
                <w:iCs/>
                <w:sz w:val="20"/>
              </w:rPr>
              <w:t>National Defence Act</w:t>
            </w:r>
            <w:r w:rsidRPr="00AC667A">
              <w:rPr>
                <w:rFonts w:eastAsia="Calibri"/>
                <w:iCs/>
                <w:sz w:val="20"/>
              </w:rPr>
              <w:t xml:space="preserve">, </w:t>
            </w:r>
            <w:r w:rsidRPr="00AC667A">
              <w:rPr>
                <w:rFonts w:eastAsia="Calibri"/>
                <w:sz w:val="20"/>
              </w:rPr>
              <w:t>R.S.C. 1985, c. N-5.</w:t>
            </w:r>
          </w:p>
        </w:tc>
      </w:tr>
      <w:tr w:rsidR="00E56A3F" w:rsidRPr="00AC667A" w:rsidTr="00B02DE5">
        <w:tc>
          <w:tcPr>
            <w:tcW w:w="5000" w:type="pct"/>
            <w:gridSpan w:val="3"/>
          </w:tcPr>
          <w:p w:rsidR="00E56A3F" w:rsidRPr="00AC667A" w:rsidRDefault="00E56A3F" w:rsidP="00B02DE5">
            <w:pPr>
              <w:jc w:val="both"/>
              <w:rPr>
                <w:rFonts w:eastAsia="Calibri"/>
                <w:sz w:val="20"/>
              </w:rPr>
            </w:pPr>
          </w:p>
        </w:tc>
      </w:tr>
      <w:tr w:rsidR="00E56A3F" w:rsidRPr="00AC667A" w:rsidTr="00B02DE5">
        <w:tc>
          <w:tcPr>
            <w:tcW w:w="5000" w:type="pct"/>
            <w:gridSpan w:val="3"/>
          </w:tcPr>
          <w:p w:rsidR="00E56A3F" w:rsidRPr="00AC667A" w:rsidRDefault="00E56A3F" w:rsidP="00B02DE5">
            <w:pPr>
              <w:autoSpaceDE w:val="0"/>
              <w:autoSpaceDN w:val="0"/>
              <w:adjustRightInd w:val="0"/>
              <w:jc w:val="both"/>
              <w:rPr>
                <w:rFonts w:eastAsia="Calibri"/>
                <w:sz w:val="20"/>
              </w:rPr>
            </w:pPr>
            <w:r w:rsidRPr="00AC667A">
              <w:rPr>
                <w:rFonts w:eastAsia="Calibri"/>
                <w:sz w:val="20"/>
              </w:rPr>
              <w:t>Several charges were laid against the applicant, including one count under s</w:t>
            </w:r>
            <w:hyperlink r:id="rId33" w:anchor="art130_smooth" w:history="1">
              <w:r w:rsidRPr="00AC667A">
                <w:rPr>
                  <w:rFonts w:eastAsia="Calibri"/>
                  <w:sz w:val="20"/>
                </w:rPr>
                <w:t>. 130</w:t>
              </w:r>
            </w:hyperlink>
            <w:r w:rsidRPr="00AC667A">
              <w:rPr>
                <w:rFonts w:eastAsia="Calibri"/>
                <w:sz w:val="20"/>
              </w:rPr>
              <w:t xml:space="preserve"> of the NDA of committing fraud contrary to s. 380(1) of the </w:t>
            </w:r>
            <w:hyperlink r:id="rId34" w:history="1">
              <w:r w:rsidRPr="00AC667A">
                <w:rPr>
                  <w:rFonts w:eastAsia="Calibri"/>
                  <w:i/>
                  <w:sz w:val="20"/>
                </w:rPr>
                <w:t>Criminal Code</w:t>
              </w:r>
            </w:hyperlink>
            <w:r w:rsidRPr="00AC667A">
              <w:rPr>
                <w:rFonts w:eastAsia="Calibri"/>
                <w:sz w:val="20"/>
              </w:rPr>
              <w:t>, two counts under s. 117(</w:t>
            </w:r>
            <w:r w:rsidRPr="00AC667A">
              <w:rPr>
                <w:rFonts w:eastAsia="Calibri"/>
                <w:i/>
                <w:sz w:val="20"/>
              </w:rPr>
              <w:t>f</w:t>
            </w:r>
            <w:r w:rsidRPr="00AC667A">
              <w:rPr>
                <w:rFonts w:eastAsia="Calibri"/>
                <w:sz w:val="20"/>
              </w:rPr>
              <w:t>) of the NDA of committing acts of a fraudulent nature not particularly specified in ss. 73 to</w:t>
            </w:r>
            <w:hyperlink r:id="rId35" w:anchor="art128_smooth" w:history="1">
              <w:r w:rsidRPr="00AC667A">
                <w:rPr>
                  <w:rFonts w:eastAsia="Calibri"/>
                  <w:sz w:val="20"/>
                </w:rPr>
                <w:t xml:space="preserve"> 128</w:t>
              </w:r>
            </w:hyperlink>
            <w:r w:rsidRPr="00AC667A">
              <w:rPr>
                <w:rFonts w:eastAsia="Calibri"/>
                <w:sz w:val="20"/>
              </w:rPr>
              <w:t xml:space="preserve"> of the NDA, and one count under s. 125(</w:t>
            </w:r>
            <w:r w:rsidRPr="00AC667A">
              <w:rPr>
                <w:rFonts w:eastAsia="Calibri"/>
                <w:i/>
                <w:sz w:val="20"/>
              </w:rPr>
              <w:t>a</w:t>
            </w:r>
            <w:r w:rsidRPr="00AC667A">
              <w:rPr>
                <w:rFonts w:eastAsia="Calibri"/>
                <w:sz w:val="20"/>
              </w:rPr>
              <w:t>) of the NDA of wilfully making a false statement in a document he had signed that was required for official purposes.  The charges related to a total of $30,725 he had been paid in separation expenses after being transferred from the base at Valcartier to the one at Gagetown, and to a total of $3,469 he had been paid as a post living differential.  He was, in particular, alleged to have made a number of false monthly statements regarding his marital status, and to the effect that he had dependants.</w:t>
            </w:r>
          </w:p>
          <w:p w:rsidR="00E56A3F" w:rsidRPr="00AC667A" w:rsidRDefault="00E56A3F" w:rsidP="00B02DE5">
            <w:pPr>
              <w:jc w:val="both"/>
              <w:rPr>
                <w:rFonts w:eastAsia="Calibri"/>
                <w:sz w:val="20"/>
              </w:rPr>
            </w:pPr>
          </w:p>
        </w:tc>
      </w:tr>
      <w:tr w:rsidR="00E56A3F" w:rsidRPr="00AC667A" w:rsidTr="00B02DE5">
        <w:tc>
          <w:tcPr>
            <w:tcW w:w="2427" w:type="pct"/>
          </w:tcPr>
          <w:p w:rsidR="00E56A3F" w:rsidRPr="00AC667A" w:rsidRDefault="00E56A3F" w:rsidP="00B02DE5">
            <w:pPr>
              <w:jc w:val="both"/>
              <w:rPr>
                <w:rFonts w:eastAsia="Calibri"/>
                <w:sz w:val="20"/>
              </w:rPr>
            </w:pPr>
            <w:r w:rsidRPr="00AC667A">
              <w:rPr>
                <w:rFonts w:eastAsia="Calibri"/>
                <w:sz w:val="20"/>
              </w:rPr>
              <w:t>April 23, 2013</w:t>
            </w:r>
          </w:p>
          <w:p w:rsidR="00E56A3F" w:rsidRPr="00AC667A" w:rsidRDefault="00E56A3F" w:rsidP="00B02DE5">
            <w:pPr>
              <w:jc w:val="both"/>
              <w:rPr>
                <w:rFonts w:eastAsia="Calibri"/>
                <w:sz w:val="20"/>
              </w:rPr>
            </w:pPr>
            <w:r w:rsidRPr="00AC667A">
              <w:rPr>
                <w:rFonts w:eastAsia="Calibri"/>
                <w:sz w:val="20"/>
              </w:rPr>
              <w:t>Standing Court Martial</w:t>
            </w:r>
          </w:p>
          <w:p w:rsidR="00E56A3F" w:rsidRPr="00AC667A" w:rsidRDefault="00E56A3F" w:rsidP="00B02DE5">
            <w:pPr>
              <w:jc w:val="both"/>
              <w:rPr>
                <w:rFonts w:eastAsia="Calibri"/>
                <w:sz w:val="20"/>
              </w:rPr>
            </w:pPr>
            <w:r w:rsidRPr="00AC667A">
              <w:rPr>
                <w:rFonts w:eastAsia="Calibri"/>
                <w:sz w:val="20"/>
              </w:rPr>
              <w:t>(Jean-Guy Perron M.J.)</w:t>
            </w:r>
          </w:p>
          <w:p w:rsidR="00E56A3F" w:rsidRPr="00AC667A" w:rsidRDefault="00E56A3F" w:rsidP="00B02DE5">
            <w:pPr>
              <w:jc w:val="both"/>
              <w:rPr>
                <w:rFonts w:eastAsia="Calibri"/>
                <w:sz w:val="20"/>
              </w:rPr>
            </w:pPr>
            <w:r w:rsidRPr="00AC667A">
              <w:rPr>
                <w:rFonts w:eastAsia="Calibri"/>
                <w:sz w:val="20"/>
              </w:rPr>
              <w:t>No. 201254</w:t>
            </w:r>
          </w:p>
          <w:p w:rsidR="00E56A3F" w:rsidRPr="00AC667A" w:rsidRDefault="00E4461B" w:rsidP="00B02DE5">
            <w:pPr>
              <w:jc w:val="both"/>
              <w:rPr>
                <w:rFonts w:eastAsia="Calibri"/>
                <w:sz w:val="20"/>
              </w:rPr>
            </w:pPr>
            <w:hyperlink r:id="rId36" w:history="1">
              <w:r w:rsidR="00E56A3F" w:rsidRPr="00AC667A">
                <w:rPr>
                  <w:rFonts w:eastAsia="Calibri"/>
                  <w:color w:val="0000FF"/>
                  <w:sz w:val="20"/>
                  <w:u w:val="single"/>
                </w:rPr>
                <w:t>2013 CM 4005</w:t>
              </w:r>
            </w:hyperlink>
          </w:p>
          <w:p w:rsidR="00E56A3F" w:rsidRPr="00AC667A" w:rsidRDefault="00E56A3F" w:rsidP="00B02DE5">
            <w:pPr>
              <w:jc w:val="both"/>
              <w:rPr>
                <w:rFonts w:eastAsia="Calibri"/>
                <w:sz w:val="20"/>
              </w:rPr>
            </w:pP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rPr>
            </w:pPr>
            <w:r w:rsidRPr="00AC667A">
              <w:rPr>
                <w:rFonts w:eastAsia="Calibri"/>
                <w:sz w:val="20"/>
              </w:rPr>
              <w:t>Applicant found guilty on (i) one count under s. 130(1)(</w:t>
            </w:r>
            <w:r w:rsidRPr="00AC667A">
              <w:rPr>
                <w:rFonts w:eastAsia="Calibri"/>
                <w:i/>
                <w:sz w:val="20"/>
              </w:rPr>
              <w:t>a</w:t>
            </w:r>
            <w:r w:rsidRPr="00AC667A">
              <w:rPr>
                <w:rFonts w:eastAsia="Calibri"/>
                <w:sz w:val="20"/>
              </w:rPr>
              <w:t xml:space="preserve">) of NDA of committing fraud contrary to </w:t>
            </w:r>
            <w:r w:rsidRPr="00AC667A">
              <w:rPr>
                <w:rFonts w:eastAsia="Calibri"/>
                <w:iCs/>
                <w:sz w:val="20"/>
              </w:rPr>
              <w:t>s</w:t>
            </w:r>
            <w:r w:rsidRPr="00AC667A">
              <w:rPr>
                <w:rFonts w:eastAsia="Calibri"/>
                <w:sz w:val="20"/>
              </w:rPr>
              <w:t xml:space="preserve">. 380(1) of </w:t>
            </w:r>
            <w:hyperlink r:id="rId37" w:history="1">
              <w:r w:rsidRPr="00AC667A">
                <w:rPr>
                  <w:rFonts w:eastAsia="Calibri"/>
                  <w:i/>
                  <w:iCs/>
                  <w:sz w:val="20"/>
                </w:rPr>
                <w:t>Criminal Code</w:t>
              </w:r>
            </w:hyperlink>
            <w:r w:rsidRPr="00AC667A">
              <w:rPr>
                <w:rFonts w:eastAsia="Calibri"/>
                <w:sz w:val="20"/>
              </w:rPr>
              <w:t>; and (ii) one count under s. </w:t>
            </w:r>
            <w:hyperlink r:id="rId38" w:anchor="art125_smooth" w:history="1">
              <w:r w:rsidRPr="00AC667A">
                <w:rPr>
                  <w:rFonts w:eastAsia="Calibri"/>
                  <w:sz w:val="20"/>
                </w:rPr>
                <w:t>125(</w:t>
              </w:r>
              <w:r w:rsidRPr="00AC667A">
                <w:rPr>
                  <w:rFonts w:eastAsia="Calibri"/>
                  <w:i/>
                  <w:iCs/>
                  <w:sz w:val="20"/>
                </w:rPr>
                <w:t>a</w:t>
              </w:r>
              <w:r w:rsidRPr="00AC667A">
                <w:rPr>
                  <w:rFonts w:eastAsia="Calibri"/>
                  <w:sz w:val="20"/>
                </w:rPr>
                <w:t>)</w:t>
              </w:r>
            </w:hyperlink>
            <w:r w:rsidRPr="00AC667A">
              <w:rPr>
                <w:rFonts w:eastAsia="Calibri"/>
                <w:sz w:val="20"/>
              </w:rPr>
              <w:t xml:space="preserve"> of </w:t>
            </w:r>
            <w:hyperlink r:id="rId39" w:history="1">
              <w:r w:rsidRPr="00AC667A">
                <w:rPr>
                  <w:rFonts w:eastAsia="Calibri"/>
                  <w:i/>
                  <w:iCs/>
                  <w:sz w:val="20"/>
                </w:rPr>
                <w:t>National</w:t>
              </w:r>
            </w:hyperlink>
            <w:r w:rsidRPr="00AC667A">
              <w:rPr>
                <w:rFonts w:eastAsia="Calibri"/>
                <w:i/>
                <w:sz w:val="20"/>
              </w:rPr>
              <w:t xml:space="preserve"> Defence Act</w:t>
            </w:r>
            <w:r w:rsidRPr="00AC667A">
              <w:rPr>
                <w:rFonts w:eastAsia="Calibri"/>
                <w:sz w:val="20"/>
              </w:rPr>
              <w:t xml:space="preserve"> of wilfully making false statement in document he had signed that was required for official purposes</w:t>
            </w:r>
          </w:p>
          <w:p w:rsidR="00E56A3F" w:rsidRPr="00AC667A" w:rsidRDefault="00E56A3F" w:rsidP="00B02DE5">
            <w:pPr>
              <w:jc w:val="both"/>
              <w:rPr>
                <w:rFonts w:eastAsia="Calibri"/>
                <w:sz w:val="20"/>
              </w:rPr>
            </w:pPr>
          </w:p>
        </w:tc>
      </w:tr>
      <w:tr w:rsidR="00E56A3F" w:rsidRPr="00AC667A" w:rsidTr="00B02DE5">
        <w:tc>
          <w:tcPr>
            <w:tcW w:w="2427" w:type="pct"/>
          </w:tcPr>
          <w:p w:rsidR="00E56A3F" w:rsidRPr="00AC667A" w:rsidRDefault="00E56A3F" w:rsidP="00B02DE5">
            <w:pPr>
              <w:jc w:val="both"/>
              <w:rPr>
                <w:rFonts w:eastAsia="Calibri"/>
                <w:sz w:val="20"/>
              </w:rPr>
            </w:pPr>
            <w:r w:rsidRPr="00AC667A">
              <w:rPr>
                <w:rFonts w:eastAsia="Calibri"/>
                <w:sz w:val="20"/>
              </w:rPr>
              <w:t>April 23,2013</w:t>
            </w:r>
          </w:p>
          <w:p w:rsidR="00E56A3F" w:rsidRPr="00AC667A" w:rsidRDefault="00E56A3F" w:rsidP="00B02DE5">
            <w:pPr>
              <w:jc w:val="both"/>
              <w:rPr>
                <w:rFonts w:eastAsia="Calibri"/>
                <w:sz w:val="20"/>
              </w:rPr>
            </w:pPr>
            <w:r w:rsidRPr="00AC667A">
              <w:rPr>
                <w:rFonts w:eastAsia="Calibri"/>
                <w:sz w:val="20"/>
              </w:rPr>
              <w:t>Standing Court Martial</w:t>
            </w:r>
          </w:p>
          <w:p w:rsidR="00E56A3F" w:rsidRPr="00AC667A" w:rsidRDefault="00E56A3F" w:rsidP="00B02DE5">
            <w:pPr>
              <w:jc w:val="both"/>
              <w:rPr>
                <w:rFonts w:eastAsia="Calibri"/>
                <w:sz w:val="20"/>
              </w:rPr>
            </w:pPr>
            <w:r w:rsidRPr="00AC667A">
              <w:rPr>
                <w:rFonts w:eastAsia="Calibri"/>
                <w:sz w:val="20"/>
              </w:rPr>
              <w:t>(Jean-Guy Perron M.J.)</w:t>
            </w:r>
          </w:p>
          <w:p w:rsidR="00E56A3F" w:rsidRPr="00AC667A" w:rsidRDefault="00E56A3F" w:rsidP="00B02DE5">
            <w:pPr>
              <w:jc w:val="both"/>
              <w:rPr>
                <w:rFonts w:eastAsia="Calibri"/>
                <w:sz w:val="20"/>
              </w:rPr>
            </w:pPr>
            <w:r w:rsidRPr="00AC667A">
              <w:rPr>
                <w:rFonts w:eastAsia="Calibri"/>
                <w:sz w:val="20"/>
              </w:rPr>
              <w:t>No. 201254</w:t>
            </w:r>
          </w:p>
          <w:p w:rsidR="00E56A3F" w:rsidRPr="00AC667A" w:rsidRDefault="00E56A3F" w:rsidP="00B02DE5">
            <w:pPr>
              <w:jc w:val="both"/>
              <w:rPr>
                <w:rFonts w:eastAsia="Calibri"/>
                <w:sz w:val="20"/>
              </w:rPr>
            </w:pPr>
            <w:r w:rsidRPr="00AC667A">
              <w:rPr>
                <w:rFonts w:eastAsia="Calibri"/>
                <w:sz w:val="20"/>
              </w:rPr>
              <w:t>2013 CM 4006</w:t>
            </w:r>
          </w:p>
          <w:p w:rsidR="00E56A3F" w:rsidRPr="00AC667A" w:rsidRDefault="00E56A3F" w:rsidP="00B02DE5">
            <w:pPr>
              <w:jc w:val="both"/>
              <w:rPr>
                <w:rFonts w:eastAsia="Calibri"/>
                <w:sz w:val="20"/>
              </w:rPr>
            </w:pP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rPr>
            </w:pPr>
            <w:r w:rsidRPr="00AC667A">
              <w:rPr>
                <w:rFonts w:eastAsia="Calibri"/>
                <w:sz w:val="20"/>
              </w:rPr>
              <w:t>Applicant’s motion for declaration that ss. 130(1)(</w:t>
            </w:r>
            <w:r w:rsidRPr="00AC667A">
              <w:rPr>
                <w:rFonts w:eastAsia="Calibri"/>
                <w:i/>
                <w:sz w:val="20"/>
              </w:rPr>
              <w:t>a</w:t>
            </w:r>
            <w:r w:rsidRPr="00AC667A">
              <w:rPr>
                <w:rFonts w:eastAsia="Calibri"/>
                <w:sz w:val="20"/>
              </w:rPr>
              <w:t>) and 117(</w:t>
            </w:r>
            <w:r w:rsidRPr="00AC667A">
              <w:rPr>
                <w:rFonts w:eastAsia="Calibri"/>
                <w:i/>
                <w:sz w:val="20"/>
              </w:rPr>
              <w:t>f</w:t>
            </w:r>
            <w:r w:rsidRPr="00AC667A">
              <w:rPr>
                <w:rFonts w:eastAsia="Calibri"/>
                <w:sz w:val="20"/>
              </w:rPr>
              <w:t>) of NDA unconstitutional dismissed</w:t>
            </w:r>
          </w:p>
        </w:tc>
      </w:tr>
      <w:tr w:rsidR="00E56A3F" w:rsidRPr="00AC667A" w:rsidTr="00B02DE5">
        <w:tc>
          <w:tcPr>
            <w:tcW w:w="2427" w:type="pct"/>
          </w:tcPr>
          <w:p w:rsidR="00E56A3F" w:rsidRPr="00AC667A" w:rsidRDefault="00E56A3F" w:rsidP="00B02DE5">
            <w:pPr>
              <w:jc w:val="both"/>
              <w:rPr>
                <w:rFonts w:eastAsia="Calibri"/>
                <w:sz w:val="20"/>
              </w:rPr>
            </w:pPr>
            <w:r w:rsidRPr="00AC667A">
              <w:rPr>
                <w:rFonts w:eastAsia="Calibri"/>
                <w:sz w:val="20"/>
              </w:rPr>
              <w:t>June 13, 2014</w:t>
            </w:r>
          </w:p>
          <w:p w:rsidR="00E56A3F" w:rsidRPr="00AC667A" w:rsidRDefault="00E56A3F" w:rsidP="00B02DE5">
            <w:pPr>
              <w:jc w:val="both"/>
              <w:rPr>
                <w:rFonts w:eastAsia="Calibri"/>
                <w:sz w:val="20"/>
              </w:rPr>
            </w:pPr>
            <w:r w:rsidRPr="00AC667A">
              <w:rPr>
                <w:rFonts w:eastAsia="Calibri"/>
                <w:sz w:val="20"/>
              </w:rPr>
              <w:t>Court Martial Appeal Court of Canada</w:t>
            </w:r>
          </w:p>
          <w:p w:rsidR="00E56A3F" w:rsidRPr="00AC667A" w:rsidRDefault="00E56A3F" w:rsidP="00B02DE5">
            <w:pPr>
              <w:jc w:val="both"/>
              <w:rPr>
                <w:rFonts w:eastAsia="Calibri"/>
                <w:sz w:val="20"/>
              </w:rPr>
            </w:pPr>
            <w:r w:rsidRPr="00AC667A">
              <w:rPr>
                <w:rFonts w:eastAsia="Calibri"/>
                <w:sz w:val="20"/>
              </w:rPr>
              <w:t>(Cournoyer, Vincent and Scott JJ.A.)</w:t>
            </w:r>
          </w:p>
          <w:p w:rsidR="00E56A3F" w:rsidRPr="00AC667A" w:rsidRDefault="00E56A3F" w:rsidP="00B02DE5">
            <w:pPr>
              <w:jc w:val="both"/>
              <w:rPr>
                <w:rFonts w:eastAsia="Calibri"/>
                <w:sz w:val="20"/>
              </w:rPr>
            </w:pPr>
            <w:r w:rsidRPr="00AC667A">
              <w:rPr>
                <w:rFonts w:eastAsia="Calibri"/>
                <w:sz w:val="20"/>
              </w:rPr>
              <w:t>No. CMAC-561</w:t>
            </w:r>
          </w:p>
          <w:p w:rsidR="00E56A3F" w:rsidRPr="00AC667A" w:rsidRDefault="00E4461B" w:rsidP="00B02DE5">
            <w:pPr>
              <w:jc w:val="both"/>
              <w:rPr>
                <w:rFonts w:eastAsia="Calibri"/>
                <w:sz w:val="20"/>
              </w:rPr>
            </w:pPr>
            <w:hyperlink r:id="rId40" w:anchor="_ftn1" w:history="1">
              <w:r w:rsidR="00E56A3F" w:rsidRPr="00AC667A">
                <w:rPr>
                  <w:rFonts w:eastAsia="Calibri"/>
                  <w:color w:val="0000FF"/>
                  <w:sz w:val="20"/>
                  <w:u w:val="single"/>
                </w:rPr>
                <w:t>2014 CACM 8</w:t>
              </w:r>
            </w:hyperlink>
          </w:p>
          <w:p w:rsidR="00E56A3F" w:rsidRPr="00AC667A" w:rsidRDefault="00E56A3F" w:rsidP="00B02DE5">
            <w:pPr>
              <w:jc w:val="both"/>
              <w:rPr>
                <w:rFonts w:eastAsia="Calibri"/>
                <w:sz w:val="20"/>
              </w:rPr>
            </w:pP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rPr>
            </w:pPr>
            <w:r w:rsidRPr="00AC667A">
              <w:rPr>
                <w:rFonts w:eastAsia="Calibri"/>
                <w:sz w:val="20"/>
              </w:rPr>
              <w:t>Appeal dismissed</w:t>
            </w:r>
          </w:p>
          <w:p w:rsidR="00E56A3F" w:rsidRPr="00AC667A" w:rsidRDefault="00E56A3F" w:rsidP="00B02DE5">
            <w:pPr>
              <w:jc w:val="both"/>
              <w:rPr>
                <w:rFonts w:eastAsia="Calibri"/>
                <w:sz w:val="20"/>
              </w:rPr>
            </w:pPr>
          </w:p>
        </w:tc>
      </w:tr>
      <w:tr w:rsidR="00E56A3F" w:rsidRPr="00AC667A" w:rsidTr="00B02DE5">
        <w:tc>
          <w:tcPr>
            <w:tcW w:w="2427" w:type="pct"/>
          </w:tcPr>
          <w:p w:rsidR="00E56A3F" w:rsidRPr="00AC667A" w:rsidRDefault="00E56A3F" w:rsidP="00B02DE5">
            <w:pPr>
              <w:jc w:val="both"/>
              <w:rPr>
                <w:rFonts w:eastAsia="Calibri"/>
                <w:sz w:val="20"/>
              </w:rPr>
            </w:pPr>
            <w:r w:rsidRPr="00AC667A">
              <w:rPr>
                <w:rFonts w:eastAsia="Calibri"/>
                <w:sz w:val="20"/>
              </w:rPr>
              <w:t>September 12, 2014</w:t>
            </w:r>
          </w:p>
          <w:p w:rsidR="00E56A3F" w:rsidRPr="00AC667A" w:rsidRDefault="00E56A3F" w:rsidP="00B02DE5">
            <w:pPr>
              <w:jc w:val="both"/>
              <w:rPr>
                <w:rFonts w:eastAsia="Calibri"/>
                <w:sz w:val="20"/>
              </w:rPr>
            </w:pPr>
            <w:r w:rsidRPr="00AC667A">
              <w:rPr>
                <w:rFonts w:eastAsia="Calibri"/>
                <w:sz w:val="20"/>
              </w:rPr>
              <w:t>Supreme Court of Canada</w:t>
            </w: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rPr>
            </w:pPr>
            <w:r w:rsidRPr="00AC667A">
              <w:rPr>
                <w:rFonts w:eastAsia="Calibri"/>
                <w:sz w:val="20"/>
              </w:rPr>
              <w:t>Application for leave to appeal filed</w:t>
            </w:r>
          </w:p>
          <w:p w:rsidR="00E56A3F" w:rsidRPr="00AC667A" w:rsidRDefault="00E56A3F"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42"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E4461B" w:rsidTr="00B02DE5">
        <w:tc>
          <w:tcPr>
            <w:tcW w:w="5000" w:type="pct"/>
            <w:gridSpan w:val="3"/>
          </w:tcPr>
          <w:p w:rsidR="00E56A3F" w:rsidRPr="00AC667A" w:rsidRDefault="00E56A3F" w:rsidP="00B02DE5">
            <w:pPr>
              <w:jc w:val="both"/>
              <w:rPr>
                <w:rFonts w:eastAsia="Calibri"/>
                <w:sz w:val="20"/>
                <w:lang w:val="fr-CA"/>
              </w:rPr>
            </w:pPr>
            <w:r w:rsidRPr="00AC667A">
              <w:rPr>
                <w:rFonts w:eastAsia="Calibri"/>
                <w:i/>
                <w:sz w:val="20"/>
                <w:lang w:val="fr-CA"/>
              </w:rPr>
              <w:t>Charte canadienne des droits et libertés</w:t>
            </w:r>
            <w:r w:rsidRPr="00AC667A">
              <w:rPr>
                <w:rFonts w:eastAsia="Calibri"/>
                <w:sz w:val="20"/>
                <w:lang w:val="fr-CA"/>
              </w:rPr>
              <w:t xml:space="preserve"> – Infractions d’ordre militaire – L’al. 130(1)a) de la </w:t>
            </w:r>
            <w:r w:rsidRPr="00AC667A">
              <w:rPr>
                <w:rFonts w:eastAsia="Calibri"/>
                <w:i/>
                <w:iCs/>
                <w:sz w:val="20"/>
                <w:lang w:val="fr-CA"/>
              </w:rPr>
              <w:t>Loi sur la défense nationale</w:t>
            </w:r>
            <w:r w:rsidRPr="00AC667A">
              <w:rPr>
                <w:rFonts w:eastAsia="Calibri"/>
                <w:iCs/>
                <w:sz w:val="20"/>
                <w:lang w:val="fr-CA"/>
              </w:rPr>
              <w:t xml:space="preserve">, </w:t>
            </w:r>
            <w:r w:rsidRPr="00AC667A">
              <w:rPr>
                <w:rFonts w:eastAsia="Calibri"/>
                <w:sz w:val="20"/>
                <w:lang w:val="fr-CA"/>
              </w:rPr>
              <w:t xml:space="preserve">L.R.C. 1985, c N-5 (« LDN ») crée-t-il une infraction ayant une portée excessive contrairement à l’art. 7 de la </w:t>
            </w:r>
            <w:r w:rsidRPr="00AC667A">
              <w:rPr>
                <w:rFonts w:eastAsia="Calibri"/>
                <w:i/>
                <w:iCs/>
                <w:sz w:val="20"/>
                <w:lang w:val="fr-CA"/>
              </w:rPr>
              <w:t>Charte</w:t>
            </w:r>
            <w:r w:rsidRPr="00AC667A">
              <w:rPr>
                <w:rFonts w:eastAsia="Calibri"/>
                <w:sz w:val="20"/>
                <w:lang w:val="fr-CA"/>
              </w:rPr>
              <w:t>? – L’al. 117</w:t>
            </w:r>
            <w:r w:rsidRPr="00AC667A">
              <w:rPr>
                <w:rFonts w:eastAsia="Calibri"/>
                <w:i/>
                <w:sz w:val="20"/>
                <w:lang w:val="fr-CA"/>
              </w:rPr>
              <w:t>f</w:t>
            </w:r>
            <w:r w:rsidRPr="00AC667A">
              <w:rPr>
                <w:rFonts w:eastAsia="Calibri"/>
                <w:sz w:val="20"/>
                <w:lang w:val="fr-CA"/>
              </w:rPr>
              <w:t xml:space="preserve">) de la LDN crée-t-il une infraction ayant une portée excessive contrairement à l’art. 7 de la </w:t>
            </w:r>
            <w:r w:rsidRPr="00AC667A">
              <w:rPr>
                <w:rFonts w:eastAsia="Calibri"/>
                <w:i/>
                <w:iCs/>
                <w:sz w:val="20"/>
                <w:lang w:val="fr-CA"/>
              </w:rPr>
              <w:lastRenderedPageBreak/>
              <w:t>Charte</w:t>
            </w:r>
            <w:r w:rsidRPr="00AC667A">
              <w:rPr>
                <w:rFonts w:eastAsia="Calibri"/>
                <w:sz w:val="20"/>
                <w:lang w:val="fr-CA"/>
              </w:rPr>
              <w:t xml:space="preserve">? – </w:t>
            </w:r>
            <w:r w:rsidRPr="00AC667A">
              <w:rPr>
                <w:rFonts w:eastAsia="Calibri"/>
                <w:i/>
                <w:iCs/>
                <w:sz w:val="20"/>
                <w:lang w:val="fr-CA"/>
              </w:rPr>
              <w:t>Loi sur la défense nationale</w:t>
            </w:r>
            <w:r w:rsidRPr="00AC667A">
              <w:rPr>
                <w:rFonts w:eastAsia="Calibri"/>
                <w:iCs/>
                <w:sz w:val="20"/>
                <w:lang w:val="fr-CA"/>
              </w:rPr>
              <w:t xml:space="preserve">, </w:t>
            </w:r>
            <w:r w:rsidRPr="00AC667A">
              <w:rPr>
                <w:rFonts w:eastAsia="Calibri"/>
                <w:sz w:val="20"/>
                <w:lang w:val="fr-CA"/>
              </w:rPr>
              <w:t>L.R.C. 1985, c N-5.</w:t>
            </w:r>
          </w:p>
        </w:tc>
      </w:tr>
      <w:tr w:rsidR="00E56A3F" w:rsidRPr="00E4461B" w:rsidTr="00B02DE5">
        <w:tc>
          <w:tcPr>
            <w:tcW w:w="5000" w:type="pct"/>
            <w:gridSpan w:val="3"/>
          </w:tcPr>
          <w:p w:rsidR="00E56A3F" w:rsidRPr="00AC667A" w:rsidRDefault="00E56A3F" w:rsidP="00B02DE5">
            <w:pPr>
              <w:jc w:val="both"/>
              <w:rPr>
                <w:rFonts w:eastAsia="Calibri"/>
                <w:sz w:val="20"/>
                <w:lang w:val="fr-CA"/>
              </w:rPr>
            </w:pPr>
          </w:p>
        </w:tc>
      </w:tr>
      <w:tr w:rsidR="00E56A3F" w:rsidRPr="00E4461B" w:rsidTr="00B02DE5">
        <w:tc>
          <w:tcPr>
            <w:tcW w:w="5000" w:type="pct"/>
            <w:gridSpan w:val="3"/>
          </w:tcPr>
          <w:p w:rsidR="00E56A3F" w:rsidRPr="00AC667A" w:rsidRDefault="00E56A3F" w:rsidP="00B02DE5">
            <w:pPr>
              <w:autoSpaceDE w:val="0"/>
              <w:autoSpaceDN w:val="0"/>
              <w:adjustRightInd w:val="0"/>
              <w:jc w:val="both"/>
              <w:rPr>
                <w:rFonts w:eastAsia="Calibri"/>
                <w:sz w:val="20"/>
                <w:lang w:val="fr-FR"/>
              </w:rPr>
            </w:pPr>
            <w:r w:rsidRPr="00AC667A">
              <w:rPr>
                <w:rFonts w:eastAsia="Calibri"/>
                <w:sz w:val="20"/>
                <w:lang w:val="fr-CA"/>
              </w:rPr>
              <w:t>Le demandeur a fait l’objet de multiples chefs d’accusation, dont un déposé en vertu de l’</w:t>
            </w:r>
            <w:hyperlink r:id="rId41" w:anchor="art130_smooth" w:history="1">
              <w:r w:rsidRPr="00AC667A">
                <w:rPr>
                  <w:rFonts w:eastAsia="Calibri"/>
                  <w:sz w:val="20"/>
                  <w:lang w:val="fr-CA"/>
                </w:rPr>
                <w:t>art. 130</w:t>
              </w:r>
            </w:hyperlink>
            <w:r w:rsidRPr="00AC667A">
              <w:rPr>
                <w:rFonts w:eastAsia="Calibri"/>
                <w:sz w:val="20"/>
                <w:lang w:val="fr-CA"/>
              </w:rPr>
              <w:t xml:space="preserve"> de la LDN, soit d’avoir commis une fraude contrairement au </w:t>
            </w:r>
            <w:hyperlink r:id="rId42" w:anchor="art380par1_smooth" w:history="1">
              <w:r w:rsidRPr="00AC667A">
                <w:rPr>
                  <w:rFonts w:eastAsia="Calibri"/>
                  <w:sz w:val="20"/>
                  <w:lang w:val="fr-CA"/>
                </w:rPr>
                <w:t>para. 380(1)</w:t>
              </w:r>
            </w:hyperlink>
            <w:r w:rsidRPr="00AC667A">
              <w:rPr>
                <w:rFonts w:eastAsia="Calibri"/>
                <w:sz w:val="20"/>
                <w:lang w:val="fr-CA"/>
              </w:rPr>
              <w:t xml:space="preserve"> du </w:t>
            </w:r>
            <w:hyperlink r:id="rId43" w:history="1">
              <w:r w:rsidRPr="00AC667A">
                <w:rPr>
                  <w:rFonts w:eastAsia="Calibri"/>
                  <w:i/>
                  <w:sz w:val="20"/>
                  <w:lang w:val="fr-CA"/>
                </w:rPr>
                <w:t>Code criminel</w:t>
              </w:r>
            </w:hyperlink>
            <w:r w:rsidRPr="00AC667A">
              <w:rPr>
                <w:rFonts w:eastAsia="Calibri"/>
                <w:sz w:val="20"/>
                <w:lang w:val="fr-CA"/>
              </w:rPr>
              <w:t>; de deux chefs d’accusation déposés en vertu de l’</w:t>
            </w:r>
            <w:hyperlink r:id="rId44" w:anchor="art117_smooth" w:history="1">
              <w:r w:rsidRPr="00AC667A">
                <w:rPr>
                  <w:rFonts w:eastAsia="Calibri"/>
                  <w:sz w:val="20"/>
                  <w:lang w:val="fr-CA"/>
                </w:rPr>
                <w:t>al. 117</w:t>
              </w:r>
              <w:r w:rsidRPr="00AC667A">
                <w:rPr>
                  <w:rFonts w:eastAsia="Calibri"/>
                  <w:i/>
                  <w:sz w:val="20"/>
                  <w:lang w:val="fr-CA"/>
                </w:rPr>
                <w:t>f</w:t>
              </w:r>
              <w:r w:rsidRPr="00AC667A">
                <w:rPr>
                  <w:rFonts w:eastAsia="Calibri"/>
                  <w:sz w:val="20"/>
                  <w:lang w:val="fr-CA"/>
                </w:rPr>
                <w:t>)</w:t>
              </w:r>
            </w:hyperlink>
            <w:r w:rsidRPr="00AC667A">
              <w:rPr>
                <w:rFonts w:eastAsia="Calibri"/>
                <w:sz w:val="20"/>
                <w:lang w:val="fr-CA"/>
              </w:rPr>
              <w:t xml:space="preserve"> de la LDN, soit d’avoir commis deux actes à caractère frauduleux non expressément visés aux </w:t>
            </w:r>
            <w:hyperlink r:id="rId45" w:anchor="art73_smooth" w:history="1">
              <w:r w:rsidRPr="00AC667A">
                <w:rPr>
                  <w:rFonts w:eastAsia="Calibri"/>
                  <w:sz w:val="20"/>
                  <w:lang w:val="fr-CA"/>
                </w:rPr>
                <w:t>articles 73</w:t>
              </w:r>
            </w:hyperlink>
            <w:r w:rsidRPr="00AC667A">
              <w:rPr>
                <w:rFonts w:eastAsia="Calibri"/>
                <w:sz w:val="20"/>
                <w:lang w:val="fr-CA"/>
              </w:rPr>
              <w:t xml:space="preserve"> à</w:t>
            </w:r>
            <w:hyperlink r:id="rId46" w:anchor="art128_smooth" w:history="1">
              <w:r w:rsidRPr="00AC667A">
                <w:rPr>
                  <w:rFonts w:eastAsia="Calibri"/>
                  <w:sz w:val="20"/>
                  <w:lang w:val="fr-CA"/>
                </w:rPr>
                <w:t xml:space="preserve"> 128</w:t>
              </w:r>
            </w:hyperlink>
            <w:r w:rsidRPr="00AC667A">
              <w:rPr>
                <w:rFonts w:eastAsia="Calibri"/>
                <w:sz w:val="20"/>
                <w:lang w:val="fr-CA"/>
              </w:rPr>
              <w:t xml:space="preserve"> de la </w:t>
            </w:r>
            <w:hyperlink r:id="rId47" w:history="1">
              <w:r w:rsidRPr="00AC667A">
                <w:rPr>
                  <w:rFonts w:eastAsia="Calibri"/>
                  <w:sz w:val="20"/>
                  <w:lang w:val="fr-CA"/>
                </w:rPr>
                <w:t>LDN</w:t>
              </w:r>
            </w:hyperlink>
            <w:r w:rsidRPr="00AC667A">
              <w:rPr>
                <w:rFonts w:eastAsia="Calibri"/>
                <w:sz w:val="20"/>
                <w:lang w:val="fr-CA"/>
              </w:rPr>
              <w:t>; et d’un chef d’accusation déposé en vertu de l’</w:t>
            </w:r>
            <w:hyperlink r:id="rId48" w:anchor="art125_smooth" w:history="1">
              <w:r w:rsidRPr="00AC667A">
                <w:rPr>
                  <w:rFonts w:eastAsia="Calibri"/>
                  <w:sz w:val="20"/>
                  <w:lang w:val="fr-CA"/>
                </w:rPr>
                <w:t>al. 125</w:t>
              </w:r>
              <w:r w:rsidRPr="00AC667A">
                <w:rPr>
                  <w:rFonts w:eastAsia="Calibri"/>
                  <w:i/>
                  <w:sz w:val="20"/>
                  <w:lang w:val="fr-CA"/>
                </w:rPr>
                <w:t>a</w:t>
              </w:r>
              <w:r w:rsidRPr="00AC667A">
                <w:rPr>
                  <w:rFonts w:eastAsia="Calibri"/>
                  <w:sz w:val="20"/>
                  <w:lang w:val="fr-CA"/>
                </w:rPr>
                <w:t>)</w:t>
              </w:r>
            </w:hyperlink>
            <w:r w:rsidRPr="00AC667A">
              <w:rPr>
                <w:rFonts w:eastAsia="Calibri"/>
                <w:sz w:val="20"/>
                <w:lang w:val="fr-CA"/>
              </w:rPr>
              <w:t xml:space="preserve"> de la </w:t>
            </w:r>
            <w:hyperlink r:id="rId49" w:history="1">
              <w:r w:rsidRPr="00AC667A">
                <w:rPr>
                  <w:rFonts w:eastAsia="Calibri"/>
                  <w:sz w:val="20"/>
                  <w:lang w:val="fr-CA"/>
                </w:rPr>
                <w:t>LDN</w:t>
              </w:r>
            </w:hyperlink>
            <w:r w:rsidRPr="00AC667A">
              <w:rPr>
                <w:rFonts w:eastAsia="Calibri"/>
                <w:sz w:val="20"/>
                <w:lang w:val="fr-CA"/>
              </w:rPr>
              <w:t xml:space="preserve">, soit d’avoir fait volontairement une fausse déclaration dans un document officiel signé de sa main.  Les accusations portées contre le demandeur </w:t>
            </w:r>
            <w:r w:rsidRPr="00AC667A">
              <w:rPr>
                <w:rFonts w:eastAsia="Calibri"/>
                <w:sz w:val="20"/>
                <w:lang w:val="fr-FR"/>
              </w:rPr>
              <w:t xml:space="preserve">concernent le paiement d’une somme totale de 30 725 $ qui lui a été versée à titre de frais d’absence du foyer à la suite de sa mutation de la base de Valcartier à la base de Gagetown de même que le versement d’une somme totale de 3 469 $ versée à titre d’indemnité de vie chère.  </w:t>
            </w:r>
            <w:r w:rsidRPr="00AC667A">
              <w:rPr>
                <w:rFonts w:eastAsia="Calibri"/>
                <w:sz w:val="20"/>
                <w:lang w:val="fr-CA"/>
              </w:rPr>
              <w:t xml:space="preserve">On reproche notamment au demandeur d’avoir </w:t>
            </w:r>
            <w:r w:rsidRPr="00AC667A">
              <w:rPr>
                <w:rFonts w:eastAsia="Calibri"/>
                <w:sz w:val="20"/>
                <w:lang w:val="fr-FR"/>
              </w:rPr>
              <w:t>fait plusieurs fausses déclarations mensuelles quant à sa situation matrimoniale et au fait qu’il avait des personnes à charge.</w:t>
            </w:r>
          </w:p>
          <w:p w:rsidR="00E56A3F" w:rsidRPr="00AC667A" w:rsidRDefault="00E56A3F" w:rsidP="00B02DE5">
            <w:pPr>
              <w:jc w:val="both"/>
              <w:rPr>
                <w:rFonts w:eastAsia="Calibri"/>
                <w:sz w:val="20"/>
                <w:lang w:val="fr-CA"/>
              </w:rPr>
            </w:pPr>
          </w:p>
        </w:tc>
      </w:tr>
      <w:tr w:rsidR="00E56A3F" w:rsidRPr="00E4461B" w:rsidTr="00B02DE5">
        <w:tc>
          <w:tcPr>
            <w:tcW w:w="2427" w:type="pct"/>
          </w:tcPr>
          <w:p w:rsidR="00E56A3F" w:rsidRPr="00AC667A" w:rsidRDefault="00E56A3F" w:rsidP="00B02DE5">
            <w:pPr>
              <w:jc w:val="both"/>
              <w:rPr>
                <w:rFonts w:eastAsia="Calibri"/>
                <w:sz w:val="20"/>
                <w:lang w:val="fr-CA"/>
              </w:rPr>
            </w:pPr>
            <w:r w:rsidRPr="00AC667A">
              <w:rPr>
                <w:rFonts w:eastAsia="Calibri"/>
                <w:sz w:val="20"/>
                <w:lang w:val="fr-CA"/>
              </w:rPr>
              <w:t>Le 23 avril 2013</w:t>
            </w:r>
          </w:p>
          <w:p w:rsidR="00E56A3F" w:rsidRPr="00AC667A" w:rsidRDefault="00E56A3F" w:rsidP="00B02DE5">
            <w:pPr>
              <w:jc w:val="both"/>
              <w:rPr>
                <w:rFonts w:eastAsia="Calibri"/>
                <w:sz w:val="20"/>
                <w:lang w:val="fr-FR"/>
              </w:rPr>
            </w:pPr>
            <w:r w:rsidRPr="00AC667A">
              <w:rPr>
                <w:rFonts w:eastAsia="Calibri"/>
                <w:sz w:val="20"/>
                <w:lang w:val="fr-FR"/>
              </w:rPr>
              <w:t>Cour martiale permanente</w:t>
            </w:r>
          </w:p>
          <w:p w:rsidR="00E56A3F" w:rsidRPr="00AC667A" w:rsidRDefault="00E56A3F" w:rsidP="00B02DE5">
            <w:pPr>
              <w:jc w:val="both"/>
              <w:rPr>
                <w:rFonts w:eastAsia="Calibri"/>
                <w:sz w:val="20"/>
                <w:lang w:val="fr-FR"/>
              </w:rPr>
            </w:pPr>
            <w:r w:rsidRPr="00AC667A">
              <w:rPr>
                <w:rFonts w:eastAsia="Calibri"/>
                <w:sz w:val="20"/>
                <w:lang w:val="fr-FR"/>
              </w:rPr>
              <w:t>(Le juge militaire Jean-Guy Perron)</w:t>
            </w:r>
          </w:p>
          <w:p w:rsidR="00E56A3F" w:rsidRPr="00AC667A" w:rsidRDefault="00E56A3F" w:rsidP="00B02DE5">
            <w:pPr>
              <w:jc w:val="both"/>
              <w:rPr>
                <w:rFonts w:eastAsia="Calibri"/>
                <w:sz w:val="20"/>
                <w:lang w:val="fr-FR"/>
              </w:rPr>
            </w:pPr>
            <w:r w:rsidRPr="00AC667A">
              <w:rPr>
                <w:rFonts w:eastAsia="Calibri"/>
                <w:sz w:val="20"/>
                <w:lang w:val="fr-FR"/>
              </w:rPr>
              <w:t xml:space="preserve">No. </w:t>
            </w:r>
            <w:r w:rsidRPr="00AC667A">
              <w:rPr>
                <w:rFonts w:eastAsia="Calibri"/>
                <w:sz w:val="20"/>
                <w:lang w:val="fr-CA"/>
              </w:rPr>
              <w:t>201254</w:t>
            </w:r>
          </w:p>
          <w:p w:rsidR="00E56A3F" w:rsidRPr="00AC667A" w:rsidRDefault="00E4461B" w:rsidP="00B02DE5">
            <w:pPr>
              <w:jc w:val="both"/>
              <w:rPr>
                <w:rFonts w:eastAsia="Calibri"/>
                <w:sz w:val="20"/>
                <w:lang w:val="fr-FR"/>
              </w:rPr>
            </w:pPr>
            <w:hyperlink r:id="rId50" w:history="1">
              <w:r w:rsidR="00E56A3F" w:rsidRPr="00AC667A">
                <w:rPr>
                  <w:rFonts w:eastAsia="Calibri"/>
                  <w:color w:val="0000FF"/>
                  <w:sz w:val="20"/>
                  <w:u w:val="single"/>
                  <w:lang w:val="fr-FR"/>
                </w:rPr>
                <w:t>2013 CM 4005</w:t>
              </w:r>
            </w:hyperlink>
          </w:p>
          <w:p w:rsidR="00E56A3F" w:rsidRPr="00AC667A" w:rsidRDefault="00E56A3F" w:rsidP="00B02DE5">
            <w:pPr>
              <w:jc w:val="both"/>
              <w:rPr>
                <w:rFonts w:eastAsia="Calibri"/>
                <w:sz w:val="20"/>
              </w:rPr>
            </w:pP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lang w:val="fr-CA"/>
              </w:rPr>
            </w:pPr>
            <w:r w:rsidRPr="00AC667A">
              <w:rPr>
                <w:rFonts w:eastAsia="Calibri"/>
                <w:sz w:val="20"/>
                <w:lang w:val="fr-CA"/>
              </w:rPr>
              <w:t>Demandeur déclaré coupable (i) d’un chef d’accusation déposé en vertu de l’al. 130(1)</w:t>
            </w:r>
            <w:r w:rsidRPr="00AC667A">
              <w:rPr>
                <w:rFonts w:eastAsia="Calibri"/>
                <w:i/>
                <w:sz w:val="20"/>
                <w:lang w:val="fr-CA"/>
              </w:rPr>
              <w:t>a</w:t>
            </w:r>
            <w:r w:rsidRPr="00AC667A">
              <w:rPr>
                <w:rFonts w:eastAsia="Calibri"/>
                <w:sz w:val="20"/>
                <w:lang w:val="fr-CA"/>
              </w:rPr>
              <w:t>) de la LDN</w:t>
            </w:r>
            <w:r w:rsidRPr="00AC667A">
              <w:rPr>
                <w:rFonts w:eastAsia="Calibri"/>
                <w:i/>
                <w:iCs/>
                <w:sz w:val="20"/>
                <w:lang w:val="fr-CA"/>
              </w:rPr>
              <w:t>,</w:t>
            </w:r>
            <w:r w:rsidRPr="00AC667A">
              <w:rPr>
                <w:rFonts w:eastAsia="Calibri"/>
                <w:sz w:val="20"/>
                <w:lang w:val="fr-CA"/>
              </w:rPr>
              <w:t xml:space="preserve"> soit d’avoir commis une fraude contrairement au par. 380(1) du </w:t>
            </w:r>
            <w:hyperlink r:id="rId51" w:history="1">
              <w:r w:rsidRPr="00AC667A">
                <w:rPr>
                  <w:rFonts w:eastAsia="Calibri"/>
                  <w:i/>
                  <w:iCs/>
                  <w:sz w:val="20"/>
                  <w:lang w:val="fr-CA"/>
                </w:rPr>
                <w:t>Code criminel</w:t>
              </w:r>
            </w:hyperlink>
            <w:r w:rsidRPr="00AC667A">
              <w:rPr>
                <w:rFonts w:eastAsia="Calibri"/>
                <w:sz w:val="20"/>
                <w:lang w:val="fr-CA"/>
              </w:rPr>
              <w:t>; et (ii) d’un chef d’accusation déposé en vertu de l’</w:t>
            </w:r>
            <w:hyperlink r:id="rId52" w:anchor="art125_smooth" w:history="1">
              <w:r w:rsidRPr="00AC667A">
                <w:rPr>
                  <w:rFonts w:eastAsia="Calibri"/>
                  <w:sz w:val="20"/>
                  <w:lang w:val="fr-CA"/>
                </w:rPr>
                <w:t>article 125</w:t>
              </w:r>
              <w:r w:rsidRPr="00AC667A">
                <w:rPr>
                  <w:rFonts w:eastAsia="Calibri"/>
                  <w:i/>
                  <w:iCs/>
                  <w:sz w:val="20"/>
                  <w:lang w:val="fr-CA"/>
                </w:rPr>
                <w:t>a</w:t>
              </w:r>
              <w:r w:rsidRPr="00AC667A">
                <w:rPr>
                  <w:rFonts w:eastAsia="Calibri"/>
                  <w:sz w:val="20"/>
                  <w:lang w:val="fr-CA"/>
                </w:rPr>
                <w:t>)</w:t>
              </w:r>
            </w:hyperlink>
            <w:r w:rsidRPr="00AC667A">
              <w:rPr>
                <w:rFonts w:eastAsia="Calibri"/>
                <w:sz w:val="20"/>
                <w:lang w:val="fr-CA"/>
              </w:rPr>
              <w:t xml:space="preserve"> de la </w:t>
            </w:r>
            <w:hyperlink r:id="rId53" w:history="1">
              <w:r w:rsidRPr="00AC667A">
                <w:rPr>
                  <w:rFonts w:eastAsia="Calibri"/>
                  <w:i/>
                  <w:iCs/>
                  <w:sz w:val="20"/>
                  <w:lang w:val="fr-CA"/>
                </w:rPr>
                <w:t>Loi sur la défense nationale</w:t>
              </w:r>
            </w:hyperlink>
            <w:r w:rsidRPr="00AC667A">
              <w:rPr>
                <w:rFonts w:eastAsia="Calibri"/>
                <w:sz w:val="20"/>
                <w:lang w:val="fr-CA"/>
              </w:rPr>
              <w:t>, soit d’avoir fait volontairement une fausse déclaration dans un document officiel signé de sa main.</w:t>
            </w:r>
          </w:p>
          <w:p w:rsidR="00E56A3F" w:rsidRPr="00AC667A" w:rsidRDefault="00E56A3F" w:rsidP="00B02DE5">
            <w:pPr>
              <w:jc w:val="both"/>
              <w:rPr>
                <w:rFonts w:eastAsia="Calibri"/>
                <w:sz w:val="20"/>
                <w:lang w:val="fr-CA"/>
              </w:rPr>
            </w:pPr>
          </w:p>
        </w:tc>
      </w:tr>
      <w:tr w:rsidR="00E56A3F" w:rsidRPr="00E4461B" w:rsidTr="00B02DE5">
        <w:tc>
          <w:tcPr>
            <w:tcW w:w="2427" w:type="pct"/>
          </w:tcPr>
          <w:p w:rsidR="00E56A3F" w:rsidRPr="00AC667A" w:rsidRDefault="00E56A3F" w:rsidP="00B02DE5">
            <w:pPr>
              <w:jc w:val="both"/>
              <w:rPr>
                <w:rFonts w:eastAsia="Calibri"/>
                <w:sz w:val="20"/>
                <w:lang w:val="fr-CA"/>
              </w:rPr>
            </w:pPr>
            <w:r w:rsidRPr="00AC667A">
              <w:rPr>
                <w:rFonts w:eastAsia="Calibri"/>
                <w:sz w:val="20"/>
                <w:lang w:val="fr-CA"/>
              </w:rPr>
              <w:t>Le 23 avril 2013</w:t>
            </w:r>
          </w:p>
          <w:p w:rsidR="00E56A3F" w:rsidRPr="00AC667A" w:rsidRDefault="00E56A3F" w:rsidP="00B02DE5">
            <w:pPr>
              <w:jc w:val="both"/>
              <w:rPr>
                <w:rFonts w:eastAsia="Calibri"/>
                <w:sz w:val="20"/>
                <w:lang w:val="fr-FR"/>
              </w:rPr>
            </w:pPr>
            <w:r w:rsidRPr="00AC667A">
              <w:rPr>
                <w:rFonts w:eastAsia="Calibri"/>
                <w:sz w:val="20"/>
                <w:lang w:val="fr-FR"/>
              </w:rPr>
              <w:t>Cour martiale permanente</w:t>
            </w:r>
          </w:p>
          <w:p w:rsidR="00E56A3F" w:rsidRPr="00AC667A" w:rsidRDefault="00E56A3F" w:rsidP="00B02DE5">
            <w:pPr>
              <w:jc w:val="both"/>
              <w:rPr>
                <w:rFonts w:eastAsia="Calibri"/>
                <w:sz w:val="20"/>
                <w:lang w:val="fr-FR"/>
              </w:rPr>
            </w:pPr>
            <w:r w:rsidRPr="00AC667A">
              <w:rPr>
                <w:rFonts w:eastAsia="Calibri"/>
                <w:sz w:val="20"/>
                <w:lang w:val="fr-FR"/>
              </w:rPr>
              <w:t>(Le juge militaire Jean-Guy Perron)</w:t>
            </w:r>
          </w:p>
          <w:p w:rsidR="00E56A3F" w:rsidRPr="00AC667A" w:rsidRDefault="00E56A3F" w:rsidP="00B02DE5">
            <w:pPr>
              <w:jc w:val="both"/>
              <w:rPr>
                <w:rFonts w:eastAsia="Calibri"/>
                <w:sz w:val="20"/>
                <w:lang w:val="fr-FR"/>
              </w:rPr>
            </w:pPr>
            <w:r w:rsidRPr="00AC667A">
              <w:rPr>
                <w:rFonts w:eastAsia="Calibri"/>
                <w:sz w:val="20"/>
                <w:lang w:val="fr-FR"/>
              </w:rPr>
              <w:t xml:space="preserve">No. </w:t>
            </w:r>
            <w:r w:rsidRPr="00AC667A">
              <w:rPr>
                <w:rFonts w:eastAsia="Calibri"/>
                <w:sz w:val="20"/>
                <w:lang w:val="fr-CA"/>
              </w:rPr>
              <w:t>201254</w:t>
            </w:r>
          </w:p>
          <w:p w:rsidR="00E56A3F" w:rsidRPr="00AC667A" w:rsidRDefault="00E56A3F" w:rsidP="00B02DE5">
            <w:pPr>
              <w:jc w:val="both"/>
              <w:rPr>
                <w:rFonts w:eastAsia="Calibri"/>
                <w:sz w:val="20"/>
                <w:lang w:val="fr-FR"/>
              </w:rPr>
            </w:pPr>
            <w:r w:rsidRPr="00AC667A">
              <w:rPr>
                <w:rFonts w:eastAsia="Calibri"/>
                <w:sz w:val="20"/>
                <w:lang w:val="fr-FR"/>
              </w:rPr>
              <w:t>2013 CM 4006</w:t>
            </w:r>
          </w:p>
          <w:p w:rsidR="00E56A3F" w:rsidRPr="00AC667A" w:rsidRDefault="00E56A3F" w:rsidP="00B02DE5">
            <w:pPr>
              <w:jc w:val="both"/>
              <w:rPr>
                <w:rFonts w:eastAsia="Calibri"/>
                <w:sz w:val="20"/>
                <w:lang w:val="fr-FR"/>
              </w:rPr>
            </w:pPr>
          </w:p>
        </w:tc>
        <w:tc>
          <w:tcPr>
            <w:tcW w:w="243" w:type="pct"/>
          </w:tcPr>
          <w:p w:rsidR="00E56A3F" w:rsidRPr="00AC667A" w:rsidRDefault="00E56A3F" w:rsidP="00B02DE5">
            <w:pPr>
              <w:jc w:val="both"/>
              <w:rPr>
                <w:rFonts w:eastAsia="Calibri"/>
                <w:sz w:val="20"/>
              </w:rPr>
            </w:pPr>
          </w:p>
        </w:tc>
        <w:tc>
          <w:tcPr>
            <w:tcW w:w="2330" w:type="pct"/>
          </w:tcPr>
          <w:p w:rsidR="00E56A3F" w:rsidRPr="00AC667A" w:rsidRDefault="00E56A3F" w:rsidP="00B02DE5">
            <w:pPr>
              <w:jc w:val="both"/>
              <w:rPr>
                <w:rFonts w:eastAsia="Calibri"/>
                <w:sz w:val="20"/>
                <w:lang w:val="fr-CA"/>
              </w:rPr>
            </w:pPr>
            <w:r w:rsidRPr="00AC667A">
              <w:rPr>
                <w:rFonts w:eastAsia="Calibri"/>
                <w:sz w:val="20"/>
                <w:lang w:val="fr-CA"/>
              </w:rPr>
              <w:t>Requête du demandeur en déclaration d’inconstitutionnalité des al. 130(1)</w:t>
            </w:r>
            <w:r w:rsidRPr="00AC667A">
              <w:rPr>
                <w:rFonts w:eastAsia="Calibri"/>
                <w:i/>
                <w:sz w:val="20"/>
                <w:lang w:val="fr-CA"/>
              </w:rPr>
              <w:t>a</w:t>
            </w:r>
            <w:r w:rsidRPr="00AC667A">
              <w:rPr>
                <w:rFonts w:eastAsia="Calibri"/>
                <w:sz w:val="20"/>
                <w:lang w:val="fr-CA"/>
              </w:rPr>
              <w:t>) et 117</w:t>
            </w:r>
            <w:r w:rsidRPr="00AC667A">
              <w:rPr>
                <w:rFonts w:eastAsia="Calibri"/>
                <w:i/>
                <w:sz w:val="20"/>
                <w:lang w:val="fr-CA"/>
              </w:rPr>
              <w:t>f</w:t>
            </w:r>
            <w:r w:rsidRPr="00AC667A">
              <w:rPr>
                <w:rFonts w:eastAsia="Calibri"/>
                <w:sz w:val="20"/>
                <w:lang w:val="fr-CA"/>
              </w:rPr>
              <w:t>) de la LDN rejetée.</w:t>
            </w:r>
          </w:p>
        </w:tc>
      </w:tr>
      <w:tr w:rsidR="00E56A3F" w:rsidRPr="00AC667A" w:rsidTr="00B02DE5">
        <w:tc>
          <w:tcPr>
            <w:tcW w:w="2427" w:type="pct"/>
          </w:tcPr>
          <w:p w:rsidR="00E56A3F" w:rsidRPr="00AC667A" w:rsidRDefault="00E56A3F" w:rsidP="00B02DE5">
            <w:pPr>
              <w:jc w:val="both"/>
              <w:rPr>
                <w:rFonts w:eastAsia="Calibri"/>
                <w:sz w:val="20"/>
                <w:lang w:val="fr-CA"/>
              </w:rPr>
            </w:pPr>
            <w:r w:rsidRPr="00AC667A">
              <w:rPr>
                <w:rFonts w:eastAsia="Calibri"/>
                <w:sz w:val="20"/>
                <w:lang w:val="fr-CA"/>
              </w:rPr>
              <w:t>Le 13 juin 2014</w:t>
            </w:r>
          </w:p>
          <w:p w:rsidR="00E56A3F" w:rsidRPr="00AC667A" w:rsidRDefault="00E56A3F" w:rsidP="00B02DE5">
            <w:pPr>
              <w:jc w:val="both"/>
              <w:rPr>
                <w:rFonts w:eastAsia="Calibri"/>
                <w:sz w:val="20"/>
                <w:lang w:val="fr-CA"/>
              </w:rPr>
            </w:pPr>
            <w:r w:rsidRPr="00AC667A">
              <w:rPr>
                <w:rFonts w:eastAsia="Calibri"/>
                <w:sz w:val="20"/>
                <w:lang w:val="fr-CA"/>
              </w:rPr>
              <w:t>Cour d’appel de la Cour martiale du Canada</w:t>
            </w:r>
          </w:p>
          <w:p w:rsidR="00E56A3F" w:rsidRPr="00AC667A" w:rsidRDefault="00E56A3F" w:rsidP="00B02DE5">
            <w:pPr>
              <w:jc w:val="both"/>
              <w:rPr>
                <w:rFonts w:eastAsia="Calibri"/>
                <w:sz w:val="20"/>
                <w:lang w:val="fr-CA"/>
              </w:rPr>
            </w:pPr>
            <w:r w:rsidRPr="00AC667A">
              <w:rPr>
                <w:rFonts w:eastAsia="Calibri"/>
                <w:sz w:val="20"/>
                <w:lang w:val="fr-CA"/>
              </w:rPr>
              <w:t>(Les juges Cournoyer, Vincent et Scott)</w:t>
            </w:r>
          </w:p>
          <w:p w:rsidR="00E56A3F" w:rsidRPr="00AC667A" w:rsidRDefault="00E56A3F" w:rsidP="00B02DE5">
            <w:pPr>
              <w:jc w:val="both"/>
              <w:rPr>
                <w:rFonts w:eastAsia="Calibri"/>
                <w:sz w:val="20"/>
                <w:lang w:val="fr-CA"/>
              </w:rPr>
            </w:pPr>
            <w:r w:rsidRPr="00AC667A">
              <w:rPr>
                <w:rFonts w:eastAsia="Calibri"/>
                <w:sz w:val="20"/>
                <w:lang w:val="fr-CA"/>
              </w:rPr>
              <w:t xml:space="preserve">No. </w:t>
            </w:r>
            <w:r w:rsidRPr="00AC667A">
              <w:rPr>
                <w:rFonts w:eastAsia="Calibri"/>
                <w:sz w:val="20"/>
                <w:lang w:val="fr-FR"/>
              </w:rPr>
              <w:t>CMAC-561</w:t>
            </w:r>
          </w:p>
          <w:p w:rsidR="00E56A3F" w:rsidRPr="00AC667A" w:rsidRDefault="00E4461B" w:rsidP="00B02DE5">
            <w:pPr>
              <w:jc w:val="both"/>
              <w:rPr>
                <w:rFonts w:eastAsia="Calibri"/>
                <w:sz w:val="20"/>
                <w:lang w:val="fr-CA"/>
              </w:rPr>
            </w:pPr>
            <w:hyperlink r:id="rId54" w:anchor="_ftn1" w:history="1">
              <w:r w:rsidR="00E56A3F" w:rsidRPr="00AC667A">
                <w:rPr>
                  <w:rFonts w:eastAsia="Calibri"/>
                  <w:color w:val="0000FF"/>
                  <w:sz w:val="20"/>
                  <w:u w:val="single"/>
                  <w:lang w:val="fr-FR"/>
                </w:rPr>
                <w:t>2014 CACM 8</w:t>
              </w:r>
            </w:hyperlink>
          </w:p>
          <w:p w:rsidR="00E56A3F" w:rsidRPr="00AC667A" w:rsidRDefault="00E56A3F" w:rsidP="00B02DE5">
            <w:pPr>
              <w:jc w:val="both"/>
              <w:rPr>
                <w:rFonts w:eastAsia="Calibri"/>
                <w:sz w:val="20"/>
                <w:lang w:val="fr-FR"/>
              </w:rPr>
            </w:pPr>
          </w:p>
        </w:tc>
        <w:tc>
          <w:tcPr>
            <w:tcW w:w="243" w:type="pct"/>
          </w:tcPr>
          <w:p w:rsidR="00E56A3F" w:rsidRPr="00AC667A" w:rsidRDefault="00E56A3F" w:rsidP="00B02DE5">
            <w:pPr>
              <w:jc w:val="both"/>
              <w:rPr>
                <w:rFonts w:eastAsia="Calibri"/>
                <w:sz w:val="20"/>
                <w:lang w:val="fr-CA"/>
              </w:rPr>
            </w:pPr>
          </w:p>
        </w:tc>
        <w:tc>
          <w:tcPr>
            <w:tcW w:w="2330" w:type="pct"/>
          </w:tcPr>
          <w:p w:rsidR="00E56A3F" w:rsidRPr="00AC667A" w:rsidRDefault="00E56A3F" w:rsidP="00B02DE5">
            <w:pPr>
              <w:jc w:val="both"/>
              <w:rPr>
                <w:rFonts w:eastAsia="Calibri"/>
                <w:sz w:val="20"/>
                <w:lang w:val="fr-CA"/>
              </w:rPr>
            </w:pPr>
            <w:r w:rsidRPr="00AC667A">
              <w:rPr>
                <w:rFonts w:eastAsia="Calibri"/>
                <w:sz w:val="20"/>
                <w:lang w:val="fr-CA"/>
              </w:rPr>
              <w:t>Appel rejeté.</w:t>
            </w:r>
          </w:p>
          <w:p w:rsidR="00E56A3F" w:rsidRPr="00AC667A" w:rsidRDefault="00E56A3F" w:rsidP="00B02DE5">
            <w:pPr>
              <w:jc w:val="both"/>
              <w:rPr>
                <w:rFonts w:eastAsia="Calibri"/>
                <w:sz w:val="20"/>
                <w:lang w:val="fr-CA"/>
              </w:rPr>
            </w:pPr>
          </w:p>
        </w:tc>
      </w:tr>
      <w:tr w:rsidR="00E56A3F" w:rsidRPr="00AC667A" w:rsidTr="00B02DE5">
        <w:tc>
          <w:tcPr>
            <w:tcW w:w="2427" w:type="pct"/>
          </w:tcPr>
          <w:p w:rsidR="00E56A3F" w:rsidRPr="00AC667A" w:rsidRDefault="00E56A3F" w:rsidP="00B02DE5">
            <w:pPr>
              <w:jc w:val="both"/>
              <w:rPr>
                <w:rFonts w:eastAsia="Calibri"/>
                <w:sz w:val="20"/>
                <w:lang w:val="fr-CA"/>
              </w:rPr>
            </w:pPr>
            <w:r w:rsidRPr="00AC667A">
              <w:rPr>
                <w:rFonts w:eastAsia="Calibri"/>
                <w:sz w:val="20"/>
                <w:lang w:val="fr-CA"/>
              </w:rPr>
              <w:t>Le 12 septembre 2014</w:t>
            </w:r>
          </w:p>
          <w:p w:rsidR="00E56A3F" w:rsidRPr="00AC667A" w:rsidRDefault="00E56A3F" w:rsidP="00B02DE5">
            <w:pPr>
              <w:jc w:val="both"/>
              <w:rPr>
                <w:rFonts w:eastAsia="Calibri"/>
                <w:sz w:val="20"/>
                <w:lang w:val="fr-CA"/>
              </w:rPr>
            </w:pPr>
            <w:r w:rsidRPr="00AC667A">
              <w:rPr>
                <w:rFonts w:eastAsia="Calibri"/>
                <w:sz w:val="20"/>
                <w:lang w:val="fr-CA"/>
              </w:rPr>
              <w:t>Cour suprême du Canada</w:t>
            </w:r>
          </w:p>
        </w:tc>
        <w:tc>
          <w:tcPr>
            <w:tcW w:w="243" w:type="pct"/>
          </w:tcPr>
          <w:p w:rsidR="00E56A3F" w:rsidRPr="00AC667A" w:rsidRDefault="00E56A3F" w:rsidP="00B02DE5">
            <w:pPr>
              <w:jc w:val="both"/>
              <w:rPr>
                <w:rFonts w:eastAsia="Calibri"/>
                <w:sz w:val="20"/>
                <w:lang w:val="fr-CA"/>
              </w:rPr>
            </w:pPr>
          </w:p>
        </w:tc>
        <w:tc>
          <w:tcPr>
            <w:tcW w:w="2330" w:type="pct"/>
          </w:tcPr>
          <w:p w:rsidR="00E56A3F" w:rsidRPr="00AC667A" w:rsidRDefault="00E56A3F" w:rsidP="00B02DE5">
            <w:pPr>
              <w:jc w:val="both"/>
              <w:rPr>
                <w:rFonts w:eastAsia="Calibri"/>
                <w:sz w:val="20"/>
                <w:lang w:val="fr-CA"/>
              </w:rPr>
            </w:pPr>
            <w:r w:rsidRPr="00AC667A">
              <w:rPr>
                <w:rFonts w:eastAsia="Calibri"/>
                <w:sz w:val="20"/>
                <w:lang w:val="fr-CA"/>
              </w:rPr>
              <w:t>Demande d'autorisation d'appel déposée.</w:t>
            </w: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43" style="width:2in;height:1pt" o:hrpct="0" o:hralign="center" o:hrstd="t" o:hrnoshade="t" o:hr="t" fillcolor="black [3213]" stroked="f"/>
        </w:pict>
      </w:r>
    </w:p>
    <w:p w:rsidR="00BC2489" w:rsidRDefault="00BC2489" w:rsidP="00BC2489">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5000" w:rsidRPr="005B5000" w:rsidTr="006535BF">
        <w:trPr>
          <w:cantSplit/>
        </w:trPr>
        <w:tc>
          <w:tcPr>
            <w:tcW w:w="1458" w:type="dxa"/>
          </w:tcPr>
          <w:p w:rsidR="005B5000" w:rsidRPr="005B5000" w:rsidRDefault="005B5000" w:rsidP="005B5000">
            <w:pPr>
              <w:rPr>
                <w:sz w:val="20"/>
              </w:rPr>
            </w:pPr>
            <w:r w:rsidRPr="005B5000">
              <w:rPr>
                <w:b/>
                <w:sz w:val="20"/>
                <w:lang w:val="fr-CA"/>
              </w:rPr>
              <w:t>35948</w:t>
            </w:r>
          </w:p>
          <w:p w:rsidR="005B5000" w:rsidRPr="005B5000" w:rsidRDefault="005B5000" w:rsidP="005B5000">
            <w:pPr>
              <w:rPr>
                <w:b/>
                <w:sz w:val="20"/>
                <w:lang w:val="fr-CA"/>
              </w:rPr>
            </w:pPr>
          </w:p>
        </w:tc>
        <w:tc>
          <w:tcPr>
            <w:tcW w:w="8118" w:type="dxa"/>
          </w:tcPr>
          <w:p w:rsidR="005B5000" w:rsidRPr="005B5000" w:rsidRDefault="005B5000" w:rsidP="005B5000">
            <w:pPr>
              <w:jc w:val="both"/>
              <w:rPr>
                <w:sz w:val="20"/>
              </w:rPr>
            </w:pPr>
            <w:r w:rsidRPr="005B5000">
              <w:rPr>
                <w:b/>
                <w:sz w:val="20"/>
                <w:u w:val="single"/>
              </w:rPr>
              <w:t>Caroline Wang v. British Columbia Medical Association (Canadian Medical Association - B.C. Divis</w:t>
            </w:r>
            <w:r>
              <w:rPr>
                <w:b/>
                <w:sz w:val="20"/>
                <w:u w:val="single"/>
              </w:rPr>
              <w:t>ion), Geoffrey Marsden Appleton and</w:t>
            </w:r>
            <w:r w:rsidRPr="005B5000">
              <w:rPr>
                <w:b/>
                <w:sz w:val="20"/>
                <w:u w:val="single"/>
              </w:rPr>
              <w:t xml:space="preserve"> Mark David Schonfeld</w:t>
            </w:r>
            <w:r w:rsidRPr="005B5000">
              <w:rPr>
                <w:sz w:val="20"/>
              </w:rPr>
              <w:t xml:space="preserve"> (B.C.) (Civil) (By</w:t>
            </w:r>
            <w:r>
              <w:rPr>
                <w:sz w:val="20"/>
              </w:rPr>
              <w:t> </w:t>
            </w:r>
            <w:r w:rsidRPr="005B5000">
              <w:rPr>
                <w:sz w:val="20"/>
              </w:rPr>
              <w:t>Leave)</w:t>
            </w:r>
          </w:p>
          <w:p w:rsidR="005B5000" w:rsidRPr="005B5000" w:rsidRDefault="005B5000" w:rsidP="005B5000">
            <w:pPr>
              <w:jc w:val="both"/>
              <w:rPr>
                <w:sz w:val="20"/>
              </w:rPr>
            </w:pPr>
          </w:p>
        </w:tc>
      </w:tr>
      <w:tr w:rsidR="005B5000" w:rsidRPr="005B5000" w:rsidTr="006535BF">
        <w:trPr>
          <w:cantSplit/>
        </w:trPr>
        <w:tc>
          <w:tcPr>
            <w:tcW w:w="1458" w:type="dxa"/>
          </w:tcPr>
          <w:p w:rsidR="005B5000" w:rsidRPr="005B5000" w:rsidRDefault="005B5000" w:rsidP="005B5000">
            <w:pPr>
              <w:rPr>
                <w:sz w:val="20"/>
              </w:rPr>
            </w:pPr>
            <w:r w:rsidRPr="005B5000">
              <w:rPr>
                <w:sz w:val="20"/>
              </w:rPr>
              <w:t>Coram :</w:t>
            </w:r>
          </w:p>
        </w:tc>
        <w:tc>
          <w:tcPr>
            <w:tcW w:w="8118" w:type="dxa"/>
          </w:tcPr>
          <w:p w:rsidR="005B5000" w:rsidRPr="005B5000" w:rsidRDefault="005B5000" w:rsidP="005B5000">
            <w:pPr>
              <w:rPr>
                <w:sz w:val="20"/>
              </w:rPr>
            </w:pPr>
            <w:r w:rsidRPr="005B5000">
              <w:rPr>
                <w:sz w:val="20"/>
                <w:u w:val="single"/>
              </w:rPr>
              <w:t>McLachlin C.J. and Cromwell and Wagner JJ.</w:t>
            </w:r>
          </w:p>
          <w:p w:rsidR="005B5000" w:rsidRPr="005B5000" w:rsidRDefault="005B5000" w:rsidP="005B5000">
            <w:pPr>
              <w:rPr>
                <w:sz w:val="20"/>
                <w:u w:val="single"/>
              </w:rPr>
            </w:pPr>
          </w:p>
        </w:tc>
      </w:tr>
      <w:tr w:rsidR="005B5000" w:rsidRPr="00E4461B" w:rsidTr="006535BF">
        <w:trPr>
          <w:cantSplit/>
        </w:trPr>
        <w:tc>
          <w:tcPr>
            <w:tcW w:w="9576" w:type="dxa"/>
            <w:gridSpan w:val="2"/>
          </w:tcPr>
          <w:p w:rsidR="005B5000" w:rsidRPr="005B5000" w:rsidRDefault="005B5000" w:rsidP="005B5000">
            <w:pPr>
              <w:ind w:firstLine="720"/>
              <w:jc w:val="both"/>
              <w:rPr>
                <w:sz w:val="20"/>
              </w:rPr>
            </w:pPr>
            <w:r w:rsidRPr="005B5000">
              <w:rPr>
                <w:sz w:val="20"/>
              </w:rPr>
              <w:t>The application for leave to appeal from the judgment of the Court of Appeal for British Columbia (Vancouver), Number CA040745, 2014 BCCA 162, dated April 30, 2014, is dismissed with costs.</w:t>
            </w:r>
          </w:p>
          <w:p w:rsidR="005B5000" w:rsidRPr="005B5000" w:rsidRDefault="005B5000" w:rsidP="005B5000">
            <w:pPr>
              <w:jc w:val="both"/>
              <w:rPr>
                <w:sz w:val="20"/>
              </w:rPr>
            </w:pPr>
          </w:p>
          <w:p w:rsidR="005B5000" w:rsidRPr="005B5000" w:rsidRDefault="005B5000" w:rsidP="005B5000">
            <w:pPr>
              <w:ind w:firstLine="720"/>
              <w:jc w:val="both"/>
              <w:rPr>
                <w:sz w:val="20"/>
                <w:lang w:val="fr-CA"/>
              </w:rPr>
            </w:pPr>
            <w:r w:rsidRPr="005B5000">
              <w:rPr>
                <w:sz w:val="20"/>
                <w:lang w:val="fr-CA"/>
              </w:rPr>
              <w:t>La demande d’autorisation d’appel de l’arrêt de la Cour d’appel de la Colombie-Britannique (Vancouver), numéro CA040745, 2014 BCCA 162, daté du 30 avril 2014, est rejetée avec dépens.</w:t>
            </w:r>
          </w:p>
        </w:tc>
      </w:tr>
    </w:tbl>
    <w:p w:rsidR="00BC2489" w:rsidRPr="005B5000"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lastRenderedPageBreak/>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164D42" w:rsidTr="00B02DE5">
        <w:tc>
          <w:tcPr>
            <w:tcW w:w="5000" w:type="pct"/>
            <w:gridSpan w:val="3"/>
          </w:tcPr>
          <w:p w:rsidR="00E56A3F" w:rsidRPr="00164D42" w:rsidRDefault="00E56A3F" w:rsidP="00B02DE5">
            <w:pPr>
              <w:jc w:val="both"/>
              <w:rPr>
                <w:rFonts w:eastAsia="Calibri"/>
                <w:sz w:val="20"/>
              </w:rPr>
            </w:pPr>
            <w:r w:rsidRPr="00164D42">
              <w:rPr>
                <w:rFonts w:eastAsia="Calibri"/>
                <w:sz w:val="20"/>
              </w:rPr>
              <w:t>Torts – Libel and slander – Defence of qualified privilege – President of medical association sending letter to membership advising that conduct of member of executive board under investigation – In what circumstances does the existence of an “established relationship” give rise to the defence of qualified privilege? – In what circumstances can communication of defamatory allegations of misconduct, which are under investigation, be protected by the defence of qualified privilege?</w:t>
            </w:r>
          </w:p>
        </w:tc>
      </w:tr>
      <w:tr w:rsidR="00E56A3F" w:rsidRPr="00164D42" w:rsidTr="00B02DE5">
        <w:tc>
          <w:tcPr>
            <w:tcW w:w="5000" w:type="pct"/>
            <w:gridSpan w:val="3"/>
          </w:tcPr>
          <w:p w:rsidR="00E56A3F" w:rsidRPr="00164D42" w:rsidRDefault="00E56A3F" w:rsidP="00B02DE5">
            <w:pPr>
              <w:jc w:val="both"/>
              <w:rPr>
                <w:rFonts w:eastAsia="Calibri"/>
                <w:sz w:val="20"/>
              </w:rPr>
            </w:pPr>
          </w:p>
        </w:tc>
      </w:tr>
      <w:tr w:rsidR="00E56A3F" w:rsidRPr="00164D42" w:rsidTr="00B02DE5">
        <w:tc>
          <w:tcPr>
            <w:tcW w:w="5000" w:type="pct"/>
            <w:gridSpan w:val="3"/>
          </w:tcPr>
          <w:p w:rsidR="00E56A3F" w:rsidRPr="00164D42" w:rsidRDefault="00E56A3F" w:rsidP="00B02DE5">
            <w:pPr>
              <w:shd w:val="clear" w:color="auto" w:fill="FFFFFF"/>
              <w:jc w:val="both"/>
              <w:rPr>
                <w:sz w:val="20"/>
                <w:lang w:eastAsia="en-CA"/>
              </w:rPr>
            </w:pPr>
            <w:r w:rsidRPr="00164D42">
              <w:rPr>
                <w:sz w:val="20"/>
                <w:lang w:eastAsia="en-CA"/>
              </w:rPr>
              <w:t xml:space="preserve">The applicant is a family physician who served as an elected member of the board of the British Columbia Medical Association (“BCMA”) from 1998 to 2008, including her final term as a member of the executive.  During this period she came to believe that the board was not sufficiently open and transparent in its decision-making process.  The rest of the board followed the traditional approach that after debate and decision, it would speak with one voice.  </w:t>
            </w:r>
            <w:r w:rsidRPr="00164D42">
              <w:rPr>
                <w:iCs/>
                <w:sz w:val="20"/>
                <w:lang w:eastAsia="en-CA"/>
              </w:rPr>
              <w:t xml:space="preserve">Her relationships with other board members became increasingly acrimonious between 2005 and 2008.  In particular, members of the board were concerned that Dr. Wang had repeatedly revealed the content of their discussions that preceded the decisions they made, in contravention of the board’s Code of Conduct.  At a meeting in February 2008, the board decided by resolution to refer a complaint regarding Dr. Wang to a Code of Conduct committee. A </w:t>
            </w:r>
            <w:r w:rsidRPr="00164D42">
              <w:rPr>
                <w:sz w:val="20"/>
                <w:lang w:eastAsia="en-CA"/>
              </w:rPr>
              <w:t>letter signed by the respondent, Dr. Appleton, as president of the BCMA, was sent to its members on February 2, 2008, advising that Dr. Wang's conduct was to be reviewed.  Dr. Wang claimed that this letter was defamatory.  She sought compensatory and aggravated damages from the BCMA and a number of individual members of the executive, the board or the staff of the BCMA.   Dr. Wang further sought declaratory relief in connection with the manner in which the complaint against her was handled.  The respondents relied on the defences of qualified privilege and fair comment.</w:t>
            </w:r>
          </w:p>
          <w:p w:rsidR="00E56A3F" w:rsidRPr="00164D42" w:rsidRDefault="00E56A3F" w:rsidP="00B02DE5">
            <w:pPr>
              <w:shd w:val="clear" w:color="auto" w:fill="FFFFFF"/>
              <w:jc w:val="both"/>
              <w:rPr>
                <w:sz w:val="20"/>
                <w:lang w:eastAsia="en-CA"/>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March 8, 2013</w:t>
            </w:r>
          </w:p>
          <w:p w:rsidR="00E56A3F" w:rsidRPr="00164D42" w:rsidRDefault="00E56A3F" w:rsidP="00B02DE5">
            <w:pPr>
              <w:jc w:val="both"/>
              <w:rPr>
                <w:rFonts w:eastAsia="Calibri"/>
                <w:sz w:val="20"/>
              </w:rPr>
            </w:pPr>
            <w:r w:rsidRPr="00164D42">
              <w:rPr>
                <w:rFonts w:eastAsia="Calibri"/>
                <w:sz w:val="20"/>
              </w:rPr>
              <w:t>Supreme Court of British Columbia</w:t>
            </w:r>
          </w:p>
          <w:p w:rsidR="00E56A3F" w:rsidRPr="00164D42" w:rsidRDefault="00E56A3F" w:rsidP="00B02DE5">
            <w:pPr>
              <w:jc w:val="both"/>
              <w:rPr>
                <w:rFonts w:eastAsia="Calibri"/>
                <w:sz w:val="20"/>
              </w:rPr>
            </w:pPr>
            <w:r w:rsidRPr="00164D42">
              <w:rPr>
                <w:rFonts w:eastAsia="Calibri"/>
                <w:sz w:val="20"/>
              </w:rPr>
              <w:t>(Grauer J.)</w:t>
            </w:r>
          </w:p>
          <w:p w:rsidR="00E56A3F" w:rsidRPr="00164D42" w:rsidRDefault="00E4461B" w:rsidP="00B02DE5">
            <w:pPr>
              <w:jc w:val="both"/>
              <w:rPr>
                <w:rFonts w:eastAsia="Calibri"/>
                <w:sz w:val="20"/>
              </w:rPr>
            </w:pPr>
            <w:hyperlink r:id="rId55" w:history="1">
              <w:r w:rsidR="00E56A3F" w:rsidRPr="00164D42">
                <w:rPr>
                  <w:rFonts w:eastAsia="Calibri"/>
                  <w:color w:val="0000FF"/>
                  <w:sz w:val="20"/>
                  <w:u w:val="single"/>
                </w:rPr>
                <w:t>2013 BCSC 394</w:t>
              </w:r>
            </w:hyperlink>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Applicant’s action for defamation dismissed; applicant’s claim for declaration allowed in part</w:t>
            </w:r>
          </w:p>
          <w:p w:rsidR="00E56A3F" w:rsidRPr="00164D42" w:rsidRDefault="00E56A3F" w:rsidP="00B02DE5">
            <w:pPr>
              <w:jc w:val="both"/>
              <w:rPr>
                <w:rFonts w:eastAsia="Calibri"/>
                <w:sz w:val="20"/>
              </w:rPr>
            </w:pP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April 30, 2014</w:t>
            </w:r>
          </w:p>
          <w:p w:rsidR="00E56A3F" w:rsidRPr="00164D42" w:rsidRDefault="00E56A3F" w:rsidP="00B02DE5">
            <w:pPr>
              <w:jc w:val="both"/>
              <w:rPr>
                <w:rFonts w:eastAsia="Calibri"/>
                <w:sz w:val="20"/>
              </w:rPr>
            </w:pPr>
            <w:r w:rsidRPr="00164D42">
              <w:rPr>
                <w:rFonts w:eastAsia="Calibri"/>
                <w:sz w:val="20"/>
              </w:rPr>
              <w:t xml:space="preserve">Court of Appeal for British Columbia </w:t>
            </w:r>
          </w:p>
          <w:p w:rsidR="00E56A3F" w:rsidRPr="00164D42" w:rsidRDefault="00E56A3F" w:rsidP="00B02DE5">
            <w:pPr>
              <w:jc w:val="both"/>
              <w:rPr>
                <w:rFonts w:eastAsia="Calibri"/>
                <w:sz w:val="20"/>
              </w:rPr>
            </w:pPr>
            <w:r w:rsidRPr="00164D42">
              <w:rPr>
                <w:rFonts w:eastAsia="Calibri"/>
                <w:sz w:val="20"/>
              </w:rPr>
              <w:t>(Vancouver)</w:t>
            </w:r>
          </w:p>
          <w:p w:rsidR="00E56A3F" w:rsidRPr="00164D42" w:rsidRDefault="00E56A3F" w:rsidP="00B02DE5">
            <w:pPr>
              <w:jc w:val="both"/>
              <w:rPr>
                <w:rFonts w:eastAsia="Calibri"/>
                <w:sz w:val="20"/>
              </w:rPr>
            </w:pPr>
            <w:r w:rsidRPr="00164D42">
              <w:rPr>
                <w:rFonts w:eastAsia="Calibri"/>
                <w:sz w:val="20"/>
              </w:rPr>
              <w:t>(Donald, Newbury and Garson JJ.A.)</w:t>
            </w:r>
          </w:p>
          <w:p w:rsidR="00E56A3F" w:rsidRPr="00164D42" w:rsidRDefault="00E4461B" w:rsidP="00B02DE5">
            <w:pPr>
              <w:jc w:val="both"/>
              <w:rPr>
                <w:rFonts w:eastAsia="Calibri"/>
                <w:sz w:val="20"/>
              </w:rPr>
            </w:pPr>
            <w:hyperlink r:id="rId56" w:history="1">
              <w:r w:rsidR="00E56A3F" w:rsidRPr="00164D42">
                <w:rPr>
                  <w:rFonts w:eastAsia="Calibri"/>
                  <w:color w:val="0000FF"/>
                  <w:sz w:val="20"/>
                  <w:u w:val="single"/>
                </w:rPr>
                <w:t>2014 BCCA 162</w:t>
              </w:r>
            </w:hyperlink>
          </w:p>
          <w:p w:rsidR="00E56A3F" w:rsidRPr="00164D42" w:rsidRDefault="00E56A3F" w:rsidP="00B02DE5">
            <w:pPr>
              <w:jc w:val="both"/>
              <w:rPr>
                <w:rFonts w:eastAsia="Calibri"/>
                <w:sz w:val="20"/>
              </w:rPr>
            </w:pP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Applicant’s appeal dismissed</w:t>
            </w:r>
          </w:p>
          <w:p w:rsidR="00E56A3F" w:rsidRPr="00164D42" w:rsidRDefault="00E56A3F" w:rsidP="00B02DE5">
            <w:pPr>
              <w:jc w:val="both"/>
              <w:rPr>
                <w:rFonts w:eastAsia="Calibri"/>
                <w:sz w:val="20"/>
              </w:rPr>
            </w:pPr>
          </w:p>
        </w:tc>
      </w:tr>
      <w:tr w:rsidR="00E56A3F" w:rsidRPr="00164D42" w:rsidTr="00B02DE5">
        <w:tc>
          <w:tcPr>
            <w:tcW w:w="2427" w:type="pct"/>
          </w:tcPr>
          <w:p w:rsidR="00E56A3F" w:rsidRPr="00164D42" w:rsidRDefault="00E56A3F" w:rsidP="00B02DE5">
            <w:pPr>
              <w:jc w:val="both"/>
              <w:rPr>
                <w:rFonts w:eastAsia="Calibri"/>
                <w:sz w:val="20"/>
              </w:rPr>
            </w:pPr>
            <w:r w:rsidRPr="00164D42">
              <w:rPr>
                <w:rFonts w:eastAsia="Calibri"/>
                <w:sz w:val="20"/>
              </w:rPr>
              <w:t>June 18, 2014</w:t>
            </w:r>
          </w:p>
          <w:p w:rsidR="00E56A3F" w:rsidRPr="00164D42" w:rsidRDefault="00E56A3F" w:rsidP="00B02DE5">
            <w:pPr>
              <w:jc w:val="both"/>
              <w:rPr>
                <w:rFonts w:eastAsia="Calibri"/>
                <w:sz w:val="20"/>
              </w:rPr>
            </w:pPr>
            <w:r w:rsidRPr="00164D42">
              <w:rPr>
                <w:rFonts w:eastAsia="Calibri"/>
                <w:sz w:val="20"/>
              </w:rPr>
              <w:t>Supreme Court of Canada</w:t>
            </w:r>
          </w:p>
        </w:tc>
        <w:tc>
          <w:tcPr>
            <w:tcW w:w="243" w:type="pct"/>
          </w:tcPr>
          <w:p w:rsidR="00E56A3F" w:rsidRPr="00164D42" w:rsidRDefault="00E56A3F" w:rsidP="00B02DE5">
            <w:pPr>
              <w:jc w:val="both"/>
              <w:rPr>
                <w:rFonts w:eastAsia="Calibri"/>
                <w:sz w:val="20"/>
              </w:rPr>
            </w:pPr>
          </w:p>
        </w:tc>
        <w:tc>
          <w:tcPr>
            <w:tcW w:w="2330" w:type="pct"/>
          </w:tcPr>
          <w:p w:rsidR="00E56A3F" w:rsidRPr="00164D42" w:rsidRDefault="00E56A3F" w:rsidP="00B02DE5">
            <w:pPr>
              <w:jc w:val="both"/>
              <w:rPr>
                <w:rFonts w:eastAsia="Calibri"/>
                <w:sz w:val="20"/>
              </w:rPr>
            </w:pPr>
            <w:r w:rsidRPr="00164D42">
              <w:rPr>
                <w:rFonts w:eastAsia="Calibri"/>
                <w:sz w:val="20"/>
              </w:rPr>
              <w:t>Application for leave to appeal filed</w:t>
            </w:r>
          </w:p>
          <w:p w:rsidR="00E56A3F" w:rsidRPr="00164D42" w:rsidRDefault="00E56A3F"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44"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56A3F" w:rsidRPr="00E4461B" w:rsidTr="00B02DE5">
        <w:tc>
          <w:tcPr>
            <w:tcW w:w="5000" w:type="pct"/>
            <w:gridSpan w:val="3"/>
          </w:tcPr>
          <w:p w:rsidR="00E56A3F" w:rsidRPr="00164D42" w:rsidRDefault="00E56A3F" w:rsidP="00B02DE5">
            <w:pPr>
              <w:jc w:val="both"/>
              <w:rPr>
                <w:rFonts w:eastAsia="Calibri"/>
                <w:sz w:val="20"/>
                <w:lang w:val="fr-CA"/>
              </w:rPr>
            </w:pPr>
            <w:r w:rsidRPr="00164D42">
              <w:rPr>
                <w:rFonts w:eastAsia="Calibri"/>
                <w:sz w:val="20"/>
                <w:lang w:val="fr-CA"/>
              </w:rPr>
              <w:t>Responsabilité délictuelle – Diffamation – Défense d’immunité relative – Le président de l’association médicale a envoyé une lettre aux membres les informant que la conduite d’un membre du comité exécutif était l’objet d’une enquête – Dans quelles situations l’existence d’une « relation établie » donne-t-elle naissance à la défense d’immunité relative? – Dans quelles situations la communication d’allégations diffamatoires d’inconduite, qui sont l’objet d’une enquête, sont-elles protégées par la défense d’immunité relative?</w:t>
            </w:r>
          </w:p>
        </w:tc>
      </w:tr>
      <w:tr w:rsidR="00E56A3F" w:rsidRPr="00E4461B" w:rsidTr="00B02DE5">
        <w:tc>
          <w:tcPr>
            <w:tcW w:w="5000" w:type="pct"/>
            <w:gridSpan w:val="3"/>
          </w:tcPr>
          <w:p w:rsidR="00E56A3F" w:rsidRPr="00164D42" w:rsidRDefault="00E56A3F" w:rsidP="00B02DE5">
            <w:pPr>
              <w:jc w:val="both"/>
              <w:rPr>
                <w:rFonts w:eastAsia="Calibri"/>
                <w:sz w:val="20"/>
                <w:lang w:val="fr-CA"/>
              </w:rPr>
            </w:pPr>
          </w:p>
        </w:tc>
      </w:tr>
      <w:tr w:rsidR="00E56A3F" w:rsidRPr="00E4461B" w:rsidTr="00B02DE5">
        <w:tc>
          <w:tcPr>
            <w:tcW w:w="5000" w:type="pct"/>
            <w:gridSpan w:val="3"/>
          </w:tcPr>
          <w:p w:rsidR="00E56A3F" w:rsidRPr="00164D42" w:rsidRDefault="00E56A3F" w:rsidP="00B02DE5">
            <w:pPr>
              <w:shd w:val="clear" w:color="auto" w:fill="FFFFFF"/>
              <w:jc w:val="both"/>
              <w:rPr>
                <w:sz w:val="20"/>
                <w:lang w:val="fr-CA" w:eastAsia="en-CA"/>
              </w:rPr>
            </w:pPr>
            <w:r w:rsidRPr="00164D42">
              <w:rPr>
                <w:sz w:val="20"/>
                <w:lang w:val="fr-CA" w:eastAsia="en-CA"/>
              </w:rPr>
              <w:t xml:space="preserve">La demanderesse, un médecin de famille, a occupé le poste de membre élue du conseil de l’association médicale de Colombie-Britannique (« BCMA ») de 1998 à 2008, y compris son dernier mandat comme membre de l’exécutif.  Au cours de cette période, elle en est venue à croire que le conseil n’était pas suffisamment ouvert et transparent dans son </w:t>
            </w:r>
            <w:r w:rsidRPr="00164D42">
              <w:rPr>
                <w:sz w:val="20"/>
                <w:lang w:val="fr-CA" w:eastAsia="en-CA"/>
              </w:rPr>
              <w:lastRenderedPageBreak/>
              <w:t>processus décisionnel.  Le reste du conseil suivait l’approche traditionnelle, c’est-à-dire qu’après avoir débattu d’une question et pris une décision, il parlait d’une seule voix.  Les relations de la demanderesse avec les autres membres du conseil sont devenues de plus en plus acrimonieuses entre 2005 et 2008.  En particulier, des membres du conseil étaient préoccupés par le fait que la D</w:t>
            </w:r>
            <w:r w:rsidRPr="00164D42">
              <w:rPr>
                <w:sz w:val="20"/>
                <w:vertAlign w:val="superscript"/>
                <w:lang w:val="fr-CA" w:eastAsia="en-CA"/>
              </w:rPr>
              <w:t>re</w:t>
            </w:r>
            <w:r w:rsidRPr="00164D42">
              <w:rPr>
                <w:sz w:val="20"/>
                <w:lang w:val="fr-CA" w:eastAsia="en-CA"/>
              </w:rPr>
              <w:t> Wang avait à plusieurs reprises révélé le contenu de discussions qu’ils avaient eues avant de prendre des décisions, contrairement au code de conduite du conseil.  Lors d’une réunion tenue en février 2008, le conseil a décidé par voie de résolution de renvoyer une plainte à l’égard de la D</w:t>
            </w:r>
            <w:r w:rsidRPr="00164D42">
              <w:rPr>
                <w:sz w:val="20"/>
                <w:vertAlign w:val="superscript"/>
                <w:lang w:val="fr-CA" w:eastAsia="en-CA"/>
              </w:rPr>
              <w:t>re</w:t>
            </w:r>
            <w:r w:rsidRPr="00164D42">
              <w:rPr>
                <w:sz w:val="20"/>
                <w:lang w:val="fr-CA" w:eastAsia="en-CA"/>
              </w:rPr>
              <w:t> Wang à un comité chargé de l’application du code de conduite.  Une lettre signée par l’intimé, le D</w:t>
            </w:r>
            <w:r w:rsidRPr="00164D42">
              <w:rPr>
                <w:sz w:val="20"/>
                <w:vertAlign w:val="superscript"/>
                <w:lang w:val="fr-CA" w:eastAsia="en-CA"/>
              </w:rPr>
              <w:t>r</w:t>
            </w:r>
            <w:r w:rsidRPr="00164D42">
              <w:rPr>
                <w:sz w:val="20"/>
                <w:lang w:val="fr-CA" w:eastAsia="en-CA"/>
              </w:rPr>
              <w:t> Appleton, en sa qualité de président de la BCMA, a été envoyée aux membres de cette dernière le 2 février 2008, les informant que la conduite de la D</w:t>
            </w:r>
            <w:r w:rsidRPr="00164D42">
              <w:rPr>
                <w:sz w:val="20"/>
                <w:vertAlign w:val="superscript"/>
                <w:lang w:val="fr-CA" w:eastAsia="en-CA"/>
              </w:rPr>
              <w:t>re</w:t>
            </w:r>
            <w:r w:rsidRPr="00164D42">
              <w:rPr>
                <w:sz w:val="20"/>
                <w:lang w:val="fr-CA" w:eastAsia="en-CA"/>
              </w:rPr>
              <w:t> Wang allait faire l’objet d’un examen.  La D</w:t>
            </w:r>
            <w:r w:rsidRPr="00164D42">
              <w:rPr>
                <w:sz w:val="20"/>
                <w:vertAlign w:val="superscript"/>
                <w:lang w:val="fr-CA" w:eastAsia="en-CA"/>
              </w:rPr>
              <w:t>re</w:t>
            </w:r>
            <w:r w:rsidRPr="00164D42">
              <w:rPr>
                <w:sz w:val="20"/>
                <w:lang w:val="fr-CA" w:eastAsia="en-CA"/>
              </w:rPr>
              <w:t xml:space="preserve"> Wang a prétendu que cette lettre était diffamatoire.  Elle a demandé des dommages-intérêts compensatoires et majorés de la BCMA et de certains membres de l’exécutif, du conseil et du personnel de la BCMA.  En outre, la D</w:t>
            </w:r>
            <w:r w:rsidRPr="00164D42">
              <w:rPr>
                <w:sz w:val="20"/>
                <w:vertAlign w:val="superscript"/>
                <w:lang w:val="fr-CA" w:eastAsia="en-CA"/>
              </w:rPr>
              <w:t>re</w:t>
            </w:r>
            <w:r w:rsidRPr="00164D42">
              <w:rPr>
                <w:sz w:val="20"/>
                <w:lang w:val="fr-CA" w:eastAsia="en-CA"/>
              </w:rPr>
              <w:t> Wang a demandé un jugement déclaratoire en lien avec la manière dont la plainte portée contre elle avait été traitée.  Les intimés ont invoqué les moyens de défense de l’immunité relative et du commentaire loyal.</w:t>
            </w:r>
          </w:p>
          <w:p w:rsidR="00E56A3F" w:rsidRPr="00164D42" w:rsidRDefault="00E56A3F" w:rsidP="00B02DE5">
            <w:pPr>
              <w:shd w:val="clear" w:color="auto" w:fill="FFFFFF"/>
              <w:jc w:val="both"/>
              <w:rPr>
                <w:sz w:val="20"/>
                <w:lang w:val="fr-CA" w:eastAsia="en-CA"/>
              </w:rPr>
            </w:pPr>
          </w:p>
        </w:tc>
      </w:tr>
      <w:tr w:rsidR="00E56A3F" w:rsidRPr="00E4461B"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lastRenderedPageBreak/>
              <w:t>8 mars 2013</w:t>
            </w:r>
          </w:p>
          <w:p w:rsidR="00E56A3F" w:rsidRPr="00164D42" w:rsidRDefault="00E56A3F" w:rsidP="00B02DE5">
            <w:pPr>
              <w:jc w:val="both"/>
              <w:rPr>
                <w:rFonts w:eastAsia="Calibri"/>
                <w:sz w:val="20"/>
                <w:lang w:val="fr-CA"/>
              </w:rPr>
            </w:pPr>
            <w:r w:rsidRPr="00164D42">
              <w:rPr>
                <w:rFonts w:eastAsia="Calibri"/>
                <w:sz w:val="20"/>
                <w:lang w:val="fr-CA"/>
              </w:rPr>
              <w:t>Cour suprême de la Colombie-Britannique</w:t>
            </w:r>
          </w:p>
          <w:p w:rsidR="00E56A3F" w:rsidRPr="00164D42" w:rsidRDefault="00E56A3F" w:rsidP="00B02DE5">
            <w:pPr>
              <w:jc w:val="both"/>
              <w:rPr>
                <w:rFonts w:eastAsia="Calibri"/>
                <w:sz w:val="20"/>
                <w:lang w:val="fr-CA"/>
              </w:rPr>
            </w:pPr>
            <w:r w:rsidRPr="00164D42">
              <w:rPr>
                <w:rFonts w:eastAsia="Calibri"/>
                <w:sz w:val="20"/>
                <w:lang w:val="fr-CA"/>
              </w:rPr>
              <w:t>(Juge Grauer)</w:t>
            </w:r>
          </w:p>
          <w:p w:rsidR="00E56A3F" w:rsidRPr="00164D42" w:rsidRDefault="00E4461B" w:rsidP="00B02DE5">
            <w:pPr>
              <w:jc w:val="both"/>
              <w:rPr>
                <w:rFonts w:eastAsia="Calibri"/>
                <w:sz w:val="20"/>
                <w:lang w:val="fr-CA"/>
              </w:rPr>
            </w:pPr>
            <w:hyperlink r:id="rId57" w:history="1">
              <w:r w:rsidR="00E56A3F" w:rsidRPr="00164D42">
                <w:rPr>
                  <w:rFonts w:eastAsia="Calibri"/>
                  <w:color w:val="0000FF"/>
                  <w:sz w:val="20"/>
                  <w:u w:val="single"/>
                  <w:lang w:val="fr-CA"/>
                </w:rPr>
                <w:t>2013 BCSC 394</w:t>
              </w:r>
            </w:hyperlink>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 xml:space="preserve">Action en diffamation de la demanderesse, rejetée; demande de jugement déclaratoire de la demanderesse, accueillie en partie </w:t>
            </w:r>
          </w:p>
          <w:p w:rsidR="00E56A3F" w:rsidRPr="00164D42" w:rsidRDefault="00E56A3F" w:rsidP="00B02DE5">
            <w:pPr>
              <w:jc w:val="both"/>
              <w:rPr>
                <w:rFonts w:eastAsia="Calibri"/>
                <w:sz w:val="20"/>
                <w:lang w:val="fr-CA"/>
              </w:rPr>
            </w:pP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30 avril 2014</w:t>
            </w:r>
          </w:p>
          <w:p w:rsidR="00E56A3F" w:rsidRPr="00164D42" w:rsidRDefault="00E56A3F" w:rsidP="00B02DE5">
            <w:pPr>
              <w:jc w:val="both"/>
              <w:rPr>
                <w:rFonts w:eastAsia="Calibri"/>
                <w:sz w:val="20"/>
                <w:lang w:val="fr-CA"/>
              </w:rPr>
            </w:pPr>
            <w:r w:rsidRPr="00164D42">
              <w:rPr>
                <w:rFonts w:eastAsia="Calibri"/>
                <w:sz w:val="20"/>
                <w:lang w:val="fr-CA"/>
              </w:rPr>
              <w:t>Cour d’appel de la Colombie-Britannique</w:t>
            </w:r>
          </w:p>
          <w:p w:rsidR="00E56A3F" w:rsidRPr="00164D42" w:rsidRDefault="00E56A3F" w:rsidP="00B02DE5">
            <w:pPr>
              <w:jc w:val="both"/>
              <w:rPr>
                <w:rFonts w:eastAsia="Calibri"/>
                <w:sz w:val="20"/>
                <w:lang w:val="fr-CA"/>
              </w:rPr>
            </w:pPr>
            <w:r w:rsidRPr="00164D42">
              <w:rPr>
                <w:rFonts w:eastAsia="Calibri"/>
                <w:sz w:val="20"/>
                <w:lang w:val="fr-CA"/>
              </w:rPr>
              <w:t>(Vancouver)</w:t>
            </w:r>
          </w:p>
          <w:p w:rsidR="00E56A3F" w:rsidRPr="00164D42" w:rsidRDefault="00E56A3F" w:rsidP="00B02DE5">
            <w:pPr>
              <w:jc w:val="both"/>
              <w:rPr>
                <w:rFonts w:eastAsia="Calibri"/>
                <w:sz w:val="20"/>
                <w:lang w:val="fr-CA"/>
              </w:rPr>
            </w:pPr>
            <w:r w:rsidRPr="00164D42">
              <w:rPr>
                <w:rFonts w:eastAsia="Calibri"/>
                <w:sz w:val="20"/>
                <w:lang w:val="fr-CA"/>
              </w:rPr>
              <w:t>(Juges Donald, Newbury et Garson)</w:t>
            </w:r>
          </w:p>
          <w:p w:rsidR="00E56A3F" w:rsidRPr="00164D42" w:rsidRDefault="00E4461B" w:rsidP="00B02DE5">
            <w:pPr>
              <w:jc w:val="both"/>
              <w:rPr>
                <w:rFonts w:eastAsia="Calibri"/>
                <w:sz w:val="20"/>
                <w:lang w:val="fr-CA"/>
              </w:rPr>
            </w:pPr>
            <w:hyperlink r:id="rId58" w:history="1">
              <w:r w:rsidR="00E56A3F" w:rsidRPr="00164D42">
                <w:rPr>
                  <w:rFonts w:eastAsia="Calibri"/>
                  <w:color w:val="0000FF"/>
                  <w:sz w:val="20"/>
                  <w:u w:val="single"/>
                  <w:lang w:val="fr-CA"/>
                </w:rPr>
                <w:t>2014 BCCA 162</w:t>
              </w:r>
            </w:hyperlink>
          </w:p>
          <w:p w:rsidR="00E56A3F" w:rsidRPr="00164D42" w:rsidRDefault="00E56A3F" w:rsidP="00B02DE5">
            <w:pPr>
              <w:jc w:val="both"/>
              <w:rPr>
                <w:rFonts w:eastAsia="Calibri"/>
                <w:sz w:val="20"/>
                <w:lang w:val="fr-CA"/>
              </w:rPr>
            </w:pP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Appel de la demanderesse, rejetée</w:t>
            </w:r>
          </w:p>
          <w:p w:rsidR="00E56A3F" w:rsidRPr="00164D42" w:rsidRDefault="00E56A3F" w:rsidP="00B02DE5">
            <w:pPr>
              <w:jc w:val="both"/>
              <w:rPr>
                <w:rFonts w:eastAsia="Calibri"/>
                <w:sz w:val="20"/>
                <w:lang w:val="fr-CA"/>
              </w:rPr>
            </w:pPr>
          </w:p>
        </w:tc>
      </w:tr>
      <w:tr w:rsidR="00E56A3F" w:rsidRPr="00164D42" w:rsidTr="00B02DE5">
        <w:tc>
          <w:tcPr>
            <w:tcW w:w="2427" w:type="pct"/>
          </w:tcPr>
          <w:p w:rsidR="00E56A3F" w:rsidRPr="00164D42" w:rsidRDefault="00E56A3F" w:rsidP="00B02DE5">
            <w:pPr>
              <w:jc w:val="both"/>
              <w:rPr>
                <w:rFonts w:eastAsia="Calibri"/>
                <w:sz w:val="20"/>
                <w:lang w:val="fr-CA"/>
              </w:rPr>
            </w:pPr>
            <w:r w:rsidRPr="00164D42">
              <w:rPr>
                <w:rFonts w:eastAsia="Calibri"/>
                <w:sz w:val="20"/>
                <w:lang w:val="fr-CA"/>
              </w:rPr>
              <w:t>18 juin 2014</w:t>
            </w:r>
          </w:p>
          <w:p w:rsidR="00E56A3F" w:rsidRPr="00164D42" w:rsidRDefault="00E56A3F" w:rsidP="00B02DE5">
            <w:pPr>
              <w:jc w:val="both"/>
              <w:rPr>
                <w:rFonts w:eastAsia="Calibri"/>
                <w:sz w:val="20"/>
                <w:lang w:val="fr-CA"/>
              </w:rPr>
            </w:pPr>
            <w:r w:rsidRPr="00164D42">
              <w:rPr>
                <w:rFonts w:eastAsia="Calibri"/>
                <w:sz w:val="20"/>
                <w:lang w:val="fr-CA"/>
              </w:rPr>
              <w:t>Cour suprême du Canada</w:t>
            </w:r>
          </w:p>
        </w:tc>
        <w:tc>
          <w:tcPr>
            <w:tcW w:w="243" w:type="pct"/>
          </w:tcPr>
          <w:p w:rsidR="00E56A3F" w:rsidRPr="00164D42" w:rsidRDefault="00E56A3F" w:rsidP="00B02DE5">
            <w:pPr>
              <w:jc w:val="both"/>
              <w:rPr>
                <w:rFonts w:eastAsia="Calibri"/>
                <w:sz w:val="20"/>
                <w:lang w:val="fr-CA"/>
              </w:rPr>
            </w:pPr>
          </w:p>
        </w:tc>
        <w:tc>
          <w:tcPr>
            <w:tcW w:w="2330" w:type="pct"/>
          </w:tcPr>
          <w:p w:rsidR="00E56A3F" w:rsidRPr="00164D42" w:rsidRDefault="00E56A3F" w:rsidP="00B02DE5">
            <w:pPr>
              <w:jc w:val="both"/>
              <w:rPr>
                <w:rFonts w:eastAsia="Calibri"/>
                <w:sz w:val="20"/>
                <w:lang w:val="fr-CA"/>
              </w:rPr>
            </w:pPr>
            <w:r w:rsidRPr="00164D42">
              <w:rPr>
                <w:rFonts w:eastAsia="Calibri"/>
                <w:sz w:val="20"/>
                <w:lang w:val="fr-CA"/>
              </w:rPr>
              <w:t>Demande d’autorisation d’appel, déposée</w:t>
            </w: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45" style="width:2in;height:1pt" o:hrpct="0" o:hralign="center" o:hrstd="t" o:hrnoshade="t" o:hr="t" fillcolor="black [3213]" stroked="f"/>
        </w:pict>
      </w:r>
    </w:p>
    <w:p w:rsidR="00BC2489" w:rsidRDefault="00BC2489" w:rsidP="00BC248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535BF" w:rsidRPr="006535BF" w:rsidTr="006535BF">
        <w:trPr>
          <w:cantSplit/>
        </w:trPr>
        <w:tc>
          <w:tcPr>
            <w:tcW w:w="1458" w:type="dxa"/>
          </w:tcPr>
          <w:p w:rsidR="006535BF" w:rsidRPr="006535BF" w:rsidRDefault="006535BF" w:rsidP="006535BF">
            <w:pPr>
              <w:rPr>
                <w:sz w:val="20"/>
                <w:szCs w:val="20"/>
              </w:rPr>
            </w:pPr>
            <w:r w:rsidRPr="006535BF">
              <w:rPr>
                <w:rStyle w:val="SCCFileNumberChar"/>
                <w:sz w:val="20"/>
                <w:szCs w:val="20"/>
              </w:rPr>
              <w:t>36020</w:t>
            </w:r>
          </w:p>
          <w:p w:rsidR="006535BF" w:rsidRPr="006535BF" w:rsidRDefault="006535BF" w:rsidP="006535BF">
            <w:pPr>
              <w:rPr>
                <w:b/>
                <w:sz w:val="20"/>
                <w:szCs w:val="20"/>
                <w:lang w:val="fr-CA"/>
              </w:rPr>
            </w:pPr>
          </w:p>
        </w:tc>
        <w:tc>
          <w:tcPr>
            <w:tcW w:w="8118" w:type="dxa"/>
          </w:tcPr>
          <w:p w:rsidR="006535BF" w:rsidRPr="006535BF" w:rsidRDefault="006535BF" w:rsidP="006535BF">
            <w:pPr>
              <w:rPr>
                <w:sz w:val="20"/>
                <w:szCs w:val="20"/>
              </w:rPr>
            </w:pPr>
            <w:r w:rsidRPr="006535BF">
              <w:rPr>
                <w:rStyle w:val="SCCLsocChar"/>
                <w:sz w:val="20"/>
                <w:szCs w:val="20"/>
                <w:lang w:val="en-CA"/>
              </w:rPr>
              <w:t>Sibylla Giulia Hughes v. Calum James Hughes</w:t>
            </w:r>
            <w:r w:rsidRPr="006535BF">
              <w:rPr>
                <w:sz w:val="20"/>
                <w:szCs w:val="20"/>
              </w:rPr>
              <w:t xml:space="preserve"> (B.C.) (Civil) (By Leave)</w:t>
            </w:r>
          </w:p>
          <w:p w:rsidR="006535BF" w:rsidRPr="006535BF" w:rsidRDefault="006535BF" w:rsidP="006535BF">
            <w:pPr>
              <w:rPr>
                <w:sz w:val="20"/>
                <w:szCs w:val="20"/>
              </w:rPr>
            </w:pPr>
          </w:p>
        </w:tc>
      </w:tr>
      <w:tr w:rsidR="006535BF" w:rsidRPr="006535BF" w:rsidTr="006535BF">
        <w:trPr>
          <w:cantSplit/>
        </w:trPr>
        <w:tc>
          <w:tcPr>
            <w:tcW w:w="1458" w:type="dxa"/>
          </w:tcPr>
          <w:p w:rsidR="006535BF" w:rsidRPr="006535BF" w:rsidRDefault="006535BF" w:rsidP="006535BF">
            <w:pPr>
              <w:rPr>
                <w:sz w:val="20"/>
                <w:szCs w:val="20"/>
              </w:rPr>
            </w:pPr>
            <w:r w:rsidRPr="006535BF">
              <w:rPr>
                <w:sz w:val="20"/>
                <w:szCs w:val="20"/>
              </w:rPr>
              <w:t>Coram :</w:t>
            </w:r>
          </w:p>
        </w:tc>
        <w:tc>
          <w:tcPr>
            <w:tcW w:w="8118" w:type="dxa"/>
          </w:tcPr>
          <w:p w:rsidR="006535BF" w:rsidRPr="006535BF" w:rsidRDefault="006535BF" w:rsidP="006535BF">
            <w:pPr>
              <w:rPr>
                <w:sz w:val="20"/>
                <w:szCs w:val="20"/>
              </w:rPr>
            </w:pPr>
            <w:r w:rsidRPr="006535BF">
              <w:rPr>
                <w:rStyle w:val="SCCCoramChar"/>
                <w:sz w:val="20"/>
                <w:szCs w:val="20"/>
                <w:lang w:val="en-CA"/>
              </w:rPr>
              <w:t>Abella, Rothstein and Moldaver JJ.</w:t>
            </w:r>
          </w:p>
          <w:p w:rsidR="006535BF" w:rsidRPr="006535BF" w:rsidRDefault="006535BF" w:rsidP="006535BF">
            <w:pPr>
              <w:rPr>
                <w:sz w:val="20"/>
                <w:szCs w:val="20"/>
                <w:u w:val="single"/>
              </w:rPr>
            </w:pPr>
          </w:p>
        </w:tc>
      </w:tr>
      <w:tr w:rsidR="006535BF" w:rsidRPr="00E4461B" w:rsidTr="006535BF">
        <w:trPr>
          <w:cantSplit/>
        </w:trPr>
        <w:tc>
          <w:tcPr>
            <w:tcW w:w="9576" w:type="dxa"/>
            <w:gridSpan w:val="2"/>
          </w:tcPr>
          <w:p w:rsidR="006535BF" w:rsidRPr="006535BF" w:rsidRDefault="006535BF" w:rsidP="006535BF">
            <w:pPr>
              <w:pStyle w:val="SCCShortJudgment"/>
              <w:rPr>
                <w:szCs w:val="20"/>
              </w:rPr>
            </w:pPr>
            <w:r w:rsidRPr="006535BF">
              <w:rPr>
                <w:szCs w:val="20"/>
              </w:rPr>
              <w:t>The application for leave to appeal from the judgment of the Court of Appeal for British Columbia (Vancouver), Number CA041052, 2014 BCCA 196, dated May 27, 2014, is dismissed without costs.</w:t>
            </w:r>
          </w:p>
          <w:p w:rsidR="006535BF" w:rsidRPr="006535BF" w:rsidRDefault="006535BF" w:rsidP="006535BF">
            <w:pPr>
              <w:pStyle w:val="SCCShortJudgment"/>
              <w:ind w:firstLine="0"/>
              <w:rPr>
                <w:szCs w:val="20"/>
              </w:rPr>
            </w:pPr>
          </w:p>
          <w:p w:rsidR="006535BF" w:rsidRPr="006535BF" w:rsidRDefault="006535BF" w:rsidP="006535BF">
            <w:pPr>
              <w:pStyle w:val="SCCShortJudgment"/>
              <w:rPr>
                <w:szCs w:val="20"/>
                <w:lang w:val="fr-CA"/>
              </w:rPr>
            </w:pPr>
            <w:r w:rsidRPr="006535BF">
              <w:rPr>
                <w:szCs w:val="20"/>
                <w:lang w:val="fr-CA"/>
              </w:rPr>
              <w:t>La demande d’autorisation d’appel de l’arrêt de la Cour d’appel de la Colombie-Britannique (Vancouver), numéro CA041052, 2014 BCCA 196, daté du 27 mai 2014, est rejetée sans dépens.</w:t>
            </w:r>
          </w:p>
        </w:tc>
      </w:tr>
    </w:tbl>
    <w:p w:rsidR="00BC2489" w:rsidRPr="006535BF"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164D42" w:rsidTr="00B02DE5">
        <w:tc>
          <w:tcPr>
            <w:tcW w:w="5000" w:type="pct"/>
            <w:gridSpan w:val="3"/>
          </w:tcPr>
          <w:p w:rsidR="005A5407" w:rsidRPr="00164D42" w:rsidRDefault="005A5407" w:rsidP="00B02DE5">
            <w:pPr>
              <w:jc w:val="both"/>
              <w:rPr>
                <w:rFonts w:eastAsia="Calibri"/>
                <w:sz w:val="20"/>
              </w:rPr>
            </w:pPr>
            <w:r w:rsidRPr="00164D42">
              <w:rPr>
                <w:rFonts w:eastAsia="Calibri"/>
                <w:sz w:val="20"/>
              </w:rPr>
              <w:t xml:space="preserve">Family law – Custody – Support – Child support – Mother abducting child to Italy in contravention of custody order – Father ceasing child support payments – Can the conduct of a parent constitute a material change of circumstances that may disentitle a child to the right to support payable by the other parent? – Is a parent’s failure to return a child to Canada in reliance on a foreign court’s exercise of its discretion under Article 13 of the </w:t>
            </w:r>
            <w:r w:rsidRPr="00164D42">
              <w:rPr>
                <w:rFonts w:eastAsia="Calibri"/>
                <w:i/>
                <w:sz w:val="20"/>
              </w:rPr>
              <w:t>Hague Convention</w:t>
            </w:r>
            <w:r w:rsidRPr="00164D42">
              <w:rPr>
                <w:rFonts w:eastAsia="Calibri"/>
                <w:sz w:val="20"/>
              </w:rPr>
              <w:t>, a legitimate basis for terminating a child support order?</w:t>
            </w:r>
          </w:p>
        </w:tc>
      </w:tr>
      <w:tr w:rsidR="005A5407" w:rsidRPr="00164D42" w:rsidTr="00B02DE5">
        <w:tc>
          <w:tcPr>
            <w:tcW w:w="5000" w:type="pct"/>
            <w:gridSpan w:val="3"/>
          </w:tcPr>
          <w:p w:rsidR="005A5407" w:rsidRPr="00164D42" w:rsidRDefault="005A5407" w:rsidP="00B02DE5">
            <w:pPr>
              <w:jc w:val="both"/>
              <w:rPr>
                <w:rFonts w:eastAsia="Calibri"/>
                <w:sz w:val="20"/>
              </w:rPr>
            </w:pPr>
          </w:p>
        </w:tc>
      </w:tr>
      <w:tr w:rsidR="005A5407" w:rsidRPr="00164D42" w:rsidTr="00B02DE5">
        <w:trPr>
          <w:trHeight w:val="288"/>
        </w:trPr>
        <w:tc>
          <w:tcPr>
            <w:tcW w:w="5000" w:type="pct"/>
            <w:gridSpan w:val="3"/>
          </w:tcPr>
          <w:p w:rsidR="005A5407" w:rsidRPr="00164D42" w:rsidRDefault="005A5407" w:rsidP="00B02DE5">
            <w:pPr>
              <w:shd w:val="clear" w:color="auto" w:fill="FFFFFF"/>
              <w:jc w:val="both"/>
              <w:rPr>
                <w:iCs/>
                <w:sz w:val="20"/>
                <w:lang w:eastAsia="en-CA"/>
              </w:rPr>
            </w:pPr>
            <w:r w:rsidRPr="00164D42">
              <w:rPr>
                <w:sz w:val="20"/>
                <w:lang w:eastAsia="en-CA"/>
              </w:rPr>
              <w:t xml:space="preserve">The father and mother were married in July, 2006 and separated in May, 2007.  Their only child was born on January 3, 2007.  </w:t>
            </w:r>
            <w:r w:rsidRPr="00164D42">
              <w:rPr>
                <w:iCs/>
                <w:sz w:val="20"/>
                <w:lang w:eastAsia="en-CA"/>
              </w:rPr>
              <w:t xml:space="preserve">The parties were involved in Canadian divorce proceedings and an interim order awarded them joint custody, </w:t>
            </w:r>
            <w:r w:rsidRPr="00164D42">
              <w:rPr>
                <w:iCs/>
                <w:sz w:val="20"/>
                <w:lang w:eastAsia="en-CA"/>
              </w:rPr>
              <w:lastRenderedPageBreak/>
              <w:t xml:space="preserve">with primary residence to the mother and generous access to the father.  The father exercised his access on a regular basis.  The interim order was varied to increase the father’s access on an unsupervised basis to include overnight visits.  </w:t>
            </w:r>
            <w:r w:rsidRPr="00164D42">
              <w:rPr>
                <w:sz w:val="20"/>
                <w:lang w:eastAsia="en-CA"/>
              </w:rPr>
              <w:t>On the day before the father was to have his first overnight access period, t</w:t>
            </w:r>
            <w:r w:rsidRPr="00164D42">
              <w:rPr>
                <w:iCs/>
                <w:sz w:val="20"/>
                <w:lang w:eastAsia="en-CA"/>
              </w:rPr>
              <w:t xml:space="preserve">he mother fled to Italy with the child and has remained there ever since.  The mother did not comply with the order requiring her to return the child to British Columbia and she was subsequently found to be in contempt.  The trial of the divorce action proceeded with the mother participating from Italy by telephone.  The trial judge awarded the father sole custody with joint guardianship.  She also ordered the father to pay child support of $920 per month pending the return of the child to the father.  The mother refused to return the child.  The Italian trial and appellate courts denied the father’s application under the </w:t>
            </w:r>
            <w:r w:rsidRPr="00164D42">
              <w:rPr>
                <w:i/>
                <w:iCs/>
                <w:sz w:val="20"/>
                <w:lang w:eastAsia="en-CA"/>
              </w:rPr>
              <w:t>Hague Convention</w:t>
            </w:r>
            <w:r w:rsidRPr="00164D42">
              <w:rPr>
                <w:iCs/>
                <w:sz w:val="20"/>
                <w:lang w:eastAsia="en-CA"/>
              </w:rPr>
              <w:t xml:space="preserve"> to have the child returned to Canada, on the basis that there existed a grave risk that the child’s return would expose her to physical or psychological harm. Subsequently, the mother obtained an order for custody from an Italian court.  The father stopped paying child support and applied to cancel his arrears and to vary the order requiring him to pay ongoing child support.  The mother sought orders calculating the amount of arrears, increasing the amount of child support, garnishment and committal of the father for contempt.</w:t>
            </w:r>
          </w:p>
          <w:p w:rsidR="005A5407" w:rsidRPr="00164D42" w:rsidRDefault="005A5407" w:rsidP="00B02DE5">
            <w:pPr>
              <w:shd w:val="clear" w:color="auto" w:fill="FFFFFF"/>
              <w:jc w:val="both"/>
              <w:rPr>
                <w:sz w:val="20"/>
                <w:lang w:eastAsia="en-CA"/>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lastRenderedPageBreak/>
              <w:t>June 11, 2013</w:t>
            </w:r>
          </w:p>
          <w:p w:rsidR="005A5407" w:rsidRPr="00164D42" w:rsidRDefault="005A5407" w:rsidP="00B02DE5">
            <w:pPr>
              <w:jc w:val="both"/>
              <w:rPr>
                <w:rFonts w:eastAsia="Calibri"/>
                <w:sz w:val="20"/>
              </w:rPr>
            </w:pPr>
            <w:r w:rsidRPr="00164D42">
              <w:rPr>
                <w:rFonts w:eastAsia="Calibri"/>
                <w:sz w:val="20"/>
              </w:rPr>
              <w:t>Supreme Court of British Columbia</w:t>
            </w:r>
          </w:p>
          <w:p w:rsidR="005A5407" w:rsidRPr="00164D42" w:rsidRDefault="005A5407" w:rsidP="00B02DE5">
            <w:pPr>
              <w:jc w:val="both"/>
              <w:rPr>
                <w:rFonts w:eastAsia="Calibri"/>
                <w:sz w:val="20"/>
              </w:rPr>
            </w:pPr>
            <w:r w:rsidRPr="00164D42">
              <w:rPr>
                <w:rFonts w:eastAsia="Calibri"/>
                <w:sz w:val="20"/>
              </w:rPr>
              <w:t>(McEwan J.)</w:t>
            </w:r>
          </w:p>
          <w:p w:rsidR="005A5407" w:rsidRPr="00164D42" w:rsidRDefault="00E4461B" w:rsidP="00B02DE5">
            <w:pPr>
              <w:jc w:val="both"/>
              <w:rPr>
                <w:rFonts w:eastAsia="Calibri"/>
                <w:sz w:val="20"/>
              </w:rPr>
            </w:pPr>
            <w:hyperlink r:id="rId59" w:history="1">
              <w:r w:rsidR="005A5407" w:rsidRPr="00164D42">
                <w:rPr>
                  <w:rFonts w:eastAsia="Calibri"/>
                  <w:color w:val="0000FF"/>
                  <w:sz w:val="20"/>
                  <w:u w:val="single"/>
                </w:rPr>
                <w:t>2013 BCSC 1031</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Father’s motion to cancel arrears of child support and continuing child support granted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May 27, 2014</w:t>
            </w:r>
          </w:p>
          <w:p w:rsidR="005A5407" w:rsidRPr="00164D42" w:rsidRDefault="005A5407" w:rsidP="00B02DE5">
            <w:pPr>
              <w:jc w:val="both"/>
              <w:rPr>
                <w:rFonts w:eastAsia="Calibri"/>
                <w:sz w:val="20"/>
              </w:rPr>
            </w:pPr>
            <w:r w:rsidRPr="00164D42">
              <w:rPr>
                <w:rFonts w:eastAsia="Calibri"/>
                <w:sz w:val="20"/>
              </w:rPr>
              <w:t xml:space="preserve">Court of Appeal for British Columbia </w:t>
            </w:r>
          </w:p>
          <w:p w:rsidR="005A5407" w:rsidRPr="00164D42" w:rsidRDefault="005A5407" w:rsidP="00B02DE5">
            <w:pPr>
              <w:jc w:val="both"/>
              <w:rPr>
                <w:rFonts w:eastAsia="Calibri"/>
                <w:sz w:val="20"/>
              </w:rPr>
            </w:pPr>
            <w:r w:rsidRPr="00164D42">
              <w:rPr>
                <w:rFonts w:eastAsia="Calibri"/>
                <w:sz w:val="20"/>
              </w:rPr>
              <w:t>(Vancouver)</w:t>
            </w:r>
          </w:p>
          <w:p w:rsidR="005A5407" w:rsidRPr="00164D42" w:rsidRDefault="005A5407" w:rsidP="00B02DE5">
            <w:pPr>
              <w:jc w:val="both"/>
              <w:rPr>
                <w:rFonts w:eastAsia="Calibri"/>
                <w:sz w:val="20"/>
              </w:rPr>
            </w:pPr>
            <w:r w:rsidRPr="00164D42">
              <w:rPr>
                <w:rFonts w:eastAsia="Calibri"/>
                <w:sz w:val="20"/>
              </w:rPr>
              <w:t xml:space="preserve">(Chiasson [dissenting], Smith and Groberman </w:t>
            </w:r>
          </w:p>
          <w:p w:rsidR="005A5407" w:rsidRPr="00164D42" w:rsidRDefault="005A5407" w:rsidP="00B02DE5">
            <w:pPr>
              <w:jc w:val="both"/>
              <w:rPr>
                <w:rFonts w:eastAsia="Calibri"/>
                <w:sz w:val="20"/>
              </w:rPr>
            </w:pPr>
            <w:r w:rsidRPr="00164D42">
              <w:rPr>
                <w:rFonts w:eastAsia="Calibri"/>
                <w:sz w:val="20"/>
              </w:rPr>
              <w:t>J.A.)</w:t>
            </w:r>
          </w:p>
          <w:p w:rsidR="005A5407" w:rsidRPr="00164D42" w:rsidRDefault="00E4461B" w:rsidP="00B02DE5">
            <w:pPr>
              <w:jc w:val="both"/>
              <w:rPr>
                <w:rFonts w:eastAsia="Calibri"/>
                <w:sz w:val="20"/>
              </w:rPr>
            </w:pPr>
            <w:hyperlink r:id="rId60" w:history="1">
              <w:r w:rsidR="005A5407" w:rsidRPr="00164D42">
                <w:rPr>
                  <w:rFonts w:eastAsia="Calibri"/>
                  <w:color w:val="0000FF"/>
                  <w:sz w:val="20"/>
                  <w:u w:val="single"/>
                </w:rPr>
                <w:t>2014 BCCA 196</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Mother’s appeal dismissed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August 26, 2014</w:t>
            </w:r>
          </w:p>
          <w:p w:rsidR="005A5407" w:rsidRPr="00164D42" w:rsidRDefault="005A5407" w:rsidP="00B02DE5">
            <w:pPr>
              <w:jc w:val="both"/>
              <w:rPr>
                <w:rFonts w:eastAsia="Calibri"/>
                <w:sz w:val="20"/>
              </w:rPr>
            </w:pPr>
            <w:r w:rsidRPr="00164D42">
              <w:rPr>
                <w:rFonts w:eastAsia="Calibri"/>
                <w:sz w:val="20"/>
              </w:rPr>
              <w:t>Supreme Court of Canada</w:t>
            </w: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Application for leave to appeal filed</w:t>
            </w:r>
          </w:p>
          <w:p w:rsidR="005A5407" w:rsidRPr="00164D42" w:rsidRDefault="005A5407"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46"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E4461B" w:rsidTr="00B02DE5">
        <w:tc>
          <w:tcPr>
            <w:tcW w:w="5000" w:type="pct"/>
            <w:gridSpan w:val="3"/>
          </w:tcPr>
          <w:p w:rsidR="005A5407" w:rsidRPr="00164D42" w:rsidRDefault="005A5407" w:rsidP="00B02DE5">
            <w:pPr>
              <w:jc w:val="both"/>
              <w:rPr>
                <w:rFonts w:eastAsia="Calibri"/>
                <w:sz w:val="20"/>
                <w:lang w:val="fr-CA"/>
              </w:rPr>
            </w:pPr>
            <w:r w:rsidRPr="00164D42">
              <w:rPr>
                <w:rFonts w:eastAsia="Calibri"/>
                <w:sz w:val="20"/>
                <w:lang w:val="fr-CA"/>
              </w:rPr>
              <w:t xml:space="preserve">Droit de la famille – Garde – Aliments – Pension alimentaire pour enfants – Enlèvement d’un enfant par sa mère qui le garde en Italie en violation d’une ordonnance de garde – Arrêt de la pension alimentaire pour enfant par le père – La conduite d’un parent peut-elle constituer un changement de situation important qui peut avoir pour effet de nier à l’enfant le droit aux aliments que l’autre parent est tenu de payer? – Le défaut par un parent de ramener un enfant au Canada fondé sur la décision d’un tribunal étranger qui exerce la compétence que lui confère l’article 13 de la </w:t>
            </w:r>
            <w:r w:rsidRPr="00164D42">
              <w:rPr>
                <w:rFonts w:eastAsia="Calibri"/>
                <w:i/>
                <w:sz w:val="20"/>
                <w:lang w:val="fr-CA"/>
              </w:rPr>
              <w:t>Convention de La Haye</w:t>
            </w:r>
            <w:r w:rsidRPr="00164D42">
              <w:rPr>
                <w:rFonts w:eastAsia="Calibri"/>
                <w:sz w:val="20"/>
                <w:lang w:val="fr-CA"/>
              </w:rPr>
              <w:t xml:space="preserve"> constitue-t-il un motif légitime justifiant l’annulation de l’ordonnance alimentaire au profit d’un enfant?</w:t>
            </w:r>
          </w:p>
        </w:tc>
      </w:tr>
      <w:tr w:rsidR="005A5407" w:rsidRPr="00E4461B" w:rsidTr="00B02DE5">
        <w:tc>
          <w:tcPr>
            <w:tcW w:w="5000" w:type="pct"/>
            <w:gridSpan w:val="3"/>
          </w:tcPr>
          <w:p w:rsidR="005A5407" w:rsidRPr="00164D42" w:rsidRDefault="005A5407" w:rsidP="00B02DE5">
            <w:pPr>
              <w:jc w:val="both"/>
              <w:rPr>
                <w:rFonts w:eastAsia="Calibri"/>
                <w:sz w:val="20"/>
                <w:lang w:val="fr-CA"/>
              </w:rPr>
            </w:pPr>
          </w:p>
        </w:tc>
      </w:tr>
      <w:tr w:rsidR="005A5407" w:rsidRPr="00E4461B" w:rsidTr="00B02DE5">
        <w:trPr>
          <w:trHeight w:val="20"/>
        </w:trPr>
        <w:tc>
          <w:tcPr>
            <w:tcW w:w="5000" w:type="pct"/>
            <w:gridSpan w:val="3"/>
          </w:tcPr>
          <w:p w:rsidR="005A5407" w:rsidRPr="00164D42" w:rsidRDefault="005A5407" w:rsidP="00B02DE5">
            <w:pPr>
              <w:shd w:val="clear" w:color="auto" w:fill="FFFFFF"/>
              <w:jc w:val="both"/>
              <w:rPr>
                <w:iCs/>
                <w:sz w:val="20"/>
                <w:lang w:val="fr-CA" w:eastAsia="en-CA"/>
              </w:rPr>
            </w:pPr>
            <w:r w:rsidRPr="00164D42">
              <w:rPr>
                <w:sz w:val="20"/>
                <w:lang w:val="fr-CA" w:eastAsia="en-CA"/>
              </w:rPr>
              <w:t>Mariés en juillet 2006, le père et la mère se sont séparés en mai 2007.  Leur seul enfant est né le 3 janvier 2007. Les parties avaient intenté une action en divorce au Canada, et une ordonnance de garde provisoire leur accordait la garde partagée de l’enfant, qui devait résider principalement avec sa mère, et prévoyait un droit d’accès généreux au père.</w:t>
            </w:r>
            <w:r w:rsidRPr="00164D42">
              <w:rPr>
                <w:iCs/>
                <w:sz w:val="20"/>
                <w:lang w:val="fr-CA" w:eastAsia="en-CA"/>
              </w:rPr>
              <w:t xml:space="preserve">  Le père exerçait son droit d’accès régulièrement. L’ordonnance provisoire a été modifiée pour augmenter l’accès non supervisé du père auprès de l’enfant et permettre que l’enfant dorme à la résidence du père. La veille de la première visite avec nuitée prévue, la mère est partie pour l’Italie avec l’enfant et y est toujours. La mère ne s’est pas conformée à l’ordonnance lui enjoignant de ramener l’enfant en Colombie-Britannique et a par la suite été déclarée coupable d’outrage.  Le procès pour divorce a été instruit, et la mère y a participé par téléphone depuis l’Italie.  La juge du procès a accordé au père la garde exclusive, assortie d’une tutelle conjointe.  Elle a également ordonné au père de payer une pension alimentaire au profit de l’enfant de 920 $ par mois jusqu’au retour de l’enfant.  La mère s’est </w:t>
            </w:r>
            <w:r w:rsidRPr="00164D42">
              <w:rPr>
                <w:iCs/>
                <w:sz w:val="20"/>
                <w:lang w:val="fr-CA" w:eastAsia="en-CA"/>
              </w:rPr>
              <w:lastRenderedPageBreak/>
              <w:t xml:space="preserve">opposée au retour de l’enfant.  La demande visant à obtenir le retour de l’enfant présentée par le père sur le fondement de la Convention de </w:t>
            </w:r>
            <w:r w:rsidRPr="00164D42">
              <w:rPr>
                <w:i/>
                <w:iCs/>
                <w:sz w:val="20"/>
                <w:lang w:val="fr-CA" w:eastAsia="en-CA"/>
              </w:rPr>
              <w:t>La Haye</w:t>
            </w:r>
            <w:r w:rsidRPr="00164D42">
              <w:rPr>
                <w:iCs/>
                <w:sz w:val="20"/>
                <w:lang w:val="fr-CA" w:eastAsia="en-CA"/>
              </w:rPr>
              <w:t xml:space="preserve"> a été rejetée à l’issue du procès italien et des appels au motif qu’il existait un risque grave que le retour de l’enfant ne l’expose à un danger physique ou psychique.  La mère a par la suite obtenu d’un tribunal italien une ordonnance lui accordant la garde de l’enfant.  Le père a arrêté la pension alimentaire au profit de l’enfant et a présenté une requête en annulation des arrérages et en modification de l’ordonnance alimentaire au profit de l’enfant.  La mère a demandé que soit rendue une ordonnance visant le calcul des arrérages, l’augmentation du montant des aliments de l’enfant, la saisie-arrêt et l’emprisonnement du père pour outrage au tribunal.  </w:t>
            </w:r>
          </w:p>
          <w:p w:rsidR="005A5407" w:rsidRPr="00164D42" w:rsidRDefault="005A5407" w:rsidP="00B02DE5">
            <w:pPr>
              <w:shd w:val="clear" w:color="auto" w:fill="FFFFFF"/>
              <w:jc w:val="both"/>
              <w:rPr>
                <w:sz w:val="20"/>
                <w:lang w:val="fr-CA" w:eastAsia="en-CA"/>
              </w:rPr>
            </w:pP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lastRenderedPageBreak/>
              <w:t>11 juin 2013</w:t>
            </w:r>
          </w:p>
          <w:p w:rsidR="005A5407" w:rsidRPr="00164D42" w:rsidRDefault="005A5407" w:rsidP="00B02DE5">
            <w:pPr>
              <w:jc w:val="both"/>
              <w:rPr>
                <w:rFonts w:eastAsia="Calibri"/>
                <w:sz w:val="20"/>
                <w:lang w:val="fr-CA"/>
              </w:rPr>
            </w:pPr>
            <w:r w:rsidRPr="00164D42">
              <w:rPr>
                <w:rFonts w:eastAsia="Calibri"/>
                <w:sz w:val="20"/>
                <w:lang w:val="fr-CA"/>
              </w:rPr>
              <w:t>Cour suprême de la Colombie-Britannique</w:t>
            </w:r>
          </w:p>
          <w:p w:rsidR="005A5407" w:rsidRPr="00164D42" w:rsidRDefault="005A5407" w:rsidP="00B02DE5">
            <w:pPr>
              <w:jc w:val="both"/>
              <w:rPr>
                <w:rFonts w:eastAsia="Calibri"/>
                <w:sz w:val="20"/>
                <w:lang w:val="fr-CA"/>
              </w:rPr>
            </w:pPr>
            <w:r w:rsidRPr="00164D42">
              <w:rPr>
                <w:rFonts w:eastAsia="Calibri"/>
                <w:sz w:val="20"/>
                <w:lang w:val="fr-CA"/>
              </w:rPr>
              <w:t>(juge McEwan)</w:t>
            </w:r>
          </w:p>
          <w:p w:rsidR="005A5407" w:rsidRPr="00164D42" w:rsidRDefault="00E4461B" w:rsidP="00B02DE5">
            <w:pPr>
              <w:jc w:val="both"/>
              <w:rPr>
                <w:rFonts w:eastAsia="Calibri"/>
                <w:sz w:val="20"/>
                <w:lang w:val="fr-CA"/>
              </w:rPr>
            </w:pPr>
            <w:hyperlink r:id="rId61" w:history="1">
              <w:r w:rsidR="005A5407" w:rsidRPr="00164D42">
                <w:rPr>
                  <w:rFonts w:eastAsia="Calibri"/>
                  <w:color w:val="0000FF"/>
                  <w:sz w:val="20"/>
                  <w:u w:val="single"/>
                  <w:lang w:val="fr-CA"/>
                </w:rPr>
                <w:t>2013 BCSC 1031</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 xml:space="preserve">Requête présentée par le père pour obtenir l’annulation des arrérages et de l’ordonnance alimentaire accueillie </w:t>
            </w:r>
          </w:p>
          <w:p w:rsidR="005A5407" w:rsidRPr="00164D42" w:rsidRDefault="005A5407" w:rsidP="00B02DE5">
            <w:pPr>
              <w:jc w:val="both"/>
              <w:rPr>
                <w:rFonts w:eastAsia="Calibri"/>
                <w:sz w:val="20"/>
                <w:lang w:val="fr-CA"/>
              </w:rPr>
            </w:pP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27 mai 2014</w:t>
            </w:r>
          </w:p>
          <w:p w:rsidR="005A5407" w:rsidRPr="00164D42" w:rsidRDefault="005A5407" w:rsidP="00B02DE5">
            <w:pPr>
              <w:jc w:val="both"/>
              <w:rPr>
                <w:rFonts w:eastAsia="Calibri"/>
                <w:sz w:val="20"/>
                <w:lang w:val="fr-CA"/>
              </w:rPr>
            </w:pPr>
            <w:r w:rsidRPr="00164D42">
              <w:rPr>
                <w:rFonts w:eastAsia="Calibri"/>
                <w:sz w:val="20"/>
                <w:lang w:val="fr-CA"/>
              </w:rPr>
              <w:t xml:space="preserve">Cour d’appel de la Colombie-Britannique </w:t>
            </w:r>
          </w:p>
          <w:p w:rsidR="005A5407" w:rsidRPr="00164D42" w:rsidRDefault="005A5407" w:rsidP="00B02DE5">
            <w:pPr>
              <w:jc w:val="both"/>
              <w:rPr>
                <w:rFonts w:eastAsia="Calibri"/>
                <w:sz w:val="20"/>
                <w:lang w:val="fr-CA"/>
              </w:rPr>
            </w:pPr>
            <w:r w:rsidRPr="00164D42">
              <w:rPr>
                <w:rFonts w:eastAsia="Calibri"/>
                <w:sz w:val="20"/>
                <w:lang w:val="fr-CA"/>
              </w:rPr>
              <w:t>(Vancouver)</w:t>
            </w:r>
          </w:p>
          <w:p w:rsidR="005A5407" w:rsidRPr="00164D42" w:rsidRDefault="005A5407" w:rsidP="00B02DE5">
            <w:pPr>
              <w:jc w:val="both"/>
              <w:rPr>
                <w:rFonts w:eastAsia="Calibri"/>
                <w:sz w:val="20"/>
                <w:lang w:val="fr-CA"/>
              </w:rPr>
            </w:pPr>
            <w:r w:rsidRPr="00164D42">
              <w:rPr>
                <w:rFonts w:eastAsia="Calibri"/>
                <w:sz w:val="20"/>
                <w:lang w:val="fr-CA"/>
              </w:rPr>
              <w:t>(juges Chiasson [dissidence], Smith et Groberman)</w:t>
            </w:r>
          </w:p>
          <w:p w:rsidR="005A5407" w:rsidRPr="00164D42" w:rsidRDefault="00E4461B" w:rsidP="00B02DE5">
            <w:pPr>
              <w:jc w:val="both"/>
              <w:rPr>
                <w:rFonts w:eastAsia="Calibri"/>
                <w:sz w:val="20"/>
                <w:lang w:val="fr-CA"/>
              </w:rPr>
            </w:pPr>
            <w:hyperlink r:id="rId62" w:history="1">
              <w:r w:rsidR="005A5407" w:rsidRPr="00164D42">
                <w:rPr>
                  <w:rFonts w:eastAsia="Calibri"/>
                  <w:color w:val="0000FF"/>
                  <w:sz w:val="20"/>
                  <w:u w:val="single"/>
                  <w:lang w:val="fr-CA"/>
                </w:rPr>
                <w:t>2014 BCCA 196</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Appel interjeté par la mère rejeté</w:t>
            </w:r>
          </w:p>
          <w:p w:rsidR="005A5407" w:rsidRPr="00164D42" w:rsidRDefault="005A5407" w:rsidP="00B02DE5">
            <w:pPr>
              <w:jc w:val="both"/>
              <w:rPr>
                <w:rFonts w:eastAsia="Calibri"/>
                <w:sz w:val="20"/>
                <w:lang w:val="fr-CA"/>
              </w:rPr>
            </w:pPr>
          </w:p>
        </w:tc>
      </w:tr>
      <w:tr w:rsidR="005A5407" w:rsidRPr="00164D42"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26 août 2014</w:t>
            </w:r>
          </w:p>
          <w:p w:rsidR="005A5407" w:rsidRPr="00164D42" w:rsidRDefault="005A5407" w:rsidP="00B02DE5">
            <w:pPr>
              <w:jc w:val="both"/>
              <w:rPr>
                <w:rFonts w:eastAsia="Calibri"/>
                <w:sz w:val="20"/>
                <w:lang w:val="fr-CA"/>
              </w:rPr>
            </w:pPr>
            <w:r w:rsidRPr="00164D42">
              <w:rPr>
                <w:rFonts w:eastAsia="Calibri"/>
                <w:sz w:val="20"/>
                <w:lang w:val="fr-CA"/>
              </w:rPr>
              <w:t>Cour suprême du Canada</w:t>
            </w: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Demande d’autorisation d’appel déposée</w:t>
            </w:r>
          </w:p>
          <w:p w:rsidR="005A5407" w:rsidRPr="00164D42" w:rsidRDefault="005A5407" w:rsidP="00B02DE5">
            <w:pPr>
              <w:jc w:val="both"/>
              <w:rPr>
                <w:rFonts w:eastAsia="Calibri"/>
                <w:sz w:val="20"/>
                <w:lang w:val="fr-CA"/>
              </w:rPr>
            </w:pP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47" style="width:2in;height:1pt" o:hrpct="0" o:hralign="center" o:hrstd="t" o:hrnoshade="t" o:hr="t" fillcolor="black [3213]" stroked="f"/>
        </w:pict>
      </w:r>
    </w:p>
    <w:p w:rsidR="00BC2489" w:rsidRDefault="00BC2489" w:rsidP="00BC2489">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3BAE" w:rsidRPr="00EF3BAE" w:rsidTr="00EF3BAE">
        <w:trPr>
          <w:cantSplit/>
        </w:trPr>
        <w:tc>
          <w:tcPr>
            <w:tcW w:w="1458" w:type="dxa"/>
          </w:tcPr>
          <w:p w:rsidR="00EF3BAE" w:rsidRPr="00EF3BAE" w:rsidRDefault="00EF3BAE" w:rsidP="00EF3BAE">
            <w:pPr>
              <w:rPr>
                <w:sz w:val="20"/>
              </w:rPr>
            </w:pPr>
            <w:r w:rsidRPr="00EF3BAE">
              <w:rPr>
                <w:b/>
                <w:sz w:val="20"/>
                <w:lang w:val="fr-CA"/>
              </w:rPr>
              <w:t>36025</w:t>
            </w:r>
          </w:p>
          <w:p w:rsidR="00EF3BAE" w:rsidRPr="00EF3BAE" w:rsidRDefault="00EF3BAE" w:rsidP="00EF3BAE">
            <w:pPr>
              <w:rPr>
                <w:b/>
                <w:sz w:val="20"/>
                <w:lang w:val="fr-CA"/>
              </w:rPr>
            </w:pPr>
          </w:p>
        </w:tc>
        <w:tc>
          <w:tcPr>
            <w:tcW w:w="8118" w:type="dxa"/>
          </w:tcPr>
          <w:p w:rsidR="00EF3BAE" w:rsidRPr="00EF3BAE" w:rsidRDefault="00EF3BAE" w:rsidP="00EF3BAE">
            <w:pPr>
              <w:rPr>
                <w:sz w:val="20"/>
              </w:rPr>
            </w:pPr>
            <w:r w:rsidRPr="00EF3BAE">
              <w:rPr>
                <w:b/>
                <w:sz w:val="20"/>
                <w:u w:val="single"/>
              </w:rPr>
              <w:t>572757 Alberta Ltd.</w:t>
            </w:r>
            <w:r>
              <w:rPr>
                <w:b/>
                <w:sz w:val="20"/>
                <w:u w:val="single"/>
              </w:rPr>
              <w:t xml:space="preserve"> and</w:t>
            </w:r>
            <w:r w:rsidRPr="00EF3BAE">
              <w:rPr>
                <w:b/>
                <w:sz w:val="20"/>
                <w:u w:val="single"/>
              </w:rPr>
              <w:t xml:space="preserve"> Proland Corp. v. Sprague-Rosser Contracting Co. Ltd.</w:t>
            </w:r>
            <w:r w:rsidRPr="00EF3BAE">
              <w:rPr>
                <w:sz w:val="20"/>
              </w:rPr>
              <w:t xml:space="preserve"> (Alta.) (Civil) (By Leave)</w:t>
            </w:r>
          </w:p>
          <w:p w:rsidR="00EF3BAE" w:rsidRPr="00EF3BAE" w:rsidRDefault="00EF3BAE" w:rsidP="00EF3BAE">
            <w:pPr>
              <w:rPr>
                <w:sz w:val="20"/>
              </w:rPr>
            </w:pPr>
          </w:p>
        </w:tc>
      </w:tr>
      <w:tr w:rsidR="00EF3BAE" w:rsidRPr="00EF3BAE" w:rsidTr="00EF3BAE">
        <w:trPr>
          <w:cantSplit/>
        </w:trPr>
        <w:tc>
          <w:tcPr>
            <w:tcW w:w="1458" w:type="dxa"/>
          </w:tcPr>
          <w:p w:rsidR="00EF3BAE" w:rsidRPr="00EF3BAE" w:rsidRDefault="00EF3BAE" w:rsidP="00EF3BAE">
            <w:pPr>
              <w:rPr>
                <w:sz w:val="20"/>
              </w:rPr>
            </w:pPr>
            <w:r w:rsidRPr="00EF3BAE">
              <w:rPr>
                <w:sz w:val="20"/>
              </w:rPr>
              <w:t>Coram :</w:t>
            </w:r>
          </w:p>
        </w:tc>
        <w:tc>
          <w:tcPr>
            <w:tcW w:w="8118" w:type="dxa"/>
          </w:tcPr>
          <w:p w:rsidR="00EF3BAE" w:rsidRPr="00EF3BAE" w:rsidRDefault="00EF3BAE" w:rsidP="00EF3BAE">
            <w:pPr>
              <w:rPr>
                <w:sz w:val="20"/>
              </w:rPr>
            </w:pPr>
            <w:r w:rsidRPr="00EF3BAE">
              <w:rPr>
                <w:sz w:val="20"/>
                <w:u w:val="single"/>
              </w:rPr>
              <w:t>Abella, Rothstein and Moldaver JJ.</w:t>
            </w:r>
          </w:p>
          <w:p w:rsidR="00EF3BAE" w:rsidRPr="00EF3BAE" w:rsidRDefault="00EF3BAE" w:rsidP="00EF3BAE">
            <w:pPr>
              <w:rPr>
                <w:sz w:val="20"/>
                <w:u w:val="single"/>
              </w:rPr>
            </w:pPr>
          </w:p>
        </w:tc>
      </w:tr>
      <w:tr w:rsidR="00EF3BAE" w:rsidRPr="00E4461B" w:rsidTr="00EF3BAE">
        <w:trPr>
          <w:cantSplit/>
        </w:trPr>
        <w:tc>
          <w:tcPr>
            <w:tcW w:w="9576" w:type="dxa"/>
            <w:gridSpan w:val="2"/>
          </w:tcPr>
          <w:p w:rsidR="00EF3BAE" w:rsidRPr="00EF3BAE" w:rsidRDefault="00EF3BAE" w:rsidP="00EF3BAE">
            <w:pPr>
              <w:ind w:firstLine="720"/>
              <w:jc w:val="both"/>
              <w:rPr>
                <w:sz w:val="20"/>
              </w:rPr>
            </w:pPr>
            <w:r w:rsidRPr="00EF3BAE">
              <w:rPr>
                <w:sz w:val="20"/>
              </w:rPr>
              <w:t>The application for leave to appeal from the judgment of the Court of Appeal of Alberta (Edmonton), Number 1303-0205-AC, dated May 29, 2014, is dismissed with costs.</w:t>
            </w:r>
          </w:p>
          <w:p w:rsidR="00EF3BAE" w:rsidRPr="00EF3BAE" w:rsidRDefault="00EF3BAE" w:rsidP="00EF3BAE">
            <w:pPr>
              <w:jc w:val="both"/>
              <w:rPr>
                <w:sz w:val="20"/>
              </w:rPr>
            </w:pPr>
          </w:p>
          <w:p w:rsidR="00EF3BAE" w:rsidRPr="00EF3BAE" w:rsidRDefault="00EF3BAE" w:rsidP="005174EE">
            <w:pPr>
              <w:ind w:firstLine="720"/>
              <w:jc w:val="both"/>
              <w:rPr>
                <w:sz w:val="20"/>
                <w:lang w:val="fr-CA"/>
              </w:rPr>
            </w:pPr>
            <w:r w:rsidRPr="00EF3BAE">
              <w:rPr>
                <w:sz w:val="20"/>
                <w:lang w:val="fr-CA"/>
              </w:rPr>
              <w:t>La demande d’autorisation d’appel de l’arrêt de la Cour d</w:t>
            </w:r>
            <w:r w:rsidR="005174EE">
              <w:rPr>
                <w:sz w:val="20"/>
                <w:lang w:val="fr-CA"/>
              </w:rPr>
              <w:t>’</w:t>
            </w:r>
            <w:r w:rsidRPr="00EF3BAE">
              <w:rPr>
                <w:sz w:val="20"/>
                <w:lang w:val="fr-CA"/>
              </w:rPr>
              <w:t>appel de l’Alberta (Edmonton), numéro 1303-0205-AC, daté du 29 mai 2014, est rejetée avec dépens.</w:t>
            </w:r>
          </w:p>
        </w:tc>
      </w:tr>
    </w:tbl>
    <w:p w:rsidR="00BC2489" w:rsidRPr="00EF3BA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164D42" w:rsidTr="00B02DE5">
        <w:tc>
          <w:tcPr>
            <w:tcW w:w="5000" w:type="pct"/>
            <w:gridSpan w:val="3"/>
          </w:tcPr>
          <w:p w:rsidR="005A5407" w:rsidRPr="00164D42" w:rsidRDefault="005A5407" w:rsidP="00B02DE5">
            <w:pPr>
              <w:jc w:val="both"/>
              <w:rPr>
                <w:rFonts w:eastAsia="Calibri"/>
                <w:sz w:val="20"/>
              </w:rPr>
            </w:pPr>
            <w:r w:rsidRPr="00164D42">
              <w:rPr>
                <w:rFonts w:eastAsia="Calibri"/>
                <w:sz w:val="20"/>
              </w:rPr>
              <w:t>Property – Real property – Land registration – Caveats – Contracts – Agreement of purchase and sale – Interpretation – Conditions subsequent – Should the doctrine of contractual frustration apply to agreements that transfer interests in land and, if so, what legal test should be applied thereto – What is the appropriate test applicable to summary pre-trial determinations as to encumbrances registered on title to land.</w:t>
            </w:r>
          </w:p>
        </w:tc>
      </w:tr>
      <w:tr w:rsidR="005A5407" w:rsidRPr="00164D42" w:rsidTr="00B02DE5">
        <w:tc>
          <w:tcPr>
            <w:tcW w:w="5000" w:type="pct"/>
            <w:gridSpan w:val="3"/>
          </w:tcPr>
          <w:p w:rsidR="005A5407" w:rsidRPr="00164D42" w:rsidRDefault="005A5407" w:rsidP="00B02DE5">
            <w:pPr>
              <w:jc w:val="both"/>
              <w:rPr>
                <w:rFonts w:eastAsia="Calibri"/>
                <w:sz w:val="20"/>
              </w:rPr>
            </w:pPr>
          </w:p>
        </w:tc>
      </w:tr>
      <w:tr w:rsidR="005A5407" w:rsidRPr="00164D42" w:rsidTr="00B02DE5">
        <w:tc>
          <w:tcPr>
            <w:tcW w:w="5000" w:type="pct"/>
            <w:gridSpan w:val="3"/>
          </w:tcPr>
          <w:p w:rsidR="005A5407" w:rsidRPr="00164D42" w:rsidRDefault="005A5407" w:rsidP="00B02DE5">
            <w:pPr>
              <w:jc w:val="both"/>
              <w:rPr>
                <w:rFonts w:eastAsia="Calibri"/>
                <w:sz w:val="20"/>
              </w:rPr>
            </w:pPr>
            <w:r w:rsidRPr="00164D42">
              <w:rPr>
                <w:rFonts w:eastAsia="Calibri"/>
                <w:sz w:val="20"/>
              </w:rPr>
              <w:t xml:space="preserve">The respondent acquired lands from the applicants.  The purchase was conditional on the lands being subdivided, as they were into three lots.  The respondent intended to use the lands to build a shop, office and yard.  The purchase agreement required the respondent to comply with architectural controls attached as a schedule; submit copies of its plans for the applicants’ approval prior to commencing construction; and have “substantially completed the structural foundation(s) upon the Lands in accordance with the approved plans within twenty four (24) months”.  The applicants retained an option to repurchase the lands if substantial completion of the structural foundation was not achieved within the required period, and filed a caveat on title to protect that option.  No architectural controls were attached as a schedule to the agreement.  The respondent did not submit plans for a building or prepare structural foundations.  </w:t>
            </w:r>
            <w:r w:rsidRPr="00164D42">
              <w:rPr>
                <w:rFonts w:eastAsia="Calibri"/>
                <w:sz w:val="20"/>
              </w:rPr>
              <w:lastRenderedPageBreak/>
              <w:t>The respondent later sold two of the lots, and the applicants discharged their caveat from title to those lots.  When the respondent brought an application to remove the caveat from the third lot, the applicants challenged the application and later tried to exercise their option to purchase.</w:t>
            </w:r>
          </w:p>
          <w:p w:rsidR="005A5407" w:rsidRPr="00164D42" w:rsidRDefault="005A5407" w:rsidP="00B02DE5">
            <w:pPr>
              <w:jc w:val="both"/>
              <w:rPr>
                <w:rFonts w:eastAsia="Calibri"/>
                <w:sz w:val="20"/>
              </w:rPr>
            </w:pPr>
          </w:p>
          <w:p w:rsidR="005A5407" w:rsidRPr="00164D42" w:rsidRDefault="005A5407" w:rsidP="00B02DE5">
            <w:pPr>
              <w:jc w:val="both"/>
              <w:rPr>
                <w:rFonts w:eastAsia="PMingLiU"/>
                <w:sz w:val="20"/>
              </w:rPr>
            </w:pPr>
            <w:r w:rsidRPr="00164D42">
              <w:rPr>
                <w:rFonts w:eastAsia="Calibri"/>
                <w:sz w:val="20"/>
              </w:rPr>
              <w:t xml:space="preserve">A Master of the Alberta Court of Queen’s Bench allowed the application, finding that the agreement </w:t>
            </w:r>
            <w:r w:rsidRPr="00164D42">
              <w:rPr>
                <w:rFonts w:eastAsia="PMingLiU"/>
                <w:sz w:val="20"/>
              </w:rPr>
              <w:t xml:space="preserve">did </w:t>
            </w:r>
            <w:r w:rsidRPr="00164D42">
              <w:rPr>
                <w:rFonts w:eastAsia="PMingLiU"/>
                <w:iCs/>
                <w:sz w:val="20"/>
              </w:rPr>
              <w:t>not contain an</w:t>
            </w:r>
            <w:r w:rsidRPr="00164D42">
              <w:rPr>
                <w:rFonts w:eastAsia="PMingLiU"/>
                <w:sz w:val="20"/>
              </w:rPr>
              <w:t xml:space="preserve"> obligation on the </w:t>
            </w:r>
            <w:r w:rsidRPr="00164D42">
              <w:rPr>
                <w:rFonts w:eastAsia="Calibri"/>
                <w:sz w:val="20"/>
              </w:rPr>
              <w:t>respondent</w:t>
            </w:r>
            <w:r w:rsidRPr="00164D42">
              <w:rPr>
                <w:rFonts w:eastAsia="PMingLiU"/>
                <w:sz w:val="20"/>
              </w:rPr>
              <w:t xml:space="preserve"> to construct a building.  Since the irrevocable option to repurchase only arose if the </w:t>
            </w:r>
            <w:r w:rsidRPr="00164D42">
              <w:rPr>
                <w:rFonts w:eastAsia="Calibri"/>
                <w:sz w:val="20"/>
              </w:rPr>
              <w:t>respondent</w:t>
            </w:r>
            <w:r w:rsidRPr="00164D42">
              <w:rPr>
                <w:rFonts w:eastAsia="PMingLiU"/>
                <w:sz w:val="20"/>
              </w:rPr>
              <w:t xml:space="preserve"> started but did not complete construction within the specified period, the conditions subsequent triggering the right to repurchase did not materialize.  On appeal, a Judge of the Alberta Court of Queen’s Bench held that the interpretation of the Master was correct.  Even if there had been an obligation on the </w:t>
            </w:r>
            <w:r w:rsidRPr="00164D42">
              <w:rPr>
                <w:rFonts w:eastAsia="Calibri"/>
                <w:sz w:val="20"/>
              </w:rPr>
              <w:t>respondent</w:t>
            </w:r>
            <w:r w:rsidRPr="00164D42">
              <w:rPr>
                <w:rFonts w:eastAsia="PMingLiU"/>
                <w:sz w:val="20"/>
              </w:rPr>
              <w:t xml:space="preserve"> to build, the contract as originally agreed upon had become impossible to enforce and was therefore frustrated.  The Alberta Court of Appeal dismissed the appeal.</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lastRenderedPageBreak/>
              <w:t>April 4, 2013</w:t>
            </w:r>
          </w:p>
          <w:p w:rsidR="005A5407" w:rsidRPr="00164D42" w:rsidRDefault="005A5407" w:rsidP="00B02DE5">
            <w:pPr>
              <w:jc w:val="both"/>
              <w:rPr>
                <w:rFonts w:eastAsia="Calibri"/>
                <w:sz w:val="20"/>
              </w:rPr>
            </w:pPr>
            <w:r w:rsidRPr="00164D42">
              <w:rPr>
                <w:rFonts w:eastAsia="Calibri"/>
                <w:sz w:val="20"/>
              </w:rPr>
              <w:t>Court of Queen’s Bench</w:t>
            </w:r>
          </w:p>
          <w:p w:rsidR="005A5407" w:rsidRPr="00164D42" w:rsidRDefault="005A5407" w:rsidP="00B02DE5">
            <w:pPr>
              <w:jc w:val="both"/>
              <w:rPr>
                <w:rFonts w:eastAsia="Calibri"/>
                <w:sz w:val="20"/>
              </w:rPr>
            </w:pPr>
            <w:r w:rsidRPr="00164D42">
              <w:rPr>
                <w:rFonts w:eastAsia="Calibri"/>
                <w:sz w:val="20"/>
              </w:rPr>
              <w:t>Schlosser (Master)</w:t>
            </w:r>
          </w:p>
          <w:p w:rsidR="005A5407" w:rsidRPr="00164D42" w:rsidRDefault="00E4461B" w:rsidP="00B02DE5">
            <w:pPr>
              <w:jc w:val="both"/>
              <w:rPr>
                <w:rFonts w:eastAsia="Calibri"/>
                <w:sz w:val="20"/>
              </w:rPr>
            </w:pPr>
            <w:hyperlink r:id="rId63" w:history="1">
              <w:r w:rsidR="005A5407" w:rsidRPr="00164D42">
                <w:rPr>
                  <w:rFonts w:eastAsia="Calibri"/>
                  <w:color w:val="0000FF"/>
                  <w:sz w:val="20"/>
                  <w:u w:val="single"/>
                </w:rPr>
                <w:t>2013 ABQB 205</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Application to discharge two caveats registered against title, allowed</w:t>
            </w: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June 26, 2013</w:t>
            </w:r>
          </w:p>
          <w:p w:rsidR="005A5407" w:rsidRPr="00164D42" w:rsidRDefault="005A5407" w:rsidP="00B02DE5">
            <w:pPr>
              <w:jc w:val="both"/>
              <w:rPr>
                <w:rFonts w:eastAsia="Calibri"/>
                <w:sz w:val="20"/>
              </w:rPr>
            </w:pPr>
            <w:r w:rsidRPr="00164D42">
              <w:rPr>
                <w:rFonts w:eastAsia="Calibri"/>
                <w:sz w:val="20"/>
              </w:rPr>
              <w:t>Court of Queen’s Bench of Alberta</w:t>
            </w:r>
          </w:p>
          <w:p w:rsidR="005A5407" w:rsidRPr="00164D42" w:rsidRDefault="005A5407" w:rsidP="00B02DE5">
            <w:pPr>
              <w:jc w:val="both"/>
              <w:rPr>
                <w:rFonts w:eastAsia="Calibri"/>
                <w:sz w:val="20"/>
              </w:rPr>
            </w:pPr>
            <w:r w:rsidRPr="00164D42">
              <w:rPr>
                <w:rFonts w:eastAsia="Calibri"/>
                <w:sz w:val="20"/>
              </w:rPr>
              <w:t>(Gill J., Order signed by Manderscheid J.)</w:t>
            </w:r>
          </w:p>
          <w:p w:rsidR="005A5407" w:rsidRPr="00164D42" w:rsidRDefault="00E4461B" w:rsidP="00B02DE5">
            <w:pPr>
              <w:jc w:val="both"/>
              <w:rPr>
                <w:rFonts w:eastAsia="Calibri"/>
                <w:sz w:val="20"/>
              </w:rPr>
            </w:pPr>
            <w:hyperlink r:id="rId64" w:history="1">
              <w:r w:rsidR="005A5407" w:rsidRPr="00164D42">
                <w:rPr>
                  <w:rFonts w:eastAsia="Calibri"/>
                  <w:color w:val="0000FF"/>
                  <w:sz w:val="20"/>
                  <w:u w:val="single"/>
                </w:rPr>
                <w:t>2013 ABQB 363</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Appeal of Master’s decision dismissed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May 29, 2014</w:t>
            </w:r>
          </w:p>
          <w:p w:rsidR="005A5407" w:rsidRPr="00164D42" w:rsidRDefault="005A5407" w:rsidP="00B02DE5">
            <w:pPr>
              <w:jc w:val="both"/>
              <w:rPr>
                <w:rFonts w:eastAsia="Calibri"/>
                <w:sz w:val="20"/>
              </w:rPr>
            </w:pPr>
            <w:r w:rsidRPr="00164D42">
              <w:rPr>
                <w:rFonts w:eastAsia="Calibri"/>
                <w:sz w:val="20"/>
              </w:rPr>
              <w:t>Court of Appeal of Alberta (Edmonton)</w:t>
            </w:r>
          </w:p>
          <w:p w:rsidR="005A5407" w:rsidRPr="00164D42" w:rsidRDefault="005A5407" w:rsidP="00B02DE5">
            <w:pPr>
              <w:jc w:val="both"/>
              <w:rPr>
                <w:rFonts w:eastAsia="Calibri"/>
                <w:sz w:val="20"/>
              </w:rPr>
            </w:pPr>
            <w:r w:rsidRPr="00164D42">
              <w:rPr>
                <w:rFonts w:eastAsia="Calibri"/>
                <w:sz w:val="20"/>
              </w:rPr>
              <w:t>(O'Brien, Slatter, Veldhuis JJ.A.)</w:t>
            </w:r>
          </w:p>
          <w:p w:rsidR="005A5407" w:rsidRPr="00164D42" w:rsidRDefault="005A5407" w:rsidP="00B02DE5">
            <w:pPr>
              <w:jc w:val="both"/>
              <w:rPr>
                <w:rFonts w:eastAsia="Calibri"/>
                <w:sz w:val="20"/>
              </w:rPr>
            </w:pPr>
            <w:r w:rsidRPr="00164D42">
              <w:rPr>
                <w:rFonts w:eastAsia="Calibri"/>
                <w:sz w:val="20"/>
              </w:rPr>
              <w:t>1303-0205-AC</w:t>
            </w:r>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Appeal dismissed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August 28, 2014</w:t>
            </w:r>
          </w:p>
          <w:p w:rsidR="005A5407" w:rsidRPr="00164D42" w:rsidRDefault="005A5407" w:rsidP="00B02DE5">
            <w:pPr>
              <w:jc w:val="both"/>
              <w:rPr>
                <w:rFonts w:eastAsia="Calibri"/>
                <w:sz w:val="20"/>
              </w:rPr>
            </w:pPr>
            <w:r w:rsidRPr="00164D42">
              <w:rPr>
                <w:rFonts w:eastAsia="Calibri"/>
                <w:sz w:val="20"/>
              </w:rPr>
              <w:t>Supreme Court of Canada</w:t>
            </w: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Application for leave to appeal filed</w:t>
            </w: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48"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E4461B" w:rsidTr="00B02DE5">
        <w:tc>
          <w:tcPr>
            <w:tcW w:w="5000" w:type="pct"/>
            <w:gridSpan w:val="3"/>
          </w:tcPr>
          <w:p w:rsidR="005A5407" w:rsidRPr="00164D42" w:rsidRDefault="005A5407" w:rsidP="00B02DE5">
            <w:pPr>
              <w:jc w:val="both"/>
              <w:rPr>
                <w:rFonts w:eastAsia="Calibri"/>
                <w:sz w:val="20"/>
                <w:lang w:val="fr-CA"/>
              </w:rPr>
            </w:pPr>
            <w:r w:rsidRPr="00164D42">
              <w:rPr>
                <w:rFonts w:eastAsia="Calibri"/>
                <w:sz w:val="20"/>
                <w:lang w:val="fr-CA"/>
              </w:rPr>
              <w:t>Biens – Biens réels – Enregistrement foncier – Oppositions – Contrats – Convention d’achat-vente – Interprétation – Conditions résolutoires – La théorie de l’impossibilité d’exécution contractuelle s’applique-t-elle aux contrats qui ont pour objet le transfert de droits fonciers et, dans l’affirmative, quel critère juridique doit être appliqué? – Quel est le critère approprié applicable aux déterminations sommaires préliminaires quant aux grèvements enregistrés à l’égard d’un titre foncier?</w:t>
            </w:r>
          </w:p>
        </w:tc>
      </w:tr>
      <w:tr w:rsidR="005A5407" w:rsidRPr="00E4461B" w:rsidTr="00B02DE5">
        <w:tc>
          <w:tcPr>
            <w:tcW w:w="5000" w:type="pct"/>
            <w:gridSpan w:val="3"/>
          </w:tcPr>
          <w:p w:rsidR="005A5407" w:rsidRPr="00164D42" w:rsidRDefault="005A5407" w:rsidP="00B02DE5">
            <w:pPr>
              <w:jc w:val="both"/>
              <w:rPr>
                <w:rFonts w:eastAsia="Calibri"/>
                <w:sz w:val="20"/>
                <w:lang w:val="fr-CA"/>
              </w:rPr>
            </w:pPr>
          </w:p>
        </w:tc>
      </w:tr>
      <w:tr w:rsidR="005A5407" w:rsidRPr="00164D42" w:rsidTr="00B02DE5">
        <w:tc>
          <w:tcPr>
            <w:tcW w:w="5000" w:type="pct"/>
            <w:gridSpan w:val="3"/>
          </w:tcPr>
          <w:p w:rsidR="005A5407" w:rsidRPr="00164D42" w:rsidRDefault="005A5407" w:rsidP="00B02DE5">
            <w:pPr>
              <w:jc w:val="both"/>
              <w:rPr>
                <w:rFonts w:eastAsia="Calibri"/>
                <w:sz w:val="20"/>
                <w:lang w:val="fr-CA"/>
              </w:rPr>
            </w:pPr>
            <w:r w:rsidRPr="00164D42">
              <w:rPr>
                <w:rFonts w:eastAsia="Calibri"/>
                <w:sz w:val="20"/>
                <w:lang w:val="fr-CA"/>
              </w:rPr>
              <w:t>L’intimée a acquis des terrains des demanderesses.  L’achat était conditionnel à ce que les terrains tels qu’ils étaient soient lotis en trois parcelles.  L’intimée entendait utiliser les terrains pour y ériger un atelier, un bureau et une cour.  La convention d’achat obligeait l’intimée à respecter des critères architecturaux joints en annexe, à présenter des copies de ses plans pour que les demanderesses les approuvent avant le début des travaux de construction et à [</w:t>
            </w:r>
            <w:r w:rsidRPr="00164D42">
              <w:rPr>
                <w:rFonts w:eastAsia="Calibri"/>
                <w:smallCaps/>
                <w:sz w:val="20"/>
                <w:lang w:val="fr-CA"/>
              </w:rPr>
              <w:t>traduction</w:t>
            </w:r>
            <w:r w:rsidRPr="00164D42">
              <w:rPr>
                <w:rFonts w:eastAsia="Calibri"/>
                <w:sz w:val="20"/>
                <w:lang w:val="fr-CA"/>
              </w:rPr>
              <w:t xml:space="preserve">] « avoir presque achevé les fondations sur les terrains conformément aux plans approuvés dans un délai de vingt-quatre (24) mois ». Les demanderesses ont conservé une option de rachat des terrains si la fondation n’était pas presque achevée dans le délai prescrit et elles ont déposé une opposition à l’égard du titre pour protéger cette option.  Aucun critère architectural n’a été joint en annexe de la convention.  L’intimée n’a pas présenté de plans pour un édifice ou construit de fondation.  Plus tard, l’intimée a vendu deux des parcelles et les demanderesses ont annulé leur opposition à l’égard du titre de ces parcelles.  Lorsque l’intimée a présenté une demande en radiation de l’opposition à l’égard de la troisième parcelle, les demanderesses ont contesté la demande et ont tenté par la suite </w:t>
            </w:r>
            <w:r w:rsidRPr="00164D42">
              <w:rPr>
                <w:rFonts w:eastAsia="Calibri"/>
                <w:sz w:val="20"/>
                <w:lang w:val="fr-CA"/>
              </w:rPr>
              <w:lastRenderedPageBreak/>
              <w:t>d’exercer leur option d’achat.</w:t>
            </w:r>
          </w:p>
          <w:p w:rsidR="005A5407" w:rsidRPr="00164D42" w:rsidRDefault="005A5407" w:rsidP="00B02DE5">
            <w:pPr>
              <w:jc w:val="both"/>
              <w:rPr>
                <w:rFonts w:eastAsia="Calibri"/>
                <w:sz w:val="20"/>
                <w:lang w:val="fr-CA"/>
              </w:rPr>
            </w:pPr>
          </w:p>
          <w:p w:rsidR="005A5407" w:rsidRPr="00164D42" w:rsidRDefault="005A5407" w:rsidP="00B02DE5">
            <w:pPr>
              <w:jc w:val="both"/>
              <w:rPr>
                <w:rFonts w:eastAsia="PMingLiU"/>
                <w:sz w:val="20"/>
                <w:lang w:val="fr-CA"/>
              </w:rPr>
            </w:pPr>
            <w:r w:rsidRPr="00164D42">
              <w:rPr>
                <w:rFonts w:eastAsia="Calibri"/>
                <w:sz w:val="20"/>
                <w:lang w:val="fr-CA"/>
              </w:rPr>
              <w:t>Un protonotaire de la Cour du Banc de la Reine de l’Alberta a accueilli la demande, concluant que la convention n’obligeait pas l’intimée à construire un édifice.  Puisque l’option irrévocable de rachat ne pouvait être exercée que si l’intimée entreprenait la construction sans l’achever dans le délai prescrit, les conditions résolutoires qui faisaient naître le droit de rachat ne s’étaient pas réalisées.  En appel, un juge du Cour du Banc de la Reine de l’Alberta a statué que l’interprétation du protonotaire était exacte.  Même si l’intimée avait été obligée de construire, le contrat, tel qu’il avait été conclu à l’origine, était devenu impossible à exécuter.  La Cour d’appel de l’Alberta a rejeté l’appel</w:t>
            </w:r>
            <w:r w:rsidRPr="00164D42">
              <w:rPr>
                <w:rFonts w:eastAsia="PMingLiU"/>
                <w:sz w:val="20"/>
                <w:lang w:val="fr-CA"/>
              </w:rPr>
              <w:t>.</w:t>
            </w:r>
          </w:p>
          <w:p w:rsidR="005A5407" w:rsidRPr="00164D42" w:rsidRDefault="005A5407" w:rsidP="00B02DE5">
            <w:pPr>
              <w:jc w:val="both"/>
              <w:rPr>
                <w:rFonts w:eastAsia="Calibri"/>
                <w:sz w:val="20"/>
                <w:lang w:val="fr-CA"/>
              </w:rPr>
            </w:pP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lastRenderedPageBreak/>
              <w:t>4 avril 2013</w:t>
            </w:r>
          </w:p>
          <w:p w:rsidR="005A5407" w:rsidRPr="00164D42" w:rsidRDefault="005A5407" w:rsidP="00B02DE5">
            <w:pPr>
              <w:jc w:val="both"/>
              <w:rPr>
                <w:rFonts w:eastAsia="Calibri"/>
                <w:sz w:val="20"/>
                <w:lang w:val="fr-CA"/>
              </w:rPr>
            </w:pPr>
            <w:r w:rsidRPr="00164D42">
              <w:rPr>
                <w:rFonts w:eastAsia="Calibri"/>
                <w:sz w:val="20"/>
                <w:lang w:val="fr-CA"/>
              </w:rPr>
              <w:t>Cour du Banc de la Reine de l’Alberta</w:t>
            </w:r>
          </w:p>
          <w:p w:rsidR="005A5407" w:rsidRPr="00164D42" w:rsidRDefault="005A5407" w:rsidP="00B02DE5">
            <w:pPr>
              <w:jc w:val="both"/>
              <w:rPr>
                <w:rFonts w:eastAsia="Calibri"/>
                <w:sz w:val="20"/>
                <w:lang w:val="fr-CA"/>
              </w:rPr>
            </w:pPr>
            <w:r w:rsidRPr="00164D42">
              <w:rPr>
                <w:rFonts w:eastAsia="Calibri"/>
                <w:sz w:val="20"/>
                <w:lang w:val="fr-CA"/>
              </w:rPr>
              <w:t>Protonotaire Schlosser</w:t>
            </w:r>
          </w:p>
          <w:p w:rsidR="005A5407" w:rsidRPr="00164D42" w:rsidRDefault="00E4461B" w:rsidP="00B02DE5">
            <w:pPr>
              <w:jc w:val="both"/>
              <w:rPr>
                <w:rFonts w:eastAsia="Calibri"/>
                <w:sz w:val="20"/>
                <w:lang w:val="fr-CA"/>
              </w:rPr>
            </w:pPr>
            <w:hyperlink r:id="rId65" w:history="1">
              <w:r w:rsidR="005A5407" w:rsidRPr="00164D42">
                <w:rPr>
                  <w:rFonts w:eastAsia="Calibri"/>
                  <w:color w:val="0000FF"/>
                  <w:sz w:val="20"/>
                  <w:u w:val="single"/>
                  <w:lang w:val="fr-CA"/>
                </w:rPr>
                <w:t>2013 ABQB 205</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Demande d’annulation de deux oppositions enregistrées à l’égard du titre, accueillie</w:t>
            </w: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26 juin 2013</w:t>
            </w:r>
          </w:p>
          <w:p w:rsidR="005A5407" w:rsidRPr="00164D42" w:rsidRDefault="005A5407" w:rsidP="00B02DE5">
            <w:pPr>
              <w:jc w:val="both"/>
              <w:rPr>
                <w:rFonts w:eastAsia="Calibri"/>
                <w:sz w:val="20"/>
                <w:lang w:val="fr-CA"/>
              </w:rPr>
            </w:pPr>
            <w:r w:rsidRPr="00164D42">
              <w:rPr>
                <w:rFonts w:eastAsia="Calibri"/>
                <w:sz w:val="20"/>
                <w:lang w:val="fr-CA"/>
              </w:rPr>
              <w:t>Cour du Banc de la Reine de l’Alberta</w:t>
            </w:r>
          </w:p>
          <w:p w:rsidR="005A5407" w:rsidRPr="00164D42" w:rsidRDefault="005A5407" w:rsidP="00B02DE5">
            <w:pPr>
              <w:jc w:val="both"/>
              <w:rPr>
                <w:rFonts w:eastAsia="Calibri"/>
                <w:sz w:val="20"/>
                <w:lang w:val="fr-CA"/>
              </w:rPr>
            </w:pPr>
            <w:r w:rsidRPr="00164D42">
              <w:rPr>
                <w:rFonts w:eastAsia="Calibri"/>
                <w:sz w:val="20"/>
                <w:lang w:val="fr-CA"/>
              </w:rPr>
              <w:t>(Juge Gill, ordonnance signée par le juge Manderscheid)</w:t>
            </w:r>
          </w:p>
          <w:p w:rsidR="005A5407" w:rsidRPr="00164D42" w:rsidRDefault="00E4461B" w:rsidP="00B02DE5">
            <w:pPr>
              <w:jc w:val="both"/>
              <w:rPr>
                <w:rFonts w:eastAsia="Calibri"/>
                <w:sz w:val="20"/>
                <w:lang w:val="fr-CA"/>
              </w:rPr>
            </w:pPr>
            <w:hyperlink r:id="rId66" w:history="1">
              <w:r w:rsidR="005A5407" w:rsidRPr="00164D42">
                <w:rPr>
                  <w:rFonts w:eastAsia="Calibri"/>
                  <w:color w:val="0000FF"/>
                  <w:sz w:val="20"/>
                  <w:u w:val="single"/>
                  <w:lang w:val="fr-CA"/>
                </w:rPr>
                <w:t>2013 ABQB 363</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Appel de la décision du protonotaire, rejeté</w:t>
            </w:r>
          </w:p>
          <w:p w:rsidR="005A5407" w:rsidRPr="00164D42" w:rsidRDefault="005A5407" w:rsidP="00B02DE5">
            <w:pPr>
              <w:jc w:val="both"/>
              <w:rPr>
                <w:rFonts w:eastAsia="Calibri"/>
                <w:sz w:val="20"/>
                <w:lang w:val="fr-CA"/>
              </w:rPr>
            </w:pPr>
          </w:p>
        </w:tc>
      </w:tr>
      <w:tr w:rsidR="005A5407" w:rsidRPr="00164D42"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29 mai 2014</w:t>
            </w:r>
          </w:p>
          <w:p w:rsidR="005A5407" w:rsidRPr="00164D42" w:rsidRDefault="005A5407" w:rsidP="00B02DE5">
            <w:pPr>
              <w:jc w:val="both"/>
              <w:rPr>
                <w:rFonts w:eastAsia="Calibri"/>
                <w:sz w:val="20"/>
                <w:lang w:val="fr-CA"/>
              </w:rPr>
            </w:pPr>
            <w:r w:rsidRPr="00164D42">
              <w:rPr>
                <w:rFonts w:eastAsia="Calibri"/>
                <w:sz w:val="20"/>
                <w:lang w:val="fr-CA"/>
              </w:rPr>
              <w:t>Cour d’appel de l’Alberta (Edmonton)</w:t>
            </w:r>
          </w:p>
          <w:p w:rsidR="005A5407" w:rsidRPr="00164D42" w:rsidRDefault="005A5407" w:rsidP="00B02DE5">
            <w:pPr>
              <w:jc w:val="both"/>
              <w:rPr>
                <w:rFonts w:eastAsia="Calibri"/>
                <w:sz w:val="20"/>
                <w:lang w:val="fr-CA"/>
              </w:rPr>
            </w:pPr>
            <w:r w:rsidRPr="00164D42">
              <w:rPr>
                <w:rFonts w:eastAsia="Calibri"/>
                <w:sz w:val="20"/>
                <w:lang w:val="fr-CA"/>
              </w:rPr>
              <w:t>(Juges O'Brien, Slatter et Veldhuis)</w:t>
            </w:r>
          </w:p>
          <w:p w:rsidR="005A5407" w:rsidRPr="00164D42" w:rsidRDefault="005A5407" w:rsidP="00B02DE5">
            <w:pPr>
              <w:jc w:val="both"/>
              <w:rPr>
                <w:rFonts w:eastAsia="Calibri"/>
                <w:sz w:val="20"/>
                <w:lang w:val="fr-CA"/>
              </w:rPr>
            </w:pPr>
            <w:r w:rsidRPr="00164D42">
              <w:rPr>
                <w:rFonts w:eastAsia="Calibri"/>
                <w:sz w:val="20"/>
                <w:lang w:val="fr-CA"/>
              </w:rPr>
              <w:t>1303-0205-AC</w:t>
            </w:r>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Appel rejeté</w:t>
            </w:r>
          </w:p>
          <w:p w:rsidR="005A5407" w:rsidRPr="00164D42" w:rsidRDefault="005A5407" w:rsidP="00B02DE5">
            <w:pPr>
              <w:jc w:val="both"/>
              <w:rPr>
                <w:rFonts w:eastAsia="Calibri"/>
                <w:sz w:val="20"/>
                <w:lang w:val="fr-CA"/>
              </w:rPr>
            </w:pPr>
          </w:p>
        </w:tc>
      </w:tr>
      <w:tr w:rsidR="005A5407" w:rsidRPr="00164D42"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28 août 2014</w:t>
            </w:r>
          </w:p>
          <w:p w:rsidR="005A5407" w:rsidRPr="00164D42" w:rsidRDefault="005A5407" w:rsidP="00B02DE5">
            <w:pPr>
              <w:jc w:val="both"/>
              <w:rPr>
                <w:rFonts w:eastAsia="Calibri"/>
                <w:sz w:val="20"/>
                <w:lang w:val="fr-CA"/>
              </w:rPr>
            </w:pPr>
            <w:r w:rsidRPr="00164D42">
              <w:rPr>
                <w:rFonts w:eastAsia="Calibri"/>
                <w:sz w:val="20"/>
                <w:lang w:val="fr-CA"/>
              </w:rPr>
              <w:t>Cour suprême du Canada</w:t>
            </w: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Demande d’autorisation d’appel, déposée</w:t>
            </w: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49" style="width:2in;height:1pt" o:hrpct="0" o:hralign="center" o:hrstd="t" o:hrnoshade="t" o:hr="t" fillcolor="black [3213]" stroked="f"/>
        </w:pict>
      </w:r>
    </w:p>
    <w:p w:rsidR="00BC2489" w:rsidRDefault="00BC2489" w:rsidP="00BC2489">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3BAE" w:rsidRPr="00EF3BAE" w:rsidTr="00EF3BAE">
        <w:trPr>
          <w:cantSplit/>
        </w:trPr>
        <w:tc>
          <w:tcPr>
            <w:tcW w:w="1458" w:type="dxa"/>
          </w:tcPr>
          <w:p w:rsidR="00EF3BAE" w:rsidRPr="00EF3BAE" w:rsidRDefault="00EF3BAE" w:rsidP="00EF3BAE">
            <w:pPr>
              <w:rPr>
                <w:sz w:val="20"/>
              </w:rPr>
            </w:pPr>
            <w:r w:rsidRPr="00EF3BAE">
              <w:rPr>
                <w:b/>
                <w:sz w:val="20"/>
                <w:lang w:val="fr-CA"/>
              </w:rPr>
              <w:t>36026</w:t>
            </w:r>
          </w:p>
          <w:p w:rsidR="00EF3BAE" w:rsidRPr="00EF3BAE" w:rsidRDefault="00EF3BAE" w:rsidP="00EF3BAE">
            <w:pPr>
              <w:rPr>
                <w:b/>
                <w:sz w:val="20"/>
                <w:lang w:val="fr-CA"/>
              </w:rPr>
            </w:pPr>
          </w:p>
        </w:tc>
        <w:tc>
          <w:tcPr>
            <w:tcW w:w="8118" w:type="dxa"/>
          </w:tcPr>
          <w:p w:rsidR="00EF3BAE" w:rsidRPr="00EF3BAE" w:rsidRDefault="00EF3BAE" w:rsidP="00EF3BAE">
            <w:pPr>
              <w:jc w:val="both"/>
              <w:rPr>
                <w:sz w:val="20"/>
                <w:lang w:val="fr-CA"/>
              </w:rPr>
            </w:pPr>
            <w:r w:rsidRPr="00EF3BAE">
              <w:rPr>
                <w:b/>
                <w:sz w:val="20"/>
                <w:u w:val="single"/>
                <w:lang w:val="fr-CA"/>
              </w:rPr>
              <w:t>Jules Bossé, Anne Doiron Bossé</w:t>
            </w:r>
            <w:r>
              <w:rPr>
                <w:b/>
                <w:sz w:val="20"/>
                <w:u w:val="single"/>
                <w:lang w:val="fr-CA"/>
              </w:rPr>
              <w:t xml:space="preserve"> and</w:t>
            </w:r>
            <w:r w:rsidRPr="00EF3BAE">
              <w:rPr>
                <w:b/>
                <w:sz w:val="20"/>
                <w:u w:val="single"/>
                <w:lang w:val="fr-CA"/>
              </w:rPr>
              <w:t xml:space="preserve"> Entreprises </w:t>
            </w:r>
            <w:r>
              <w:rPr>
                <w:b/>
                <w:sz w:val="20"/>
                <w:u w:val="single"/>
                <w:lang w:val="fr-CA"/>
              </w:rPr>
              <w:t>E</w:t>
            </w:r>
            <w:r w:rsidRPr="00EF3BAE">
              <w:rPr>
                <w:b/>
                <w:sz w:val="20"/>
                <w:u w:val="single"/>
                <w:lang w:val="fr-CA"/>
              </w:rPr>
              <w:t xml:space="preserve">nvirotek </w:t>
            </w:r>
            <w:r>
              <w:rPr>
                <w:b/>
                <w:sz w:val="20"/>
                <w:u w:val="single"/>
                <w:lang w:val="fr-CA"/>
              </w:rPr>
              <w:t>L</w:t>
            </w:r>
            <w:r w:rsidRPr="00EF3BAE">
              <w:rPr>
                <w:b/>
                <w:sz w:val="20"/>
                <w:u w:val="single"/>
                <w:lang w:val="fr-CA"/>
              </w:rPr>
              <w:t>tée v. Fa</w:t>
            </w:r>
            <w:r>
              <w:rPr>
                <w:b/>
                <w:sz w:val="20"/>
                <w:u w:val="single"/>
                <w:lang w:val="fr-CA"/>
              </w:rPr>
              <w:t>r</w:t>
            </w:r>
            <w:r w:rsidRPr="00EF3BAE">
              <w:rPr>
                <w:b/>
                <w:sz w:val="20"/>
                <w:u w:val="single"/>
                <w:lang w:val="fr-CA"/>
              </w:rPr>
              <w:t>m</w:t>
            </w:r>
            <w:r>
              <w:rPr>
                <w:b/>
                <w:sz w:val="20"/>
                <w:u w:val="single"/>
                <w:lang w:val="fr-CA"/>
              </w:rPr>
              <w:t xml:space="preserve"> Cr</w:t>
            </w:r>
            <w:r w:rsidRPr="00EF3BAE">
              <w:rPr>
                <w:b/>
                <w:sz w:val="20"/>
                <w:u w:val="single"/>
                <w:lang w:val="fr-CA"/>
              </w:rPr>
              <w:t>e</w:t>
            </w:r>
            <w:r>
              <w:rPr>
                <w:b/>
                <w:sz w:val="20"/>
                <w:u w:val="single"/>
                <w:lang w:val="fr-CA"/>
              </w:rPr>
              <w:t>di</w:t>
            </w:r>
            <w:r w:rsidRPr="00EF3BAE">
              <w:rPr>
                <w:b/>
                <w:sz w:val="20"/>
                <w:u w:val="single"/>
                <w:lang w:val="fr-CA"/>
              </w:rPr>
              <w:t xml:space="preserve">t </w:t>
            </w:r>
            <w:r>
              <w:rPr>
                <w:b/>
                <w:sz w:val="20"/>
                <w:u w:val="single"/>
                <w:lang w:val="fr-CA"/>
              </w:rPr>
              <w:t>C</w:t>
            </w:r>
            <w:r w:rsidRPr="00EF3BAE">
              <w:rPr>
                <w:b/>
                <w:sz w:val="20"/>
                <w:u w:val="single"/>
                <w:lang w:val="fr-CA"/>
              </w:rPr>
              <w:t>anada</w:t>
            </w:r>
            <w:r w:rsidRPr="00EF3BAE">
              <w:rPr>
                <w:sz w:val="20"/>
                <w:lang w:val="fr-CA"/>
              </w:rPr>
              <w:t xml:space="preserve"> (N.B.) (Civil) (By Leave)</w:t>
            </w:r>
          </w:p>
          <w:p w:rsidR="00EF3BAE" w:rsidRPr="00EF3BAE" w:rsidRDefault="00EF3BAE" w:rsidP="00EF3BAE">
            <w:pPr>
              <w:jc w:val="both"/>
              <w:rPr>
                <w:sz w:val="20"/>
                <w:lang w:val="fr-CA"/>
              </w:rPr>
            </w:pPr>
          </w:p>
        </w:tc>
      </w:tr>
      <w:tr w:rsidR="00EF3BAE" w:rsidRPr="00EF3BAE" w:rsidTr="00EF3BAE">
        <w:trPr>
          <w:cantSplit/>
        </w:trPr>
        <w:tc>
          <w:tcPr>
            <w:tcW w:w="1458" w:type="dxa"/>
          </w:tcPr>
          <w:p w:rsidR="00EF3BAE" w:rsidRPr="00EF3BAE" w:rsidRDefault="00EF3BAE" w:rsidP="00EF3BAE">
            <w:pPr>
              <w:rPr>
                <w:sz w:val="20"/>
              </w:rPr>
            </w:pPr>
            <w:r w:rsidRPr="00EF3BAE">
              <w:rPr>
                <w:sz w:val="20"/>
              </w:rPr>
              <w:t>Coram :</w:t>
            </w:r>
          </w:p>
        </w:tc>
        <w:tc>
          <w:tcPr>
            <w:tcW w:w="8118" w:type="dxa"/>
          </w:tcPr>
          <w:p w:rsidR="00EF3BAE" w:rsidRPr="00EF3BAE" w:rsidRDefault="00EF3BAE" w:rsidP="00EF3BAE">
            <w:pPr>
              <w:rPr>
                <w:sz w:val="20"/>
              </w:rPr>
            </w:pPr>
            <w:r w:rsidRPr="00EF3BAE">
              <w:rPr>
                <w:sz w:val="20"/>
                <w:u w:val="single"/>
              </w:rPr>
              <w:t>LeBel, Karakatsanis and Gascon JJ.</w:t>
            </w:r>
          </w:p>
          <w:p w:rsidR="00EF3BAE" w:rsidRPr="00EF3BAE" w:rsidRDefault="00EF3BAE" w:rsidP="00EF3BAE">
            <w:pPr>
              <w:rPr>
                <w:sz w:val="20"/>
                <w:u w:val="single"/>
              </w:rPr>
            </w:pPr>
          </w:p>
        </w:tc>
      </w:tr>
      <w:tr w:rsidR="00EF3BAE" w:rsidRPr="00E4461B" w:rsidTr="00EF3BAE">
        <w:trPr>
          <w:cantSplit/>
        </w:trPr>
        <w:tc>
          <w:tcPr>
            <w:tcW w:w="9576" w:type="dxa"/>
            <w:gridSpan w:val="2"/>
          </w:tcPr>
          <w:p w:rsidR="00EF3BAE" w:rsidRDefault="00EF3BAE" w:rsidP="00EF3BAE">
            <w:pPr>
              <w:ind w:firstLine="720"/>
              <w:jc w:val="both"/>
              <w:rPr>
                <w:sz w:val="20"/>
              </w:rPr>
            </w:pPr>
            <w:r w:rsidRPr="00EF3BAE">
              <w:rPr>
                <w:sz w:val="20"/>
              </w:rPr>
              <w:t xml:space="preserve">The motion for an extension of time to serve and file the application for leave to appeal is granted. The application for leave to appeal from the judgment of the Court of Appeal of New Brunswick, Numbers 54-13-CA and 103-12-CA, 2014 NBCA 34, dated November 27, 2013, is dismissed with costs in accordance with the Tariff of fees and disbursements set out in Schedule B of the </w:t>
            </w:r>
            <w:r w:rsidRPr="00EF3BAE">
              <w:rPr>
                <w:i/>
                <w:sz w:val="20"/>
              </w:rPr>
              <w:t>Rules of the Supreme Court of Canada</w:t>
            </w:r>
            <w:r w:rsidRPr="00EF3BAE">
              <w:rPr>
                <w:sz w:val="20"/>
              </w:rPr>
              <w:t>.</w:t>
            </w:r>
          </w:p>
          <w:p w:rsidR="00EF3BAE" w:rsidRPr="00EF3BAE" w:rsidRDefault="00EF3BAE" w:rsidP="00EF3BAE">
            <w:pPr>
              <w:ind w:firstLine="720"/>
              <w:jc w:val="both"/>
              <w:rPr>
                <w:sz w:val="20"/>
              </w:rPr>
            </w:pPr>
          </w:p>
          <w:p w:rsidR="00EF3BAE" w:rsidRPr="00EF3BAE" w:rsidRDefault="00EF3BAE" w:rsidP="00EF3BAE">
            <w:pPr>
              <w:ind w:firstLine="720"/>
              <w:jc w:val="both"/>
              <w:rPr>
                <w:sz w:val="20"/>
                <w:lang w:val="fr-CA"/>
              </w:rPr>
            </w:pPr>
            <w:r w:rsidRPr="00EF3BAE">
              <w:rPr>
                <w:sz w:val="20"/>
                <w:lang w:val="fr-CA"/>
              </w:rPr>
              <w:t xml:space="preserve">La requête en prorogation du délai de signification et de dépôt de la demande d’autorisation d’appel est accueillie. La demande d’autorisation d’appel de l’arrêt de la Cour d’appel du Nouveau-Brunswick, numéros 54-13-CA et 103-12-CA, 2014 NBCA 34, daté du 27 novembre 2013, est rejetée avec dépens conformément au Tarif des honoraires et débours établi à l’annexe B des </w:t>
            </w:r>
            <w:r w:rsidRPr="00EF3BAE">
              <w:rPr>
                <w:i/>
                <w:sz w:val="20"/>
                <w:lang w:val="fr-CA"/>
              </w:rPr>
              <w:t>Règles de la Cour suprême du Canada</w:t>
            </w:r>
            <w:r w:rsidRPr="00EF3BAE">
              <w:rPr>
                <w:sz w:val="20"/>
                <w:lang w:val="fr-CA"/>
              </w:rPr>
              <w:t>.</w:t>
            </w:r>
          </w:p>
        </w:tc>
      </w:tr>
    </w:tbl>
    <w:p w:rsidR="00BC2489" w:rsidRPr="00EF3BA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164D42" w:rsidTr="00B02DE5">
        <w:tc>
          <w:tcPr>
            <w:tcW w:w="5000" w:type="pct"/>
            <w:gridSpan w:val="3"/>
          </w:tcPr>
          <w:p w:rsidR="005A5407" w:rsidRPr="00164D42" w:rsidRDefault="005A5407" w:rsidP="00B02DE5">
            <w:pPr>
              <w:jc w:val="both"/>
              <w:rPr>
                <w:rFonts w:eastAsia="Calibri"/>
                <w:sz w:val="20"/>
              </w:rPr>
            </w:pPr>
            <w:r w:rsidRPr="00164D42">
              <w:rPr>
                <w:rFonts w:eastAsia="Calibri"/>
                <w:sz w:val="20"/>
              </w:rPr>
              <w:t xml:space="preserve">Property – Real property – Mortgages – Summary judgment – Whether, as a matter of law, oral testimony ought to be accepted when the party testifying has deliberately concealed or destroyed written evidence from the court – Whether there are conflicting decisions warranting the granting of leave due to the national and public importance – Whether, as a matter of law, the court may disregard express legislative provisions in the </w:t>
            </w:r>
            <w:r w:rsidRPr="00164D42">
              <w:rPr>
                <w:rFonts w:eastAsia="Calibri"/>
                <w:i/>
                <w:sz w:val="20"/>
              </w:rPr>
              <w:t>Bills of Exchange Act</w:t>
            </w:r>
            <w:r w:rsidRPr="00164D42">
              <w:rPr>
                <w:rFonts w:eastAsia="Calibri"/>
                <w:sz w:val="20"/>
              </w:rPr>
              <w:t xml:space="preserve">, R.S.C. 1985, </w:t>
            </w:r>
            <w:r w:rsidRPr="00164D42">
              <w:rPr>
                <w:rFonts w:eastAsia="Calibri"/>
                <w:sz w:val="20"/>
              </w:rPr>
              <w:lastRenderedPageBreak/>
              <w:t>c. B-4 – Whether, as a matter of law, the Court may disregard the “no evidence rule” – Whether, as a matter of law, an appellate court may engage in fact finding in an appeal – Whether there was a breach of natural justice and procedural fairness in the matter at bar – Whether the Court of Appeal made reviewable errors of law.</w:t>
            </w:r>
          </w:p>
        </w:tc>
      </w:tr>
      <w:tr w:rsidR="005A5407" w:rsidRPr="00164D42" w:rsidTr="00B02DE5">
        <w:tc>
          <w:tcPr>
            <w:tcW w:w="5000" w:type="pct"/>
            <w:gridSpan w:val="3"/>
          </w:tcPr>
          <w:p w:rsidR="005A5407" w:rsidRPr="00164D42" w:rsidRDefault="005A5407" w:rsidP="00B02DE5">
            <w:pPr>
              <w:jc w:val="both"/>
              <w:rPr>
                <w:rFonts w:eastAsia="Calibri"/>
                <w:sz w:val="20"/>
              </w:rPr>
            </w:pPr>
          </w:p>
        </w:tc>
      </w:tr>
      <w:tr w:rsidR="005A5407" w:rsidRPr="00164D42" w:rsidTr="00B02DE5">
        <w:tc>
          <w:tcPr>
            <w:tcW w:w="5000" w:type="pct"/>
            <w:gridSpan w:val="3"/>
          </w:tcPr>
          <w:p w:rsidR="005A5407" w:rsidRPr="00164D42" w:rsidRDefault="005A5407" w:rsidP="00B02DE5">
            <w:pPr>
              <w:jc w:val="both"/>
              <w:rPr>
                <w:rFonts w:eastAsia="Calibri"/>
                <w:sz w:val="20"/>
              </w:rPr>
            </w:pPr>
            <w:r w:rsidRPr="00164D42">
              <w:rPr>
                <w:rFonts w:eastAsia="Calibri"/>
                <w:sz w:val="20"/>
              </w:rPr>
              <w:t xml:space="preserve">The Applicants, Jules Bossé and Anne Doiron Bossé, together with Les Entreprises Envirotek Ltée, owe the Respondent, Financement Agricole Canada (“FAC”) money after Envirotek defaulted on two loans that were secured by collateral mortgages.  FAC asserted its rights of sale under the collateral mortgages and the properties were sold at auction.  FAC then commenced an action to recover the deficiency owed on the loans after the mortgage sale.  The focus of most of the litigation is a series of documents the Bossés themselves created and then forwarded to FAC, pursuant to which they claim having made payment in full of all amounts due.  The documents purport to obligate the United States Treasury to pay certain sums of money that exceed the deficiency owed on the loans after the mortgage sale.  The Bossés tendered these documents to FAC and claimed that, by application of the </w:t>
            </w:r>
            <w:r w:rsidRPr="00164D42">
              <w:rPr>
                <w:rFonts w:eastAsia="Calibri"/>
                <w:i/>
                <w:sz w:val="20"/>
              </w:rPr>
              <w:t>Bills of Exchange Act</w:t>
            </w:r>
            <w:r w:rsidRPr="00164D42">
              <w:rPr>
                <w:rFonts w:eastAsia="Calibri"/>
                <w:sz w:val="20"/>
              </w:rPr>
              <w:t>, R.S.C. 1985, c. B-4, they have fulfilled their obligations to FAC.  The documents were found to have no legal value and the Bossés’ claims have repeatedly been dismissed.  On July 27, 2012, a judge of the Court of Queen’s Bench granted summary judgment in favour of FAC on the grounds there was no defence to the action.  On April 4, 2013, the judge of the Court of Queen’s Bench delivered her reasons for ordering the Applicants to pay FAC the amount of $279,410 plus disbursement.  The Bossés advanced numerous grounds of appeal challenging, among other things, the validity of certain legislation, the jurisdiction of the Court of Queen’s Bench, factual findings, the determination of questions of law, and the court’s application of the law to the facts.  The Court of Appeal dismissed the appeal and awarded costs to FAC on a solicitor and client basis.</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April 4, 2013</w:t>
            </w:r>
          </w:p>
          <w:p w:rsidR="005A5407" w:rsidRPr="00164D42" w:rsidRDefault="005A5407" w:rsidP="00B02DE5">
            <w:pPr>
              <w:jc w:val="both"/>
              <w:rPr>
                <w:rFonts w:eastAsia="Calibri"/>
                <w:sz w:val="20"/>
              </w:rPr>
            </w:pPr>
            <w:r w:rsidRPr="00164D42">
              <w:rPr>
                <w:rFonts w:eastAsia="Calibri"/>
                <w:sz w:val="20"/>
              </w:rPr>
              <w:t>Court of Queen’s Bench of New Brunswick</w:t>
            </w:r>
          </w:p>
          <w:p w:rsidR="005A5407" w:rsidRPr="00164D42" w:rsidRDefault="005A5407" w:rsidP="00B02DE5">
            <w:pPr>
              <w:jc w:val="both"/>
              <w:rPr>
                <w:rFonts w:eastAsia="Calibri"/>
                <w:sz w:val="20"/>
                <w:lang w:val="fr-CA"/>
              </w:rPr>
            </w:pPr>
            <w:r w:rsidRPr="00164D42">
              <w:rPr>
                <w:rFonts w:eastAsia="Calibri"/>
                <w:sz w:val="20"/>
                <w:lang w:val="fr-CA"/>
              </w:rPr>
              <w:t>(LaVigne J.)</w:t>
            </w:r>
          </w:p>
          <w:p w:rsidR="005A5407" w:rsidRPr="00164D42" w:rsidRDefault="005A5407" w:rsidP="00B02DE5">
            <w:pPr>
              <w:jc w:val="both"/>
              <w:rPr>
                <w:rFonts w:eastAsia="Calibri"/>
                <w:sz w:val="20"/>
                <w:lang w:val="fr-CA"/>
              </w:rPr>
            </w:pPr>
            <w:r w:rsidRPr="00164D42">
              <w:rPr>
                <w:rFonts w:eastAsia="Calibri"/>
                <w:sz w:val="20"/>
                <w:lang w:val="fr-CA"/>
              </w:rPr>
              <w:t xml:space="preserve">2013 NBBR 131; </w:t>
            </w:r>
            <w:hyperlink r:id="rId67" w:history="1">
              <w:r w:rsidRPr="00164D42">
                <w:rPr>
                  <w:rFonts w:eastAsia="Calibri"/>
                  <w:color w:val="0000FF"/>
                  <w:sz w:val="20"/>
                  <w:u w:val="single"/>
                  <w:lang w:val="fr-CA"/>
                </w:rPr>
                <w:t>http://canlii.ca/t/g2hzg</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rPr>
            </w:pPr>
            <w:r w:rsidRPr="00164D42">
              <w:rPr>
                <w:rFonts w:eastAsia="Calibri"/>
                <w:sz w:val="20"/>
              </w:rPr>
              <w:t>Respondent granted judgment for $279,410 plus disbursements</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November 27, 2013</w:t>
            </w:r>
          </w:p>
          <w:p w:rsidR="005A5407" w:rsidRPr="00164D42" w:rsidRDefault="005A5407" w:rsidP="00B02DE5">
            <w:pPr>
              <w:jc w:val="both"/>
              <w:rPr>
                <w:rFonts w:eastAsia="Calibri"/>
                <w:sz w:val="20"/>
              </w:rPr>
            </w:pPr>
            <w:r w:rsidRPr="00164D42">
              <w:rPr>
                <w:rFonts w:eastAsia="Calibri"/>
                <w:sz w:val="20"/>
              </w:rPr>
              <w:t>Court of Appeal of New Brunswick</w:t>
            </w:r>
          </w:p>
          <w:p w:rsidR="005A5407" w:rsidRPr="00164D42" w:rsidRDefault="005A5407" w:rsidP="00B02DE5">
            <w:pPr>
              <w:jc w:val="both"/>
              <w:rPr>
                <w:rFonts w:eastAsia="Calibri"/>
                <w:sz w:val="20"/>
              </w:rPr>
            </w:pPr>
            <w:r w:rsidRPr="00164D42">
              <w:rPr>
                <w:rFonts w:eastAsia="Calibri"/>
                <w:sz w:val="20"/>
              </w:rPr>
              <w:t>(Deschênes, Richard  and Quigg JJ.A.)</w:t>
            </w:r>
          </w:p>
          <w:p w:rsidR="005A5407" w:rsidRPr="00164D42" w:rsidRDefault="005A5407" w:rsidP="00B02DE5">
            <w:pPr>
              <w:jc w:val="both"/>
              <w:rPr>
                <w:rFonts w:eastAsia="Calibri"/>
                <w:sz w:val="20"/>
              </w:rPr>
            </w:pPr>
            <w:r w:rsidRPr="00164D42">
              <w:rPr>
                <w:rFonts w:eastAsia="Calibri"/>
                <w:sz w:val="20"/>
              </w:rPr>
              <w:t xml:space="preserve">2014 NBCA 34; </w:t>
            </w:r>
            <w:hyperlink r:id="rId68" w:history="1">
              <w:r w:rsidRPr="00164D42">
                <w:rPr>
                  <w:rFonts w:eastAsia="Calibri"/>
                  <w:color w:val="0000FF"/>
                  <w:sz w:val="20"/>
                  <w:u w:val="single"/>
                </w:rPr>
                <w:t>http://canlii.ca/t/g71g0</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Appeal dismissed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August 27, 2014</w:t>
            </w:r>
          </w:p>
          <w:p w:rsidR="005A5407" w:rsidRPr="00164D42" w:rsidRDefault="005A5407" w:rsidP="00B02DE5">
            <w:pPr>
              <w:jc w:val="both"/>
              <w:rPr>
                <w:rFonts w:eastAsia="Calibri"/>
                <w:sz w:val="20"/>
              </w:rPr>
            </w:pPr>
            <w:r w:rsidRPr="00164D42">
              <w:rPr>
                <w:rFonts w:eastAsia="Calibri"/>
                <w:sz w:val="20"/>
              </w:rPr>
              <w:t>Supreme Court of Canada</w:t>
            </w:r>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Application for leave to appeal filed</w:t>
            </w:r>
          </w:p>
          <w:p w:rsidR="005A5407" w:rsidRPr="00164D42" w:rsidRDefault="005A5407" w:rsidP="00B02DE5">
            <w:pPr>
              <w:jc w:val="both"/>
              <w:rPr>
                <w:rFonts w:eastAsia="Calibri"/>
                <w:sz w:val="20"/>
              </w:rPr>
            </w:pPr>
          </w:p>
        </w:tc>
      </w:tr>
      <w:tr w:rsidR="005A5407" w:rsidRPr="00164D42" w:rsidTr="00B02DE5">
        <w:tc>
          <w:tcPr>
            <w:tcW w:w="2427" w:type="pct"/>
          </w:tcPr>
          <w:p w:rsidR="005A5407" w:rsidRPr="00164D42" w:rsidRDefault="005A5407" w:rsidP="00B02DE5">
            <w:pPr>
              <w:jc w:val="both"/>
              <w:rPr>
                <w:rFonts w:eastAsia="Calibri"/>
                <w:sz w:val="20"/>
              </w:rPr>
            </w:pPr>
            <w:r w:rsidRPr="00164D42">
              <w:rPr>
                <w:rFonts w:eastAsia="Calibri"/>
                <w:sz w:val="20"/>
              </w:rPr>
              <w:t>September 26, 2014</w:t>
            </w:r>
          </w:p>
          <w:p w:rsidR="005A5407" w:rsidRPr="00164D42" w:rsidRDefault="005A5407" w:rsidP="00B02DE5">
            <w:pPr>
              <w:jc w:val="both"/>
              <w:rPr>
                <w:rFonts w:eastAsia="Calibri"/>
                <w:sz w:val="20"/>
              </w:rPr>
            </w:pPr>
            <w:r w:rsidRPr="00164D42">
              <w:rPr>
                <w:rFonts w:eastAsia="Calibri"/>
                <w:sz w:val="20"/>
              </w:rPr>
              <w:t>Supreme Court of Canada</w:t>
            </w: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rPr>
            </w:pPr>
            <w:r w:rsidRPr="00164D42">
              <w:rPr>
                <w:rFonts w:eastAsia="Calibri"/>
                <w:sz w:val="20"/>
              </w:rPr>
              <w:t>Motion for extension of time filed</w:t>
            </w: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50"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A5407" w:rsidRPr="00E4461B" w:rsidTr="00B02DE5">
        <w:tc>
          <w:tcPr>
            <w:tcW w:w="5000" w:type="pct"/>
            <w:gridSpan w:val="3"/>
          </w:tcPr>
          <w:p w:rsidR="005A5407" w:rsidRPr="00164D42" w:rsidRDefault="005A5407" w:rsidP="00B02DE5">
            <w:pPr>
              <w:jc w:val="both"/>
              <w:rPr>
                <w:rFonts w:eastAsia="Calibri"/>
                <w:sz w:val="20"/>
                <w:lang w:val="fr-CA"/>
              </w:rPr>
            </w:pPr>
            <w:r w:rsidRPr="00164D42">
              <w:rPr>
                <w:rFonts w:eastAsia="Calibri"/>
                <w:sz w:val="20"/>
                <w:lang w:val="fr-CA"/>
              </w:rPr>
              <w:t xml:space="preserve">Biens – Biens réels – Hypothèques – Jugement sommaire – En droit, un témoignage oral doit-il être accepté lorsque la partie qui témoigne a délibérément dissimulé ou détruit des éléments de preuve? – L’autorisation d’appel devrait-elle être accordée du fait que la jurisprudence est contradictoire et que l’affaire soulève une question d’importance nationale pour le public? – En droit, la cour peut-elle faire abstraction des dispositions expresses de la </w:t>
            </w:r>
            <w:r w:rsidRPr="00164D42">
              <w:rPr>
                <w:rFonts w:eastAsia="Calibri"/>
                <w:i/>
                <w:sz w:val="20"/>
                <w:lang w:val="fr-CA"/>
              </w:rPr>
              <w:t>Loi sur les lettres de change</w:t>
            </w:r>
            <w:r w:rsidRPr="00164D42">
              <w:rPr>
                <w:rFonts w:eastAsia="Calibri"/>
                <w:sz w:val="20"/>
                <w:lang w:val="fr-CA"/>
              </w:rPr>
              <w:t>, L.R.C. 1985, ch. B-4? – En droit, la Cour peut-elle faire abstraction de la règle de l’ « absence de preuve »? – En droit, une cour d’appel peut-elle apprécier les faits? – Y a-t-il eu violation de la justice naturelle et de l’équité procédurale en l’espèce? – La Cour d’appel a-t-elle commis des erreurs de droit susceptibles de contrôle judiciaire?</w:t>
            </w:r>
          </w:p>
        </w:tc>
      </w:tr>
      <w:tr w:rsidR="005A5407" w:rsidRPr="00E4461B" w:rsidTr="00B02DE5">
        <w:tc>
          <w:tcPr>
            <w:tcW w:w="5000" w:type="pct"/>
            <w:gridSpan w:val="3"/>
          </w:tcPr>
          <w:p w:rsidR="005A5407" w:rsidRPr="00164D42" w:rsidRDefault="005A5407" w:rsidP="00B02DE5">
            <w:pPr>
              <w:jc w:val="both"/>
              <w:rPr>
                <w:rFonts w:eastAsia="Calibri"/>
                <w:sz w:val="20"/>
                <w:lang w:val="fr-CA"/>
              </w:rPr>
            </w:pPr>
          </w:p>
        </w:tc>
      </w:tr>
      <w:tr w:rsidR="005A5407" w:rsidRPr="00E4461B" w:rsidTr="00B02DE5">
        <w:tc>
          <w:tcPr>
            <w:tcW w:w="5000" w:type="pct"/>
            <w:gridSpan w:val="3"/>
          </w:tcPr>
          <w:p w:rsidR="005A5407" w:rsidRPr="00164D42" w:rsidRDefault="005A5407" w:rsidP="00B02DE5">
            <w:pPr>
              <w:jc w:val="both"/>
              <w:rPr>
                <w:rFonts w:eastAsia="Calibri"/>
                <w:sz w:val="20"/>
                <w:lang w:val="fr-CA"/>
              </w:rPr>
            </w:pPr>
            <w:r w:rsidRPr="00164D42">
              <w:rPr>
                <w:rFonts w:eastAsia="Calibri"/>
                <w:sz w:val="20"/>
                <w:lang w:val="fr-CA"/>
              </w:rPr>
              <w:lastRenderedPageBreak/>
              <w:t>Les demandeurs, Jules Bossé et Anne Doiron Bossé, conjointement avec la société Les Entreprises Envirotek Ltée, doivent de l’argent à l’intimée, Financement agricole Canada (FAC) depuis qu’Envirotek a manqué à ses obligations au titre de deux prêts qui étaient garantis par des hypothèques accessoires.  FAC a exercé les droits de vente que lui conféraient les hypothèques accessoires et les biens</w:t>
            </w:r>
            <w:r w:rsidRPr="00164D42">
              <w:rPr>
                <w:rFonts w:eastAsia="Calibri"/>
                <w:sz w:val="20"/>
                <w:lang w:val="fr-CA"/>
              </w:rPr>
              <w:noBreakHyphen/>
              <w:t xml:space="preserve">fonds ont été vendus aux enchères.  FAC a ensuite engagé une action en vue de recouvrer le déficit impayé au titre des prêts après la vente hypothécaire.  Une grande partie du contentieux a porté sur une série de documents que les Bossé eux-mêmes ont créés et ont ensuite fait parvenir à FAC, dans lesquels ils prétendent avoir payé intégralement toutes les sommes exigibles.  Les documents prétendent contraindre le Trésor américain à payer certaines sommes qui excèdent le déficit exigible au titre des prêts après la vente hypothécaire.  Les Bossé ont déposé ces documents auprès de FAC et ont prétendu que par application de la </w:t>
            </w:r>
            <w:hyperlink r:id="rId69" w:history="1">
              <w:r w:rsidRPr="00164D42">
                <w:rPr>
                  <w:rFonts w:eastAsia="Calibri"/>
                  <w:i/>
                  <w:iCs/>
                  <w:color w:val="000000"/>
                  <w:sz w:val="20"/>
                  <w:lang w:val="fr-CA"/>
                </w:rPr>
                <w:t>Loi sur les lettres de change</w:t>
              </w:r>
              <w:r w:rsidRPr="00164D42">
                <w:rPr>
                  <w:rFonts w:eastAsia="Calibri"/>
                  <w:color w:val="000000"/>
                  <w:sz w:val="20"/>
                  <w:lang w:val="fr-CA"/>
                </w:rPr>
                <w:t>, L.R.C. (1985), ch. B-4</w:t>
              </w:r>
            </w:hyperlink>
            <w:r w:rsidRPr="00164D42">
              <w:rPr>
                <w:rFonts w:eastAsia="Calibri"/>
                <w:sz w:val="20"/>
                <w:lang w:val="fr-CA"/>
              </w:rPr>
              <w:t>, ils se sont acquittés de leurs obligations envers FAC.  Ces documents ont été jugés n’avoir aucune valeur juridique et les prétentions des Bossé ont été rejetées à maintes reprises.  Le 27 juillet 2012, une juge de la Cour du Banc de la Reine a accordé un jugement sommaire à FAC pour le motif qu’aucune défense n’était opposable à l’action.  Le 4 avril 2013, la juge de la Cour du Banc de la Reine a rendu les motifs de sa décision d’ordonner aux demandeurs de payer à FAC la somme de 279 410 $ plus les débours.  Les Bossé ont invoqué plusieurs moyens d’appel dans lesquels ils contestent, notamment, la validité de certains textes législatifs, la compétence de la Cour du Banc de la Reine, certaines conclusions de fait, la décision sur certaines questions de droit et la façon dont la Cour a appliqué le droit aux faits.  La Cour d’appel a rejeté l’appel et a accordé à FAC des dépens calculés sur la base des frais entre avocat et client.</w:t>
            </w:r>
          </w:p>
          <w:p w:rsidR="005A5407" w:rsidRPr="00164D42" w:rsidRDefault="005A5407" w:rsidP="00B02DE5">
            <w:pPr>
              <w:jc w:val="both"/>
              <w:rPr>
                <w:rFonts w:eastAsia="Calibri"/>
                <w:sz w:val="20"/>
                <w:lang w:val="fr-CA"/>
              </w:rPr>
            </w:pP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4 avril 2013</w:t>
            </w:r>
          </w:p>
          <w:p w:rsidR="005A5407" w:rsidRPr="00164D42" w:rsidRDefault="005A5407" w:rsidP="00B02DE5">
            <w:pPr>
              <w:jc w:val="both"/>
              <w:rPr>
                <w:rFonts w:eastAsia="Calibri"/>
                <w:sz w:val="20"/>
                <w:lang w:val="fr-CA"/>
              </w:rPr>
            </w:pPr>
            <w:r w:rsidRPr="00164D42">
              <w:rPr>
                <w:rFonts w:eastAsia="Calibri"/>
                <w:sz w:val="20"/>
                <w:lang w:val="fr-CA"/>
              </w:rPr>
              <w:t>Cour du Banc de la Reine du Nouveau-Brunswick</w:t>
            </w:r>
          </w:p>
          <w:p w:rsidR="005A5407" w:rsidRPr="00164D42" w:rsidRDefault="005A5407" w:rsidP="00B02DE5">
            <w:pPr>
              <w:jc w:val="both"/>
              <w:rPr>
                <w:rFonts w:eastAsia="Calibri"/>
                <w:sz w:val="20"/>
                <w:lang w:val="fr-CA"/>
              </w:rPr>
            </w:pPr>
            <w:r w:rsidRPr="00164D42">
              <w:rPr>
                <w:rFonts w:eastAsia="Calibri"/>
                <w:sz w:val="20"/>
                <w:lang w:val="fr-CA"/>
              </w:rPr>
              <w:t>(Juge LaVigne)</w:t>
            </w:r>
          </w:p>
          <w:p w:rsidR="005A5407" w:rsidRPr="00164D42" w:rsidRDefault="005A5407" w:rsidP="00B02DE5">
            <w:pPr>
              <w:jc w:val="both"/>
              <w:rPr>
                <w:rFonts w:eastAsia="Calibri"/>
                <w:sz w:val="20"/>
                <w:lang w:val="fr-CA"/>
              </w:rPr>
            </w:pPr>
            <w:r w:rsidRPr="00164D42">
              <w:rPr>
                <w:rFonts w:eastAsia="Calibri"/>
                <w:sz w:val="20"/>
                <w:lang w:val="fr-CA"/>
              </w:rPr>
              <w:t xml:space="preserve">2013 NBBR 131; </w:t>
            </w:r>
            <w:hyperlink r:id="rId70" w:history="1">
              <w:r w:rsidRPr="00164D42">
                <w:rPr>
                  <w:rFonts w:eastAsia="Calibri"/>
                  <w:color w:val="0000FF"/>
                  <w:sz w:val="20"/>
                  <w:u w:val="single"/>
                  <w:lang w:val="fr-CA"/>
                </w:rPr>
                <w:t>http://canlii.ca/t/g2hzg</w:t>
              </w:r>
            </w:hyperlink>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Jugement en faveur de l’intimée pour la somme de 279 410 $ plus les débours</w:t>
            </w:r>
          </w:p>
          <w:p w:rsidR="005A5407" w:rsidRPr="00164D42" w:rsidRDefault="005A5407" w:rsidP="00B02DE5">
            <w:pPr>
              <w:jc w:val="both"/>
              <w:rPr>
                <w:rFonts w:eastAsia="Calibri"/>
                <w:sz w:val="20"/>
                <w:lang w:val="fr-CA"/>
              </w:rPr>
            </w:pPr>
          </w:p>
        </w:tc>
      </w:tr>
      <w:tr w:rsidR="005A5407" w:rsidRPr="00164D42"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27 novembre 2013</w:t>
            </w:r>
          </w:p>
          <w:p w:rsidR="005A5407" w:rsidRPr="00164D42" w:rsidRDefault="005A5407" w:rsidP="00B02DE5">
            <w:pPr>
              <w:jc w:val="both"/>
              <w:rPr>
                <w:rFonts w:eastAsia="Calibri"/>
                <w:sz w:val="20"/>
                <w:lang w:val="fr-CA"/>
              </w:rPr>
            </w:pPr>
            <w:r w:rsidRPr="00164D42">
              <w:rPr>
                <w:rFonts w:eastAsia="Calibri"/>
                <w:sz w:val="20"/>
                <w:lang w:val="fr-CA"/>
              </w:rPr>
              <w:t>Cour d’appel du Nouveau-Brunswick</w:t>
            </w:r>
          </w:p>
          <w:p w:rsidR="005A5407" w:rsidRPr="00164D42" w:rsidRDefault="005A5407" w:rsidP="00B02DE5">
            <w:pPr>
              <w:jc w:val="both"/>
              <w:rPr>
                <w:rFonts w:eastAsia="Calibri"/>
                <w:sz w:val="20"/>
                <w:lang w:val="fr-CA"/>
              </w:rPr>
            </w:pPr>
            <w:r w:rsidRPr="00164D42">
              <w:rPr>
                <w:rFonts w:eastAsia="Calibri"/>
                <w:sz w:val="20"/>
                <w:lang w:val="fr-CA"/>
              </w:rPr>
              <w:t>(Juges Deschênes, Richard  et Quigg)</w:t>
            </w:r>
          </w:p>
          <w:p w:rsidR="005A5407" w:rsidRPr="00164D42" w:rsidRDefault="005A5407" w:rsidP="00B02DE5">
            <w:pPr>
              <w:jc w:val="both"/>
              <w:rPr>
                <w:rFonts w:eastAsia="Calibri"/>
                <w:sz w:val="20"/>
              </w:rPr>
            </w:pPr>
            <w:r w:rsidRPr="00164D42">
              <w:rPr>
                <w:rFonts w:eastAsia="Calibri"/>
                <w:sz w:val="20"/>
              </w:rPr>
              <w:t xml:space="preserve">2014 NBCA 34; </w:t>
            </w:r>
            <w:hyperlink r:id="rId71" w:history="1">
              <w:r w:rsidRPr="00164D42">
                <w:rPr>
                  <w:rFonts w:eastAsia="Calibri"/>
                  <w:color w:val="0000FF"/>
                  <w:sz w:val="20"/>
                  <w:u w:val="single"/>
                </w:rPr>
                <w:t>http://canlii.ca/t/g71g0</w:t>
              </w:r>
            </w:hyperlink>
          </w:p>
          <w:p w:rsidR="005A5407" w:rsidRPr="00164D42" w:rsidRDefault="005A5407" w:rsidP="00B02DE5">
            <w:pPr>
              <w:jc w:val="both"/>
              <w:rPr>
                <w:rFonts w:eastAsia="Calibri"/>
                <w:sz w:val="20"/>
              </w:rPr>
            </w:pPr>
          </w:p>
        </w:tc>
        <w:tc>
          <w:tcPr>
            <w:tcW w:w="243" w:type="pct"/>
          </w:tcPr>
          <w:p w:rsidR="005A5407" w:rsidRPr="00164D42" w:rsidRDefault="005A5407" w:rsidP="00B02DE5">
            <w:pPr>
              <w:jc w:val="both"/>
              <w:rPr>
                <w:rFonts w:eastAsia="Calibri"/>
                <w:sz w:val="20"/>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Appel rejeté</w:t>
            </w:r>
          </w:p>
          <w:p w:rsidR="005A5407" w:rsidRPr="00164D42" w:rsidRDefault="005A5407" w:rsidP="00B02DE5">
            <w:pPr>
              <w:jc w:val="both"/>
              <w:rPr>
                <w:rFonts w:eastAsia="Calibri"/>
                <w:sz w:val="20"/>
                <w:lang w:val="fr-CA"/>
              </w:rPr>
            </w:pPr>
          </w:p>
        </w:tc>
      </w:tr>
      <w:tr w:rsidR="005A5407" w:rsidRPr="00164D42"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27 août 2014</w:t>
            </w:r>
          </w:p>
          <w:p w:rsidR="005A5407" w:rsidRPr="00164D42" w:rsidRDefault="005A5407" w:rsidP="00B02DE5">
            <w:pPr>
              <w:jc w:val="both"/>
              <w:rPr>
                <w:rFonts w:eastAsia="Calibri"/>
                <w:sz w:val="20"/>
                <w:lang w:val="fr-CA"/>
              </w:rPr>
            </w:pPr>
            <w:r w:rsidRPr="00164D42">
              <w:rPr>
                <w:rFonts w:eastAsia="Calibri"/>
                <w:sz w:val="20"/>
                <w:lang w:val="fr-CA"/>
              </w:rPr>
              <w:t>Cour suprême du Canada</w:t>
            </w:r>
          </w:p>
          <w:p w:rsidR="005A5407" w:rsidRPr="00164D42" w:rsidRDefault="005A5407" w:rsidP="00B02DE5">
            <w:pPr>
              <w:jc w:val="both"/>
              <w:rPr>
                <w:rFonts w:eastAsia="Calibri"/>
                <w:sz w:val="20"/>
                <w:lang w:val="fr-CA"/>
              </w:rPr>
            </w:pP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Demande d’autorisation d’appel, déposée</w:t>
            </w:r>
          </w:p>
          <w:p w:rsidR="005A5407" w:rsidRPr="00164D42" w:rsidRDefault="005A5407" w:rsidP="00B02DE5">
            <w:pPr>
              <w:jc w:val="both"/>
              <w:rPr>
                <w:rFonts w:eastAsia="Calibri"/>
                <w:sz w:val="20"/>
                <w:lang w:val="fr-CA"/>
              </w:rPr>
            </w:pPr>
          </w:p>
        </w:tc>
      </w:tr>
      <w:tr w:rsidR="005A5407" w:rsidRPr="00E4461B" w:rsidTr="00B02DE5">
        <w:tc>
          <w:tcPr>
            <w:tcW w:w="2427" w:type="pct"/>
          </w:tcPr>
          <w:p w:rsidR="005A5407" w:rsidRPr="00164D42" w:rsidRDefault="005A5407" w:rsidP="00B02DE5">
            <w:pPr>
              <w:jc w:val="both"/>
              <w:rPr>
                <w:rFonts w:eastAsia="Calibri"/>
                <w:sz w:val="20"/>
                <w:lang w:val="fr-CA"/>
              </w:rPr>
            </w:pPr>
            <w:r w:rsidRPr="00164D42">
              <w:rPr>
                <w:rFonts w:eastAsia="Calibri"/>
                <w:sz w:val="20"/>
                <w:lang w:val="fr-CA"/>
              </w:rPr>
              <w:t>26 septembre 2014</w:t>
            </w:r>
          </w:p>
          <w:p w:rsidR="005A5407" w:rsidRPr="00164D42" w:rsidRDefault="005A5407" w:rsidP="00B02DE5">
            <w:pPr>
              <w:jc w:val="both"/>
              <w:rPr>
                <w:rFonts w:eastAsia="Calibri"/>
                <w:sz w:val="20"/>
                <w:lang w:val="fr-CA"/>
              </w:rPr>
            </w:pPr>
            <w:r w:rsidRPr="00164D42">
              <w:rPr>
                <w:rFonts w:eastAsia="Calibri"/>
                <w:sz w:val="20"/>
                <w:lang w:val="fr-CA"/>
              </w:rPr>
              <w:t>Cour suprême du Canada</w:t>
            </w:r>
          </w:p>
        </w:tc>
        <w:tc>
          <w:tcPr>
            <w:tcW w:w="243" w:type="pct"/>
          </w:tcPr>
          <w:p w:rsidR="005A5407" w:rsidRPr="00164D42" w:rsidRDefault="005A5407" w:rsidP="00B02DE5">
            <w:pPr>
              <w:jc w:val="both"/>
              <w:rPr>
                <w:rFonts w:eastAsia="Calibri"/>
                <w:sz w:val="20"/>
                <w:lang w:val="fr-CA"/>
              </w:rPr>
            </w:pPr>
          </w:p>
        </w:tc>
        <w:tc>
          <w:tcPr>
            <w:tcW w:w="2330" w:type="pct"/>
          </w:tcPr>
          <w:p w:rsidR="005A5407" w:rsidRPr="00164D42" w:rsidRDefault="005A5407" w:rsidP="00B02DE5">
            <w:pPr>
              <w:jc w:val="both"/>
              <w:rPr>
                <w:rFonts w:eastAsia="Calibri"/>
                <w:sz w:val="20"/>
                <w:lang w:val="fr-CA"/>
              </w:rPr>
            </w:pPr>
            <w:r w:rsidRPr="00164D42">
              <w:rPr>
                <w:rFonts w:eastAsia="Calibri"/>
                <w:sz w:val="20"/>
                <w:lang w:val="fr-CA"/>
              </w:rPr>
              <w:t>Requête en prorogation de délai, déposée</w:t>
            </w:r>
          </w:p>
        </w:tc>
      </w:tr>
    </w:tbl>
    <w:p w:rsidR="00BC2489" w:rsidRPr="005A5407" w:rsidRDefault="00BC2489" w:rsidP="00BC2489">
      <w:pPr>
        <w:rPr>
          <w:sz w:val="20"/>
          <w:szCs w:val="20"/>
          <w:lang w:val="fr-CA"/>
        </w:rPr>
      </w:pPr>
    </w:p>
    <w:p w:rsidR="00BC2489" w:rsidRDefault="00E4461B" w:rsidP="00BC2489">
      <w:pPr>
        <w:rPr>
          <w:sz w:val="20"/>
          <w:szCs w:val="20"/>
          <w:lang w:val="fr-CA"/>
        </w:rPr>
      </w:pPr>
      <w:r>
        <w:rPr>
          <w:sz w:val="20"/>
          <w:szCs w:val="20"/>
          <w:lang w:val="fr-CA"/>
        </w:rPr>
        <w:pict>
          <v:rect id="_x0000_i1051" style="width:2in;height:1pt" o:hrpct="0" o:hralign="center" o:hrstd="t" o:hrnoshade="t" o:hr="t" fillcolor="black [3213]" stroked="f"/>
        </w:pict>
      </w:r>
    </w:p>
    <w:p w:rsidR="00BC2489" w:rsidRDefault="00BC2489" w:rsidP="00BC2489">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B5000" w:rsidRPr="005B5000" w:rsidTr="006535BF">
        <w:trPr>
          <w:cantSplit/>
        </w:trPr>
        <w:tc>
          <w:tcPr>
            <w:tcW w:w="1458" w:type="dxa"/>
          </w:tcPr>
          <w:p w:rsidR="005B5000" w:rsidRPr="005B5000" w:rsidRDefault="005B5000" w:rsidP="005B5000">
            <w:pPr>
              <w:rPr>
                <w:sz w:val="20"/>
              </w:rPr>
            </w:pPr>
            <w:r w:rsidRPr="005B5000">
              <w:rPr>
                <w:b/>
                <w:sz w:val="20"/>
                <w:lang w:val="fr-CA"/>
              </w:rPr>
              <w:t>36040</w:t>
            </w:r>
          </w:p>
          <w:p w:rsidR="005B5000" w:rsidRPr="005B5000" w:rsidRDefault="005B5000" w:rsidP="005B5000">
            <w:pPr>
              <w:rPr>
                <w:b/>
                <w:sz w:val="20"/>
                <w:lang w:val="fr-CA"/>
              </w:rPr>
            </w:pPr>
          </w:p>
        </w:tc>
        <w:tc>
          <w:tcPr>
            <w:tcW w:w="8118" w:type="dxa"/>
          </w:tcPr>
          <w:p w:rsidR="005B5000" w:rsidRPr="005B5000" w:rsidRDefault="005B5000" w:rsidP="005B5000">
            <w:pPr>
              <w:jc w:val="both"/>
              <w:rPr>
                <w:sz w:val="20"/>
                <w:lang w:val="fr-CA"/>
              </w:rPr>
            </w:pPr>
            <w:r w:rsidRPr="005B5000">
              <w:rPr>
                <w:b/>
                <w:sz w:val="20"/>
                <w:u w:val="single"/>
                <w:lang w:val="fr-CA"/>
              </w:rPr>
              <w:t>Pharmaprix Inc., Shoppers Drug Mart Inc., Sanis Health Inc., Domenic Pilla</w:t>
            </w:r>
            <w:r>
              <w:rPr>
                <w:b/>
                <w:sz w:val="20"/>
                <w:u w:val="single"/>
                <w:lang w:val="fr-CA"/>
              </w:rPr>
              <w:t xml:space="preserve"> and</w:t>
            </w:r>
            <w:r w:rsidRPr="005B5000">
              <w:rPr>
                <w:b/>
                <w:sz w:val="20"/>
                <w:u w:val="single"/>
                <w:lang w:val="fr-CA"/>
              </w:rPr>
              <w:t xml:space="preserve"> Jeff Leger v. Régie de l’assurance m</w:t>
            </w:r>
            <w:r>
              <w:rPr>
                <w:b/>
                <w:sz w:val="20"/>
                <w:u w:val="single"/>
                <w:lang w:val="fr-CA"/>
              </w:rPr>
              <w:t>aladie du Québec, Julie Tessier et</w:t>
            </w:r>
            <w:r w:rsidRPr="005B5000">
              <w:rPr>
                <w:b/>
                <w:sz w:val="20"/>
                <w:u w:val="single"/>
                <w:lang w:val="fr-CA"/>
              </w:rPr>
              <w:t xml:space="preserve"> Manon Roy AND BETWEEN Sandoz Canada Inc.</w:t>
            </w:r>
            <w:r>
              <w:rPr>
                <w:b/>
                <w:sz w:val="20"/>
                <w:u w:val="single"/>
                <w:lang w:val="fr-CA"/>
              </w:rPr>
              <w:t xml:space="preserve"> and</w:t>
            </w:r>
            <w:r w:rsidRPr="005B5000">
              <w:rPr>
                <w:b/>
                <w:sz w:val="20"/>
                <w:u w:val="single"/>
                <w:lang w:val="fr-CA"/>
              </w:rPr>
              <w:t xml:space="preserve"> Martin Fournier v. Régie de l</w:t>
            </w:r>
            <w:r>
              <w:rPr>
                <w:b/>
                <w:sz w:val="20"/>
                <w:u w:val="single"/>
                <w:lang w:val="fr-CA"/>
              </w:rPr>
              <w:t>’</w:t>
            </w:r>
            <w:r w:rsidRPr="005B5000">
              <w:rPr>
                <w:b/>
                <w:sz w:val="20"/>
                <w:u w:val="single"/>
                <w:lang w:val="fr-CA"/>
              </w:rPr>
              <w:t>assurance maladie du Québec</w:t>
            </w:r>
            <w:r>
              <w:rPr>
                <w:b/>
                <w:sz w:val="20"/>
                <w:u w:val="single"/>
                <w:lang w:val="fr-CA"/>
              </w:rPr>
              <w:t xml:space="preserve"> and</w:t>
            </w:r>
            <w:r w:rsidRPr="005B5000">
              <w:rPr>
                <w:b/>
                <w:sz w:val="20"/>
                <w:u w:val="single"/>
                <w:lang w:val="fr-CA"/>
              </w:rPr>
              <w:t xml:space="preserve"> Julie Tessier</w:t>
            </w:r>
            <w:r w:rsidRPr="005B5000">
              <w:rPr>
                <w:sz w:val="20"/>
                <w:lang w:val="fr-CA"/>
              </w:rPr>
              <w:t xml:space="preserve"> (Que.) (Civil) (By Leave)</w:t>
            </w:r>
          </w:p>
          <w:p w:rsidR="005B5000" w:rsidRPr="005B5000" w:rsidRDefault="005B5000" w:rsidP="005B5000">
            <w:pPr>
              <w:jc w:val="both"/>
              <w:rPr>
                <w:sz w:val="20"/>
                <w:lang w:val="fr-CA"/>
              </w:rPr>
            </w:pPr>
          </w:p>
        </w:tc>
      </w:tr>
      <w:tr w:rsidR="005B5000" w:rsidRPr="005B5000" w:rsidTr="006535BF">
        <w:trPr>
          <w:cantSplit/>
        </w:trPr>
        <w:tc>
          <w:tcPr>
            <w:tcW w:w="1458" w:type="dxa"/>
          </w:tcPr>
          <w:p w:rsidR="005B5000" w:rsidRPr="005B5000" w:rsidRDefault="005B5000" w:rsidP="005B5000">
            <w:pPr>
              <w:rPr>
                <w:sz w:val="20"/>
                <w:lang w:val="fr-CA"/>
              </w:rPr>
            </w:pPr>
            <w:r w:rsidRPr="005B5000">
              <w:rPr>
                <w:sz w:val="20"/>
                <w:lang w:val="fr-CA"/>
              </w:rPr>
              <w:t>Coram :</w:t>
            </w:r>
          </w:p>
        </w:tc>
        <w:tc>
          <w:tcPr>
            <w:tcW w:w="8118" w:type="dxa"/>
          </w:tcPr>
          <w:p w:rsidR="005B5000" w:rsidRPr="006535BF" w:rsidRDefault="005B5000" w:rsidP="005B5000">
            <w:pPr>
              <w:rPr>
                <w:sz w:val="20"/>
              </w:rPr>
            </w:pPr>
            <w:r w:rsidRPr="006535BF">
              <w:rPr>
                <w:sz w:val="20"/>
                <w:u w:val="single"/>
              </w:rPr>
              <w:t>McLachlin C.J. and Cromwell and Wagner JJ.</w:t>
            </w:r>
          </w:p>
          <w:p w:rsidR="005B5000" w:rsidRPr="006535BF" w:rsidRDefault="005B5000" w:rsidP="005B5000">
            <w:pPr>
              <w:rPr>
                <w:sz w:val="20"/>
                <w:u w:val="single"/>
              </w:rPr>
            </w:pPr>
          </w:p>
        </w:tc>
      </w:tr>
      <w:tr w:rsidR="005B5000" w:rsidRPr="00E4461B" w:rsidTr="006535BF">
        <w:trPr>
          <w:cantSplit/>
        </w:trPr>
        <w:tc>
          <w:tcPr>
            <w:tcW w:w="9576" w:type="dxa"/>
            <w:gridSpan w:val="2"/>
          </w:tcPr>
          <w:p w:rsidR="005B5000" w:rsidRPr="005B5000" w:rsidRDefault="005B5000" w:rsidP="005B5000">
            <w:pPr>
              <w:ind w:firstLine="720"/>
              <w:jc w:val="both"/>
              <w:rPr>
                <w:sz w:val="20"/>
              </w:rPr>
            </w:pPr>
            <w:r w:rsidRPr="006535BF">
              <w:rPr>
                <w:sz w:val="20"/>
              </w:rPr>
              <w:t>The motions to expedite the applications for the leave to appeal are gran</w:t>
            </w:r>
            <w:r w:rsidRPr="005B5000">
              <w:rPr>
                <w:sz w:val="20"/>
              </w:rPr>
              <w:t>ted.  The applications for leave to appeal from the judgment of the Court of Appeal of Quebec (Montréal), Number 500-09-024403-149, 2014 QCCA 1184, dated June 6, 2014, are dismissed with costs.</w:t>
            </w:r>
          </w:p>
          <w:p w:rsidR="005B5000" w:rsidRPr="005B5000" w:rsidRDefault="005B5000" w:rsidP="005B5000">
            <w:pPr>
              <w:jc w:val="both"/>
              <w:rPr>
                <w:sz w:val="20"/>
              </w:rPr>
            </w:pPr>
          </w:p>
          <w:p w:rsidR="005B5000" w:rsidRPr="005B5000" w:rsidRDefault="005B5000" w:rsidP="005B5000">
            <w:pPr>
              <w:ind w:firstLine="720"/>
              <w:jc w:val="both"/>
              <w:rPr>
                <w:sz w:val="20"/>
                <w:lang w:val="fr-CA"/>
              </w:rPr>
            </w:pPr>
            <w:r w:rsidRPr="005B5000">
              <w:rPr>
                <w:sz w:val="20"/>
                <w:lang w:val="fr-CA"/>
              </w:rPr>
              <w:t>Les requêtes visant à accélérer les demandes d’autorisation d’appel sont accueillies.  Les demandes d’autorisation d’appel de l’arrêt de la Cour d’appel du Québec (Montréal), numéro 500-09-024403-149, 2014 QCCA 1184, daté du 6 juin 2014, sont rejetées avec dépens.</w:t>
            </w:r>
          </w:p>
        </w:tc>
      </w:tr>
    </w:tbl>
    <w:p w:rsidR="00BC2489" w:rsidRPr="005B5000"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438"/>
        <w:gridCol w:w="4661"/>
        <w:gridCol w:w="57"/>
      </w:tblGrid>
      <w:tr w:rsidR="00D26E66" w:rsidRPr="00164D42" w:rsidTr="00B02DE5">
        <w:tc>
          <w:tcPr>
            <w:tcW w:w="5000" w:type="pct"/>
            <w:gridSpan w:val="4"/>
          </w:tcPr>
          <w:p w:rsidR="00D26E66" w:rsidRPr="00164D42" w:rsidRDefault="00D26E66" w:rsidP="00B02DE5">
            <w:pPr>
              <w:jc w:val="both"/>
              <w:rPr>
                <w:rFonts w:eastAsia="Calibri"/>
                <w:sz w:val="20"/>
              </w:rPr>
            </w:pPr>
            <w:r w:rsidRPr="00164D42">
              <w:rPr>
                <w:rFonts w:eastAsia="Calibri"/>
                <w:sz w:val="20"/>
              </w:rPr>
              <w:t>Administrative law –</w:t>
            </w:r>
            <w:r w:rsidRPr="00164D42">
              <w:rPr>
                <w:rFonts w:eastAsia="Calibri"/>
                <w:iCs/>
                <w:sz w:val="20"/>
              </w:rPr>
              <w:t xml:space="preserve"> J</w:t>
            </w:r>
            <w:r w:rsidRPr="00164D42">
              <w:rPr>
                <w:rFonts w:eastAsia="Calibri"/>
                <w:sz w:val="20"/>
              </w:rPr>
              <w:t xml:space="preserve">urisdiction to annul summarily any writ, order or injunction pursuant to s. 19 of the </w:t>
            </w:r>
            <w:r w:rsidRPr="00164D42">
              <w:rPr>
                <w:rFonts w:eastAsia="Calibri"/>
                <w:i/>
                <w:iCs/>
                <w:sz w:val="20"/>
              </w:rPr>
              <w:t>Act respecting the Régie de l’assurance-maladie du Québec (“ARAMQ”)</w:t>
            </w:r>
            <w:r w:rsidRPr="00164D42">
              <w:rPr>
                <w:rFonts w:eastAsia="Calibri"/>
                <w:iCs/>
                <w:sz w:val="20"/>
              </w:rPr>
              <w:t xml:space="preserve"> – </w:t>
            </w:r>
            <w:r w:rsidRPr="00164D42">
              <w:rPr>
                <w:rFonts w:eastAsia="Calibri"/>
                <w:sz w:val="20"/>
              </w:rPr>
              <w:t xml:space="preserve">Can both privative and reinforcement clauses provided for at ss. 18 and 19 of the </w:t>
            </w:r>
            <w:r w:rsidRPr="00164D42">
              <w:rPr>
                <w:rFonts w:eastAsia="Calibri"/>
                <w:i/>
                <w:sz w:val="20"/>
              </w:rPr>
              <w:t>ARAMQ</w:t>
            </w:r>
            <w:r w:rsidRPr="00164D42">
              <w:rPr>
                <w:rFonts w:eastAsia="Calibri"/>
                <w:sz w:val="20"/>
              </w:rPr>
              <w:t xml:space="preserve"> be opposed to interim stays of </w:t>
            </w:r>
            <w:r w:rsidRPr="00164D42">
              <w:rPr>
                <w:rFonts w:eastAsia="Calibri"/>
                <w:i/>
                <w:iCs/>
                <w:sz w:val="20"/>
              </w:rPr>
              <w:t>subpoenas</w:t>
            </w:r>
            <w:r w:rsidRPr="00164D42">
              <w:rPr>
                <w:rFonts w:eastAsia="Calibri"/>
                <w:sz w:val="20"/>
              </w:rPr>
              <w:t xml:space="preserve"> ordered on basis of jurisdictional grounds? – Was annulment of stay of </w:t>
            </w:r>
            <w:r w:rsidRPr="00164D42">
              <w:rPr>
                <w:rFonts w:eastAsia="Calibri"/>
                <w:i/>
                <w:iCs/>
                <w:sz w:val="20"/>
              </w:rPr>
              <w:t>subpoenas</w:t>
            </w:r>
            <w:r w:rsidRPr="00164D42">
              <w:rPr>
                <w:rFonts w:eastAsia="Calibri"/>
                <w:sz w:val="20"/>
              </w:rPr>
              <w:t xml:space="preserve"> justified considering impact on right to contest validity of </w:t>
            </w:r>
            <w:r w:rsidRPr="00164D42">
              <w:rPr>
                <w:rFonts w:eastAsia="Calibri"/>
                <w:i/>
                <w:sz w:val="20"/>
              </w:rPr>
              <w:t>subpoenas</w:t>
            </w:r>
            <w:r w:rsidRPr="00164D42">
              <w:rPr>
                <w:rFonts w:eastAsia="Calibri"/>
                <w:sz w:val="20"/>
              </w:rPr>
              <w:t xml:space="preserve">? – </w:t>
            </w:r>
            <w:r w:rsidRPr="00164D42">
              <w:rPr>
                <w:rFonts w:eastAsia="Calibri"/>
                <w:i/>
                <w:iCs/>
                <w:sz w:val="20"/>
              </w:rPr>
              <w:t>Act respecting the Régie de l’assurance-maladie du Québec</w:t>
            </w:r>
            <w:r w:rsidRPr="00164D42">
              <w:rPr>
                <w:rFonts w:eastAsia="Calibri"/>
                <w:iCs/>
                <w:sz w:val="20"/>
              </w:rPr>
              <w:t xml:space="preserve">, </w:t>
            </w:r>
            <w:r w:rsidRPr="00164D42">
              <w:rPr>
                <w:rFonts w:eastAsia="Calibri"/>
                <w:sz w:val="20"/>
              </w:rPr>
              <w:t xml:space="preserve">C.Q.L.R. c. R-5, ss. 17, 18, 19, 20 – </w:t>
            </w:r>
            <w:r w:rsidRPr="00164D42">
              <w:rPr>
                <w:rFonts w:eastAsia="Calibri"/>
                <w:i/>
                <w:iCs/>
                <w:sz w:val="20"/>
              </w:rPr>
              <w:t>Act respecting public inquiry commissions</w:t>
            </w:r>
            <w:r w:rsidRPr="00164D42">
              <w:rPr>
                <w:rFonts w:eastAsia="Calibri"/>
                <w:sz w:val="20"/>
              </w:rPr>
              <w:t>, C.Q.L.R. c. C-37, ss. 6, 9.</w:t>
            </w:r>
          </w:p>
        </w:tc>
      </w:tr>
      <w:tr w:rsidR="00D26E66" w:rsidRPr="00164D42" w:rsidTr="00B02DE5">
        <w:tc>
          <w:tcPr>
            <w:tcW w:w="5000" w:type="pct"/>
            <w:gridSpan w:val="4"/>
          </w:tcPr>
          <w:p w:rsidR="00D26E66" w:rsidRPr="00164D42" w:rsidRDefault="00D26E66" w:rsidP="00B02DE5">
            <w:pPr>
              <w:jc w:val="both"/>
              <w:rPr>
                <w:rFonts w:eastAsia="Calibri"/>
                <w:sz w:val="20"/>
              </w:rPr>
            </w:pPr>
          </w:p>
        </w:tc>
      </w:tr>
      <w:tr w:rsidR="00D26E66" w:rsidRPr="00164D42" w:rsidTr="00B02DE5">
        <w:tc>
          <w:tcPr>
            <w:tcW w:w="5000" w:type="pct"/>
            <w:gridSpan w:val="4"/>
          </w:tcPr>
          <w:p w:rsidR="00D26E66" w:rsidRPr="00164D42" w:rsidRDefault="00D26E66" w:rsidP="00B02DE5">
            <w:pPr>
              <w:jc w:val="both"/>
              <w:rPr>
                <w:rFonts w:eastAsia="Calibri"/>
                <w:sz w:val="20"/>
              </w:rPr>
            </w:pPr>
            <w:r w:rsidRPr="00164D42">
              <w:rPr>
                <w:rFonts w:eastAsia="Calibri"/>
                <w:sz w:val="20"/>
              </w:rPr>
              <w:t xml:space="preserve">As part of an investigation conducted by the Respondent </w:t>
            </w:r>
            <w:r w:rsidRPr="00164D42">
              <w:rPr>
                <w:rFonts w:eastAsia="Calibri"/>
                <w:i/>
                <w:iCs/>
                <w:sz w:val="20"/>
              </w:rPr>
              <w:t xml:space="preserve">Régie de l’assurance maladie du Québec </w:t>
            </w:r>
            <w:r w:rsidRPr="00164D42">
              <w:rPr>
                <w:rFonts w:eastAsia="Calibri"/>
                <w:sz w:val="20"/>
              </w:rPr>
              <w:t>(the “</w:t>
            </w:r>
            <w:r w:rsidRPr="00164D42">
              <w:rPr>
                <w:rFonts w:eastAsia="Calibri"/>
                <w:bCs/>
                <w:sz w:val="20"/>
              </w:rPr>
              <w:t>RAMQ</w:t>
            </w:r>
            <w:r w:rsidRPr="00164D42">
              <w:rPr>
                <w:rFonts w:eastAsia="Calibri"/>
                <w:sz w:val="20"/>
              </w:rPr>
              <w:t xml:space="preserve">”), the Applicants were served with </w:t>
            </w:r>
            <w:r w:rsidRPr="00164D42">
              <w:rPr>
                <w:rFonts w:eastAsia="Calibri"/>
                <w:i/>
                <w:sz w:val="20"/>
              </w:rPr>
              <w:t>subpoenae</w:t>
            </w:r>
            <w:r w:rsidRPr="00164D42">
              <w:rPr>
                <w:rFonts w:eastAsia="Calibri"/>
                <w:sz w:val="20"/>
              </w:rPr>
              <w:t xml:space="preserve"> </w:t>
            </w:r>
            <w:r w:rsidRPr="00164D42">
              <w:rPr>
                <w:rFonts w:eastAsia="Calibri"/>
                <w:i/>
                <w:iCs/>
                <w:sz w:val="20"/>
              </w:rPr>
              <w:t>duces tecum</w:t>
            </w:r>
            <w:r w:rsidRPr="00164D42">
              <w:rPr>
                <w:rFonts w:eastAsia="Calibri"/>
                <w:iCs/>
                <w:sz w:val="20"/>
              </w:rPr>
              <w:t xml:space="preserve">, </w:t>
            </w:r>
            <w:r w:rsidRPr="00164D42">
              <w:rPr>
                <w:rFonts w:eastAsia="Calibri"/>
                <w:i/>
                <w:iCs/>
                <w:sz w:val="20"/>
              </w:rPr>
              <w:t>inter alia</w:t>
            </w:r>
            <w:r w:rsidRPr="00164D42">
              <w:rPr>
                <w:rFonts w:eastAsia="Calibri"/>
                <w:iCs/>
                <w:sz w:val="20"/>
              </w:rPr>
              <w:t xml:space="preserve"> for </w:t>
            </w:r>
            <w:r w:rsidRPr="00164D42">
              <w:rPr>
                <w:rFonts w:eastAsia="Calibri"/>
                <w:sz w:val="20"/>
              </w:rPr>
              <w:t xml:space="preserve">production of various documents and information.  The Applicants objected to parts of the information sought (the “Contested Information”) on the ground that the documents and information sought by the RAMQ fall outside of its jurisdiction because they relate to the Applicants’ extra-provincial activities.  A </w:t>
            </w:r>
            <w:r w:rsidRPr="00164D42">
              <w:rPr>
                <w:rFonts w:eastAsia="Calibri"/>
                <w:i/>
                <w:iCs/>
                <w:sz w:val="20"/>
              </w:rPr>
              <w:t xml:space="preserve">Motion to Institute Proceedings for Judicial Review, to Partially Quash Subpoenas Duces Tecum, for Declaratory Judgment, for a Stay and for Confidentiality Orders </w:t>
            </w:r>
            <w:r w:rsidRPr="00164D42">
              <w:rPr>
                <w:rFonts w:eastAsia="Calibri"/>
                <w:sz w:val="20"/>
              </w:rPr>
              <w:t>(the “</w:t>
            </w:r>
            <w:r w:rsidRPr="00164D42">
              <w:rPr>
                <w:rFonts w:eastAsia="Calibri"/>
                <w:bCs/>
                <w:sz w:val="20"/>
              </w:rPr>
              <w:t>Motion</w:t>
            </w:r>
            <w:r w:rsidRPr="00164D42">
              <w:rPr>
                <w:rFonts w:eastAsia="Calibri"/>
                <w:sz w:val="20"/>
              </w:rPr>
              <w:t xml:space="preserve">”) was accordingly filed by the Applicants.  Pending a decision on the merits of the Motion, the issue of whether the Applicants are required to act in accordance with the </w:t>
            </w:r>
            <w:r w:rsidRPr="00164D42">
              <w:rPr>
                <w:rFonts w:eastAsia="Calibri"/>
                <w:i/>
                <w:sz w:val="20"/>
              </w:rPr>
              <w:t>subpoenas</w:t>
            </w:r>
            <w:r w:rsidRPr="00164D42">
              <w:rPr>
                <w:rFonts w:eastAsia="Calibri"/>
                <w:sz w:val="20"/>
              </w:rPr>
              <w:t xml:space="preserve"> is in dispute.</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May 1, 2014</w:t>
            </w:r>
          </w:p>
          <w:p w:rsidR="00D26E66" w:rsidRPr="00164D42" w:rsidRDefault="00D26E66" w:rsidP="00B02DE5">
            <w:pPr>
              <w:jc w:val="both"/>
              <w:rPr>
                <w:rFonts w:eastAsia="Calibri"/>
                <w:sz w:val="20"/>
              </w:rPr>
            </w:pPr>
            <w:r w:rsidRPr="00164D42">
              <w:rPr>
                <w:rFonts w:eastAsia="Calibri"/>
                <w:sz w:val="20"/>
              </w:rPr>
              <w:t>Superior Court of Quebec</w:t>
            </w:r>
          </w:p>
          <w:p w:rsidR="00D26E66" w:rsidRPr="00164D42" w:rsidRDefault="00D26E66" w:rsidP="00B02DE5">
            <w:pPr>
              <w:jc w:val="both"/>
              <w:rPr>
                <w:rFonts w:eastAsia="Calibri"/>
                <w:sz w:val="20"/>
              </w:rPr>
            </w:pPr>
            <w:r w:rsidRPr="00164D42">
              <w:rPr>
                <w:rFonts w:eastAsia="Calibri"/>
                <w:sz w:val="20"/>
              </w:rPr>
              <w:t>(Corriveau J.)</w:t>
            </w:r>
          </w:p>
          <w:p w:rsidR="00D26E66" w:rsidRPr="00164D42" w:rsidRDefault="00D26E66" w:rsidP="00B02DE5">
            <w:pPr>
              <w:jc w:val="both"/>
              <w:rPr>
                <w:rFonts w:eastAsia="Calibri"/>
                <w:sz w:val="20"/>
              </w:rPr>
            </w:pPr>
            <w:r w:rsidRPr="00164D42">
              <w:rPr>
                <w:rFonts w:eastAsia="Calibri"/>
                <w:sz w:val="20"/>
              </w:rPr>
              <w:t xml:space="preserve">Nos. 500-17-082262-141 and </w:t>
            </w:r>
          </w:p>
          <w:p w:rsidR="00D26E66" w:rsidRPr="00164D42" w:rsidRDefault="00D26E66" w:rsidP="00B02DE5">
            <w:pPr>
              <w:jc w:val="both"/>
              <w:rPr>
                <w:rFonts w:eastAsia="Calibri"/>
                <w:sz w:val="20"/>
              </w:rPr>
            </w:pPr>
            <w:r w:rsidRPr="00164D42">
              <w:rPr>
                <w:rFonts w:eastAsia="Calibri"/>
                <w:sz w:val="20"/>
              </w:rPr>
              <w:t>500-17-082238-141</w:t>
            </w:r>
          </w:p>
          <w:p w:rsidR="00D26E66" w:rsidRPr="00164D42" w:rsidRDefault="00E4461B" w:rsidP="00B02DE5">
            <w:pPr>
              <w:jc w:val="both"/>
              <w:rPr>
                <w:rFonts w:eastAsia="Calibri"/>
                <w:sz w:val="20"/>
                <w:lang w:val="fr-CA"/>
              </w:rPr>
            </w:pPr>
            <w:hyperlink r:id="rId72" w:history="1">
              <w:r w:rsidR="00D26E66" w:rsidRPr="00164D42">
                <w:rPr>
                  <w:rFonts w:eastAsia="Calibri"/>
                  <w:color w:val="0000FF"/>
                  <w:sz w:val="20"/>
                  <w:u w:val="single"/>
                  <w:lang w:val="fr-CA"/>
                </w:rPr>
                <w:t>2014 QCCS 2143</w:t>
              </w:r>
            </w:hyperlink>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 xml:space="preserve">Applicants’ motion for interim and partial stay of </w:t>
            </w:r>
            <w:r w:rsidRPr="00164D42">
              <w:rPr>
                <w:rFonts w:eastAsia="Calibri"/>
                <w:i/>
                <w:iCs/>
                <w:sz w:val="20"/>
              </w:rPr>
              <w:t xml:space="preserve">subpoenas </w:t>
            </w:r>
            <w:r w:rsidRPr="00164D42">
              <w:rPr>
                <w:rFonts w:eastAsia="Calibri"/>
                <w:sz w:val="20"/>
              </w:rPr>
              <w:t>granted.</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June 6, 2014</w:t>
            </w:r>
          </w:p>
          <w:p w:rsidR="00D26E66" w:rsidRPr="00164D42" w:rsidRDefault="00D26E66" w:rsidP="00B02DE5">
            <w:pPr>
              <w:jc w:val="both"/>
              <w:rPr>
                <w:rFonts w:eastAsia="Calibri"/>
                <w:sz w:val="20"/>
              </w:rPr>
            </w:pPr>
            <w:r w:rsidRPr="00164D42">
              <w:rPr>
                <w:rFonts w:eastAsia="Calibri"/>
                <w:sz w:val="20"/>
              </w:rPr>
              <w:t>Court of Appeal of Quebec (Montréal)</w:t>
            </w:r>
          </w:p>
          <w:p w:rsidR="00D26E66" w:rsidRPr="00164D42" w:rsidRDefault="00D26E66" w:rsidP="00B02DE5">
            <w:pPr>
              <w:jc w:val="both"/>
              <w:rPr>
                <w:rFonts w:eastAsia="Calibri"/>
                <w:sz w:val="20"/>
              </w:rPr>
            </w:pPr>
            <w:r w:rsidRPr="00164D42">
              <w:rPr>
                <w:rFonts w:eastAsia="Calibri"/>
                <w:sz w:val="20"/>
              </w:rPr>
              <w:t>(Kasirer J.A.)</w:t>
            </w:r>
          </w:p>
          <w:p w:rsidR="00D26E66" w:rsidRPr="00164D42" w:rsidRDefault="00D26E66" w:rsidP="00B02DE5">
            <w:pPr>
              <w:jc w:val="both"/>
              <w:rPr>
                <w:rFonts w:eastAsia="Calibri"/>
                <w:sz w:val="20"/>
              </w:rPr>
            </w:pPr>
            <w:r w:rsidRPr="00164D42">
              <w:rPr>
                <w:rFonts w:eastAsia="Calibri"/>
                <w:sz w:val="20"/>
              </w:rPr>
              <w:t>No. 500-09-024403-149</w:t>
            </w:r>
          </w:p>
          <w:p w:rsidR="00D26E66" w:rsidRPr="00164D42" w:rsidRDefault="00E4461B" w:rsidP="00B02DE5">
            <w:pPr>
              <w:jc w:val="both"/>
              <w:rPr>
                <w:rFonts w:eastAsia="Calibri"/>
                <w:sz w:val="20"/>
              </w:rPr>
            </w:pPr>
            <w:hyperlink r:id="rId73" w:history="1">
              <w:r w:rsidR="00D26E66" w:rsidRPr="00164D42">
                <w:rPr>
                  <w:rFonts w:eastAsia="Calibri"/>
                  <w:color w:val="0000FF"/>
                  <w:sz w:val="20"/>
                  <w:u w:val="single"/>
                </w:rPr>
                <w:t>2014 QCCA 1184</w:t>
              </w:r>
            </w:hyperlink>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 xml:space="preserve">Respondents’ motion for summary annulment of interim and partial stay of </w:t>
            </w:r>
            <w:r w:rsidRPr="00164D42">
              <w:rPr>
                <w:rFonts w:eastAsia="Calibri"/>
                <w:i/>
                <w:iCs/>
                <w:sz w:val="20"/>
              </w:rPr>
              <w:t xml:space="preserve">subpoenas </w:t>
            </w:r>
            <w:r w:rsidRPr="00164D42">
              <w:rPr>
                <w:rFonts w:eastAsia="Calibri"/>
                <w:sz w:val="20"/>
              </w:rPr>
              <w:t>granted (the “Judgment”).</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June 26, 2014</w:t>
            </w:r>
          </w:p>
          <w:p w:rsidR="00D26E66" w:rsidRPr="00164D42" w:rsidRDefault="00D26E66" w:rsidP="00B02DE5">
            <w:pPr>
              <w:jc w:val="both"/>
              <w:rPr>
                <w:rFonts w:eastAsia="Calibri"/>
                <w:sz w:val="20"/>
              </w:rPr>
            </w:pPr>
            <w:r w:rsidRPr="00164D42">
              <w:rPr>
                <w:rFonts w:eastAsia="Calibri"/>
                <w:sz w:val="20"/>
              </w:rPr>
              <w:t>Court of Appeal of Quebec (Montréal)</w:t>
            </w:r>
          </w:p>
          <w:p w:rsidR="00D26E66" w:rsidRPr="00164D42" w:rsidRDefault="00D26E66" w:rsidP="00B02DE5">
            <w:pPr>
              <w:jc w:val="both"/>
              <w:rPr>
                <w:rFonts w:eastAsia="Calibri"/>
                <w:sz w:val="20"/>
              </w:rPr>
            </w:pPr>
            <w:r w:rsidRPr="00164D42">
              <w:rPr>
                <w:rFonts w:eastAsia="Calibri"/>
                <w:sz w:val="20"/>
              </w:rPr>
              <w:t>(Morissette J.A.)</w:t>
            </w:r>
          </w:p>
          <w:p w:rsidR="00D26E66" w:rsidRPr="00164D42" w:rsidRDefault="00D26E66" w:rsidP="00B02DE5">
            <w:pPr>
              <w:jc w:val="both"/>
              <w:rPr>
                <w:rFonts w:eastAsia="Calibri"/>
                <w:sz w:val="20"/>
              </w:rPr>
            </w:pPr>
            <w:r w:rsidRPr="00164D42">
              <w:rPr>
                <w:rFonts w:eastAsia="Calibri"/>
                <w:sz w:val="20"/>
              </w:rPr>
              <w:t>No. 500-09-024403-149</w:t>
            </w:r>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 xml:space="preserve">Applicants’ motion for interim stay of Judgment dismissed. </w:t>
            </w: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August 8, 2014</w:t>
            </w:r>
          </w:p>
          <w:p w:rsidR="00D26E66" w:rsidRPr="00164D42" w:rsidRDefault="00D26E66" w:rsidP="00B02DE5">
            <w:pPr>
              <w:jc w:val="both"/>
              <w:rPr>
                <w:rFonts w:eastAsia="Calibri"/>
                <w:sz w:val="20"/>
              </w:rPr>
            </w:pPr>
            <w:r w:rsidRPr="00164D42">
              <w:rPr>
                <w:rFonts w:eastAsia="Calibri"/>
                <w:sz w:val="20"/>
              </w:rPr>
              <w:t>Court of Appeal of Quebec (Montréal)</w:t>
            </w:r>
          </w:p>
          <w:p w:rsidR="00D26E66" w:rsidRPr="00164D42" w:rsidRDefault="00D26E66" w:rsidP="00B02DE5">
            <w:pPr>
              <w:jc w:val="both"/>
              <w:rPr>
                <w:rFonts w:eastAsia="Calibri"/>
                <w:sz w:val="20"/>
              </w:rPr>
            </w:pPr>
            <w:r w:rsidRPr="00164D42">
              <w:rPr>
                <w:rFonts w:eastAsia="Calibri"/>
                <w:sz w:val="20"/>
              </w:rPr>
              <w:t>(Doyon J.A.)</w:t>
            </w:r>
          </w:p>
          <w:p w:rsidR="00D26E66" w:rsidRPr="00164D42" w:rsidRDefault="00D26E66" w:rsidP="00B02DE5">
            <w:pPr>
              <w:jc w:val="both"/>
              <w:rPr>
                <w:rFonts w:eastAsia="Calibri"/>
                <w:sz w:val="20"/>
              </w:rPr>
            </w:pPr>
            <w:r w:rsidRPr="00164D42">
              <w:rPr>
                <w:rFonts w:eastAsia="Calibri"/>
                <w:sz w:val="20"/>
              </w:rPr>
              <w:t>No. 500-09-024403-149</w:t>
            </w:r>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Applicants’ motion for interim stay of Judgment granted.</w:t>
            </w:r>
          </w:p>
          <w:p w:rsidR="00D26E66" w:rsidRPr="00164D42" w:rsidRDefault="00D26E66" w:rsidP="00B02DE5">
            <w:pPr>
              <w:jc w:val="both"/>
              <w:rPr>
                <w:rFonts w:eastAsia="Calibri"/>
                <w:sz w:val="20"/>
              </w:rPr>
            </w:pPr>
          </w:p>
        </w:tc>
      </w:tr>
      <w:tr w:rsidR="00D26E66" w:rsidRPr="00164D42" w:rsidTr="00B02DE5">
        <w:tblPrEx>
          <w:tblCellMar>
            <w:bottom w:w="0" w:type="dxa"/>
          </w:tblCellMar>
        </w:tblPrEx>
        <w:trPr>
          <w:gridAfter w:val="1"/>
          <w:wAfter w:w="30" w:type="pct"/>
        </w:trPr>
        <w:tc>
          <w:tcPr>
            <w:tcW w:w="2294" w:type="pct"/>
          </w:tcPr>
          <w:p w:rsidR="00D26E66" w:rsidRPr="00164D42" w:rsidRDefault="00D26E66" w:rsidP="00B02DE5">
            <w:pPr>
              <w:jc w:val="both"/>
              <w:rPr>
                <w:rFonts w:eastAsia="Calibri"/>
                <w:sz w:val="20"/>
              </w:rPr>
            </w:pPr>
            <w:r w:rsidRPr="00164D42">
              <w:rPr>
                <w:rFonts w:eastAsia="Calibri"/>
                <w:sz w:val="20"/>
              </w:rPr>
              <w:t>September 15, 2014</w:t>
            </w:r>
          </w:p>
          <w:p w:rsidR="00D26E66" w:rsidRPr="00164D42" w:rsidRDefault="00D26E66" w:rsidP="00B02DE5">
            <w:pPr>
              <w:jc w:val="both"/>
              <w:rPr>
                <w:rFonts w:eastAsia="Calibri"/>
                <w:sz w:val="20"/>
              </w:rPr>
            </w:pPr>
            <w:r w:rsidRPr="00164D42">
              <w:rPr>
                <w:rFonts w:eastAsia="Calibri"/>
                <w:sz w:val="20"/>
              </w:rPr>
              <w:t>Court of Appeal of Quebec (Montréal)</w:t>
            </w:r>
          </w:p>
          <w:p w:rsidR="00D26E66" w:rsidRPr="00164D42" w:rsidRDefault="00D26E66" w:rsidP="00B02DE5">
            <w:pPr>
              <w:jc w:val="both"/>
              <w:rPr>
                <w:rFonts w:eastAsia="Calibri"/>
                <w:sz w:val="20"/>
                <w:lang w:val="fr-CA"/>
              </w:rPr>
            </w:pPr>
            <w:r w:rsidRPr="00164D42">
              <w:rPr>
                <w:rFonts w:eastAsia="Calibri"/>
                <w:sz w:val="20"/>
                <w:lang w:val="fr-CA"/>
              </w:rPr>
              <w:t>(Rochette, Doyon and Dufresne JJ.A.)</w:t>
            </w:r>
          </w:p>
          <w:p w:rsidR="00D26E66" w:rsidRPr="00164D42" w:rsidRDefault="00D26E66" w:rsidP="00B02DE5">
            <w:pPr>
              <w:jc w:val="both"/>
              <w:rPr>
                <w:rFonts w:eastAsia="Calibri"/>
                <w:sz w:val="20"/>
              </w:rPr>
            </w:pPr>
            <w:r w:rsidRPr="00164D42">
              <w:rPr>
                <w:rFonts w:eastAsia="Calibri"/>
                <w:sz w:val="20"/>
              </w:rPr>
              <w:t>No. 500-09-024403-149</w:t>
            </w:r>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46" w:type="pct"/>
          </w:tcPr>
          <w:p w:rsidR="00D26E66" w:rsidRPr="00164D42" w:rsidRDefault="00D26E66" w:rsidP="00B02DE5">
            <w:pPr>
              <w:jc w:val="both"/>
              <w:rPr>
                <w:rFonts w:eastAsia="Calibri"/>
                <w:sz w:val="20"/>
              </w:rPr>
            </w:pPr>
            <w:r w:rsidRPr="00164D42">
              <w:rPr>
                <w:rFonts w:eastAsia="Calibri"/>
                <w:sz w:val="20"/>
              </w:rPr>
              <w:t xml:space="preserve">Applicants’ motion </w:t>
            </w:r>
            <w:r w:rsidRPr="00164D42">
              <w:rPr>
                <w:rFonts w:eastAsia="Calibri"/>
                <w:iCs/>
                <w:sz w:val="20"/>
              </w:rPr>
              <w:t>for reconsideration/revocation of Judgment dismissed</w:t>
            </w:r>
            <w:r w:rsidRPr="00164D42">
              <w:rPr>
                <w:rFonts w:eastAsia="Calibri"/>
                <w:sz w:val="20"/>
              </w:rPr>
              <w:t>.</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September 4, 2014</w:t>
            </w:r>
          </w:p>
          <w:p w:rsidR="00D26E66" w:rsidRPr="00164D42" w:rsidRDefault="00D26E66" w:rsidP="00B02DE5">
            <w:pPr>
              <w:jc w:val="both"/>
              <w:rPr>
                <w:rFonts w:eastAsia="Calibri"/>
                <w:sz w:val="20"/>
              </w:rPr>
            </w:pPr>
            <w:r w:rsidRPr="00164D42">
              <w:rPr>
                <w:rFonts w:eastAsia="Calibri"/>
                <w:sz w:val="20"/>
              </w:rPr>
              <w:t>Supreme Court of Canada</w:t>
            </w:r>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First application for leave to appeal filed by Pharmaprix Inc., Shoppers Drug Mart Inc., Sanis Health Inc., Domenic Pilla and Jeff Leger.</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lastRenderedPageBreak/>
              <w:t>September 4, 2014</w:t>
            </w:r>
          </w:p>
          <w:p w:rsidR="00D26E66" w:rsidRPr="00164D42" w:rsidRDefault="00D26E66" w:rsidP="00B02DE5">
            <w:pPr>
              <w:jc w:val="both"/>
              <w:rPr>
                <w:rFonts w:eastAsia="Calibri"/>
                <w:sz w:val="20"/>
              </w:rPr>
            </w:pPr>
            <w:r w:rsidRPr="00164D42">
              <w:rPr>
                <w:rFonts w:eastAsia="Calibri"/>
                <w:sz w:val="20"/>
              </w:rPr>
              <w:t>Supreme Court of Canada</w:t>
            </w:r>
          </w:p>
          <w:p w:rsidR="00D26E66" w:rsidRPr="00164D42" w:rsidRDefault="00D26E66" w:rsidP="00B02DE5">
            <w:pPr>
              <w:jc w:val="both"/>
              <w:rPr>
                <w:rFonts w:eastAsia="Calibri"/>
                <w:sz w:val="20"/>
              </w:rPr>
            </w:pP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Second application for leave to appeal filed by Sandoz Canada Inc. and Martin Fournier.</w:t>
            </w:r>
          </w:p>
          <w:p w:rsidR="00D26E66" w:rsidRPr="00164D42" w:rsidRDefault="00D26E66" w:rsidP="00B02DE5">
            <w:pPr>
              <w:jc w:val="both"/>
              <w:rPr>
                <w:rFonts w:eastAsia="Calibri"/>
                <w:sz w:val="20"/>
              </w:rPr>
            </w:pPr>
          </w:p>
        </w:tc>
      </w:tr>
      <w:tr w:rsidR="00D26E66" w:rsidRPr="00164D42" w:rsidTr="00B02DE5">
        <w:tc>
          <w:tcPr>
            <w:tcW w:w="2294" w:type="pct"/>
          </w:tcPr>
          <w:p w:rsidR="00D26E66" w:rsidRPr="00164D42" w:rsidRDefault="00D26E66" w:rsidP="00B02DE5">
            <w:pPr>
              <w:jc w:val="both"/>
              <w:rPr>
                <w:rFonts w:eastAsia="Calibri"/>
                <w:sz w:val="20"/>
              </w:rPr>
            </w:pPr>
            <w:r w:rsidRPr="00164D42">
              <w:rPr>
                <w:rFonts w:eastAsia="Calibri"/>
                <w:sz w:val="20"/>
              </w:rPr>
              <w:t>October 3, 2014</w:t>
            </w:r>
          </w:p>
          <w:p w:rsidR="00D26E66" w:rsidRPr="00164D42" w:rsidRDefault="00D26E66" w:rsidP="00B02DE5">
            <w:pPr>
              <w:jc w:val="both"/>
              <w:rPr>
                <w:rFonts w:eastAsia="Calibri"/>
                <w:sz w:val="20"/>
              </w:rPr>
            </w:pPr>
            <w:r w:rsidRPr="00164D42">
              <w:rPr>
                <w:rFonts w:eastAsia="Calibri"/>
                <w:sz w:val="20"/>
              </w:rPr>
              <w:t>Supreme Court of Canada</w:t>
            </w:r>
          </w:p>
        </w:tc>
        <w:tc>
          <w:tcPr>
            <w:tcW w:w="230" w:type="pct"/>
          </w:tcPr>
          <w:p w:rsidR="00D26E66" w:rsidRPr="00164D42" w:rsidRDefault="00D26E66" w:rsidP="00B02DE5">
            <w:pPr>
              <w:jc w:val="both"/>
              <w:rPr>
                <w:rFonts w:eastAsia="Calibri"/>
                <w:sz w:val="20"/>
              </w:rPr>
            </w:pPr>
          </w:p>
        </w:tc>
        <w:tc>
          <w:tcPr>
            <w:tcW w:w="2476" w:type="pct"/>
            <w:gridSpan w:val="2"/>
          </w:tcPr>
          <w:p w:rsidR="00D26E66" w:rsidRPr="00164D42" w:rsidRDefault="00D26E66" w:rsidP="00B02DE5">
            <w:pPr>
              <w:jc w:val="both"/>
              <w:rPr>
                <w:rFonts w:eastAsia="Calibri"/>
                <w:sz w:val="20"/>
              </w:rPr>
            </w:pPr>
            <w:r w:rsidRPr="00164D42">
              <w:rPr>
                <w:rFonts w:eastAsia="Calibri"/>
                <w:sz w:val="20"/>
              </w:rPr>
              <w:t>Respondents’ motion to expedite application for leave filed.</w:t>
            </w: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52"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371"/>
        <w:gridCol w:w="438"/>
        <w:gridCol w:w="4661"/>
        <w:gridCol w:w="57"/>
      </w:tblGrid>
      <w:tr w:rsidR="00D26E66" w:rsidRPr="00164D42" w:rsidTr="00B02DE5">
        <w:tc>
          <w:tcPr>
            <w:tcW w:w="5000" w:type="pct"/>
            <w:gridSpan w:val="4"/>
          </w:tcPr>
          <w:p w:rsidR="00D26E66" w:rsidRPr="00164D42" w:rsidRDefault="00D26E66" w:rsidP="00B02DE5">
            <w:pPr>
              <w:jc w:val="both"/>
              <w:rPr>
                <w:rFonts w:eastAsia="Calibri"/>
                <w:sz w:val="20"/>
                <w:lang w:val="fr-CA"/>
              </w:rPr>
            </w:pPr>
            <w:r w:rsidRPr="00164D42">
              <w:rPr>
                <w:rFonts w:eastAsia="Calibri"/>
                <w:sz w:val="20"/>
                <w:lang w:val="fr-CA"/>
              </w:rPr>
              <w:t>Droit administratif –</w:t>
            </w:r>
            <w:r w:rsidRPr="00164D42">
              <w:rPr>
                <w:rFonts w:eastAsia="Calibri"/>
                <w:iCs/>
                <w:sz w:val="20"/>
                <w:lang w:val="fr-CA"/>
              </w:rPr>
              <w:t xml:space="preserve"> Compétence pour annuler sommairement</w:t>
            </w:r>
            <w:r w:rsidRPr="00164D42">
              <w:rPr>
                <w:rFonts w:eastAsia="Calibri"/>
                <w:sz w:val="20"/>
                <w:lang w:val="fr-CA"/>
              </w:rPr>
              <w:t xml:space="preserve"> tout bref et toute ordonnance ou injonction en application de l’art. 19 de la </w:t>
            </w:r>
            <w:r w:rsidRPr="00164D42">
              <w:rPr>
                <w:rFonts w:eastAsia="Calibri"/>
                <w:i/>
                <w:iCs/>
                <w:sz w:val="20"/>
                <w:lang w:val="fr-CA"/>
              </w:rPr>
              <w:t>Loi sur la Régie de l’assurance-maladie du Québec (« LRAMQ »)</w:t>
            </w:r>
            <w:r w:rsidRPr="00164D42">
              <w:rPr>
                <w:rFonts w:eastAsia="Calibri"/>
                <w:iCs/>
                <w:sz w:val="20"/>
                <w:lang w:val="fr-CA"/>
              </w:rPr>
              <w:t xml:space="preserve"> – </w:t>
            </w:r>
            <w:r w:rsidRPr="00164D42">
              <w:rPr>
                <w:rFonts w:eastAsia="Calibri"/>
                <w:sz w:val="20"/>
                <w:lang w:val="fr-CA"/>
              </w:rPr>
              <w:t xml:space="preserve">Peut-on opposer les clauses privatives et de renfort prévues aux art. 18 et 19 de la </w:t>
            </w:r>
            <w:r w:rsidRPr="00164D42">
              <w:rPr>
                <w:rFonts w:eastAsia="Calibri"/>
                <w:i/>
                <w:sz w:val="20"/>
                <w:lang w:val="fr-CA"/>
              </w:rPr>
              <w:t>LRAMQ</w:t>
            </w:r>
            <w:r w:rsidRPr="00164D42">
              <w:rPr>
                <w:rFonts w:eastAsia="Calibri"/>
                <w:sz w:val="20"/>
                <w:lang w:val="fr-CA"/>
              </w:rPr>
              <w:t xml:space="preserve"> aux suspensions provisoires de l’exécution de </w:t>
            </w:r>
            <w:r w:rsidRPr="00164D42">
              <w:rPr>
                <w:rFonts w:eastAsia="Calibri"/>
                <w:i/>
                <w:iCs/>
                <w:sz w:val="20"/>
                <w:lang w:val="fr-CA"/>
              </w:rPr>
              <w:t>subpoenas</w:t>
            </w:r>
            <w:r w:rsidRPr="00164D42">
              <w:rPr>
                <w:rFonts w:eastAsia="Calibri"/>
                <w:sz w:val="20"/>
                <w:lang w:val="fr-CA"/>
              </w:rPr>
              <w:t xml:space="preserve"> ordonnées pour des motifs liés à la compétence? – L’annulation de la suspension de l’exécution des </w:t>
            </w:r>
            <w:r w:rsidRPr="00164D42">
              <w:rPr>
                <w:rFonts w:eastAsia="Calibri"/>
                <w:i/>
                <w:iCs/>
                <w:sz w:val="20"/>
                <w:lang w:val="fr-CA"/>
              </w:rPr>
              <w:t>subpoenas</w:t>
            </w:r>
            <w:r w:rsidRPr="00164D42">
              <w:rPr>
                <w:rFonts w:eastAsia="Calibri"/>
                <w:sz w:val="20"/>
                <w:lang w:val="fr-CA"/>
              </w:rPr>
              <w:t xml:space="preserve"> était-elle justifiée, vu son incidence sur le droit de contester la validité de ceux-ci? – </w:t>
            </w:r>
            <w:r w:rsidRPr="00164D42">
              <w:rPr>
                <w:rFonts w:eastAsia="Calibri"/>
                <w:i/>
                <w:iCs/>
                <w:sz w:val="20"/>
                <w:lang w:val="fr-CA"/>
              </w:rPr>
              <w:t>Loi sur la Régie de l’assurance-maladie du Québec</w:t>
            </w:r>
            <w:r w:rsidRPr="00164D42">
              <w:rPr>
                <w:rFonts w:eastAsia="Calibri"/>
                <w:iCs/>
                <w:sz w:val="20"/>
                <w:lang w:val="fr-CA"/>
              </w:rPr>
              <w:t xml:space="preserve">, </w:t>
            </w:r>
            <w:r w:rsidRPr="00164D42">
              <w:rPr>
                <w:rFonts w:eastAsia="Calibri"/>
                <w:sz w:val="20"/>
                <w:lang w:val="fr-CA"/>
              </w:rPr>
              <w:t xml:space="preserve">R.L.R.Q. ch. R-5, art. 17, 18, 19, 20 – </w:t>
            </w:r>
            <w:r w:rsidRPr="00164D42">
              <w:rPr>
                <w:rFonts w:eastAsia="Calibri"/>
                <w:i/>
                <w:iCs/>
                <w:sz w:val="20"/>
                <w:lang w:val="fr-CA"/>
              </w:rPr>
              <w:t>Loi sur les commissions d’enquête</w:t>
            </w:r>
            <w:r w:rsidRPr="00164D42">
              <w:rPr>
                <w:rFonts w:eastAsia="Calibri"/>
                <w:sz w:val="20"/>
                <w:lang w:val="fr-CA"/>
              </w:rPr>
              <w:t>, R.L.R.Q. ch. C-37, art. 6, 9.</w:t>
            </w:r>
          </w:p>
        </w:tc>
      </w:tr>
      <w:tr w:rsidR="00D26E66" w:rsidRPr="00164D42" w:rsidTr="00B02DE5">
        <w:tc>
          <w:tcPr>
            <w:tcW w:w="5000" w:type="pct"/>
            <w:gridSpan w:val="4"/>
          </w:tcPr>
          <w:p w:rsidR="00D26E66" w:rsidRPr="00164D42" w:rsidRDefault="00D26E66" w:rsidP="00B02DE5">
            <w:pPr>
              <w:jc w:val="both"/>
              <w:rPr>
                <w:rFonts w:eastAsia="Calibri"/>
                <w:sz w:val="20"/>
                <w:lang w:val="fr-CA"/>
              </w:rPr>
            </w:pPr>
          </w:p>
        </w:tc>
      </w:tr>
      <w:tr w:rsidR="00D26E66" w:rsidRPr="00E4461B" w:rsidTr="00B02DE5">
        <w:tc>
          <w:tcPr>
            <w:tcW w:w="5000" w:type="pct"/>
            <w:gridSpan w:val="4"/>
          </w:tcPr>
          <w:p w:rsidR="00D26E66" w:rsidRPr="00164D42" w:rsidRDefault="00D26E66" w:rsidP="00B02DE5">
            <w:pPr>
              <w:jc w:val="both"/>
              <w:rPr>
                <w:rFonts w:eastAsia="Calibri"/>
                <w:sz w:val="20"/>
                <w:lang w:val="fr-CA"/>
              </w:rPr>
            </w:pPr>
            <w:r w:rsidRPr="00164D42">
              <w:rPr>
                <w:rFonts w:eastAsia="Calibri"/>
                <w:sz w:val="20"/>
                <w:lang w:val="fr-CA"/>
              </w:rPr>
              <w:t xml:space="preserve">Dans le cadre d’une enquête menée par la </w:t>
            </w:r>
            <w:r w:rsidRPr="00164D42">
              <w:rPr>
                <w:rFonts w:eastAsia="Calibri"/>
                <w:i/>
                <w:iCs/>
                <w:sz w:val="20"/>
                <w:lang w:val="fr-CA"/>
              </w:rPr>
              <w:t xml:space="preserve">Régie de l’assurance maladie du Québec </w:t>
            </w:r>
            <w:r w:rsidRPr="00164D42">
              <w:rPr>
                <w:rFonts w:eastAsia="Calibri"/>
                <w:sz w:val="20"/>
                <w:lang w:val="fr-CA"/>
              </w:rPr>
              <w:t>(la « </w:t>
            </w:r>
            <w:r w:rsidRPr="00164D42">
              <w:rPr>
                <w:rFonts w:eastAsia="Calibri"/>
                <w:bCs/>
                <w:sz w:val="20"/>
                <w:lang w:val="fr-CA"/>
              </w:rPr>
              <w:t>RAMQ</w:t>
            </w:r>
            <w:r w:rsidRPr="00164D42">
              <w:rPr>
                <w:rFonts w:eastAsia="Calibri"/>
                <w:sz w:val="20"/>
                <w:lang w:val="fr-CA"/>
              </w:rPr>
              <w:t xml:space="preserve"> ») intimée, les demandeurs se sont vu signifier des </w:t>
            </w:r>
            <w:r w:rsidRPr="00164D42">
              <w:rPr>
                <w:rFonts w:eastAsia="Calibri"/>
                <w:i/>
                <w:sz w:val="20"/>
                <w:lang w:val="fr-CA"/>
              </w:rPr>
              <w:t>subpoenae</w:t>
            </w:r>
            <w:r w:rsidRPr="00164D42">
              <w:rPr>
                <w:rFonts w:eastAsia="Calibri"/>
                <w:sz w:val="20"/>
                <w:lang w:val="fr-CA"/>
              </w:rPr>
              <w:t xml:space="preserve"> </w:t>
            </w:r>
            <w:r w:rsidRPr="00164D42">
              <w:rPr>
                <w:rFonts w:eastAsia="Calibri"/>
                <w:i/>
                <w:iCs/>
                <w:sz w:val="20"/>
                <w:lang w:val="fr-CA"/>
              </w:rPr>
              <w:t>duces tecum</w:t>
            </w:r>
            <w:r w:rsidRPr="00164D42">
              <w:rPr>
                <w:rFonts w:eastAsia="Calibri"/>
                <w:iCs/>
                <w:sz w:val="20"/>
                <w:lang w:val="fr-CA"/>
              </w:rPr>
              <w:t>, leur ordonnant notamment de produire divers documents et renseignements</w:t>
            </w:r>
            <w:r w:rsidRPr="00164D42">
              <w:rPr>
                <w:rFonts w:eastAsia="Calibri"/>
                <w:sz w:val="20"/>
                <w:lang w:val="fr-CA"/>
              </w:rPr>
              <w:t>.  Les demandeurs se sont opposés à la communication de certains renseignements demandés (les « renseignements contestés ») au motif que les documents et les renseignements demandés par la RAMQ ne relèvent pas de sa compétence, puisqu’ils se rapportent aux activités extraprovinciales des demandeurs.  Les demandeurs ont donc présenté une [</w:t>
            </w:r>
            <w:r w:rsidRPr="00164D42">
              <w:rPr>
                <w:rFonts w:eastAsia="Calibri"/>
                <w:smallCaps/>
                <w:sz w:val="20"/>
                <w:lang w:val="fr-CA"/>
              </w:rPr>
              <w:t>traduction</w:t>
            </w:r>
            <w:r w:rsidRPr="00164D42">
              <w:rPr>
                <w:rFonts w:eastAsia="Calibri"/>
                <w:sz w:val="20"/>
                <w:lang w:val="fr-CA"/>
              </w:rPr>
              <w:t xml:space="preserve">] </w:t>
            </w:r>
            <w:r w:rsidRPr="00164D42">
              <w:rPr>
                <w:rFonts w:eastAsia="Calibri"/>
                <w:i/>
                <w:iCs/>
                <w:sz w:val="20"/>
                <w:lang w:val="fr-CA"/>
              </w:rPr>
              <w:t>Demande de révision judiciaire et une requête sollicitant l’annulation partielle des subpoenas duces tecum, un jugement déclaratoire, un sursis à l’exécution et des ordonnances de confidentialité</w:t>
            </w:r>
            <w:r w:rsidRPr="00164D42">
              <w:rPr>
                <w:rFonts w:eastAsia="Calibri"/>
                <w:sz w:val="20"/>
                <w:lang w:val="fr-CA"/>
              </w:rPr>
              <w:t xml:space="preserve">.  En attendant une décision sur le fond de ces diverses demandes, la question en litige est de savoir si les demandeurs sont tenus d’obtempérer aux </w:t>
            </w:r>
            <w:r w:rsidRPr="00164D42">
              <w:rPr>
                <w:rFonts w:eastAsia="Calibri"/>
                <w:i/>
                <w:sz w:val="20"/>
                <w:lang w:val="fr-CA"/>
              </w:rPr>
              <w:t>subpeonas</w:t>
            </w:r>
            <w:r w:rsidRPr="00164D42">
              <w:rPr>
                <w:rFonts w:eastAsia="Calibri"/>
                <w:sz w:val="20"/>
                <w:lang w:val="fr-CA"/>
              </w:rPr>
              <w:t>.</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1</w:t>
            </w:r>
            <w:r w:rsidRPr="00164D42">
              <w:rPr>
                <w:rFonts w:eastAsia="Calibri"/>
                <w:sz w:val="20"/>
                <w:vertAlign w:val="superscript"/>
                <w:lang w:val="fr-CA"/>
              </w:rPr>
              <w:t>er</w:t>
            </w:r>
            <w:r w:rsidRPr="00164D42">
              <w:rPr>
                <w:rFonts w:eastAsia="Calibri"/>
                <w:sz w:val="20"/>
                <w:lang w:val="fr-CA"/>
              </w:rPr>
              <w:t xml:space="preserve"> mai 2014</w:t>
            </w:r>
          </w:p>
          <w:p w:rsidR="00D26E66" w:rsidRPr="00164D42" w:rsidRDefault="00D26E66" w:rsidP="00B02DE5">
            <w:pPr>
              <w:jc w:val="both"/>
              <w:rPr>
                <w:rFonts w:eastAsia="Calibri"/>
                <w:sz w:val="20"/>
                <w:lang w:val="fr-CA"/>
              </w:rPr>
            </w:pPr>
            <w:r w:rsidRPr="00164D42">
              <w:rPr>
                <w:rFonts w:eastAsia="Calibri"/>
                <w:sz w:val="20"/>
                <w:lang w:val="fr-CA"/>
              </w:rPr>
              <w:t>Cour supérieure du Québec</w:t>
            </w:r>
          </w:p>
          <w:p w:rsidR="00D26E66" w:rsidRPr="00164D42" w:rsidRDefault="00D26E66" w:rsidP="00B02DE5">
            <w:pPr>
              <w:jc w:val="both"/>
              <w:rPr>
                <w:rFonts w:eastAsia="Calibri"/>
                <w:sz w:val="20"/>
                <w:lang w:val="fr-CA"/>
              </w:rPr>
            </w:pPr>
            <w:r w:rsidRPr="00164D42">
              <w:rPr>
                <w:rFonts w:eastAsia="Calibri"/>
                <w:sz w:val="20"/>
                <w:lang w:val="fr-CA"/>
              </w:rPr>
              <w:t>(Juge Corriveau)</w:t>
            </w:r>
          </w:p>
          <w:p w:rsidR="00D26E66" w:rsidRPr="00164D42" w:rsidRDefault="00D26E66"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os</w:t>
            </w:r>
            <w:r w:rsidRPr="00164D42">
              <w:rPr>
                <w:rFonts w:eastAsia="Calibri"/>
                <w:sz w:val="20"/>
                <w:lang w:val="fr-CA"/>
              </w:rPr>
              <w:t xml:space="preserve"> 500-17-082262-141 et </w:t>
            </w:r>
          </w:p>
          <w:p w:rsidR="00D26E66" w:rsidRPr="00164D42" w:rsidRDefault="00D26E66" w:rsidP="00B02DE5">
            <w:pPr>
              <w:jc w:val="both"/>
              <w:rPr>
                <w:rFonts w:eastAsia="Calibri"/>
                <w:sz w:val="20"/>
                <w:lang w:val="fr-CA"/>
              </w:rPr>
            </w:pPr>
            <w:r w:rsidRPr="00164D42">
              <w:rPr>
                <w:rFonts w:eastAsia="Calibri"/>
                <w:sz w:val="20"/>
                <w:lang w:val="fr-CA"/>
              </w:rPr>
              <w:t>500-17-082238-141</w:t>
            </w:r>
          </w:p>
          <w:p w:rsidR="00D26E66" w:rsidRPr="00164D42" w:rsidRDefault="00E4461B" w:rsidP="00B02DE5">
            <w:pPr>
              <w:jc w:val="both"/>
              <w:rPr>
                <w:rFonts w:eastAsia="Calibri"/>
                <w:sz w:val="20"/>
                <w:lang w:val="fr-CA"/>
              </w:rPr>
            </w:pPr>
            <w:hyperlink r:id="rId74" w:history="1">
              <w:r w:rsidR="00D26E66" w:rsidRPr="00164D42">
                <w:rPr>
                  <w:rFonts w:eastAsia="Calibri"/>
                  <w:color w:val="0000FF"/>
                  <w:sz w:val="20"/>
                  <w:u w:val="single"/>
                  <w:lang w:val="fr-CA"/>
                </w:rPr>
                <w:t>2014 QCCS 2143</w:t>
              </w:r>
            </w:hyperlink>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 xml:space="preserve">Requête des demandeurs en suspension provisoire et partielle de l’exécution de </w:t>
            </w:r>
            <w:r w:rsidRPr="00164D42">
              <w:rPr>
                <w:rFonts w:eastAsia="Calibri"/>
                <w:i/>
                <w:iCs/>
                <w:sz w:val="20"/>
                <w:lang w:val="fr-CA"/>
              </w:rPr>
              <w:t>subpoenas</w:t>
            </w:r>
            <w:r w:rsidRPr="00164D42">
              <w:rPr>
                <w:rFonts w:eastAsia="Calibri"/>
                <w:iCs/>
                <w:sz w:val="20"/>
                <w:lang w:val="fr-CA"/>
              </w:rPr>
              <w:t>,</w:t>
            </w:r>
            <w:r w:rsidRPr="00164D42">
              <w:rPr>
                <w:rFonts w:eastAsia="Calibri"/>
                <w:i/>
                <w:iCs/>
                <w:sz w:val="20"/>
                <w:lang w:val="fr-CA"/>
              </w:rPr>
              <w:t xml:space="preserve"> </w:t>
            </w:r>
            <w:r w:rsidRPr="00164D42">
              <w:rPr>
                <w:rFonts w:eastAsia="Calibri"/>
                <w:sz w:val="20"/>
                <w:lang w:val="fr-CA"/>
              </w:rPr>
              <w:t>accueillie.</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6 juin 2014</w:t>
            </w:r>
          </w:p>
          <w:p w:rsidR="00D26E66" w:rsidRPr="00164D42" w:rsidRDefault="00D26E66" w:rsidP="00B02DE5">
            <w:pPr>
              <w:jc w:val="both"/>
              <w:rPr>
                <w:rFonts w:eastAsia="Calibri"/>
                <w:sz w:val="20"/>
                <w:lang w:val="fr-CA"/>
              </w:rPr>
            </w:pPr>
            <w:r w:rsidRPr="00164D42">
              <w:rPr>
                <w:rFonts w:eastAsia="Calibri"/>
                <w:sz w:val="20"/>
                <w:lang w:val="fr-CA"/>
              </w:rPr>
              <w:t>Cour d’appel du Québec (Montréal)</w:t>
            </w:r>
          </w:p>
          <w:p w:rsidR="00D26E66" w:rsidRPr="00164D42" w:rsidRDefault="00D26E66" w:rsidP="00B02DE5">
            <w:pPr>
              <w:jc w:val="both"/>
              <w:rPr>
                <w:rFonts w:eastAsia="Calibri"/>
                <w:sz w:val="20"/>
                <w:lang w:val="fr-CA"/>
              </w:rPr>
            </w:pPr>
            <w:r w:rsidRPr="00164D42">
              <w:rPr>
                <w:rFonts w:eastAsia="Calibri"/>
                <w:sz w:val="20"/>
                <w:lang w:val="fr-CA"/>
              </w:rPr>
              <w:t>(Juge Kasirer)</w:t>
            </w:r>
          </w:p>
          <w:p w:rsidR="00D26E66" w:rsidRPr="00164D42" w:rsidRDefault="00D26E66"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500-09-024403-149</w:t>
            </w:r>
          </w:p>
          <w:p w:rsidR="00D26E66" w:rsidRPr="00164D42" w:rsidRDefault="00E4461B" w:rsidP="00B02DE5">
            <w:pPr>
              <w:jc w:val="both"/>
              <w:rPr>
                <w:rFonts w:eastAsia="Calibri"/>
                <w:sz w:val="20"/>
                <w:lang w:val="fr-CA"/>
              </w:rPr>
            </w:pPr>
            <w:hyperlink r:id="rId75" w:history="1">
              <w:r w:rsidR="00D26E66" w:rsidRPr="00164D42">
                <w:rPr>
                  <w:rFonts w:eastAsia="Calibri"/>
                  <w:color w:val="0000FF"/>
                  <w:sz w:val="20"/>
                  <w:u w:val="single"/>
                  <w:lang w:val="fr-CA"/>
                </w:rPr>
                <w:t>2014 QCCA 1184</w:t>
              </w:r>
            </w:hyperlink>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 xml:space="preserve">Requête des intimées en annulation sommaire de la suspension provisoire et partielle des </w:t>
            </w:r>
            <w:r w:rsidRPr="00164D42">
              <w:rPr>
                <w:rFonts w:eastAsia="Calibri"/>
                <w:i/>
                <w:iCs/>
                <w:sz w:val="20"/>
                <w:lang w:val="fr-CA"/>
              </w:rPr>
              <w:t>subpoenas</w:t>
            </w:r>
            <w:r w:rsidRPr="00164D42">
              <w:rPr>
                <w:rFonts w:eastAsia="Calibri"/>
                <w:iCs/>
                <w:sz w:val="20"/>
                <w:lang w:val="fr-CA"/>
              </w:rPr>
              <w:t>,</w:t>
            </w:r>
            <w:r w:rsidRPr="00164D42">
              <w:rPr>
                <w:rFonts w:eastAsia="Calibri"/>
                <w:i/>
                <w:iCs/>
                <w:sz w:val="20"/>
                <w:lang w:val="fr-CA"/>
              </w:rPr>
              <w:t xml:space="preserve"> </w:t>
            </w:r>
            <w:r w:rsidRPr="00164D42">
              <w:rPr>
                <w:rFonts w:eastAsia="Calibri"/>
                <w:sz w:val="20"/>
                <w:lang w:val="fr-CA"/>
              </w:rPr>
              <w:t>accueillie (le « jugement »).</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26 juin 2014</w:t>
            </w:r>
          </w:p>
          <w:p w:rsidR="00D26E66" w:rsidRPr="00164D42" w:rsidRDefault="00D26E66" w:rsidP="00B02DE5">
            <w:pPr>
              <w:jc w:val="both"/>
              <w:rPr>
                <w:rFonts w:eastAsia="Calibri"/>
                <w:sz w:val="20"/>
                <w:lang w:val="fr-CA"/>
              </w:rPr>
            </w:pPr>
            <w:r w:rsidRPr="00164D42">
              <w:rPr>
                <w:rFonts w:eastAsia="Calibri"/>
                <w:sz w:val="20"/>
                <w:lang w:val="fr-CA"/>
              </w:rPr>
              <w:t>Cour d’appel du Québec (Montréal)</w:t>
            </w:r>
          </w:p>
          <w:p w:rsidR="00D26E66" w:rsidRPr="00164D42" w:rsidRDefault="00D26E66" w:rsidP="00B02DE5">
            <w:pPr>
              <w:jc w:val="both"/>
              <w:rPr>
                <w:rFonts w:eastAsia="Calibri"/>
                <w:sz w:val="20"/>
                <w:lang w:val="fr-CA"/>
              </w:rPr>
            </w:pPr>
            <w:r w:rsidRPr="00164D42">
              <w:rPr>
                <w:rFonts w:eastAsia="Calibri"/>
                <w:sz w:val="20"/>
                <w:lang w:val="fr-CA"/>
              </w:rPr>
              <w:t>(Juge Morissette)</w:t>
            </w:r>
          </w:p>
          <w:p w:rsidR="00D26E66" w:rsidRPr="00164D42" w:rsidRDefault="00D26E66"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500-09-024403-149</w:t>
            </w:r>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 xml:space="preserve">Requête des demandeurs en sursis à l’exécution du jugement, rejetée. </w:t>
            </w: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8 août 2014</w:t>
            </w:r>
          </w:p>
          <w:p w:rsidR="00D26E66" w:rsidRPr="00164D42" w:rsidRDefault="00D26E66" w:rsidP="00B02DE5">
            <w:pPr>
              <w:jc w:val="both"/>
              <w:rPr>
                <w:rFonts w:eastAsia="Calibri"/>
                <w:sz w:val="20"/>
                <w:lang w:val="fr-CA"/>
              </w:rPr>
            </w:pPr>
            <w:r w:rsidRPr="00164D42">
              <w:rPr>
                <w:rFonts w:eastAsia="Calibri"/>
                <w:sz w:val="20"/>
                <w:lang w:val="fr-CA"/>
              </w:rPr>
              <w:t>Cour d’appel du Québec (Montréal)</w:t>
            </w:r>
          </w:p>
          <w:p w:rsidR="00D26E66" w:rsidRPr="00164D42" w:rsidRDefault="00D26E66" w:rsidP="00B02DE5">
            <w:pPr>
              <w:jc w:val="both"/>
              <w:rPr>
                <w:rFonts w:eastAsia="Calibri"/>
                <w:sz w:val="20"/>
                <w:lang w:val="fr-CA"/>
              </w:rPr>
            </w:pPr>
            <w:r w:rsidRPr="00164D42">
              <w:rPr>
                <w:rFonts w:eastAsia="Calibri"/>
                <w:sz w:val="20"/>
                <w:lang w:val="fr-CA"/>
              </w:rPr>
              <w:t>(Juge Doyon)</w:t>
            </w:r>
          </w:p>
          <w:p w:rsidR="00D26E66" w:rsidRPr="00164D42" w:rsidRDefault="00D26E66"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w:t>
            </w:r>
            <w:r w:rsidRPr="00164D42">
              <w:rPr>
                <w:rFonts w:eastAsia="Calibri"/>
                <w:sz w:val="20"/>
                <w:lang w:val="fr-CA"/>
              </w:rPr>
              <w:t xml:space="preserve"> 500-09-024403-149</w:t>
            </w:r>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Requête des demandeurs en sursis à l’exécution du jugement, accueillie.</w:t>
            </w:r>
          </w:p>
          <w:p w:rsidR="00D26E66" w:rsidRPr="00164D42" w:rsidRDefault="00D26E66" w:rsidP="00B02DE5">
            <w:pPr>
              <w:jc w:val="both"/>
              <w:rPr>
                <w:rFonts w:eastAsia="Calibri"/>
                <w:sz w:val="20"/>
                <w:lang w:val="fr-CA"/>
              </w:rPr>
            </w:pPr>
          </w:p>
        </w:tc>
      </w:tr>
      <w:tr w:rsidR="00D26E66" w:rsidRPr="00E4461B" w:rsidTr="00B02DE5">
        <w:tblPrEx>
          <w:tblCellMar>
            <w:bottom w:w="0" w:type="dxa"/>
          </w:tblCellMar>
        </w:tblPrEx>
        <w:trPr>
          <w:gridAfter w:val="1"/>
          <w:wAfter w:w="30" w:type="pct"/>
        </w:trPr>
        <w:tc>
          <w:tcPr>
            <w:tcW w:w="2294" w:type="pct"/>
          </w:tcPr>
          <w:p w:rsidR="00D26E66" w:rsidRPr="00164D42" w:rsidRDefault="00D26E66" w:rsidP="00B02DE5">
            <w:pPr>
              <w:jc w:val="both"/>
              <w:rPr>
                <w:rFonts w:eastAsia="Calibri"/>
                <w:sz w:val="20"/>
                <w:lang w:val="fr-CA"/>
              </w:rPr>
            </w:pPr>
            <w:r w:rsidRPr="00164D42">
              <w:rPr>
                <w:rFonts w:eastAsia="Calibri"/>
                <w:sz w:val="20"/>
                <w:lang w:val="fr-CA"/>
              </w:rPr>
              <w:lastRenderedPageBreak/>
              <w:t>15 septembre 2014</w:t>
            </w:r>
          </w:p>
          <w:p w:rsidR="00D26E66" w:rsidRPr="00164D42" w:rsidRDefault="00D26E66" w:rsidP="00B02DE5">
            <w:pPr>
              <w:jc w:val="both"/>
              <w:rPr>
                <w:rFonts w:eastAsia="Calibri"/>
                <w:sz w:val="20"/>
                <w:lang w:val="fr-CA"/>
              </w:rPr>
            </w:pPr>
            <w:r w:rsidRPr="00164D42">
              <w:rPr>
                <w:rFonts w:eastAsia="Calibri"/>
                <w:sz w:val="20"/>
                <w:lang w:val="fr-CA"/>
              </w:rPr>
              <w:t>Cour d’appel du Québec (Montréal)</w:t>
            </w:r>
          </w:p>
          <w:p w:rsidR="00D26E66" w:rsidRPr="00164D42" w:rsidRDefault="00D26E66" w:rsidP="00B02DE5">
            <w:pPr>
              <w:jc w:val="both"/>
              <w:rPr>
                <w:rFonts w:eastAsia="Calibri"/>
                <w:sz w:val="20"/>
                <w:lang w:val="fr-CA"/>
              </w:rPr>
            </w:pPr>
            <w:r w:rsidRPr="00164D42">
              <w:rPr>
                <w:rFonts w:eastAsia="Calibri"/>
                <w:sz w:val="20"/>
                <w:lang w:val="fr-CA"/>
              </w:rPr>
              <w:t>(Juge Rochette, Doyon et Dufresne)</w:t>
            </w:r>
          </w:p>
          <w:p w:rsidR="00D26E66" w:rsidRPr="00164D42" w:rsidRDefault="00D26E66" w:rsidP="00B02DE5">
            <w:pPr>
              <w:jc w:val="both"/>
              <w:rPr>
                <w:rFonts w:eastAsia="Calibri"/>
                <w:sz w:val="20"/>
                <w:lang w:val="fr-CA"/>
              </w:rPr>
            </w:pPr>
            <w:r w:rsidRPr="00164D42">
              <w:rPr>
                <w:rFonts w:eastAsia="Calibri"/>
                <w:sz w:val="20"/>
                <w:lang w:val="fr-CA"/>
              </w:rPr>
              <w:t>N</w:t>
            </w:r>
            <w:r w:rsidRPr="00164D42">
              <w:rPr>
                <w:rFonts w:eastAsia="Calibri"/>
                <w:sz w:val="20"/>
                <w:vertAlign w:val="superscript"/>
                <w:lang w:val="fr-CA"/>
              </w:rPr>
              <w:t>os</w:t>
            </w:r>
            <w:r w:rsidRPr="00164D42">
              <w:rPr>
                <w:rFonts w:eastAsia="Calibri"/>
                <w:sz w:val="20"/>
                <w:lang w:val="fr-CA"/>
              </w:rPr>
              <w:t xml:space="preserve"> 500-09-024403-149</w:t>
            </w:r>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46" w:type="pct"/>
          </w:tcPr>
          <w:p w:rsidR="00D26E66" w:rsidRPr="00164D42" w:rsidRDefault="00D26E66" w:rsidP="00B02DE5">
            <w:pPr>
              <w:jc w:val="both"/>
              <w:rPr>
                <w:rFonts w:eastAsia="Calibri"/>
                <w:sz w:val="20"/>
                <w:lang w:val="fr-CA"/>
              </w:rPr>
            </w:pPr>
            <w:r w:rsidRPr="00164D42">
              <w:rPr>
                <w:rFonts w:eastAsia="Calibri"/>
                <w:sz w:val="20"/>
                <w:lang w:val="fr-CA"/>
              </w:rPr>
              <w:t>Requête des demandeurs en réexamen et en rétractation de jugement, rejetée.</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4 septembre 2014</w:t>
            </w:r>
          </w:p>
          <w:p w:rsidR="00D26E66" w:rsidRPr="00164D42" w:rsidRDefault="00D26E66" w:rsidP="00B02DE5">
            <w:pPr>
              <w:jc w:val="both"/>
              <w:rPr>
                <w:rFonts w:eastAsia="Calibri"/>
                <w:sz w:val="20"/>
                <w:lang w:val="fr-CA"/>
              </w:rPr>
            </w:pPr>
            <w:r w:rsidRPr="00164D42">
              <w:rPr>
                <w:rFonts w:eastAsia="Calibri"/>
                <w:sz w:val="20"/>
                <w:lang w:val="fr-CA"/>
              </w:rPr>
              <w:t>Cour suprême du Canada</w:t>
            </w:r>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Première demande d’autorisation d’appel déposée par Pharmaprix Inc., Shoppers Drug Mart Inc., Sanis Health Inc., Domenic Pilla et Jeff Leger.</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4 septembre 2014</w:t>
            </w:r>
          </w:p>
          <w:p w:rsidR="00D26E66" w:rsidRPr="00164D42" w:rsidRDefault="00D26E66" w:rsidP="00B02DE5">
            <w:pPr>
              <w:jc w:val="both"/>
              <w:rPr>
                <w:rFonts w:eastAsia="Calibri"/>
                <w:sz w:val="20"/>
                <w:lang w:val="fr-CA"/>
              </w:rPr>
            </w:pPr>
            <w:r w:rsidRPr="00164D42">
              <w:rPr>
                <w:rFonts w:eastAsia="Calibri"/>
                <w:sz w:val="20"/>
                <w:lang w:val="fr-CA"/>
              </w:rPr>
              <w:t>Cour suprême du Canada</w:t>
            </w:r>
          </w:p>
          <w:p w:rsidR="00D26E66" w:rsidRPr="00164D42" w:rsidRDefault="00D26E66" w:rsidP="00B02DE5">
            <w:pPr>
              <w:jc w:val="both"/>
              <w:rPr>
                <w:rFonts w:eastAsia="Calibri"/>
                <w:sz w:val="20"/>
                <w:lang w:val="fr-CA"/>
              </w:rPr>
            </w:pP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Deuxième demande d’autorisation d’appel déposée par Sandoz Canada Inc. et Martin Fournier.</w:t>
            </w:r>
          </w:p>
          <w:p w:rsidR="00D26E66" w:rsidRPr="00164D42" w:rsidRDefault="00D26E66" w:rsidP="00B02DE5">
            <w:pPr>
              <w:jc w:val="both"/>
              <w:rPr>
                <w:rFonts w:eastAsia="Calibri"/>
                <w:sz w:val="20"/>
                <w:lang w:val="fr-CA"/>
              </w:rPr>
            </w:pPr>
          </w:p>
        </w:tc>
      </w:tr>
      <w:tr w:rsidR="00D26E66" w:rsidRPr="00E4461B" w:rsidTr="00B02DE5">
        <w:tc>
          <w:tcPr>
            <w:tcW w:w="2294" w:type="pct"/>
          </w:tcPr>
          <w:p w:rsidR="00D26E66" w:rsidRPr="00164D42" w:rsidRDefault="00D26E66" w:rsidP="00B02DE5">
            <w:pPr>
              <w:jc w:val="both"/>
              <w:rPr>
                <w:rFonts w:eastAsia="Calibri"/>
                <w:sz w:val="20"/>
                <w:lang w:val="fr-CA"/>
              </w:rPr>
            </w:pPr>
            <w:r w:rsidRPr="00164D42">
              <w:rPr>
                <w:rFonts w:eastAsia="Calibri"/>
                <w:sz w:val="20"/>
                <w:lang w:val="fr-CA"/>
              </w:rPr>
              <w:t>3 octobre 2014</w:t>
            </w:r>
          </w:p>
          <w:p w:rsidR="00D26E66" w:rsidRPr="00164D42" w:rsidRDefault="00D26E66" w:rsidP="00B02DE5">
            <w:pPr>
              <w:jc w:val="both"/>
              <w:rPr>
                <w:rFonts w:eastAsia="Calibri"/>
                <w:sz w:val="20"/>
                <w:lang w:val="fr-CA"/>
              </w:rPr>
            </w:pPr>
            <w:r w:rsidRPr="00164D42">
              <w:rPr>
                <w:rFonts w:eastAsia="Calibri"/>
                <w:sz w:val="20"/>
                <w:lang w:val="fr-CA"/>
              </w:rPr>
              <w:t>Cour suprême du Canada</w:t>
            </w:r>
          </w:p>
        </w:tc>
        <w:tc>
          <w:tcPr>
            <w:tcW w:w="230" w:type="pct"/>
          </w:tcPr>
          <w:p w:rsidR="00D26E66" w:rsidRPr="00164D42" w:rsidRDefault="00D26E66" w:rsidP="00B02DE5">
            <w:pPr>
              <w:jc w:val="both"/>
              <w:rPr>
                <w:rFonts w:eastAsia="Calibri"/>
                <w:sz w:val="20"/>
                <w:lang w:val="fr-CA"/>
              </w:rPr>
            </w:pPr>
          </w:p>
        </w:tc>
        <w:tc>
          <w:tcPr>
            <w:tcW w:w="2476" w:type="pct"/>
            <w:gridSpan w:val="2"/>
          </w:tcPr>
          <w:p w:rsidR="00D26E66" w:rsidRPr="00164D42" w:rsidRDefault="00D26E66" w:rsidP="00B02DE5">
            <w:pPr>
              <w:jc w:val="both"/>
              <w:rPr>
                <w:rFonts w:eastAsia="Calibri"/>
                <w:sz w:val="20"/>
                <w:lang w:val="fr-CA"/>
              </w:rPr>
            </w:pPr>
            <w:r w:rsidRPr="00164D42">
              <w:rPr>
                <w:rFonts w:eastAsia="Calibri"/>
                <w:sz w:val="20"/>
                <w:lang w:val="fr-CA"/>
              </w:rPr>
              <w:t>Requête des intimées visant à accélérer la procédure de demande d’autorisation, déposée.</w:t>
            </w:r>
          </w:p>
        </w:tc>
      </w:tr>
    </w:tbl>
    <w:p w:rsidR="00BC2489" w:rsidRPr="00D26E66" w:rsidRDefault="00BC2489" w:rsidP="00BC2489">
      <w:pPr>
        <w:rPr>
          <w:sz w:val="20"/>
          <w:szCs w:val="20"/>
          <w:lang w:val="fr-CA"/>
        </w:rPr>
      </w:pPr>
    </w:p>
    <w:p w:rsidR="00BC2489" w:rsidRDefault="00E4461B" w:rsidP="00BC2489">
      <w:pPr>
        <w:rPr>
          <w:sz w:val="20"/>
          <w:szCs w:val="20"/>
          <w:lang w:val="fr-CA"/>
        </w:rPr>
      </w:pPr>
      <w:r>
        <w:rPr>
          <w:sz w:val="20"/>
          <w:szCs w:val="20"/>
          <w:lang w:val="fr-CA"/>
        </w:rPr>
        <w:pict>
          <v:rect id="_x0000_i1053" style="width:2in;height:1pt" o:hrpct="0" o:hralign="center" o:hrstd="t" o:hrnoshade="t" o:hr="t" fillcolor="black [3213]" stroked="f"/>
        </w:pict>
      </w:r>
    </w:p>
    <w:p w:rsidR="00BC2489" w:rsidRDefault="00BC2489" w:rsidP="00BC2489">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1FE1" w:rsidRPr="00E4461B" w:rsidTr="00570EF9">
        <w:trPr>
          <w:cantSplit/>
        </w:trPr>
        <w:tc>
          <w:tcPr>
            <w:tcW w:w="1458" w:type="dxa"/>
          </w:tcPr>
          <w:p w:rsidR="00211FE1" w:rsidRPr="00211FE1" w:rsidRDefault="00211FE1" w:rsidP="00211FE1">
            <w:pPr>
              <w:rPr>
                <w:sz w:val="20"/>
              </w:rPr>
            </w:pPr>
            <w:r w:rsidRPr="00211FE1">
              <w:rPr>
                <w:b/>
                <w:sz w:val="20"/>
                <w:lang w:val="fr-CA"/>
              </w:rPr>
              <w:t>36047</w:t>
            </w:r>
          </w:p>
          <w:p w:rsidR="00211FE1" w:rsidRPr="00211FE1" w:rsidRDefault="00211FE1" w:rsidP="00211FE1">
            <w:pPr>
              <w:rPr>
                <w:b/>
                <w:sz w:val="20"/>
                <w:lang w:val="fr-CA"/>
              </w:rPr>
            </w:pPr>
          </w:p>
        </w:tc>
        <w:tc>
          <w:tcPr>
            <w:tcW w:w="8118" w:type="dxa"/>
          </w:tcPr>
          <w:p w:rsidR="00211FE1" w:rsidRPr="00211FE1" w:rsidRDefault="00211FE1" w:rsidP="00211FE1">
            <w:pPr>
              <w:rPr>
                <w:sz w:val="20"/>
                <w:lang w:val="fr-CA"/>
              </w:rPr>
            </w:pPr>
            <w:r w:rsidRPr="00211FE1">
              <w:rPr>
                <w:b/>
                <w:sz w:val="20"/>
                <w:u w:val="single"/>
                <w:lang w:val="fr-CA"/>
              </w:rPr>
              <w:t>J.R. c. Sa Majesté la Reine</w:t>
            </w:r>
            <w:r w:rsidRPr="00211FE1">
              <w:rPr>
                <w:sz w:val="20"/>
                <w:lang w:val="fr-CA"/>
              </w:rPr>
              <w:t xml:space="preserve"> (Qc) (Criminelle) (Autorisation)</w:t>
            </w:r>
          </w:p>
          <w:p w:rsidR="00211FE1" w:rsidRPr="00211FE1" w:rsidRDefault="00211FE1" w:rsidP="00211FE1">
            <w:pPr>
              <w:rPr>
                <w:sz w:val="20"/>
                <w:lang w:val="fr-CA"/>
              </w:rPr>
            </w:pPr>
          </w:p>
        </w:tc>
      </w:tr>
      <w:tr w:rsidR="00211FE1" w:rsidRPr="00E4461B" w:rsidTr="00570EF9">
        <w:trPr>
          <w:cantSplit/>
        </w:trPr>
        <w:tc>
          <w:tcPr>
            <w:tcW w:w="1458" w:type="dxa"/>
          </w:tcPr>
          <w:p w:rsidR="00211FE1" w:rsidRPr="00211FE1" w:rsidRDefault="00211FE1" w:rsidP="00211FE1">
            <w:pPr>
              <w:rPr>
                <w:sz w:val="20"/>
              </w:rPr>
            </w:pPr>
            <w:r w:rsidRPr="00211FE1">
              <w:rPr>
                <w:sz w:val="20"/>
              </w:rPr>
              <w:t>Coram :</w:t>
            </w:r>
          </w:p>
        </w:tc>
        <w:tc>
          <w:tcPr>
            <w:tcW w:w="8118" w:type="dxa"/>
          </w:tcPr>
          <w:p w:rsidR="00211FE1" w:rsidRPr="00211FE1" w:rsidRDefault="00211FE1" w:rsidP="00211FE1">
            <w:pPr>
              <w:rPr>
                <w:sz w:val="20"/>
                <w:lang w:val="fr-CA"/>
              </w:rPr>
            </w:pPr>
            <w:r w:rsidRPr="00211FE1">
              <w:rPr>
                <w:sz w:val="20"/>
                <w:u w:val="single"/>
                <w:lang w:val="fr-CA"/>
              </w:rPr>
              <w:t>La juge en chef McLachlin et les juges Cromwell et Wagner</w:t>
            </w:r>
          </w:p>
          <w:p w:rsidR="00211FE1" w:rsidRPr="00211FE1" w:rsidRDefault="00211FE1" w:rsidP="00211FE1">
            <w:pPr>
              <w:rPr>
                <w:sz w:val="20"/>
                <w:u w:val="single"/>
                <w:lang w:val="fr-CA"/>
              </w:rPr>
            </w:pPr>
          </w:p>
        </w:tc>
      </w:tr>
      <w:tr w:rsidR="00211FE1" w:rsidRPr="00211FE1" w:rsidTr="00570EF9">
        <w:trPr>
          <w:cantSplit/>
        </w:trPr>
        <w:tc>
          <w:tcPr>
            <w:tcW w:w="9576" w:type="dxa"/>
            <w:gridSpan w:val="2"/>
          </w:tcPr>
          <w:p w:rsidR="00211FE1" w:rsidRPr="00211FE1" w:rsidRDefault="00211FE1" w:rsidP="00211FE1">
            <w:pPr>
              <w:ind w:firstLine="720"/>
              <w:jc w:val="both"/>
              <w:rPr>
                <w:sz w:val="20"/>
                <w:lang w:val="fr-CA"/>
              </w:rPr>
            </w:pPr>
            <w:r w:rsidRPr="00211FE1">
              <w:rPr>
                <w:sz w:val="20"/>
                <w:lang w:val="fr-CA"/>
              </w:rPr>
              <w:t>La requête en prorogation du délai de signification et de dépôt de la demande d’autorisation d’appel est accueillie.  La demande d’autorisation d’appel de l’arrêt de la Cour d’appel du Québec (Montréal), numéro 500-10-004905-111, 2014 QCCA 869, daté du 2 mai 2014, est rejetée sans dépens.</w:t>
            </w:r>
          </w:p>
          <w:p w:rsidR="00211FE1" w:rsidRPr="00211FE1" w:rsidRDefault="00211FE1" w:rsidP="00211FE1">
            <w:pPr>
              <w:jc w:val="both"/>
              <w:rPr>
                <w:sz w:val="20"/>
                <w:lang w:val="fr-CA"/>
              </w:rPr>
            </w:pPr>
          </w:p>
          <w:p w:rsidR="00211FE1" w:rsidRPr="00211FE1" w:rsidRDefault="00211FE1" w:rsidP="00211FE1">
            <w:pPr>
              <w:ind w:firstLine="720"/>
              <w:jc w:val="both"/>
              <w:rPr>
                <w:sz w:val="20"/>
              </w:rPr>
            </w:pPr>
            <w:r w:rsidRPr="00211FE1">
              <w:rPr>
                <w:sz w:val="20"/>
              </w:rPr>
              <w:t>The motion for an extension of time to serve and file the application for leave to appeal is granted.  The application for leave to appeal from the judgment of the Court of Appeal of Quebec (Montréal), Number  500-10-004905-111, 2014 QCCA 869, dated May 2, 2014, is dismissed without costs.</w:t>
            </w:r>
          </w:p>
        </w:tc>
      </w:tr>
    </w:tbl>
    <w:p w:rsidR="00BC2489" w:rsidRDefault="00BC2489" w:rsidP="00BC2489">
      <w:pPr>
        <w:rPr>
          <w:sz w:val="20"/>
          <w:szCs w:val="20"/>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6E66" w:rsidRPr="00164D42" w:rsidTr="00B02DE5">
        <w:tc>
          <w:tcPr>
            <w:tcW w:w="5000" w:type="pct"/>
            <w:gridSpan w:val="3"/>
          </w:tcPr>
          <w:p w:rsidR="00D26E66" w:rsidRPr="00164D42" w:rsidRDefault="00D26E66" w:rsidP="00B02DE5">
            <w:pPr>
              <w:jc w:val="both"/>
              <w:rPr>
                <w:rFonts w:eastAsia="Calibri"/>
                <w:smallCaps/>
                <w:sz w:val="20"/>
              </w:rPr>
            </w:pPr>
            <w:r w:rsidRPr="00164D42">
              <w:rPr>
                <w:rFonts w:eastAsia="Calibri"/>
                <w:smallCaps/>
                <w:sz w:val="20"/>
              </w:rPr>
              <w:t xml:space="preserve">(Publication </w:t>
            </w:r>
            <w:r>
              <w:rPr>
                <w:rFonts w:eastAsia="Calibri"/>
                <w:smallCaps/>
                <w:sz w:val="20"/>
              </w:rPr>
              <w:t>B</w:t>
            </w:r>
            <w:r w:rsidRPr="00164D42">
              <w:rPr>
                <w:rFonts w:eastAsia="Calibri"/>
                <w:smallCaps/>
                <w:sz w:val="20"/>
              </w:rPr>
              <w:t xml:space="preserve">an in </w:t>
            </w:r>
            <w:r>
              <w:rPr>
                <w:rFonts w:eastAsia="Calibri"/>
                <w:smallCaps/>
                <w:sz w:val="20"/>
              </w:rPr>
              <w:t>F</w:t>
            </w:r>
            <w:r w:rsidRPr="00164D42">
              <w:rPr>
                <w:rFonts w:eastAsia="Calibri"/>
                <w:smallCaps/>
                <w:sz w:val="20"/>
              </w:rPr>
              <w:t xml:space="preserve">ile) (Publication </w:t>
            </w:r>
            <w:r>
              <w:rPr>
                <w:rFonts w:eastAsia="Calibri"/>
                <w:smallCaps/>
                <w:sz w:val="20"/>
              </w:rPr>
              <w:t>B</w:t>
            </w:r>
            <w:r w:rsidRPr="00164D42">
              <w:rPr>
                <w:rFonts w:eastAsia="Calibri"/>
                <w:smallCaps/>
                <w:sz w:val="20"/>
              </w:rPr>
              <w:t xml:space="preserve">an on </w:t>
            </w:r>
            <w:r>
              <w:rPr>
                <w:rFonts w:eastAsia="Calibri"/>
                <w:smallCaps/>
                <w:sz w:val="20"/>
              </w:rPr>
              <w:t>P</w:t>
            </w:r>
            <w:r w:rsidRPr="00164D42">
              <w:rPr>
                <w:rFonts w:eastAsia="Calibri"/>
                <w:smallCaps/>
                <w:sz w:val="20"/>
              </w:rPr>
              <w:t>arty)</w:t>
            </w:r>
          </w:p>
          <w:p w:rsidR="00D26E66" w:rsidRPr="00164D42" w:rsidRDefault="00D26E66" w:rsidP="00B02DE5">
            <w:pPr>
              <w:jc w:val="both"/>
              <w:rPr>
                <w:rFonts w:eastAsia="Calibri"/>
                <w:sz w:val="20"/>
              </w:rPr>
            </w:pPr>
          </w:p>
        </w:tc>
      </w:tr>
      <w:tr w:rsidR="00D26E66" w:rsidRPr="00164D42" w:rsidTr="00B02DE5">
        <w:tc>
          <w:tcPr>
            <w:tcW w:w="5000" w:type="pct"/>
            <w:gridSpan w:val="3"/>
          </w:tcPr>
          <w:p w:rsidR="00D26E66" w:rsidRPr="00164D42" w:rsidRDefault="00D26E66" w:rsidP="00B02DE5">
            <w:pPr>
              <w:jc w:val="both"/>
              <w:rPr>
                <w:rFonts w:eastAsia="Calibri"/>
                <w:sz w:val="20"/>
              </w:rPr>
            </w:pPr>
            <w:r w:rsidRPr="00164D42">
              <w:rPr>
                <w:rFonts w:eastAsia="Calibri"/>
                <w:sz w:val="20"/>
              </w:rPr>
              <w:t xml:space="preserve">Criminal law – Burden of proof – Application of </w:t>
            </w:r>
            <w:r w:rsidRPr="00164D42">
              <w:rPr>
                <w:rFonts w:eastAsia="Calibri"/>
                <w:i/>
                <w:iCs/>
                <w:sz w:val="20"/>
              </w:rPr>
              <w:t>R. v. W. (D.)</w:t>
            </w:r>
            <w:r w:rsidRPr="00164D42">
              <w:rPr>
                <w:rFonts w:eastAsia="Calibri"/>
                <w:sz w:val="20"/>
              </w:rPr>
              <w:t xml:space="preserve">, [1991] 1 S.C.R. 742 – Whether Court of Appeal modified approach to be taken in considering conflicting versions of facts, and whether it erred in so doing – Whether trial judge improperly reversed onus by, among other things, rejecting testimony of accused primarily on basis of that of complainant, merging second and third criteria from </w:t>
            </w:r>
            <w:r w:rsidRPr="00164D42">
              <w:rPr>
                <w:rFonts w:eastAsia="Calibri"/>
                <w:i/>
                <w:sz w:val="20"/>
              </w:rPr>
              <w:t>W. (D.)</w:t>
            </w:r>
            <w:r w:rsidRPr="00164D42">
              <w:rPr>
                <w:rFonts w:eastAsia="Calibri"/>
                <w:sz w:val="20"/>
              </w:rPr>
              <w:t>, and shifting burden of explaining why complainant was lying to accused.</w:t>
            </w:r>
          </w:p>
        </w:tc>
      </w:tr>
      <w:tr w:rsidR="00D26E66" w:rsidRPr="00164D42" w:rsidTr="00B02DE5">
        <w:tc>
          <w:tcPr>
            <w:tcW w:w="5000" w:type="pct"/>
            <w:gridSpan w:val="3"/>
          </w:tcPr>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r w:rsidRPr="00164D42">
              <w:rPr>
                <w:rFonts w:eastAsia="Calibri"/>
                <w:sz w:val="20"/>
              </w:rPr>
              <w:t xml:space="preserve">The applicant was found guilty of sexual interference and invitation to sexual touching involving a minor in relation to acts committed between 2004 and 2006 with his stepson, who was 12 to 14 years old at the time.  At trial, the applicant testified to deny the abuse and offer explanations, while the complainant told the court that he had been subjected to acts of fellatio and masturbation several times a week.  Testimony from the complainant’s brother corroborated certain aspects of the complainant’s evidence.  The judge believed neither the applicant’s explanations nor the theory of revenge he advanced.  But he did believe the complainant’s version of the facts.  On appeal, the applicant argued, </w:t>
            </w:r>
            <w:r w:rsidRPr="00164D42">
              <w:rPr>
                <w:rFonts w:eastAsia="Calibri"/>
                <w:i/>
                <w:sz w:val="20"/>
              </w:rPr>
              <w:t>inter alia</w:t>
            </w:r>
            <w:r w:rsidRPr="00164D42">
              <w:rPr>
                <w:rFonts w:eastAsia="Calibri"/>
                <w:sz w:val="20"/>
              </w:rPr>
              <w:t xml:space="preserve">, that the trial judge had reversed the onus and had therefore failed to apply the principles laid down by this Court in </w:t>
            </w:r>
            <w:r w:rsidRPr="00164D42">
              <w:rPr>
                <w:rFonts w:eastAsia="Calibri"/>
                <w:i/>
                <w:iCs/>
                <w:sz w:val="20"/>
              </w:rPr>
              <w:t>W. (D.)</w:t>
            </w:r>
            <w:r w:rsidRPr="00164D42">
              <w:rPr>
                <w:rFonts w:eastAsia="Calibri"/>
                <w:sz w:val="20"/>
              </w:rPr>
              <w:t>.  The Court of Appeal dismissed his appeal.</w:t>
            </w: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lastRenderedPageBreak/>
              <w:t>March 30, 2011</w:t>
            </w:r>
          </w:p>
          <w:p w:rsidR="00D26E66" w:rsidRPr="00164D42" w:rsidRDefault="00D26E66" w:rsidP="00B02DE5">
            <w:pPr>
              <w:jc w:val="both"/>
              <w:rPr>
                <w:rFonts w:eastAsia="Calibri"/>
                <w:sz w:val="20"/>
              </w:rPr>
            </w:pPr>
            <w:r w:rsidRPr="00164D42">
              <w:rPr>
                <w:rFonts w:eastAsia="Calibri"/>
                <w:sz w:val="20"/>
              </w:rPr>
              <w:t>Court of Québec</w:t>
            </w:r>
          </w:p>
          <w:p w:rsidR="00D26E66" w:rsidRPr="00164D42" w:rsidRDefault="00D26E66" w:rsidP="00B02DE5">
            <w:pPr>
              <w:jc w:val="both"/>
              <w:rPr>
                <w:rFonts w:eastAsia="Calibri"/>
                <w:sz w:val="20"/>
              </w:rPr>
            </w:pPr>
            <w:r w:rsidRPr="00164D42">
              <w:rPr>
                <w:rFonts w:eastAsia="Calibri"/>
                <w:sz w:val="20"/>
              </w:rPr>
              <w:t>(Judge Mascia)</w:t>
            </w:r>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 xml:space="preserve">Applicant found guilty of sexual interference and invitation to sexual touching involving minor </w:t>
            </w: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May 2, 2014</w:t>
            </w:r>
          </w:p>
          <w:p w:rsidR="00D26E66" w:rsidRPr="00164D42" w:rsidRDefault="00D26E66" w:rsidP="00B02DE5">
            <w:pPr>
              <w:jc w:val="both"/>
              <w:rPr>
                <w:rFonts w:eastAsia="Calibri"/>
                <w:sz w:val="20"/>
              </w:rPr>
            </w:pPr>
            <w:r w:rsidRPr="00164D42">
              <w:rPr>
                <w:rFonts w:eastAsia="Calibri"/>
                <w:sz w:val="20"/>
              </w:rPr>
              <w:t>Quebec Court of Appeal (Montréal)</w:t>
            </w:r>
          </w:p>
          <w:p w:rsidR="00D26E66" w:rsidRPr="00164D42" w:rsidRDefault="00D26E66" w:rsidP="00B02DE5">
            <w:pPr>
              <w:jc w:val="both"/>
              <w:rPr>
                <w:rFonts w:eastAsia="Calibri"/>
                <w:sz w:val="20"/>
              </w:rPr>
            </w:pPr>
            <w:r w:rsidRPr="00164D42">
              <w:rPr>
                <w:rFonts w:eastAsia="Calibri"/>
                <w:sz w:val="20"/>
              </w:rPr>
              <w:t>(Duval Hesler C.J.Q. and Dalphond and Gascon JJ.A.)</w:t>
            </w:r>
          </w:p>
          <w:p w:rsidR="00D26E66" w:rsidRPr="00164D42" w:rsidRDefault="00E4461B" w:rsidP="00B02DE5">
            <w:pPr>
              <w:jc w:val="both"/>
              <w:rPr>
                <w:rFonts w:eastAsia="Calibri"/>
                <w:sz w:val="20"/>
              </w:rPr>
            </w:pPr>
            <w:hyperlink r:id="rId76" w:history="1">
              <w:r w:rsidR="00D26E66" w:rsidRPr="00164D42">
                <w:rPr>
                  <w:rFonts w:eastAsia="Calibri"/>
                  <w:color w:val="0000FF"/>
                  <w:sz w:val="20"/>
                  <w:u w:val="single"/>
                </w:rPr>
                <w:t>2014 QCCA 869</w:t>
              </w:r>
            </w:hyperlink>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Appeal dismissed</w:t>
            </w: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September 9, 2014</w:t>
            </w:r>
          </w:p>
          <w:p w:rsidR="00D26E66" w:rsidRPr="00164D42" w:rsidRDefault="00D26E66" w:rsidP="00B02DE5">
            <w:pPr>
              <w:jc w:val="both"/>
              <w:rPr>
                <w:rFonts w:eastAsia="Calibri"/>
                <w:sz w:val="20"/>
              </w:rPr>
            </w:pPr>
            <w:r w:rsidRPr="00164D42">
              <w:rPr>
                <w:rFonts w:eastAsia="Calibri"/>
                <w:sz w:val="20"/>
              </w:rPr>
              <w:t>Supreme Court of Canada</w:t>
            </w: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Motion for extension of time and application for leave to appeal filed</w:t>
            </w:r>
          </w:p>
          <w:p w:rsidR="00D26E66" w:rsidRPr="00164D42" w:rsidRDefault="00D26E66"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54"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6E66" w:rsidRPr="00E4461B" w:rsidTr="00B02DE5">
        <w:tc>
          <w:tcPr>
            <w:tcW w:w="5000" w:type="pct"/>
            <w:gridSpan w:val="3"/>
          </w:tcPr>
          <w:p w:rsidR="00D26E66" w:rsidRPr="00164D42" w:rsidRDefault="00D26E66" w:rsidP="00B02DE5">
            <w:pPr>
              <w:jc w:val="both"/>
              <w:rPr>
                <w:rFonts w:eastAsia="Calibri"/>
                <w:smallCaps/>
                <w:sz w:val="20"/>
                <w:lang w:val="fr-CA"/>
              </w:rPr>
            </w:pPr>
            <w:r w:rsidRPr="00164D42">
              <w:rPr>
                <w:rFonts w:eastAsia="Calibri"/>
                <w:smallCaps/>
                <w:sz w:val="20"/>
                <w:lang w:val="fr-CA"/>
              </w:rPr>
              <w:t>(Ordonnance de non-publication dans le dossier) (Ordonnance de non-publication visant une partie)</w:t>
            </w:r>
          </w:p>
          <w:p w:rsidR="00D26E66" w:rsidRPr="00164D42" w:rsidRDefault="00D26E66" w:rsidP="00B02DE5">
            <w:pPr>
              <w:jc w:val="both"/>
              <w:rPr>
                <w:rFonts w:eastAsia="Calibri"/>
                <w:sz w:val="20"/>
                <w:lang w:val="fr-CA"/>
              </w:rPr>
            </w:pPr>
          </w:p>
        </w:tc>
      </w:tr>
      <w:tr w:rsidR="00D26E66" w:rsidRPr="00E4461B" w:rsidTr="00B02DE5">
        <w:tc>
          <w:tcPr>
            <w:tcW w:w="5000" w:type="pct"/>
            <w:gridSpan w:val="3"/>
          </w:tcPr>
          <w:p w:rsidR="00D26E66" w:rsidRPr="00164D42" w:rsidRDefault="00D26E66" w:rsidP="00B02DE5">
            <w:pPr>
              <w:jc w:val="both"/>
              <w:rPr>
                <w:rFonts w:eastAsia="Calibri"/>
                <w:sz w:val="20"/>
                <w:lang w:val="fr-CA"/>
              </w:rPr>
            </w:pPr>
            <w:r w:rsidRPr="00164D42">
              <w:rPr>
                <w:rFonts w:eastAsia="Calibri"/>
                <w:sz w:val="20"/>
                <w:lang w:val="fr-CA"/>
              </w:rPr>
              <w:t xml:space="preserve">Droit criminel – Fardeau de la preuve – Application de l’affaire </w:t>
            </w:r>
            <w:r w:rsidRPr="00164D42">
              <w:rPr>
                <w:rFonts w:eastAsia="Calibri"/>
                <w:i/>
                <w:iCs/>
                <w:sz w:val="20"/>
                <w:lang w:val="fr-FR"/>
              </w:rPr>
              <w:t>R. c. W.(D.)</w:t>
            </w:r>
            <w:r w:rsidRPr="00164D42">
              <w:rPr>
                <w:rFonts w:eastAsia="Calibri"/>
                <w:sz w:val="20"/>
                <w:lang w:val="fr-FR"/>
              </w:rPr>
              <w:t xml:space="preserve">, [1991] 1 R.C.S. 742 – La Cour d’appel a-t-elle modifié la démarche applicable dans le cas de versions contradictoires, et ce faisant, a-t-elle erré? – Le juge du procès a-t-il opéré un renversement interdit du fardeau de la preuve, notamment en rejetant la déposition de l’accusé principalement sur la base de celle du plaignant, en fusionnant les deuxième et troisième préoccupations de l’arrêt </w:t>
            </w:r>
            <w:r w:rsidRPr="00164D42">
              <w:rPr>
                <w:rFonts w:eastAsia="Calibri"/>
                <w:i/>
                <w:sz w:val="20"/>
                <w:lang w:val="fr-FR"/>
              </w:rPr>
              <w:t>W.(D.)</w:t>
            </w:r>
            <w:r w:rsidRPr="00164D42">
              <w:rPr>
                <w:rFonts w:eastAsia="Calibri"/>
                <w:sz w:val="20"/>
                <w:lang w:val="fr-FR"/>
              </w:rPr>
              <w:t xml:space="preserve"> et en faisant porter à l’accusé le fardeau d’expliquer pourquoi le plaignant mentait?</w:t>
            </w:r>
          </w:p>
        </w:tc>
      </w:tr>
      <w:tr w:rsidR="00D26E66" w:rsidRPr="00164D42" w:rsidTr="00B02DE5">
        <w:tc>
          <w:tcPr>
            <w:tcW w:w="5000" w:type="pct"/>
            <w:gridSpan w:val="3"/>
          </w:tcPr>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r w:rsidRPr="00164D42">
              <w:rPr>
                <w:rFonts w:eastAsia="Calibri"/>
                <w:sz w:val="20"/>
                <w:lang w:val="fr-CA"/>
              </w:rPr>
              <w:t xml:space="preserve">Le demandeur a été déclaré coupable de contacts sexuels et d'incitation à des contacts sexuels avec un mineur relativement à des gestes posés entre 2004 et 2006 à l’endroit de son beau-fils, alors âgé de 12 à 14 ans.  Au procès, le demandeur a témoigné pour nier l’abus et pour offrir des explications, alors que le plaignant a relaté qu’il avait subi des fellations et des masturbations jusqu’à quelques fois par semaine.  Le témoignage du frère du plaignant a corroboré certains aspects de la preuve offerte par ce dernier.  Le juge n’a pas cru les explications offertes par le demandeur, ni la théorie de la vengeance qu’il a avancée.  Il a, cependant, cru la version des faits relatée par le plaignant. En appel, le demandeur a plaidé, entre autres, que le premier juge avait renversé le fardeau de la preuve et n’avait donc pas suivi les enseignements de cette Cour dans l’affaire </w:t>
            </w:r>
            <w:r w:rsidRPr="00164D42">
              <w:rPr>
                <w:rFonts w:eastAsia="Calibri"/>
                <w:i/>
                <w:iCs/>
                <w:sz w:val="20"/>
                <w:lang w:val="fr-CA"/>
              </w:rPr>
              <w:t>W.(D.)</w:t>
            </w:r>
            <w:r w:rsidRPr="00164D42">
              <w:rPr>
                <w:rFonts w:eastAsia="Calibri"/>
                <w:sz w:val="20"/>
                <w:lang w:val="fr-CA"/>
              </w:rPr>
              <w:t>.  La Cour d’appel a rejeté l’appel.</w:t>
            </w:r>
          </w:p>
          <w:p w:rsidR="00D26E66" w:rsidRPr="00164D42" w:rsidRDefault="00D26E66" w:rsidP="00B02DE5">
            <w:pPr>
              <w:jc w:val="both"/>
              <w:rPr>
                <w:rFonts w:eastAsia="Calibri"/>
                <w:sz w:val="20"/>
                <w:lang w:val="fr-CA"/>
              </w:rPr>
            </w:pPr>
          </w:p>
        </w:tc>
      </w:tr>
      <w:tr w:rsidR="00D26E66" w:rsidRPr="00E4461B"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Le 30 mars 2011</w:t>
            </w:r>
          </w:p>
          <w:p w:rsidR="00D26E66" w:rsidRPr="00164D42" w:rsidRDefault="00D26E66" w:rsidP="00B02DE5">
            <w:pPr>
              <w:jc w:val="both"/>
              <w:rPr>
                <w:rFonts w:eastAsia="Calibri"/>
                <w:sz w:val="20"/>
                <w:lang w:val="fr-CA"/>
              </w:rPr>
            </w:pPr>
            <w:r w:rsidRPr="00164D42">
              <w:rPr>
                <w:rFonts w:eastAsia="Calibri"/>
                <w:sz w:val="20"/>
                <w:lang w:val="fr-CA"/>
              </w:rPr>
              <w:t>Cour du Québec</w:t>
            </w:r>
          </w:p>
          <w:p w:rsidR="00D26E66" w:rsidRPr="00164D42" w:rsidRDefault="00D26E66" w:rsidP="00B02DE5">
            <w:pPr>
              <w:jc w:val="both"/>
              <w:rPr>
                <w:rFonts w:eastAsia="Calibri"/>
                <w:sz w:val="20"/>
                <w:lang w:val="fr-CA"/>
              </w:rPr>
            </w:pPr>
            <w:r w:rsidRPr="00164D42">
              <w:rPr>
                <w:rFonts w:eastAsia="Calibri"/>
                <w:sz w:val="20"/>
                <w:lang w:val="fr-CA"/>
              </w:rPr>
              <w:t>(Le juge Mascia)</w:t>
            </w:r>
          </w:p>
          <w:p w:rsidR="00D26E66" w:rsidRPr="00164D42" w:rsidRDefault="00D26E66" w:rsidP="00B02DE5">
            <w:pPr>
              <w:jc w:val="both"/>
              <w:rPr>
                <w:rFonts w:eastAsia="Calibri"/>
                <w:sz w:val="20"/>
                <w:lang w:val="fr-CA"/>
              </w:rPr>
            </w:pP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Demandeur déclaré coupable de contacts sexuels et d'incitation à des contacts sexuels avec un mineur</w:t>
            </w:r>
          </w:p>
          <w:p w:rsidR="00D26E66" w:rsidRPr="00164D42" w:rsidRDefault="00D26E66" w:rsidP="00B02DE5">
            <w:pPr>
              <w:jc w:val="both"/>
              <w:rPr>
                <w:rFonts w:eastAsia="Calibri"/>
                <w:sz w:val="20"/>
                <w:lang w:val="fr-CA"/>
              </w:rPr>
            </w:pPr>
          </w:p>
        </w:tc>
      </w:tr>
      <w:tr w:rsidR="00D26E66" w:rsidRPr="00164D42"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Le 2 mai 2014</w:t>
            </w:r>
          </w:p>
          <w:p w:rsidR="00D26E66" w:rsidRPr="00164D42" w:rsidRDefault="00D26E66" w:rsidP="00B02DE5">
            <w:pPr>
              <w:jc w:val="both"/>
              <w:rPr>
                <w:rFonts w:eastAsia="Calibri"/>
                <w:sz w:val="20"/>
                <w:lang w:val="fr-CA"/>
              </w:rPr>
            </w:pPr>
            <w:r w:rsidRPr="00164D42">
              <w:rPr>
                <w:rFonts w:eastAsia="Calibri"/>
                <w:sz w:val="20"/>
                <w:lang w:val="fr-CA"/>
              </w:rPr>
              <w:t>Cour d’appel du Québec (Montréal)</w:t>
            </w:r>
          </w:p>
          <w:p w:rsidR="00D26E66" w:rsidRPr="00164D42" w:rsidRDefault="00D26E66" w:rsidP="00B02DE5">
            <w:pPr>
              <w:jc w:val="both"/>
              <w:rPr>
                <w:rFonts w:eastAsia="Calibri"/>
                <w:sz w:val="20"/>
                <w:lang w:val="fr-CA"/>
              </w:rPr>
            </w:pPr>
            <w:r w:rsidRPr="00164D42">
              <w:rPr>
                <w:rFonts w:eastAsia="Calibri"/>
                <w:sz w:val="20"/>
                <w:lang w:val="fr-CA"/>
              </w:rPr>
              <w:t>(La juge en chef Duval Hesler et les juges Dalphond et Gascon)</w:t>
            </w:r>
          </w:p>
          <w:p w:rsidR="00D26E66" w:rsidRPr="00164D42" w:rsidRDefault="00E4461B" w:rsidP="00B02DE5">
            <w:pPr>
              <w:jc w:val="both"/>
              <w:rPr>
                <w:rFonts w:eastAsia="Calibri"/>
                <w:sz w:val="20"/>
                <w:lang w:val="fr-CA"/>
              </w:rPr>
            </w:pPr>
            <w:hyperlink r:id="rId77" w:history="1">
              <w:r w:rsidR="00D26E66" w:rsidRPr="00164D42">
                <w:rPr>
                  <w:rFonts w:eastAsia="Calibri"/>
                  <w:color w:val="0000FF"/>
                  <w:sz w:val="20"/>
                  <w:u w:val="single"/>
                  <w:lang w:val="fr-CA"/>
                </w:rPr>
                <w:t>2014 QCCA 869</w:t>
              </w:r>
            </w:hyperlink>
          </w:p>
          <w:p w:rsidR="00D26E66" w:rsidRPr="00164D42" w:rsidRDefault="00D26E66" w:rsidP="00B02DE5">
            <w:pPr>
              <w:jc w:val="both"/>
              <w:rPr>
                <w:rFonts w:eastAsia="Calibri"/>
                <w:sz w:val="20"/>
                <w:lang w:val="fr-CA"/>
              </w:rPr>
            </w:pP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Appel rejeté</w:t>
            </w:r>
          </w:p>
          <w:p w:rsidR="00D26E66" w:rsidRPr="00164D42" w:rsidRDefault="00D26E66" w:rsidP="00B02DE5">
            <w:pPr>
              <w:jc w:val="both"/>
              <w:rPr>
                <w:rFonts w:eastAsia="Calibri"/>
                <w:sz w:val="20"/>
                <w:lang w:val="fr-CA"/>
              </w:rPr>
            </w:pPr>
          </w:p>
        </w:tc>
      </w:tr>
      <w:tr w:rsidR="00D26E66" w:rsidRPr="00E4461B"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Le 9 septembre 2014</w:t>
            </w:r>
          </w:p>
          <w:p w:rsidR="00D26E66" w:rsidRPr="00164D42" w:rsidRDefault="00D26E66" w:rsidP="00B02DE5">
            <w:pPr>
              <w:jc w:val="both"/>
              <w:rPr>
                <w:rFonts w:eastAsia="Calibri"/>
                <w:sz w:val="20"/>
                <w:lang w:val="fr-CA"/>
              </w:rPr>
            </w:pPr>
            <w:r w:rsidRPr="00164D42">
              <w:rPr>
                <w:rFonts w:eastAsia="Calibri"/>
                <w:sz w:val="20"/>
                <w:lang w:val="fr-CA"/>
              </w:rPr>
              <w:t>Cour suprême du Canada</w:t>
            </w: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Requête en prorogation de délai et demande d'autorisation d’appel déposées</w:t>
            </w:r>
          </w:p>
          <w:p w:rsidR="00D26E66" w:rsidRPr="00164D42" w:rsidRDefault="00D26E66" w:rsidP="00B02DE5">
            <w:pPr>
              <w:jc w:val="both"/>
              <w:rPr>
                <w:rFonts w:eastAsia="Calibri"/>
                <w:sz w:val="20"/>
                <w:lang w:val="fr-CA"/>
              </w:rPr>
            </w:pPr>
          </w:p>
        </w:tc>
      </w:tr>
    </w:tbl>
    <w:p w:rsidR="00BC2489" w:rsidRPr="00D26E66" w:rsidRDefault="00BC2489" w:rsidP="00BC2489">
      <w:pPr>
        <w:rPr>
          <w:sz w:val="20"/>
          <w:szCs w:val="20"/>
          <w:lang w:val="fr-CA"/>
        </w:rPr>
      </w:pPr>
    </w:p>
    <w:p w:rsidR="00BC2489" w:rsidRDefault="00E4461B" w:rsidP="00BC2489">
      <w:pPr>
        <w:rPr>
          <w:sz w:val="20"/>
          <w:szCs w:val="20"/>
          <w:lang w:val="fr-CA"/>
        </w:rPr>
      </w:pPr>
      <w:r>
        <w:rPr>
          <w:sz w:val="20"/>
          <w:szCs w:val="20"/>
          <w:lang w:val="fr-CA"/>
        </w:rPr>
        <w:pict>
          <v:rect id="_x0000_i1055" style="width:2in;height:1pt" o:hrpct="0" o:hralign="center" o:hrstd="t" o:hrnoshade="t" o:hr="t" fillcolor="black [3213]" stroked="f"/>
        </w:pict>
      </w:r>
    </w:p>
    <w:p w:rsidR="00BC2489" w:rsidRDefault="00BC2489" w:rsidP="00BC2489">
      <w:pPr>
        <w:rPr>
          <w:sz w:val="20"/>
          <w:szCs w:val="20"/>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3BAE" w:rsidRPr="00EF3BAE" w:rsidTr="00EF3BAE">
        <w:trPr>
          <w:cantSplit/>
        </w:trPr>
        <w:tc>
          <w:tcPr>
            <w:tcW w:w="1458" w:type="dxa"/>
          </w:tcPr>
          <w:p w:rsidR="00EF3BAE" w:rsidRPr="00EF3BAE" w:rsidRDefault="00EF3BAE" w:rsidP="00EF3BAE">
            <w:pPr>
              <w:rPr>
                <w:sz w:val="20"/>
              </w:rPr>
            </w:pPr>
            <w:r w:rsidRPr="00EF3BAE">
              <w:rPr>
                <w:b/>
                <w:sz w:val="20"/>
                <w:lang w:val="fr-CA"/>
              </w:rPr>
              <w:lastRenderedPageBreak/>
              <w:t>360</w:t>
            </w:r>
            <w:r w:rsidR="00C82EF9">
              <w:rPr>
                <w:b/>
                <w:sz w:val="20"/>
                <w:lang w:val="fr-CA"/>
              </w:rPr>
              <w:t>50</w:t>
            </w:r>
          </w:p>
          <w:p w:rsidR="00EF3BAE" w:rsidRPr="00EF3BAE" w:rsidRDefault="00EF3BAE" w:rsidP="00EF3BAE">
            <w:pPr>
              <w:rPr>
                <w:b/>
                <w:sz w:val="20"/>
                <w:lang w:val="fr-CA"/>
              </w:rPr>
            </w:pPr>
          </w:p>
        </w:tc>
        <w:tc>
          <w:tcPr>
            <w:tcW w:w="8118" w:type="dxa"/>
          </w:tcPr>
          <w:p w:rsidR="00EF3BAE" w:rsidRPr="00EF3BAE" w:rsidRDefault="00EF3BAE" w:rsidP="00EF3BAE">
            <w:pPr>
              <w:rPr>
                <w:sz w:val="20"/>
              </w:rPr>
            </w:pPr>
            <w:r>
              <w:rPr>
                <w:b/>
                <w:sz w:val="20"/>
                <w:u w:val="single"/>
              </w:rPr>
              <w:t>S</w:t>
            </w:r>
            <w:r w:rsidR="00C82EF9">
              <w:rPr>
                <w:b/>
                <w:sz w:val="20"/>
                <w:u w:val="single"/>
              </w:rPr>
              <w:t>.A.</w:t>
            </w:r>
            <w:r w:rsidRPr="00EF3BAE">
              <w:rPr>
                <w:b/>
                <w:sz w:val="20"/>
                <w:u w:val="single"/>
              </w:rPr>
              <w:t xml:space="preserve"> v. </w:t>
            </w:r>
            <w:r w:rsidR="00C82EF9">
              <w:rPr>
                <w:b/>
                <w:sz w:val="20"/>
                <w:u w:val="single"/>
              </w:rPr>
              <w:t>H</w:t>
            </w:r>
            <w:r w:rsidRPr="00EF3BAE">
              <w:rPr>
                <w:b/>
                <w:sz w:val="20"/>
                <w:u w:val="single"/>
              </w:rPr>
              <w:t>er</w:t>
            </w:r>
            <w:r w:rsidR="00C82EF9">
              <w:rPr>
                <w:b/>
                <w:sz w:val="20"/>
                <w:u w:val="single"/>
              </w:rPr>
              <w:t xml:space="preserve"> M</w:t>
            </w:r>
            <w:r w:rsidRPr="00EF3BAE">
              <w:rPr>
                <w:b/>
                <w:sz w:val="20"/>
                <w:u w:val="single"/>
              </w:rPr>
              <w:t>a</w:t>
            </w:r>
            <w:r w:rsidR="00C82EF9">
              <w:rPr>
                <w:b/>
                <w:sz w:val="20"/>
                <w:u w:val="single"/>
              </w:rPr>
              <w:t>j</w:t>
            </w:r>
            <w:r w:rsidRPr="00EF3BAE">
              <w:rPr>
                <w:b/>
                <w:sz w:val="20"/>
                <w:u w:val="single"/>
              </w:rPr>
              <w:t>e</w:t>
            </w:r>
            <w:r w:rsidR="00C82EF9">
              <w:rPr>
                <w:b/>
                <w:sz w:val="20"/>
                <w:u w:val="single"/>
              </w:rPr>
              <w:t>sty t</w:t>
            </w:r>
            <w:r w:rsidRPr="00EF3BAE">
              <w:rPr>
                <w:b/>
                <w:sz w:val="20"/>
                <w:u w:val="single"/>
              </w:rPr>
              <w:t>he</w:t>
            </w:r>
            <w:r w:rsidR="00C82EF9">
              <w:rPr>
                <w:b/>
                <w:sz w:val="20"/>
                <w:u w:val="single"/>
              </w:rPr>
              <w:t xml:space="preserve"> Qu</w:t>
            </w:r>
            <w:r w:rsidRPr="00EF3BAE">
              <w:rPr>
                <w:b/>
                <w:sz w:val="20"/>
                <w:u w:val="single"/>
              </w:rPr>
              <w:t>e</w:t>
            </w:r>
            <w:r w:rsidR="00C82EF9">
              <w:rPr>
                <w:b/>
                <w:sz w:val="20"/>
                <w:u w:val="single"/>
              </w:rPr>
              <w:t>en</w:t>
            </w:r>
            <w:r w:rsidRPr="00EF3BAE">
              <w:rPr>
                <w:sz w:val="20"/>
              </w:rPr>
              <w:t xml:space="preserve"> (</w:t>
            </w:r>
            <w:r w:rsidR="00C82EF9">
              <w:rPr>
                <w:sz w:val="20"/>
              </w:rPr>
              <w:t>Al</w:t>
            </w:r>
            <w:r w:rsidRPr="00EF3BAE">
              <w:rPr>
                <w:sz w:val="20"/>
              </w:rPr>
              <w:t>t</w:t>
            </w:r>
            <w:r w:rsidR="00C82EF9">
              <w:rPr>
                <w:sz w:val="20"/>
              </w:rPr>
              <w:t>a</w:t>
            </w:r>
            <w:r w:rsidRPr="00EF3BAE">
              <w:rPr>
                <w:sz w:val="20"/>
              </w:rPr>
              <w:t>.) (C</w:t>
            </w:r>
            <w:r w:rsidR="00C82EF9">
              <w:rPr>
                <w:sz w:val="20"/>
              </w:rPr>
              <w:t>r</w:t>
            </w:r>
            <w:r w:rsidRPr="00EF3BAE">
              <w:rPr>
                <w:sz w:val="20"/>
              </w:rPr>
              <w:t>i</w:t>
            </w:r>
            <w:r w:rsidR="00C82EF9">
              <w:rPr>
                <w:sz w:val="20"/>
              </w:rPr>
              <w:t>m</w:t>
            </w:r>
            <w:r w:rsidRPr="00EF3BAE">
              <w:rPr>
                <w:sz w:val="20"/>
              </w:rPr>
              <w:t>i</w:t>
            </w:r>
            <w:r w:rsidR="00C82EF9">
              <w:rPr>
                <w:sz w:val="20"/>
              </w:rPr>
              <w:t>na</w:t>
            </w:r>
            <w:r w:rsidRPr="00EF3BAE">
              <w:rPr>
                <w:sz w:val="20"/>
              </w:rPr>
              <w:t>l) (By Leave)</w:t>
            </w:r>
          </w:p>
          <w:p w:rsidR="00EF3BAE" w:rsidRPr="00EF3BAE" w:rsidRDefault="00EF3BAE" w:rsidP="00EF3BAE">
            <w:pPr>
              <w:rPr>
                <w:sz w:val="20"/>
              </w:rPr>
            </w:pPr>
          </w:p>
        </w:tc>
      </w:tr>
      <w:tr w:rsidR="00EF3BAE" w:rsidRPr="00EF3BAE" w:rsidTr="00EF3BAE">
        <w:trPr>
          <w:cantSplit/>
        </w:trPr>
        <w:tc>
          <w:tcPr>
            <w:tcW w:w="1458" w:type="dxa"/>
          </w:tcPr>
          <w:p w:rsidR="00EF3BAE" w:rsidRPr="00EF3BAE" w:rsidRDefault="00EF3BAE" w:rsidP="00EF3BAE">
            <w:pPr>
              <w:rPr>
                <w:sz w:val="20"/>
              </w:rPr>
            </w:pPr>
            <w:r w:rsidRPr="00EF3BAE">
              <w:rPr>
                <w:sz w:val="20"/>
              </w:rPr>
              <w:t>Coram :</w:t>
            </w:r>
          </w:p>
        </w:tc>
        <w:tc>
          <w:tcPr>
            <w:tcW w:w="8118" w:type="dxa"/>
          </w:tcPr>
          <w:p w:rsidR="00C82EF9" w:rsidRPr="006535BF" w:rsidRDefault="00C82EF9" w:rsidP="00C82EF9">
            <w:pPr>
              <w:rPr>
                <w:sz w:val="20"/>
              </w:rPr>
            </w:pPr>
            <w:r w:rsidRPr="006535BF">
              <w:rPr>
                <w:sz w:val="20"/>
                <w:u w:val="single"/>
              </w:rPr>
              <w:t>McLachlin C.J. and Cromwell and Wagner JJ.</w:t>
            </w:r>
          </w:p>
          <w:p w:rsidR="00EF3BAE" w:rsidRPr="00EF3BAE" w:rsidRDefault="00EF3BAE" w:rsidP="00EF3BAE">
            <w:pPr>
              <w:rPr>
                <w:sz w:val="20"/>
                <w:u w:val="single"/>
              </w:rPr>
            </w:pPr>
          </w:p>
        </w:tc>
      </w:tr>
      <w:tr w:rsidR="00EF3BAE" w:rsidRPr="00E4461B" w:rsidTr="00EF3BAE">
        <w:trPr>
          <w:cantSplit/>
        </w:trPr>
        <w:tc>
          <w:tcPr>
            <w:tcW w:w="9576" w:type="dxa"/>
            <w:gridSpan w:val="2"/>
          </w:tcPr>
          <w:p w:rsidR="00C82EF9" w:rsidRPr="00EF3BAE" w:rsidRDefault="00C82EF9" w:rsidP="00C82EF9">
            <w:pPr>
              <w:ind w:firstLine="720"/>
              <w:jc w:val="both"/>
              <w:rPr>
                <w:sz w:val="20"/>
              </w:rPr>
            </w:pPr>
            <w:r w:rsidRPr="00EF3BAE">
              <w:rPr>
                <w:sz w:val="20"/>
              </w:rPr>
              <w:t>The application for leave to appeal from the judgment of the Court of Appeal of Alberta, Number 1</w:t>
            </w:r>
            <w:r>
              <w:rPr>
                <w:sz w:val="20"/>
              </w:rPr>
              <w:t>2</w:t>
            </w:r>
            <w:r w:rsidRPr="00EF3BAE">
              <w:rPr>
                <w:sz w:val="20"/>
              </w:rPr>
              <w:t>03-0</w:t>
            </w:r>
            <w:r>
              <w:rPr>
                <w:sz w:val="20"/>
              </w:rPr>
              <w:t>134</w:t>
            </w:r>
            <w:r w:rsidRPr="00EF3BAE">
              <w:rPr>
                <w:sz w:val="20"/>
              </w:rPr>
              <w:t xml:space="preserve">-A, </w:t>
            </w:r>
            <w:r>
              <w:rPr>
                <w:sz w:val="20"/>
              </w:rPr>
              <w:t xml:space="preserve">2014 ABCA 191, </w:t>
            </w:r>
            <w:r w:rsidRPr="00EF3BAE">
              <w:rPr>
                <w:sz w:val="20"/>
              </w:rPr>
              <w:t xml:space="preserve">dated </w:t>
            </w:r>
            <w:r>
              <w:rPr>
                <w:sz w:val="20"/>
              </w:rPr>
              <w:t>June 10</w:t>
            </w:r>
            <w:r w:rsidRPr="00EF3BAE">
              <w:rPr>
                <w:sz w:val="20"/>
              </w:rPr>
              <w:t>, 2014, is dismissed with</w:t>
            </w:r>
            <w:r w:rsidR="005174EE">
              <w:rPr>
                <w:sz w:val="20"/>
              </w:rPr>
              <w:t>out</w:t>
            </w:r>
            <w:r w:rsidRPr="00EF3BAE">
              <w:rPr>
                <w:sz w:val="20"/>
              </w:rPr>
              <w:t xml:space="preserve"> costs.</w:t>
            </w:r>
          </w:p>
          <w:p w:rsidR="00C82EF9" w:rsidRPr="00EF3BAE" w:rsidRDefault="00C82EF9" w:rsidP="00C82EF9">
            <w:pPr>
              <w:jc w:val="both"/>
              <w:rPr>
                <w:sz w:val="20"/>
              </w:rPr>
            </w:pPr>
          </w:p>
          <w:p w:rsidR="00EF3BAE" w:rsidRPr="00EF3BAE" w:rsidRDefault="00C82EF9" w:rsidP="005174EE">
            <w:pPr>
              <w:ind w:firstLine="720"/>
              <w:jc w:val="both"/>
              <w:rPr>
                <w:sz w:val="20"/>
                <w:lang w:val="fr-CA"/>
              </w:rPr>
            </w:pPr>
            <w:r w:rsidRPr="00EF3BAE">
              <w:rPr>
                <w:sz w:val="20"/>
                <w:lang w:val="fr-CA"/>
              </w:rPr>
              <w:t>La demande d’autorisation d’appel de l’arrêt de la Cour d</w:t>
            </w:r>
            <w:r w:rsidR="005174EE">
              <w:rPr>
                <w:sz w:val="20"/>
                <w:lang w:val="fr-CA"/>
              </w:rPr>
              <w:t>’</w:t>
            </w:r>
            <w:r w:rsidRPr="00EF3BAE">
              <w:rPr>
                <w:sz w:val="20"/>
                <w:lang w:val="fr-CA"/>
              </w:rPr>
              <w:t>appel de l’Alberta (Edmonton), numéro 1</w:t>
            </w:r>
            <w:r w:rsidR="005174EE">
              <w:rPr>
                <w:sz w:val="20"/>
                <w:lang w:val="fr-CA"/>
              </w:rPr>
              <w:t>2</w:t>
            </w:r>
            <w:r w:rsidRPr="00EF3BAE">
              <w:rPr>
                <w:sz w:val="20"/>
                <w:lang w:val="fr-CA"/>
              </w:rPr>
              <w:t>03-0</w:t>
            </w:r>
            <w:r w:rsidR="005174EE">
              <w:rPr>
                <w:sz w:val="20"/>
                <w:lang w:val="fr-CA"/>
              </w:rPr>
              <w:t>134</w:t>
            </w:r>
            <w:r w:rsidRPr="00EF3BAE">
              <w:rPr>
                <w:sz w:val="20"/>
                <w:lang w:val="fr-CA"/>
              </w:rPr>
              <w:t xml:space="preserve">-A, </w:t>
            </w:r>
            <w:r w:rsidR="005174EE">
              <w:rPr>
                <w:sz w:val="20"/>
                <w:lang w:val="fr-CA"/>
              </w:rPr>
              <w:t>2014 ABCA 191, d</w:t>
            </w:r>
            <w:r w:rsidRPr="00EF3BAE">
              <w:rPr>
                <w:sz w:val="20"/>
                <w:lang w:val="fr-CA"/>
              </w:rPr>
              <w:t xml:space="preserve">até du </w:t>
            </w:r>
            <w:r w:rsidR="005174EE">
              <w:rPr>
                <w:sz w:val="20"/>
                <w:lang w:val="fr-CA"/>
              </w:rPr>
              <w:t>10</w:t>
            </w:r>
            <w:r w:rsidRPr="00EF3BAE">
              <w:rPr>
                <w:sz w:val="20"/>
                <w:lang w:val="fr-CA"/>
              </w:rPr>
              <w:t xml:space="preserve"> </w:t>
            </w:r>
            <w:r w:rsidR="005174EE">
              <w:rPr>
                <w:sz w:val="20"/>
                <w:lang w:val="fr-CA"/>
              </w:rPr>
              <w:t>ju</w:t>
            </w:r>
            <w:r w:rsidRPr="00EF3BAE">
              <w:rPr>
                <w:sz w:val="20"/>
                <w:lang w:val="fr-CA"/>
              </w:rPr>
              <w:t>i</w:t>
            </w:r>
            <w:r w:rsidR="005174EE">
              <w:rPr>
                <w:sz w:val="20"/>
                <w:lang w:val="fr-CA"/>
              </w:rPr>
              <w:t>n</w:t>
            </w:r>
            <w:r w:rsidRPr="00EF3BAE">
              <w:rPr>
                <w:sz w:val="20"/>
                <w:lang w:val="fr-CA"/>
              </w:rPr>
              <w:t xml:space="preserve"> 2014, est rejetée </w:t>
            </w:r>
            <w:r w:rsidR="005174EE">
              <w:rPr>
                <w:sz w:val="20"/>
                <w:lang w:val="fr-CA"/>
              </w:rPr>
              <w:t>sans</w:t>
            </w:r>
            <w:r w:rsidRPr="00EF3BAE">
              <w:rPr>
                <w:sz w:val="20"/>
                <w:lang w:val="fr-CA"/>
              </w:rPr>
              <w:t xml:space="preserve"> dépens.</w:t>
            </w:r>
          </w:p>
        </w:tc>
      </w:tr>
    </w:tbl>
    <w:p w:rsidR="00BC2489" w:rsidRPr="00EF3BA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6E66" w:rsidRPr="00164D42" w:rsidTr="00B02DE5">
        <w:tc>
          <w:tcPr>
            <w:tcW w:w="5000" w:type="pct"/>
            <w:gridSpan w:val="3"/>
          </w:tcPr>
          <w:p w:rsidR="00D26E66" w:rsidRPr="00164D42" w:rsidRDefault="00D26E66" w:rsidP="00B02DE5">
            <w:pPr>
              <w:jc w:val="both"/>
              <w:rPr>
                <w:rFonts w:eastAsia="Calibri"/>
                <w:smallCaps/>
                <w:sz w:val="20"/>
              </w:rPr>
            </w:pPr>
            <w:r w:rsidRPr="00164D42">
              <w:rPr>
                <w:rFonts w:eastAsia="Calibri"/>
                <w:smallCaps/>
                <w:sz w:val="20"/>
              </w:rPr>
              <w:t xml:space="preserve">(Publication </w:t>
            </w:r>
            <w:r>
              <w:rPr>
                <w:rFonts w:eastAsia="Calibri"/>
                <w:smallCaps/>
                <w:sz w:val="20"/>
              </w:rPr>
              <w:t>B</w:t>
            </w:r>
            <w:r w:rsidRPr="00164D42">
              <w:rPr>
                <w:rFonts w:eastAsia="Calibri"/>
                <w:smallCaps/>
                <w:sz w:val="20"/>
              </w:rPr>
              <w:t xml:space="preserve">an in </w:t>
            </w:r>
            <w:r>
              <w:rPr>
                <w:rFonts w:eastAsia="Calibri"/>
                <w:smallCaps/>
                <w:sz w:val="20"/>
              </w:rPr>
              <w:t>C</w:t>
            </w:r>
            <w:r w:rsidRPr="00164D42">
              <w:rPr>
                <w:rFonts w:eastAsia="Calibri"/>
                <w:smallCaps/>
                <w:sz w:val="20"/>
              </w:rPr>
              <w:t xml:space="preserve">ase) (Publication </w:t>
            </w:r>
            <w:r>
              <w:rPr>
                <w:rFonts w:eastAsia="Calibri"/>
                <w:smallCaps/>
                <w:sz w:val="20"/>
              </w:rPr>
              <w:t>B</w:t>
            </w:r>
            <w:r w:rsidRPr="00164D42">
              <w:rPr>
                <w:rFonts w:eastAsia="Calibri"/>
                <w:smallCaps/>
                <w:sz w:val="20"/>
              </w:rPr>
              <w:t xml:space="preserve">an on </w:t>
            </w:r>
            <w:r>
              <w:rPr>
                <w:rFonts w:eastAsia="Calibri"/>
                <w:smallCaps/>
                <w:sz w:val="20"/>
              </w:rPr>
              <w:t>P</w:t>
            </w:r>
            <w:r w:rsidRPr="00164D42">
              <w:rPr>
                <w:rFonts w:eastAsia="Calibri"/>
                <w:smallCaps/>
                <w:sz w:val="20"/>
              </w:rPr>
              <w:t xml:space="preserve">arty) (Court </w:t>
            </w:r>
            <w:r>
              <w:rPr>
                <w:rFonts w:eastAsia="Calibri"/>
                <w:smallCaps/>
                <w:sz w:val="20"/>
              </w:rPr>
              <w:t>F</w:t>
            </w:r>
            <w:r w:rsidRPr="00164D42">
              <w:rPr>
                <w:rFonts w:eastAsia="Calibri"/>
                <w:smallCaps/>
                <w:sz w:val="20"/>
              </w:rPr>
              <w:t xml:space="preserve">ile </w:t>
            </w:r>
            <w:r>
              <w:rPr>
                <w:rFonts w:eastAsia="Calibri"/>
                <w:smallCaps/>
                <w:sz w:val="20"/>
              </w:rPr>
              <w:t>C</w:t>
            </w:r>
            <w:r w:rsidRPr="00164D42">
              <w:rPr>
                <w:rFonts w:eastAsia="Calibri"/>
                <w:smallCaps/>
                <w:sz w:val="20"/>
              </w:rPr>
              <w:t xml:space="preserve">ontains </w:t>
            </w:r>
            <w:r>
              <w:rPr>
                <w:rFonts w:eastAsia="Calibri"/>
                <w:smallCaps/>
                <w:sz w:val="20"/>
              </w:rPr>
              <w:t>I</w:t>
            </w:r>
            <w:r w:rsidRPr="00164D42">
              <w:rPr>
                <w:rFonts w:eastAsia="Calibri"/>
                <w:smallCaps/>
                <w:sz w:val="20"/>
              </w:rPr>
              <w:t xml:space="preserve">nformation </w:t>
            </w:r>
            <w:r>
              <w:rPr>
                <w:rFonts w:eastAsia="Calibri"/>
                <w:smallCaps/>
                <w:sz w:val="20"/>
              </w:rPr>
              <w:t>T</w:t>
            </w:r>
            <w:r w:rsidRPr="00164D42">
              <w:rPr>
                <w:rFonts w:eastAsia="Calibri"/>
                <w:smallCaps/>
                <w:sz w:val="20"/>
              </w:rPr>
              <w:t xml:space="preserve">hat is not </w:t>
            </w:r>
            <w:r>
              <w:rPr>
                <w:rFonts w:eastAsia="Calibri"/>
                <w:smallCaps/>
                <w:sz w:val="20"/>
              </w:rPr>
              <w:t>A</w:t>
            </w:r>
            <w:r w:rsidRPr="00164D42">
              <w:rPr>
                <w:rFonts w:eastAsia="Calibri"/>
                <w:smallCaps/>
                <w:sz w:val="20"/>
              </w:rPr>
              <w:t xml:space="preserve">vailable for </w:t>
            </w:r>
            <w:r>
              <w:rPr>
                <w:rFonts w:eastAsia="Calibri"/>
                <w:smallCaps/>
                <w:sz w:val="20"/>
              </w:rPr>
              <w:t>I</w:t>
            </w:r>
            <w:r w:rsidRPr="00164D42">
              <w:rPr>
                <w:rFonts w:eastAsia="Calibri"/>
                <w:smallCaps/>
                <w:sz w:val="20"/>
              </w:rPr>
              <w:t xml:space="preserve">nspection by the </w:t>
            </w:r>
            <w:r>
              <w:rPr>
                <w:rFonts w:eastAsia="Calibri"/>
                <w:smallCaps/>
                <w:sz w:val="20"/>
              </w:rPr>
              <w:t>P</w:t>
            </w:r>
            <w:r w:rsidRPr="00164D42">
              <w:rPr>
                <w:rFonts w:eastAsia="Calibri"/>
                <w:smallCaps/>
                <w:sz w:val="20"/>
              </w:rPr>
              <w:t>ublic)</w:t>
            </w:r>
          </w:p>
          <w:p w:rsidR="00D26E66" w:rsidRPr="00164D42" w:rsidRDefault="00D26E66" w:rsidP="00B02DE5">
            <w:pPr>
              <w:jc w:val="both"/>
              <w:rPr>
                <w:rFonts w:eastAsia="Calibri"/>
                <w:sz w:val="20"/>
              </w:rPr>
            </w:pPr>
          </w:p>
        </w:tc>
      </w:tr>
      <w:tr w:rsidR="00D26E66" w:rsidRPr="00164D42" w:rsidTr="00B02DE5">
        <w:tc>
          <w:tcPr>
            <w:tcW w:w="5000" w:type="pct"/>
            <w:gridSpan w:val="3"/>
          </w:tcPr>
          <w:p w:rsidR="00D26E66" w:rsidRPr="00164D42" w:rsidRDefault="00D26E66" w:rsidP="00B02DE5">
            <w:pPr>
              <w:jc w:val="both"/>
              <w:rPr>
                <w:rFonts w:eastAsia="Calibri"/>
                <w:sz w:val="20"/>
              </w:rPr>
            </w:pPr>
            <w:r w:rsidRPr="00164D42">
              <w:rPr>
                <w:rFonts w:eastAsia="Calibri"/>
                <w:i/>
                <w:sz w:val="20"/>
              </w:rPr>
              <w:t>Charter of Rights and Freedoms</w:t>
            </w:r>
            <w:r w:rsidRPr="00164D42">
              <w:rPr>
                <w:rFonts w:eastAsia="Calibri"/>
                <w:sz w:val="20"/>
              </w:rPr>
              <w:t xml:space="preserve"> – Right to life, liberty and security of the person – Is trespass legislation to be interpreted as only enforcing a common law right, meaning it is not subject to </w:t>
            </w:r>
            <w:r w:rsidRPr="00164D42">
              <w:rPr>
                <w:rFonts w:eastAsia="Calibri"/>
                <w:i/>
                <w:sz w:val="20"/>
              </w:rPr>
              <w:t>Charter</w:t>
            </w:r>
            <w:r w:rsidRPr="00164D42">
              <w:rPr>
                <w:rFonts w:eastAsia="Calibri"/>
                <w:sz w:val="20"/>
              </w:rPr>
              <w:t xml:space="preserve"> scrutiny – Does the </w:t>
            </w:r>
            <w:r w:rsidRPr="00164D42">
              <w:rPr>
                <w:rFonts w:eastAsia="Calibri"/>
                <w:i/>
                <w:sz w:val="20"/>
              </w:rPr>
              <w:t>Trespass to Premises Act</w:t>
            </w:r>
            <w:r w:rsidRPr="00164D42">
              <w:rPr>
                <w:rFonts w:eastAsia="Calibri"/>
                <w:sz w:val="20"/>
              </w:rPr>
              <w:t xml:space="preserve">, insofar as it applies to public property, violate s. 7 of the </w:t>
            </w:r>
            <w:r w:rsidRPr="00164D42">
              <w:rPr>
                <w:rFonts w:eastAsia="Calibri"/>
                <w:i/>
                <w:sz w:val="20"/>
              </w:rPr>
              <w:t>Charter</w:t>
            </w:r>
            <w:r w:rsidRPr="00164D42">
              <w:rPr>
                <w:rFonts w:eastAsia="Calibri"/>
                <w:sz w:val="20"/>
              </w:rPr>
              <w:t xml:space="preserve"> – Does the </w:t>
            </w:r>
            <w:r w:rsidRPr="00164D42">
              <w:rPr>
                <w:rFonts w:eastAsia="Calibri"/>
                <w:i/>
                <w:sz w:val="20"/>
              </w:rPr>
              <w:t xml:space="preserve">Trespass to Premises Act Policy </w:t>
            </w:r>
            <w:r w:rsidRPr="00164D42">
              <w:rPr>
                <w:rFonts w:eastAsia="Calibri"/>
                <w:sz w:val="20"/>
              </w:rPr>
              <w:t xml:space="preserve">violate s. 7 of the </w:t>
            </w:r>
            <w:r w:rsidRPr="00164D42">
              <w:rPr>
                <w:rFonts w:eastAsia="Calibri"/>
                <w:i/>
                <w:sz w:val="20"/>
              </w:rPr>
              <w:t>Charter</w:t>
            </w:r>
            <w:r w:rsidRPr="00164D42">
              <w:rPr>
                <w:rFonts w:eastAsia="Calibri"/>
                <w:sz w:val="20"/>
              </w:rPr>
              <w:t xml:space="preserve"> – Does restricting the applicant from accessing public transit violate the right to liberty in s. 7 of the </w:t>
            </w:r>
            <w:r w:rsidRPr="00164D42">
              <w:rPr>
                <w:rFonts w:eastAsia="Calibri"/>
                <w:i/>
                <w:sz w:val="20"/>
              </w:rPr>
              <w:t>Charter</w:t>
            </w:r>
            <w:r w:rsidRPr="00164D42">
              <w:rPr>
                <w:rFonts w:eastAsia="Calibri"/>
                <w:sz w:val="20"/>
              </w:rPr>
              <w:t xml:space="preserve"> – </w:t>
            </w:r>
            <w:r w:rsidRPr="00164D42">
              <w:rPr>
                <w:rFonts w:eastAsia="Calibri"/>
                <w:i/>
                <w:sz w:val="20"/>
              </w:rPr>
              <w:t xml:space="preserve">Charter </w:t>
            </w:r>
            <w:r w:rsidRPr="00164D42">
              <w:rPr>
                <w:rFonts w:eastAsia="Calibri"/>
                <w:sz w:val="20"/>
              </w:rPr>
              <w:t>s. 7.</w:t>
            </w:r>
          </w:p>
        </w:tc>
      </w:tr>
      <w:tr w:rsidR="00D26E66" w:rsidRPr="00164D42" w:rsidTr="00B02DE5">
        <w:tc>
          <w:tcPr>
            <w:tcW w:w="5000" w:type="pct"/>
            <w:gridSpan w:val="3"/>
          </w:tcPr>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r w:rsidRPr="00164D42">
              <w:rPr>
                <w:rFonts w:eastAsia="Calibri"/>
                <w:sz w:val="20"/>
              </w:rPr>
              <w:t xml:space="preserve">At trial, the applicant successfully argued that the trespass legislation and written transit Policy were unconstitutional and violated the applicant’s s. 7 </w:t>
            </w:r>
            <w:r w:rsidRPr="00164D42">
              <w:rPr>
                <w:rFonts w:eastAsia="Calibri"/>
                <w:i/>
                <w:sz w:val="20"/>
              </w:rPr>
              <w:t>Charter</w:t>
            </w:r>
            <w:r w:rsidRPr="00164D42">
              <w:rPr>
                <w:rFonts w:eastAsia="Calibri"/>
                <w:sz w:val="20"/>
              </w:rPr>
              <w:t xml:space="preserve"> rights.  The Crown appealed, and the acquittal was set aside on the basis that the applicant’s s. 7 </w:t>
            </w:r>
            <w:r w:rsidRPr="00164D42">
              <w:rPr>
                <w:rFonts w:eastAsia="Calibri"/>
                <w:i/>
                <w:sz w:val="20"/>
              </w:rPr>
              <w:t>Charter</w:t>
            </w:r>
            <w:r w:rsidRPr="00164D42">
              <w:rPr>
                <w:rFonts w:eastAsia="Calibri"/>
                <w:sz w:val="20"/>
              </w:rPr>
              <w:t xml:space="preserve"> rights were not violated. The Court of Appeal, with Bielby J.A. dissenting, dismissed the appeal.</w:t>
            </w: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September 14, 2011</w:t>
            </w:r>
          </w:p>
          <w:p w:rsidR="00D26E66" w:rsidRPr="00164D42" w:rsidRDefault="00D26E66" w:rsidP="00B02DE5">
            <w:pPr>
              <w:jc w:val="both"/>
              <w:rPr>
                <w:rFonts w:eastAsia="Calibri"/>
                <w:sz w:val="20"/>
              </w:rPr>
            </w:pPr>
            <w:r w:rsidRPr="00164D42">
              <w:rPr>
                <w:rFonts w:eastAsia="Calibri"/>
                <w:sz w:val="20"/>
              </w:rPr>
              <w:t>Provincial Court of Alberta</w:t>
            </w:r>
          </w:p>
          <w:p w:rsidR="00D26E66" w:rsidRPr="00164D42" w:rsidRDefault="00D26E66" w:rsidP="00B02DE5">
            <w:pPr>
              <w:jc w:val="both"/>
              <w:rPr>
                <w:rFonts w:eastAsia="Calibri"/>
                <w:sz w:val="20"/>
              </w:rPr>
            </w:pPr>
            <w:r w:rsidRPr="00164D42">
              <w:rPr>
                <w:rFonts w:eastAsia="Calibri"/>
                <w:sz w:val="20"/>
              </w:rPr>
              <w:t>(Dalton P.C.J.)</w:t>
            </w:r>
          </w:p>
          <w:p w:rsidR="00D26E66" w:rsidRPr="00164D42" w:rsidRDefault="00D26E66" w:rsidP="00B02DE5">
            <w:pPr>
              <w:jc w:val="both"/>
              <w:rPr>
                <w:rFonts w:eastAsia="Calibri"/>
                <w:sz w:val="20"/>
              </w:rPr>
            </w:pPr>
            <w:r w:rsidRPr="00164D42">
              <w:rPr>
                <w:rFonts w:eastAsia="Calibri"/>
                <w:sz w:val="20"/>
              </w:rPr>
              <w:t>2011 ABPC 269</w:t>
            </w:r>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Acquittal entered</w:t>
            </w: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May 15, 2012</w:t>
            </w:r>
          </w:p>
          <w:p w:rsidR="00D26E66" w:rsidRPr="00164D42" w:rsidRDefault="00D26E66" w:rsidP="00B02DE5">
            <w:pPr>
              <w:jc w:val="both"/>
              <w:rPr>
                <w:rFonts w:eastAsia="Calibri"/>
                <w:sz w:val="20"/>
              </w:rPr>
            </w:pPr>
            <w:r w:rsidRPr="00164D42">
              <w:rPr>
                <w:rFonts w:eastAsia="Calibri"/>
                <w:sz w:val="20"/>
              </w:rPr>
              <w:t>Court of Queen’s Bench of Alberta</w:t>
            </w:r>
          </w:p>
          <w:p w:rsidR="00D26E66" w:rsidRPr="00164D42" w:rsidRDefault="00D26E66" w:rsidP="00B02DE5">
            <w:pPr>
              <w:jc w:val="both"/>
              <w:rPr>
                <w:rFonts w:eastAsia="Calibri"/>
                <w:sz w:val="20"/>
              </w:rPr>
            </w:pPr>
            <w:r w:rsidRPr="00164D42">
              <w:rPr>
                <w:rFonts w:eastAsia="Calibri"/>
                <w:sz w:val="20"/>
              </w:rPr>
              <w:t>(Binder J.)</w:t>
            </w:r>
          </w:p>
          <w:p w:rsidR="00D26E66" w:rsidRPr="00164D42" w:rsidRDefault="00D26E66" w:rsidP="00B02DE5">
            <w:pPr>
              <w:jc w:val="both"/>
              <w:rPr>
                <w:rFonts w:eastAsia="Calibri"/>
                <w:sz w:val="20"/>
              </w:rPr>
            </w:pPr>
            <w:r w:rsidRPr="00164D42">
              <w:rPr>
                <w:rFonts w:eastAsia="Calibri"/>
                <w:sz w:val="20"/>
              </w:rPr>
              <w:t>2012 ABQB 311</w:t>
            </w:r>
          </w:p>
          <w:p w:rsidR="00D26E66" w:rsidRPr="00164D42" w:rsidRDefault="00E4461B" w:rsidP="00B02DE5">
            <w:pPr>
              <w:jc w:val="both"/>
              <w:rPr>
                <w:rFonts w:eastAsia="Calibri"/>
                <w:sz w:val="20"/>
              </w:rPr>
            </w:pPr>
            <w:hyperlink r:id="rId78" w:history="1">
              <w:r w:rsidR="00D26E66" w:rsidRPr="00164D42">
                <w:rPr>
                  <w:rFonts w:eastAsia="Calibri"/>
                  <w:color w:val="0000FF"/>
                  <w:sz w:val="20"/>
                  <w:u w:val="single"/>
                </w:rPr>
                <w:t>http://canlii.ca/t/frh0h</w:t>
              </w:r>
            </w:hyperlink>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Acquittal set aside</w:t>
            </w: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June 10, 2014</w:t>
            </w:r>
          </w:p>
          <w:p w:rsidR="00D26E66" w:rsidRPr="00164D42" w:rsidRDefault="00D26E66" w:rsidP="00B02DE5">
            <w:pPr>
              <w:jc w:val="both"/>
              <w:rPr>
                <w:rFonts w:eastAsia="Calibri"/>
                <w:sz w:val="20"/>
              </w:rPr>
            </w:pPr>
            <w:r w:rsidRPr="00164D42">
              <w:rPr>
                <w:rFonts w:eastAsia="Calibri"/>
                <w:sz w:val="20"/>
              </w:rPr>
              <w:t>Court of Appeal of Alberta</w:t>
            </w:r>
          </w:p>
          <w:p w:rsidR="00D26E66" w:rsidRPr="00164D42" w:rsidRDefault="00D26E66" w:rsidP="00B02DE5">
            <w:pPr>
              <w:jc w:val="both"/>
              <w:rPr>
                <w:rFonts w:eastAsia="Calibri"/>
                <w:sz w:val="20"/>
              </w:rPr>
            </w:pPr>
            <w:r w:rsidRPr="00164D42">
              <w:rPr>
                <w:rFonts w:eastAsia="Calibri"/>
                <w:sz w:val="20"/>
              </w:rPr>
              <w:t xml:space="preserve">(Côtê and O’Ferrall JJ.A, and Bielby J.A. </w:t>
            </w:r>
          </w:p>
          <w:p w:rsidR="00D26E66" w:rsidRPr="00164D42" w:rsidRDefault="00D26E66" w:rsidP="00B02DE5">
            <w:pPr>
              <w:jc w:val="both"/>
              <w:rPr>
                <w:rFonts w:eastAsia="Calibri"/>
                <w:sz w:val="20"/>
              </w:rPr>
            </w:pPr>
            <w:r w:rsidRPr="00164D42">
              <w:rPr>
                <w:rFonts w:eastAsia="Calibri"/>
                <w:sz w:val="20"/>
              </w:rPr>
              <w:t>(dissenting) )</w:t>
            </w:r>
          </w:p>
          <w:p w:rsidR="00D26E66" w:rsidRPr="00164D42" w:rsidRDefault="00D26E66" w:rsidP="00B02DE5">
            <w:pPr>
              <w:jc w:val="both"/>
              <w:rPr>
                <w:rFonts w:eastAsia="Calibri"/>
                <w:sz w:val="20"/>
              </w:rPr>
            </w:pPr>
            <w:r w:rsidRPr="00164D42">
              <w:rPr>
                <w:rFonts w:eastAsia="Calibri"/>
                <w:sz w:val="20"/>
              </w:rPr>
              <w:t>2014 ABCA 191</w:t>
            </w:r>
          </w:p>
          <w:p w:rsidR="00D26E66" w:rsidRPr="00164D42" w:rsidRDefault="00E4461B" w:rsidP="00B02DE5">
            <w:pPr>
              <w:jc w:val="both"/>
              <w:rPr>
                <w:rFonts w:eastAsia="Calibri"/>
                <w:sz w:val="20"/>
              </w:rPr>
            </w:pPr>
            <w:hyperlink r:id="rId79" w:history="1">
              <w:r w:rsidR="00D26E66" w:rsidRPr="00164D42">
                <w:rPr>
                  <w:rFonts w:eastAsia="Calibri"/>
                  <w:color w:val="0000FF"/>
                  <w:sz w:val="20"/>
                  <w:u w:val="single"/>
                </w:rPr>
                <w:t>http://canlii.ca/t/g7cqc</w:t>
              </w:r>
            </w:hyperlink>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Appeal dismissed</w:t>
            </w:r>
          </w:p>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p>
          <w:p w:rsidR="00D26E66" w:rsidRPr="00164D42" w:rsidRDefault="00D26E66" w:rsidP="00B02DE5">
            <w:pPr>
              <w:jc w:val="both"/>
              <w:rPr>
                <w:rFonts w:eastAsia="Calibri"/>
                <w:sz w:val="20"/>
              </w:rPr>
            </w:pPr>
          </w:p>
        </w:tc>
      </w:tr>
      <w:tr w:rsidR="00D26E66" w:rsidRPr="00164D42" w:rsidTr="00B02DE5">
        <w:tc>
          <w:tcPr>
            <w:tcW w:w="2427" w:type="pct"/>
          </w:tcPr>
          <w:p w:rsidR="00D26E66" w:rsidRPr="00164D42" w:rsidRDefault="00D26E66" w:rsidP="00B02DE5">
            <w:pPr>
              <w:jc w:val="both"/>
              <w:rPr>
                <w:rFonts w:eastAsia="Calibri"/>
                <w:sz w:val="20"/>
              </w:rPr>
            </w:pPr>
            <w:r w:rsidRPr="00164D42">
              <w:rPr>
                <w:rFonts w:eastAsia="Calibri"/>
                <w:sz w:val="20"/>
              </w:rPr>
              <w:t>September 9, 2014</w:t>
            </w:r>
          </w:p>
          <w:p w:rsidR="00D26E66" w:rsidRPr="00164D42" w:rsidRDefault="00D26E66" w:rsidP="00B02DE5">
            <w:pPr>
              <w:jc w:val="both"/>
              <w:rPr>
                <w:rFonts w:eastAsia="Calibri"/>
                <w:sz w:val="20"/>
              </w:rPr>
            </w:pPr>
            <w:r w:rsidRPr="00164D42">
              <w:rPr>
                <w:rFonts w:eastAsia="Calibri"/>
                <w:sz w:val="20"/>
              </w:rPr>
              <w:t>Supreme Court of Canada</w:t>
            </w: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rPr>
            </w:pPr>
            <w:r w:rsidRPr="00164D42">
              <w:rPr>
                <w:rFonts w:eastAsia="Calibri"/>
                <w:sz w:val="20"/>
              </w:rPr>
              <w:t>Application for leave to appeal filed</w:t>
            </w:r>
          </w:p>
          <w:p w:rsidR="00D26E66" w:rsidRPr="00164D42" w:rsidRDefault="00D26E66"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56" style="width:2in;height:1pt" o:hrpct="0" o:hralign="center" o:hrstd="t" o:hrnoshade="t" o:hr="t" fillcolor="black [3213]" stroked="f"/>
        </w:pict>
      </w:r>
    </w:p>
    <w:p w:rsidR="005174EE" w:rsidRDefault="005174EE">
      <w:pPr>
        <w:rPr>
          <w:sz w:val="20"/>
          <w:szCs w:val="20"/>
        </w:rPr>
      </w:pPr>
    </w:p>
    <w:p w:rsidR="005174EE" w:rsidRDefault="005174EE">
      <w:pPr>
        <w:rPr>
          <w:sz w:val="20"/>
          <w:szCs w:val="20"/>
        </w:rPr>
      </w:pPr>
      <w:r>
        <w:rPr>
          <w:sz w:val="20"/>
          <w:szCs w:val="20"/>
        </w:rPr>
        <w:br w:type="page"/>
      </w:r>
    </w:p>
    <w:p w:rsidR="00BC2489" w:rsidRPr="001B157C" w:rsidRDefault="00BC2489" w:rsidP="00BC2489">
      <w:pPr>
        <w:rPr>
          <w:sz w:val="20"/>
          <w:szCs w:val="20"/>
          <w:u w:val="single"/>
          <w:lang w:val="fr-CA"/>
        </w:rPr>
      </w:pPr>
      <w:r w:rsidRPr="001B157C">
        <w:rPr>
          <w:sz w:val="20"/>
          <w:szCs w:val="20"/>
          <w:u w:val="single"/>
          <w:lang w:val="fr-CA"/>
        </w:rPr>
        <w:lastRenderedPageBreak/>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26E66" w:rsidRPr="00E4461B" w:rsidTr="00B02DE5">
        <w:tc>
          <w:tcPr>
            <w:tcW w:w="5000" w:type="pct"/>
            <w:gridSpan w:val="3"/>
          </w:tcPr>
          <w:p w:rsidR="00D26E66" w:rsidRPr="00164D42" w:rsidRDefault="00D26E66" w:rsidP="00B02DE5">
            <w:pPr>
              <w:jc w:val="both"/>
              <w:rPr>
                <w:rFonts w:eastAsia="Calibri"/>
                <w:smallCaps/>
                <w:sz w:val="20"/>
                <w:lang w:val="fr-CA"/>
              </w:rPr>
            </w:pPr>
            <w:r w:rsidRPr="00164D42">
              <w:rPr>
                <w:rFonts w:eastAsia="Calibri"/>
                <w:smallCaps/>
                <w:sz w:val="20"/>
                <w:lang w:val="fr-CA"/>
              </w:rPr>
              <w:t>(Ordonnance de non-publication dans le dossier) (Ordonnance de non-publication visant une partie) (</w:t>
            </w:r>
            <w:r w:rsidRPr="00164D42">
              <w:rPr>
                <w:rFonts w:eastAsia="Calibri"/>
                <w:bCs/>
                <w:smallCaps/>
                <w:sz w:val="20"/>
                <w:lang w:val="fr-CA"/>
              </w:rPr>
              <w:t>Le dossier de la Cour renferme des données que le public n'est pas autorisé à consulter</w:t>
            </w:r>
            <w:r w:rsidRPr="00164D42">
              <w:rPr>
                <w:rFonts w:eastAsia="Calibri"/>
                <w:smallCaps/>
                <w:sz w:val="20"/>
                <w:lang w:val="fr-CA"/>
              </w:rPr>
              <w:t>)</w:t>
            </w:r>
          </w:p>
          <w:p w:rsidR="00D26E66" w:rsidRPr="00164D42" w:rsidRDefault="00D26E66" w:rsidP="00B02DE5">
            <w:pPr>
              <w:jc w:val="both"/>
              <w:rPr>
                <w:rFonts w:eastAsia="Calibri"/>
                <w:sz w:val="20"/>
                <w:lang w:val="fr-CA"/>
              </w:rPr>
            </w:pPr>
          </w:p>
        </w:tc>
      </w:tr>
      <w:tr w:rsidR="00D26E66" w:rsidRPr="00E4461B" w:rsidTr="00B02DE5">
        <w:tc>
          <w:tcPr>
            <w:tcW w:w="5000" w:type="pct"/>
            <w:gridSpan w:val="3"/>
          </w:tcPr>
          <w:p w:rsidR="00D26E66" w:rsidRPr="00164D42" w:rsidRDefault="00D26E66" w:rsidP="00B02DE5">
            <w:pPr>
              <w:jc w:val="both"/>
              <w:rPr>
                <w:rFonts w:eastAsia="Calibri"/>
                <w:sz w:val="20"/>
                <w:lang w:val="fr-CA"/>
              </w:rPr>
            </w:pPr>
            <w:r w:rsidRPr="00164D42">
              <w:rPr>
                <w:rFonts w:eastAsia="Calibri"/>
                <w:i/>
                <w:sz w:val="20"/>
                <w:lang w:val="fr-CA"/>
              </w:rPr>
              <w:t>Charte des droits et libertés</w:t>
            </w:r>
            <w:r w:rsidRPr="00164D42">
              <w:rPr>
                <w:rFonts w:eastAsia="Calibri"/>
                <w:sz w:val="20"/>
                <w:lang w:val="fr-CA"/>
              </w:rPr>
              <w:t xml:space="preserve"> – Droit à la vie, à la liberté et à la sécurité de la personne – Faut-il interpréter une loi en matière d’intrusion comme si elle ne faisait que faire respecter un droit de common law, de sorte qu’elle ne peut faire l’objet d’un examen fondé sur la </w:t>
            </w:r>
            <w:r w:rsidRPr="00164D42">
              <w:rPr>
                <w:rFonts w:eastAsia="Calibri"/>
                <w:i/>
                <w:sz w:val="20"/>
                <w:lang w:val="fr-CA"/>
              </w:rPr>
              <w:t>Charte</w:t>
            </w:r>
            <w:r w:rsidRPr="00164D42">
              <w:rPr>
                <w:rFonts w:eastAsia="Calibri"/>
                <w:sz w:val="20"/>
                <w:lang w:val="fr-CA"/>
              </w:rPr>
              <w:t xml:space="preserve">? – La </w:t>
            </w:r>
            <w:r w:rsidRPr="00164D42">
              <w:rPr>
                <w:rFonts w:eastAsia="Calibri"/>
                <w:i/>
                <w:sz w:val="20"/>
                <w:lang w:val="fr-CA"/>
              </w:rPr>
              <w:t>Trespass to Premises Act</w:t>
            </w:r>
            <w:r w:rsidRPr="00164D42">
              <w:rPr>
                <w:rFonts w:eastAsia="Calibri"/>
                <w:sz w:val="20"/>
                <w:lang w:val="fr-CA"/>
              </w:rPr>
              <w:t xml:space="preserve">, dans la mesure où elle s’applique à la propriété publique, viole-t-elle l’art. 7 de la </w:t>
            </w:r>
            <w:r w:rsidRPr="00164D42">
              <w:rPr>
                <w:rFonts w:eastAsia="Calibri"/>
                <w:i/>
                <w:sz w:val="20"/>
                <w:lang w:val="fr-CA"/>
              </w:rPr>
              <w:t>Charte</w:t>
            </w:r>
            <w:r w:rsidRPr="00164D42">
              <w:rPr>
                <w:rFonts w:eastAsia="Calibri"/>
                <w:sz w:val="20"/>
                <w:lang w:val="fr-CA"/>
              </w:rPr>
              <w:t xml:space="preserve">? – La </w:t>
            </w:r>
            <w:r w:rsidRPr="00164D42">
              <w:rPr>
                <w:rFonts w:eastAsia="Calibri"/>
                <w:i/>
                <w:sz w:val="20"/>
                <w:lang w:val="fr-CA"/>
              </w:rPr>
              <w:t xml:space="preserve">Trespass to Premises Act Policy </w:t>
            </w:r>
            <w:r w:rsidRPr="00164D42">
              <w:rPr>
                <w:rFonts w:eastAsia="Calibri"/>
                <w:sz w:val="20"/>
                <w:lang w:val="fr-CA"/>
              </w:rPr>
              <w:t xml:space="preserve">viole-t-elle l’art. 7 de la </w:t>
            </w:r>
            <w:r w:rsidRPr="00164D42">
              <w:rPr>
                <w:rFonts w:eastAsia="Calibri"/>
                <w:i/>
                <w:sz w:val="20"/>
                <w:lang w:val="fr-CA"/>
              </w:rPr>
              <w:t>Charte</w:t>
            </w:r>
            <w:r w:rsidRPr="00164D42">
              <w:rPr>
                <w:rFonts w:eastAsia="Calibri"/>
                <w:sz w:val="20"/>
                <w:lang w:val="fr-CA"/>
              </w:rPr>
              <w:t xml:space="preserve">? – Le fait d’empêcher le demandeur d’avoir accès au transport en commun viole-t-il l’art. 7 de la </w:t>
            </w:r>
            <w:r w:rsidRPr="00164D42">
              <w:rPr>
                <w:rFonts w:eastAsia="Calibri"/>
                <w:i/>
                <w:sz w:val="20"/>
                <w:lang w:val="fr-CA"/>
              </w:rPr>
              <w:t>Charte</w:t>
            </w:r>
            <w:r w:rsidRPr="00164D42">
              <w:rPr>
                <w:rFonts w:eastAsia="Calibri"/>
                <w:sz w:val="20"/>
                <w:lang w:val="fr-CA"/>
              </w:rPr>
              <w:t xml:space="preserve">? – </w:t>
            </w:r>
            <w:r w:rsidRPr="00164D42">
              <w:rPr>
                <w:rFonts w:eastAsia="Calibri"/>
                <w:i/>
                <w:sz w:val="20"/>
                <w:lang w:val="fr-CA"/>
              </w:rPr>
              <w:t>Charte</w:t>
            </w:r>
            <w:r w:rsidRPr="00164D42">
              <w:rPr>
                <w:rFonts w:eastAsia="Calibri"/>
                <w:sz w:val="20"/>
                <w:lang w:val="fr-CA"/>
              </w:rPr>
              <w:t>, art. 7.</w:t>
            </w:r>
          </w:p>
        </w:tc>
      </w:tr>
      <w:tr w:rsidR="00D26E66" w:rsidRPr="00E4461B" w:rsidTr="00B02DE5">
        <w:tc>
          <w:tcPr>
            <w:tcW w:w="5000" w:type="pct"/>
            <w:gridSpan w:val="3"/>
          </w:tcPr>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r w:rsidRPr="00164D42">
              <w:rPr>
                <w:rFonts w:eastAsia="Calibri"/>
                <w:sz w:val="20"/>
                <w:lang w:val="fr-CA"/>
              </w:rPr>
              <w:t xml:space="preserve">À son procès, le demandeur a plaidé avec succès qu’une loi en matière d’intrusion et une politique écrite de transport en commun étaient inconstitutionnelles et violaient les droits que lui garantit l’art. 7 de la </w:t>
            </w:r>
            <w:r w:rsidRPr="00164D42">
              <w:rPr>
                <w:rFonts w:eastAsia="Calibri"/>
                <w:i/>
                <w:sz w:val="20"/>
                <w:lang w:val="fr-CA"/>
              </w:rPr>
              <w:t>Charte</w:t>
            </w:r>
            <w:r w:rsidRPr="00164D42">
              <w:rPr>
                <w:rFonts w:eastAsia="Calibri"/>
                <w:sz w:val="20"/>
                <w:lang w:val="fr-CA"/>
              </w:rPr>
              <w:t xml:space="preserve">.  Le ministère public a interjeté appel et l’acquittement a été annulé au motif que les droits que l’art. 7 de la </w:t>
            </w:r>
            <w:r w:rsidRPr="00164D42">
              <w:rPr>
                <w:rFonts w:eastAsia="Calibri"/>
                <w:i/>
                <w:sz w:val="20"/>
                <w:lang w:val="fr-CA"/>
              </w:rPr>
              <w:t>Charte</w:t>
            </w:r>
            <w:r w:rsidRPr="00164D42">
              <w:rPr>
                <w:rFonts w:eastAsia="Calibri"/>
                <w:sz w:val="20"/>
                <w:lang w:val="fr-CA"/>
              </w:rPr>
              <w:t xml:space="preserve"> garantit au demandeur n’avaient pas été violés.  La Cour d’appel, la juge Bielby étant dissidente, a rejeté l’appel.</w:t>
            </w:r>
          </w:p>
          <w:p w:rsidR="00D26E66" w:rsidRPr="00164D42" w:rsidRDefault="00D26E66" w:rsidP="00B02DE5">
            <w:pPr>
              <w:jc w:val="both"/>
              <w:rPr>
                <w:rFonts w:eastAsia="Calibri"/>
                <w:sz w:val="20"/>
                <w:lang w:val="fr-CA"/>
              </w:rPr>
            </w:pPr>
          </w:p>
        </w:tc>
      </w:tr>
      <w:tr w:rsidR="00D26E66" w:rsidRPr="00164D42"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14 septembre 2011</w:t>
            </w:r>
          </w:p>
          <w:p w:rsidR="00D26E66" w:rsidRPr="00164D42" w:rsidRDefault="00D26E66" w:rsidP="00B02DE5">
            <w:pPr>
              <w:jc w:val="both"/>
              <w:rPr>
                <w:rFonts w:eastAsia="Calibri"/>
                <w:sz w:val="20"/>
                <w:lang w:val="fr-CA"/>
              </w:rPr>
            </w:pPr>
            <w:r w:rsidRPr="00164D42">
              <w:rPr>
                <w:rFonts w:eastAsia="Calibri"/>
                <w:sz w:val="20"/>
                <w:lang w:val="fr-CA"/>
              </w:rPr>
              <w:t>Cour provinciale de l’Alberta</w:t>
            </w:r>
          </w:p>
          <w:p w:rsidR="00D26E66" w:rsidRPr="00164D42" w:rsidRDefault="00D26E66" w:rsidP="00B02DE5">
            <w:pPr>
              <w:jc w:val="both"/>
              <w:rPr>
                <w:rFonts w:eastAsia="Calibri"/>
                <w:sz w:val="20"/>
                <w:lang w:val="fr-CA"/>
              </w:rPr>
            </w:pPr>
            <w:r w:rsidRPr="00164D42">
              <w:rPr>
                <w:rFonts w:eastAsia="Calibri"/>
                <w:sz w:val="20"/>
                <w:lang w:val="fr-CA"/>
              </w:rPr>
              <w:t>(Juge Dalton)</w:t>
            </w:r>
          </w:p>
          <w:p w:rsidR="00D26E66" w:rsidRPr="00164D42" w:rsidRDefault="00D26E66" w:rsidP="00B02DE5">
            <w:pPr>
              <w:jc w:val="both"/>
              <w:rPr>
                <w:rFonts w:eastAsia="Calibri"/>
                <w:sz w:val="20"/>
                <w:lang w:val="fr-CA"/>
              </w:rPr>
            </w:pPr>
            <w:r w:rsidRPr="00164D42">
              <w:rPr>
                <w:rFonts w:eastAsia="Calibri"/>
                <w:sz w:val="20"/>
                <w:lang w:val="fr-CA"/>
              </w:rPr>
              <w:t>2011 ABPC 269</w:t>
            </w:r>
          </w:p>
          <w:p w:rsidR="00D26E66" w:rsidRPr="00164D42" w:rsidRDefault="00D26E66" w:rsidP="00B02DE5">
            <w:pPr>
              <w:jc w:val="both"/>
              <w:rPr>
                <w:rFonts w:eastAsia="Calibri"/>
                <w:sz w:val="20"/>
                <w:lang w:val="fr-CA"/>
              </w:rPr>
            </w:pP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Verdict d’acquittement</w:t>
            </w:r>
          </w:p>
          <w:p w:rsidR="00D26E66" w:rsidRPr="00164D42" w:rsidRDefault="00D26E66" w:rsidP="00B02DE5">
            <w:pPr>
              <w:jc w:val="both"/>
              <w:rPr>
                <w:rFonts w:eastAsia="Calibri"/>
                <w:sz w:val="20"/>
                <w:lang w:val="fr-CA"/>
              </w:rPr>
            </w:pPr>
          </w:p>
        </w:tc>
      </w:tr>
      <w:tr w:rsidR="00D26E66" w:rsidRPr="00164D42"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15 mai 2012</w:t>
            </w:r>
          </w:p>
          <w:p w:rsidR="00D26E66" w:rsidRPr="00164D42" w:rsidRDefault="00D26E66" w:rsidP="00B02DE5">
            <w:pPr>
              <w:jc w:val="both"/>
              <w:rPr>
                <w:rFonts w:eastAsia="Calibri"/>
                <w:sz w:val="20"/>
                <w:lang w:val="fr-CA"/>
              </w:rPr>
            </w:pPr>
            <w:r w:rsidRPr="00164D42">
              <w:rPr>
                <w:rFonts w:eastAsia="Calibri"/>
                <w:sz w:val="20"/>
                <w:lang w:val="fr-CA"/>
              </w:rPr>
              <w:t>Cour du Banc de la Reine de l’Alberta</w:t>
            </w:r>
          </w:p>
          <w:p w:rsidR="00D26E66" w:rsidRPr="00164D42" w:rsidRDefault="00D26E66" w:rsidP="00B02DE5">
            <w:pPr>
              <w:jc w:val="both"/>
              <w:rPr>
                <w:rFonts w:eastAsia="Calibri"/>
                <w:sz w:val="20"/>
                <w:lang w:val="fr-CA"/>
              </w:rPr>
            </w:pPr>
            <w:r w:rsidRPr="00164D42">
              <w:rPr>
                <w:rFonts w:eastAsia="Calibri"/>
                <w:sz w:val="20"/>
                <w:lang w:val="fr-CA"/>
              </w:rPr>
              <w:t>(Juge Binder)</w:t>
            </w:r>
          </w:p>
          <w:p w:rsidR="00D26E66" w:rsidRPr="00164D42" w:rsidRDefault="00D26E66" w:rsidP="00B02DE5">
            <w:pPr>
              <w:jc w:val="both"/>
              <w:rPr>
                <w:rFonts w:eastAsia="Calibri"/>
                <w:sz w:val="20"/>
                <w:lang w:val="fr-CA"/>
              </w:rPr>
            </w:pPr>
            <w:r w:rsidRPr="00164D42">
              <w:rPr>
                <w:rFonts w:eastAsia="Calibri"/>
                <w:sz w:val="20"/>
                <w:lang w:val="fr-CA"/>
              </w:rPr>
              <w:t>2012 ABQB 311</w:t>
            </w:r>
          </w:p>
          <w:p w:rsidR="00D26E66" w:rsidRPr="00164D42" w:rsidRDefault="00E4461B" w:rsidP="00B02DE5">
            <w:pPr>
              <w:jc w:val="both"/>
              <w:rPr>
                <w:rFonts w:eastAsia="Calibri"/>
                <w:sz w:val="20"/>
                <w:lang w:val="fr-CA"/>
              </w:rPr>
            </w:pPr>
            <w:hyperlink r:id="rId80" w:history="1">
              <w:r w:rsidR="00D26E66" w:rsidRPr="00164D42">
                <w:rPr>
                  <w:rFonts w:eastAsia="Calibri"/>
                  <w:color w:val="0000FF"/>
                  <w:sz w:val="20"/>
                  <w:u w:val="single"/>
                  <w:lang w:val="fr-CA"/>
                </w:rPr>
                <w:t>http://canlii.ca/t/frh0h</w:t>
              </w:r>
            </w:hyperlink>
          </w:p>
          <w:p w:rsidR="00D26E66" w:rsidRPr="00164D42" w:rsidRDefault="00D26E66" w:rsidP="00B02DE5">
            <w:pPr>
              <w:jc w:val="both"/>
              <w:rPr>
                <w:rFonts w:eastAsia="Calibri"/>
                <w:sz w:val="20"/>
                <w:lang w:val="fr-CA"/>
              </w:rPr>
            </w:pP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Acquittement annulé</w:t>
            </w:r>
          </w:p>
          <w:p w:rsidR="00D26E66" w:rsidRPr="00164D42" w:rsidRDefault="00D26E66" w:rsidP="00B02DE5">
            <w:pPr>
              <w:jc w:val="both"/>
              <w:rPr>
                <w:rFonts w:eastAsia="Calibri"/>
                <w:sz w:val="20"/>
                <w:lang w:val="fr-CA"/>
              </w:rPr>
            </w:pPr>
          </w:p>
        </w:tc>
      </w:tr>
      <w:tr w:rsidR="00D26E66" w:rsidRPr="00164D42"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10 juin 2014</w:t>
            </w:r>
          </w:p>
          <w:p w:rsidR="00D26E66" w:rsidRPr="00164D42" w:rsidRDefault="00D26E66" w:rsidP="00B02DE5">
            <w:pPr>
              <w:jc w:val="both"/>
              <w:rPr>
                <w:rFonts w:eastAsia="Calibri"/>
                <w:sz w:val="20"/>
                <w:lang w:val="fr-CA"/>
              </w:rPr>
            </w:pPr>
            <w:r w:rsidRPr="00164D42">
              <w:rPr>
                <w:rFonts w:eastAsia="Calibri"/>
                <w:sz w:val="20"/>
                <w:lang w:val="fr-CA"/>
              </w:rPr>
              <w:t>Cour d’appel de l’Alberta</w:t>
            </w:r>
          </w:p>
          <w:p w:rsidR="00D26E66" w:rsidRPr="00164D42" w:rsidRDefault="00D26E66" w:rsidP="00B02DE5">
            <w:pPr>
              <w:jc w:val="both"/>
              <w:rPr>
                <w:rFonts w:eastAsia="Calibri"/>
                <w:sz w:val="20"/>
                <w:lang w:val="fr-CA"/>
              </w:rPr>
            </w:pPr>
            <w:r w:rsidRPr="00164D42">
              <w:rPr>
                <w:rFonts w:eastAsia="Calibri"/>
                <w:sz w:val="20"/>
                <w:lang w:val="fr-CA"/>
              </w:rPr>
              <w:t>(Juges Côté, O’Ferrall et Bielby (dissidente)</w:t>
            </w:r>
          </w:p>
          <w:p w:rsidR="00D26E66" w:rsidRPr="00164D42" w:rsidRDefault="00D26E66" w:rsidP="00B02DE5">
            <w:pPr>
              <w:jc w:val="both"/>
              <w:rPr>
                <w:rFonts w:eastAsia="Calibri"/>
                <w:sz w:val="20"/>
              </w:rPr>
            </w:pPr>
            <w:r w:rsidRPr="00164D42">
              <w:rPr>
                <w:rFonts w:eastAsia="Calibri"/>
                <w:sz w:val="20"/>
              </w:rPr>
              <w:t>2014 ABCA 191</w:t>
            </w:r>
          </w:p>
          <w:p w:rsidR="00D26E66" w:rsidRPr="00164D42" w:rsidRDefault="00E4461B" w:rsidP="00B02DE5">
            <w:pPr>
              <w:jc w:val="both"/>
              <w:rPr>
                <w:rFonts w:eastAsia="Calibri"/>
                <w:sz w:val="20"/>
              </w:rPr>
            </w:pPr>
            <w:hyperlink r:id="rId81" w:history="1">
              <w:r w:rsidR="00D26E66" w:rsidRPr="00164D42">
                <w:rPr>
                  <w:rFonts w:eastAsia="Calibri"/>
                  <w:color w:val="0000FF"/>
                  <w:sz w:val="20"/>
                  <w:u w:val="single"/>
                </w:rPr>
                <w:t>http://canlii.ca/t/g7cqc</w:t>
              </w:r>
            </w:hyperlink>
          </w:p>
          <w:p w:rsidR="00D26E66" w:rsidRPr="00164D42" w:rsidRDefault="00D26E66" w:rsidP="00B02DE5">
            <w:pPr>
              <w:jc w:val="both"/>
              <w:rPr>
                <w:rFonts w:eastAsia="Calibri"/>
                <w:sz w:val="20"/>
              </w:rPr>
            </w:pPr>
          </w:p>
        </w:tc>
        <w:tc>
          <w:tcPr>
            <w:tcW w:w="243" w:type="pct"/>
          </w:tcPr>
          <w:p w:rsidR="00D26E66" w:rsidRPr="00164D42" w:rsidRDefault="00D26E66" w:rsidP="00B02DE5">
            <w:pPr>
              <w:jc w:val="both"/>
              <w:rPr>
                <w:rFonts w:eastAsia="Calibri"/>
                <w:sz w:val="20"/>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Appel rejeté</w:t>
            </w:r>
          </w:p>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p>
          <w:p w:rsidR="00D26E66" w:rsidRPr="00164D42" w:rsidRDefault="00D26E66" w:rsidP="00B02DE5">
            <w:pPr>
              <w:jc w:val="both"/>
              <w:rPr>
                <w:rFonts w:eastAsia="Calibri"/>
                <w:sz w:val="20"/>
                <w:lang w:val="fr-CA"/>
              </w:rPr>
            </w:pPr>
          </w:p>
        </w:tc>
      </w:tr>
      <w:tr w:rsidR="00D26E66" w:rsidRPr="00164D42" w:rsidTr="00B02DE5">
        <w:tc>
          <w:tcPr>
            <w:tcW w:w="2427" w:type="pct"/>
          </w:tcPr>
          <w:p w:rsidR="00D26E66" w:rsidRPr="00164D42" w:rsidRDefault="00D26E66" w:rsidP="00B02DE5">
            <w:pPr>
              <w:jc w:val="both"/>
              <w:rPr>
                <w:rFonts w:eastAsia="Calibri"/>
                <w:sz w:val="20"/>
                <w:lang w:val="fr-CA"/>
              </w:rPr>
            </w:pPr>
            <w:r w:rsidRPr="00164D42">
              <w:rPr>
                <w:rFonts w:eastAsia="Calibri"/>
                <w:sz w:val="20"/>
                <w:lang w:val="fr-CA"/>
              </w:rPr>
              <w:t>9 septembre 2014</w:t>
            </w:r>
          </w:p>
          <w:p w:rsidR="00D26E66" w:rsidRPr="00164D42" w:rsidRDefault="00D26E66" w:rsidP="00B02DE5">
            <w:pPr>
              <w:jc w:val="both"/>
              <w:rPr>
                <w:rFonts w:eastAsia="Calibri"/>
                <w:sz w:val="20"/>
                <w:lang w:val="fr-CA"/>
              </w:rPr>
            </w:pPr>
            <w:r w:rsidRPr="00164D42">
              <w:rPr>
                <w:rFonts w:eastAsia="Calibri"/>
                <w:sz w:val="20"/>
                <w:lang w:val="fr-CA"/>
              </w:rPr>
              <w:t>Cour suprême du Canada</w:t>
            </w:r>
          </w:p>
        </w:tc>
        <w:tc>
          <w:tcPr>
            <w:tcW w:w="243" w:type="pct"/>
          </w:tcPr>
          <w:p w:rsidR="00D26E66" w:rsidRPr="00164D42" w:rsidRDefault="00D26E66" w:rsidP="00B02DE5">
            <w:pPr>
              <w:jc w:val="both"/>
              <w:rPr>
                <w:rFonts w:eastAsia="Calibri"/>
                <w:sz w:val="20"/>
                <w:lang w:val="fr-CA"/>
              </w:rPr>
            </w:pPr>
          </w:p>
        </w:tc>
        <w:tc>
          <w:tcPr>
            <w:tcW w:w="2330" w:type="pct"/>
          </w:tcPr>
          <w:p w:rsidR="00D26E66" w:rsidRPr="00164D42" w:rsidRDefault="00D26E66" w:rsidP="00B02DE5">
            <w:pPr>
              <w:jc w:val="both"/>
              <w:rPr>
                <w:rFonts w:eastAsia="Calibri"/>
                <w:sz w:val="20"/>
                <w:lang w:val="fr-CA"/>
              </w:rPr>
            </w:pPr>
            <w:r w:rsidRPr="00164D42">
              <w:rPr>
                <w:rFonts w:eastAsia="Calibri"/>
                <w:sz w:val="20"/>
                <w:lang w:val="fr-CA"/>
              </w:rPr>
              <w:t>Demande d’autorisation d’appel, déposée</w:t>
            </w:r>
          </w:p>
          <w:p w:rsidR="00D26E66" w:rsidRPr="00164D42" w:rsidRDefault="00D26E66" w:rsidP="00B02DE5">
            <w:pPr>
              <w:jc w:val="both"/>
              <w:rPr>
                <w:rFonts w:eastAsia="Calibri"/>
                <w:sz w:val="20"/>
                <w:lang w:val="fr-CA"/>
              </w:rPr>
            </w:pP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57" style="width:2in;height:1pt" o:hrpct="0" o:hralign="center" o:hrstd="t" o:hrnoshade="t" o:hr="t" fillcolor="black [3213]" stroked="f"/>
        </w:pict>
      </w:r>
    </w:p>
    <w:p w:rsidR="00BC2489" w:rsidRDefault="00BC2489" w:rsidP="00BC2489">
      <w:pPr>
        <w:rPr>
          <w:sz w:val="20"/>
          <w:szCs w:val="20"/>
        </w:rPr>
      </w:pPr>
    </w:p>
    <w:tbl>
      <w:tblPr>
        <w:tblStyle w:val="TableGrid1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F3BAE" w:rsidRPr="00EF3BAE" w:rsidTr="005174EE">
        <w:tc>
          <w:tcPr>
            <w:tcW w:w="1458" w:type="dxa"/>
          </w:tcPr>
          <w:p w:rsidR="00EF3BAE" w:rsidRPr="00EF3BAE" w:rsidRDefault="00EF3BAE" w:rsidP="00EF3BAE">
            <w:pPr>
              <w:rPr>
                <w:sz w:val="20"/>
              </w:rPr>
            </w:pPr>
            <w:r w:rsidRPr="00EF3BAE">
              <w:rPr>
                <w:b/>
                <w:sz w:val="20"/>
                <w:lang w:val="fr-CA"/>
              </w:rPr>
              <w:t>36063</w:t>
            </w:r>
          </w:p>
          <w:p w:rsidR="00EF3BAE" w:rsidRPr="00EF3BAE" w:rsidRDefault="00EF3BAE" w:rsidP="00EF3BAE">
            <w:pPr>
              <w:rPr>
                <w:b/>
                <w:sz w:val="20"/>
                <w:lang w:val="fr-CA"/>
              </w:rPr>
            </w:pPr>
          </w:p>
        </w:tc>
        <w:tc>
          <w:tcPr>
            <w:tcW w:w="8118" w:type="dxa"/>
          </w:tcPr>
          <w:p w:rsidR="00EF3BAE" w:rsidRPr="00EF3BAE" w:rsidRDefault="00EF3BAE" w:rsidP="00EF3BAE">
            <w:pPr>
              <w:jc w:val="both"/>
              <w:rPr>
                <w:sz w:val="20"/>
              </w:rPr>
            </w:pPr>
            <w:r w:rsidRPr="00EF3BAE">
              <w:rPr>
                <w:b/>
                <w:sz w:val="20"/>
                <w:u w:val="single"/>
              </w:rPr>
              <w:t>Edward Goldentuler v. Mercedes-Benz Canada Inc., Francisco Pereira, Chris Cowle, Robert Buschman</w:t>
            </w:r>
            <w:r>
              <w:rPr>
                <w:b/>
                <w:sz w:val="20"/>
                <w:u w:val="single"/>
              </w:rPr>
              <w:t xml:space="preserve"> and</w:t>
            </w:r>
            <w:r w:rsidRPr="00EF3BAE">
              <w:rPr>
                <w:b/>
                <w:sz w:val="20"/>
                <w:u w:val="single"/>
              </w:rPr>
              <w:t xml:space="preserve"> Scott McEdwards</w:t>
            </w:r>
            <w:r w:rsidRPr="00EF3BAE">
              <w:rPr>
                <w:sz w:val="20"/>
              </w:rPr>
              <w:t xml:space="preserve"> (Ont.) (Civil) (By Leave)</w:t>
            </w:r>
          </w:p>
          <w:p w:rsidR="00EF3BAE" w:rsidRPr="00EF3BAE" w:rsidRDefault="00EF3BAE" w:rsidP="00EF3BAE">
            <w:pPr>
              <w:jc w:val="both"/>
              <w:rPr>
                <w:sz w:val="20"/>
              </w:rPr>
            </w:pPr>
          </w:p>
        </w:tc>
      </w:tr>
      <w:tr w:rsidR="00EF3BAE" w:rsidRPr="00EF3BAE" w:rsidTr="005174EE">
        <w:tc>
          <w:tcPr>
            <w:tcW w:w="1458" w:type="dxa"/>
          </w:tcPr>
          <w:p w:rsidR="00EF3BAE" w:rsidRPr="00EF3BAE" w:rsidRDefault="00EF3BAE" w:rsidP="00EF3BAE">
            <w:pPr>
              <w:rPr>
                <w:sz w:val="20"/>
              </w:rPr>
            </w:pPr>
            <w:r w:rsidRPr="00EF3BAE">
              <w:rPr>
                <w:sz w:val="20"/>
              </w:rPr>
              <w:t>Coram :</w:t>
            </w:r>
          </w:p>
        </w:tc>
        <w:tc>
          <w:tcPr>
            <w:tcW w:w="8118" w:type="dxa"/>
          </w:tcPr>
          <w:p w:rsidR="00EF3BAE" w:rsidRPr="00EF3BAE" w:rsidRDefault="00EF3BAE" w:rsidP="00EF3BAE">
            <w:pPr>
              <w:rPr>
                <w:sz w:val="20"/>
              </w:rPr>
            </w:pPr>
            <w:r w:rsidRPr="00EF3BAE">
              <w:rPr>
                <w:sz w:val="20"/>
                <w:u w:val="single"/>
              </w:rPr>
              <w:t>Abella, Rothstein and Moldaver JJ.</w:t>
            </w:r>
          </w:p>
          <w:p w:rsidR="00EF3BAE" w:rsidRPr="00EF3BAE" w:rsidRDefault="00EF3BAE" w:rsidP="00EF3BAE">
            <w:pPr>
              <w:rPr>
                <w:sz w:val="20"/>
                <w:u w:val="single"/>
              </w:rPr>
            </w:pPr>
          </w:p>
        </w:tc>
      </w:tr>
      <w:tr w:rsidR="00EF3BAE" w:rsidRPr="00E4461B" w:rsidTr="005174EE">
        <w:tc>
          <w:tcPr>
            <w:tcW w:w="9576" w:type="dxa"/>
            <w:gridSpan w:val="2"/>
          </w:tcPr>
          <w:p w:rsidR="00EF3BAE" w:rsidRPr="00EF3BAE" w:rsidRDefault="00EF3BAE" w:rsidP="00EF3BAE">
            <w:pPr>
              <w:ind w:firstLine="720"/>
              <w:jc w:val="both"/>
              <w:rPr>
                <w:sz w:val="20"/>
              </w:rPr>
            </w:pPr>
            <w:r w:rsidRPr="00EF3BAE">
              <w:rPr>
                <w:sz w:val="20"/>
              </w:rPr>
              <w:t>The motion for an extension of time to serve and file the application for leave to appeal is granted. The application for leave to appeal from the judgment of the Court of Appeal for Ontario, Number C57353, 2014 ONCA 361, dated April 29, 2014, is dismissed with no order as to costs.</w:t>
            </w:r>
          </w:p>
          <w:p w:rsidR="00EF3BAE" w:rsidRPr="00EF3BAE" w:rsidRDefault="00EF3BAE" w:rsidP="00EF3BAE">
            <w:pPr>
              <w:jc w:val="both"/>
              <w:rPr>
                <w:sz w:val="20"/>
              </w:rPr>
            </w:pPr>
          </w:p>
          <w:p w:rsidR="00EF3BAE" w:rsidRPr="00EF3BAE" w:rsidRDefault="00EF3BAE" w:rsidP="00EF3BAE">
            <w:pPr>
              <w:ind w:firstLine="720"/>
              <w:jc w:val="both"/>
              <w:rPr>
                <w:sz w:val="20"/>
                <w:lang w:val="fr-CA"/>
              </w:rPr>
            </w:pPr>
            <w:r w:rsidRPr="00EF3BAE">
              <w:rPr>
                <w:sz w:val="20"/>
                <w:lang w:val="fr-CA"/>
              </w:rPr>
              <w:t xml:space="preserve">La requête en prorogation du délai de signification et de dépôt de la demande d’autorisation est accueillie. La demande d’autorisation d’appel de l’arrêt de la Cour d’appel de l’Ontario, numéro C57353, 2014 ONCA 361, daté </w:t>
            </w:r>
            <w:r w:rsidRPr="00EF3BAE">
              <w:rPr>
                <w:sz w:val="20"/>
                <w:lang w:val="fr-CA"/>
              </w:rPr>
              <w:lastRenderedPageBreak/>
              <w:t>du 29 avril 2014, est rejetée sans ordonnance quant aux dépens.</w:t>
            </w:r>
          </w:p>
        </w:tc>
      </w:tr>
    </w:tbl>
    <w:p w:rsidR="00BC2489" w:rsidRPr="00EF3BA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Civil procedure – Pleadings – Judgments and orders – Summary judgments – Portions of applicant’s statement of claim related to allegations of conspiracy struck on motion for summary judgment – Whether nature of conspiracy gives rise to evidentiary considerations? – Whether circumstantial evidence of conspiracy has the same relevance in the context of a conspiracy claim in tort as it has in the criminal and competition law contexts?</w:t>
            </w:r>
          </w:p>
          <w:p w:rsidR="00B02DE5" w:rsidRPr="00164D42" w:rsidRDefault="00B02DE5" w:rsidP="00B02DE5">
            <w:pPr>
              <w:jc w:val="both"/>
              <w:rPr>
                <w:rFonts w:eastAsia="Calibri"/>
                <w:sz w:val="20"/>
              </w:rPr>
            </w:pPr>
          </w:p>
        </w:tc>
      </w:tr>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The applicant purchased a Mercedes-Benz motor vehicle in 2008 and brought it into a two different dealerships to have the brakes inspected because they were making a noise.  He considered that the estimates he received for the cost to replace the disc/rotors were very high.   Mr. Goldentuler did some research and determined that he was being quoted the price for high-end carbon-ceramic brake disc/rotors.  However, his vehicle could be fitted with regular metal brake disc/rotors, which were significantly less expensive.  One of the dealerships fit the vehicle with the steel brake disc/rotors at a cost of $1,952.93 but the brakes continued to make an excessive squealing noise.  The vehicle was returned for further servicing but the noise persisted.  In November, 2009, he was advised by one dealership that the driver’s side brake disc/rotor had been “out of round” and was replaced under warranty.  The brakes no longer made a noise.  In March, 2010, Mr. Goldentuler took his vehicle to a local garage where it was discovered that the front wheel bearing was loose and the brake disc/rotor was warped.  The mechanic suggested that the loosening of a wheel bearing was a method used by some unscrupulous mechanics to compensate for noise coming from a warped brake disc/rotor.  When the wheel bearing was subsequently tightened, the brakes continued to make an excessive squealing noise.  Mr. Goldentuler commenced an action against the two dealerships, the service managers, the mechanics, as well as Mercedes-Benz Canada Inc., claiming damages for breach of contract and negligence.  In addition, he alleged the respondents conspired to avoid replacing a defective brake rotor, making the vehicle unsafe.  He claimed $2,000 in special damages, and $1 million in punitive, exemplary and aggravated damages.  The respondents brought a motion to dismiss the action in whole or in part.  </w:t>
            </w:r>
          </w:p>
        </w:tc>
      </w:tr>
      <w:tr w:rsidR="00B02DE5" w:rsidRPr="00164D42" w:rsidTr="00B02DE5">
        <w:tc>
          <w:tcPr>
            <w:tcW w:w="5000" w:type="pct"/>
            <w:gridSpan w:val="3"/>
          </w:tcPr>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June 17, 2013</w:t>
            </w:r>
          </w:p>
          <w:p w:rsidR="00B02DE5" w:rsidRPr="00164D42" w:rsidRDefault="00B02DE5" w:rsidP="00B02DE5">
            <w:pPr>
              <w:jc w:val="both"/>
              <w:rPr>
                <w:rFonts w:eastAsia="Calibri"/>
                <w:sz w:val="20"/>
              </w:rPr>
            </w:pPr>
            <w:r w:rsidRPr="00164D42">
              <w:rPr>
                <w:rFonts w:eastAsia="Calibri"/>
                <w:sz w:val="20"/>
              </w:rPr>
              <w:t>Ontario Superior Court of Justice</w:t>
            </w:r>
          </w:p>
          <w:p w:rsidR="00B02DE5" w:rsidRPr="00164D42" w:rsidRDefault="00B02DE5" w:rsidP="00B02DE5">
            <w:pPr>
              <w:jc w:val="both"/>
              <w:rPr>
                <w:rFonts w:eastAsia="Calibri"/>
                <w:sz w:val="20"/>
              </w:rPr>
            </w:pPr>
            <w:r w:rsidRPr="00164D42">
              <w:rPr>
                <w:rFonts w:eastAsia="Calibri"/>
                <w:sz w:val="20"/>
              </w:rPr>
              <w:t>(Edwards J.)</w:t>
            </w:r>
          </w:p>
          <w:p w:rsidR="00B02DE5" w:rsidRPr="00164D42" w:rsidRDefault="00E4461B" w:rsidP="00B02DE5">
            <w:pPr>
              <w:jc w:val="both"/>
              <w:rPr>
                <w:rFonts w:eastAsia="Calibri"/>
                <w:sz w:val="20"/>
              </w:rPr>
            </w:pPr>
            <w:hyperlink r:id="rId82" w:history="1">
              <w:r w:rsidR="00B02DE5" w:rsidRPr="00164D42">
                <w:rPr>
                  <w:rFonts w:eastAsia="Calibri"/>
                  <w:color w:val="0000FF"/>
                  <w:sz w:val="20"/>
                  <w:u w:val="single"/>
                </w:rPr>
                <w:t>2013 ONSC 4150</w:t>
              </w:r>
            </w:hyperlink>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 xml:space="preserve">Respondent’s motion for summary judgment granted in part; portions of applicant’s statement of claim struck </w:t>
            </w:r>
          </w:p>
          <w:p w:rsidR="00B02DE5" w:rsidRPr="00164D42" w:rsidRDefault="00B02DE5" w:rsidP="00B02DE5">
            <w:pPr>
              <w:jc w:val="both"/>
              <w:rPr>
                <w:rFonts w:eastAsia="Calibri"/>
                <w:sz w:val="20"/>
              </w:rPr>
            </w:pP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5614E6" w:rsidP="00B02DE5">
            <w:pPr>
              <w:jc w:val="both"/>
              <w:rPr>
                <w:rFonts w:eastAsia="Calibri"/>
                <w:sz w:val="20"/>
              </w:rPr>
            </w:pPr>
            <w:r>
              <w:rPr>
                <w:rFonts w:eastAsia="Calibri"/>
                <w:sz w:val="20"/>
              </w:rPr>
              <w:t>April 29</w:t>
            </w:r>
            <w:r w:rsidR="00B02DE5" w:rsidRPr="00164D42">
              <w:rPr>
                <w:rFonts w:eastAsia="Calibri"/>
                <w:sz w:val="20"/>
              </w:rPr>
              <w:t>, 2014</w:t>
            </w:r>
          </w:p>
          <w:p w:rsidR="00B02DE5" w:rsidRPr="00164D42" w:rsidRDefault="00B02DE5" w:rsidP="00B02DE5">
            <w:pPr>
              <w:jc w:val="both"/>
              <w:rPr>
                <w:rFonts w:eastAsia="Calibri"/>
                <w:sz w:val="20"/>
              </w:rPr>
            </w:pPr>
            <w:r w:rsidRPr="00164D42">
              <w:rPr>
                <w:rFonts w:eastAsia="Calibri"/>
                <w:sz w:val="20"/>
              </w:rPr>
              <w:t>Court of Appeal for Ontario</w:t>
            </w:r>
          </w:p>
          <w:p w:rsidR="00B02DE5" w:rsidRPr="00164D42" w:rsidRDefault="00B02DE5" w:rsidP="00B02DE5">
            <w:pPr>
              <w:jc w:val="both"/>
              <w:rPr>
                <w:rFonts w:eastAsia="Calibri"/>
                <w:sz w:val="20"/>
              </w:rPr>
            </w:pPr>
            <w:r w:rsidRPr="00164D42">
              <w:rPr>
                <w:rFonts w:eastAsia="Calibri"/>
                <w:sz w:val="20"/>
              </w:rPr>
              <w:t>(Juriansz, Tulloch and Strathy (</w:t>
            </w:r>
            <w:r w:rsidRPr="00164D42">
              <w:rPr>
                <w:rFonts w:eastAsia="Calibri"/>
                <w:i/>
                <w:sz w:val="20"/>
              </w:rPr>
              <w:t>ad hoc</w:t>
            </w:r>
            <w:r w:rsidRPr="00164D42">
              <w:rPr>
                <w:rFonts w:eastAsia="Calibri"/>
                <w:sz w:val="20"/>
              </w:rPr>
              <w:t>) JJ.A.)</w:t>
            </w:r>
          </w:p>
          <w:p w:rsidR="00B02DE5" w:rsidRPr="00164D42" w:rsidRDefault="00E4461B" w:rsidP="00B02DE5">
            <w:pPr>
              <w:jc w:val="both"/>
              <w:rPr>
                <w:rFonts w:eastAsia="Calibri"/>
                <w:sz w:val="20"/>
              </w:rPr>
            </w:pPr>
            <w:hyperlink r:id="rId83" w:history="1">
              <w:r w:rsidR="00B02DE5" w:rsidRPr="00164D42">
                <w:rPr>
                  <w:rFonts w:eastAsia="Calibri"/>
                  <w:color w:val="0000FF"/>
                  <w:sz w:val="20"/>
                  <w:u w:val="single"/>
                </w:rPr>
                <w:t>2014 ONCA 361</w:t>
              </w:r>
            </w:hyperlink>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Applicant’s appeal dismissed</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September 16, 2014</w:t>
            </w:r>
          </w:p>
          <w:p w:rsidR="00B02DE5" w:rsidRPr="00164D42" w:rsidRDefault="00B02DE5" w:rsidP="00B02DE5">
            <w:pPr>
              <w:jc w:val="both"/>
              <w:rPr>
                <w:rFonts w:eastAsia="Calibri"/>
                <w:sz w:val="20"/>
              </w:rPr>
            </w:pPr>
            <w:r w:rsidRPr="00164D42">
              <w:rPr>
                <w:rFonts w:eastAsia="Calibri"/>
                <w:sz w:val="20"/>
              </w:rPr>
              <w:t>Supreme Court of Canada</w:t>
            </w: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Motion for extension of time in which to serve and file application for leave to appeal and application for leave to appeal filed</w:t>
            </w: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58"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Procédure civile – Actes de procédure – Jugements et ordonnances – Jugements sommaires – Certaines parties de la déclaration du demandeur en lien avec des allégations de complot ont été radiées à la suite d’une motion pour jugement sommaire – La nature du complot soulève-t-elle des questions de preuve? – Une preuve circonstancielle de complot a-t-elle la même pertinence dans le contexte d’une allégation de complot en matière délictuelle que dans les contextes du droit criminel ou du droit de la concurrence?</w:t>
            </w:r>
          </w:p>
          <w:p w:rsidR="00B02DE5" w:rsidRPr="00164D42" w:rsidRDefault="00B02DE5" w:rsidP="00B02DE5">
            <w:pPr>
              <w:jc w:val="both"/>
              <w:rPr>
                <w:rFonts w:eastAsia="Calibri"/>
                <w:sz w:val="20"/>
                <w:lang w:val="fr-CA"/>
              </w:rPr>
            </w:pPr>
          </w:p>
        </w:tc>
      </w:tr>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lastRenderedPageBreak/>
              <w:t xml:space="preserve">Le demandeur a acheté un véhicule Mercedes-Benz en 2008 et il s’est rendu chez deux concessionnaires différents pour en faire inspecter les freins parce qu’ils faisaient du bruit.  Il a jugé que les estimations qu’il avait reçues pour le remplacement des disques étaient très élevées.   Monsieur Goldentuler a fait des recherches et il a conclu qu’on lui faisait une estimation pour des disques de carbone-céramique haut de gamme.  Toutefois, son véhicule pouvait être équipé de disques de freins ordinaires, qui étaient sensiblement moins chers.  Un des concessionnaires a installé des disques d’acier sur le véhicule au coût de 1 952,93 $, mais les freins ont continué à faire un bruit excessif de crissement.  Le véhicule a été retourné pour d’autres travaux d’entretien, mais le bruit persistait.  En novembre 2009, il a été informé par un concessionnaire que le disque du frein côté conducteur avait un « faux-rond » et il a été remplacé sous garantie.  Les freins ont cessé de faire du bruit.  En mars 2010, M. Goldentuler s’est rendu à un garage local avec son véhicule où on a découvert que le roulement de roue était lâche et que le disque de frein était gauchi.  Le mécanicien a laissé entendre que le desserrage d’un roulement de roue était une méthode employée par certains mécaniciens peu scrupuleux pour camoufler le bruit provenant d’un disque de frein gauchi.  Lorsque le roulement de roue a été serré par la suite, les freins se sont remis à produire un son excessif de crissement.  Monsieur Goldentuler a intenté une action contre les deux concessionnaires, les gérants du service d’entretien et de réparation, les mécaniciens, ainsi que Mercedes-Benz Canada Inc., réclamant des dommages-intérêts pour violation de contrat et négligence.  En outre, il a allégué que les intimés avaient comploté pour éviter à avoir remplacer un disque de frein défectueux, rendant le véhicule dangereux.  Il a réclamé 2 000 $ en dommages-intérêts spéciaux, et un million de dollars en dommages-intérêts punitifs, exemplaires et majorés.  Les intimés ont présenté une motion en rejet de l’action, en tout ou en partie.  </w:t>
            </w:r>
          </w:p>
        </w:tc>
      </w:tr>
      <w:tr w:rsidR="00B02DE5" w:rsidRPr="00002FFB" w:rsidTr="00B02DE5">
        <w:tc>
          <w:tcPr>
            <w:tcW w:w="5000" w:type="pct"/>
            <w:gridSpan w:val="3"/>
          </w:tcPr>
          <w:p w:rsidR="00B02DE5" w:rsidRPr="00164D42" w:rsidRDefault="00B02DE5" w:rsidP="00B02DE5">
            <w:pPr>
              <w:jc w:val="both"/>
              <w:rPr>
                <w:rFonts w:eastAsia="Calibri"/>
                <w:sz w:val="20"/>
                <w:lang w:val="fr-CA"/>
              </w:rPr>
            </w:pPr>
          </w:p>
        </w:tc>
      </w:tr>
      <w:tr w:rsidR="00B02DE5" w:rsidRPr="00002FFB"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17 juin 2013</w:t>
            </w:r>
          </w:p>
          <w:p w:rsidR="00B02DE5" w:rsidRPr="00164D42" w:rsidRDefault="00B02DE5" w:rsidP="00B02DE5">
            <w:pPr>
              <w:jc w:val="both"/>
              <w:rPr>
                <w:rFonts w:eastAsia="Calibri"/>
                <w:sz w:val="20"/>
                <w:lang w:val="fr-CA"/>
              </w:rPr>
            </w:pPr>
            <w:r w:rsidRPr="00164D42">
              <w:rPr>
                <w:rFonts w:eastAsia="Calibri"/>
                <w:sz w:val="20"/>
                <w:lang w:val="fr-CA"/>
              </w:rPr>
              <w:t>Cour supérieure de justice de l’Ontario</w:t>
            </w:r>
          </w:p>
          <w:p w:rsidR="00B02DE5" w:rsidRPr="00164D42" w:rsidRDefault="00B02DE5" w:rsidP="00B02DE5">
            <w:pPr>
              <w:jc w:val="both"/>
              <w:rPr>
                <w:rFonts w:eastAsia="Calibri"/>
                <w:sz w:val="20"/>
                <w:lang w:val="fr-CA"/>
              </w:rPr>
            </w:pPr>
            <w:r w:rsidRPr="00164D42">
              <w:rPr>
                <w:rFonts w:eastAsia="Calibri"/>
                <w:sz w:val="20"/>
                <w:lang w:val="fr-CA"/>
              </w:rPr>
              <w:t>(Juge Edwards)</w:t>
            </w:r>
          </w:p>
          <w:p w:rsidR="00B02DE5" w:rsidRPr="00164D42" w:rsidRDefault="00E4461B" w:rsidP="00B02DE5">
            <w:pPr>
              <w:jc w:val="both"/>
              <w:rPr>
                <w:rFonts w:eastAsia="Calibri"/>
                <w:sz w:val="20"/>
                <w:lang w:val="fr-CA"/>
              </w:rPr>
            </w:pPr>
            <w:hyperlink r:id="rId84" w:history="1">
              <w:r w:rsidR="00B02DE5" w:rsidRPr="00164D42">
                <w:rPr>
                  <w:rFonts w:eastAsia="Calibri"/>
                  <w:color w:val="0000FF"/>
                  <w:sz w:val="20"/>
                  <w:u w:val="single"/>
                  <w:lang w:val="fr-CA"/>
                </w:rPr>
                <w:t>2013 ONSC 4150</w:t>
              </w:r>
            </w:hyperlink>
          </w:p>
          <w:p w:rsidR="00B02DE5" w:rsidRPr="00164D42" w:rsidRDefault="00B02DE5" w:rsidP="00B02DE5">
            <w:pPr>
              <w:jc w:val="both"/>
              <w:rPr>
                <w:rFonts w:eastAsia="Calibri"/>
                <w:sz w:val="20"/>
                <w:lang w:val="fr-CA"/>
              </w:rPr>
            </w:pP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 xml:space="preserve">Motion des intimés en jugement sommaire, accueillie en partie; certaines parties de la déclaration du demandeur sont radiées </w:t>
            </w:r>
          </w:p>
          <w:p w:rsidR="00B02DE5" w:rsidRPr="00164D42" w:rsidRDefault="00B02DE5" w:rsidP="00B02DE5">
            <w:pPr>
              <w:jc w:val="both"/>
              <w:rPr>
                <w:rFonts w:eastAsia="Calibri"/>
                <w:sz w:val="20"/>
                <w:lang w:val="fr-CA"/>
              </w:rPr>
            </w:pPr>
          </w:p>
          <w:p w:rsidR="00B02DE5" w:rsidRPr="00164D42" w:rsidRDefault="00B02DE5" w:rsidP="00B02DE5">
            <w:pPr>
              <w:jc w:val="both"/>
              <w:rPr>
                <w:rFonts w:eastAsia="Calibri"/>
                <w:sz w:val="20"/>
                <w:lang w:val="fr-CA"/>
              </w:rPr>
            </w:pPr>
          </w:p>
        </w:tc>
      </w:tr>
      <w:tr w:rsidR="00B02DE5" w:rsidRPr="00164D42" w:rsidTr="00B02DE5">
        <w:tc>
          <w:tcPr>
            <w:tcW w:w="2427" w:type="pct"/>
          </w:tcPr>
          <w:p w:rsidR="00B02DE5" w:rsidRPr="00164D42" w:rsidRDefault="0083649F" w:rsidP="00B02DE5">
            <w:pPr>
              <w:jc w:val="both"/>
              <w:rPr>
                <w:rFonts w:eastAsia="Calibri"/>
                <w:sz w:val="20"/>
                <w:lang w:val="fr-CA"/>
              </w:rPr>
            </w:pPr>
            <w:r>
              <w:rPr>
                <w:rFonts w:eastAsia="Calibri"/>
                <w:sz w:val="20"/>
                <w:lang w:val="fr-CA"/>
              </w:rPr>
              <w:t xml:space="preserve">29 </w:t>
            </w:r>
            <w:r w:rsidR="00B02DE5" w:rsidRPr="00164D42">
              <w:rPr>
                <w:rFonts w:eastAsia="Calibri"/>
                <w:sz w:val="20"/>
                <w:lang w:val="fr-CA"/>
              </w:rPr>
              <w:t>a</w:t>
            </w:r>
            <w:r>
              <w:rPr>
                <w:rFonts w:eastAsia="Calibri"/>
                <w:sz w:val="20"/>
                <w:lang w:val="fr-CA"/>
              </w:rPr>
              <w:t>vr</w:t>
            </w:r>
            <w:r w:rsidR="00B02DE5" w:rsidRPr="00164D42">
              <w:rPr>
                <w:rFonts w:eastAsia="Calibri"/>
                <w:sz w:val="20"/>
                <w:lang w:val="fr-CA"/>
              </w:rPr>
              <w:t>i</w:t>
            </w:r>
            <w:r>
              <w:rPr>
                <w:rFonts w:eastAsia="Calibri"/>
                <w:sz w:val="20"/>
                <w:lang w:val="fr-CA"/>
              </w:rPr>
              <w:t>l</w:t>
            </w:r>
            <w:r w:rsidR="00B02DE5" w:rsidRPr="00164D42">
              <w:rPr>
                <w:rFonts w:eastAsia="Calibri"/>
                <w:sz w:val="20"/>
                <w:lang w:val="fr-CA"/>
              </w:rPr>
              <w:t xml:space="preserve"> 2014</w:t>
            </w:r>
          </w:p>
          <w:p w:rsidR="00B02DE5" w:rsidRPr="00164D42" w:rsidRDefault="00B02DE5" w:rsidP="00B02DE5">
            <w:pPr>
              <w:jc w:val="both"/>
              <w:rPr>
                <w:rFonts w:eastAsia="Calibri"/>
                <w:sz w:val="20"/>
                <w:lang w:val="fr-CA"/>
              </w:rPr>
            </w:pPr>
            <w:r w:rsidRPr="00164D42">
              <w:rPr>
                <w:rFonts w:eastAsia="Calibri"/>
                <w:sz w:val="20"/>
                <w:lang w:val="fr-CA"/>
              </w:rPr>
              <w:t>Cour d’appel de l’Ontario</w:t>
            </w:r>
          </w:p>
          <w:p w:rsidR="00B02DE5" w:rsidRPr="00164D42" w:rsidRDefault="00B02DE5" w:rsidP="00B02DE5">
            <w:pPr>
              <w:jc w:val="both"/>
              <w:rPr>
                <w:rFonts w:eastAsia="Calibri"/>
                <w:sz w:val="20"/>
                <w:lang w:val="fr-CA"/>
              </w:rPr>
            </w:pPr>
            <w:r w:rsidRPr="00164D42">
              <w:rPr>
                <w:rFonts w:eastAsia="Calibri"/>
                <w:sz w:val="20"/>
                <w:lang w:val="fr-CA"/>
              </w:rPr>
              <w:t>(Juges Juriansz, Tulloch et Strathy (</w:t>
            </w:r>
            <w:r w:rsidRPr="00164D42">
              <w:rPr>
                <w:rFonts w:eastAsia="Calibri"/>
                <w:i/>
                <w:sz w:val="20"/>
                <w:lang w:val="fr-CA"/>
              </w:rPr>
              <w:t>ad hoc</w:t>
            </w:r>
            <w:r w:rsidRPr="00164D42">
              <w:rPr>
                <w:rFonts w:eastAsia="Calibri"/>
                <w:sz w:val="20"/>
                <w:lang w:val="fr-CA"/>
              </w:rPr>
              <w:t>))</w:t>
            </w:r>
          </w:p>
          <w:p w:rsidR="00B02DE5" w:rsidRPr="00164D42" w:rsidRDefault="00E4461B" w:rsidP="00B02DE5">
            <w:pPr>
              <w:jc w:val="both"/>
              <w:rPr>
                <w:rFonts w:eastAsia="Calibri"/>
                <w:sz w:val="20"/>
                <w:lang w:val="fr-CA"/>
              </w:rPr>
            </w:pPr>
            <w:hyperlink r:id="rId85" w:history="1">
              <w:r w:rsidR="00B02DE5" w:rsidRPr="00164D42">
                <w:rPr>
                  <w:rFonts w:eastAsia="Calibri"/>
                  <w:color w:val="0000FF"/>
                  <w:sz w:val="20"/>
                  <w:u w:val="single"/>
                  <w:lang w:val="fr-CA"/>
                </w:rPr>
                <w:t>2014 ONCA 361</w:t>
              </w:r>
            </w:hyperlink>
          </w:p>
          <w:p w:rsidR="00B02DE5" w:rsidRPr="00164D42" w:rsidRDefault="00B02DE5" w:rsidP="00B02DE5">
            <w:pPr>
              <w:jc w:val="both"/>
              <w:rPr>
                <w:rFonts w:eastAsia="Calibri"/>
                <w:sz w:val="20"/>
                <w:lang w:val="fr-CA"/>
              </w:rPr>
            </w:pP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Appel du demandeur, rejeté</w:t>
            </w:r>
          </w:p>
          <w:p w:rsidR="00B02DE5" w:rsidRPr="00164D42" w:rsidRDefault="00B02DE5" w:rsidP="00B02DE5">
            <w:pPr>
              <w:jc w:val="both"/>
              <w:rPr>
                <w:rFonts w:eastAsia="Calibri"/>
                <w:sz w:val="20"/>
                <w:lang w:val="fr-CA"/>
              </w:rPr>
            </w:pPr>
          </w:p>
        </w:tc>
      </w:tr>
      <w:tr w:rsidR="00B02DE5" w:rsidRPr="00002FFB"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16 septembre 2014</w:t>
            </w:r>
          </w:p>
          <w:p w:rsidR="00B02DE5" w:rsidRPr="00164D42" w:rsidRDefault="00B02DE5" w:rsidP="00B02DE5">
            <w:pPr>
              <w:jc w:val="both"/>
              <w:rPr>
                <w:rFonts w:eastAsia="Calibri"/>
                <w:sz w:val="20"/>
                <w:lang w:val="fr-CA"/>
              </w:rPr>
            </w:pPr>
            <w:r w:rsidRPr="00164D42">
              <w:rPr>
                <w:rFonts w:eastAsia="Calibri"/>
                <w:sz w:val="20"/>
                <w:lang w:val="fr-CA"/>
              </w:rPr>
              <w:t>Cour suprême du Canada</w:t>
            </w: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 xml:space="preserve">Requête en prorogation du délai de signification et de dépôt de la demande d’autorisation d’appel et demande d’autorisation d’appel, déposées </w:t>
            </w:r>
          </w:p>
        </w:tc>
      </w:tr>
    </w:tbl>
    <w:p w:rsidR="00BC2489" w:rsidRPr="00B02DE5" w:rsidRDefault="00BC2489" w:rsidP="00BC2489">
      <w:pPr>
        <w:rPr>
          <w:sz w:val="20"/>
          <w:szCs w:val="20"/>
          <w:lang w:val="fr-CA"/>
        </w:rPr>
      </w:pPr>
    </w:p>
    <w:p w:rsidR="00BC2489" w:rsidRDefault="00E4461B" w:rsidP="00BC2489">
      <w:pPr>
        <w:rPr>
          <w:sz w:val="20"/>
          <w:szCs w:val="20"/>
          <w:lang w:val="fr-CA"/>
        </w:rPr>
      </w:pPr>
      <w:r>
        <w:rPr>
          <w:sz w:val="20"/>
          <w:szCs w:val="20"/>
          <w:lang w:val="fr-CA"/>
        </w:rPr>
        <w:pict>
          <v:rect id="_x0000_i1059" style="width:2in;height:1pt" o:hrpct="0" o:hralign="center" o:hrstd="t" o:hrnoshade="t" o:hr="t" fillcolor="black [3213]" stroked="f"/>
        </w:pict>
      </w:r>
    </w:p>
    <w:p w:rsidR="00BC2489" w:rsidRDefault="00BC2489" w:rsidP="00BC2489">
      <w:pPr>
        <w:rPr>
          <w:sz w:val="20"/>
          <w:szCs w:val="20"/>
        </w:rPr>
      </w:pPr>
    </w:p>
    <w:tbl>
      <w:tblPr>
        <w:tblStyle w:val="TableGrid1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4EE" w:rsidRPr="005174EE" w:rsidTr="005174EE">
        <w:trPr>
          <w:cantSplit/>
        </w:trPr>
        <w:tc>
          <w:tcPr>
            <w:tcW w:w="1458" w:type="dxa"/>
          </w:tcPr>
          <w:p w:rsidR="005174EE" w:rsidRPr="005174EE" w:rsidRDefault="005174EE" w:rsidP="005174EE">
            <w:pPr>
              <w:rPr>
                <w:sz w:val="20"/>
              </w:rPr>
            </w:pPr>
            <w:r w:rsidRPr="005174EE">
              <w:rPr>
                <w:b/>
                <w:sz w:val="20"/>
                <w:lang w:val="fr-CA"/>
              </w:rPr>
              <w:t>36081</w:t>
            </w:r>
          </w:p>
          <w:p w:rsidR="005174EE" w:rsidRPr="005174EE" w:rsidRDefault="005174EE" w:rsidP="005174EE">
            <w:pPr>
              <w:rPr>
                <w:b/>
                <w:sz w:val="20"/>
                <w:lang w:val="fr-CA"/>
              </w:rPr>
            </w:pPr>
          </w:p>
        </w:tc>
        <w:tc>
          <w:tcPr>
            <w:tcW w:w="8118" w:type="dxa"/>
          </w:tcPr>
          <w:p w:rsidR="005174EE" w:rsidRPr="005174EE" w:rsidRDefault="005174EE" w:rsidP="005174EE">
            <w:pPr>
              <w:jc w:val="both"/>
              <w:rPr>
                <w:sz w:val="20"/>
              </w:rPr>
            </w:pPr>
            <w:r w:rsidRPr="005174EE">
              <w:rPr>
                <w:b/>
                <w:sz w:val="20"/>
                <w:u w:val="single"/>
              </w:rPr>
              <w:t>Kelly Hartle, Warden of the Edmonton Institution</w:t>
            </w:r>
            <w:r>
              <w:rPr>
                <w:b/>
                <w:sz w:val="20"/>
                <w:u w:val="single"/>
              </w:rPr>
              <w:t xml:space="preserve"> and</w:t>
            </w:r>
            <w:r w:rsidRPr="005174EE">
              <w:rPr>
                <w:b/>
                <w:sz w:val="20"/>
                <w:u w:val="single"/>
              </w:rPr>
              <w:t xml:space="preserve"> Attorney General of Canada v. Omar Ahmed Khadr</w:t>
            </w:r>
            <w:r w:rsidRPr="005174EE">
              <w:rPr>
                <w:sz w:val="20"/>
              </w:rPr>
              <w:t xml:space="preserve"> (Alta.) (Criminal) (By Leave)</w:t>
            </w:r>
          </w:p>
          <w:p w:rsidR="005174EE" w:rsidRPr="005174EE" w:rsidRDefault="005174EE" w:rsidP="005174EE">
            <w:pPr>
              <w:jc w:val="both"/>
              <w:rPr>
                <w:sz w:val="20"/>
              </w:rPr>
            </w:pPr>
          </w:p>
        </w:tc>
      </w:tr>
      <w:tr w:rsidR="005174EE" w:rsidRPr="005174EE" w:rsidTr="005174EE">
        <w:trPr>
          <w:cantSplit/>
        </w:trPr>
        <w:tc>
          <w:tcPr>
            <w:tcW w:w="1458" w:type="dxa"/>
          </w:tcPr>
          <w:p w:rsidR="005174EE" w:rsidRPr="005174EE" w:rsidRDefault="005174EE" w:rsidP="005174EE">
            <w:pPr>
              <w:rPr>
                <w:sz w:val="20"/>
              </w:rPr>
            </w:pPr>
            <w:r w:rsidRPr="005174EE">
              <w:rPr>
                <w:sz w:val="20"/>
              </w:rPr>
              <w:t>Coram :</w:t>
            </w:r>
          </w:p>
        </w:tc>
        <w:tc>
          <w:tcPr>
            <w:tcW w:w="8118" w:type="dxa"/>
          </w:tcPr>
          <w:p w:rsidR="005174EE" w:rsidRPr="005174EE" w:rsidRDefault="005174EE" w:rsidP="005174EE">
            <w:pPr>
              <w:rPr>
                <w:sz w:val="20"/>
              </w:rPr>
            </w:pPr>
            <w:r w:rsidRPr="005174EE">
              <w:rPr>
                <w:sz w:val="20"/>
                <w:u w:val="single"/>
              </w:rPr>
              <w:t>LeBel, Karakatsanis and Gascon JJ.</w:t>
            </w:r>
          </w:p>
          <w:p w:rsidR="005174EE" w:rsidRPr="005174EE" w:rsidRDefault="005174EE" w:rsidP="005174EE">
            <w:pPr>
              <w:rPr>
                <w:sz w:val="20"/>
                <w:u w:val="single"/>
              </w:rPr>
            </w:pPr>
          </w:p>
        </w:tc>
      </w:tr>
      <w:tr w:rsidR="005174EE" w:rsidRPr="00002FFB" w:rsidTr="005174EE">
        <w:trPr>
          <w:cantSplit/>
        </w:trPr>
        <w:tc>
          <w:tcPr>
            <w:tcW w:w="9576" w:type="dxa"/>
            <w:gridSpan w:val="2"/>
          </w:tcPr>
          <w:p w:rsidR="005174EE" w:rsidRPr="005174EE" w:rsidRDefault="005174EE" w:rsidP="005174EE">
            <w:pPr>
              <w:ind w:firstLine="720"/>
              <w:jc w:val="both"/>
              <w:rPr>
                <w:sz w:val="20"/>
              </w:rPr>
            </w:pPr>
            <w:r w:rsidRPr="005174EE">
              <w:rPr>
                <w:sz w:val="20"/>
              </w:rPr>
              <w:t>The motion for a further stay of execution of the respondent’s transfer to a provincial correctional facility for adults, until the Court determines the appeal, is granted. The application for leave to appeal from the judgment of the Court of Appeal of Alberta (Edmonton), Number 1303-0267-AC, 2014 ABCA 225, dated July 8, 2014, is granted.</w:t>
            </w:r>
          </w:p>
          <w:p w:rsidR="005174EE" w:rsidRPr="005174EE" w:rsidRDefault="005174EE" w:rsidP="005174EE">
            <w:pPr>
              <w:jc w:val="both"/>
              <w:rPr>
                <w:sz w:val="20"/>
              </w:rPr>
            </w:pPr>
          </w:p>
          <w:p w:rsidR="005174EE" w:rsidRPr="005174EE" w:rsidRDefault="005174EE" w:rsidP="005174EE">
            <w:pPr>
              <w:ind w:firstLine="720"/>
              <w:jc w:val="both"/>
              <w:rPr>
                <w:sz w:val="20"/>
                <w:lang w:val="fr-CA"/>
              </w:rPr>
            </w:pPr>
            <w:r w:rsidRPr="005174EE">
              <w:rPr>
                <w:sz w:val="20"/>
                <w:lang w:val="fr-CA"/>
              </w:rPr>
              <w:t>La requête sollicitant un sursis additionnel à l’exécution du transfèrement de l’intimé dans un établissement correctionnel provincial pour adultes, jusqu’à ce que la Cour ait statué sur le pourvoi, est accueillie. La demande d’autorisation d’appel de l’arrêt de la Cour d'appel de l’Alberta (Edmonton), numéro 1303-0267-AC, 2014 ABCA 225, daté du 8 juillet 2014, est accueillie</w:t>
            </w:r>
          </w:p>
        </w:tc>
      </w:tr>
    </w:tbl>
    <w:p w:rsidR="00BC2489" w:rsidRPr="005174EE" w:rsidRDefault="00BC2489" w:rsidP="00BC2489">
      <w:pPr>
        <w:rPr>
          <w:sz w:val="20"/>
          <w:szCs w:val="20"/>
          <w:lang w:val="fr-CA"/>
        </w:rPr>
      </w:pPr>
    </w:p>
    <w:p w:rsidR="005174EE" w:rsidRPr="00002FFB" w:rsidRDefault="005174EE">
      <w:pPr>
        <w:rPr>
          <w:sz w:val="20"/>
          <w:szCs w:val="20"/>
          <w:u w:val="single"/>
          <w:lang w:val="fr-CA"/>
        </w:rPr>
      </w:pPr>
      <w:r w:rsidRPr="00002FFB">
        <w:rPr>
          <w:sz w:val="20"/>
          <w:szCs w:val="20"/>
          <w:u w:val="single"/>
          <w:lang w:val="fr-CA"/>
        </w:rPr>
        <w:br w:type="page"/>
      </w:r>
    </w:p>
    <w:p w:rsidR="00BC2489" w:rsidRPr="001B157C" w:rsidRDefault="00BC2489" w:rsidP="00BC2489">
      <w:pPr>
        <w:rPr>
          <w:sz w:val="20"/>
          <w:szCs w:val="20"/>
          <w:u w:val="single"/>
        </w:rPr>
      </w:pPr>
      <w:r w:rsidRPr="001B157C">
        <w:rPr>
          <w:sz w:val="20"/>
          <w:szCs w:val="20"/>
          <w:u w:val="single"/>
        </w:rPr>
        <w:lastRenderedPageBreak/>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185"/>
        <w:gridCol w:w="514"/>
        <w:gridCol w:w="4828"/>
      </w:tblGrid>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Criminal law — Sentencing — Extraordinary remedies — </w:t>
            </w:r>
            <w:r w:rsidRPr="00164D42">
              <w:rPr>
                <w:rFonts w:eastAsia="Calibri"/>
                <w:i/>
                <w:sz w:val="20"/>
              </w:rPr>
              <w:t>Habeas corpus</w:t>
            </w:r>
            <w:r w:rsidRPr="00164D42">
              <w:rPr>
                <w:rFonts w:eastAsia="Calibri"/>
                <w:sz w:val="20"/>
              </w:rPr>
              <w:t xml:space="preserve"> — Stay of proceedings — Canadian citizen was formerly detained by United States for murder, attempted murder, conspiracy, terrorist activities and spying — He pled guilty and agreed to eight-year sentence with transfer to Canada after first year under </w:t>
            </w:r>
            <w:r w:rsidRPr="00164D42">
              <w:rPr>
                <w:rFonts w:eastAsia="Calibri"/>
                <w:i/>
                <w:sz w:val="20"/>
              </w:rPr>
              <w:t>International Transfer of Offenders Act</w:t>
            </w:r>
            <w:r w:rsidRPr="00164D42">
              <w:rPr>
                <w:rFonts w:eastAsia="Calibri"/>
                <w:sz w:val="20"/>
              </w:rPr>
              <w:t xml:space="preserve"> — Transfer resulted in placement in federal correctional facility — Offender applied for </w:t>
            </w:r>
            <w:r w:rsidRPr="00164D42">
              <w:rPr>
                <w:rFonts w:eastAsia="Calibri"/>
                <w:i/>
                <w:sz w:val="20"/>
              </w:rPr>
              <w:t>habeas corpus</w:t>
            </w:r>
            <w:r w:rsidRPr="00164D42">
              <w:rPr>
                <w:rFonts w:eastAsia="Calibri"/>
                <w:sz w:val="20"/>
              </w:rPr>
              <w:t xml:space="preserve"> on basis </w:t>
            </w:r>
            <w:r w:rsidRPr="00164D42">
              <w:rPr>
                <w:rFonts w:eastAsia="Calibri"/>
                <w:i/>
                <w:sz w:val="20"/>
              </w:rPr>
              <w:t>International Transfer of Offenders Act</w:t>
            </w:r>
            <w:r w:rsidRPr="00164D42">
              <w:rPr>
                <w:rFonts w:eastAsia="Calibri"/>
                <w:sz w:val="20"/>
              </w:rPr>
              <w:t xml:space="preserve"> mandated his placement in provincial correctional facility — Chambers judge dismissed his </w:t>
            </w:r>
            <w:r w:rsidRPr="00164D42">
              <w:rPr>
                <w:rFonts w:eastAsia="Calibri"/>
                <w:i/>
                <w:sz w:val="20"/>
              </w:rPr>
              <w:t>habeas corpus</w:t>
            </w:r>
            <w:r w:rsidRPr="00164D42">
              <w:rPr>
                <w:rFonts w:eastAsia="Calibri"/>
                <w:sz w:val="20"/>
              </w:rPr>
              <w:t xml:space="preserve"> application but Court of Appeal allowed it and ordered his transfer to provincial correctional facility for adults — Court of Appeal then stayed his transfer until this Court determines any leave application — Whether offender, transferred from another country to Canada, shall serve remainder of his or her foreign sentence in federal correctional facility or provincial correctional facility for adults —</w:t>
            </w:r>
            <w:r w:rsidRPr="00164D42">
              <w:rPr>
                <w:rFonts w:eastAsia="Calibri"/>
                <w:i/>
                <w:sz w:val="20"/>
              </w:rPr>
              <w:t xml:space="preserve"> International Transfer of Offenders Act</w:t>
            </w:r>
            <w:r w:rsidRPr="00164D42">
              <w:rPr>
                <w:rFonts w:eastAsia="Calibri"/>
                <w:sz w:val="20"/>
              </w:rPr>
              <w:t>, S.C. 2004, c. 21.</w:t>
            </w:r>
          </w:p>
        </w:tc>
      </w:tr>
      <w:tr w:rsidR="00B02DE5" w:rsidRPr="00164D42" w:rsidTr="00B02DE5">
        <w:tc>
          <w:tcPr>
            <w:tcW w:w="5000" w:type="pct"/>
            <w:gridSpan w:val="3"/>
          </w:tcPr>
          <w:p w:rsidR="00B02DE5" w:rsidRPr="00164D42" w:rsidRDefault="00B02DE5" w:rsidP="00B02DE5">
            <w:pPr>
              <w:jc w:val="both"/>
              <w:rPr>
                <w:rFonts w:eastAsia="Calibri"/>
                <w:sz w:val="20"/>
              </w:rPr>
            </w:pPr>
          </w:p>
        </w:tc>
      </w:tr>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The respondent, Mr. Omar Khadr, is a Canadian citizen who was found fighting in Afghanistan in 2002 at 15 years of age.  Mr. Khadr was detained for eight years by the United States government in Guantanamo Bay, Cuba, before he pled guilty to five offences (the equivalent offences under Canadian law were first degree murder, attempted murder, participation in terrorist group activities, commission of offences for a terrorist group and spying for the enemy).  He was sentenced to eight-years’ imprisonment, with the first year to be served in the custody of the United States.  After that first year, Mr. Khadr applied under the</w:t>
            </w:r>
            <w:r w:rsidRPr="00164D42">
              <w:rPr>
                <w:rFonts w:eastAsia="Calibri"/>
                <w:i/>
                <w:sz w:val="20"/>
              </w:rPr>
              <w:t xml:space="preserve"> International Transfer of Offenders Act</w:t>
            </w:r>
            <w:r w:rsidRPr="00164D42">
              <w:rPr>
                <w:rFonts w:eastAsia="Calibri"/>
                <w:sz w:val="20"/>
              </w:rPr>
              <w:t>, S.C. 2004, c. 21 (</w:t>
            </w:r>
            <w:r w:rsidRPr="00164D42">
              <w:rPr>
                <w:rFonts w:eastAsia="Calibri"/>
                <w:i/>
                <w:sz w:val="20"/>
              </w:rPr>
              <w:t>ITOA</w:t>
            </w:r>
            <w:r w:rsidRPr="00164D42">
              <w:rPr>
                <w:rFonts w:eastAsia="Calibri"/>
                <w:sz w:val="20"/>
              </w:rPr>
              <w:t xml:space="preserve">), to serve the remainder of his sentence in Canada.  Upon Mr. Khadr’s transfer to Canada, correctional officials assigned a sentence value to each of his offences.  They interpreted the sentence as five separate concurrent sentences of eight years each, with Mr. Khadr to serve the balance of his sentence in a federal correctional facility.  Mr. Khadr applied for </w:t>
            </w:r>
            <w:r w:rsidRPr="00164D42">
              <w:rPr>
                <w:rFonts w:eastAsia="Calibri"/>
                <w:i/>
                <w:sz w:val="20"/>
              </w:rPr>
              <w:t>habeas corpus</w:t>
            </w:r>
            <w:r w:rsidRPr="00164D42">
              <w:rPr>
                <w:rFonts w:eastAsia="Calibri"/>
                <w:sz w:val="20"/>
              </w:rPr>
              <w:t xml:space="preserve"> on the basis that the </w:t>
            </w:r>
            <w:r w:rsidRPr="00164D42">
              <w:rPr>
                <w:rFonts w:eastAsia="Calibri"/>
                <w:i/>
                <w:sz w:val="20"/>
              </w:rPr>
              <w:t>ITOA</w:t>
            </w:r>
            <w:r w:rsidRPr="00164D42">
              <w:rPr>
                <w:rFonts w:eastAsia="Calibri"/>
                <w:sz w:val="20"/>
              </w:rPr>
              <w:t xml:space="preserve"> mandated his placement in a provincial correctional facility.  Under s. 20 of the </w:t>
            </w:r>
            <w:r w:rsidRPr="00164D42">
              <w:rPr>
                <w:rFonts w:eastAsia="Calibri"/>
                <w:i/>
                <w:sz w:val="20"/>
              </w:rPr>
              <w:t>ITOA</w:t>
            </w:r>
            <w:r w:rsidRPr="00164D42">
              <w:rPr>
                <w:rFonts w:eastAsia="Calibri"/>
                <w:sz w:val="20"/>
              </w:rPr>
              <w:t xml:space="preserve">, an adult Canadian who committed offences between the ages of 12 and 17 was to be detained in a provincial correctional facility for adults if the sentence imposed by the foreign entity could have been a youth sentence had the offence been committed in Canada.  The chambers judge dismissed Mr. Khadr’s </w:t>
            </w:r>
            <w:r w:rsidRPr="00164D42">
              <w:rPr>
                <w:rFonts w:eastAsia="Calibri"/>
                <w:i/>
                <w:sz w:val="20"/>
              </w:rPr>
              <w:t>habeas corpus</w:t>
            </w:r>
            <w:r w:rsidRPr="00164D42">
              <w:rPr>
                <w:rFonts w:eastAsia="Calibri"/>
                <w:sz w:val="20"/>
              </w:rPr>
              <w:t xml:space="preserve"> application, but the Court of Appeal allowed his appeal, granted his </w:t>
            </w:r>
            <w:r w:rsidRPr="00164D42">
              <w:rPr>
                <w:rFonts w:eastAsia="Calibri"/>
                <w:i/>
                <w:sz w:val="20"/>
              </w:rPr>
              <w:t>habeas corpus</w:t>
            </w:r>
            <w:r w:rsidRPr="00164D42">
              <w:rPr>
                <w:rFonts w:eastAsia="Calibri"/>
                <w:sz w:val="20"/>
              </w:rPr>
              <w:t xml:space="preserve"> application and ordered his transfer to a provincial correctional facility.</w:t>
            </w:r>
          </w:p>
          <w:p w:rsidR="00B02DE5" w:rsidRPr="00164D42" w:rsidRDefault="00B02DE5" w:rsidP="00B02DE5">
            <w:pPr>
              <w:jc w:val="both"/>
              <w:rPr>
                <w:rFonts w:eastAsia="Calibri"/>
                <w:sz w:val="20"/>
              </w:rPr>
            </w:pPr>
          </w:p>
        </w:tc>
      </w:tr>
      <w:tr w:rsidR="00B02DE5" w:rsidRPr="00164D42" w:rsidTr="00B02DE5">
        <w:tblPrEx>
          <w:tblCellMar>
            <w:bottom w:w="0" w:type="dxa"/>
          </w:tblCellMar>
        </w:tblPrEx>
        <w:tc>
          <w:tcPr>
            <w:tcW w:w="2196" w:type="pct"/>
          </w:tcPr>
          <w:p w:rsidR="00B02DE5" w:rsidRPr="00164D42" w:rsidRDefault="00B02DE5" w:rsidP="00B02DE5">
            <w:pPr>
              <w:jc w:val="both"/>
              <w:rPr>
                <w:rFonts w:eastAsia="Calibri"/>
                <w:sz w:val="20"/>
              </w:rPr>
            </w:pPr>
            <w:r w:rsidRPr="00164D42">
              <w:rPr>
                <w:rFonts w:eastAsia="Calibri"/>
                <w:sz w:val="20"/>
              </w:rPr>
              <w:t>October 18, 2013</w:t>
            </w:r>
          </w:p>
          <w:p w:rsidR="00B02DE5" w:rsidRPr="00164D42" w:rsidRDefault="00B02DE5" w:rsidP="00B02DE5">
            <w:pPr>
              <w:jc w:val="both"/>
              <w:rPr>
                <w:rFonts w:eastAsia="Calibri"/>
                <w:sz w:val="20"/>
              </w:rPr>
            </w:pPr>
            <w:r w:rsidRPr="00164D42">
              <w:rPr>
                <w:rFonts w:eastAsia="Calibri"/>
                <w:sz w:val="20"/>
              </w:rPr>
              <w:t>Court of Queen’s Bench of Alberta</w:t>
            </w:r>
          </w:p>
          <w:p w:rsidR="00B02DE5" w:rsidRPr="00164D42" w:rsidRDefault="00B02DE5" w:rsidP="00B02DE5">
            <w:pPr>
              <w:jc w:val="both"/>
              <w:rPr>
                <w:rFonts w:eastAsia="Calibri"/>
                <w:sz w:val="20"/>
              </w:rPr>
            </w:pPr>
            <w:r w:rsidRPr="00164D42">
              <w:rPr>
                <w:rFonts w:eastAsia="Calibri"/>
                <w:sz w:val="20"/>
              </w:rPr>
              <w:t>(Rooke J.)</w:t>
            </w:r>
          </w:p>
          <w:p w:rsidR="00B02DE5" w:rsidRPr="00164D42" w:rsidRDefault="00E4461B" w:rsidP="00B02DE5">
            <w:pPr>
              <w:jc w:val="both"/>
              <w:rPr>
                <w:rFonts w:eastAsia="Calibri"/>
                <w:sz w:val="20"/>
              </w:rPr>
            </w:pPr>
            <w:hyperlink r:id="rId86" w:history="1">
              <w:r w:rsidR="00B02DE5" w:rsidRPr="00164D42">
                <w:rPr>
                  <w:rFonts w:eastAsia="Calibri"/>
                  <w:color w:val="0000FF"/>
                  <w:sz w:val="20"/>
                  <w:u w:val="single"/>
                </w:rPr>
                <w:t>2013 ABQB 611</w:t>
              </w:r>
            </w:hyperlink>
          </w:p>
          <w:p w:rsidR="00B02DE5" w:rsidRPr="00164D42" w:rsidRDefault="00B02DE5" w:rsidP="00B02DE5">
            <w:pPr>
              <w:jc w:val="both"/>
              <w:rPr>
                <w:rFonts w:eastAsia="Calibri"/>
                <w:sz w:val="20"/>
              </w:rPr>
            </w:pPr>
          </w:p>
        </w:tc>
        <w:tc>
          <w:tcPr>
            <w:tcW w:w="270" w:type="pct"/>
          </w:tcPr>
          <w:p w:rsidR="00B02DE5" w:rsidRPr="00164D42" w:rsidRDefault="00B02DE5" w:rsidP="00B02DE5">
            <w:pPr>
              <w:jc w:val="both"/>
              <w:rPr>
                <w:rFonts w:eastAsia="Calibri"/>
                <w:sz w:val="20"/>
              </w:rPr>
            </w:pPr>
          </w:p>
        </w:tc>
        <w:tc>
          <w:tcPr>
            <w:tcW w:w="2534" w:type="pct"/>
          </w:tcPr>
          <w:p w:rsidR="00B02DE5" w:rsidRPr="00164D42" w:rsidRDefault="00B02DE5" w:rsidP="00B02DE5">
            <w:pPr>
              <w:jc w:val="both"/>
              <w:rPr>
                <w:rFonts w:eastAsia="Calibri"/>
                <w:sz w:val="20"/>
              </w:rPr>
            </w:pPr>
            <w:r w:rsidRPr="00164D42">
              <w:rPr>
                <w:rFonts w:eastAsia="Calibri"/>
                <w:sz w:val="20"/>
              </w:rPr>
              <w:t xml:space="preserve">Application for </w:t>
            </w:r>
            <w:r w:rsidRPr="00164D42">
              <w:rPr>
                <w:rFonts w:eastAsia="Calibri"/>
                <w:i/>
                <w:sz w:val="20"/>
              </w:rPr>
              <w:t>habeas corpus</w:t>
            </w:r>
            <w:r w:rsidRPr="00164D42">
              <w:rPr>
                <w:rFonts w:eastAsia="Calibri"/>
                <w:sz w:val="20"/>
              </w:rPr>
              <w:t xml:space="preserve"> dismissed. Respondent ordered to remain in a federal correctional facility.</w:t>
            </w:r>
          </w:p>
          <w:p w:rsidR="00B02DE5" w:rsidRPr="00164D42" w:rsidRDefault="00B02DE5" w:rsidP="00B02DE5">
            <w:pPr>
              <w:jc w:val="both"/>
              <w:rPr>
                <w:rFonts w:eastAsia="Calibri"/>
                <w:sz w:val="20"/>
              </w:rPr>
            </w:pPr>
          </w:p>
        </w:tc>
      </w:tr>
      <w:tr w:rsidR="00B02DE5" w:rsidRPr="00164D42" w:rsidTr="00B02DE5">
        <w:tblPrEx>
          <w:tblCellMar>
            <w:bottom w:w="0" w:type="dxa"/>
          </w:tblCellMar>
        </w:tblPrEx>
        <w:tc>
          <w:tcPr>
            <w:tcW w:w="2196" w:type="pct"/>
          </w:tcPr>
          <w:p w:rsidR="00B02DE5" w:rsidRPr="00164D42" w:rsidRDefault="00B02DE5" w:rsidP="00B02DE5">
            <w:pPr>
              <w:jc w:val="both"/>
              <w:rPr>
                <w:rFonts w:eastAsia="Calibri"/>
                <w:sz w:val="20"/>
              </w:rPr>
            </w:pPr>
            <w:r w:rsidRPr="00164D42">
              <w:rPr>
                <w:rFonts w:eastAsia="Calibri"/>
                <w:sz w:val="20"/>
              </w:rPr>
              <w:t>July 8, 2014</w:t>
            </w:r>
          </w:p>
          <w:p w:rsidR="00B02DE5" w:rsidRPr="00164D42" w:rsidRDefault="00B02DE5" w:rsidP="00B02DE5">
            <w:pPr>
              <w:jc w:val="both"/>
              <w:rPr>
                <w:rFonts w:eastAsia="Calibri"/>
                <w:sz w:val="20"/>
              </w:rPr>
            </w:pPr>
            <w:r w:rsidRPr="00164D42">
              <w:rPr>
                <w:rFonts w:eastAsia="Calibri"/>
                <w:sz w:val="20"/>
              </w:rPr>
              <w:t>Court of Appeal of Alberta (Edmonton)</w:t>
            </w:r>
          </w:p>
          <w:p w:rsidR="00B02DE5" w:rsidRPr="00164D42" w:rsidRDefault="00B02DE5" w:rsidP="00B02DE5">
            <w:pPr>
              <w:jc w:val="both"/>
              <w:rPr>
                <w:rFonts w:eastAsia="Calibri"/>
                <w:sz w:val="20"/>
              </w:rPr>
            </w:pPr>
            <w:r w:rsidRPr="00164D42">
              <w:rPr>
                <w:rFonts w:eastAsia="Calibri"/>
                <w:sz w:val="20"/>
              </w:rPr>
              <w:t>(Fraser C.J.A., Watson and Bielby JJ.A.)</w:t>
            </w:r>
          </w:p>
          <w:p w:rsidR="00B02DE5" w:rsidRPr="00164D42" w:rsidRDefault="00E4461B" w:rsidP="00B02DE5">
            <w:pPr>
              <w:jc w:val="both"/>
              <w:rPr>
                <w:rFonts w:eastAsia="Calibri"/>
                <w:sz w:val="20"/>
              </w:rPr>
            </w:pPr>
            <w:hyperlink r:id="rId87" w:history="1">
              <w:r w:rsidR="00B02DE5" w:rsidRPr="00164D42">
                <w:rPr>
                  <w:rFonts w:eastAsia="Calibri"/>
                  <w:color w:val="0000FF"/>
                  <w:sz w:val="20"/>
                  <w:u w:val="single"/>
                </w:rPr>
                <w:t>2014 ABCA 225</w:t>
              </w:r>
            </w:hyperlink>
          </w:p>
          <w:p w:rsidR="00B02DE5" w:rsidRPr="00164D42" w:rsidRDefault="00B02DE5" w:rsidP="00B02DE5">
            <w:pPr>
              <w:jc w:val="both"/>
              <w:rPr>
                <w:rFonts w:eastAsia="Calibri"/>
                <w:sz w:val="20"/>
              </w:rPr>
            </w:pPr>
          </w:p>
        </w:tc>
        <w:tc>
          <w:tcPr>
            <w:tcW w:w="270" w:type="pct"/>
          </w:tcPr>
          <w:p w:rsidR="00B02DE5" w:rsidRPr="00164D42" w:rsidRDefault="00B02DE5" w:rsidP="00B02DE5">
            <w:pPr>
              <w:jc w:val="both"/>
              <w:rPr>
                <w:rFonts w:eastAsia="Calibri"/>
                <w:sz w:val="20"/>
              </w:rPr>
            </w:pPr>
          </w:p>
        </w:tc>
        <w:tc>
          <w:tcPr>
            <w:tcW w:w="2534" w:type="pct"/>
          </w:tcPr>
          <w:p w:rsidR="00B02DE5" w:rsidRPr="00164D42" w:rsidRDefault="00B02DE5" w:rsidP="00B02DE5">
            <w:pPr>
              <w:jc w:val="both"/>
              <w:rPr>
                <w:rFonts w:eastAsia="Calibri"/>
                <w:sz w:val="20"/>
              </w:rPr>
            </w:pPr>
            <w:r w:rsidRPr="00164D42">
              <w:rPr>
                <w:rFonts w:eastAsia="Calibri"/>
                <w:sz w:val="20"/>
              </w:rPr>
              <w:t xml:space="preserve">Appeal allowed and application for </w:t>
            </w:r>
            <w:r w:rsidRPr="00164D42">
              <w:rPr>
                <w:rFonts w:eastAsia="Calibri"/>
                <w:i/>
                <w:sz w:val="20"/>
              </w:rPr>
              <w:t>habeas corpus</w:t>
            </w:r>
            <w:r w:rsidRPr="00164D42">
              <w:rPr>
                <w:rFonts w:eastAsia="Calibri"/>
                <w:sz w:val="20"/>
              </w:rPr>
              <w:t xml:space="preserve"> granted. Respondent ordered transferred to a provincial correctional facility for adults.</w:t>
            </w:r>
          </w:p>
          <w:p w:rsidR="00B02DE5" w:rsidRPr="00164D42" w:rsidRDefault="00B02DE5" w:rsidP="00B02DE5">
            <w:pPr>
              <w:jc w:val="both"/>
              <w:rPr>
                <w:rFonts w:eastAsia="Calibri"/>
                <w:sz w:val="20"/>
              </w:rPr>
            </w:pPr>
          </w:p>
        </w:tc>
      </w:tr>
      <w:tr w:rsidR="00B02DE5" w:rsidRPr="00164D42" w:rsidTr="00B02DE5">
        <w:tblPrEx>
          <w:tblCellMar>
            <w:bottom w:w="0" w:type="dxa"/>
          </w:tblCellMar>
        </w:tblPrEx>
        <w:tc>
          <w:tcPr>
            <w:tcW w:w="2196" w:type="pct"/>
          </w:tcPr>
          <w:p w:rsidR="00B02DE5" w:rsidRPr="00164D42" w:rsidRDefault="00B02DE5" w:rsidP="00B02DE5">
            <w:pPr>
              <w:jc w:val="both"/>
              <w:rPr>
                <w:rFonts w:eastAsia="Calibri"/>
                <w:sz w:val="20"/>
              </w:rPr>
            </w:pPr>
            <w:r w:rsidRPr="00164D42">
              <w:rPr>
                <w:rFonts w:eastAsia="Calibri"/>
                <w:sz w:val="20"/>
              </w:rPr>
              <w:t>July 22, 2014</w:t>
            </w:r>
          </w:p>
          <w:p w:rsidR="00B02DE5" w:rsidRPr="00164D42" w:rsidRDefault="00B02DE5" w:rsidP="00B02DE5">
            <w:pPr>
              <w:jc w:val="both"/>
              <w:rPr>
                <w:rFonts w:eastAsia="Calibri"/>
                <w:sz w:val="20"/>
              </w:rPr>
            </w:pPr>
            <w:r w:rsidRPr="00164D42">
              <w:rPr>
                <w:rFonts w:eastAsia="Calibri"/>
                <w:sz w:val="20"/>
              </w:rPr>
              <w:t>Court of Appeal of Alberta (Edmonton)</w:t>
            </w:r>
          </w:p>
          <w:p w:rsidR="00B02DE5" w:rsidRPr="00164D42" w:rsidRDefault="00B02DE5" w:rsidP="00B02DE5">
            <w:pPr>
              <w:jc w:val="both"/>
              <w:rPr>
                <w:rFonts w:eastAsia="Calibri"/>
                <w:sz w:val="20"/>
              </w:rPr>
            </w:pPr>
            <w:r w:rsidRPr="00164D42">
              <w:rPr>
                <w:rFonts w:eastAsia="Calibri"/>
                <w:sz w:val="20"/>
              </w:rPr>
              <w:t>(Watson J.A.)</w:t>
            </w:r>
          </w:p>
          <w:p w:rsidR="00B02DE5" w:rsidRPr="00164D42" w:rsidRDefault="00E4461B" w:rsidP="00B02DE5">
            <w:pPr>
              <w:jc w:val="both"/>
              <w:rPr>
                <w:rFonts w:eastAsia="Calibri"/>
                <w:sz w:val="20"/>
              </w:rPr>
            </w:pPr>
            <w:hyperlink r:id="rId88" w:history="1">
              <w:r w:rsidR="00B02DE5" w:rsidRPr="00164D42">
                <w:rPr>
                  <w:rFonts w:eastAsia="Calibri"/>
                  <w:color w:val="0000FF"/>
                  <w:sz w:val="20"/>
                  <w:u w:val="single"/>
                </w:rPr>
                <w:t>2014 ABCA 239</w:t>
              </w:r>
            </w:hyperlink>
            <w:r w:rsidR="00B02DE5" w:rsidRPr="00164D42">
              <w:rPr>
                <w:rFonts w:eastAsia="Calibri"/>
                <w:sz w:val="20"/>
              </w:rPr>
              <w:t xml:space="preserve"> </w:t>
            </w:r>
          </w:p>
          <w:p w:rsidR="00B02DE5" w:rsidRPr="00164D42" w:rsidRDefault="00B02DE5" w:rsidP="00B02DE5">
            <w:pPr>
              <w:jc w:val="both"/>
              <w:rPr>
                <w:rFonts w:eastAsia="Calibri"/>
                <w:sz w:val="20"/>
              </w:rPr>
            </w:pPr>
          </w:p>
        </w:tc>
        <w:tc>
          <w:tcPr>
            <w:tcW w:w="270" w:type="pct"/>
          </w:tcPr>
          <w:p w:rsidR="00B02DE5" w:rsidRPr="00164D42" w:rsidRDefault="00B02DE5" w:rsidP="00B02DE5">
            <w:pPr>
              <w:jc w:val="both"/>
              <w:rPr>
                <w:rFonts w:eastAsia="Calibri"/>
                <w:sz w:val="20"/>
              </w:rPr>
            </w:pPr>
          </w:p>
        </w:tc>
        <w:tc>
          <w:tcPr>
            <w:tcW w:w="2534" w:type="pct"/>
          </w:tcPr>
          <w:p w:rsidR="00B02DE5" w:rsidRPr="00164D42" w:rsidRDefault="00B02DE5" w:rsidP="00B02DE5">
            <w:pPr>
              <w:jc w:val="both"/>
              <w:rPr>
                <w:rFonts w:eastAsia="Calibri"/>
                <w:sz w:val="20"/>
              </w:rPr>
            </w:pPr>
            <w:r w:rsidRPr="00164D42">
              <w:rPr>
                <w:rFonts w:eastAsia="Calibri"/>
                <w:sz w:val="20"/>
              </w:rPr>
              <w:t>Stay of respondent’s transfer to a provincial correctional facility for adults ordered, until the Supreme Court of Canada determines any application for leave to appeal.</w:t>
            </w:r>
          </w:p>
        </w:tc>
      </w:tr>
      <w:tr w:rsidR="00B02DE5" w:rsidRPr="00164D42" w:rsidTr="00B02DE5">
        <w:tblPrEx>
          <w:tblCellMar>
            <w:bottom w:w="0" w:type="dxa"/>
          </w:tblCellMar>
        </w:tblPrEx>
        <w:tc>
          <w:tcPr>
            <w:tcW w:w="2196" w:type="pct"/>
          </w:tcPr>
          <w:p w:rsidR="00B02DE5" w:rsidRPr="00164D42" w:rsidRDefault="00B02DE5" w:rsidP="00B02DE5">
            <w:pPr>
              <w:jc w:val="both"/>
              <w:rPr>
                <w:rFonts w:eastAsia="Calibri"/>
                <w:sz w:val="20"/>
              </w:rPr>
            </w:pPr>
            <w:r w:rsidRPr="00164D42">
              <w:rPr>
                <w:rFonts w:eastAsia="Calibri"/>
                <w:sz w:val="20"/>
              </w:rPr>
              <w:t>September 25, 2014</w:t>
            </w:r>
          </w:p>
          <w:p w:rsidR="00B02DE5" w:rsidRPr="00164D42" w:rsidRDefault="00B02DE5" w:rsidP="00B02DE5">
            <w:pPr>
              <w:jc w:val="both"/>
              <w:rPr>
                <w:rFonts w:eastAsia="Calibri"/>
                <w:sz w:val="20"/>
              </w:rPr>
            </w:pPr>
            <w:r w:rsidRPr="00164D42">
              <w:rPr>
                <w:rFonts w:eastAsia="Calibri"/>
                <w:sz w:val="20"/>
              </w:rPr>
              <w:t>Supreme Court of Canada</w:t>
            </w:r>
          </w:p>
        </w:tc>
        <w:tc>
          <w:tcPr>
            <w:tcW w:w="270" w:type="pct"/>
          </w:tcPr>
          <w:p w:rsidR="00B02DE5" w:rsidRPr="00164D42" w:rsidRDefault="00B02DE5" w:rsidP="00B02DE5">
            <w:pPr>
              <w:jc w:val="both"/>
              <w:rPr>
                <w:rFonts w:eastAsia="Calibri"/>
                <w:sz w:val="20"/>
              </w:rPr>
            </w:pPr>
          </w:p>
        </w:tc>
        <w:tc>
          <w:tcPr>
            <w:tcW w:w="2534" w:type="pct"/>
          </w:tcPr>
          <w:p w:rsidR="00B02DE5" w:rsidRPr="00164D42" w:rsidRDefault="00B02DE5" w:rsidP="00B02DE5">
            <w:pPr>
              <w:jc w:val="both"/>
              <w:rPr>
                <w:rFonts w:eastAsia="Calibri"/>
                <w:sz w:val="20"/>
              </w:rPr>
            </w:pPr>
            <w:r w:rsidRPr="00164D42">
              <w:rPr>
                <w:rFonts w:eastAsia="Calibri"/>
                <w:sz w:val="20"/>
              </w:rPr>
              <w:t>Application for leave to appeal filed, together with a motion for a further stay of execution of the respondent’s transfer to a provincial correctional facility for adults until this Court determines the appeal (should leave be granted).</w:t>
            </w: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60" style="width:2in;height:1pt" o:hrpct="0" o:hralign="center" o:hrstd="t" o:hrnoshade="t" o:hr="t" fillcolor="black [3213]" stroked="f"/>
        </w:pict>
      </w:r>
    </w:p>
    <w:p w:rsidR="00BC2489" w:rsidRDefault="00BC2489" w:rsidP="00BC2489">
      <w:pPr>
        <w:rPr>
          <w:sz w:val="20"/>
          <w:szCs w:val="20"/>
        </w:rPr>
      </w:pPr>
    </w:p>
    <w:p w:rsidR="005174EE" w:rsidRDefault="005174EE">
      <w:pPr>
        <w:rPr>
          <w:sz w:val="20"/>
          <w:szCs w:val="20"/>
          <w:u w:val="single"/>
          <w:lang w:val="fr-CA"/>
        </w:rPr>
      </w:pPr>
      <w:r>
        <w:rPr>
          <w:sz w:val="20"/>
          <w:szCs w:val="20"/>
          <w:u w:val="single"/>
          <w:lang w:val="fr-CA"/>
        </w:rPr>
        <w:br w:type="page"/>
      </w:r>
    </w:p>
    <w:p w:rsidR="00BC2489" w:rsidRPr="001B157C" w:rsidRDefault="00BC2489" w:rsidP="00BC2489">
      <w:pPr>
        <w:rPr>
          <w:sz w:val="20"/>
          <w:szCs w:val="20"/>
          <w:u w:val="single"/>
          <w:lang w:val="fr-CA"/>
        </w:rPr>
      </w:pPr>
      <w:r w:rsidRPr="001B157C">
        <w:rPr>
          <w:sz w:val="20"/>
          <w:szCs w:val="20"/>
          <w:u w:val="single"/>
          <w:lang w:val="fr-CA"/>
        </w:rPr>
        <w:lastRenderedPageBreak/>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185"/>
        <w:gridCol w:w="514"/>
        <w:gridCol w:w="4828"/>
      </w:tblGrid>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Droit criminel — Détermination de la peine — Recours extraordinaires — </w:t>
            </w:r>
            <w:r w:rsidRPr="00164D42">
              <w:rPr>
                <w:rFonts w:eastAsia="Calibri"/>
                <w:i/>
                <w:sz w:val="20"/>
                <w:lang w:val="fr-CA"/>
              </w:rPr>
              <w:t>Habeas corpus</w:t>
            </w:r>
            <w:r w:rsidRPr="00164D42">
              <w:rPr>
                <w:rFonts w:eastAsia="Calibri"/>
                <w:sz w:val="20"/>
                <w:lang w:val="fr-CA"/>
              </w:rPr>
              <w:t xml:space="preserve"> — Arrêt des procédures — Citoyen canadien précédemment détenu par les États-Unis pour meurtre, tentative de meurtre, complot, activités terroristes et espionnage — Il a plaidé coupable et a accepté de purger une peine d’emprisonnement de huit ans avec transfèrement au Canada après la première année en application de la</w:t>
            </w:r>
            <w:r w:rsidRPr="00164D42">
              <w:rPr>
                <w:rFonts w:eastAsia="Calibri"/>
                <w:i/>
                <w:sz w:val="20"/>
                <w:lang w:val="fr-CA"/>
              </w:rPr>
              <w:t xml:space="preserve"> Loi sur le transfèrement international des délinquants </w:t>
            </w:r>
            <w:r w:rsidRPr="00164D42">
              <w:rPr>
                <w:rFonts w:eastAsia="Calibri"/>
                <w:sz w:val="20"/>
                <w:lang w:val="fr-CA"/>
              </w:rPr>
              <w:t>— À la suite du transfèrement, il a été placé dans un établissement correctionnel fédéral — Le délinquant a demandé l’</w:t>
            </w:r>
            <w:r w:rsidRPr="00164D42">
              <w:rPr>
                <w:rFonts w:eastAsia="Calibri"/>
                <w:i/>
                <w:sz w:val="20"/>
                <w:lang w:val="fr-CA"/>
              </w:rPr>
              <w:t>habeas corpus</w:t>
            </w:r>
            <w:r w:rsidRPr="00164D42">
              <w:rPr>
                <w:rFonts w:eastAsia="Calibri"/>
                <w:sz w:val="20"/>
                <w:lang w:val="fr-CA"/>
              </w:rPr>
              <w:t>, plaidant que la</w:t>
            </w:r>
            <w:r w:rsidRPr="00164D42">
              <w:rPr>
                <w:rFonts w:eastAsia="Calibri"/>
                <w:i/>
                <w:sz w:val="20"/>
                <w:lang w:val="fr-CA"/>
              </w:rPr>
              <w:t xml:space="preserve"> Loi sur le transfèrement international des délinquants</w:t>
            </w:r>
            <w:r w:rsidRPr="00164D42">
              <w:rPr>
                <w:rFonts w:eastAsia="Calibri"/>
                <w:sz w:val="20"/>
                <w:lang w:val="fr-CA"/>
              </w:rPr>
              <w:t xml:space="preserve"> prescrivait sa détention dans un établissement correctionnel provincial — Le juge en son cabinet a rejeté sa demande d’</w:t>
            </w:r>
            <w:r w:rsidRPr="00164D42">
              <w:rPr>
                <w:rFonts w:eastAsia="Calibri"/>
                <w:i/>
                <w:sz w:val="20"/>
                <w:lang w:val="fr-CA"/>
              </w:rPr>
              <w:t>habeas corpus</w:t>
            </w:r>
            <w:r w:rsidRPr="00164D42">
              <w:rPr>
                <w:rFonts w:eastAsia="Calibri"/>
                <w:sz w:val="20"/>
                <w:lang w:val="fr-CA"/>
              </w:rPr>
              <w:t>, mais la Cour d’appel l’a accueillie et a ordonné son transfèrement à un établissement correctionnel provincial pour adultes — La Cour d’appel a ensuite suspendu son transfèrement jusqu’à ce que notre Cour statue sur une éventuelle demande d’autorisation d’appel — Le délinquant, transféré d’un autre pays au Canada, purgera-t-il le reste de la peine qui lui a été infligée à l’étranger dans un établissement correctionnel fédéral ou dans un établissement correctionnel provincial pour adultes? —</w:t>
            </w:r>
            <w:r w:rsidRPr="00164D42">
              <w:rPr>
                <w:rFonts w:eastAsia="Calibri"/>
                <w:i/>
                <w:sz w:val="20"/>
                <w:lang w:val="fr-CA"/>
              </w:rPr>
              <w:t xml:space="preserve"> Loi sur le transfèrement international des délinquants</w:t>
            </w:r>
            <w:r w:rsidRPr="00164D42">
              <w:rPr>
                <w:rFonts w:eastAsia="Calibri"/>
                <w:sz w:val="20"/>
                <w:lang w:val="fr-CA"/>
              </w:rPr>
              <w:t>, L.C. 2004, ch. 21.</w:t>
            </w:r>
          </w:p>
        </w:tc>
      </w:tr>
      <w:tr w:rsidR="00B02DE5" w:rsidRPr="00002FFB" w:rsidTr="00B02DE5">
        <w:tc>
          <w:tcPr>
            <w:tcW w:w="5000" w:type="pct"/>
            <w:gridSpan w:val="3"/>
          </w:tcPr>
          <w:p w:rsidR="00B02DE5" w:rsidRPr="00164D42" w:rsidRDefault="00B02DE5" w:rsidP="00B02DE5">
            <w:pPr>
              <w:jc w:val="both"/>
              <w:rPr>
                <w:rFonts w:eastAsia="Calibri"/>
                <w:sz w:val="20"/>
                <w:lang w:val="fr-CA"/>
              </w:rPr>
            </w:pPr>
          </w:p>
        </w:tc>
      </w:tr>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L’intimé, M. Omar Khadr, est un citoyen canadien que l’on a trouvé au combat en Afghanistan en 2002 à l’âge de 15 ans.  Monsieur Khadr a été détenu pendant huit ans par le gouvernement des États-Unis à Guantanamo (Cuba), avant de plaider coupable à cinq infractions (équivalentes, en droit canadien, aux infractions de meurtre au premier degré, de tentative de meurtre, de participation aux activités d’un groupe terroriste, de perpétration d’infractions pour le compte d’un groupe terroriste et d’espionnage pour le compte de l’ennemi).  Il a été condamné à une peine d’emprisonnement de huit ans, la première année devant être purgée sous la garde des États-Unis.  Après cette première année, Mr. Khadr a présenté une demande en application de la </w:t>
            </w:r>
            <w:r w:rsidRPr="00164D42">
              <w:rPr>
                <w:rFonts w:eastAsia="Calibri"/>
                <w:i/>
                <w:sz w:val="20"/>
                <w:lang w:val="fr-CA"/>
              </w:rPr>
              <w:t>Loi sur le transfèrement international des délinquants</w:t>
            </w:r>
            <w:r w:rsidRPr="00164D42">
              <w:rPr>
                <w:rFonts w:eastAsia="Calibri"/>
                <w:sz w:val="20"/>
                <w:lang w:val="fr-CA"/>
              </w:rPr>
              <w:t>, L.C. 2004, ch. 21 (</w:t>
            </w:r>
            <w:r w:rsidRPr="00164D42">
              <w:rPr>
                <w:rFonts w:eastAsia="Calibri"/>
                <w:i/>
                <w:sz w:val="20"/>
                <w:lang w:val="fr-CA"/>
              </w:rPr>
              <w:t>LTID</w:t>
            </w:r>
            <w:r w:rsidRPr="00164D42">
              <w:rPr>
                <w:rFonts w:eastAsia="Calibri"/>
                <w:sz w:val="20"/>
                <w:lang w:val="fr-CA"/>
              </w:rPr>
              <w:t>), afin de purger le reste de sa peine au Canada.  Au moment du transfèrement de M. Khadr au Canada, les fonctionnaires du service correctionnel ont attribué une valeur de peine à chacune de ces infractions.  Ils ont interprété la peine comme étant équivalente à cinq peines distinctes concurrentes de huit ans chacune, M. Khadr devant purger le reste de sa peine dans un établissement correctionnel fédéral.  Monsieur Khadr a demandé l’</w:t>
            </w:r>
            <w:r w:rsidRPr="00164D42">
              <w:rPr>
                <w:rFonts w:eastAsia="Calibri"/>
                <w:i/>
                <w:sz w:val="20"/>
                <w:lang w:val="fr-CA"/>
              </w:rPr>
              <w:t>habeas corpus</w:t>
            </w:r>
            <w:r w:rsidRPr="00164D42">
              <w:rPr>
                <w:rFonts w:eastAsia="Calibri"/>
                <w:sz w:val="20"/>
                <w:lang w:val="fr-CA"/>
              </w:rPr>
              <w:t xml:space="preserve">, plaidant que la </w:t>
            </w:r>
            <w:r w:rsidRPr="00164D42">
              <w:rPr>
                <w:rFonts w:eastAsia="Calibri"/>
                <w:i/>
                <w:sz w:val="20"/>
                <w:lang w:val="fr-CA"/>
              </w:rPr>
              <w:t>LTID</w:t>
            </w:r>
            <w:r w:rsidRPr="00164D42">
              <w:rPr>
                <w:rFonts w:eastAsia="Calibri"/>
                <w:sz w:val="20"/>
                <w:lang w:val="fr-CA"/>
              </w:rPr>
              <w:t xml:space="preserve"> prescrivait sa détention dans un établissement correctionnel provincial.  En vertu de l’art. 20 de la </w:t>
            </w:r>
            <w:r w:rsidRPr="00164D42">
              <w:rPr>
                <w:rFonts w:eastAsia="Calibri"/>
                <w:i/>
                <w:sz w:val="20"/>
                <w:lang w:val="fr-CA"/>
              </w:rPr>
              <w:t>LTID</w:t>
            </w:r>
            <w:r w:rsidRPr="00164D42">
              <w:rPr>
                <w:rFonts w:eastAsia="Calibri"/>
                <w:sz w:val="20"/>
                <w:lang w:val="fr-CA"/>
              </w:rPr>
              <w:t>, un adulte canadien qui a commis des infractions entre les âges de douze et dix-sept ans devait être détenu dans un établissement correctionnel provincial pour adultes dans le cas où la peine qui lui a été imposée aurait pu être une peine spécifique (applicable aux adolescents) si l’infraction avait été commise au Canada.  Le juge en son cabinet a rejeté la demande d’</w:t>
            </w:r>
            <w:r w:rsidRPr="00164D42">
              <w:rPr>
                <w:rFonts w:eastAsia="Calibri"/>
                <w:i/>
                <w:sz w:val="20"/>
                <w:lang w:val="fr-CA"/>
              </w:rPr>
              <w:t>habeas corpus</w:t>
            </w:r>
            <w:r w:rsidRPr="00164D42">
              <w:rPr>
                <w:rFonts w:eastAsia="Calibri"/>
                <w:sz w:val="20"/>
                <w:lang w:val="fr-CA"/>
              </w:rPr>
              <w:t xml:space="preserve"> de M. Khadr, mais la Cour d’appel a accueilli son appel, accueilli sa demande d’</w:t>
            </w:r>
            <w:r w:rsidRPr="00164D42">
              <w:rPr>
                <w:rFonts w:eastAsia="Calibri"/>
                <w:i/>
                <w:sz w:val="20"/>
                <w:lang w:val="fr-CA"/>
              </w:rPr>
              <w:t>habeas corpus</w:t>
            </w:r>
            <w:r w:rsidRPr="00164D42">
              <w:rPr>
                <w:rFonts w:eastAsia="Calibri"/>
                <w:sz w:val="20"/>
                <w:lang w:val="fr-CA"/>
              </w:rPr>
              <w:t xml:space="preserve"> et ordonné son transfèrement à un établissement correctionnel provincial.</w:t>
            </w:r>
          </w:p>
          <w:p w:rsidR="00B02DE5" w:rsidRPr="00164D42" w:rsidRDefault="00B02DE5" w:rsidP="00B02DE5">
            <w:pPr>
              <w:jc w:val="both"/>
              <w:rPr>
                <w:rFonts w:eastAsia="Calibri"/>
                <w:sz w:val="20"/>
                <w:lang w:val="fr-CA"/>
              </w:rPr>
            </w:pPr>
          </w:p>
        </w:tc>
      </w:tr>
      <w:tr w:rsidR="00B02DE5" w:rsidRPr="00002FFB" w:rsidTr="00B02DE5">
        <w:tblPrEx>
          <w:tblCellMar>
            <w:bottom w:w="0" w:type="dxa"/>
          </w:tblCellMar>
        </w:tblPrEx>
        <w:tc>
          <w:tcPr>
            <w:tcW w:w="2196" w:type="pct"/>
          </w:tcPr>
          <w:p w:rsidR="00B02DE5" w:rsidRPr="00164D42" w:rsidRDefault="00B02DE5" w:rsidP="00B02DE5">
            <w:pPr>
              <w:jc w:val="both"/>
              <w:rPr>
                <w:rFonts w:eastAsia="Calibri"/>
                <w:sz w:val="20"/>
                <w:lang w:val="fr-CA"/>
              </w:rPr>
            </w:pPr>
            <w:r w:rsidRPr="00164D42">
              <w:rPr>
                <w:rFonts w:eastAsia="Calibri"/>
                <w:sz w:val="20"/>
                <w:lang w:val="fr-CA"/>
              </w:rPr>
              <w:t>18 octobre 2013</w:t>
            </w:r>
          </w:p>
          <w:p w:rsidR="00B02DE5" w:rsidRPr="00164D42" w:rsidRDefault="00B02DE5" w:rsidP="00B02DE5">
            <w:pPr>
              <w:jc w:val="both"/>
              <w:rPr>
                <w:rFonts w:eastAsia="Calibri"/>
                <w:sz w:val="20"/>
                <w:lang w:val="fr-CA"/>
              </w:rPr>
            </w:pPr>
            <w:r w:rsidRPr="00164D42">
              <w:rPr>
                <w:rFonts w:eastAsia="Calibri"/>
                <w:sz w:val="20"/>
                <w:lang w:val="fr-CA"/>
              </w:rPr>
              <w:t>Cour du Banc de la Reine de l’Alberta</w:t>
            </w:r>
          </w:p>
          <w:p w:rsidR="00B02DE5" w:rsidRPr="00164D42" w:rsidRDefault="00B02DE5" w:rsidP="00B02DE5">
            <w:pPr>
              <w:jc w:val="both"/>
              <w:rPr>
                <w:rFonts w:eastAsia="Calibri"/>
                <w:sz w:val="20"/>
                <w:lang w:val="fr-CA"/>
              </w:rPr>
            </w:pPr>
            <w:r w:rsidRPr="00164D42">
              <w:rPr>
                <w:rFonts w:eastAsia="Calibri"/>
                <w:sz w:val="20"/>
                <w:lang w:val="fr-CA"/>
              </w:rPr>
              <w:t>(Juge Rooke)</w:t>
            </w:r>
          </w:p>
          <w:p w:rsidR="00B02DE5" w:rsidRPr="00164D42" w:rsidRDefault="00E4461B" w:rsidP="00B02DE5">
            <w:pPr>
              <w:jc w:val="both"/>
              <w:rPr>
                <w:rFonts w:eastAsia="Calibri"/>
                <w:sz w:val="20"/>
                <w:lang w:val="fr-CA"/>
              </w:rPr>
            </w:pPr>
            <w:hyperlink r:id="rId89" w:history="1">
              <w:r w:rsidR="00B02DE5" w:rsidRPr="00164D42">
                <w:rPr>
                  <w:rFonts w:eastAsia="Calibri"/>
                  <w:color w:val="0000FF"/>
                  <w:sz w:val="20"/>
                  <w:u w:val="single"/>
                  <w:lang w:val="fr-CA"/>
                </w:rPr>
                <w:t>2013 ABQB 611</w:t>
              </w:r>
            </w:hyperlink>
          </w:p>
          <w:p w:rsidR="00B02DE5" w:rsidRPr="00164D42" w:rsidRDefault="00B02DE5" w:rsidP="00B02DE5">
            <w:pPr>
              <w:jc w:val="both"/>
              <w:rPr>
                <w:rFonts w:eastAsia="Calibri"/>
                <w:sz w:val="20"/>
                <w:lang w:val="fr-CA"/>
              </w:rPr>
            </w:pPr>
          </w:p>
        </w:tc>
        <w:tc>
          <w:tcPr>
            <w:tcW w:w="270" w:type="pct"/>
          </w:tcPr>
          <w:p w:rsidR="00B02DE5" w:rsidRPr="00164D42" w:rsidRDefault="00B02DE5" w:rsidP="00B02DE5">
            <w:pPr>
              <w:jc w:val="both"/>
              <w:rPr>
                <w:rFonts w:eastAsia="Calibri"/>
                <w:sz w:val="20"/>
                <w:lang w:val="fr-CA"/>
              </w:rPr>
            </w:pPr>
          </w:p>
        </w:tc>
        <w:tc>
          <w:tcPr>
            <w:tcW w:w="2534" w:type="pct"/>
          </w:tcPr>
          <w:p w:rsidR="00B02DE5" w:rsidRPr="00164D42" w:rsidRDefault="00B02DE5" w:rsidP="00B02DE5">
            <w:pPr>
              <w:jc w:val="both"/>
              <w:rPr>
                <w:rFonts w:eastAsia="Calibri"/>
                <w:sz w:val="20"/>
                <w:lang w:val="fr-CA"/>
              </w:rPr>
            </w:pPr>
            <w:r w:rsidRPr="00164D42">
              <w:rPr>
                <w:rFonts w:eastAsia="Calibri"/>
                <w:sz w:val="20"/>
                <w:lang w:val="fr-CA"/>
              </w:rPr>
              <w:t>Demande d’</w:t>
            </w:r>
            <w:r w:rsidRPr="00164D42">
              <w:rPr>
                <w:rFonts w:eastAsia="Calibri"/>
                <w:i/>
                <w:sz w:val="20"/>
                <w:lang w:val="fr-CA"/>
              </w:rPr>
              <w:t>habeas corpus</w:t>
            </w:r>
            <w:r w:rsidRPr="00164D42">
              <w:rPr>
                <w:rFonts w:eastAsia="Calibri"/>
                <w:sz w:val="20"/>
                <w:lang w:val="fr-CA"/>
              </w:rPr>
              <w:t>, rejetée. Intimé condamné à demeurer dans un établissement correctionnel fédéral.</w:t>
            </w:r>
          </w:p>
          <w:p w:rsidR="00B02DE5" w:rsidRPr="00164D42" w:rsidRDefault="00B02DE5" w:rsidP="00B02DE5">
            <w:pPr>
              <w:jc w:val="both"/>
              <w:rPr>
                <w:rFonts w:eastAsia="Calibri"/>
                <w:sz w:val="20"/>
                <w:lang w:val="fr-CA"/>
              </w:rPr>
            </w:pPr>
          </w:p>
        </w:tc>
      </w:tr>
      <w:tr w:rsidR="00B02DE5" w:rsidRPr="00002FFB" w:rsidTr="00B02DE5">
        <w:tblPrEx>
          <w:tblCellMar>
            <w:bottom w:w="0" w:type="dxa"/>
          </w:tblCellMar>
        </w:tblPrEx>
        <w:tc>
          <w:tcPr>
            <w:tcW w:w="2196" w:type="pct"/>
          </w:tcPr>
          <w:p w:rsidR="00B02DE5" w:rsidRPr="00164D42" w:rsidRDefault="00B02DE5" w:rsidP="00B02DE5">
            <w:pPr>
              <w:jc w:val="both"/>
              <w:rPr>
                <w:rFonts w:eastAsia="Calibri"/>
                <w:sz w:val="20"/>
                <w:lang w:val="fr-CA"/>
              </w:rPr>
            </w:pPr>
            <w:r w:rsidRPr="00164D42">
              <w:rPr>
                <w:rFonts w:eastAsia="Calibri"/>
                <w:sz w:val="20"/>
                <w:lang w:val="fr-CA"/>
              </w:rPr>
              <w:t>8 juillet 2014</w:t>
            </w:r>
          </w:p>
          <w:p w:rsidR="00B02DE5" w:rsidRPr="00164D42" w:rsidRDefault="00B02DE5" w:rsidP="00B02DE5">
            <w:pPr>
              <w:jc w:val="both"/>
              <w:rPr>
                <w:rFonts w:eastAsia="Calibri"/>
                <w:sz w:val="20"/>
                <w:lang w:val="fr-CA"/>
              </w:rPr>
            </w:pPr>
            <w:r w:rsidRPr="00164D42">
              <w:rPr>
                <w:rFonts w:eastAsia="Calibri"/>
                <w:sz w:val="20"/>
                <w:lang w:val="fr-CA"/>
              </w:rPr>
              <w:t>Cour d’appel de l’Alberta (Edmonton)</w:t>
            </w:r>
          </w:p>
          <w:p w:rsidR="00B02DE5" w:rsidRPr="00164D42" w:rsidRDefault="00B02DE5" w:rsidP="00B02DE5">
            <w:pPr>
              <w:jc w:val="both"/>
              <w:rPr>
                <w:rFonts w:eastAsia="Calibri"/>
                <w:sz w:val="20"/>
                <w:lang w:val="fr-CA"/>
              </w:rPr>
            </w:pPr>
            <w:r w:rsidRPr="00164D42">
              <w:rPr>
                <w:rFonts w:eastAsia="Calibri"/>
                <w:sz w:val="20"/>
                <w:lang w:val="fr-CA"/>
              </w:rPr>
              <w:t>(Juge en chef Fraser, juges Watson et Bielby)</w:t>
            </w:r>
          </w:p>
          <w:p w:rsidR="00B02DE5" w:rsidRPr="00164D42" w:rsidRDefault="00E4461B" w:rsidP="00B02DE5">
            <w:pPr>
              <w:jc w:val="both"/>
              <w:rPr>
                <w:rFonts w:eastAsia="Calibri"/>
                <w:sz w:val="20"/>
                <w:lang w:val="fr-CA"/>
              </w:rPr>
            </w:pPr>
            <w:hyperlink r:id="rId90" w:history="1">
              <w:r w:rsidR="00B02DE5" w:rsidRPr="00164D42">
                <w:rPr>
                  <w:rFonts w:eastAsia="Calibri"/>
                  <w:color w:val="0000FF"/>
                  <w:sz w:val="20"/>
                  <w:u w:val="single"/>
                  <w:lang w:val="fr-CA"/>
                </w:rPr>
                <w:t>2014 ABCA 225</w:t>
              </w:r>
            </w:hyperlink>
          </w:p>
          <w:p w:rsidR="00B02DE5" w:rsidRPr="00164D42" w:rsidRDefault="00B02DE5" w:rsidP="00B02DE5">
            <w:pPr>
              <w:jc w:val="both"/>
              <w:rPr>
                <w:rFonts w:eastAsia="Calibri"/>
                <w:sz w:val="20"/>
                <w:lang w:val="fr-CA"/>
              </w:rPr>
            </w:pPr>
          </w:p>
        </w:tc>
        <w:tc>
          <w:tcPr>
            <w:tcW w:w="270" w:type="pct"/>
          </w:tcPr>
          <w:p w:rsidR="00B02DE5" w:rsidRPr="00164D42" w:rsidRDefault="00B02DE5" w:rsidP="00B02DE5">
            <w:pPr>
              <w:jc w:val="both"/>
              <w:rPr>
                <w:rFonts w:eastAsia="Calibri"/>
                <w:sz w:val="20"/>
                <w:lang w:val="fr-CA"/>
              </w:rPr>
            </w:pPr>
          </w:p>
        </w:tc>
        <w:tc>
          <w:tcPr>
            <w:tcW w:w="2534" w:type="pct"/>
          </w:tcPr>
          <w:p w:rsidR="00B02DE5" w:rsidRPr="00164D42" w:rsidRDefault="00B02DE5" w:rsidP="00B02DE5">
            <w:pPr>
              <w:jc w:val="both"/>
              <w:rPr>
                <w:rFonts w:eastAsia="Calibri"/>
                <w:sz w:val="20"/>
                <w:lang w:val="fr-CA"/>
              </w:rPr>
            </w:pPr>
            <w:r w:rsidRPr="00164D42">
              <w:rPr>
                <w:rFonts w:eastAsia="Calibri"/>
                <w:sz w:val="20"/>
                <w:lang w:val="fr-CA"/>
              </w:rPr>
              <w:t>Appel accueilli et demande d’</w:t>
            </w:r>
            <w:r w:rsidRPr="00164D42">
              <w:rPr>
                <w:rFonts w:eastAsia="Calibri"/>
                <w:i/>
                <w:sz w:val="20"/>
                <w:lang w:val="fr-CA"/>
              </w:rPr>
              <w:t>habeas corpus</w:t>
            </w:r>
            <w:r w:rsidRPr="00164D42">
              <w:rPr>
                <w:rFonts w:eastAsia="Calibri"/>
                <w:sz w:val="20"/>
                <w:lang w:val="fr-CA"/>
              </w:rPr>
              <w:t>, accueillie. Ordonnance de transfèrement de l’intimé à un établissement correctionnel provincial pour adultes.</w:t>
            </w:r>
          </w:p>
          <w:p w:rsidR="00B02DE5" w:rsidRPr="00164D42" w:rsidRDefault="00B02DE5" w:rsidP="00B02DE5">
            <w:pPr>
              <w:jc w:val="both"/>
              <w:rPr>
                <w:rFonts w:eastAsia="Calibri"/>
                <w:sz w:val="20"/>
                <w:lang w:val="fr-CA"/>
              </w:rPr>
            </w:pPr>
          </w:p>
        </w:tc>
      </w:tr>
      <w:tr w:rsidR="00B02DE5" w:rsidRPr="00002FFB" w:rsidTr="00B02DE5">
        <w:tblPrEx>
          <w:tblCellMar>
            <w:bottom w:w="0" w:type="dxa"/>
          </w:tblCellMar>
        </w:tblPrEx>
        <w:tc>
          <w:tcPr>
            <w:tcW w:w="2196" w:type="pct"/>
          </w:tcPr>
          <w:p w:rsidR="00B02DE5" w:rsidRPr="00164D42" w:rsidRDefault="00B02DE5" w:rsidP="00B02DE5">
            <w:pPr>
              <w:jc w:val="both"/>
              <w:rPr>
                <w:rFonts w:eastAsia="Calibri"/>
                <w:sz w:val="20"/>
                <w:lang w:val="fr-CA"/>
              </w:rPr>
            </w:pPr>
            <w:r w:rsidRPr="00164D42">
              <w:rPr>
                <w:rFonts w:eastAsia="Calibri"/>
                <w:sz w:val="20"/>
                <w:lang w:val="fr-CA"/>
              </w:rPr>
              <w:t>22 juillet 2014</w:t>
            </w:r>
          </w:p>
          <w:p w:rsidR="00B02DE5" w:rsidRPr="00164D42" w:rsidRDefault="00B02DE5" w:rsidP="00B02DE5">
            <w:pPr>
              <w:jc w:val="both"/>
              <w:rPr>
                <w:rFonts w:eastAsia="Calibri"/>
                <w:sz w:val="20"/>
                <w:lang w:val="fr-CA"/>
              </w:rPr>
            </w:pPr>
            <w:r w:rsidRPr="00164D42">
              <w:rPr>
                <w:rFonts w:eastAsia="Calibri"/>
                <w:sz w:val="20"/>
                <w:lang w:val="fr-CA"/>
              </w:rPr>
              <w:t>Cour d’appel de l’Alberta (Edmonton)</w:t>
            </w:r>
          </w:p>
          <w:p w:rsidR="00B02DE5" w:rsidRPr="00164D42" w:rsidRDefault="00B02DE5" w:rsidP="00B02DE5">
            <w:pPr>
              <w:jc w:val="both"/>
              <w:rPr>
                <w:rFonts w:eastAsia="Calibri"/>
                <w:sz w:val="20"/>
                <w:lang w:val="fr-CA"/>
              </w:rPr>
            </w:pPr>
            <w:r w:rsidRPr="00164D42">
              <w:rPr>
                <w:rFonts w:eastAsia="Calibri"/>
                <w:sz w:val="20"/>
                <w:lang w:val="fr-CA"/>
              </w:rPr>
              <w:t>(Juge Watson)</w:t>
            </w:r>
          </w:p>
          <w:p w:rsidR="00B02DE5" w:rsidRPr="00164D42" w:rsidRDefault="00E4461B" w:rsidP="00B02DE5">
            <w:pPr>
              <w:jc w:val="both"/>
              <w:rPr>
                <w:rFonts w:eastAsia="Calibri"/>
                <w:sz w:val="20"/>
                <w:lang w:val="fr-CA"/>
              </w:rPr>
            </w:pPr>
            <w:hyperlink r:id="rId91" w:history="1">
              <w:r w:rsidR="00B02DE5" w:rsidRPr="00164D42">
                <w:rPr>
                  <w:rFonts w:eastAsia="Calibri"/>
                  <w:color w:val="0000FF"/>
                  <w:sz w:val="20"/>
                  <w:u w:val="single"/>
                  <w:lang w:val="fr-CA"/>
                </w:rPr>
                <w:t>2014 ABCA 239</w:t>
              </w:r>
            </w:hyperlink>
            <w:r w:rsidR="00B02DE5" w:rsidRPr="00164D42">
              <w:rPr>
                <w:rFonts w:eastAsia="Calibri"/>
                <w:sz w:val="20"/>
                <w:lang w:val="fr-CA"/>
              </w:rPr>
              <w:t xml:space="preserve"> </w:t>
            </w:r>
          </w:p>
          <w:p w:rsidR="00B02DE5" w:rsidRPr="00164D42" w:rsidRDefault="00B02DE5" w:rsidP="00B02DE5">
            <w:pPr>
              <w:jc w:val="both"/>
              <w:rPr>
                <w:rFonts w:eastAsia="Calibri"/>
                <w:sz w:val="20"/>
                <w:lang w:val="fr-CA"/>
              </w:rPr>
            </w:pPr>
          </w:p>
        </w:tc>
        <w:tc>
          <w:tcPr>
            <w:tcW w:w="270" w:type="pct"/>
          </w:tcPr>
          <w:p w:rsidR="00B02DE5" w:rsidRPr="00164D42" w:rsidRDefault="00B02DE5" w:rsidP="00B02DE5">
            <w:pPr>
              <w:jc w:val="both"/>
              <w:rPr>
                <w:rFonts w:eastAsia="Calibri"/>
                <w:sz w:val="20"/>
                <w:lang w:val="fr-CA"/>
              </w:rPr>
            </w:pPr>
          </w:p>
        </w:tc>
        <w:tc>
          <w:tcPr>
            <w:tcW w:w="2534" w:type="pct"/>
          </w:tcPr>
          <w:p w:rsidR="00B02DE5" w:rsidRPr="00164D42" w:rsidRDefault="00B02DE5" w:rsidP="00B02DE5">
            <w:pPr>
              <w:jc w:val="both"/>
              <w:rPr>
                <w:rFonts w:eastAsia="Calibri"/>
                <w:sz w:val="20"/>
                <w:lang w:val="fr-CA"/>
              </w:rPr>
            </w:pPr>
            <w:r w:rsidRPr="00164D42">
              <w:rPr>
                <w:rFonts w:eastAsia="Calibri"/>
                <w:sz w:val="20"/>
                <w:lang w:val="fr-CA"/>
              </w:rPr>
              <w:t>Ordonnance de suspension du transfèrement de l’intimée à un établissement correctionnel provincial pour adultes, jusqu’à ce que la Cour suprême du Canada statue sur une éventuelle demande d’autorisation d’appel.</w:t>
            </w:r>
          </w:p>
        </w:tc>
      </w:tr>
    </w:tbl>
    <w:p w:rsidR="005174EE" w:rsidRPr="00002FFB" w:rsidRDefault="005174EE">
      <w:pPr>
        <w:rPr>
          <w:lang w:val="fr-CA"/>
        </w:rPr>
      </w:pPr>
    </w:p>
    <w:p w:rsidR="005174EE" w:rsidRPr="00002FFB" w:rsidRDefault="005174EE">
      <w:pPr>
        <w:rPr>
          <w:lang w:val="fr-CA"/>
        </w:rPr>
      </w:pPr>
      <w:r w:rsidRPr="00002FFB">
        <w:rPr>
          <w:lang w:val="fr-CA"/>
        </w:rPr>
        <w:br w:type="page"/>
      </w:r>
    </w:p>
    <w:tbl>
      <w:tblPr>
        <w:tblW w:w="4952" w:type="pct"/>
        <w:tblLayout w:type="fixed"/>
        <w:tblCellMar>
          <w:left w:w="0" w:type="dxa"/>
          <w:right w:w="0" w:type="dxa"/>
        </w:tblCellMar>
        <w:tblLook w:val="04A0" w:firstRow="1" w:lastRow="0" w:firstColumn="1" w:lastColumn="0" w:noHBand="0" w:noVBand="1"/>
      </w:tblPr>
      <w:tblGrid>
        <w:gridCol w:w="4185"/>
        <w:gridCol w:w="514"/>
        <w:gridCol w:w="4828"/>
      </w:tblGrid>
      <w:tr w:rsidR="00B02DE5" w:rsidRPr="00002FFB" w:rsidTr="00B02DE5">
        <w:tc>
          <w:tcPr>
            <w:tcW w:w="2196" w:type="pct"/>
          </w:tcPr>
          <w:p w:rsidR="00B02DE5" w:rsidRPr="00164D42" w:rsidRDefault="00B02DE5" w:rsidP="00B02DE5">
            <w:pPr>
              <w:jc w:val="both"/>
              <w:rPr>
                <w:rFonts w:eastAsia="Calibri"/>
                <w:sz w:val="20"/>
                <w:lang w:val="fr-CA"/>
              </w:rPr>
            </w:pPr>
            <w:r w:rsidRPr="00164D42">
              <w:rPr>
                <w:rFonts w:eastAsia="Calibri"/>
                <w:sz w:val="20"/>
                <w:lang w:val="fr-CA"/>
              </w:rPr>
              <w:lastRenderedPageBreak/>
              <w:t>25 septembre 2014</w:t>
            </w:r>
          </w:p>
          <w:p w:rsidR="00B02DE5" w:rsidRPr="00164D42" w:rsidRDefault="00B02DE5" w:rsidP="00B02DE5">
            <w:pPr>
              <w:jc w:val="both"/>
              <w:rPr>
                <w:rFonts w:eastAsia="Calibri"/>
                <w:sz w:val="20"/>
                <w:lang w:val="fr-CA"/>
              </w:rPr>
            </w:pPr>
            <w:r w:rsidRPr="00164D42">
              <w:rPr>
                <w:rFonts w:eastAsia="Calibri"/>
                <w:sz w:val="20"/>
                <w:lang w:val="fr-CA"/>
              </w:rPr>
              <w:t>Cour suprême du Canada</w:t>
            </w:r>
          </w:p>
        </w:tc>
        <w:tc>
          <w:tcPr>
            <w:tcW w:w="270" w:type="pct"/>
          </w:tcPr>
          <w:p w:rsidR="00B02DE5" w:rsidRPr="00164D42" w:rsidRDefault="00B02DE5" w:rsidP="00B02DE5">
            <w:pPr>
              <w:jc w:val="both"/>
              <w:rPr>
                <w:rFonts w:eastAsia="Calibri"/>
                <w:sz w:val="20"/>
                <w:lang w:val="fr-CA"/>
              </w:rPr>
            </w:pPr>
          </w:p>
        </w:tc>
        <w:tc>
          <w:tcPr>
            <w:tcW w:w="2534" w:type="pct"/>
          </w:tcPr>
          <w:p w:rsidR="00B02DE5" w:rsidRPr="00164D42" w:rsidRDefault="00B02DE5" w:rsidP="00B02DE5">
            <w:pPr>
              <w:jc w:val="both"/>
              <w:rPr>
                <w:rFonts w:eastAsia="Calibri"/>
                <w:sz w:val="20"/>
                <w:lang w:val="fr-CA"/>
              </w:rPr>
            </w:pPr>
            <w:r w:rsidRPr="00164D42">
              <w:rPr>
                <w:rFonts w:eastAsia="Calibri"/>
                <w:sz w:val="20"/>
                <w:lang w:val="fr-CA"/>
              </w:rPr>
              <w:t>Demande d’autorisation d’appel, déposée avec une requête en vue d’obtenir un sursis supplémentaire à l’exécution du transfèrement de l’intimé à un établissement correctionnel provincial pour adultes jusqu’à ce que notre Cour statue sur un éventuel appel (si l’autorisation est accordée).</w:t>
            </w:r>
          </w:p>
        </w:tc>
      </w:tr>
    </w:tbl>
    <w:p w:rsidR="00BC2489" w:rsidRPr="00B02DE5" w:rsidRDefault="00BC2489" w:rsidP="00BC2489">
      <w:pPr>
        <w:rPr>
          <w:sz w:val="20"/>
          <w:szCs w:val="20"/>
          <w:lang w:val="fr-CA"/>
        </w:rPr>
      </w:pPr>
    </w:p>
    <w:p w:rsidR="00BC2489" w:rsidRDefault="00E4461B" w:rsidP="00BC2489">
      <w:pPr>
        <w:rPr>
          <w:sz w:val="20"/>
          <w:szCs w:val="20"/>
          <w:lang w:val="fr-CA"/>
        </w:rPr>
      </w:pPr>
      <w:r>
        <w:rPr>
          <w:sz w:val="20"/>
          <w:szCs w:val="20"/>
          <w:lang w:val="fr-CA"/>
        </w:rPr>
        <w:pict>
          <v:rect id="_x0000_i1061" style="width:2in;height:1pt" o:hrpct="0" o:hralign="center" o:hrstd="t" o:hrnoshade="t" o:hr="t" fillcolor="black [3213]" stroked="f"/>
        </w:pict>
      </w:r>
    </w:p>
    <w:p w:rsidR="00BC2489" w:rsidRDefault="00BC2489" w:rsidP="00BC2489">
      <w:pPr>
        <w:rPr>
          <w:sz w:val="20"/>
          <w:szCs w:val="20"/>
        </w:rPr>
      </w:pPr>
    </w:p>
    <w:tbl>
      <w:tblPr>
        <w:tblStyle w:val="TableGrid1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4EE" w:rsidRPr="005174EE" w:rsidTr="005174EE">
        <w:trPr>
          <w:cantSplit/>
        </w:trPr>
        <w:tc>
          <w:tcPr>
            <w:tcW w:w="1458" w:type="dxa"/>
          </w:tcPr>
          <w:p w:rsidR="005174EE" w:rsidRPr="005174EE" w:rsidRDefault="005174EE" w:rsidP="005174EE">
            <w:pPr>
              <w:rPr>
                <w:sz w:val="20"/>
              </w:rPr>
            </w:pPr>
            <w:r w:rsidRPr="005174EE">
              <w:rPr>
                <w:b/>
                <w:sz w:val="20"/>
                <w:lang w:val="fr-CA"/>
              </w:rPr>
              <w:t>36083</w:t>
            </w:r>
          </w:p>
          <w:p w:rsidR="005174EE" w:rsidRPr="005174EE" w:rsidRDefault="005174EE" w:rsidP="005174EE">
            <w:pPr>
              <w:rPr>
                <w:b/>
                <w:sz w:val="20"/>
                <w:lang w:val="fr-CA"/>
              </w:rPr>
            </w:pPr>
          </w:p>
        </w:tc>
        <w:tc>
          <w:tcPr>
            <w:tcW w:w="8118" w:type="dxa"/>
          </w:tcPr>
          <w:p w:rsidR="005174EE" w:rsidRPr="005174EE" w:rsidRDefault="005174EE" w:rsidP="005174EE">
            <w:pPr>
              <w:rPr>
                <w:sz w:val="20"/>
              </w:rPr>
            </w:pPr>
            <w:r w:rsidRPr="005174EE">
              <w:rPr>
                <w:b/>
                <w:sz w:val="20"/>
                <w:u w:val="single"/>
              </w:rPr>
              <w:t>Her Majesty the Queen v. Nawaf Barerh Al-Enzi</w:t>
            </w:r>
            <w:r w:rsidRPr="005174EE">
              <w:rPr>
                <w:sz w:val="20"/>
              </w:rPr>
              <w:t xml:space="preserve"> (Ont.) (Criminal) (By Leave)</w:t>
            </w:r>
          </w:p>
          <w:p w:rsidR="005174EE" w:rsidRPr="005174EE" w:rsidRDefault="005174EE" w:rsidP="005174EE">
            <w:pPr>
              <w:rPr>
                <w:sz w:val="20"/>
              </w:rPr>
            </w:pPr>
          </w:p>
        </w:tc>
      </w:tr>
      <w:tr w:rsidR="005174EE" w:rsidRPr="005174EE" w:rsidTr="005174EE">
        <w:trPr>
          <w:cantSplit/>
        </w:trPr>
        <w:tc>
          <w:tcPr>
            <w:tcW w:w="1458" w:type="dxa"/>
          </w:tcPr>
          <w:p w:rsidR="005174EE" w:rsidRPr="005174EE" w:rsidRDefault="005174EE" w:rsidP="005174EE">
            <w:pPr>
              <w:rPr>
                <w:sz w:val="20"/>
              </w:rPr>
            </w:pPr>
            <w:r w:rsidRPr="005174EE">
              <w:rPr>
                <w:sz w:val="20"/>
              </w:rPr>
              <w:t>Coram :</w:t>
            </w:r>
          </w:p>
        </w:tc>
        <w:tc>
          <w:tcPr>
            <w:tcW w:w="8118" w:type="dxa"/>
          </w:tcPr>
          <w:p w:rsidR="005174EE" w:rsidRPr="005174EE" w:rsidRDefault="005174EE" w:rsidP="005174EE">
            <w:pPr>
              <w:rPr>
                <w:sz w:val="20"/>
              </w:rPr>
            </w:pPr>
            <w:r w:rsidRPr="005174EE">
              <w:rPr>
                <w:sz w:val="20"/>
                <w:u w:val="single"/>
              </w:rPr>
              <w:t>LeBel, Karakatsanis and Gascon JJ.</w:t>
            </w:r>
          </w:p>
          <w:p w:rsidR="005174EE" w:rsidRPr="005174EE" w:rsidRDefault="005174EE" w:rsidP="005174EE">
            <w:pPr>
              <w:rPr>
                <w:sz w:val="20"/>
                <w:u w:val="single"/>
              </w:rPr>
            </w:pPr>
          </w:p>
        </w:tc>
      </w:tr>
      <w:tr w:rsidR="005174EE" w:rsidRPr="00002FFB" w:rsidTr="005174EE">
        <w:trPr>
          <w:cantSplit/>
        </w:trPr>
        <w:tc>
          <w:tcPr>
            <w:tcW w:w="9576" w:type="dxa"/>
            <w:gridSpan w:val="2"/>
          </w:tcPr>
          <w:p w:rsidR="005174EE" w:rsidRPr="005174EE" w:rsidRDefault="005174EE" w:rsidP="005174EE">
            <w:pPr>
              <w:ind w:firstLine="720"/>
              <w:jc w:val="both"/>
              <w:rPr>
                <w:sz w:val="20"/>
              </w:rPr>
            </w:pPr>
            <w:r w:rsidRPr="005174EE">
              <w:rPr>
                <w:sz w:val="20"/>
              </w:rPr>
              <w:t>The application for leave to appeal from the judgment of the Court of Appeal for Ontario, Number C52834, 2014 ONCA 569, dated July 31, 2014, is dismissed without costs.</w:t>
            </w:r>
          </w:p>
          <w:p w:rsidR="005174EE" w:rsidRPr="005174EE" w:rsidRDefault="005174EE" w:rsidP="005174EE">
            <w:pPr>
              <w:jc w:val="both"/>
              <w:rPr>
                <w:sz w:val="20"/>
              </w:rPr>
            </w:pPr>
          </w:p>
          <w:p w:rsidR="005174EE" w:rsidRPr="005174EE" w:rsidRDefault="005174EE" w:rsidP="005174EE">
            <w:pPr>
              <w:ind w:firstLine="720"/>
              <w:jc w:val="both"/>
              <w:rPr>
                <w:sz w:val="20"/>
                <w:lang w:val="fr-CA"/>
              </w:rPr>
            </w:pPr>
            <w:r w:rsidRPr="005174EE">
              <w:rPr>
                <w:sz w:val="20"/>
                <w:lang w:val="fr-CA"/>
              </w:rPr>
              <w:t>La demande d’autorisation d’appel de l’arrêt de la Cour d’appel de l’Ontario, numéro C52834, 2014 ONCA 569, daté du 31 juillet 2014, est rejetée sans dépens.</w:t>
            </w:r>
          </w:p>
        </w:tc>
      </w:tr>
    </w:tbl>
    <w:p w:rsidR="00BC2489" w:rsidRPr="005174E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36" w:type="pct"/>
        <w:tblLayout w:type="fixed"/>
        <w:tblCellMar>
          <w:left w:w="0" w:type="dxa"/>
          <w:bottom w:w="99" w:type="dxa"/>
          <w:right w:w="0" w:type="dxa"/>
        </w:tblCellMar>
        <w:tblLook w:val="04A0" w:firstRow="1" w:lastRow="0" w:firstColumn="1" w:lastColumn="0" w:noHBand="0" w:noVBand="1"/>
      </w:tblPr>
      <w:tblGrid>
        <w:gridCol w:w="4552"/>
        <w:gridCol w:w="515"/>
        <w:gridCol w:w="4429"/>
      </w:tblGrid>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Criminal law — Defence counsel — Legal profession — Disqualification or removal — Accused jointly charged with another person of first degree murder — During trial, accused’s lawyer forced to withdraw — Accused made diligent effort to find new lawyer but none willing to represent him mid-trial — </w:t>
            </w:r>
            <w:r w:rsidRPr="00164D42">
              <w:rPr>
                <w:rFonts w:eastAsia="Calibri"/>
                <w:i/>
                <w:sz w:val="20"/>
              </w:rPr>
              <w:t>Amicus</w:t>
            </w:r>
            <w:r w:rsidRPr="00164D42">
              <w:rPr>
                <w:rFonts w:eastAsia="Calibri"/>
                <w:sz w:val="20"/>
              </w:rPr>
              <w:t xml:space="preserve"> appointed — Whether judge erred in refusing severance — Whether judge erred in finding accused to blame for his lawyer’s mandatory withdrawal — Whether lawyer’s mandatory withdrawal for ethical reasons imputes causal blame to client.</w:t>
            </w:r>
          </w:p>
        </w:tc>
      </w:tr>
      <w:tr w:rsidR="00B02DE5" w:rsidRPr="00164D42" w:rsidTr="00B02DE5">
        <w:tc>
          <w:tcPr>
            <w:tcW w:w="5000" w:type="pct"/>
            <w:gridSpan w:val="3"/>
          </w:tcPr>
          <w:p w:rsidR="00B02DE5" w:rsidRPr="00164D42" w:rsidRDefault="00B02DE5" w:rsidP="00B02DE5">
            <w:pPr>
              <w:jc w:val="both"/>
              <w:rPr>
                <w:rFonts w:eastAsia="Calibri"/>
                <w:sz w:val="20"/>
              </w:rPr>
            </w:pPr>
          </w:p>
        </w:tc>
      </w:tr>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The Respondent, Mr. Al-Enzi, was charged jointly with Mr. Kazem for the murder of Mr. Zalal. A third accused was sentenced as an accessory after the fact to the murder and gave evidence implicating Mr. Al-Enzi as the planner and shooter and Mr. Kazem as the driver of the car in which the murder took place.  Mr. Al-Enzi implicated Mr. Kazem and claimed that he was at the Exhibition with his wife and then at a nightclub, when the murder took place.  Like the Crown, Mr. Kazem sought to convince the jury that the third accused was telling the truth. During the course of the trial, Mr. Al-Enzi’s counsel was forced to withdraw.  He made it clear that this was not Mr. Al-Enzi’s fault, although the judge inferred Mr. Al-Enzi was directly or indirectly responsible.  An extensive search throughout Ontario for a new lawyer for Mr. Al-Enzi was unsuccessful, as no experienced counsel was willing to continue the trial.  He did find counsel who was prepared to act, but only if the trial began again.  Mr. Al-Enzi’s application to sever his trial from Mr. Kazem’s was unsuccessful. </w:t>
            </w:r>
            <w:r w:rsidRPr="00164D42">
              <w:rPr>
                <w:rFonts w:eastAsia="Calibri"/>
                <w:i/>
                <w:sz w:val="20"/>
              </w:rPr>
              <w:t>Amicus</w:t>
            </w:r>
            <w:r w:rsidRPr="00164D42">
              <w:rPr>
                <w:rFonts w:eastAsia="Calibri"/>
                <w:sz w:val="20"/>
              </w:rPr>
              <w:t xml:space="preserve"> was appointed for Mr. Al-Enzi. Mr. Al-Enzi continued to assert his right to counsel, but the judge found that this was trumped by the right of his co-accused and the Crown to have the trial continue before the same judge. Mr. Kazem was ultimately acquitted whereas Mr. Al-Enzi was convicted.  However, Mr. Al-Enzi’s appeal was allowed, his conviction for first-degree murder was set aside and a new trial was ordered.</w:t>
            </w:r>
          </w:p>
          <w:p w:rsidR="00B02DE5" w:rsidRPr="00164D42" w:rsidRDefault="00B02DE5" w:rsidP="00B02DE5">
            <w:pPr>
              <w:jc w:val="both"/>
              <w:rPr>
                <w:rFonts w:eastAsia="Calibri"/>
                <w:sz w:val="20"/>
              </w:rPr>
            </w:pPr>
          </w:p>
        </w:tc>
      </w:tr>
      <w:tr w:rsidR="00B02DE5" w:rsidRPr="00164D42" w:rsidTr="00B02DE5">
        <w:tblPrEx>
          <w:tblCellMar>
            <w:bottom w:w="0" w:type="dxa"/>
          </w:tblCellMar>
        </w:tblPrEx>
        <w:tc>
          <w:tcPr>
            <w:tcW w:w="2397" w:type="pct"/>
          </w:tcPr>
          <w:p w:rsidR="00B02DE5" w:rsidRPr="00164D42" w:rsidRDefault="00B02DE5" w:rsidP="00B02DE5">
            <w:pPr>
              <w:jc w:val="both"/>
              <w:rPr>
                <w:rFonts w:eastAsia="Calibri"/>
                <w:sz w:val="20"/>
              </w:rPr>
            </w:pPr>
            <w:r w:rsidRPr="00164D42">
              <w:rPr>
                <w:rFonts w:eastAsia="Calibri"/>
                <w:sz w:val="20"/>
              </w:rPr>
              <w:t>September 26, 2010</w:t>
            </w:r>
          </w:p>
          <w:p w:rsidR="00B02DE5" w:rsidRPr="00164D42" w:rsidRDefault="00B02DE5" w:rsidP="00B02DE5">
            <w:pPr>
              <w:jc w:val="both"/>
              <w:rPr>
                <w:rFonts w:eastAsia="Calibri"/>
                <w:sz w:val="20"/>
              </w:rPr>
            </w:pPr>
            <w:r w:rsidRPr="00164D42">
              <w:rPr>
                <w:rFonts w:eastAsia="Calibri"/>
                <w:sz w:val="20"/>
              </w:rPr>
              <w:t>Ontario Superior Court of Justice</w:t>
            </w:r>
          </w:p>
          <w:p w:rsidR="00B02DE5" w:rsidRPr="00164D42" w:rsidRDefault="00B02DE5" w:rsidP="00B02DE5">
            <w:pPr>
              <w:jc w:val="both"/>
              <w:rPr>
                <w:rFonts w:eastAsia="Calibri"/>
                <w:sz w:val="20"/>
              </w:rPr>
            </w:pPr>
            <w:r w:rsidRPr="00164D42">
              <w:rPr>
                <w:rFonts w:eastAsia="Calibri"/>
                <w:sz w:val="20"/>
              </w:rPr>
              <w:t>(Kealey J.)</w:t>
            </w:r>
          </w:p>
          <w:p w:rsidR="00B02DE5" w:rsidRPr="00164D42" w:rsidRDefault="00B02DE5" w:rsidP="00B02DE5">
            <w:pPr>
              <w:jc w:val="both"/>
              <w:rPr>
                <w:rFonts w:eastAsia="Calibri"/>
                <w:sz w:val="20"/>
              </w:rPr>
            </w:pPr>
          </w:p>
        </w:tc>
        <w:tc>
          <w:tcPr>
            <w:tcW w:w="271" w:type="pct"/>
          </w:tcPr>
          <w:p w:rsidR="00B02DE5" w:rsidRPr="00164D42" w:rsidRDefault="00B02DE5" w:rsidP="00B02DE5">
            <w:pPr>
              <w:jc w:val="both"/>
              <w:rPr>
                <w:rFonts w:eastAsia="Calibri"/>
                <w:sz w:val="20"/>
              </w:rPr>
            </w:pPr>
          </w:p>
        </w:tc>
        <w:tc>
          <w:tcPr>
            <w:tcW w:w="2332" w:type="pct"/>
          </w:tcPr>
          <w:p w:rsidR="00B02DE5" w:rsidRPr="00164D42" w:rsidRDefault="00B02DE5" w:rsidP="00B02DE5">
            <w:pPr>
              <w:jc w:val="both"/>
              <w:rPr>
                <w:rFonts w:eastAsia="Calibri"/>
                <w:sz w:val="20"/>
              </w:rPr>
            </w:pPr>
            <w:r w:rsidRPr="00164D42">
              <w:rPr>
                <w:rFonts w:eastAsia="Calibri"/>
                <w:sz w:val="20"/>
              </w:rPr>
              <w:t>Respondent convicted of first-degree murder and sentenced to mandatory term of life imprisonment with no eligibility for parole for 25 years.</w:t>
            </w:r>
          </w:p>
          <w:p w:rsidR="00B02DE5" w:rsidRPr="00164D42" w:rsidRDefault="00B02DE5" w:rsidP="00B02DE5">
            <w:pPr>
              <w:jc w:val="both"/>
              <w:rPr>
                <w:rFonts w:eastAsia="Calibri"/>
                <w:sz w:val="20"/>
              </w:rPr>
            </w:pPr>
          </w:p>
        </w:tc>
      </w:tr>
      <w:tr w:rsidR="00B02DE5" w:rsidRPr="00164D42" w:rsidTr="00B02DE5">
        <w:tblPrEx>
          <w:tblCellMar>
            <w:bottom w:w="0" w:type="dxa"/>
          </w:tblCellMar>
        </w:tblPrEx>
        <w:tc>
          <w:tcPr>
            <w:tcW w:w="2397" w:type="pct"/>
          </w:tcPr>
          <w:p w:rsidR="00B02DE5" w:rsidRPr="00164D42" w:rsidRDefault="00B02DE5" w:rsidP="00B02DE5">
            <w:pPr>
              <w:jc w:val="both"/>
              <w:rPr>
                <w:rFonts w:eastAsia="Calibri"/>
                <w:sz w:val="20"/>
              </w:rPr>
            </w:pPr>
            <w:r w:rsidRPr="00164D42">
              <w:rPr>
                <w:rFonts w:eastAsia="Calibri"/>
                <w:sz w:val="20"/>
              </w:rPr>
              <w:t>July 31, 2014</w:t>
            </w:r>
          </w:p>
          <w:p w:rsidR="00B02DE5" w:rsidRPr="00164D42" w:rsidRDefault="00B02DE5" w:rsidP="00B02DE5">
            <w:pPr>
              <w:jc w:val="both"/>
              <w:rPr>
                <w:rFonts w:eastAsia="Calibri"/>
                <w:sz w:val="20"/>
              </w:rPr>
            </w:pPr>
            <w:r w:rsidRPr="00164D42">
              <w:rPr>
                <w:rFonts w:eastAsia="Calibri"/>
                <w:sz w:val="20"/>
              </w:rPr>
              <w:t>Court of Appeal for Ontario</w:t>
            </w:r>
          </w:p>
          <w:p w:rsidR="00B02DE5" w:rsidRPr="00164D42" w:rsidRDefault="00B02DE5" w:rsidP="00B02DE5">
            <w:pPr>
              <w:jc w:val="both"/>
              <w:rPr>
                <w:rFonts w:eastAsia="Calibri"/>
                <w:sz w:val="20"/>
              </w:rPr>
            </w:pPr>
            <w:r w:rsidRPr="00164D42">
              <w:rPr>
                <w:rFonts w:eastAsia="Calibri"/>
                <w:sz w:val="20"/>
              </w:rPr>
              <w:t>(Laskin, Goudge and Watt JJ.A.)</w:t>
            </w:r>
          </w:p>
          <w:p w:rsidR="00B02DE5" w:rsidRPr="00164D42" w:rsidRDefault="00E4461B" w:rsidP="00B02DE5">
            <w:pPr>
              <w:jc w:val="both"/>
              <w:rPr>
                <w:rFonts w:eastAsia="Calibri"/>
                <w:sz w:val="20"/>
              </w:rPr>
            </w:pPr>
            <w:hyperlink r:id="rId92" w:history="1">
              <w:r w:rsidR="00B02DE5" w:rsidRPr="00164D42">
                <w:rPr>
                  <w:rFonts w:eastAsia="Calibri"/>
                  <w:color w:val="0000FF"/>
                  <w:sz w:val="20"/>
                  <w:u w:val="single"/>
                </w:rPr>
                <w:t>2014 ONCA 569</w:t>
              </w:r>
            </w:hyperlink>
          </w:p>
          <w:p w:rsidR="00B02DE5" w:rsidRPr="00164D42" w:rsidRDefault="00B02DE5" w:rsidP="00B02DE5">
            <w:pPr>
              <w:jc w:val="both"/>
              <w:rPr>
                <w:rFonts w:eastAsia="Calibri"/>
                <w:sz w:val="20"/>
              </w:rPr>
            </w:pPr>
          </w:p>
        </w:tc>
        <w:tc>
          <w:tcPr>
            <w:tcW w:w="271" w:type="pct"/>
          </w:tcPr>
          <w:p w:rsidR="00B02DE5" w:rsidRPr="00164D42" w:rsidRDefault="00B02DE5" w:rsidP="00B02DE5">
            <w:pPr>
              <w:jc w:val="both"/>
              <w:rPr>
                <w:rFonts w:eastAsia="Calibri"/>
                <w:sz w:val="20"/>
              </w:rPr>
            </w:pPr>
          </w:p>
        </w:tc>
        <w:tc>
          <w:tcPr>
            <w:tcW w:w="2332" w:type="pct"/>
          </w:tcPr>
          <w:p w:rsidR="00B02DE5" w:rsidRPr="00164D42" w:rsidRDefault="00B02DE5" w:rsidP="00B02DE5">
            <w:pPr>
              <w:jc w:val="both"/>
              <w:rPr>
                <w:rFonts w:eastAsia="Calibri"/>
                <w:sz w:val="20"/>
              </w:rPr>
            </w:pPr>
            <w:r w:rsidRPr="00164D42">
              <w:rPr>
                <w:rFonts w:eastAsia="Calibri"/>
                <w:sz w:val="20"/>
              </w:rPr>
              <w:t>Appeal against conviction allowed, conviction for first-degree murder set aside and new trial ordered.</w:t>
            </w:r>
          </w:p>
          <w:p w:rsidR="00B02DE5" w:rsidRPr="00164D42" w:rsidRDefault="00B02DE5" w:rsidP="00B02DE5">
            <w:pPr>
              <w:jc w:val="both"/>
              <w:rPr>
                <w:rFonts w:eastAsia="Calibri"/>
                <w:sz w:val="20"/>
              </w:rPr>
            </w:pPr>
          </w:p>
        </w:tc>
      </w:tr>
    </w:tbl>
    <w:p w:rsidR="005174EE" w:rsidRDefault="005174EE">
      <w:r>
        <w:br w:type="page"/>
      </w:r>
    </w:p>
    <w:tbl>
      <w:tblPr>
        <w:tblW w:w="4936" w:type="pct"/>
        <w:tblLayout w:type="fixed"/>
        <w:tblCellMar>
          <w:left w:w="0" w:type="dxa"/>
          <w:right w:w="0" w:type="dxa"/>
        </w:tblCellMar>
        <w:tblLook w:val="04A0" w:firstRow="1" w:lastRow="0" w:firstColumn="1" w:lastColumn="0" w:noHBand="0" w:noVBand="1"/>
      </w:tblPr>
      <w:tblGrid>
        <w:gridCol w:w="4552"/>
        <w:gridCol w:w="515"/>
        <w:gridCol w:w="4429"/>
      </w:tblGrid>
      <w:tr w:rsidR="00B02DE5" w:rsidRPr="00164D42" w:rsidTr="005174EE">
        <w:trPr>
          <w:cantSplit/>
        </w:trPr>
        <w:tc>
          <w:tcPr>
            <w:tcW w:w="2397" w:type="pct"/>
          </w:tcPr>
          <w:p w:rsidR="00B02DE5" w:rsidRPr="00164D42" w:rsidRDefault="00B02DE5" w:rsidP="00B02DE5">
            <w:pPr>
              <w:jc w:val="both"/>
              <w:rPr>
                <w:rFonts w:eastAsia="Calibri"/>
                <w:sz w:val="20"/>
              </w:rPr>
            </w:pPr>
            <w:r w:rsidRPr="00164D42">
              <w:rPr>
                <w:rFonts w:eastAsia="Calibri"/>
                <w:sz w:val="20"/>
              </w:rPr>
              <w:lastRenderedPageBreak/>
              <w:t>September 26, 2014</w:t>
            </w:r>
          </w:p>
          <w:p w:rsidR="00B02DE5" w:rsidRPr="00164D42" w:rsidRDefault="00B02DE5" w:rsidP="00B02DE5">
            <w:pPr>
              <w:jc w:val="both"/>
              <w:rPr>
                <w:rFonts w:eastAsia="Calibri"/>
                <w:sz w:val="20"/>
              </w:rPr>
            </w:pPr>
            <w:r w:rsidRPr="00164D42">
              <w:rPr>
                <w:rFonts w:eastAsia="Calibri"/>
                <w:sz w:val="20"/>
              </w:rPr>
              <w:t>Supreme Court of Canada</w:t>
            </w:r>
          </w:p>
        </w:tc>
        <w:tc>
          <w:tcPr>
            <w:tcW w:w="271" w:type="pct"/>
          </w:tcPr>
          <w:p w:rsidR="00B02DE5" w:rsidRPr="00164D42" w:rsidRDefault="00B02DE5" w:rsidP="00B02DE5">
            <w:pPr>
              <w:jc w:val="both"/>
              <w:rPr>
                <w:rFonts w:eastAsia="Calibri"/>
                <w:sz w:val="20"/>
              </w:rPr>
            </w:pPr>
          </w:p>
        </w:tc>
        <w:tc>
          <w:tcPr>
            <w:tcW w:w="2332" w:type="pct"/>
          </w:tcPr>
          <w:p w:rsidR="00B02DE5" w:rsidRPr="00164D42" w:rsidRDefault="00B02DE5" w:rsidP="00B02DE5">
            <w:pPr>
              <w:jc w:val="both"/>
              <w:rPr>
                <w:rFonts w:eastAsia="Calibri"/>
                <w:sz w:val="20"/>
              </w:rPr>
            </w:pPr>
            <w:r w:rsidRPr="00164D42">
              <w:rPr>
                <w:rFonts w:eastAsia="Calibri"/>
                <w:sz w:val="20"/>
              </w:rPr>
              <w:t>Application for leave to appeal filed.</w:t>
            </w:r>
          </w:p>
          <w:p w:rsidR="00B02DE5" w:rsidRPr="00164D42" w:rsidRDefault="00B02DE5"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62"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B02DE5" w:rsidRPr="00002FFB" w:rsidTr="00B02DE5">
        <w:trPr>
          <w:gridAfter w:val="1"/>
          <w:wAfter w:w="48" w:type="pct"/>
        </w:trPr>
        <w:tc>
          <w:tcPr>
            <w:tcW w:w="4952"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Droit criminel — Avocat de la défense — Profession juridique — Déclaration d’inhabilité ou renvoi — L’accusé a été accusé conjointement avec une autre personne de meurtre au premier degré — Au procès, l’avocat de l’accusé a été forcé de se retirer du dossier — L’accusé a fait diligence pour tenter de se trouver un nouvel avocat, mais personne n’était disposé à le représenter en cours de procès — Un </w:t>
            </w:r>
            <w:r w:rsidRPr="00164D42">
              <w:rPr>
                <w:rFonts w:eastAsia="Calibri"/>
                <w:i/>
                <w:sz w:val="20"/>
                <w:lang w:val="fr-CA"/>
              </w:rPr>
              <w:t>amicus</w:t>
            </w:r>
            <w:r w:rsidRPr="00164D42">
              <w:rPr>
                <w:rFonts w:eastAsia="Calibri"/>
                <w:sz w:val="20"/>
                <w:lang w:val="fr-CA"/>
              </w:rPr>
              <w:t xml:space="preserve"> a été nommé — Le juge a-t-il eu tort de refuser la séparation? — Le juge a-t-il eu tort de conclure que l’accusé était à blâmer pour le retrait obligatoire de son avocat? — Le client est-il à blâmer par imputation pour le retrait obligatoire de l’avocat du dossier pour des raisons d’ordre déontologique?</w:t>
            </w:r>
          </w:p>
        </w:tc>
      </w:tr>
      <w:tr w:rsidR="00B02DE5" w:rsidRPr="00002FFB" w:rsidTr="00B02DE5">
        <w:trPr>
          <w:gridAfter w:val="1"/>
          <w:wAfter w:w="48" w:type="pct"/>
        </w:trPr>
        <w:tc>
          <w:tcPr>
            <w:tcW w:w="4952" w:type="pct"/>
            <w:gridSpan w:val="3"/>
          </w:tcPr>
          <w:p w:rsidR="00B02DE5" w:rsidRPr="00164D42" w:rsidRDefault="00B02DE5" w:rsidP="00B02DE5">
            <w:pPr>
              <w:jc w:val="both"/>
              <w:rPr>
                <w:rFonts w:eastAsia="Calibri"/>
                <w:sz w:val="20"/>
                <w:lang w:val="fr-CA"/>
              </w:rPr>
            </w:pPr>
          </w:p>
        </w:tc>
      </w:tr>
      <w:tr w:rsidR="00B02DE5" w:rsidRPr="00002FFB" w:rsidTr="00B02DE5">
        <w:trPr>
          <w:gridAfter w:val="1"/>
          <w:wAfter w:w="48" w:type="pct"/>
        </w:trPr>
        <w:tc>
          <w:tcPr>
            <w:tcW w:w="4952"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L’intimé, M. Al-Enzi, a été accusé conjointement avec M. Kazem du meurtre de M. Zalal.  Un troisième accusé a été condamné comme complice du meurtre après le fait et il a livré un témoignage qui a impliqué M. Al-Enzi comme le planificateur et le tireur et M. Kazem comme le conducteur de la voiture dans laquelle le meurtre a eu lieu.  Monsieur Al-Enzi a impliqué M. Kazem et a affirmé que lui-même se trouvait à l’Exposition avec son épouse, puis dans une boîte de nuit, lorsque le meurtre a eu lieu.  À l’instar du ministère public, M. Kazem a tenté de convaincre le jury que le troisième accusé disait la vérité.  Au cours du procès, l’avocat de M. Al-Enzi a été forcé de se retirer du dossier.  Il a clairement dit que ce n’était pas la faute de M. Al-Enzi, quoique le juge a inféré que M. Al-Enzi était directement ou indirectement responsable.  Des recherches poussées à l’échelle de l’Ontario pour trouver un nouvel avocat pour M. Al-Enzi n’ont pas porté fruit, puisqu’aucun avocat d’expérience n’était disposé à prendre la relève en cours de procès.  Monsieur Al-Enzi a néanmoins trouvé un avocat qui était disposé à agir, mais seulement si le procès était instruit de nouveau.  La demande de M. Al-Enzi pour que son procès soit séparé de celui de M. Kazem a été rejetée.  Un </w:t>
            </w:r>
            <w:r w:rsidRPr="00164D42">
              <w:rPr>
                <w:rFonts w:eastAsia="Calibri"/>
                <w:i/>
                <w:sz w:val="20"/>
                <w:lang w:val="fr-CA"/>
              </w:rPr>
              <w:t>amicus</w:t>
            </w:r>
            <w:r w:rsidRPr="00164D42">
              <w:rPr>
                <w:rFonts w:eastAsia="Calibri"/>
                <w:sz w:val="20"/>
                <w:lang w:val="fr-CA"/>
              </w:rPr>
              <w:t xml:space="preserve"> a été nommé pour M. Al-Enzi.  Monsieur Al-Enzi a continué de revendiquer son droit à l’assistance d’un avocat, mais le juge du procès a conclu que son droit devait céder le pas au droit de son coaccusé et du ministère public à ce que le procès se poursuive devant le même juge. Monsieur Kazem a fini par être acquitté et M. Al-Enzi a été déclaré coupable.  Toutefois, l’appel de M. Al-Enzi a été accueilli, sa condamnation pour meurtre au premier degré a été annulée et un nouveau procès a été ordonné.</w:t>
            </w:r>
          </w:p>
          <w:p w:rsidR="00B02DE5" w:rsidRPr="00164D42" w:rsidRDefault="00B02DE5" w:rsidP="00B02DE5">
            <w:pPr>
              <w:jc w:val="both"/>
              <w:rPr>
                <w:rFonts w:eastAsia="Calibri"/>
                <w:sz w:val="20"/>
                <w:lang w:val="fr-CA"/>
              </w:rPr>
            </w:pPr>
          </w:p>
        </w:tc>
      </w:tr>
      <w:tr w:rsidR="00B02DE5" w:rsidRPr="00002FFB" w:rsidTr="00B02DE5">
        <w:tblPrEx>
          <w:tblCellMar>
            <w:bottom w:w="0" w:type="dxa"/>
          </w:tblCellMar>
        </w:tblPrEx>
        <w:tc>
          <w:tcPr>
            <w:tcW w:w="2367" w:type="pct"/>
          </w:tcPr>
          <w:p w:rsidR="00B02DE5" w:rsidRPr="00164D42" w:rsidRDefault="00B02DE5" w:rsidP="00B02DE5">
            <w:pPr>
              <w:jc w:val="both"/>
              <w:rPr>
                <w:rFonts w:eastAsia="Calibri"/>
                <w:sz w:val="20"/>
                <w:lang w:val="fr-CA"/>
              </w:rPr>
            </w:pPr>
            <w:r w:rsidRPr="00164D42">
              <w:rPr>
                <w:rFonts w:eastAsia="Calibri"/>
                <w:sz w:val="20"/>
                <w:lang w:val="fr-CA"/>
              </w:rPr>
              <w:t>26 septembre 2010</w:t>
            </w:r>
          </w:p>
          <w:p w:rsidR="00B02DE5" w:rsidRPr="00164D42" w:rsidRDefault="00B02DE5" w:rsidP="00B02DE5">
            <w:pPr>
              <w:jc w:val="both"/>
              <w:rPr>
                <w:rFonts w:eastAsia="Calibri"/>
                <w:sz w:val="20"/>
                <w:lang w:val="fr-CA"/>
              </w:rPr>
            </w:pPr>
            <w:r w:rsidRPr="00164D42">
              <w:rPr>
                <w:rFonts w:eastAsia="Calibri"/>
                <w:sz w:val="20"/>
                <w:lang w:val="fr-CA"/>
              </w:rPr>
              <w:t>Cour supérieure de justice de l’Ontario</w:t>
            </w:r>
          </w:p>
          <w:p w:rsidR="00B02DE5" w:rsidRPr="00164D42" w:rsidRDefault="00B02DE5" w:rsidP="00B02DE5">
            <w:pPr>
              <w:jc w:val="both"/>
              <w:rPr>
                <w:rFonts w:eastAsia="Calibri"/>
                <w:sz w:val="20"/>
                <w:lang w:val="fr-CA"/>
              </w:rPr>
            </w:pPr>
            <w:r w:rsidRPr="00164D42">
              <w:rPr>
                <w:rFonts w:eastAsia="Calibri"/>
                <w:sz w:val="20"/>
                <w:lang w:val="fr-CA"/>
              </w:rPr>
              <w:t>(Juge Kealey)</w:t>
            </w:r>
          </w:p>
          <w:p w:rsidR="00B02DE5" w:rsidRPr="00164D42" w:rsidRDefault="00B02DE5" w:rsidP="00B02DE5">
            <w:pPr>
              <w:jc w:val="both"/>
              <w:rPr>
                <w:rFonts w:eastAsia="Calibri"/>
                <w:sz w:val="20"/>
                <w:lang w:val="fr-CA"/>
              </w:rPr>
            </w:pPr>
          </w:p>
        </w:tc>
        <w:tc>
          <w:tcPr>
            <w:tcW w:w="267" w:type="pct"/>
          </w:tcPr>
          <w:p w:rsidR="00B02DE5" w:rsidRPr="00164D42" w:rsidRDefault="00B02DE5" w:rsidP="00B02DE5">
            <w:pPr>
              <w:jc w:val="both"/>
              <w:rPr>
                <w:rFonts w:eastAsia="Calibri"/>
                <w:sz w:val="20"/>
                <w:lang w:val="fr-CA"/>
              </w:rPr>
            </w:pPr>
          </w:p>
        </w:tc>
        <w:tc>
          <w:tcPr>
            <w:tcW w:w="2366" w:type="pct"/>
            <w:gridSpan w:val="2"/>
          </w:tcPr>
          <w:p w:rsidR="00B02DE5" w:rsidRPr="00164D42" w:rsidRDefault="00B02DE5" w:rsidP="00B02DE5">
            <w:pPr>
              <w:jc w:val="both"/>
              <w:rPr>
                <w:rFonts w:eastAsia="Calibri"/>
                <w:sz w:val="20"/>
                <w:lang w:val="fr-CA"/>
              </w:rPr>
            </w:pPr>
            <w:r w:rsidRPr="00164D42">
              <w:rPr>
                <w:rFonts w:eastAsia="Calibri"/>
                <w:sz w:val="20"/>
                <w:lang w:val="fr-CA"/>
              </w:rPr>
              <w:t>Intimé déclaré coupable de meurtre au premier degré et condamné à une peine obligatoire d’emprisonnement à perpétuité, sans possibilité de libération conditionnelle avant 25 ans.</w:t>
            </w:r>
          </w:p>
          <w:p w:rsidR="00B02DE5" w:rsidRPr="00164D42" w:rsidRDefault="00B02DE5" w:rsidP="00B02DE5">
            <w:pPr>
              <w:jc w:val="both"/>
              <w:rPr>
                <w:rFonts w:eastAsia="Calibri"/>
                <w:sz w:val="20"/>
                <w:lang w:val="fr-CA"/>
              </w:rPr>
            </w:pPr>
          </w:p>
        </w:tc>
      </w:tr>
      <w:tr w:rsidR="00B02DE5" w:rsidRPr="00002FFB" w:rsidTr="00B02DE5">
        <w:tblPrEx>
          <w:tblCellMar>
            <w:bottom w:w="0" w:type="dxa"/>
          </w:tblCellMar>
        </w:tblPrEx>
        <w:tc>
          <w:tcPr>
            <w:tcW w:w="2367" w:type="pct"/>
          </w:tcPr>
          <w:p w:rsidR="00B02DE5" w:rsidRPr="00164D42" w:rsidRDefault="00B02DE5" w:rsidP="00B02DE5">
            <w:pPr>
              <w:jc w:val="both"/>
              <w:rPr>
                <w:rFonts w:eastAsia="Calibri"/>
                <w:sz w:val="20"/>
                <w:lang w:val="fr-CA"/>
              </w:rPr>
            </w:pPr>
            <w:r w:rsidRPr="00164D42">
              <w:rPr>
                <w:rFonts w:eastAsia="Calibri"/>
                <w:sz w:val="20"/>
                <w:lang w:val="fr-CA"/>
              </w:rPr>
              <w:t>31 juillet 2014</w:t>
            </w:r>
          </w:p>
          <w:p w:rsidR="00B02DE5" w:rsidRPr="00164D42" w:rsidRDefault="00B02DE5" w:rsidP="00B02DE5">
            <w:pPr>
              <w:jc w:val="both"/>
              <w:rPr>
                <w:rFonts w:eastAsia="Calibri"/>
                <w:sz w:val="20"/>
                <w:lang w:val="fr-CA"/>
              </w:rPr>
            </w:pPr>
            <w:r w:rsidRPr="00164D42">
              <w:rPr>
                <w:rFonts w:eastAsia="Calibri"/>
                <w:sz w:val="20"/>
                <w:lang w:val="fr-CA"/>
              </w:rPr>
              <w:t>Cour d’appel de l’Ontario</w:t>
            </w:r>
          </w:p>
          <w:p w:rsidR="00B02DE5" w:rsidRPr="00164D42" w:rsidRDefault="00B02DE5" w:rsidP="00B02DE5">
            <w:pPr>
              <w:jc w:val="both"/>
              <w:rPr>
                <w:rFonts w:eastAsia="Calibri"/>
                <w:sz w:val="20"/>
                <w:lang w:val="fr-CA"/>
              </w:rPr>
            </w:pPr>
            <w:r w:rsidRPr="00164D42">
              <w:rPr>
                <w:rFonts w:eastAsia="Calibri"/>
                <w:sz w:val="20"/>
                <w:lang w:val="fr-CA"/>
              </w:rPr>
              <w:t>(Juges Laskin, Goudge et Watt)</w:t>
            </w:r>
          </w:p>
          <w:p w:rsidR="00B02DE5" w:rsidRPr="00164D42" w:rsidRDefault="00E4461B" w:rsidP="00B02DE5">
            <w:pPr>
              <w:jc w:val="both"/>
              <w:rPr>
                <w:rFonts w:eastAsia="Calibri"/>
                <w:sz w:val="20"/>
                <w:lang w:val="fr-CA"/>
              </w:rPr>
            </w:pPr>
            <w:hyperlink r:id="rId93" w:history="1">
              <w:r w:rsidR="00B02DE5" w:rsidRPr="00164D42">
                <w:rPr>
                  <w:rFonts w:eastAsia="Calibri"/>
                  <w:color w:val="0000FF"/>
                  <w:sz w:val="20"/>
                  <w:u w:val="single"/>
                  <w:lang w:val="fr-CA"/>
                </w:rPr>
                <w:t>2014 ONCA 569</w:t>
              </w:r>
            </w:hyperlink>
          </w:p>
          <w:p w:rsidR="00B02DE5" w:rsidRPr="00164D42" w:rsidRDefault="00B02DE5" w:rsidP="00B02DE5">
            <w:pPr>
              <w:jc w:val="both"/>
              <w:rPr>
                <w:rFonts w:eastAsia="Calibri"/>
                <w:sz w:val="20"/>
                <w:lang w:val="fr-CA"/>
              </w:rPr>
            </w:pPr>
          </w:p>
        </w:tc>
        <w:tc>
          <w:tcPr>
            <w:tcW w:w="267" w:type="pct"/>
          </w:tcPr>
          <w:p w:rsidR="00B02DE5" w:rsidRPr="00164D42" w:rsidRDefault="00B02DE5" w:rsidP="00B02DE5">
            <w:pPr>
              <w:jc w:val="both"/>
              <w:rPr>
                <w:rFonts w:eastAsia="Calibri"/>
                <w:sz w:val="20"/>
                <w:lang w:val="fr-CA"/>
              </w:rPr>
            </w:pPr>
          </w:p>
        </w:tc>
        <w:tc>
          <w:tcPr>
            <w:tcW w:w="2366" w:type="pct"/>
            <w:gridSpan w:val="2"/>
          </w:tcPr>
          <w:p w:rsidR="00B02DE5" w:rsidRPr="00164D42" w:rsidRDefault="00B02DE5" w:rsidP="00B02DE5">
            <w:pPr>
              <w:jc w:val="both"/>
              <w:rPr>
                <w:rFonts w:eastAsia="Calibri"/>
                <w:sz w:val="20"/>
                <w:lang w:val="fr-CA"/>
              </w:rPr>
            </w:pPr>
            <w:r w:rsidRPr="00164D42">
              <w:rPr>
                <w:rFonts w:eastAsia="Calibri"/>
                <w:sz w:val="20"/>
                <w:lang w:val="fr-CA"/>
              </w:rPr>
              <w:t>Appel de la déclaration de culpabilité, accueilli; déclaration de culpabilité pour meurtre, annulée et nouveau procès ordonné.</w:t>
            </w:r>
          </w:p>
          <w:p w:rsidR="00B02DE5" w:rsidRPr="00164D42" w:rsidRDefault="00B02DE5" w:rsidP="00B02DE5">
            <w:pPr>
              <w:jc w:val="both"/>
              <w:rPr>
                <w:rFonts w:eastAsia="Calibri"/>
                <w:sz w:val="20"/>
                <w:lang w:val="fr-CA"/>
              </w:rPr>
            </w:pPr>
          </w:p>
        </w:tc>
      </w:tr>
      <w:tr w:rsidR="00B02DE5" w:rsidRPr="00164D42" w:rsidTr="00B02DE5">
        <w:tblPrEx>
          <w:tblCellMar>
            <w:bottom w:w="0" w:type="dxa"/>
          </w:tblCellMar>
        </w:tblPrEx>
        <w:tc>
          <w:tcPr>
            <w:tcW w:w="2367" w:type="pct"/>
          </w:tcPr>
          <w:p w:rsidR="00B02DE5" w:rsidRPr="00164D42" w:rsidRDefault="00B02DE5" w:rsidP="00B02DE5">
            <w:pPr>
              <w:jc w:val="both"/>
              <w:rPr>
                <w:rFonts w:eastAsia="Calibri"/>
                <w:sz w:val="20"/>
                <w:lang w:val="fr-CA"/>
              </w:rPr>
            </w:pPr>
            <w:r w:rsidRPr="00164D42">
              <w:rPr>
                <w:rFonts w:eastAsia="Calibri"/>
                <w:sz w:val="20"/>
                <w:lang w:val="fr-CA"/>
              </w:rPr>
              <w:t>26 septembre 2014</w:t>
            </w:r>
          </w:p>
          <w:p w:rsidR="00B02DE5" w:rsidRPr="00164D42" w:rsidRDefault="00B02DE5" w:rsidP="00B02DE5">
            <w:pPr>
              <w:jc w:val="both"/>
              <w:rPr>
                <w:rFonts w:eastAsia="Calibri"/>
                <w:sz w:val="20"/>
                <w:lang w:val="fr-CA"/>
              </w:rPr>
            </w:pPr>
            <w:r w:rsidRPr="00164D42">
              <w:rPr>
                <w:rFonts w:eastAsia="Calibri"/>
                <w:sz w:val="20"/>
                <w:lang w:val="fr-CA"/>
              </w:rPr>
              <w:t>Cour suprême du Canada</w:t>
            </w:r>
          </w:p>
        </w:tc>
        <w:tc>
          <w:tcPr>
            <w:tcW w:w="267" w:type="pct"/>
          </w:tcPr>
          <w:p w:rsidR="00B02DE5" w:rsidRPr="00164D42" w:rsidRDefault="00B02DE5" w:rsidP="00B02DE5">
            <w:pPr>
              <w:jc w:val="both"/>
              <w:rPr>
                <w:rFonts w:eastAsia="Calibri"/>
                <w:sz w:val="20"/>
                <w:lang w:val="fr-CA"/>
              </w:rPr>
            </w:pPr>
          </w:p>
        </w:tc>
        <w:tc>
          <w:tcPr>
            <w:tcW w:w="2366" w:type="pct"/>
            <w:gridSpan w:val="2"/>
          </w:tcPr>
          <w:p w:rsidR="00B02DE5" w:rsidRPr="00164D42" w:rsidRDefault="00B02DE5" w:rsidP="00B02DE5">
            <w:pPr>
              <w:jc w:val="both"/>
              <w:rPr>
                <w:rFonts w:eastAsia="Calibri"/>
                <w:sz w:val="20"/>
                <w:lang w:val="fr-CA"/>
              </w:rPr>
            </w:pPr>
            <w:r w:rsidRPr="00164D42">
              <w:rPr>
                <w:rFonts w:eastAsia="Calibri"/>
                <w:sz w:val="20"/>
                <w:lang w:val="fr-CA"/>
              </w:rPr>
              <w:t>Demande d’autorisation d’appel, déposée.</w:t>
            </w: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63" style="width:2in;height:1pt" o:hrpct="0" o:hralign="center" o:hrstd="t" o:hrnoshade="t" o:hr="t" fillcolor="black [3213]" stroked="f"/>
        </w:pict>
      </w:r>
    </w:p>
    <w:p w:rsidR="00BC2489" w:rsidRDefault="00BC2489" w:rsidP="00BC2489">
      <w:pPr>
        <w:rPr>
          <w:sz w:val="20"/>
          <w:szCs w:val="20"/>
        </w:rPr>
      </w:pPr>
    </w:p>
    <w:tbl>
      <w:tblPr>
        <w:tblStyle w:val="TableGrid1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4EE" w:rsidRPr="005174EE" w:rsidTr="005174EE">
        <w:trPr>
          <w:cantSplit/>
        </w:trPr>
        <w:tc>
          <w:tcPr>
            <w:tcW w:w="1458" w:type="dxa"/>
          </w:tcPr>
          <w:p w:rsidR="005174EE" w:rsidRPr="005174EE" w:rsidRDefault="005174EE" w:rsidP="005174EE">
            <w:pPr>
              <w:rPr>
                <w:sz w:val="20"/>
              </w:rPr>
            </w:pPr>
            <w:r w:rsidRPr="005174EE">
              <w:rPr>
                <w:b/>
                <w:sz w:val="20"/>
                <w:lang w:val="fr-CA"/>
              </w:rPr>
              <w:t>36094</w:t>
            </w:r>
          </w:p>
          <w:p w:rsidR="005174EE" w:rsidRPr="005174EE" w:rsidRDefault="005174EE" w:rsidP="005174EE">
            <w:pPr>
              <w:rPr>
                <w:b/>
                <w:sz w:val="20"/>
                <w:lang w:val="fr-CA"/>
              </w:rPr>
            </w:pPr>
          </w:p>
        </w:tc>
        <w:tc>
          <w:tcPr>
            <w:tcW w:w="8118" w:type="dxa"/>
          </w:tcPr>
          <w:p w:rsidR="005174EE" w:rsidRPr="005174EE" w:rsidRDefault="005174EE" w:rsidP="005174EE">
            <w:pPr>
              <w:jc w:val="both"/>
              <w:rPr>
                <w:sz w:val="20"/>
              </w:rPr>
            </w:pPr>
            <w:r w:rsidRPr="005174EE">
              <w:rPr>
                <w:b/>
                <w:sz w:val="20"/>
                <w:u w:val="single"/>
              </w:rPr>
              <w:t xml:space="preserve">Brandon William Lane a.k.a </w:t>
            </w:r>
            <w:r>
              <w:rPr>
                <w:b/>
                <w:sz w:val="20"/>
                <w:u w:val="single"/>
              </w:rPr>
              <w:t>“</w:t>
            </w:r>
            <w:r w:rsidRPr="005174EE">
              <w:rPr>
                <w:b/>
                <w:sz w:val="20"/>
                <w:u w:val="single"/>
              </w:rPr>
              <w:t>BossHiaka</w:t>
            </w:r>
            <w:r>
              <w:rPr>
                <w:b/>
                <w:sz w:val="20"/>
                <w:u w:val="single"/>
              </w:rPr>
              <w:t xml:space="preserve">” </w:t>
            </w:r>
            <w:r w:rsidRPr="005174EE">
              <w:rPr>
                <w:b/>
                <w:sz w:val="20"/>
                <w:u w:val="single"/>
              </w:rPr>
              <w:t>v. Attorney General of Canada on behalf of the United States of America</w:t>
            </w:r>
            <w:r w:rsidRPr="005174EE">
              <w:rPr>
                <w:sz w:val="20"/>
              </w:rPr>
              <w:t xml:space="preserve"> (Ont.) (Criminal) (By Leave)</w:t>
            </w:r>
          </w:p>
          <w:p w:rsidR="005174EE" w:rsidRPr="005174EE" w:rsidRDefault="005174EE" w:rsidP="005174EE">
            <w:pPr>
              <w:jc w:val="both"/>
              <w:rPr>
                <w:sz w:val="20"/>
              </w:rPr>
            </w:pPr>
          </w:p>
        </w:tc>
      </w:tr>
      <w:tr w:rsidR="005174EE" w:rsidRPr="005174EE" w:rsidTr="005174EE">
        <w:trPr>
          <w:cantSplit/>
        </w:trPr>
        <w:tc>
          <w:tcPr>
            <w:tcW w:w="1458" w:type="dxa"/>
          </w:tcPr>
          <w:p w:rsidR="005174EE" w:rsidRPr="005174EE" w:rsidRDefault="005174EE" w:rsidP="005174EE">
            <w:pPr>
              <w:rPr>
                <w:sz w:val="20"/>
              </w:rPr>
            </w:pPr>
            <w:r w:rsidRPr="005174EE">
              <w:rPr>
                <w:sz w:val="20"/>
              </w:rPr>
              <w:t>Coram :</w:t>
            </w:r>
          </w:p>
        </w:tc>
        <w:tc>
          <w:tcPr>
            <w:tcW w:w="8118" w:type="dxa"/>
          </w:tcPr>
          <w:p w:rsidR="005174EE" w:rsidRPr="005174EE" w:rsidRDefault="005174EE" w:rsidP="005174EE">
            <w:pPr>
              <w:rPr>
                <w:sz w:val="20"/>
              </w:rPr>
            </w:pPr>
            <w:r w:rsidRPr="005174EE">
              <w:rPr>
                <w:sz w:val="20"/>
                <w:u w:val="single"/>
              </w:rPr>
              <w:t>Abella, Rothstein and Moldaver JJ.</w:t>
            </w:r>
          </w:p>
          <w:p w:rsidR="005174EE" w:rsidRPr="005174EE" w:rsidRDefault="005174EE" w:rsidP="005174EE">
            <w:pPr>
              <w:rPr>
                <w:sz w:val="20"/>
                <w:u w:val="single"/>
              </w:rPr>
            </w:pPr>
          </w:p>
        </w:tc>
      </w:tr>
      <w:tr w:rsidR="005174EE" w:rsidRPr="00002FFB" w:rsidTr="005174EE">
        <w:trPr>
          <w:cantSplit/>
        </w:trPr>
        <w:tc>
          <w:tcPr>
            <w:tcW w:w="9576" w:type="dxa"/>
            <w:gridSpan w:val="2"/>
          </w:tcPr>
          <w:p w:rsidR="005174EE" w:rsidRPr="005174EE" w:rsidRDefault="005174EE" w:rsidP="005174EE">
            <w:pPr>
              <w:ind w:firstLine="720"/>
              <w:jc w:val="both"/>
              <w:rPr>
                <w:sz w:val="20"/>
              </w:rPr>
            </w:pPr>
            <w:r w:rsidRPr="005174EE">
              <w:rPr>
                <w:sz w:val="20"/>
              </w:rPr>
              <w:lastRenderedPageBreak/>
              <w:t>The application for leave to appeal from the judgment of the Court of Appeal for Ontario, Number C57814, 2014 ONCA 506, dated June 30, 2014, is dismissed without costs.</w:t>
            </w:r>
          </w:p>
          <w:p w:rsidR="005174EE" w:rsidRPr="005174EE" w:rsidRDefault="005174EE" w:rsidP="005174EE">
            <w:pPr>
              <w:jc w:val="both"/>
              <w:rPr>
                <w:sz w:val="20"/>
              </w:rPr>
            </w:pPr>
          </w:p>
          <w:p w:rsidR="005174EE" w:rsidRPr="005174EE" w:rsidRDefault="005174EE" w:rsidP="005174EE">
            <w:pPr>
              <w:ind w:firstLine="720"/>
              <w:jc w:val="both"/>
              <w:rPr>
                <w:sz w:val="20"/>
                <w:lang w:val="fr-CA"/>
              </w:rPr>
            </w:pPr>
            <w:r w:rsidRPr="005174EE">
              <w:rPr>
                <w:sz w:val="20"/>
                <w:lang w:val="fr-CA"/>
              </w:rPr>
              <w:t>La demande d’autorisation d’appel de l’arrêt de la Cour d’appel de l’Ontario, numéro C57814, 2014 ONCA 506, daté du 30 juin 2014, est rejetée sans dépens.</w:t>
            </w:r>
          </w:p>
        </w:tc>
      </w:tr>
    </w:tbl>
    <w:p w:rsidR="00BC2489" w:rsidRPr="005174EE" w:rsidRDefault="00BC2489" w:rsidP="00BC2489">
      <w:pPr>
        <w:rPr>
          <w:sz w:val="20"/>
          <w:szCs w:val="20"/>
          <w:lang w:val="fr-CA"/>
        </w:rPr>
      </w:pPr>
    </w:p>
    <w:p w:rsidR="00BC2489" w:rsidRPr="001B157C" w:rsidRDefault="00BC2489" w:rsidP="00BC2489">
      <w:pPr>
        <w:rPr>
          <w:sz w:val="20"/>
          <w:szCs w:val="20"/>
          <w:u w:val="single"/>
        </w:rPr>
      </w:pPr>
      <w:r w:rsidRPr="001B157C">
        <w:rPr>
          <w:sz w:val="20"/>
          <w:szCs w:val="20"/>
          <w:u w:val="single"/>
        </w:rPr>
        <w:t>CASE SUMMARY</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Criminal law – Extradition – Did the Court of Appeal err in finding that there was no nexus between the extradition proceeding and the concurrent proceeding under the </w:t>
            </w:r>
            <w:r w:rsidRPr="00164D42">
              <w:rPr>
                <w:rFonts w:eastAsia="Calibri"/>
                <w:i/>
                <w:sz w:val="20"/>
              </w:rPr>
              <w:t>Mutual Legal Assistance in Criminal Matters Act</w:t>
            </w:r>
            <w:r w:rsidRPr="00164D42">
              <w:rPr>
                <w:rFonts w:eastAsia="Calibri"/>
                <w:sz w:val="20"/>
              </w:rPr>
              <w:t xml:space="preserve"> (R.S.C. 1985, c. 30 (4</w:t>
            </w:r>
            <w:r w:rsidRPr="00164D42">
              <w:rPr>
                <w:rFonts w:eastAsia="Calibri"/>
                <w:sz w:val="20"/>
                <w:vertAlign w:val="superscript"/>
              </w:rPr>
              <w:t>th</w:t>
            </w:r>
            <w:r w:rsidRPr="00164D42">
              <w:rPr>
                <w:rFonts w:eastAsia="Calibri"/>
                <w:sz w:val="20"/>
              </w:rPr>
              <w:t xml:space="preserve"> Supp.), as amended)? – Did the Court of Appeal exceed the jurisdiction conferred upon it by section 55(1) of the </w:t>
            </w:r>
            <w:r w:rsidRPr="00164D42">
              <w:rPr>
                <w:rFonts w:eastAsia="Calibri"/>
                <w:i/>
                <w:sz w:val="20"/>
              </w:rPr>
              <w:t>Extradition Act</w:t>
            </w:r>
            <w:r w:rsidRPr="00164D42">
              <w:rPr>
                <w:rFonts w:eastAsia="Calibri"/>
                <w:sz w:val="20"/>
              </w:rPr>
              <w:t xml:space="preserve"> (S.C. 1999, c. 18, as amended)? – Did the Court of Appeal err in finding that the extradition judge should have given notice to Crown counsel and the opportunity to respond before making findings of misconduct against them? – Did the Court of Appeal err in setting aside the stay of proceedings ordered by the extradition judge?</w:t>
            </w:r>
          </w:p>
        </w:tc>
      </w:tr>
      <w:tr w:rsidR="00B02DE5" w:rsidRPr="00164D42" w:rsidTr="00B02DE5">
        <w:tc>
          <w:tcPr>
            <w:tcW w:w="5000" w:type="pct"/>
            <w:gridSpan w:val="3"/>
          </w:tcPr>
          <w:p w:rsidR="00B02DE5" w:rsidRPr="00164D42" w:rsidRDefault="00B02DE5" w:rsidP="00B02DE5">
            <w:pPr>
              <w:jc w:val="both"/>
              <w:rPr>
                <w:rFonts w:eastAsia="Calibri"/>
                <w:sz w:val="20"/>
              </w:rPr>
            </w:pPr>
          </w:p>
        </w:tc>
      </w:tr>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The Applicant is wanted in the United States to be prosecuted for serious child pornography charges:  engaging in a child exploitation enterprise, conspiracy to advertise the distribution of child pornography, and conspiracy to distribute child pornography.  He was arrested pursuant to an extradition provisional arrest warrant.  The materials in support of the application for the warrant made reference to an earlier search of the Applicant’s residence.  At his extradition hearing, he challenged the validity of the search warrant and sought to have the seized items excluded as evidence.  While this Charter motion was under reserve, the Attorney General of Ontario brought a successful mutual legal assistance treaty application pursuant to ss. 17 and 20 of the </w:t>
            </w:r>
            <w:r w:rsidRPr="00164D42">
              <w:rPr>
                <w:rFonts w:eastAsia="Calibri"/>
                <w:i/>
                <w:sz w:val="20"/>
              </w:rPr>
              <w:t xml:space="preserve">Mutual Legal Assistance in Criminal Matters </w:t>
            </w:r>
            <w:r w:rsidRPr="00164D42">
              <w:rPr>
                <w:rFonts w:eastAsia="Calibri"/>
                <w:sz w:val="20"/>
              </w:rPr>
              <w:t>Act, R.S.C. 1985, c. 30 (4</w:t>
            </w:r>
            <w:r w:rsidRPr="00164D42">
              <w:rPr>
                <w:rFonts w:eastAsia="Calibri"/>
                <w:sz w:val="20"/>
                <w:vertAlign w:val="superscript"/>
              </w:rPr>
              <w:t>th</w:t>
            </w:r>
            <w:r w:rsidRPr="00164D42">
              <w:rPr>
                <w:rFonts w:eastAsia="Calibri"/>
                <w:sz w:val="20"/>
              </w:rPr>
              <w:t xml:space="preserve"> Supp) before a different Superior Court judge for a gathering and sending order authorizing it to send material seized pursuant to the Canadian search warrant to authorities in the United States.  The</w:t>
            </w:r>
            <w:r w:rsidRPr="00164D42">
              <w:rPr>
                <w:rFonts w:eastAsia="Calibri"/>
                <w:i/>
                <w:sz w:val="20"/>
              </w:rPr>
              <w:t xml:space="preserve"> Charter</w:t>
            </w:r>
            <w:r w:rsidRPr="00164D42">
              <w:rPr>
                <w:rFonts w:eastAsia="Calibri"/>
                <w:sz w:val="20"/>
              </w:rPr>
              <w:t xml:space="preserve"> motion was subsequently granted and defence counsel asked counsel for the Attorney General of Canada about the return of certain seized items.  It was then that counsel for the AG Canada told defence counsel that the seized material had been sent to the United States pursuant to a gathering and sending order.  In light of the </w:t>
            </w:r>
            <w:r w:rsidRPr="00164D42">
              <w:rPr>
                <w:rFonts w:eastAsia="Calibri"/>
                <w:i/>
                <w:sz w:val="20"/>
              </w:rPr>
              <w:t>Charter</w:t>
            </w:r>
            <w:r w:rsidRPr="00164D42">
              <w:rPr>
                <w:rFonts w:eastAsia="Calibri"/>
                <w:sz w:val="20"/>
              </w:rPr>
              <w:t xml:space="preserve"> ruling, counsel for the AG Canada sought and obtained the seized material.  It was returned to Canada unopened.  The Applicant brought an application to stay the extradition proceedings against him.</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September 26, 2013</w:t>
            </w:r>
          </w:p>
          <w:p w:rsidR="00B02DE5" w:rsidRPr="00164D42" w:rsidRDefault="00B02DE5" w:rsidP="00B02DE5">
            <w:pPr>
              <w:jc w:val="both"/>
              <w:rPr>
                <w:rFonts w:eastAsia="Calibri"/>
                <w:sz w:val="20"/>
              </w:rPr>
            </w:pPr>
            <w:r w:rsidRPr="00164D42">
              <w:rPr>
                <w:rFonts w:eastAsia="Calibri"/>
                <w:sz w:val="20"/>
              </w:rPr>
              <w:t>Ontario Superior Court of Justice</w:t>
            </w:r>
          </w:p>
          <w:p w:rsidR="00B02DE5" w:rsidRPr="00164D42" w:rsidRDefault="00B02DE5" w:rsidP="00B02DE5">
            <w:pPr>
              <w:jc w:val="both"/>
              <w:rPr>
                <w:rFonts w:eastAsia="Calibri"/>
                <w:sz w:val="20"/>
              </w:rPr>
            </w:pPr>
            <w:r w:rsidRPr="00164D42">
              <w:rPr>
                <w:rFonts w:eastAsia="Calibri"/>
                <w:sz w:val="20"/>
              </w:rPr>
              <w:t>(Abrams J.)</w:t>
            </w:r>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Application for stay of proceedings: stay ordered.</w:t>
            </w:r>
          </w:p>
          <w:p w:rsidR="00B02DE5" w:rsidRPr="00164D42" w:rsidRDefault="00B02DE5" w:rsidP="00B02DE5">
            <w:pPr>
              <w:jc w:val="both"/>
              <w:rPr>
                <w:rFonts w:eastAsia="Calibri"/>
                <w:sz w:val="20"/>
              </w:rPr>
            </w:pP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June 30, 2014</w:t>
            </w:r>
          </w:p>
          <w:p w:rsidR="00B02DE5" w:rsidRPr="00164D42" w:rsidRDefault="00B02DE5" w:rsidP="00B02DE5">
            <w:pPr>
              <w:jc w:val="both"/>
              <w:rPr>
                <w:rFonts w:eastAsia="Calibri"/>
                <w:sz w:val="20"/>
              </w:rPr>
            </w:pPr>
            <w:r w:rsidRPr="00164D42">
              <w:rPr>
                <w:rFonts w:eastAsia="Calibri"/>
                <w:sz w:val="20"/>
              </w:rPr>
              <w:t>Court of Appeal for Ontario</w:t>
            </w:r>
          </w:p>
          <w:p w:rsidR="00B02DE5" w:rsidRPr="00164D42" w:rsidRDefault="00B02DE5" w:rsidP="00B02DE5">
            <w:pPr>
              <w:jc w:val="both"/>
              <w:rPr>
                <w:rFonts w:eastAsia="Calibri"/>
                <w:sz w:val="20"/>
              </w:rPr>
            </w:pPr>
            <w:r w:rsidRPr="00164D42">
              <w:rPr>
                <w:rFonts w:eastAsia="Calibri"/>
                <w:sz w:val="20"/>
              </w:rPr>
              <w:t>(Simmons, Gillese and Hourigan JJ.A.)</w:t>
            </w:r>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Appeal allowed: stay of proceedings set aside, matter remitted to Superior Court of Justice for new extradition hearing.</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September 29, 2014</w:t>
            </w:r>
          </w:p>
          <w:p w:rsidR="00B02DE5" w:rsidRPr="00164D42" w:rsidRDefault="00B02DE5" w:rsidP="00B02DE5">
            <w:pPr>
              <w:jc w:val="both"/>
              <w:rPr>
                <w:rFonts w:eastAsia="Calibri"/>
                <w:sz w:val="20"/>
              </w:rPr>
            </w:pPr>
            <w:r w:rsidRPr="00164D42">
              <w:rPr>
                <w:rFonts w:eastAsia="Calibri"/>
                <w:sz w:val="20"/>
              </w:rPr>
              <w:t>Supreme Court of Canada</w:t>
            </w: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Application for leave to appeal filed.</w:t>
            </w:r>
          </w:p>
          <w:p w:rsidR="00B02DE5" w:rsidRPr="00164D42" w:rsidRDefault="00B02DE5" w:rsidP="00B02DE5">
            <w:pPr>
              <w:jc w:val="both"/>
              <w:rPr>
                <w:rFonts w:eastAsia="Calibri"/>
                <w:sz w:val="20"/>
              </w:rPr>
            </w:pPr>
          </w:p>
        </w:tc>
      </w:tr>
    </w:tbl>
    <w:p w:rsidR="00BC2489" w:rsidRDefault="00BC2489" w:rsidP="00BC2489">
      <w:pPr>
        <w:rPr>
          <w:sz w:val="20"/>
          <w:szCs w:val="20"/>
        </w:rPr>
      </w:pPr>
    </w:p>
    <w:p w:rsidR="00BC2489" w:rsidRPr="00C50A5C" w:rsidRDefault="00E4461B" w:rsidP="00BC2489">
      <w:pPr>
        <w:rPr>
          <w:sz w:val="20"/>
          <w:szCs w:val="20"/>
        </w:rPr>
      </w:pPr>
      <w:r>
        <w:rPr>
          <w:sz w:val="20"/>
          <w:szCs w:val="20"/>
          <w:lang w:val="fr-CA"/>
        </w:rPr>
        <w:pict>
          <v:rect id="_x0000_i1064" style="width:2in;height:1pt" o:hrpct="0" o:hralign="center" o:hrstd="t" o:hrnoshade="t" o:hr="t" fillcolor="black [3213]" stroked="f"/>
        </w:pict>
      </w:r>
    </w:p>
    <w:p w:rsidR="00BC2489" w:rsidRDefault="00BC2489" w:rsidP="00BC2489">
      <w:pPr>
        <w:rPr>
          <w:sz w:val="20"/>
          <w:szCs w:val="20"/>
        </w:rPr>
      </w:pPr>
    </w:p>
    <w:p w:rsidR="00BC2489" w:rsidRPr="001B157C" w:rsidRDefault="00BC2489" w:rsidP="00BC2489">
      <w:pPr>
        <w:rPr>
          <w:sz w:val="20"/>
          <w:szCs w:val="20"/>
          <w:u w:val="single"/>
          <w:lang w:val="fr-CA"/>
        </w:rPr>
      </w:pPr>
      <w:r w:rsidRPr="001B157C">
        <w:rPr>
          <w:sz w:val="20"/>
          <w:szCs w:val="20"/>
          <w:u w:val="single"/>
          <w:lang w:val="fr-CA"/>
        </w:rPr>
        <w:t>RÉSUMÉ DE L’AFFAIRE</w:t>
      </w:r>
    </w:p>
    <w:p w:rsidR="00BC2489" w:rsidRDefault="00BC2489" w:rsidP="00BC24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Droit criminel – Extradition – La Cour d’appel a-t-elle eu tort de conclure qu’il n’y avait aucun lien entre la procédure d’extradition et la procédure concurrente engagée en application de la</w:t>
            </w:r>
            <w:r w:rsidRPr="00164D42">
              <w:rPr>
                <w:rFonts w:eastAsia="Calibri"/>
                <w:i/>
                <w:sz w:val="20"/>
                <w:lang w:val="fr-CA"/>
              </w:rPr>
              <w:t xml:space="preserve"> Loi sur l’entraide juridique en matière criminelle </w:t>
            </w:r>
            <w:r w:rsidRPr="00164D42">
              <w:rPr>
                <w:rFonts w:eastAsia="Calibri"/>
                <w:sz w:val="20"/>
                <w:lang w:val="fr-CA"/>
              </w:rPr>
              <w:t>(L.R.C. 1985, ch. 30 (4</w:t>
            </w:r>
            <w:r w:rsidRPr="00164D42">
              <w:rPr>
                <w:rFonts w:eastAsia="Calibri"/>
                <w:sz w:val="20"/>
                <w:vertAlign w:val="superscript"/>
                <w:lang w:val="fr-CA"/>
              </w:rPr>
              <w:t>e</w:t>
            </w:r>
            <w:r w:rsidRPr="00164D42">
              <w:rPr>
                <w:rFonts w:eastAsia="Calibri"/>
                <w:sz w:val="20"/>
                <w:lang w:val="fr-CA"/>
              </w:rPr>
              <w:t xml:space="preserve"> suppl.), modifiée)? – La Cour d’appel a-t-elle excédé la compétence que lui confère le paragraphe 55(1) de la</w:t>
            </w:r>
            <w:r w:rsidRPr="00164D42">
              <w:rPr>
                <w:rFonts w:eastAsia="Calibri"/>
                <w:i/>
                <w:sz w:val="20"/>
                <w:lang w:val="fr-CA"/>
              </w:rPr>
              <w:t xml:space="preserve"> Loi sur l’extradition </w:t>
            </w:r>
            <w:r w:rsidRPr="00164D42">
              <w:rPr>
                <w:rFonts w:eastAsia="Calibri"/>
                <w:sz w:val="20"/>
                <w:lang w:val="fr-CA"/>
              </w:rPr>
              <w:t xml:space="preserve">(L.C. 1999, ch. 18, modifiée)? – La Cour d’appel a-t-elle eu tort de conclure que le juge d’extradition aurait dû donner un avis aux avocats du ministère public et l’occasion de répondre avant de prononcer un verdict d’inconduite contre eux? – La Cour d’appel a-t-elle eu tort d’annuler l’arrêt des </w:t>
            </w:r>
            <w:r w:rsidRPr="00164D42">
              <w:rPr>
                <w:rFonts w:eastAsia="Calibri"/>
                <w:sz w:val="20"/>
                <w:lang w:val="fr-CA"/>
              </w:rPr>
              <w:lastRenderedPageBreak/>
              <w:t>procédures ordonnée par le juge d’extradition?</w:t>
            </w:r>
          </w:p>
        </w:tc>
      </w:tr>
      <w:tr w:rsidR="00B02DE5" w:rsidRPr="00002FFB" w:rsidTr="00B02DE5">
        <w:tc>
          <w:tcPr>
            <w:tcW w:w="5000" w:type="pct"/>
            <w:gridSpan w:val="3"/>
          </w:tcPr>
          <w:p w:rsidR="00B02DE5" w:rsidRPr="00164D42" w:rsidRDefault="00B02DE5" w:rsidP="00B02DE5">
            <w:pPr>
              <w:jc w:val="both"/>
              <w:rPr>
                <w:rFonts w:eastAsia="Calibri"/>
                <w:sz w:val="20"/>
                <w:lang w:val="fr-CA"/>
              </w:rPr>
            </w:pPr>
          </w:p>
        </w:tc>
      </w:tr>
      <w:tr w:rsidR="00B02DE5" w:rsidRPr="00002FFB"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Les États-Unis demandent l’extradition du demandeur pour qu’il y subisse son procès relativement à de graves accusations en matière de pornographie juvénile, à savoir : s’être livré à une entreprise d’exploitation d’enfants, avoir comploté en vue d’annoncer la distribution de pornographie juvénile et avoir comploté en vue de distribuer de la pornographie juvénile.  Le demandeur a été arrêté en exécution d’un mandat d’arrestation provisoire en attendant son extradition.  Les documents présentés au soutien de la demande de mandat faisaient référence à une perquisition antérieure effectuée à la résidence du demandeur.  À l’audience en matière d’extradition, le demandeur a contesté la validité du mandat de perquisition et a demandé que les articles saisis soient exclus de la preuve.  Pendant que sa requête fondée sur la </w:t>
            </w:r>
            <w:r w:rsidRPr="00164D42">
              <w:rPr>
                <w:rFonts w:eastAsia="Calibri"/>
                <w:i/>
                <w:sz w:val="20"/>
                <w:lang w:val="fr-CA"/>
              </w:rPr>
              <w:t>Charte</w:t>
            </w:r>
            <w:r w:rsidRPr="00164D42">
              <w:rPr>
                <w:rFonts w:eastAsia="Calibri"/>
                <w:sz w:val="20"/>
                <w:lang w:val="fr-CA"/>
              </w:rPr>
              <w:t xml:space="preserve"> était en délibéré, le procureur général de l’Ontario a présenté avec succès une demande d’entraide juridique fondée sur un traité en application des articles 17 et 20 de la</w:t>
            </w:r>
            <w:r w:rsidRPr="00164D42">
              <w:rPr>
                <w:rFonts w:eastAsia="Calibri"/>
                <w:i/>
                <w:sz w:val="20"/>
                <w:lang w:val="fr-CA"/>
              </w:rPr>
              <w:t xml:space="preserve"> Loi sur l’entraide juridique en matière criminelle</w:t>
            </w:r>
            <w:r w:rsidRPr="00164D42">
              <w:rPr>
                <w:rFonts w:eastAsia="Calibri"/>
                <w:sz w:val="20"/>
                <w:lang w:val="fr-CA"/>
              </w:rPr>
              <w:t>, L.R.C. 1985, ch. 30 (4</w:t>
            </w:r>
            <w:r w:rsidRPr="00164D42">
              <w:rPr>
                <w:rFonts w:eastAsia="Calibri"/>
                <w:sz w:val="20"/>
                <w:vertAlign w:val="superscript"/>
                <w:lang w:val="fr-CA"/>
              </w:rPr>
              <w:t>e</w:t>
            </w:r>
            <w:r w:rsidRPr="00164D42">
              <w:rPr>
                <w:rFonts w:eastAsia="Calibri"/>
                <w:sz w:val="20"/>
                <w:lang w:val="fr-CA"/>
              </w:rPr>
              <w:t xml:space="preserve"> suppl.) devant un autre juge de la Cour supérieure pour une ordonnance d’obtention et d’envoi d’éléments de preuve l’autorisant à envoyer aux autorités des États-Unis les documents saisis en exécution du mandat de perquisition canadien.  La requête fondée sur la </w:t>
            </w:r>
            <w:r w:rsidRPr="00164D42">
              <w:rPr>
                <w:rFonts w:eastAsia="Calibri"/>
                <w:i/>
                <w:sz w:val="20"/>
                <w:lang w:val="fr-CA"/>
              </w:rPr>
              <w:t>Charte</w:t>
            </w:r>
            <w:r w:rsidRPr="00164D42">
              <w:rPr>
                <w:rFonts w:eastAsia="Calibri"/>
                <w:sz w:val="20"/>
                <w:lang w:val="fr-CA"/>
              </w:rPr>
              <w:t xml:space="preserve"> a été subséquemment accueillie</w:t>
            </w:r>
            <w:r w:rsidRPr="00164D42">
              <w:rPr>
                <w:rFonts w:eastAsia="Calibri"/>
                <w:i/>
                <w:sz w:val="20"/>
                <w:lang w:val="fr-CA"/>
              </w:rPr>
              <w:t xml:space="preserve"> </w:t>
            </w:r>
            <w:r w:rsidRPr="00164D42">
              <w:rPr>
                <w:rFonts w:eastAsia="Calibri"/>
                <w:sz w:val="20"/>
                <w:lang w:val="fr-CA"/>
              </w:rPr>
              <w:t>et</w:t>
            </w:r>
            <w:r w:rsidRPr="00164D42">
              <w:rPr>
                <w:rFonts w:eastAsia="Calibri"/>
                <w:i/>
                <w:sz w:val="20"/>
                <w:lang w:val="fr-CA"/>
              </w:rPr>
              <w:t xml:space="preserve"> </w:t>
            </w:r>
            <w:r w:rsidRPr="00164D42">
              <w:rPr>
                <w:rFonts w:eastAsia="Calibri"/>
                <w:sz w:val="20"/>
                <w:lang w:val="fr-CA"/>
              </w:rPr>
              <w:t xml:space="preserve">l’avocat de la défense a demandé à l’avocat du procureur général du Canada le retour de certains articles saisis.  C’est alors que le procureur général du Canada a informé l’avocat de la défense que les documents saisis avaient été envoyés aux États-Unis en vertu d’une ordonnance d’obtention et d’envoi. Compte tenu du jugement en application de la </w:t>
            </w:r>
            <w:r w:rsidRPr="00164D42">
              <w:rPr>
                <w:rFonts w:eastAsia="Calibri"/>
                <w:i/>
                <w:sz w:val="20"/>
                <w:lang w:val="fr-CA"/>
              </w:rPr>
              <w:t>Charte</w:t>
            </w:r>
            <w:r w:rsidRPr="00164D42">
              <w:rPr>
                <w:rFonts w:eastAsia="Calibri"/>
                <w:sz w:val="20"/>
                <w:lang w:val="fr-CA"/>
              </w:rPr>
              <w:t>, l’avocat du procureur général du Canada a demandé et obtenu les documents saisis.  Les documents ont été retournés au Canada sans avoir été ouverts. Le demandeur a présenté une demande d’arrêt des procédures d’extradition engagées contre lui.</w:t>
            </w:r>
          </w:p>
          <w:p w:rsidR="00B02DE5" w:rsidRPr="00164D42" w:rsidRDefault="00B02DE5" w:rsidP="00B02DE5">
            <w:pPr>
              <w:jc w:val="both"/>
              <w:rPr>
                <w:rFonts w:eastAsia="Calibri"/>
                <w:sz w:val="20"/>
                <w:lang w:val="fr-CA"/>
              </w:rPr>
            </w:pPr>
          </w:p>
        </w:tc>
      </w:tr>
      <w:tr w:rsidR="00B02DE5" w:rsidRPr="00002FFB"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26 septembre 2013</w:t>
            </w:r>
          </w:p>
          <w:p w:rsidR="00B02DE5" w:rsidRPr="00164D42" w:rsidRDefault="00B02DE5" w:rsidP="00B02DE5">
            <w:pPr>
              <w:jc w:val="both"/>
              <w:rPr>
                <w:rFonts w:eastAsia="Calibri"/>
                <w:sz w:val="20"/>
                <w:lang w:val="fr-CA"/>
              </w:rPr>
            </w:pPr>
            <w:r w:rsidRPr="00164D42">
              <w:rPr>
                <w:rFonts w:eastAsia="Calibri"/>
                <w:sz w:val="20"/>
                <w:lang w:val="fr-CA"/>
              </w:rPr>
              <w:t>Cour supérieure de justice de l’Ontario</w:t>
            </w:r>
          </w:p>
          <w:p w:rsidR="00B02DE5" w:rsidRPr="00164D42" w:rsidRDefault="00B02DE5" w:rsidP="00B02DE5">
            <w:pPr>
              <w:jc w:val="both"/>
              <w:rPr>
                <w:rFonts w:eastAsia="Calibri"/>
                <w:sz w:val="20"/>
                <w:lang w:val="fr-CA"/>
              </w:rPr>
            </w:pPr>
            <w:r w:rsidRPr="00164D42">
              <w:rPr>
                <w:rFonts w:eastAsia="Calibri"/>
                <w:sz w:val="20"/>
                <w:lang w:val="fr-CA"/>
              </w:rPr>
              <w:t>(Juge Abrams)</w:t>
            </w:r>
          </w:p>
          <w:p w:rsidR="00B02DE5" w:rsidRPr="00164D42" w:rsidRDefault="00B02DE5" w:rsidP="00B02DE5">
            <w:pPr>
              <w:jc w:val="both"/>
              <w:rPr>
                <w:rFonts w:eastAsia="Calibri"/>
                <w:sz w:val="20"/>
                <w:lang w:val="fr-CA"/>
              </w:rPr>
            </w:pP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Demande d’arrêt des procédures, accueillie.</w:t>
            </w:r>
          </w:p>
          <w:p w:rsidR="00B02DE5" w:rsidRPr="00164D42" w:rsidRDefault="00B02DE5" w:rsidP="00B02DE5">
            <w:pPr>
              <w:jc w:val="both"/>
              <w:rPr>
                <w:rFonts w:eastAsia="Calibri"/>
                <w:sz w:val="20"/>
                <w:lang w:val="fr-CA"/>
              </w:rPr>
            </w:pPr>
          </w:p>
          <w:p w:rsidR="00B02DE5" w:rsidRPr="00164D42" w:rsidRDefault="00B02DE5" w:rsidP="00B02DE5">
            <w:pPr>
              <w:jc w:val="both"/>
              <w:rPr>
                <w:rFonts w:eastAsia="Calibri"/>
                <w:sz w:val="20"/>
                <w:lang w:val="fr-CA"/>
              </w:rPr>
            </w:pPr>
          </w:p>
        </w:tc>
      </w:tr>
      <w:tr w:rsidR="00B02DE5" w:rsidRPr="00002FFB"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30 juin 2014</w:t>
            </w:r>
          </w:p>
          <w:p w:rsidR="00B02DE5" w:rsidRPr="00164D42" w:rsidRDefault="00B02DE5" w:rsidP="00B02DE5">
            <w:pPr>
              <w:jc w:val="both"/>
              <w:rPr>
                <w:rFonts w:eastAsia="Calibri"/>
                <w:sz w:val="20"/>
                <w:lang w:val="fr-CA"/>
              </w:rPr>
            </w:pPr>
            <w:r w:rsidRPr="00164D42">
              <w:rPr>
                <w:rFonts w:eastAsia="Calibri"/>
                <w:sz w:val="20"/>
                <w:lang w:val="fr-CA"/>
              </w:rPr>
              <w:t>Cour d’appel de l’Ontario</w:t>
            </w:r>
          </w:p>
          <w:p w:rsidR="00B02DE5" w:rsidRPr="00164D42" w:rsidRDefault="00B02DE5" w:rsidP="00B02DE5">
            <w:pPr>
              <w:jc w:val="both"/>
              <w:rPr>
                <w:rFonts w:eastAsia="Calibri"/>
                <w:sz w:val="20"/>
                <w:lang w:val="fr-CA"/>
              </w:rPr>
            </w:pPr>
            <w:r w:rsidRPr="00164D42">
              <w:rPr>
                <w:rFonts w:eastAsia="Calibri"/>
                <w:sz w:val="20"/>
                <w:lang w:val="fr-CA"/>
              </w:rPr>
              <w:t>(Juges Simmons, Gillese et Hourigan)</w:t>
            </w:r>
          </w:p>
          <w:p w:rsidR="00B02DE5" w:rsidRPr="00164D42" w:rsidRDefault="00B02DE5" w:rsidP="00B02DE5">
            <w:pPr>
              <w:jc w:val="both"/>
              <w:rPr>
                <w:rFonts w:eastAsia="Calibri"/>
                <w:sz w:val="20"/>
                <w:lang w:val="fr-CA"/>
              </w:rPr>
            </w:pP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Appel accueilli : arrêt des procédures annulé, affaire renvoyée à la Cour supérieure de justice pour une nouvelle audience en matière d’extradition.</w:t>
            </w:r>
          </w:p>
          <w:p w:rsidR="00B02DE5" w:rsidRPr="00164D42" w:rsidRDefault="00B02DE5" w:rsidP="00B02DE5">
            <w:pPr>
              <w:jc w:val="both"/>
              <w:rPr>
                <w:rFonts w:eastAsia="Calibri"/>
                <w:sz w:val="20"/>
                <w:lang w:val="fr-CA"/>
              </w:rPr>
            </w:pPr>
          </w:p>
        </w:tc>
      </w:tr>
      <w:tr w:rsidR="00B02DE5" w:rsidRPr="00164D42"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29 septembre 2014</w:t>
            </w:r>
          </w:p>
          <w:p w:rsidR="00B02DE5" w:rsidRPr="00164D42" w:rsidRDefault="00B02DE5" w:rsidP="00B02DE5">
            <w:pPr>
              <w:jc w:val="both"/>
              <w:rPr>
                <w:rFonts w:eastAsia="Calibri"/>
                <w:sz w:val="20"/>
                <w:lang w:val="fr-CA"/>
              </w:rPr>
            </w:pPr>
            <w:r w:rsidRPr="00164D42">
              <w:rPr>
                <w:rFonts w:eastAsia="Calibri"/>
                <w:sz w:val="20"/>
                <w:lang w:val="fr-CA"/>
              </w:rPr>
              <w:t>Cour suprême du Canada</w:t>
            </w: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Demande d’autorisation d’appel, déposée.</w:t>
            </w:r>
          </w:p>
          <w:p w:rsidR="00B02DE5" w:rsidRPr="00164D42" w:rsidRDefault="00B02DE5" w:rsidP="00B02DE5">
            <w:pPr>
              <w:jc w:val="both"/>
              <w:rPr>
                <w:rFonts w:eastAsia="Calibri"/>
                <w:sz w:val="20"/>
                <w:lang w:val="fr-CA"/>
              </w:rPr>
            </w:pPr>
          </w:p>
        </w:tc>
      </w:tr>
    </w:tbl>
    <w:p w:rsidR="00BC2489" w:rsidRDefault="00BC2489" w:rsidP="00BC2489">
      <w:pPr>
        <w:rPr>
          <w:sz w:val="20"/>
          <w:szCs w:val="20"/>
        </w:rPr>
      </w:pPr>
    </w:p>
    <w:p w:rsidR="00BC2489" w:rsidRDefault="00E4461B" w:rsidP="00BC2489">
      <w:pPr>
        <w:rPr>
          <w:sz w:val="20"/>
          <w:szCs w:val="20"/>
          <w:lang w:val="fr-CA"/>
        </w:rPr>
      </w:pPr>
      <w:r>
        <w:rPr>
          <w:sz w:val="20"/>
          <w:szCs w:val="20"/>
          <w:lang w:val="fr-CA"/>
        </w:rPr>
        <w:pict>
          <v:rect id="_x0000_i1065" style="width:2in;height:1pt" o:hrpct="0" o:hralign="center" o:hrstd="t" o:hrnoshade="t" o:hr="t" fillcolor="black [3213]" stroked="f"/>
        </w:pict>
      </w:r>
    </w:p>
    <w:p w:rsidR="00BC2489" w:rsidRDefault="00BC2489" w:rsidP="00BC2489">
      <w:pPr>
        <w:rPr>
          <w:sz w:val="20"/>
          <w:szCs w:val="20"/>
        </w:rPr>
      </w:pPr>
    </w:p>
    <w:tbl>
      <w:tblPr>
        <w:tblStyle w:val="TableGrid1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5174EE" w:rsidRPr="005174EE" w:rsidTr="005174EE">
        <w:trPr>
          <w:cantSplit/>
        </w:trPr>
        <w:tc>
          <w:tcPr>
            <w:tcW w:w="1458" w:type="dxa"/>
          </w:tcPr>
          <w:p w:rsidR="005174EE" w:rsidRPr="005174EE" w:rsidRDefault="005174EE" w:rsidP="005174EE">
            <w:pPr>
              <w:rPr>
                <w:sz w:val="20"/>
              </w:rPr>
            </w:pPr>
            <w:r w:rsidRPr="005174EE">
              <w:rPr>
                <w:b/>
                <w:sz w:val="20"/>
                <w:lang w:val="fr-CA"/>
              </w:rPr>
              <w:t>36105</w:t>
            </w:r>
          </w:p>
          <w:p w:rsidR="005174EE" w:rsidRPr="005174EE" w:rsidRDefault="005174EE" w:rsidP="005174EE">
            <w:pPr>
              <w:rPr>
                <w:b/>
                <w:sz w:val="20"/>
                <w:lang w:val="fr-CA"/>
              </w:rPr>
            </w:pPr>
          </w:p>
        </w:tc>
        <w:tc>
          <w:tcPr>
            <w:tcW w:w="8118" w:type="dxa"/>
          </w:tcPr>
          <w:p w:rsidR="005174EE" w:rsidRPr="005174EE" w:rsidRDefault="005174EE" w:rsidP="005174EE">
            <w:pPr>
              <w:jc w:val="both"/>
              <w:rPr>
                <w:sz w:val="20"/>
              </w:rPr>
            </w:pPr>
            <w:r>
              <w:rPr>
                <w:b/>
                <w:sz w:val="20"/>
                <w:u w:val="single"/>
              </w:rPr>
              <w:t>Minister of Justice and</w:t>
            </w:r>
            <w:r w:rsidRPr="005174EE">
              <w:rPr>
                <w:b/>
                <w:sz w:val="20"/>
                <w:u w:val="single"/>
              </w:rPr>
              <w:t xml:space="preserve"> Attorney General f</w:t>
            </w:r>
            <w:r>
              <w:rPr>
                <w:b/>
                <w:sz w:val="20"/>
                <w:u w:val="single"/>
              </w:rPr>
              <w:t>or</w:t>
            </w:r>
            <w:r w:rsidRPr="005174EE">
              <w:rPr>
                <w:b/>
                <w:sz w:val="20"/>
                <w:u w:val="single"/>
              </w:rPr>
              <w:t xml:space="preserve"> Alberta v. Heng Kiet Kouch</w:t>
            </w:r>
            <w:r w:rsidRPr="005174EE">
              <w:rPr>
                <w:sz w:val="20"/>
              </w:rPr>
              <w:t xml:space="preserve"> (Alta.) (Criminal) (By Leave)</w:t>
            </w:r>
          </w:p>
          <w:p w:rsidR="005174EE" w:rsidRPr="005174EE" w:rsidRDefault="005174EE" w:rsidP="005174EE">
            <w:pPr>
              <w:jc w:val="both"/>
              <w:rPr>
                <w:sz w:val="20"/>
              </w:rPr>
            </w:pPr>
          </w:p>
        </w:tc>
      </w:tr>
      <w:tr w:rsidR="005174EE" w:rsidRPr="005174EE" w:rsidTr="005174EE">
        <w:trPr>
          <w:cantSplit/>
        </w:trPr>
        <w:tc>
          <w:tcPr>
            <w:tcW w:w="1458" w:type="dxa"/>
          </w:tcPr>
          <w:p w:rsidR="005174EE" w:rsidRPr="005174EE" w:rsidRDefault="005174EE" w:rsidP="005174EE">
            <w:pPr>
              <w:rPr>
                <w:sz w:val="20"/>
              </w:rPr>
            </w:pPr>
            <w:r w:rsidRPr="005174EE">
              <w:rPr>
                <w:sz w:val="20"/>
              </w:rPr>
              <w:t>Coram :</w:t>
            </w:r>
          </w:p>
        </w:tc>
        <w:tc>
          <w:tcPr>
            <w:tcW w:w="8118" w:type="dxa"/>
          </w:tcPr>
          <w:p w:rsidR="005174EE" w:rsidRPr="005174EE" w:rsidRDefault="005174EE" w:rsidP="005174EE">
            <w:pPr>
              <w:rPr>
                <w:sz w:val="20"/>
              </w:rPr>
            </w:pPr>
            <w:r w:rsidRPr="005174EE">
              <w:rPr>
                <w:sz w:val="20"/>
                <w:u w:val="single"/>
              </w:rPr>
              <w:t>Abella, Rothstein and Moldaver JJ.</w:t>
            </w:r>
          </w:p>
          <w:p w:rsidR="005174EE" w:rsidRPr="005174EE" w:rsidRDefault="005174EE" w:rsidP="005174EE">
            <w:pPr>
              <w:rPr>
                <w:sz w:val="20"/>
                <w:u w:val="single"/>
              </w:rPr>
            </w:pPr>
          </w:p>
        </w:tc>
      </w:tr>
      <w:tr w:rsidR="005174EE" w:rsidRPr="00002FFB" w:rsidTr="005174EE">
        <w:trPr>
          <w:cantSplit/>
        </w:trPr>
        <w:tc>
          <w:tcPr>
            <w:tcW w:w="9576" w:type="dxa"/>
            <w:gridSpan w:val="2"/>
          </w:tcPr>
          <w:p w:rsidR="005174EE" w:rsidRPr="005174EE" w:rsidRDefault="005174EE" w:rsidP="005174EE">
            <w:pPr>
              <w:ind w:firstLine="720"/>
              <w:jc w:val="both"/>
              <w:rPr>
                <w:sz w:val="20"/>
              </w:rPr>
            </w:pPr>
            <w:r w:rsidRPr="005174EE">
              <w:rPr>
                <w:sz w:val="20"/>
              </w:rPr>
              <w:t>The application for leave to appeal from the judgment of the Court of Appeal of Alberta (Calgary), Number 1301-0183-AC, 2014 ABCA 215, dated June 30, 2014, is dismissed with costs.</w:t>
            </w:r>
          </w:p>
          <w:p w:rsidR="005174EE" w:rsidRPr="005174EE" w:rsidRDefault="005174EE" w:rsidP="005174EE">
            <w:pPr>
              <w:jc w:val="both"/>
              <w:rPr>
                <w:sz w:val="20"/>
              </w:rPr>
            </w:pPr>
          </w:p>
          <w:p w:rsidR="005174EE" w:rsidRPr="005174EE" w:rsidRDefault="005174EE" w:rsidP="005174EE">
            <w:pPr>
              <w:ind w:firstLine="720"/>
              <w:jc w:val="both"/>
              <w:rPr>
                <w:sz w:val="20"/>
                <w:lang w:val="fr-CA"/>
              </w:rPr>
            </w:pPr>
            <w:r w:rsidRPr="005174EE">
              <w:rPr>
                <w:sz w:val="20"/>
                <w:lang w:val="fr-CA"/>
              </w:rPr>
              <w:t>La demande d’autorisation d’appel de l’arrêt de la Cour d’appel de l’Alberta (Calgary), numéro 1301-0183-AC, 2014 ABCA 215, daté du 30 juin 2014, est rejetée avec dépens.</w:t>
            </w:r>
          </w:p>
        </w:tc>
      </w:tr>
    </w:tbl>
    <w:p w:rsidR="00B02DE5" w:rsidRPr="005174EE" w:rsidRDefault="00B02DE5" w:rsidP="00B02DE5">
      <w:pPr>
        <w:rPr>
          <w:sz w:val="20"/>
          <w:szCs w:val="20"/>
          <w:lang w:val="fr-CA"/>
        </w:rPr>
      </w:pPr>
    </w:p>
    <w:p w:rsidR="00B02DE5" w:rsidRPr="001B157C" w:rsidRDefault="00B02DE5" w:rsidP="00B02DE5">
      <w:pPr>
        <w:rPr>
          <w:sz w:val="20"/>
          <w:szCs w:val="20"/>
          <w:u w:val="single"/>
        </w:rPr>
      </w:pPr>
      <w:r w:rsidRPr="001B157C">
        <w:rPr>
          <w:sz w:val="20"/>
          <w:szCs w:val="20"/>
          <w:u w:val="single"/>
        </w:rPr>
        <w:t>CASE SUMMARY</w:t>
      </w:r>
    </w:p>
    <w:p w:rsidR="00B02DE5" w:rsidRDefault="00B02DE5" w:rsidP="00B02DE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Property – Forfeiture orders – What is the proper approach to adjudicating requests for relief from forfeiture of property that is the proceeds of crime or that was used as an instrument of illegal activity – Which party bears the onus when the court considers relief against forfeiture – What factors, if any, are determinative when relief from forfeiture </w:t>
            </w:r>
            <w:r w:rsidRPr="00164D42">
              <w:rPr>
                <w:rFonts w:eastAsia="Calibri"/>
                <w:sz w:val="20"/>
              </w:rPr>
              <w:lastRenderedPageBreak/>
              <w:t xml:space="preserve">is sought – </w:t>
            </w:r>
            <w:r w:rsidRPr="00164D42">
              <w:rPr>
                <w:rFonts w:eastAsia="Calibri"/>
                <w:i/>
                <w:sz w:val="20"/>
              </w:rPr>
              <w:t>Victim Restitution and Compensation Payment Act</w:t>
            </w:r>
            <w:r w:rsidRPr="00164D42">
              <w:rPr>
                <w:rFonts w:eastAsia="Calibri"/>
                <w:sz w:val="20"/>
              </w:rPr>
              <w:t>, S.A. 2001, c. V-3.5, s. 19.94.</w:t>
            </w:r>
          </w:p>
        </w:tc>
      </w:tr>
      <w:tr w:rsidR="00B02DE5" w:rsidRPr="00164D42" w:rsidTr="00B02DE5">
        <w:tc>
          <w:tcPr>
            <w:tcW w:w="5000" w:type="pct"/>
            <w:gridSpan w:val="3"/>
          </w:tcPr>
          <w:p w:rsidR="00B02DE5" w:rsidRPr="00164D42" w:rsidRDefault="00B02DE5" w:rsidP="00B02DE5">
            <w:pPr>
              <w:jc w:val="both"/>
              <w:rPr>
                <w:rFonts w:eastAsia="Calibri"/>
                <w:sz w:val="20"/>
              </w:rPr>
            </w:pPr>
          </w:p>
        </w:tc>
      </w:tr>
      <w:tr w:rsidR="00B02DE5" w:rsidRPr="00164D42" w:rsidTr="00B02DE5">
        <w:tc>
          <w:tcPr>
            <w:tcW w:w="5000" w:type="pct"/>
            <w:gridSpan w:val="3"/>
          </w:tcPr>
          <w:p w:rsidR="00B02DE5" w:rsidRPr="00164D42" w:rsidRDefault="00B02DE5" w:rsidP="00B02DE5">
            <w:pPr>
              <w:jc w:val="both"/>
              <w:rPr>
                <w:rFonts w:eastAsia="Calibri"/>
                <w:sz w:val="20"/>
              </w:rPr>
            </w:pPr>
            <w:r w:rsidRPr="00164D42">
              <w:rPr>
                <w:rFonts w:eastAsia="Calibri"/>
                <w:sz w:val="20"/>
              </w:rPr>
              <w:t xml:space="preserve">Ms. Kouch pled guilty to the production of marihuana in contravention of s. 7(1) of the </w:t>
            </w:r>
            <w:r w:rsidRPr="00164D42">
              <w:rPr>
                <w:rFonts w:eastAsia="Calibri"/>
                <w:i/>
                <w:sz w:val="20"/>
              </w:rPr>
              <w:t>Controlled Drugs and Substances Act</w:t>
            </w:r>
            <w:r w:rsidRPr="00164D42">
              <w:rPr>
                <w:rFonts w:eastAsia="Calibri"/>
                <w:sz w:val="20"/>
              </w:rPr>
              <w:t xml:space="preserve">, S.C. 1996, c-19.  Police found a three-stage marihuana grow operation consisting of 128 growing marihuana plants and grow operation equipment in Ms. Kouch’s basement which had been entirely converted for the production of marihuana. At sentencing, counsel for Ms. Kouch outlines that she was 63 years old, had no criminal record and had immigrated from Vietnam 30 years prior.  Ms. Kouch was sentenced to a one-year conditional sentence with 24 hour house arrest for four months, a curfew for two months and no curfew for the remaining six months.  She is subject to a 10-year weapons prohibition, a secondary DNA order and was required to perform 30 hours of community service or make an equivalent charitable donation.  The Minister sought forfeiture of the house under ss. 19.8 and 19.94 of the </w:t>
            </w:r>
            <w:r w:rsidRPr="00164D42">
              <w:rPr>
                <w:rFonts w:eastAsia="Calibri"/>
                <w:i/>
                <w:sz w:val="20"/>
              </w:rPr>
              <w:t>Victim Restitution and Compensation Payment Act</w:t>
            </w:r>
            <w:r w:rsidRPr="00164D42">
              <w:rPr>
                <w:rFonts w:eastAsia="Calibri"/>
                <w:sz w:val="20"/>
              </w:rPr>
              <w:t>, S.A. 2001, c. V-3.5 on the basis that the property was used to carry out an illegal act that resulted in, was likely to result in, or was intended to result in the acquisition of other property, namely cash or in bodily harm.  The hearing judge declined to exercise her discretion to grant relief from forfeiture however, the Court of Appeal allowed the appeal finding that the evidence relating to the crop value was inadmissible.  The property disposal order was therefore vacated.</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June 14, 2013</w:t>
            </w:r>
          </w:p>
          <w:p w:rsidR="00B02DE5" w:rsidRPr="00164D42" w:rsidRDefault="00B02DE5" w:rsidP="00B02DE5">
            <w:pPr>
              <w:jc w:val="both"/>
              <w:rPr>
                <w:rFonts w:eastAsia="Calibri"/>
                <w:sz w:val="20"/>
              </w:rPr>
            </w:pPr>
            <w:r w:rsidRPr="00164D42">
              <w:rPr>
                <w:rFonts w:eastAsia="Calibri"/>
                <w:sz w:val="20"/>
              </w:rPr>
              <w:t>Court of Queen’s Bench of Alberta</w:t>
            </w:r>
          </w:p>
          <w:p w:rsidR="00B02DE5" w:rsidRPr="00164D42" w:rsidRDefault="00B02DE5" w:rsidP="00B02DE5">
            <w:pPr>
              <w:jc w:val="both"/>
              <w:rPr>
                <w:rFonts w:eastAsia="Calibri"/>
                <w:sz w:val="20"/>
              </w:rPr>
            </w:pPr>
            <w:r w:rsidRPr="00164D42">
              <w:rPr>
                <w:rFonts w:eastAsia="Calibri"/>
                <w:sz w:val="20"/>
              </w:rPr>
              <w:t>(Phillips J.)</w:t>
            </w:r>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Forfeiture order granted</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June 30, 2014</w:t>
            </w:r>
          </w:p>
          <w:p w:rsidR="00B02DE5" w:rsidRPr="00164D42" w:rsidRDefault="00B02DE5" w:rsidP="00B02DE5">
            <w:pPr>
              <w:jc w:val="both"/>
              <w:rPr>
                <w:rFonts w:eastAsia="Calibri"/>
                <w:sz w:val="20"/>
              </w:rPr>
            </w:pPr>
            <w:r w:rsidRPr="00164D42">
              <w:rPr>
                <w:rFonts w:eastAsia="Calibri"/>
                <w:sz w:val="20"/>
              </w:rPr>
              <w:t>Court of Appeal of Alberta (Calgary)</w:t>
            </w:r>
          </w:p>
          <w:p w:rsidR="00B02DE5" w:rsidRPr="00164D42" w:rsidRDefault="00B02DE5" w:rsidP="00B02DE5">
            <w:pPr>
              <w:jc w:val="both"/>
              <w:rPr>
                <w:rFonts w:eastAsia="Calibri"/>
                <w:sz w:val="20"/>
              </w:rPr>
            </w:pPr>
            <w:r w:rsidRPr="00164D42">
              <w:rPr>
                <w:rFonts w:eastAsia="Calibri"/>
                <w:sz w:val="20"/>
              </w:rPr>
              <w:t>(Conrad, O’Ferrall and Brown JJ.A.)</w:t>
            </w:r>
          </w:p>
          <w:p w:rsidR="00B02DE5" w:rsidRPr="00164D42" w:rsidRDefault="00B02DE5" w:rsidP="00B02DE5">
            <w:pPr>
              <w:jc w:val="both"/>
              <w:rPr>
                <w:rFonts w:eastAsia="Calibri"/>
                <w:sz w:val="20"/>
              </w:rPr>
            </w:pPr>
            <w:r w:rsidRPr="00164D42">
              <w:rPr>
                <w:rFonts w:eastAsia="Calibri"/>
                <w:sz w:val="20"/>
              </w:rPr>
              <w:t>2014 ABCA 215, 1301-0183-AC</w:t>
            </w:r>
          </w:p>
          <w:p w:rsidR="00B02DE5" w:rsidRPr="00164D42" w:rsidRDefault="00E4461B" w:rsidP="00B02DE5">
            <w:pPr>
              <w:jc w:val="both"/>
              <w:rPr>
                <w:rFonts w:eastAsia="Calibri"/>
                <w:sz w:val="20"/>
              </w:rPr>
            </w:pPr>
            <w:hyperlink r:id="rId94" w:history="1">
              <w:r w:rsidR="00B02DE5" w:rsidRPr="00164D42">
                <w:rPr>
                  <w:rFonts w:eastAsia="Calibri"/>
                  <w:color w:val="0000FF"/>
                  <w:sz w:val="20"/>
                  <w:u w:val="single"/>
                </w:rPr>
                <w:t>http://canlii.ca/t/g7rmw</w:t>
              </w:r>
            </w:hyperlink>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Appeal allowed; forfeiture order vacated</w:t>
            </w:r>
          </w:p>
          <w:p w:rsidR="00B02DE5" w:rsidRPr="00164D42" w:rsidRDefault="00B02DE5" w:rsidP="00B02DE5">
            <w:pPr>
              <w:jc w:val="both"/>
              <w:rPr>
                <w:rFonts w:eastAsia="Calibri"/>
                <w:sz w:val="20"/>
              </w:rPr>
            </w:pPr>
          </w:p>
        </w:tc>
      </w:tr>
      <w:tr w:rsidR="00B02DE5" w:rsidRPr="00164D42" w:rsidTr="00B02DE5">
        <w:tc>
          <w:tcPr>
            <w:tcW w:w="2427" w:type="pct"/>
          </w:tcPr>
          <w:p w:rsidR="00B02DE5" w:rsidRPr="00164D42" w:rsidRDefault="00B02DE5" w:rsidP="00B02DE5">
            <w:pPr>
              <w:jc w:val="both"/>
              <w:rPr>
                <w:rFonts w:eastAsia="Calibri"/>
                <w:sz w:val="20"/>
              </w:rPr>
            </w:pPr>
            <w:r w:rsidRPr="00164D42">
              <w:rPr>
                <w:rFonts w:eastAsia="Calibri"/>
                <w:sz w:val="20"/>
              </w:rPr>
              <w:t>September 29, 2014</w:t>
            </w:r>
          </w:p>
          <w:p w:rsidR="00B02DE5" w:rsidRPr="00164D42" w:rsidRDefault="00B02DE5" w:rsidP="00B02DE5">
            <w:pPr>
              <w:jc w:val="both"/>
              <w:rPr>
                <w:rFonts w:eastAsia="Calibri"/>
                <w:sz w:val="20"/>
              </w:rPr>
            </w:pPr>
            <w:r w:rsidRPr="00164D42">
              <w:rPr>
                <w:rFonts w:eastAsia="Calibri"/>
                <w:sz w:val="20"/>
              </w:rPr>
              <w:t>Supreme Court of Canada</w:t>
            </w: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rPr>
            </w:pPr>
            <w:r w:rsidRPr="00164D42">
              <w:rPr>
                <w:rFonts w:eastAsia="Calibri"/>
                <w:sz w:val="20"/>
              </w:rPr>
              <w:t>Application for leave to appeal filed</w:t>
            </w:r>
          </w:p>
          <w:p w:rsidR="00B02DE5" w:rsidRPr="00164D42" w:rsidRDefault="00B02DE5" w:rsidP="00B02DE5">
            <w:pPr>
              <w:jc w:val="both"/>
              <w:rPr>
                <w:rFonts w:eastAsia="Calibri"/>
                <w:sz w:val="20"/>
              </w:rPr>
            </w:pPr>
          </w:p>
        </w:tc>
      </w:tr>
    </w:tbl>
    <w:p w:rsidR="00B02DE5" w:rsidRDefault="00B02DE5" w:rsidP="00B02DE5">
      <w:pPr>
        <w:rPr>
          <w:sz w:val="20"/>
          <w:szCs w:val="20"/>
        </w:rPr>
      </w:pPr>
    </w:p>
    <w:p w:rsidR="00B02DE5" w:rsidRPr="00C50A5C" w:rsidRDefault="00E4461B" w:rsidP="00B02DE5">
      <w:pPr>
        <w:rPr>
          <w:sz w:val="20"/>
          <w:szCs w:val="20"/>
        </w:rPr>
      </w:pPr>
      <w:r>
        <w:rPr>
          <w:sz w:val="20"/>
          <w:szCs w:val="20"/>
          <w:lang w:val="fr-CA"/>
        </w:rPr>
        <w:pict>
          <v:rect id="_x0000_i1066" style="width:2in;height:1pt" o:hrpct="0" o:hralign="center" o:hrstd="t" o:hrnoshade="t" o:hr="t" fillcolor="black [3213]" stroked="f"/>
        </w:pict>
      </w:r>
    </w:p>
    <w:p w:rsidR="00B02DE5" w:rsidRDefault="00B02DE5" w:rsidP="00B02DE5">
      <w:pPr>
        <w:rPr>
          <w:sz w:val="20"/>
          <w:szCs w:val="20"/>
        </w:rPr>
      </w:pPr>
    </w:p>
    <w:p w:rsidR="00B02DE5" w:rsidRPr="001B157C" w:rsidRDefault="00B02DE5" w:rsidP="00B02DE5">
      <w:pPr>
        <w:rPr>
          <w:sz w:val="20"/>
          <w:szCs w:val="20"/>
          <w:u w:val="single"/>
          <w:lang w:val="fr-CA"/>
        </w:rPr>
      </w:pPr>
      <w:r w:rsidRPr="001B157C">
        <w:rPr>
          <w:sz w:val="20"/>
          <w:szCs w:val="20"/>
          <w:u w:val="single"/>
          <w:lang w:val="fr-CA"/>
        </w:rPr>
        <w:t>RÉSUMÉ DE L’AFFAIRE</w:t>
      </w:r>
    </w:p>
    <w:p w:rsidR="00B02DE5" w:rsidRDefault="00B02DE5" w:rsidP="00B02DE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02DE5" w:rsidRPr="00523DE7"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Biens – Ordonnances de confiscation – Comment faut-il aborder les demandes de non-confiscation de biens qui constituent des produits de la criminalité ou qui ont été utilisés pour perpétrer une activité illégale? – Quelle partie a le fardeau de la preuve lorsque le tribunal est saisi d’une demande de non-confiscation? – Quels facteurs, s’il en est, sont concluants dans une demande de non-confiscation? – </w:t>
            </w:r>
            <w:r w:rsidRPr="00164D42">
              <w:rPr>
                <w:rFonts w:eastAsia="Calibri"/>
                <w:i/>
                <w:sz w:val="20"/>
                <w:lang w:val="fr-CA"/>
              </w:rPr>
              <w:t>Victim Restitution and Compensation Payment Act</w:t>
            </w:r>
            <w:r w:rsidRPr="00164D42">
              <w:rPr>
                <w:rFonts w:eastAsia="Calibri"/>
                <w:sz w:val="20"/>
                <w:lang w:val="fr-CA"/>
              </w:rPr>
              <w:t>, S.A. 2001, ch. V-3.5, art. 19.94.</w:t>
            </w:r>
          </w:p>
        </w:tc>
      </w:tr>
      <w:tr w:rsidR="00B02DE5" w:rsidRPr="00523DE7" w:rsidTr="00B02DE5">
        <w:tc>
          <w:tcPr>
            <w:tcW w:w="5000" w:type="pct"/>
            <w:gridSpan w:val="3"/>
          </w:tcPr>
          <w:p w:rsidR="00B02DE5" w:rsidRPr="00164D42" w:rsidRDefault="00B02DE5" w:rsidP="00B02DE5">
            <w:pPr>
              <w:jc w:val="both"/>
              <w:rPr>
                <w:rFonts w:eastAsia="Calibri"/>
                <w:sz w:val="20"/>
                <w:lang w:val="fr-CA"/>
              </w:rPr>
            </w:pPr>
          </w:p>
        </w:tc>
      </w:tr>
      <w:tr w:rsidR="00B02DE5" w:rsidRPr="00164D42" w:rsidTr="00B02DE5">
        <w:tc>
          <w:tcPr>
            <w:tcW w:w="5000" w:type="pct"/>
            <w:gridSpan w:val="3"/>
          </w:tcPr>
          <w:p w:rsidR="00B02DE5" w:rsidRPr="00164D42" w:rsidRDefault="00B02DE5" w:rsidP="00B02DE5">
            <w:pPr>
              <w:jc w:val="both"/>
              <w:rPr>
                <w:rFonts w:eastAsia="Calibri"/>
                <w:sz w:val="20"/>
                <w:lang w:val="fr-CA"/>
              </w:rPr>
            </w:pPr>
            <w:r w:rsidRPr="00164D42">
              <w:rPr>
                <w:rFonts w:eastAsia="Calibri"/>
                <w:sz w:val="20"/>
                <w:lang w:val="fr-CA"/>
              </w:rPr>
              <w:t xml:space="preserve">Madame Kouch a plaidé coupable à la production de marihuana en contravention au par. 7(1) de la </w:t>
            </w:r>
            <w:r w:rsidRPr="00164D42">
              <w:rPr>
                <w:rFonts w:eastAsia="Calibri"/>
                <w:i/>
                <w:sz w:val="20"/>
                <w:lang w:val="fr-CA"/>
              </w:rPr>
              <w:t>Loi réglementant certaines drogues et autres substances</w:t>
            </w:r>
            <w:r w:rsidRPr="00164D42">
              <w:rPr>
                <w:rFonts w:eastAsia="Calibri"/>
                <w:sz w:val="20"/>
                <w:lang w:val="fr-CA"/>
              </w:rPr>
              <w:t xml:space="preserve">, L.C. 1996, ch-19.  Les policiers ont trouvé une installation de culture de la marihuana en trois étapes comprenant 128 plants de marihuana en croissance et de l’équipement de culture dans le sous-sol de Mme Kouch, lequel avait été entièrement converti pour la production de la marihuana.  À l’étape de la détermination de la peine, l’avocat de Mme Kouch a fait valoir que cette dernière était âgée de 63 ans, qu’elle n’avait aucun casier judiciaire et qu’elle avait immigré du Vietnam il y a 30 ans.  Madame Kouch a été condamnée à une peine d’un an avec sursis, à une détention à domicile de 24 heures pendant quatre mois et à un couvre-feu de deux mois, sans couvre-feu pour les six mois restants.  Elle fait l’objet d’une interdiction de posséder des armes à feu pendant dix ans et d’une ordonnance secondaire de prélèvement d’un échantillon d’ADN, et elle a été sommée d’accomplir trente heures de service communautaire ou de faire un don équivalent à un organisme de bienfaisance.  Le ministre a demandé la confiscation de la maison en application des art. 19.8 et 19.94 de la </w:t>
            </w:r>
            <w:r w:rsidRPr="00164D42">
              <w:rPr>
                <w:rFonts w:eastAsia="Calibri"/>
                <w:i/>
                <w:sz w:val="20"/>
                <w:lang w:val="fr-CA"/>
              </w:rPr>
              <w:t xml:space="preserve">Victim Restitution and </w:t>
            </w:r>
            <w:r w:rsidRPr="00164D42">
              <w:rPr>
                <w:rFonts w:eastAsia="Calibri"/>
                <w:i/>
                <w:sz w:val="20"/>
                <w:lang w:val="fr-CA"/>
              </w:rPr>
              <w:lastRenderedPageBreak/>
              <w:t>Compensation Payment Act</w:t>
            </w:r>
            <w:r w:rsidRPr="00164D42">
              <w:rPr>
                <w:rFonts w:eastAsia="Calibri"/>
                <w:sz w:val="20"/>
                <w:lang w:val="fr-CA"/>
              </w:rPr>
              <w:t>, S.A. 2001, ch. V-3.5, plaidant que les biens avaient été utilisés pour commettre un acte illégal qui a donné lieu –ou qui était susceptible de donner lieu ou destiné à donner lieu – à l’acquisition d’autres biens, c’est-à-dire de l’argent comptant, ou à un préjudice corporel.  La juge de première instance a refusé d’exercer son pouvoir discrétionnaire de ne pas ordonner la confiscation; toutefois, la Cour d’appel a accueilli l’appel, concluant que les éléments de preuve relatifs à la valeur de la récolte étaient non admissibles.  L’ordonnance d’aliénation des biens a donc été annulée.</w:t>
            </w:r>
          </w:p>
          <w:p w:rsidR="00B02DE5" w:rsidRPr="00164D42" w:rsidRDefault="00B02DE5" w:rsidP="00B02DE5">
            <w:pPr>
              <w:jc w:val="both"/>
              <w:rPr>
                <w:rFonts w:eastAsia="Calibri"/>
                <w:sz w:val="20"/>
                <w:lang w:val="fr-CA"/>
              </w:rPr>
            </w:pPr>
          </w:p>
        </w:tc>
      </w:tr>
      <w:tr w:rsidR="00B02DE5" w:rsidRPr="00164D42"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lastRenderedPageBreak/>
              <w:t>14 juin 2013</w:t>
            </w:r>
          </w:p>
          <w:p w:rsidR="00B02DE5" w:rsidRPr="00164D42" w:rsidRDefault="00B02DE5" w:rsidP="00B02DE5">
            <w:pPr>
              <w:jc w:val="both"/>
              <w:rPr>
                <w:rFonts w:eastAsia="Calibri"/>
                <w:sz w:val="20"/>
                <w:lang w:val="fr-CA"/>
              </w:rPr>
            </w:pPr>
            <w:r w:rsidRPr="00164D42">
              <w:rPr>
                <w:rFonts w:eastAsia="Calibri"/>
                <w:sz w:val="20"/>
                <w:lang w:val="fr-CA"/>
              </w:rPr>
              <w:t>Cour du Banc de la Reine de l’Alberta</w:t>
            </w:r>
          </w:p>
          <w:p w:rsidR="00B02DE5" w:rsidRPr="00164D42" w:rsidRDefault="00B02DE5" w:rsidP="00B02DE5">
            <w:pPr>
              <w:jc w:val="both"/>
              <w:rPr>
                <w:rFonts w:eastAsia="Calibri"/>
                <w:sz w:val="20"/>
                <w:lang w:val="fr-CA"/>
              </w:rPr>
            </w:pPr>
            <w:r w:rsidRPr="00164D42">
              <w:rPr>
                <w:rFonts w:eastAsia="Calibri"/>
                <w:sz w:val="20"/>
                <w:lang w:val="fr-CA"/>
              </w:rPr>
              <w:t>(Juge Phillips)</w:t>
            </w:r>
          </w:p>
          <w:p w:rsidR="00B02DE5" w:rsidRPr="00164D42" w:rsidRDefault="00B02DE5" w:rsidP="00B02DE5">
            <w:pPr>
              <w:jc w:val="both"/>
              <w:rPr>
                <w:rFonts w:eastAsia="Calibri"/>
                <w:sz w:val="20"/>
                <w:lang w:val="fr-CA"/>
              </w:rPr>
            </w:pP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Ordonnance de confiscation prononcée</w:t>
            </w:r>
          </w:p>
          <w:p w:rsidR="00B02DE5" w:rsidRPr="00164D42" w:rsidRDefault="00B02DE5" w:rsidP="00B02DE5">
            <w:pPr>
              <w:jc w:val="both"/>
              <w:rPr>
                <w:rFonts w:eastAsia="Calibri"/>
                <w:sz w:val="20"/>
                <w:lang w:val="fr-CA"/>
              </w:rPr>
            </w:pPr>
          </w:p>
        </w:tc>
      </w:tr>
      <w:tr w:rsidR="00B02DE5" w:rsidRPr="00002FFB"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30 juin 2014</w:t>
            </w:r>
          </w:p>
          <w:p w:rsidR="00B02DE5" w:rsidRPr="00164D42" w:rsidRDefault="00B02DE5" w:rsidP="00B02DE5">
            <w:pPr>
              <w:jc w:val="both"/>
              <w:rPr>
                <w:rFonts w:eastAsia="Calibri"/>
                <w:sz w:val="20"/>
                <w:lang w:val="fr-CA"/>
              </w:rPr>
            </w:pPr>
            <w:r w:rsidRPr="00164D42">
              <w:rPr>
                <w:rFonts w:eastAsia="Calibri"/>
                <w:sz w:val="20"/>
                <w:lang w:val="fr-CA"/>
              </w:rPr>
              <w:t>Cour d’appel de l’Alberta (Calgary)</w:t>
            </w:r>
          </w:p>
          <w:p w:rsidR="00B02DE5" w:rsidRPr="00164D42" w:rsidRDefault="00B02DE5" w:rsidP="00B02DE5">
            <w:pPr>
              <w:jc w:val="both"/>
              <w:rPr>
                <w:rFonts w:eastAsia="Calibri"/>
                <w:sz w:val="20"/>
                <w:lang w:val="fr-CA"/>
              </w:rPr>
            </w:pPr>
            <w:r w:rsidRPr="00164D42">
              <w:rPr>
                <w:rFonts w:eastAsia="Calibri"/>
                <w:sz w:val="20"/>
                <w:lang w:val="fr-CA"/>
              </w:rPr>
              <w:t>(Juges Conrad, O’Ferrall et Brown)</w:t>
            </w:r>
          </w:p>
          <w:p w:rsidR="00B02DE5" w:rsidRPr="00164D42" w:rsidRDefault="00B02DE5" w:rsidP="00B02DE5">
            <w:pPr>
              <w:jc w:val="both"/>
              <w:rPr>
                <w:rFonts w:eastAsia="Calibri"/>
                <w:sz w:val="20"/>
              </w:rPr>
            </w:pPr>
            <w:r w:rsidRPr="00164D42">
              <w:rPr>
                <w:rFonts w:eastAsia="Calibri"/>
                <w:sz w:val="20"/>
              </w:rPr>
              <w:t>2014 ABCA 215, 1301-0183-AC</w:t>
            </w:r>
          </w:p>
          <w:p w:rsidR="00B02DE5" w:rsidRPr="00164D42" w:rsidRDefault="00E4461B" w:rsidP="00B02DE5">
            <w:pPr>
              <w:jc w:val="both"/>
              <w:rPr>
                <w:rFonts w:eastAsia="Calibri"/>
                <w:sz w:val="20"/>
              </w:rPr>
            </w:pPr>
            <w:hyperlink r:id="rId95" w:history="1">
              <w:r w:rsidR="00B02DE5" w:rsidRPr="00164D42">
                <w:rPr>
                  <w:rFonts w:eastAsia="Calibri"/>
                  <w:color w:val="0000FF"/>
                  <w:sz w:val="20"/>
                  <w:u w:val="single"/>
                </w:rPr>
                <w:t>http://canlii.ca/t/g7rmw</w:t>
              </w:r>
            </w:hyperlink>
          </w:p>
          <w:p w:rsidR="00B02DE5" w:rsidRPr="00164D42" w:rsidRDefault="00B02DE5" w:rsidP="00B02DE5">
            <w:pPr>
              <w:jc w:val="both"/>
              <w:rPr>
                <w:rFonts w:eastAsia="Calibri"/>
                <w:sz w:val="20"/>
              </w:rPr>
            </w:pPr>
          </w:p>
        </w:tc>
        <w:tc>
          <w:tcPr>
            <w:tcW w:w="243" w:type="pct"/>
          </w:tcPr>
          <w:p w:rsidR="00B02DE5" w:rsidRPr="00164D42" w:rsidRDefault="00B02DE5" w:rsidP="00B02DE5">
            <w:pPr>
              <w:jc w:val="both"/>
              <w:rPr>
                <w:rFonts w:eastAsia="Calibri"/>
                <w:sz w:val="20"/>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Appel accueilli, ordonnance de confiscation annulée</w:t>
            </w:r>
          </w:p>
          <w:p w:rsidR="00B02DE5" w:rsidRPr="00164D42" w:rsidRDefault="00B02DE5" w:rsidP="00B02DE5">
            <w:pPr>
              <w:jc w:val="both"/>
              <w:rPr>
                <w:rFonts w:eastAsia="Calibri"/>
                <w:sz w:val="20"/>
                <w:lang w:val="fr-CA"/>
              </w:rPr>
            </w:pPr>
          </w:p>
        </w:tc>
      </w:tr>
      <w:tr w:rsidR="00B02DE5" w:rsidRPr="00164D42" w:rsidTr="00B02DE5">
        <w:tc>
          <w:tcPr>
            <w:tcW w:w="2427" w:type="pct"/>
          </w:tcPr>
          <w:p w:rsidR="00B02DE5" w:rsidRPr="00164D42" w:rsidRDefault="00B02DE5" w:rsidP="00B02DE5">
            <w:pPr>
              <w:jc w:val="both"/>
              <w:rPr>
                <w:rFonts w:eastAsia="Calibri"/>
                <w:sz w:val="20"/>
                <w:lang w:val="fr-CA"/>
              </w:rPr>
            </w:pPr>
            <w:r w:rsidRPr="00164D42">
              <w:rPr>
                <w:rFonts w:eastAsia="Calibri"/>
                <w:sz w:val="20"/>
                <w:lang w:val="fr-CA"/>
              </w:rPr>
              <w:t>29 septembre 2014</w:t>
            </w:r>
          </w:p>
          <w:p w:rsidR="00B02DE5" w:rsidRPr="00164D42" w:rsidRDefault="00B02DE5" w:rsidP="00B02DE5">
            <w:pPr>
              <w:jc w:val="both"/>
              <w:rPr>
                <w:rFonts w:eastAsia="Calibri"/>
                <w:sz w:val="20"/>
                <w:lang w:val="fr-CA"/>
              </w:rPr>
            </w:pPr>
            <w:r w:rsidRPr="00164D42">
              <w:rPr>
                <w:rFonts w:eastAsia="Calibri"/>
                <w:sz w:val="20"/>
                <w:lang w:val="fr-CA"/>
              </w:rPr>
              <w:t>Cour suprême du Canada</w:t>
            </w:r>
          </w:p>
        </w:tc>
        <w:tc>
          <w:tcPr>
            <w:tcW w:w="243" w:type="pct"/>
          </w:tcPr>
          <w:p w:rsidR="00B02DE5" w:rsidRPr="00164D42" w:rsidRDefault="00B02DE5" w:rsidP="00B02DE5">
            <w:pPr>
              <w:jc w:val="both"/>
              <w:rPr>
                <w:rFonts w:eastAsia="Calibri"/>
                <w:sz w:val="20"/>
                <w:lang w:val="fr-CA"/>
              </w:rPr>
            </w:pPr>
          </w:p>
        </w:tc>
        <w:tc>
          <w:tcPr>
            <w:tcW w:w="2330" w:type="pct"/>
          </w:tcPr>
          <w:p w:rsidR="00B02DE5" w:rsidRPr="00164D42" w:rsidRDefault="00B02DE5" w:rsidP="00B02DE5">
            <w:pPr>
              <w:jc w:val="both"/>
              <w:rPr>
                <w:rFonts w:eastAsia="Calibri"/>
                <w:sz w:val="20"/>
                <w:lang w:val="fr-CA"/>
              </w:rPr>
            </w:pPr>
            <w:r w:rsidRPr="00164D42">
              <w:rPr>
                <w:rFonts w:eastAsia="Calibri"/>
                <w:sz w:val="20"/>
                <w:lang w:val="fr-CA"/>
              </w:rPr>
              <w:t>Demande d’autorisation d’appel, déposée</w:t>
            </w:r>
          </w:p>
        </w:tc>
      </w:tr>
    </w:tbl>
    <w:p w:rsidR="00B02DE5" w:rsidRDefault="00B02DE5" w:rsidP="00B02DE5">
      <w:pPr>
        <w:rPr>
          <w:sz w:val="20"/>
          <w:szCs w:val="20"/>
        </w:rPr>
      </w:pPr>
    </w:p>
    <w:p w:rsidR="00B02DE5" w:rsidRDefault="00E4461B" w:rsidP="00B02DE5">
      <w:pPr>
        <w:rPr>
          <w:sz w:val="20"/>
          <w:szCs w:val="20"/>
          <w:lang w:val="fr-CA"/>
        </w:rPr>
      </w:pPr>
      <w:r>
        <w:rPr>
          <w:sz w:val="20"/>
          <w:szCs w:val="20"/>
          <w:lang w:val="fr-CA"/>
        </w:rPr>
        <w:pict>
          <v:rect id="_x0000_i1067" style="width:2in;height:1pt" o:hrpct="0" o:hralign="center" o:hrstd="t" o:hrnoshade="t" o:hr="t" fillcolor="black [3213]" stroked="f"/>
        </w:pict>
      </w:r>
    </w:p>
    <w:p w:rsidR="00B02DE5" w:rsidRDefault="00B02DE5" w:rsidP="00B02DE5">
      <w:pPr>
        <w:rPr>
          <w:sz w:val="20"/>
          <w:szCs w:val="20"/>
        </w:rPr>
      </w:pPr>
    </w:p>
    <w:tbl>
      <w:tblPr>
        <w:tblStyle w:val="TableGrid1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04285" w:rsidRPr="00004285" w:rsidTr="00AE57BE">
        <w:trPr>
          <w:cantSplit/>
        </w:trPr>
        <w:tc>
          <w:tcPr>
            <w:tcW w:w="1458" w:type="dxa"/>
          </w:tcPr>
          <w:p w:rsidR="00004285" w:rsidRPr="00004285" w:rsidRDefault="00004285" w:rsidP="00004285">
            <w:pPr>
              <w:rPr>
                <w:sz w:val="20"/>
              </w:rPr>
            </w:pPr>
            <w:r w:rsidRPr="00004285">
              <w:rPr>
                <w:b/>
                <w:sz w:val="20"/>
                <w:lang w:val="fr-CA"/>
              </w:rPr>
              <w:t>36111</w:t>
            </w:r>
          </w:p>
          <w:p w:rsidR="00004285" w:rsidRPr="00004285" w:rsidRDefault="00004285" w:rsidP="00004285">
            <w:pPr>
              <w:rPr>
                <w:b/>
                <w:sz w:val="20"/>
                <w:lang w:val="fr-CA"/>
              </w:rPr>
            </w:pPr>
          </w:p>
        </w:tc>
        <w:tc>
          <w:tcPr>
            <w:tcW w:w="8118" w:type="dxa"/>
          </w:tcPr>
          <w:p w:rsidR="00004285" w:rsidRPr="00004285" w:rsidRDefault="00004285" w:rsidP="00004285">
            <w:pPr>
              <w:rPr>
                <w:sz w:val="20"/>
              </w:rPr>
            </w:pPr>
            <w:r w:rsidRPr="00004285">
              <w:rPr>
                <w:b/>
                <w:sz w:val="20"/>
                <w:u w:val="single"/>
              </w:rPr>
              <w:t>Terry Theo Thompson v. Her Majesty the Queen</w:t>
            </w:r>
            <w:r w:rsidRPr="00004285">
              <w:rPr>
                <w:sz w:val="20"/>
              </w:rPr>
              <w:t xml:space="preserve"> (Ont.) (Criminal) (By Leave)</w:t>
            </w:r>
          </w:p>
          <w:p w:rsidR="00004285" w:rsidRPr="00004285" w:rsidRDefault="00004285" w:rsidP="00004285">
            <w:pPr>
              <w:rPr>
                <w:sz w:val="20"/>
              </w:rPr>
            </w:pPr>
          </w:p>
        </w:tc>
      </w:tr>
      <w:tr w:rsidR="00004285" w:rsidRPr="00004285" w:rsidTr="00AE57BE">
        <w:trPr>
          <w:cantSplit/>
        </w:trPr>
        <w:tc>
          <w:tcPr>
            <w:tcW w:w="1458" w:type="dxa"/>
          </w:tcPr>
          <w:p w:rsidR="00004285" w:rsidRPr="00004285" w:rsidRDefault="00004285" w:rsidP="00004285">
            <w:pPr>
              <w:rPr>
                <w:sz w:val="20"/>
              </w:rPr>
            </w:pPr>
            <w:r w:rsidRPr="00004285">
              <w:rPr>
                <w:sz w:val="20"/>
              </w:rPr>
              <w:t>Coram :</w:t>
            </w:r>
          </w:p>
        </w:tc>
        <w:tc>
          <w:tcPr>
            <w:tcW w:w="8118" w:type="dxa"/>
          </w:tcPr>
          <w:p w:rsidR="00004285" w:rsidRPr="00004285" w:rsidRDefault="00004285" w:rsidP="00004285">
            <w:pPr>
              <w:rPr>
                <w:sz w:val="20"/>
              </w:rPr>
            </w:pPr>
            <w:r w:rsidRPr="00004285">
              <w:rPr>
                <w:sz w:val="20"/>
                <w:u w:val="single"/>
              </w:rPr>
              <w:t>LeBel, Karakatsanis and Gascon JJ.</w:t>
            </w:r>
          </w:p>
          <w:p w:rsidR="00004285" w:rsidRPr="00004285" w:rsidRDefault="00004285" w:rsidP="00004285">
            <w:pPr>
              <w:rPr>
                <w:sz w:val="20"/>
                <w:u w:val="single"/>
              </w:rPr>
            </w:pPr>
          </w:p>
        </w:tc>
      </w:tr>
      <w:tr w:rsidR="00004285" w:rsidRPr="00002FFB" w:rsidTr="00AE57BE">
        <w:trPr>
          <w:cantSplit/>
        </w:trPr>
        <w:tc>
          <w:tcPr>
            <w:tcW w:w="9576" w:type="dxa"/>
            <w:gridSpan w:val="2"/>
          </w:tcPr>
          <w:p w:rsidR="00004285" w:rsidRPr="00004285" w:rsidRDefault="00004285" w:rsidP="00004285">
            <w:pPr>
              <w:ind w:firstLine="720"/>
              <w:jc w:val="both"/>
              <w:rPr>
                <w:sz w:val="20"/>
              </w:rPr>
            </w:pPr>
            <w:r w:rsidRPr="00004285">
              <w:rPr>
                <w:sz w:val="20"/>
              </w:rPr>
              <w:t>The application for leave to appeal from the judgment of the Court of Appeal for Ontario, Number C58148, dated July 11, 2014, is dismissed without costs.</w:t>
            </w:r>
          </w:p>
          <w:p w:rsidR="00004285" w:rsidRPr="00004285" w:rsidRDefault="00004285" w:rsidP="00004285">
            <w:pPr>
              <w:jc w:val="both"/>
              <w:rPr>
                <w:sz w:val="20"/>
              </w:rPr>
            </w:pPr>
          </w:p>
          <w:p w:rsidR="00004285" w:rsidRPr="00004285" w:rsidRDefault="00004285" w:rsidP="00004285">
            <w:pPr>
              <w:ind w:firstLine="720"/>
              <w:jc w:val="both"/>
              <w:rPr>
                <w:sz w:val="20"/>
                <w:lang w:val="fr-CA"/>
              </w:rPr>
            </w:pPr>
            <w:r w:rsidRPr="00004285">
              <w:rPr>
                <w:sz w:val="20"/>
                <w:lang w:val="fr-CA"/>
              </w:rPr>
              <w:t>La demande d’autorisation d’appel de l’arrêt de la Cour d’appel de l’Ontario, numéro C58148, daté du 11 juillet 2014, est rejetée sans dépens.</w:t>
            </w:r>
          </w:p>
        </w:tc>
      </w:tr>
    </w:tbl>
    <w:p w:rsidR="00B02DE5" w:rsidRPr="00004285" w:rsidRDefault="00B02DE5" w:rsidP="00B02DE5">
      <w:pPr>
        <w:rPr>
          <w:sz w:val="20"/>
          <w:szCs w:val="20"/>
          <w:lang w:val="fr-CA"/>
        </w:rPr>
      </w:pPr>
    </w:p>
    <w:p w:rsidR="00B02DE5" w:rsidRPr="001B157C" w:rsidRDefault="00B02DE5" w:rsidP="00B02DE5">
      <w:pPr>
        <w:rPr>
          <w:sz w:val="20"/>
          <w:szCs w:val="20"/>
          <w:u w:val="single"/>
        </w:rPr>
      </w:pPr>
      <w:r w:rsidRPr="001B157C">
        <w:rPr>
          <w:sz w:val="20"/>
          <w:szCs w:val="20"/>
          <w:u w:val="single"/>
        </w:rPr>
        <w:t>CASE SUMMARY</w:t>
      </w:r>
    </w:p>
    <w:p w:rsidR="00B02DE5" w:rsidRDefault="00B02DE5" w:rsidP="00B02DE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163AF" w:rsidRPr="00164D42" w:rsidTr="008D35A1">
        <w:tc>
          <w:tcPr>
            <w:tcW w:w="5000" w:type="pct"/>
            <w:gridSpan w:val="3"/>
          </w:tcPr>
          <w:p w:rsidR="003163AF" w:rsidRPr="00164D42" w:rsidRDefault="003163AF" w:rsidP="008D35A1">
            <w:pPr>
              <w:jc w:val="both"/>
              <w:rPr>
                <w:rFonts w:eastAsia="Calibri"/>
                <w:sz w:val="20"/>
              </w:rPr>
            </w:pPr>
            <w:r w:rsidRPr="00164D42">
              <w:rPr>
                <w:rFonts w:eastAsia="Calibri"/>
                <w:sz w:val="20"/>
              </w:rPr>
              <w:t xml:space="preserve">Criminal law – Obedience to </w:t>
            </w:r>
            <w:r w:rsidRPr="00164D42">
              <w:rPr>
                <w:rFonts w:eastAsia="Calibri"/>
                <w:i/>
                <w:sz w:val="20"/>
              </w:rPr>
              <w:t>de facto</w:t>
            </w:r>
            <w:r w:rsidRPr="00164D42">
              <w:rPr>
                <w:rFonts w:eastAsia="Calibri"/>
                <w:sz w:val="20"/>
              </w:rPr>
              <w:t xml:space="preserve"> law – Section 15 of the </w:t>
            </w:r>
            <w:r w:rsidRPr="00164D42">
              <w:rPr>
                <w:rFonts w:eastAsia="Calibri"/>
                <w:i/>
                <w:sz w:val="20"/>
              </w:rPr>
              <w:t>Criminal Code</w:t>
            </w:r>
            <w:r w:rsidRPr="00164D42">
              <w:rPr>
                <w:rFonts w:eastAsia="Calibri"/>
                <w:sz w:val="20"/>
              </w:rPr>
              <w:t xml:space="preserve"> states that a person shall not be convicted of an offence in respect of an act or omission in obedience with the laws for the time being made and enforced by person in </w:t>
            </w:r>
            <w:r w:rsidRPr="00164D42">
              <w:rPr>
                <w:rFonts w:eastAsia="Calibri"/>
                <w:i/>
                <w:sz w:val="20"/>
              </w:rPr>
              <w:t>de facto</w:t>
            </w:r>
            <w:r w:rsidRPr="00164D42">
              <w:rPr>
                <w:rFonts w:eastAsia="Calibri"/>
                <w:sz w:val="20"/>
              </w:rPr>
              <w:t xml:space="preserve"> possession of the sovereign power in and over the place where the act or omission occurs – Once a claim of right is established, it is a lawful excuse, and that factual truth is expressed in section 39 of the </w:t>
            </w:r>
            <w:r w:rsidRPr="00164D42">
              <w:rPr>
                <w:rFonts w:eastAsia="Calibri"/>
                <w:i/>
                <w:sz w:val="20"/>
              </w:rPr>
              <w:t>Criminal Code</w:t>
            </w:r>
            <w:r w:rsidRPr="00164D42">
              <w:rPr>
                <w:rFonts w:eastAsia="Calibri"/>
                <w:sz w:val="20"/>
              </w:rPr>
              <w:t>, R.S.C. 1985, c. C-45.</w:t>
            </w:r>
          </w:p>
        </w:tc>
      </w:tr>
      <w:tr w:rsidR="003163AF" w:rsidRPr="00164D42" w:rsidTr="008D35A1">
        <w:tc>
          <w:tcPr>
            <w:tcW w:w="5000" w:type="pct"/>
            <w:gridSpan w:val="3"/>
          </w:tcPr>
          <w:p w:rsidR="003163AF" w:rsidRPr="00164D42" w:rsidRDefault="003163AF" w:rsidP="008D35A1">
            <w:pPr>
              <w:jc w:val="both"/>
              <w:rPr>
                <w:rFonts w:eastAsia="Calibri"/>
                <w:sz w:val="20"/>
              </w:rPr>
            </w:pPr>
          </w:p>
        </w:tc>
      </w:tr>
      <w:tr w:rsidR="003163AF" w:rsidRPr="00164D42" w:rsidTr="008D35A1">
        <w:tc>
          <w:tcPr>
            <w:tcW w:w="5000" w:type="pct"/>
            <w:gridSpan w:val="3"/>
          </w:tcPr>
          <w:p w:rsidR="003163AF" w:rsidRPr="00164D42" w:rsidRDefault="003163AF" w:rsidP="008D35A1">
            <w:pPr>
              <w:jc w:val="both"/>
              <w:rPr>
                <w:rFonts w:eastAsia="Calibri"/>
                <w:sz w:val="20"/>
              </w:rPr>
            </w:pPr>
            <w:r w:rsidRPr="00164D42">
              <w:rPr>
                <w:rFonts w:eastAsia="Calibri"/>
                <w:sz w:val="20"/>
              </w:rPr>
              <w:t xml:space="preserve">The applicant was convicted of possession of controlled substance for the purpose of importing cocaine into Canada and possession of a device intended to use in forging credit card data.  On appeal, the applicant relied on s. 15 of the </w:t>
            </w:r>
            <w:r w:rsidRPr="00164D42">
              <w:rPr>
                <w:rFonts w:eastAsia="Calibri"/>
                <w:i/>
                <w:sz w:val="20"/>
              </w:rPr>
              <w:t>Criminal Code</w:t>
            </w:r>
            <w:r w:rsidRPr="00164D42">
              <w:rPr>
                <w:rFonts w:eastAsia="Calibri"/>
                <w:sz w:val="20"/>
              </w:rPr>
              <w:t xml:space="preserve"> for the proposition that the lower court did not have jurisdiction as he was in </w:t>
            </w:r>
            <w:r w:rsidRPr="00164D42">
              <w:rPr>
                <w:rFonts w:eastAsia="Calibri"/>
                <w:i/>
                <w:sz w:val="20"/>
              </w:rPr>
              <w:t>de facto</w:t>
            </w:r>
            <w:r w:rsidRPr="00164D42">
              <w:rPr>
                <w:rFonts w:eastAsia="Calibri"/>
                <w:sz w:val="20"/>
              </w:rPr>
              <w:t xml:space="preserve"> possession of a sovereign power.  The appellate court dismissed the appeal, finding that there was no merit to the applicant’s argument.</w:t>
            </w:r>
          </w:p>
          <w:p w:rsidR="003163AF" w:rsidRPr="00164D42" w:rsidRDefault="003163AF" w:rsidP="008D35A1">
            <w:pPr>
              <w:jc w:val="both"/>
              <w:rPr>
                <w:rFonts w:eastAsia="Calibri"/>
                <w:sz w:val="20"/>
              </w:rPr>
            </w:pPr>
          </w:p>
        </w:tc>
      </w:tr>
      <w:tr w:rsidR="003163AF" w:rsidRPr="00164D42" w:rsidTr="00004285">
        <w:trPr>
          <w:cantSplit/>
        </w:trPr>
        <w:tc>
          <w:tcPr>
            <w:tcW w:w="2427" w:type="pct"/>
          </w:tcPr>
          <w:p w:rsidR="003163AF" w:rsidRPr="00164D42" w:rsidRDefault="003163AF" w:rsidP="008D35A1">
            <w:pPr>
              <w:jc w:val="both"/>
              <w:rPr>
                <w:rFonts w:eastAsia="Calibri"/>
                <w:sz w:val="20"/>
              </w:rPr>
            </w:pPr>
            <w:r w:rsidRPr="00164D42">
              <w:rPr>
                <w:rFonts w:eastAsia="Calibri"/>
                <w:sz w:val="20"/>
              </w:rPr>
              <w:lastRenderedPageBreak/>
              <w:t>January 11, 2013</w:t>
            </w:r>
          </w:p>
          <w:p w:rsidR="003163AF" w:rsidRPr="00164D42" w:rsidRDefault="003163AF" w:rsidP="008D35A1">
            <w:pPr>
              <w:jc w:val="both"/>
              <w:rPr>
                <w:rFonts w:eastAsia="Calibri"/>
                <w:sz w:val="20"/>
              </w:rPr>
            </w:pPr>
            <w:r w:rsidRPr="00164D42">
              <w:rPr>
                <w:rFonts w:eastAsia="Calibri"/>
                <w:sz w:val="20"/>
              </w:rPr>
              <w:t>Ontario Superior Court of Justice</w:t>
            </w:r>
          </w:p>
          <w:p w:rsidR="003163AF" w:rsidRPr="00164D42" w:rsidRDefault="003163AF" w:rsidP="008D35A1">
            <w:pPr>
              <w:jc w:val="both"/>
              <w:rPr>
                <w:rFonts w:eastAsia="Calibri"/>
                <w:sz w:val="20"/>
              </w:rPr>
            </w:pPr>
            <w:r w:rsidRPr="00164D42">
              <w:rPr>
                <w:rFonts w:eastAsia="Calibri"/>
                <w:sz w:val="20"/>
              </w:rPr>
              <w:t>(Sproat J.)</w:t>
            </w:r>
          </w:p>
          <w:p w:rsidR="003163AF" w:rsidRPr="00164D42" w:rsidRDefault="003163AF" w:rsidP="008D35A1">
            <w:pPr>
              <w:jc w:val="both"/>
              <w:rPr>
                <w:rFonts w:eastAsia="Calibri"/>
                <w:sz w:val="20"/>
              </w:rPr>
            </w:pPr>
          </w:p>
        </w:tc>
        <w:tc>
          <w:tcPr>
            <w:tcW w:w="243" w:type="pct"/>
          </w:tcPr>
          <w:p w:rsidR="003163AF" w:rsidRPr="00164D42" w:rsidRDefault="003163AF" w:rsidP="008D35A1">
            <w:pPr>
              <w:jc w:val="both"/>
              <w:rPr>
                <w:rFonts w:eastAsia="Calibri"/>
                <w:sz w:val="20"/>
              </w:rPr>
            </w:pPr>
          </w:p>
        </w:tc>
        <w:tc>
          <w:tcPr>
            <w:tcW w:w="2330" w:type="pct"/>
          </w:tcPr>
          <w:p w:rsidR="003163AF" w:rsidRPr="00164D42" w:rsidRDefault="003163AF" w:rsidP="008D35A1">
            <w:pPr>
              <w:jc w:val="both"/>
              <w:rPr>
                <w:rFonts w:eastAsia="Calibri"/>
                <w:sz w:val="20"/>
              </w:rPr>
            </w:pPr>
            <w:r w:rsidRPr="00164D42">
              <w:rPr>
                <w:rFonts w:eastAsia="Calibri"/>
                <w:sz w:val="20"/>
              </w:rPr>
              <w:t xml:space="preserve">Applicant convicted of possession of controlled substance for the purpose of importing cocaine into Canada and possession of device intended to use in forging credit card data </w:t>
            </w:r>
          </w:p>
          <w:p w:rsidR="003163AF" w:rsidRPr="00164D42" w:rsidRDefault="003163AF" w:rsidP="008D35A1">
            <w:pPr>
              <w:jc w:val="both"/>
              <w:rPr>
                <w:rFonts w:eastAsia="Calibri"/>
                <w:sz w:val="20"/>
              </w:rPr>
            </w:pPr>
          </w:p>
        </w:tc>
      </w:tr>
      <w:tr w:rsidR="003163AF" w:rsidRPr="00164D42" w:rsidTr="00004285">
        <w:trPr>
          <w:cantSplit/>
        </w:trPr>
        <w:tc>
          <w:tcPr>
            <w:tcW w:w="2427" w:type="pct"/>
          </w:tcPr>
          <w:p w:rsidR="003163AF" w:rsidRPr="00164D42" w:rsidRDefault="003163AF" w:rsidP="008D35A1">
            <w:pPr>
              <w:jc w:val="both"/>
              <w:rPr>
                <w:rFonts w:eastAsia="Calibri"/>
                <w:sz w:val="20"/>
              </w:rPr>
            </w:pPr>
            <w:r w:rsidRPr="00164D42">
              <w:rPr>
                <w:rFonts w:eastAsia="Calibri"/>
                <w:sz w:val="20"/>
              </w:rPr>
              <w:t>July 11, 2014</w:t>
            </w:r>
          </w:p>
          <w:p w:rsidR="003163AF" w:rsidRPr="00164D42" w:rsidRDefault="003163AF" w:rsidP="008D35A1">
            <w:pPr>
              <w:jc w:val="both"/>
              <w:rPr>
                <w:rFonts w:eastAsia="Calibri"/>
                <w:sz w:val="20"/>
              </w:rPr>
            </w:pPr>
            <w:r w:rsidRPr="00164D42">
              <w:rPr>
                <w:rFonts w:eastAsia="Calibri"/>
                <w:sz w:val="20"/>
              </w:rPr>
              <w:t>Court of Appeal for Ontario</w:t>
            </w:r>
          </w:p>
          <w:p w:rsidR="003163AF" w:rsidRPr="00164D42" w:rsidRDefault="003163AF" w:rsidP="008D35A1">
            <w:pPr>
              <w:jc w:val="both"/>
              <w:rPr>
                <w:rFonts w:eastAsia="Calibri"/>
                <w:sz w:val="20"/>
              </w:rPr>
            </w:pPr>
            <w:r w:rsidRPr="00164D42">
              <w:rPr>
                <w:rFonts w:eastAsia="Calibri"/>
                <w:sz w:val="20"/>
              </w:rPr>
              <w:t xml:space="preserve">(MacFarland, Rouleau, and van Rensburg </w:t>
            </w:r>
          </w:p>
          <w:p w:rsidR="003163AF" w:rsidRPr="00164D42" w:rsidRDefault="003163AF" w:rsidP="008D35A1">
            <w:pPr>
              <w:jc w:val="both"/>
              <w:rPr>
                <w:rFonts w:eastAsia="Calibri"/>
                <w:sz w:val="20"/>
              </w:rPr>
            </w:pPr>
            <w:r w:rsidRPr="00164D42">
              <w:rPr>
                <w:rFonts w:eastAsia="Calibri"/>
                <w:sz w:val="20"/>
              </w:rPr>
              <w:t>JJ.A.)</w:t>
            </w:r>
          </w:p>
          <w:p w:rsidR="003163AF" w:rsidRPr="00164D42" w:rsidRDefault="003163AF" w:rsidP="008D35A1">
            <w:pPr>
              <w:jc w:val="both"/>
              <w:rPr>
                <w:rFonts w:eastAsia="Calibri"/>
                <w:sz w:val="20"/>
              </w:rPr>
            </w:pPr>
          </w:p>
        </w:tc>
        <w:tc>
          <w:tcPr>
            <w:tcW w:w="243" w:type="pct"/>
          </w:tcPr>
          <w:p w:rsidR="003163AF" w:rsidRPr="00164D42" w:rsidRDefault="003163AF" w:rsidP="008D35A1">
            <w:pPr>
              <w:jc w:val="both"/>
              <w:rPr>
                <w:rFonts w:eastAsia="Calibri"/>
                <w:sz w:val="20"/>
              </w:rPr>
            </w:pPr>
          </w:p>
        </w:tc>
        <w:tc>
          <w:tcPr>
            <w:tcW w:w="2330" w:type="pct"/>
          </w:tcPr>
          <w:p w:rsidR="003163AF" w:rsidRPr="00164D42" w:rsidRDefault="003163AF" w:rsidP="008D35A1">
            <w:pPr>
              <w:jc w:val="both"/>
              <w:rPr>
                <w:rFonts w:eastAsia="Calibri"/>
                <w:sz w:val="20"/>
              </w:rPr>
            </w:pPr>
            <w:r w:rsidRPr="00164D42">
              <w:rPr>
                <w:rFonts w:eastAsia="Calibri"/>
                <w:sz w:val="20"/>
              </w:rPr>
              <w:t>Appeal dismissed</w:t>
            </w:r>
          </w:p>
          <w:p w:rsidR="003163AF" w:rsidRPr="00164D42" w:rsidRDefault="003163AF" w:rsidP="008D35A1">
            <w:pPr>
              <w:jc w:val="both"/>
              <w:rPr>
                <w:rFonts w:eastAsia="Calibri"/>
                <w:sz w:val="20"/>
              </w:rPr>
            </w:pPr>
          </w:p>
        </w:tc>
      </w:tr>
      <w:tr w:rsidR="003163AF" w:rsidRPr="00164D42" w:rsidTr="00004285">
        <w:trPr>
          <w:cantSplit/>
        </w:trPr>
        <w:tc>
          <w:tcPr>
            <w:tcW w:w="2427" w:type="pct"/>
          </w:tcPr>
          <w:p w:rsidR="003163AF" w:rsidRPr="00164D42" w:rsidRDefault="003163AF" w:rsidP="008D35A1">
            <w:pPr>
              <w:jc w:val="both"/>
              <w:rPr>
                <w:rFonts w:eastAsia="Calibri"/>
                <w:sz w:val="20"/>
              </w:rPr>
            </w:pPr>
            <w:r w:rsidRPr="00164D42">
              <w:rPr>
                <w:rFonts w:eastAsia="Calibri"/>
                <w:sz w:val="20"/>
              </w:rPr>
              <w:t>July 21, 2014</w:t>
            </w:r>
          </w:p>
          <w:p w:rsidR="003163AF" w:rsidRPr="00164D42" w:rsidRDefault="003163AF" w:rsidP="008D35A1">
            <w:pPr>
              <w:jc w:val="both"/>
              <w:rPr>
                <w:rFonts w:eastAsia="Calibri"/>
                <w:sz w:val="20"/>
              </w:rPr>
            </w:pPr>
            <w:r w:rsidRPr="00164D42">
              <w:rPr>
                <w:rFonts w:eastAsia="Calibri"/>
                <w:sz w:val="20"/>
              </w:rPr>
              <w:t>Supreme Court of Canada</w:t>
            </w:r>
          </w:p>
        </w:tc>
        <w:tc>
          <w:tcPr>
            <w:tcW w:w="243" w:type="pct"/>
          </w:tcPr>
          <w:p w:rsidR="003163AF" w:rsidRPr="00164D42" w:rsidRDefault="003163AF" w:rsidP="008D35A1">
            <w:pPr>
              <w:jc w:val="both"/>
              <w:rPr>
                <w:rFonts w:eastAsia="Calibri"/>
                <w:sz w:val="20"/>
              </w:rPr>
            </w:pPr>
          </w:p>
        </w:tc>
        <w:tc>
          <w:tcPr>
            <w:tcW w:w="2330" w:type="pct"/>
          </w:tcPr>
          <w:p w:rsidR="003163AF" w:rsidRPr="00164D42" w:rsidRDefault="003163AF" w:rsidP="008D35A1">
            <w:pPr>
              <w:jc w:val="both"/>
              <w:rPr>
                <w:rFonts w:eastAsia="Calibri"/>
                <w:sz w:val="20"/>
              </w:rPr>
            </w:pPr>
            <w:r w:rsidRPr="00164D42">
              <w:rPr>
                <w:rFonts w:eastAsia="Calibri"/>
                <w:sz w:val="20"/>
              </w:rPr>
              <w:t>Application for leave to appeal filed</w:t>
            </w:r>
          </w:p>
          <w:p w:rsidR="003163AF" w:rsidRPr="00164D42" w:rsidRDefault="003163AF" w:rsidP="008D35A1">
            <w:pPr>
              <w:jc w:val="both"/>
              <w:rPr>
                <w:rFonts w:eastAsia="Calibri"/>
                <w:sz w:val="20"/>
              </w:rPr>
            </w:pPr>
          </w:p>
        </w:tc>
      </w:tr>
    </w:tbl>
    <w:p w:rsidR="00B02DE5" w:rsidRDefault="00B02DE5" w:rsidP="00B02DE5">
      <w:pPr>
        <w:rPr>
          <w:sz w:val="20"/>
          <w:szCs w:val="20"/>
        </w:rPr>
      </w:pPr>
    </w:p>
    <w:p w:rsidR="00B02DE5" w:rsidRPr="00C50A5C" w:rsidRDefault="00E4461B" w:rsidP="00B02DE5">
      <w:pPr>
        <w:rPr>
          <w:sz w:val="20"/>
          <w:szCs w:val="20"/>
        </w:rPr>
      </w:pPr>
      <w:r>
        <w:rPr>
          <w:sz w:val="20"/>
          <w:szCs w:val="20"/>
          <w:lang w:val="fr-CA"/>
        </w:rPr>
        <w:pict>
          <v:rect id="_x0000_i1068" style="width:2in;height:1pt" o:hrpct="0" o:hralign="center" o:hrstd="t" o:hrnoshade="t" o:hr="t" fillcolor="black [3213]" stroked="f"/>
        </w:pict>
      </w:r>
    </w:p>
    <w:p w:rsidR="00B02DE5" w:rsidRDefault="00B02DE5" w:rsidP="00B02DE5">
      <w:pPr>
        <w:rPr>
          <w:sz w:val="20"/>
          <w:szCs w:val="20"/>
        </w:rPr>
      </w:pPr>
    </w:p>
    <w:p w:rsidR="00B02DE5" w:rsidRPr="001B157C" w:rsidRDefault="00B02DE5" w:rsidP="00B02DE5">
      <w:pPr>
        <w:rPr>
          <w:sz w:val="20"/>
          <w:szCs w:val="20"/>
          <w:u w:val="single"/>
          <w:lang w:val="fr-CA"/>
        </w:rPr>
      </w:pPr>
      <w:r w:rsidRPr="001B157C">
        <w:rPr>
          <w:sz w:val="20"/>
          <w:szCs w:val="20"/>
          <w:u w:val="single"/>
          <w:lang w:val="fr-CA"/>
        </w:rPr>
        <w:t>RÉSUMÉ DE L’AFFAIRE</w:t>
      </w:r>
    </w:p>
    <w:p w:rsidR="00B02DE5" w:rsidRDefault="00B02DE5" w:rsidP="00B02DE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163AF" w:rsidRPr="00002FFB" w:rsidTr="008D35A1">
        <w:tc>
          <w:tcPr>
            <w:tcW w:w="5000" w:type="pct"/>
            <w:gridSpan w:val="3"/>
          </w:tcPr>
          <w:p w:rsidR="003163AF" w:rsidRPr="00164D42" w:rsidRDefault="003163AF" w:rsidP="008D35A1">
            <w:pPr>
              <w:jc w:val="both"/>
              <w:rPr>
                <w:rFonts w:eastAsia="Calibri"/>
                <w:sz w:val="20"/>
                <w:lang w:val="fr-CA"/>
              </w:rPr>
            </w:pPr>
            <w:r w:rsidRPr="00164D42">
              <w:rPr>
                <w:rFonts w:eastAsia="Calibri"/>
                <w:sz w:val="20"/>
                <w:lang w:val="fr-CA"/>
              </w:rPr>
              <w:t xml:space="preserve">Droit criminel – Obéissance à une loi </w:t>
            </w:r>
            <w:r w:rsidRPr="00164D42">
              <w:rPr>
                <w:rFonts w:eastAsia="Calibri"/>
                <w:i/>
                <w:sz w:val="20"/>
                <w:lang w:val="fr-CA"/>
              </w:rPr>
              <w:t>de facto</w:t>
            </w:r>
            <w:r w:rsidRPr="00164D42">
              <w:rPr>
                <w:rFonts w:eastAsia="Calibri"/>
                <w:sz w:val="20"/>
                <w:lang w:val="fr-CA"/>
              </w:rPr>
              <w:t xml:space="preserve"> – L’article 15 du </w:t>
            </w:r>
            <w:r w:rsidRPr="00164D42">
              <w:rPr>
                <w:rFonts w:eastAsia="Calibri"/>
                <w:i/>
                <w:sz w:val="20"/>
                <w:lang w:val="fr-CA"/>
              </w:rPr>
              <w:t>Code criminel</w:t>
            </w:r>
            <w:r w:rsidRPr="00164D42">
              <w:rPr>
                <w:rFonts w:eastAsia="Calibri"/>
                <w:sz w:val="20"/>
                <w:lang w:val="fr-CA"/>
              </w:rPr>
              <w:t xml:space="preserve"> précise que nul ne peut être déclaré coupable d’une infraction à l’égard d’un acte ou d’une omission en exécution des lois alors édictées et appliquées par les personnes possédant </w:t>
            </w:r>
            <w:r w:rsidRPr="00164D42">
              <w:rPr>
                <w:rFonts w:eastAsia="Calibri"/>
                <w:i/>
                <w:iCs/>
                <w:sz w:val="20"/>
                <w:lang w:val="fr-CA"/>
              </w:rPr>
              <w:t>de facto</w:t>
            </w:r>
            <w:r w:rsidRPr="00164D42">
              <w:rPr>
                <w:rFonts w:eastAsia="Calibri"/>
                <w:sz w:val="20"/>
                <w:lang w:val="fr-CA"/>
              </w:rPr>
              <w:t xml:space="preserve"> le pouvoir souverain dans et sur le lieu où se produit l’acte ou l’omission – Lorsque le droit invoqué est établi, cela constitue une excuse légitime, et cette vérité basée sur les faits est exprimée à l’article 39 du </w:t>
            </w:r>
            <w:r w:rsidRPr="00164D42">
              <w:rPr>
                <w:rFonts w:eastAsia="Calibri"/>
                <w:i/>
                <w:sz w:val="20"/>
                <w:lang w:val="fr-CA"/>
              </w:rPr>
              <w:t>Code criminel</w:t>
            </w:r>
            <w:r w:rsidRPr="00164D42">
              <w:rPr>
                <w:rFonts w:eastAsia="Calibri"/>
                <w:sz w:val="20"/>
                <w:lang w:val="fr-CA"/>
              </w:rPr>
              <w:t>, L.R.C. 1985, c. C-45.</w:t>
            </w:r>
          </w:p>
        </w:tc>
      </w:tr>
      <w:tr w:rsidR="003163AF" w:rsidRPr="00002FFB" w:rsidTr="008D35A1">
        <w:tc>
          <w:tcPr>
            <w:tcW w:w="5000" w:type="pct"/>
            <w:gridSpan w:val="3"/>
          </w:tcPr>
          <w:p w:rsidR="003163AF" w:rsidRPr="00164D42" w:rsidRDefault="003163AF" w:rsidP="008D35A1">
            <w:pPr>
              <w:jc w:val="both"/>
              <w:rPr>
                <w:rFonts w:eastAsia="Calibri"/>
                <w:sz w:val="20"/>
                <w:lang w:val="fr-CA"/>
              </w:rPr>
            </w:pPr>
          </w:p>
        </w:tc>
      </w:tr>
      <w:tr w:rsidR="003163AF" w:rsidRPr="00002FFB" w:rsidTr="008D35A1">
        <w:tc>
          <w:tcPr>
            <w:tcW w:w="5000" w:type="pct"/>
            <w:gridSpan w:val="3"/>
          </w:tcPr>
          <w:p w:rsidR="003163AF" w:rsidRPr="00164D42" w:rsidRDefault="003163AF" w:rsidP="008D35A1">
            <w:pPr>
              <w:jc w:val="both"/>
              <w:rPr>
                <w:rFonts w:eastAsia="Calibri"/>
                <w:sz w:val="20"/>
                <w:lang w:val="fr-CA"/>
              </w:rPr>
            </w:pPr>
            <w:r w:rsidRPr="00164D42">
              <w:rPr>
                <w:rFonts w:eastAsia="Calibri"/>
                <w:sz w:val="20"/>
                <w:lang w:val="fr-CA"/>
              </w:rPr>
              <w:t xml:space="preserve">Le demandeur a été déclaré coupable de possession d’une substance règlementée, la cocaïne, en vue de l’importer au Canada, et de possession d’un dispositif destiné à contrefaire des données de carte de crédit.  En appel, le demandeur s’est appuyé sur l’art. 15 du </w:t>
            </w:r>
            <w:r w:rsidRPr="00164D42">
              <w:rPr>
                <w:rFonts w:eastAsia="Calibri"/>
                <w:i/>
                <w:sz w:val="20"/>
                <w:lang w:val="fr-CA"/>
              </w:rPr>
              <w:t>Code criminel</w:t>
            </w:r>
            <w:r w:rsidRPr="00164D42">
              <w:rPr>
                <w:rFonts w:eastAsia="Calibri"/>
                <w:sz w:val="20"/>
                <w:lang w:val="fr-CA"/>
              </w:rPr>
              <w:t xml:space="preserve"> pour soutenir que la juridiction inférieure n’avait pas compétence, puisqu’il possédait </w:t>
            </w:r>
            <w:r w:rsidRPr="00164D42">
              <w:rPr>
                <w:rFonts w:eastAsia="Calibri"/>
                <w:i/>
                <w:sz w:val="20"/>
                <w:lang w:val="fr-CA"/>
              </w:rPr>
              <w:t>de facto</w:t>
            </w:r>
            <w:r w:rsidRPr="00164D42">
              <w:rPr>
                <w:rFonts w:eastAsia="Calibri"/>
                <w:sz w:val="20"/>
                <w:lang w:val="fr-CA"/>
              </w:rPr>
              <w:t xml:space="preserve"> un pouvoir souverain.  La Cour d’appel a rejeté l’appel, concluant que l’argument du demandeur était dénué de mérite.</w:t>
            </w:r>
          </w:p>
          <w:p w:rsidR="003163AF" w:rsidRPr="00164D42" w:rsidRDefault="003163AF" w:rsidP="008D35A1">
            <w:pPr>
              <w:jc w:val="both"/>
              <w:rPr>
                <w:rFonts w:eastAsia="Calibri"/>
                <w:sz w:val="20"/>
                <w:lang w:val="fr-CA"/>
              </w:rPr>
            </w:pPr>
          </w:p>
        </w:tc>
      </w:tr>
      <w:tr w:rsidR="003163AF" w:rsidRPr="00002FFB" w:rsidTr="008D35A1">
        <w:tc>
          <w:tcPr>
            <w:tcW w:w="2427" w:type="pct"/>
          </w:tcPr>
          <w:p w:rsidR="003163AF" w:rsidRPr="00164D42" w:rsidRDefault="003163AF" w:rsidP="008D35A1">
            <w:pPr>
              <w:jc w:val="both"/>
              <w:rPr>
                <w:rFonts w:eastAsia="Calibri"/>
                <w:sz w:val="20"/>
                <w:lang w:val="fr-CA"/>
              </w:rPr>
            </w:pPr>
            <w:r w:rsidRPr="00164D42">
              <w:rPr>
                <w:rFonts w:eastAsia="Calibri"/>
                <w:sz w:val="20"/>
                <w:lang w:val="fr-CA"/>
              </w:rPr>
              <w:t>11 janvier 2013</w:t>
            </w:r>
          </w:p>
          <w:p w:rsidR="003163AF" w:rsidRPr="00164D42" w:rsidRDefault="003163AF" w:rsidP="008D35A1">
            <w:pPr>
              <w:jc w:val="both"/>
              <w:rPr>
                <w:rFonts w:eastAsia="Calibri"/>
                <w:sz w:val="20"/>
                <w:lang w:val="fr-CA"/>
              </w:rPr>
            </w:pPr>
            <w:r w:rsidRPr="00164D42">
              <w:rPr>
                <w:rFonts w:eastAsia="Calibri"/>
                <w:sz w:val="20"/>
                <w:lang w:val="fr-CA"/>
              </w:rPr>
              <w:t>Cour supérieure de justice de l’Ontario</w:t>
            </w:r>
          </w:p>
          <w:p w:rsidR="003163AF" w:rsidRPr="00164D42" w:rsidRDefault="003163AF" w:rsidP="008D35A1">
            <w:pPr>
              <w:jc w:val="both"/>
              <w:rPr>
                <w:rFonts w:eastAsia="Calibri"/>
                <w:sz w:val="20"/>
                <w:lang w:val="fr-CA"/>
              </w:rPr>
            </w:pPr>
            <w:r w:rsidRPr="00164D42">
              <w:rPr>
                <w:rFonts w:eastAsia="Calibri"/>
                <w:sz w:val="20"/>
                <w:lang w:val="fr-CA"/>
              </w:rPr>
              <w:t>(Juge Sproat)</w:t>
            </w:r>
          </w:p>
          <w:p w:rsidR="003163AF" w:rsidRPr="00164D42" w:rsidRDefault="003163AF" w:rsidP="008D35A1">
            <w:pPr>
              <w:jc w:val="both"/>
              <w:rPr>
                <w:rFonts w:eastAsia="Calibri"/>
                <w:sz w:val="20"/>
                <w:lang w:val="fr-CA"/>
              </w:rPr>
            </w:pPr>
          </w:p>
        </w:tc>
        <w:tc>
          <w:tcPr>
            <w:tcW w:w="243" w:type="pct"/>
          </w:tcPr>
          <w:p w:rsidR="003163AF" w:rsidRPr="00164D42" w:rsidRDefault="003163AF" w:rsidP="008D35A1">
            <w:pPr>
              <w:jc w:val="both"/>
              <w:rPr>
                <w:rFonts w:eastAsia="Calibri"/>
                <w:sz w:val="20"/>
                <w:lang w:val="fr-CA"/>
              </w:rPr>
            </w:pPr>
          </w:p>
        </w:tc>
        <w:tc>
          <w:tcPr>
            <w:tcW w:w="2330" w:type="pct"/>
          </w:tcPr>
          <w:p w:rsidR="003163AF" w:rsidRPr="00164D42" w:rsidRDefault="003163AF" w:rsidP="008D35A1">
            <w:pPr>
              <w:jc w:val="both"/>
              <w:rPr>
                <w:rFonts w:eastAsia="Calibri"/>
                <w:sz w:val="20"/>
                <w:lang w:val="fr-CA"/>
              </w:rPr>
            </w:pPr>
            <w:r w:rsidRPr="00164D42">
              <w:rPr>
                <w:rFonts w:eastAsia="Calibri"/>
                <w:sz w:val="20"/>
                <w:lang w:val="fr-CA"/>
              </w:rPr>
              <w:t xml:space="preserve">Demandeur déclaré coupable de possession d’une substance règlementée, la cocaïne, en vue de l’importer au Canada, et de possession d’un dispositif destiné à contrefaire des données de carte de crédit </w:t>
            </w:r>
          </w:p>
          <w:p w:rsidR="003163AF" w:rsidRPr="00164D42" w:rsidRDefault="003163AF" w:rsidP="008D35A1">
            <w:pPr>
              <w:jc w:val="both"/>
              <w:rPr>
                <w:rFonts w:eastAsia="Calibri"/>
                <w:sz w:val="20"/>
                <w:lang w:val="fr-CA"/>
              </w:rPr>
            </w:pPr>
          </w:p>
        </w:tc>
      </w:tr>
      <w:tr w:rsidR="003163AF" w:rsidRPr="00164D42" w:rsidTr="008D35A1">
        <w:tc>
          <w:tcPr>
            <w:tcW w:w="2427" w:type="pct"/>
          </w:tcPr>
          <w:p w:rsidR="003163AF" w:rsidRPr="00164D42" w:rsidRDefault="003163AF" w:rsidP="008D35A1">
            <w:pPr>
              <w:jc w:val="both"/>
              <w:rPr>
                <w:rFonts w:eastAsia="Calibri"/>
                <w:sz w:val="20"/>
                <w:lang w:val="fr-CA"/>
              </w:rPr>
            </w:pPr>
            <w:r w:rsidRPr="00164D42">
              <w:rPr>
                <w:rFonts w:eastAsia="Calibri"/>
                <w:sz w:val="20"/>
                <w:lang w:val="fr-CA"/>
              </w:rPr>
              <w:t>11 juillet 2014</w:t>
            </w:r>
          </w:p>
          <w:p w:rsidR="003163AF" w:rsidRPr="00164D42" w:rsidRDefault="003163AF" w:rsidP="008D35A1">
            <w:pPr>
              <w:jc w:val="both"/>
              <w:rPr>
                <w:rFonts w:eastAsia="Calibri"/>
                <w:sz w:val="20"/>
                <w:lang w:val="fr-CA"/>
              </w:rPr>
            </w:pPr>
            <w:r w:rsidRPr="00164D42">
              <w:rPr>
                <w:rFonts w:eastAsia="Calibri"/>
                <w:sz w:val="20"/>
                <w:lang w:val="fr-CA"/>
              </w:rPr>
              <w:t>Cour d’appel de l’Ontario</w:t>
            </w:r>
          </w:p>
          <w:p w:rsidR="003163AF" w:rsidRPr="00164D42" w:rsidRDefault="003163AF" w:rsidP="008D35A1">
            <w:pPr>
              <w:jc w:val="both"/>
              <w:rPr>
                <w:rFonts w:eastAsia="Calibri"/>
                <w:sz w:val="20"/>
                <w:lang w:val="fr-CA"/>
              </w:rPr>
            </w:pPr>
            <w:r w:rsidRPr="00164D42">
              <w:rPr>
                <w:rFonts w:eastAsia="Calibri"/>
                <w:sz w:val="20"/>
                <w:lang w:val="fr-CA"/>
              </w:rPr>
              <w:t>(Juges MacFarland, Rouleau et van Rensburg)</w:t>
            </w:r>
          </w:p>
          <w:p w:rsidR="003163AF" w:rsidRPr="00164D42" w:rsidRDefault="003163AF" w:rsidP="008D35A1">
            <w:pPr>
              <w:jc w:val="both"/>
              <w:rPr>
                <w:rFonts w:eastAsia="Calibri"/>
                <w:sz w:val="20"/>
                <w:lang w:val="fr-CA"/>
              </w:rPr>
            </w:pPr>
          </w:p>
        </w:tc>
        <w:tc>
          <w:tcPr>
            <w:tcW w:w="243" w:type="pct"/>
          </w:tcPr>
          <w:p w:rsidR="003163AF" w:rsidRPr="00164D42" w:rsidRDefault="003163AF" w:rsidP="008D35A1">
            <w:pPr>
              <w:jc w:val="both"/>
              <w:rPr>
                <w:rFonts w:eastAsia="Calibri"/>
                <w:sz w:val="20"/>
                <w:lang w:val="fr-CA"/>
              </w:rPr>
            </w:pPr>
          </w:p>
        </w:tc>
        <w:tc>
          <w:tcPr>
            <w:tcW w:w="2330" w:type="pct"/>
          </w:tcPr>
          <w:p w:rsidR="003163AF" w:rsidRPr="00164D42" w:rsidRDefault="003163AF" w:rsidP="008D35A1">
            <w:pPr>
              <w:jc w:val="both"/>
              <w:rPr>
                <w:rFonts w:eastAsia="Calibri"/>
                <w:sz w:val="20"/>
                <w:lang w:val="fr-CA"/>
              </w:rPr>
            </w:pPr>
            <w:r w:rsidRPr="00164D42">
              <w:rPr>
                <w:rFonts w:eastAsia="Calibri"/>
                <w:sz w:val="20"/>
                <w:lang w:val="fr-CA"/>
              </w:rPr>
              <w:t>Appel rejeté</w:t>
            </w:r>
          </w:p>
          <w:p w:rsidR="003163AF" w:rsidRPr="00164D42" w:rsidRDefault="003163AF" w:rsidP="008D35A1">
            <w:pPr>
              <w:jc w:val="both"/>
              <w:rPr>
                <w:rFonts w:eastAsia="Calibri"/>
                <w:sz w:val="20"/>
                <w:lang w:val="fr-CA"/>
              </w:rPr>
            </w:pPr>
          </w:p>
        </w:tc>
      </w:tr>
      <w:tr w:rsidR="003163AF" w:rsidRPr="00164D42" w:rsidTr="008D35A1">
        <w:tc>
          <w:tcPr>
            <w:tcW w:w="2427" w:type="pct"/>
          </w:tcPr>
          <w:p w:rsidR="003163AF" w:rsidRPr="00164D42" w:rsidRDefault="003163AF" w:rsidP="008D35A1">
            <w:pPr>
              <w:jc w:val="both"/>
              <w:rPr>
                <w:rFonts w:eastAsia="Calibri"/>
                <w:sz w:val="20"/>
                <w:lang w:val="fr-CA"/>
              </w:rPr>
            </w:pPr>
            <w:r w:rsidRPr="00164D42">
              <w:rPr>
                <w:rFonts w:eastAsia="Calibri"/>
                <w:sz w:val="20"/>
                <w:lang w:val="fr-CA"/>
              </w:rPr>
              <w:t>21 juillet 2014</w:t>
            </w:r>
          </w:p>
          <w:p w:rsidR="003163AF" w:rsidRPr="00164D42" w:rsidRDefault="003163AF" w:rsidP="008D35A1">
            <w:pPr>
              <w:jc w:val="both"/>
              <w:rPr>
                <w:rFonts w:eastAsia="Calibri"/>
                <w:sz w:val="20"/>
                <w:lang w:val="fr-CA"/>
              </w:rPr>
            </w:pPr>
            <w:r w:rsidRPr="00164D42">
              <w:rPr>
                <w:rFonts w:eastAsia="Calibri"/>
                <w:sz w:val="20"/>
                <w:lang w:val="fr-CA"/>
              </w:rPr>
              <w:t>Cour suprême du Canada</w:t>
            </w:r>
          </w:p>
        </w:tc>
        <w:tc>
          <w:tcPr>
            <w:tcW w:w="243" w:type="pct"/>
          </w:tcPr>
          <w:p w:rsidR="003163AF" w:rsidRPr="00164D42" w:rsidRDefault="003163AF" w:rsidP="008D35A1">
            <w:pPr>
              <w:jc w:val="both"/>
              <w:rPr>
                <w:rFonts w:eastAsia="Calibri"/>
                <w:sz w:val="20"/>
                <w:lang w:val="fr-CA"/>
              </w:rPr>
            </w:pPr>
          </w:p>
        </w:tc>
        <w:tc>
          <w:tcPr>
            <w:tcW w:w="2330" w:type="pct"/>
          </w:tcPr>
          <w:p w:rsidR="003163AF" w:rsidRPr="00164D42" w:rsidRDefault="003163AF" w:rsidP="008D35A1">
            <w:pPr>
              <w:jc w:val="both"/>
              <w:rPr>
                <w:rFonts w:eastAsia="Calibri"/>
                <w:sz w:val="20"/>
                <w:lang w:val="fr-CA"/>
              </w:rPr>
            </w:pPr>
            <w:r w:rsidRPr="00164D42">
              <w:rPr>
                <w:rFonts w:eastAsia="Calibri"/>
                <w:sz w:val="20"/>
                <w:lang w:val="fr-CA"/>
              </w:rPr>
              <w:t>Demande d’autorisation d’appel, déposée</w:t>
            </w:r>
          </w:p>
          <w:p w:rsidR="003163AF" w:rsidRPr="00164D42" w:rsidRDefault="003163AF" w:rsidP="008D35A1">
            <w:pPr>
              <w:jc w:val="both"/>
              <w:rPr>
                <w:rFonts w:eastAsia="Calibri"/>
                <w:sz w:val="20"/>
                <w:lang w:val="fr-CA"/>
              </w:rPr>
            </w:pPr>
          </w:p>
        </w:tc>
      </w:tr>
    </w:tbl>
    <w:p w:rsidR="00B02DE5" w:rsidRDefault="00B02DE5" w:rsidP="00B02DE5">
      <w:pPr>
        <w:rPr>
          <w:sz w:val="20"/>
          <w:szCs w:val="20"/>
        </w:rPr>
      </w:pPr>
    </w:p>
    <w:p w:rsidR="00B02DE5" w:rsidRDefault="00E4461B" w:rsidP="00B02DE5">
      <w:pPr>
        <w:rPr>
          <w:sz w:val="20"/>
          <w:szCs w:val="20"/>
          <w:lang w:val="fr-CA"/>
        </w:rPr>
      </w:pPr>
      <w:r>
        <w:rPr>
          <w:sz w:val="20"/>
          <w:szCs w:val="20"/>
          <w:lang w:val="fr-CA"/>
        </w:rPr>
        <w:pict>
          <v:rect id="_x0000_i1069" style="width:2in;height:1pt" o:hrpct="0" o:hralign="center" o:hrstd="t" o:hrnoshade="t" o:hr="t" fillcolor="black [3213]" stroked="f"/>
        </w:pict>
      </w:r>
    </w:p>
    <w:p w:rsidR="00B02DE5" w:rsidRDefault="00B02DE5" w:rsidP="00B02DE5">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AE57BE" w:rsidRPr="00AE57BE" w:rsidRDefault="00AE57BE" w:rsidP="00AE57BE">
      <w:pPr>
        <w:tabs>
          <w:tab w:val="left" w:pos="-1440"/>
          <w:tab w:val="left" w:pos="-720"/>
        </w:tabs>
        <w:jc w:val="both"/>
        <w:rPr>
          <w:rFonts w:eastAsia="Times New Roman" w:cs="Times New Roman"/>
          <w:sz w:val="20"/>
          <w:szCs w:val="20"/>
          <w:lang w:val="fr-CA" w:eastAsia="en-CA"/>
        </w:rPr>
      </w:pPr>
      <w:r w:rsidRPr="00AE57BE">
        <w:rPr>
          <w:rFonts w:eastAsia="Times New Roman" w:cs="Times New Roman"/>
          <w:sz w:val="20"/>
          <w:szCs w:val="20"/>
          <w:lang w:val="fr-CA" w:eastAsia="en-CA"/>
        </w:rPr>
        <w:t>01.12.2014</w:t>
      </w:r>
    </w:p>
    <w:p w:rsidR="00AE57BE" w:rsidRPr="00AE57BE" w:rsidRDefault="00AE57BE" w:rsidP="00AE57BE">
      <w:pPr>
        <w:tabs>
          <w:tab w:val="left" w:pos="-1440"/>
          <w:tab w:val="left" w:pos="-720"/>
        </w:tabs>
        <w:jc w:val="both"/>
        <w:rPr>
          <w:rFonts w:eastAsia="Times New Roman" w:cs="Times New Roman"/>
          <w:sz w:val="20"/>
          <w:szCs w:val="20"/>
          <w:lang w:val="fr-CA" w:eastAsia="en-CA"/>
        </w:rPr>
      </w:pPr>
    </w:p>
    <w:p w:rsidR="00AE57BE" w:rsidRPr="00AE57BE" w:rsidRDefault="00AE57BE" w:rsidP="00AE57BE">
      <w:pPr>
        <w:tabs>
          <w:tab w:val="left" w:pos="-1440"/>
          <w:tab w:val="left" w:pos="-720"/>
        </w:tabs>
        <w:jc w:val="both"/>
        <w:rPr>
          <w:rFonts w:eastAsia="Times New Roman" w:cs="Times New Roman"/>
          <w:sz w:val="20"/>
          <w:szCs w:val="20"/>
          <w:lang w:eastAsia="en-CA"/>
        </w:rPr>
      </w:pPr>
      <w:r w:rsidRPr="00AE57BE">
        <w:rPr>
          <w:rFonts w:eastAsia="Times New Roman" w:cs="Times New Roman"/>
          <w:sz w:val="20"/>
          <w:szCs w:val="20"/>
          <w:lang w:val="fr-CA" w:eastAsia="en-CA"/>
        </w:rPr>
        <w:t xml:space="preserve">Before / Devant:   </w:t>
      </w:r>
      <w:r w:rsidRPr="00AE57BE">
        <w:rPr>
          <w:rFonts w:eastAsia="Times New Roman" w:cs="Times New Roman"/>
          <w:sz w:val="20"/>
          <w:szCs w:val="20"/>
          <w:lang w:eastAsia="en-CA"/>
        </w:rPr>
        <w:t>THE REGISTRAR / LE REGISTRAIRE</w:t>
      </w:r>
    </w:p>
    <w:p w:rsidR="00AE57BE" w:rsidRPr="00AE57BE" w:rsidRDefault="00AE57BE" w:rsidP="00AE57BE">
      <w:pPr>
        <w:tabs>
          <w:tab w:val="left" w:pos="-1440"/>
          <w:tab w:val="left" w:pos="-720"/>
        </w:tabs>
        <w:jc w:val="both"/>
        <w:rPr>
          <w:rFonts w:eastAsia="Times New Roman" w:cs="Times New Roman"/>
          <w:sz w:val="20"/>
          <w:szCs w:val="20"/>
          <w:lang w:eastAsia="en-CA"/>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E57BE" w:rsidRPr="00002FFB" w:rsidTr="00AE57BE">
        <w:tc>
          <w:tcPr>
            <w:tcW w:w="4338" w:type="dxa"/>
          </w:tcPr>
          <w:p w:rsidR="00AE57BE" w:rsidRPr="00AE57BE" w:rsidRDefault="00680749" w:rsidP="00AE57BE">
            <w:pPr>
              <w:tabs>
                <w:tab w:val="left" w:pos="-1440"/>
                <w:tab w:val="left" w:pos="-720"/>
              </w:tabs>
              <w:jc w:val="both"/>
              <w:rPr>
                <w:b/>
              </w:rPr>
            </w:pPr>
            <w:r w:rsidRPr="00AE57BE">
              <w:rPr>
                <w:szCs w:val="24"/>
                <w:lang w:val="en-US"/>
              </w:rPr>
              <w:fldChar w:fldCharType="begin"/>
            </w:r>
            <w:r w:rsidR="00AE57BE" w:rsidRPr="00AE57BE">
              <w:rPr>
                <w:szCs w:val="24"/>
                <w:lang w:val="en-US"/>
              </w:rPr>
              <w:instrText xml:space="preserve"> SEQ CHAPTER \h \r 1</w:instrText>
            </w:r>
            <w:r w:rsidRPr="00AE57BE">
              <w:rPr>
                <w:szCs w:val="24"/>
                <w:lang w:val="en-US"/>
              </w:rPr>
              <w:fldChar w:fldCharType="end"/>
            </w:r>
            <w:r w:rsidR="00AE57BE" w:rsidRPr="00AE57BE">
              <w:rPr>
                <w:b/>
                <w:bCs/>
                <w:lang w:val="en-US"/>
              </w:rPr>
              <w:t>Motion to extend time</w:t>
            </w:r>
          </w:p>
        </w:tc>
        <w:tc>
          <w:tcPr>
            <w:tcW w:w="1170" w:type="dxa"/>
          </w:tcPr>
          <w:p w:rsidR="00AE57BE" w:rsidRPr="00AE57BE" w:rsidRDefault="00AE57BE" w:rsidP="00AE57BE">
            <w:pPr>
              <w:tabs>
                <w:tab w:val="left" w:pos="-1440"/>
                <w:tab w:val="left" w:pos="-720"/>
              </w:tabs>
              <w:jc w:val="both"/>
            </w:pPr>
          </w:p>
          <w:p w:rsidR="00AE57BE" w:rsidRPr="00AE57BE" w:rsidRDefault="00AE57BE" w:rsidP="00AE57BE">
            <w:pPr>
              <w:tabs>
                <w:tab w:val="left" w:pos="-1440"/>
                <w:tab w:val="left" w:pos="-720"/>
              </w:tabs>
              <w:jc w:val="both"/>
            </w:pPr>
          </w:p>
        </w:tc>
        <w:tc>
          <w:tcPr>
            <w:tcW w:w="4327" w:type="dxa"/>
          </w:tcPr>
          <w:p w:rsidR="00AE57BE" w:rsidRPr="00AE57BE" w:rsidRDefault="00AE57BE" w:rsidP="00AE57BE">
            <w:pPr>
              <w:tabs>
                <w:tab w:val="left" w:pos="-1440"/>
                <w:tab w:val="left" w:pos="-720"/>
              </w:tabs>
              <w:jc w:val="both"/>
              <w:rPr>
                <w:lang w:val="fr-CA"/>
              </w:rPr>
            </w:pPr>
            <w:r w:rsidRPr="00AE57BE">
              <w:rPr>
                <w:b/>
                <w:bCs/>
                <w:color w:val="000000"/>
                <w:lang w:val="fr-CA"/>
              </w:rPr>
              <w:t>Requête en prorogation de délai</w:t>
            </w:r>
            <w:r w:rsidRPr="00AE57BE">
              <w:rPr>
                <w:szCs w:val="24"/>
                <w:lang w:val="fr-CA"/>
              </w:rPr>
              <w:t xml:space="preserve"> </w:t>
            </w:r>
            <w:r w:rsidR="00680749" w:rsidRPr="00AE57BE">
              <w:rPr>
                <w:szCs w:val="24"/>
                <w:lang w:val="en-US"/>
              </w:rPr>
              <w:fldChar w:fldCharType="begin"/>
            </w:r>
            <w:r w:rsidRPr="00AE57BE">
              <w:rPr>
                <w:szCs w:val="24"/>
                <w:lang w:val="fr-CA"/>
              </w:rPr>
              <w:instrText xml:space="preserve"> SEQ CHAPTER \h \r 1</w:instrText>
            </w:r>
            <w:r w:rsidR="00680749" w:rsidRPr="00AE57BE">
              <w:rPr>
                <w:szCs w:val="24"/>
                <w:lang w:val="en-US"/>
              </w:rPr>
              <w:fldChar w:fldCharType="end"/>
            </w:r>
            <w:r w:rsidR="00680749" w:rsidRPr="00AE57BE">
              <w:rPr>
                <w:szCs w:val="24"/>
                <w:lang w:val="en-US"/>
              </w:rPr>
              <w:fldChar w:fldCharType="begin"/>
            </w:r>
            <w:r w:rsidRPr="00AE57BE">
              <w:rPr>
                <w:szCs w:val="24"/>
                <w:lang w:val="fr-CA"/>
              </w:rPr>
              <w:instrText xml:space="preserve"> SEQ CHAPTER \h \r 1</w:instrText>
            </w:r>
            <w:r w:rsidR="00680749" w:rsidRPr="00AE57BE">
              <w:rPr>
                <w:szCs w:val="24"/>
                <w:lang w:val="en-US"/>
              </w:rPr>
              <w:fldChar w:fldCharType="end"/>
            </w:r>
          </w:p>
        </w:tc>
      </w:tr>
      <w:tr w:rsidR="00AE57BE" w:rsidRPr="00AE57BE" w:rsidTr="00AE57BE">
        <w:tc>
          <w:tcPr>
            <w:tcW w:w="4338" w:type="dxa"/>
          </w:tcPr>
          <w:p w:rsidR="00AE57BE" w:rsidRPr="00AE57BE" w:rsidRDefault="00AE57BE" w:rsidP="00AE57BE">
            <w:pPr>
              <w:tabs>
                <w:tab w:val="left" w:pos="-1440"/>
                <w:tab w:val="left" w:pos="-720"/>
              </w:tabs>
            </w:pPr>
            <w:r w:rsidRPr="00AE57BE">
              <w:t>B010</w:t>
            </w:r>
          </w:p>
          <w:p w:rsidR="00AE57BE" w:rsidRPr="00AE57BE" w:rsidRDefault="00AE57BE" w:rsidP="00AE57BE">
            <w:pPr>
              <w:tabs>
                <w:tab w:val="left" w:pos="-1440"/>
                <w:tab w:val="left" w:pos="-720"/>
              </w:tabs>
            </w:pPr>
          </w:p>
          <w:p w:rsidR="00AE57BE" w:rsidRPr="00AE57BE" w:rsidRDefault="00AE57BE" w:rsidP="00AE57BE">
            <w:pPr>
              <w:tabs>
                <w:tab w:val="left" w:pos="-1440"/>
                <w:tab w:val="left" w:pos="-720"/>
              </w:tabs>
            </w:pPr>
            <w:r w:rsidRPr="00AE57BE">
              <w:tab/>
              <w:t>v. (35388)</w:t>
            </w:r>
          </w:p>
          <w:p w:rsidR="00AE57BE" w:rsidRPr="00AE57BE" w:rsidRDefault="00AE57BE" w:rsidP="00AE57BE">
            <w:pPr>
              <w:tabs>
                <w:tab w:val="left" w:pos="-1440"/>
                <w:tab w:val="left" w:pos="-720"/>
              </w:tabs>
            </w:pPr>
          </w:p>
          <w:p w:rsidR="00AE57BE" w:rsidRPr="00AE57BE" w:rsidRDefault="00AE57BE" w:rsidP="00AE57BE">
            <w:pPr>
              <w:tabs>
                <w:tab w:val="left" w:pos="-1440"/>
                <w:tab w:val="left" w:pos="-720"/>
              </w:tabs>
            </w:pPr>
            <w:r w:rsidRPr="00AE57BE">
              <w:t>Minister of Citizenship and Immigration (F.C.) (Que.)</w:t>
            </w:r>
          </w:p>
        </w:tc>
        <w:tc>
          <w:tcPr>
            <w:tcW w:w="1170" w:type="dxa"/>
          </w:tcPr>
          <w:p w:rsidR="00AE57BE" w:rsidRPr="00AE57BE" w:rsidRDefault="00AE57BE" w:rsidP="00AE57BE">
            <w:pPr>
              <w:tabs>
                <w:tab w:val="left" w:pos="-1440"/>
                <w:tab w:val="left" w:pos="-720"/>
              </w:tabs>
              <w:jc w:val="both"/>
            </w:pPr>
          </w:p>
        </w:tc>
        <w:tc>
          <w:tcPr>
            <w:tcW w:w="4327" w:type="dxa"/>
          </w:tcPr>
          <w:p w:rsidR="00AE57BE" w:rsidRPr="00AE57BE" w:rsidRDefault="00AE57BE" w:rsidP="00AE57BE">
            <w:pPr>
              <w:tabs>
                <w:tab w:val="left" w:pos="-1440"/>
                <w:tab w:val="left" w:pos="-720"/>
              </w:tabs>
              <w:jc w:val="both"/>
            </w:pPr>
          </w:p>
        </w:tc>
      </w:tr>
    </w:tbl>
    <w:p w:rsidR="00AE57BE" w:rsidRPr="00AE57BE" w:rsidRDefault="00AE57BE" w:rsidP="00AE57BE">
      <w:pPr>
        <w:tabs>
          <w:tab w:val="left" w:pos="-1440"/>
          <w:tab w:val="left" w:pos="-720"/>
        </w:tabs>
        <w:jc w:val="both"/>
        <w:rPr>
          <w:rFonts w:eastAsia="Times New Roman" w:cs="Times New Roman"/>
          <w:sz w:val="20"/>
          <w:szCs w:val="20"/>
          <w:lang w:eastAsia="en-CA"/>
        </w:rPr>
      </w:pPr>
    </w:p>
    <w:p w:rsidR="00AE57BE" w:rsidRPr="00AE57BE" w:rsidRDefault="00AE57BE" w:rsidP="00AE57BE">
      <w:pPr>
        <w:tabs>
          <w:tab w:val="left" w:pos="-1440"/>
          <w:tab w:val="left" w:pos="-720"/>
        </w:tabs>
        <w:jc w:val="both"/>
        <w:rPr>
          <w:rFonts w:eastAsia="Times New Roman" w:cs="Times New Roman"/>
          <w:b/>
          <w:sz w:val="20"/>
          <w:szCs w:val="20"/>
          <w:lang w:eastAsia="en-CA"/>
        </w:rPr>
      </w:pPr>
      <w:r w:rsidRPr="00AE57BE">
        <w:rPr>
          <w:rFonts w:eastAsia="Times New Roman" w:cs="Times New Roman"/>
          <w:b/>
          <w:sz w:val="20"/>
          <w:szCs w:val="20"/>
          <w:lang w:eastAsia="en-CA"/>
        </w:rPr>
        <w:t>GRANTED / ACCORDÉE</w:t>
      </w:r>
    </w:p>
    <w:p w:rsidR="00AE57BE" w:rsidRPr="00AE57BE" w:rsidRDefault="00AE57BE" w:rsidP="00AE57BE">
      <w:pPr>
        <w:tabs>
          <w:tab w:val="left" w:pos="-1440"/>
          <w:tab w:val="left" w:pos="-720"/>
        </w:tabs>
        <w:jc w:val="both"/>
        <w:rPr>
          <w:rFonts w:eastAsia="Times New Roman" w:cs="Times New Roman"/>
          <w:sz w:val="20"/>
          <w:szCs w:val="20"/>
          <w:lang w:eastAsia="en-CA"/>
        </w:rPr>
      </w:pPr>
    </w:p>
    <w:p w:rsidR="00AE57BE" w:rsidRPr="00AE57BE" w:rsidRDefault="00AE57BE" w:rsidP="00AE57BE">
      <w:pPr>
        <w:jc w:val="both"/>
        <w:rPr>
          <w:rFonts w:eastAsia="Times New Roman" w:cs="Times New Roman"/>
          <w:sz w:val="20"/>
          <w:szCs w:val="20"/>
          <w:lang w:eastAsia="en-CA"/>
        </w:rPr>
      </w:pPr>
      <w:r w:rsidRPr="00AE57BE">
        <w:rPr>
          <w:rFonts w:eastAsia="Times New Roman" w:cs="Times New Roman"/>
          <w:b/>
          <w:sz w:val="20"/>
          <w:szCs w:val="20"/>
          <w:lang w:val="en-US" w:eastAsia="en-CA"/>
        </w:rPr>
        <w:t xml:space="preserve">UPON APPLICATION </w:t>
      </w:r>
      <w:r w:rsidRPr="00AE57BE">
        <w:rPr>
          <w:rFonts w:eastAsia="Times New Roman" w:cs="Times New Roman"/>
          <w:sz w:val="20"/>
          <w:szCs w:val="20"/>
          <w:lang w:val="en-US" w:eastAsia="en-CA"/>
        </w:rPr>
        <w:t xml:space="preserve">on behalf of the proposed intervener, the Attorney General of Ontario, pursuant to the provisions of Rule 6 of the </w:t>
      </w:r>
      <w:r w:rsidRPr="00AE57BE">
        <w:rPr>
          <w:rFonts w:eastAsia="Times New Roman" w:cs="Times New Roman"/>
          <w:i/>
          <w:sz w:val="20"/>
          <w:szCs w:val="20"/>
          <w:lang w:val="en-US" w:eastAsia="en-CA"/>
        </w:rPr>
        <w:t>Rules of the Supreme Court of Canada</w:t>
      </w:r>
      <w:r w:rsidRPr="00AE57BE">
        <w:rPr>
          <w:rFonts w:eastAsia="Times New Roman" w:cs="Times New Roman"/>
          <w:sz w:val="20"/>
          <w:szCs w:val="20"/>
          <w:lang w:val="en-US" w:eastAsia="en-CA"/>
        </w:rPr>
        <w:t>, for an order extending the time within which the proposed intervener may serve and file its notice of intervention respecting constitutional questions to October 17, 2014;</w:t>
      </w:r>
    </w:p>
    <w:p w:rsidR="00AE57BE" w:rsidRPr="00AE57BE" w:rsidRDefault="00AE57BE" w:rsidP="00AE57BE">
      <w:pPr>
        <w:spacing w:line="233" w:lineRule="auto"/>
        <w:jc w:val="both"/>
        <w:rPr>
          <w:rFonts w:eastAsia="Times New Roman" w:cs="Times New Roman"/>
          <w:b/>
          <w:sz w:val="20"/>
          <w:szCs w:val="20"/>
          <w:lang w:eastAsia="en-CA"/>
        </w:rPr>
      </w:pPr>
    </w:p>
    <w:p w:rsidR="00AE57BE" w:rsidRPr="00AE57BE" w:rsidRDefault="00AE57BE" w:rsidP="00AE57BE">
      <w:pPr>
        <w:spacing w:line="233" w:lineRule="auto"/>
        <w:jc w:val="both"/>
        <w:rPr>
          <w:rFonts w:eastAsia="Times New Roman" w:cs="Times New Roman"/>
          <w:sz w:val="20"/>
          <w:szCs w:val="20"/>
          <w:lang w:val="en-US" w:eastAsia="en-CA"/>
        </w:rPr>
      </w:pPr>
      <w:r w:rsidRPr="00AE57BE">
        <w:rPr>
          <w:rFonts w:eastAsia="Times New Roman" w:cs="Times New Roman"/>
          <w:b/>
          <w:bCs/>
          <w:sz w:val="20"/>
          <w:szCs w:val="20"/>
          <w:lang w:val="en-US" w:eastAsia="en-CA"/>
        </w:rPr>
        <w:t>AND THE MATERIAL FILED</w:t>
      </w:r>
      <w:r w:rsidRPr="00AE57BE">
        <w:rPr>
          <w:rFonts w:eastAsia="Times New Roman" w:cs="Times New Roman"/>
          <w:sz w:val="20"/>
          <w:szCs w:val="20"/>
          <w:lang w:val="en-US" w:eastAsia="en-CA"/>
        </w:rPr>
        <w:t xml:space="preserve"> having been read;</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AE57BE" w:rsidP="00AE57BE">
      <w:pPr>
        <w:spacing w:line="233" w:lineRule="auto"/>
        <w:jc w:val="both"/>
        <w:rPr>
          <w:rFonts w:eastAsia="Times New Roman" w:cs="Times New Roman"/>
          <w:b/>
          <w:bCs/>
          <w:sz w:val="20"/>
          <w:szCs w:val="20"/>
          <w:lang w:val="en-US" w:eastAsia="en-CA"/>
        </w:rPr>
      </w:pPr>
      <w:r w:rsidRPr="00AE57BE">
        <w:rPr>
          <w:rFonts w:eastAsia="Times New Roman" w:cs="Times New Roman"/>
          <w:b/>
          <w:bCs/>
          <w:sz w:val="20"/>
          <w:szCs w:val="20"/>
          <w:lang w:val="en-US" w:eastAsia="en-CA"/>
        </w:rPr>
        <w:t>IT IS HEREBY ORDERED THAT:</w:t>
      </w:r>
    </w:p>
    <w:p w:rsidR="00AE57BE" w:rsidRPr="00AE57BE" w:rsidRDefault="00AE57BE" w:rsidP="00AE57BE">
      <w:pPr>
        <w:spacing w:line="233" w:lineRule="auto"/>
        <w:jc w:val="both"/>
        <w:rPr>
          <w:rFonts w:eastAsia="Times New Roman" w:cs="Times New Roman"/>
          <w:b/>
          <w:bCs/>
          <w:sz w:val="20"/>
          <w:szCs w:val="20"/>
          <w:lang w:val="en-US" w:eastAsia="en-CA"/>
        </w:rPr>
      </w:pPr>
    </w:p>
    <w:p w:rsidR="00AE57BE" w:rsidRPr="00AE57BE" w:rsidRDefault="00AE57BE" w:rsidP="00AE57BE">
      <w:pPr>
        <w:ind w:firstLine="720"/>
        <w:jc w:val="both"/>
        <w:rPr>
          <w:rFonts w:eastAsia="Times New Roman" w:cs="Times New Roman"/>
          <w:sz w:val="20"/>
          <w:szCs w:val="20"/>
          <w:lang w:val="fr-CA" w:eastAsia="en-CA"/>
        </w:rPr>
      </w:pPr>
      <w:r w:rsidRPr="00AE57BE">
        <w:rPr>
          <w:rFonts w:eastAsia="Times New Roman" w:cs="Times New Roman"/>
          <w:sz w:val="20"/>
          <w:szCs w:val="20"/>
          <w:lang w:val="fr-CA" w:eastAsia="en-CA"/>
        </w:rPr>
        <w:t>The motion is granted. </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jc w:val="both"/>
        <w:rPr>
          <w:rFonts w:eastAsia="Times New Roman" w:cs="Times New Roman"/>
          <w:sz w:val="20"/>
          <w:szCs w:val="20"/>
          <w:lang w:val="fr-CA" w:eastAsia="en-CA"/>
        </w:rPr>
      </w:pPr>
      <w:r w:rsidRPr="00AE57BE">
        <w:rPr>
          <w:rFonts w:eastAsia="Times New Roman" w:cs="Times New Roman"/>
          <w:b/>
          <w:sz w:val="20"/>
          <w:szCs w:val="20"/>
          <w:lang w:val="fr-CA" w:eastAsia="en-CA"/>
        </w:rPr>
        <w:t xml:space="preserve">À LA SUITE DE LA DEMANDE </w:t>
      </w:r>
      <w:r w:rsidRPr="00AE57BE">
        <w:rPr>
          <w:rFonts w:eastAsia="Times New Roman" w:cs="Times New Roman"/>
          <w:sz w:val="20"/>
          <w:szCs w:val="20"/>
          <w:lang w:val="fr-CA" w:eastAsia="en-CA"/>
        </w:rPr>
        <w:t xml:space="preserve">présentée au nom de l’intervenant proposé, le procureur général de l’Ontario, en vertu de l’art. 6 des </w:t>
      </w:r>
      <w:r w:rsidRPr="00AE57BE">
        <w:rPr>
          <w:rFonts w:eastAsia="Times New Roman" w:cs="Times New Roman"/>
          <w:i/>
          <w:sz w:val="20"/>
          <w:szCs w:val="20"/>
          <w:lang w:val="fr-CA" w:eastAsia="en-CA"/>
        </w:rPr>
        <w:t>Règles de la Cour suprême du Canada</w:t>
      </w:r>
      <w:r w:rsidRPr="00AE57BE">
        <w:rPr>
          <w:rFonts w:eastAsia="Times New Roman" w:cs="Times New Roman"/>
          <w:sz w:val="20"/>
          <w:szCs w:val="20"/>
          <w:lang w:val="fr-CA" w:eastAsia="en-CA"/>
        </w:rPr>
        <w:t>, pour obtenir la prorogation, jusqu’au 17 octobre 2014, du délai pour signifier et déposer son avis d’intervention à l’égard des questions constitutionnelles;</w:t>
      </w:r>
    </w:p>
    <w:p w:rsidR="00AE57BE" w:rsidRPr="00AE57BE" w:rsidRDefault="00AE57BE" w:rsidP="00AE57BE">
      <w:pPr>
        <w:spacing w:line="233" w:lineRule="auto"/>
        <w:jc w:val="both"/>
        <w:rPr>
          <w:rFonts w:eastAsia="Times New Roman" w:cs="Times New Roman"/>
          <w:b/>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r w:rsidRPr="00AE57BE">
        <w:rPr>
          <w:rFonts w:eastAsia="Times New Roman" w:cs="Times New Roman"/>
          <w:b/>
          <w:bCs/>
          <w:sz w:val="20"/>
          <w:szCs w:val="20"/>
          <w:lang w:val="fr-CA" w:eastAsia="en-CA"/>
        </w:rPr>
        <w:t>ET APRÈS EXAMEN</w:t>
      </w:r>
      <w:r w:rsidRPr="00AE57BE">
        <w:rPr>
          <w:rFonts w:eastAsia="Times New Roman" w:cs="Times New Roman"/>
          <w:sz w:val="20"/>
          <w:szCs w:val="20"/>
          <w:lang w:val="fr-CA" w:eastAsia="en-CA"/>
        </w:rPr>
        <w:t xml:space="preserve"> des documents déposés;</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b/>
          <w:bCs/>
          <w:sz w:val="20"/>
          <w:szCs w:val="20"/>
          <w:lang w:val="fr-CA" w:eastAsia="en-CA"/>
        </w:rPr>
      </w:pPr>
      <w:r w:rsidRPr="00AE57BE">
        <w:rPr>
          <w:rFonts w:eastAsia="Times New Roman" w:cs="Times New Roman"/>
          <w:b/>
          <w:bCs/>
          <w:sz w:val="20"/>
          <w:szCs w:val="20"/>
          <w:lang w:val="fr-CA" w:eastAsia="en-CA"/>
        </w:rPr>
        <w:t>IL EST ORDONNÉ CE QUI SUIT :</w:t>
      </w:r>
    </w:p>
    <w:p w:rsidR="00AE57BE" w:rsidRPr="00AE57BE" w:rsidRDefault="00AE57BE" w:rsidP="00AE57BE">
      <w:pPr>
        <w:spacing w:line="233" w:lineRule="auto"/>
        <w:jc w:val="both"/>
        <w:rPr>
          <w:rFonts w:eastAsia="Times New Roman" w:cs="Times New Roman"/>
          <w:b/>
          <w:bCs/>
          <w:sz w:val="20"/>
          <w:szCs w:val="20"/>
          <w:lang w:val="fr-CA" w:eastAsia="en-CA"/>
        </w:rPr>
      </w:pPr>
    </w:p>
    <w:p w:rsidR="00AE57BE" w:rsidRPr="00AE57BE" w:rsidRDefault="00AE57BE" w:rsidP="00AE57BE">
      <w:pPr>
        <w:ind w:firstLine="720"/>
        <w:jc w:val="both"/>
        <w:rPr>
          <w:rFonts w:eastAsia="Times New Roman" w:cs="Times New Roman"/>
          <w:sz w:val="20"/>
          <w:szCs w:val="20"/>
          <w:lang w:val="fr-CA" w:eastAsia="en-CA"/>
        </w:rPr>
      </w:pPr>
      <w:r w:rsidRPr="00AE57BE">
        <w:rPr>
          <w:rFonts w:eastAsia="Times New Roman" w:cs="Times New Roman"/>
          <w:sz w:val="20"/>
          <w:szCs w:val="20"/>
          <w:lang w:val="fr-CA" w:eastAsia="en-CA"/>
        </w:rPr>
        <w:t>La requête est accueillie. </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E4461B" w:rsidP="00AE57B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AE57BE" w:rsidRPr="00AE57BE" w:rsidRDefault="00AE57BE" w:rsidP="00AE57BE">
      <w:pPr>
        <w:tabs>
          <w:tab w:val="left" w:pos="-1440"/>
          <w:tab w:val="left" w:pos="-720"/>
        </w:tabs>
        <w:jc w:val="both"/>
        <w:rPr>
          <w:rFonts w:eastAsia="Times New Roman" w:cs="Times New Roman"/>
          <w:sz w:val="20"/>
          <w:szCs w:val="20"/>
          <w:lang w:val="fr-CA" w:eastAsia="en-CA"/>
        </w:rPr>
      </w:pPr>
    </w:p>
    <w:p w:rsidR="00AE57BE" w:rsidRPr="00AE57BE" w:rsidRDefault="00AE57BE" w:rsidP="00AE57BE">
      <w:pPr>
        <w:tabs>
          <w:tab w:val="left" w:pos="-1440"/>
          <w:tab w:val="left" w:pos="-720"/>
        </w:tabs>
        <w:jc w:val="both"/>
        <w:rPr>
          <w:rFonts w:eastAsia="Times New Roman" w:cs="Times New Roman"/>
          <w:sz w:val="20"/>
          <w:szCs w:val="20"/>
          <w:lang w:val="fr-CA" w:eastAsia="en-CA"/>
        </w:rPr>
      </w:pPr>
      <w:r w:rsidRPr="00AE57BE">
        <w:rPr>
          <w:rFonts w:eastAsia="Times New Roman" w:cs="Times New Roman"/>
          <w:sz w:val="20"/>
          <w:szCs w:val="20"/>
          <w:lang w:val="fr-CA" w:eastAsia="en-CA"/>
        </w:rPr>
        <w:t>02.12.2014</w:t>
      </w:r>
    </w:p>
    <w:p w:rsidR="00AE57BE" w:rsidRPr="00AE57BE" w:rsidRDefault="00AE57BE" w:rsidP="00AE57BE">
      <w:pPr>
        <w:tabs>
          <w:tab w:val="left" w:pos="-1440"/>
          <w:tab w:val="left" w:pos="-720"/>
        </w:tabs>
        <w:jc w:val="both"/>
        <w:rPr>
          <w:rFonts w:eastAsia="Times New Roman" w:cs="Times New Roman"/>
          <w:sz w:val="20"/>
          <w:szCs w:val="20"/>
          <w:lang w:val="fr-CA" w:eastAsia="en-CA"/>
        </w:rPr>
      </w:pPr>
    </w:p>
    <w:p w:rsidR="00AE57BE" w:rsidRPr="00AE57BE" w:rsidRDefault="00AE57BE" w:rsidP="00AE57BE">
      <w:pPr>
        <w:tabs>
          <w:tab w:val="left" w:pos="-1440"/>
          <w:tab w:val="left" w:pos="-720"/>
        </w:tabs>
        <w:jc w:val="both"/>
        <w:rPr>
          <w:rFonts w:eastAsia="Times New Roman" w:cs="Times New Roman"/>
          <w:sz w:val="20"/>
          <w:szCs w:val="20"/>
          <w:lang w:val="fr-CA" w:eastAsia="en-CA"/>
        </w:rPr>
      </w:pPr>
      <w:r w:rsidRPr="00AE57BE">
        <w:rPr>
          <w:rFonts w:eastAsia="Times New Roman" w:cs="Times New Roman"/>
          <w:sz w:val="20"/>
          <w:szCs w:val="20"/>
          <w:lang w:val="fr-CA" w:eastAsia="en-CA"/>
        </w:rPr>
        <w:t>Before / Devant :   ABELLA J. / LA JUGE ABELLA</w:t>
      </w:r>
    </w:p>
    <w:p w:rsidR="00AE57BE" w:rsidRPr="00AE57BE" w:rsidRDefault="00AE57BE" w:rsidP="00AE57BE">
      <w:pPr>
        <w:tabs>
          <w:tab w:val="left" w:pos="-1440"/>
          <w:tab w:val="left" w:pos="-720"/>
        </w:tabs>
        <w:jc w:val="both"/>
        <w:rPr>
          <w:rFonts w:eastAsia="Times New Roman" w:cs="Times New Roman"/>
          <w:sz w:val="20"/>
          <w:szCs w:val="20"/>
          <w:lang w:val="fr-CA" w:eastAsia="en-CA"/>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AE57BE" w:rsidRPr="00002FFB" w:rsidTr="00AE57BE">
        <w:tc>
          <w:tcPr>
            <w:tcW w:w="4338" w:type="dxa"/>
          </w:tcPr>
          <w:p w:rsidR="00AE57BE" w:rsidRPr="00AE57BE" w:rsidRDefault="00680749" w:rsidP="00AE57BE">
            <w:pPr>
              <w:tabs>
                <w:tab w:val="left" w:pos="-1440"/>
                <w:tab w:val="left" w:pos="-720"/>
              </w:tabs>
              <w:jc w:val="both"/>
              <w:rPr>
                <w:b/>
              </w:rPr>
            </w:pPr>
            <w:r w:rsidRPr="00AE57BE">
              <w:rPr>
                <w:lang w:val="en-US"/>
              </w:rPr>
              <w:fldChar w:fldCharType="begin"/>
            </w:r>
            <w:r w:rsidR="00AE57BE" w:rsidRPr="00AE57BE">
              <w:rPr>
                <w:lang w:val="en-US"/>
              </w:rPr>
              <w:instrText xml:space="preserve"> SEQ CHAPTER \h \r 1</w:instrText>
            </w:r>
            <w:r w:rsidRPr="00AE57BE">
              <w:rPr>
                <w:lang w:val="en-US"/>
              </w:rPr>
              <w:fldChar w:fldCharType="end"/>
            </w:r>
            <w:r w:rsidR="00AE57BE" w:rsidRPr="00AE57BE">
              <w:rPr>
                <w:b/>
                <w:bCs/>
                <w:lang w:val="en-US"/>
              </w:rPr>
              <w:t>Motion to adduce new evidence</w:t>
            </w:r>
            <w:r w:rsidRPr="00AE57BE">
              <w:rPr>
                <w:lang w:val="en-US"/>
              </w:rPr>
              <w:fldChar w:fldCharType="begin"/>
            </w:r>
            <w:r w:rsidR="00AE57BE" w:rsidRPr="00AE57BE">
              <w:instrText xml:space="preserve"> SEQ CHAPTER \h \r 1</w:instrText>
            </w:r>
            <w:r w:rsidRPr="00AE57BE">
              <w:rPr>
                <w:lang w:val="en-US"/>
              </w:rPr>
              <w:fldChar w:fldCharType="end"/>
            </w:r>
          </w:p>
        </w:tc>
        <w:tc>
          <w:tcPr>
            <w:tcW w:w="1170" w:type="dxa"/>
          </w:tcPr>
          <w:p w:rsidR="00AE57BE" w:rsidRPr="00AE57BE" w:rsidRDefault="00AE57BE" w:rsidP="00AE57BE">
            <w:pPr>
              <w:tabs>
                <w:tab w:val="left" w:pos="-1440"/>
                <w:tab w:val="left" w:pos="-720"/>
              </w:tabs>
              <w:jc w:val="both"/>
            </w:pPr>
          </w:p>
          <w:p w:rsidR="00AE57BE" w:rsidRPr="00AE57BE" w:rsidRDefault="00AE57BE" w:rsidP="00AE57BE">
            <w:pPr>
              <w:tabs>
                <w:tab w:val="left" w:pos="-1440"/>
                <w:tab w:val="left" w:pos="-720"/>
              </w:tabs>
              <w:jc w:val="both"/>
            </w:pPr>
          </w:p>
          <w:p w:rsidR="00AE57BE" w:rsidRPr="00AE57BE" w:rsidRDefault="00AE57BE" w:rsidP="00AE57BE">
            <w:pPr>
              <w:tabs>
                <w:tab w:val="left" w:pos="-1440"/>
                <w:tab w:val="left" w:pos="-720"/>
              </w:tabs>
              <w:jc w:val="both"/>
            </w:pPr>
          </w:p>
        </w:tc>
        <w:tc>
          <w:tcPr>
            <w:tcW w:w="4327" w:type="dxa"/>
          </w:tcPr>
          <w:p w:rsidR="00AE57BE" w:rsidRPr="00AE57BE" w:rsidRDefault="00680749" w:rsidP="00AE57BE">
            <w:pPr>
              <w:tabs>
                <w:tab w:val="left" w:pos="-1440"/>
                <w:tab w:val="left" w:pos="-720"/>
              </w:tabs>
              <w:jc w:val="both"/>
              <w:rPr>
                <w:b/>
                <w:lang w:val="fr-CA"/>
              </w:rPr>
            </w:pPr>
            <w:r w:rsidRPr="00AE57BE">
              <w:rPr>
                <w:b/>
                <w:lang w:val="en-US"/>
              </w:rPr>
              <w:fldChar w:fldCharType="begin"/>
            </w:r>
            <w:r w:rsidR="00AE57BE" w:rsidRPr="00AE57BE">
              <w:rPr>
                <w:b/>
                <w:lang w:val="fr-CA"/>
              </w:rPr>
              <w:instrText xml:space="preserve"> SEQ CHAPTER \h \r 1</w:instrText>
            </w:r>
            <w:r w:rsidRPr="00AE57BE">
              <w:rPr>
                <w:b/>
                <w:lang w:val="en-US"/>
              </w:rPr>
              <w:fldChar w:fldCharType="end"/>
            </w:r>
            <w:r w:rsidRPr="00AE57BE">
              <w:rPr>
                <w:lang w:val="en-US"/>
              </w:rPr>
              <w:fldChar w:fldCharType="begin"/>
            </w:r>
            <w:r w:rsidR="00AE57BE" w:rsidRPr="00AE57BE">
              <w:rPr>
                <w:lang w:val="fr-CA"/>
              </w:rPr>
              <w:instrText xml:space="preserve"> SEQ CHAPTER \h \r 1</w:instrText>
            </w:r>
            <w:r w:rsidRPr="00AE57BE">
              <w:rPr>
                <w:lang w:val="en-US"/>
              </w:rPr>
              <w:fldChar w:fldCharType="end"/>
            </w:r>
            <w:r w:rsidR="00AE57BE" w:rsidRPr="00AE57BE">
              <w:rPr>
                <w:b/>
                <w:bCs/>
                <w:lang w:val="fr-CA"/>
              </w:rPr>
              <w:t>Requête en vue de produire une nouvelle preuve</w:t>
            </w:r>
            <w:r w:rsidRPr="00AE57BE">
              <w:rPr>
                <w:b/>
                <w:lang w:val="en-US"/>
              </w:rPr>
              <w:fldChar w:fldCharType="begin"/>
            </w:r>
            <w:r w:rsidR="00AE57BE" w:rsidRPr="00AE57BE">
              <w:rPr>
                <w:b/>
                <w:lang w:val="fr-CA"/>
              </w:rPr>
              <w:instrText xml:space="preserve"> SEQ CHAPTER \h \r 1</w:instrText>
            </w:r>
            <w:r w:rsidRPr="00AE57BE">
              <w:rPr>
                <w:b/>
                <w:lang w:val="en-US"/>
              </w:rPr>
              <w:fldChar w:fldCharType="end"/>
            </w:r>
          </w:p>
        </w:tc>
      </w:tr>
      <w:tr w:rsidR="00AE57BE" w:rsidRPr="00AE57BE" w:rsidTr="00AE57BE">
        <w:tc>
          <w:tcPr>
            <w:tcW w:w="4338" w:type="dxa"/>
          </w:tcPr>
          <w:p w:rsidR="00AE57BE" w:rsidRPr="00AE57BE" w:rsidRDefault="00AE57BE" w:rsidP="00AE57BE">
            <w:pPr>
              <w:tabs>
                <w:tab w:val="left" w:pos="-1440"/>
                <w:tab w:val="left" w:pos="-720"/>
              </w:tabs>
            </w:pPr>
            <w:r w:rsidRPr="00AE57BE">
              <w:t>B306</w:t>
            </w:r>
          </w:p>
          <w:p w:rsidR="00AE57BE" w:rsidRPr="00AE57BE" w:rsidRDefault="00AE57BE" w:rsidP="00AE57BE">
            <w:pPr>
              <w:tabs>
                <w:tab w:val="left" w:pos="-1440"/>
                <w:tab w:val="left" w:pos="-720"/>
              </w:tabs>
            </w:pPr>
          </w:p>
          <w:p w:rsidR="00AE57BE" w:rsidRPr="00AE57BE" w:rsidRDefault="00AE57BE" w:rsidP="00AE57BE">
            <w:pPr>
              <w:tabs>
                <w:tab w:val="left" w:pos="-1440"/>
                <w:tab w:val="left" w:pos="-720"/>
              </w:tabs>
            </w:pPr>
            <w:r w:rsidRPr="00AE57BE">
              <w:tab/>
              <w:t>v. (35685)</w:t>
            </w:r>
          </w:p>
          <w:p w:rsidR="00AE57BE" w:rsidRPr="00AE57BE" w:rsidRDefault="00AE57BE" w:rsidP="00AE57BE">
            <w:pPr>
              <w:tabs>
                <w:tab w:val="left" w:pos="-1440"/>
                <w:tab w:val="left" w:pos="-720"/>
              </w:tabs>
            </w:pPr>
          </w:p>
          <w:p w:rsidR="00AE57BE" w:rsidRPr="00AE57BE" w:rsidRDefault="00AE57BE" w:rsidP="00AE57BE">
            <w:pPr>
              <w:tabs>
                <w:tab w:val="left" w:pos="-1440"/>
                <w:tab w:val="left" w:pos="-720"/>
              </w:tabs>
            </w:pPr>
            <w:r w:rsidRPr="00AE57BE">
              <w:t>Minister of Public Safety and Emergency Preparedness (F.C.)</w:t>
            </w:r>
          </w:p>
        </w:tc>
        <w:tc>
          <w:tcPr>
            <w:tcW w:w="1170" w:type="dxa"/>
          </w:tcPr>
          <w:p w:rsidR="00AE57BE" w:rsidRPr="00AE57BE" w:rsidRDefault="00AE57BE" w:rsidP="00AE57BE">
            <w:pPr>
              <w:tabs>
                <w:tab w:val="left" w:pos="-1440"/>
                <w:tab w:val="left" w:pos="-720"/>
              </w:tabs>
              <w:jc w:val="both"/>
            </w:pPr>
          </w:p>
        </w:tc>
        <w:tc>
          <w:tcPr>
            <w:tcW w:w="4327" w:type="dxa"/>
          </w:tcPr>
          <w:p w:rsidR="00AE57BE" w:rsidRPr="00AE57BE" w:rsidRDefault="00AE57BE" w:rsidP="00AE57BE">
            <w:pPr>
              <w:tabs>
                <w:tab w:val="left" w:pos="-1440"/>
                <w:tab w:val="left" w:pos="-720"/>
              </w:tabs>
              <w:jc w:val="both"/>
            </w:pPr>
          </w:p>
        </w:tc>
      </w:tr>
    </w:tbl>
    <w:p w:rsidR="00AE57BE" w:rsidRPr="00AE57BE" w:rsidRDefault="00AE57BE" w:rsidP="00AE57BE">
      <w:pPr>
        <w:tabs>
          <w:tab w:val="left" w:pos="-1440"/>
          <w:tab w:val="left" w:pos="-720"/>
        </w:tabs>
        <w:jc w:val="both"/>
        <w:rPr>
          <w:rFonts w:eastAsia="Times New Roman" w:cs="Times New Roman"/>
          <w:sz w:val="20"/>
          <w:szCs w:val="20"/>
          <w:lang w:eastAsia="en-CA"/>
        </w:rPr>
      </w:pPr>
    </w:p>
    <w:p w:rsidR="00AE57BE" w:rsidRPr="00AE57BE" w:rsidRDefault="00AE57BE" w:rsidP="00AE57BE">
      <w:pPr>
        <w:tabs>
          <w:tab w:val="left" w:pos="-1440"/>
          <w:tab w:val="left" w:pos="-720"/>
        </w:tabs>
        <w:jc w:val="both"/>
        <w:rPr>
          <w:rFonts w:eastAsia="Times New Roman" w:cs="Times New Roman"/>
          <w:sz w:val="20"/>
          <w:szCs w:val="20"/>
          <w:lang w:eastAsia="en-CA"/>
        </w:rPr>
      </w:pPr>
      <w:r w:rsidRPr="00AE57BE">
        <w:rPr>
          <w:rFonts w:eastAsia="Times New Roman" w:cs="Times New Roman"/>
          <w:b/>
          <w:sz w:val="20"/>
          <w:szCs w:val="20"/>
          <w:lang w:eastAsia="en-CA"/>
        </w:rPr>
        <w:lastRenderedPageBreak/>
        <w:t>DISMISSED / REJETÉE</w:t>
      </w:r>
    </w:p>
    <w:p w:rsidR="00AE57BE" w:rsidRPr="00AE57BE" w:rsidRDefault="00AE57BE" w:rsidP="00AE57BE">
      <w:pPr>
        <w:tabs>
          <w:tab w:val="left" w:pos="-1440"/>
          <w:tab w:val="left" w:pos="-720"/>
        </w:tabs>
        <w:jc w:val="both"/>
        <w:rPr>
          <w:rFonts w:eastAsia="Times New Roman" w:cs="Times New Roman"/>
          <w:sz w:val="20"/>
          <w:szCs w:val="20"/>
          <w:lang w:eastAsia="en-CA"/>
        </w:rPr>
      </w:pPr>
    </w:p>
    <w:p w:rsidR="00AE57BE" w:rsidRPr="00AE57BE" w:rsidRDefault="00AE57BE" w:rsidP="00AE57BE">
      <w:pPr>
        <w:jc w:val="both"/>
        <w:rPr>
          <w:rFonts w:eastAsia="Times New Roman" w:cs="Times New Roman"/>
          <w:b/>
          <w:bCs/>
          <w:sz w:val="20"/>
          <w:szCs w:val="20"/>
          <w:lang w:val="en-US" w:eastAsia="en-CA"/>
        </w:rPr>
      </w:pPr>
      <w:r w:rsidRPr="00AE57BE">
        <w:rPr>
          <w:rFonts w:eastAsia="Times New Roman" w:cs="Times New Roman"/>
          <w:b/>
          <w:bCs/>
          <w:sz w:val="20"/>
          <w:szCs w:val="20"/>
          <w:lang w:val="en-US" w:eastAsia="en-CA"/>
        </w:rPr>
        <w:t xml:space="preserve">UPON APPLICATION </w:t>
      </w:r>
      <w:r w:rsidRPr="00AE57BE">
        <w:rPr>
          <w:rFonts w:eastAsia="Times New Roman" w:cs="Times New Roman"/>
          <w:sz w:val="20"/>
          <w:szCs w:val="20"/>
          <w:lang w:val="en-US" w:eastAsia="en-CA"/>
        </w:rPr>
        <w:t>by the appellant for an order to adduce new evidence, namely the expert opinion of Professor James Hathaway dated August 18, 2014;</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AE57BE" w:rsidP="00AE57BE">
      <w:pPr>
        <w:spacing w:line="233" w:lineRule="auto"/>
        <w:jc w:val="both"/>
        <w:rPr>
          <w:rFonts w:eastAsia="Times New Roman" w:cs="Times New Roman"/>
          <w:sz w:val="20"/>
          <w:szCs w:val="20"/>
          <w:lang w:val="en-US" w:eastAsia="en-CA"/>
        </w:rPr>
      </w:pPr>
      <w:r w:rsidRPr="00AE57BE">
        <w:rPr>
          <w:rFonts w:eastAsia="Times New Roman" w:cs="Times New Roman"/>
          <w:b/>
          <w:bCs/>
          <w:sz w:val="20"/>
          <w:szCs w:val="20"/>
          <w:lang w:val="en-US" w:eastAsia="en-CA"/>
        </w:rPr>
        <w:t>AND THE MATERIAL FILED</w:t>
      </w:r>
      <w:r w:rsidRPr="00AE57BE">
        <w:rPr>
          <w:rFonts w:eastAsia="Times New Roman" w:cs="Times New Roman"/>
          <w:sz w:val="20"/>
          <w:szCs w:val="20"/>
          <w:lang w:val="en-US" w:eastAsia="en-CA"/>
        </w:rPr>
        <w:t xml:space="preserve"> having been read;</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AE57BE" w:rsidP="00AE57BE">
      <w:pPr>
        <w:spacing w:line="233" w:lineRule="auto"/>
        <w:jc w:val="both"/>
        <w:rPr>
          <w:rFonts w:eastAsia="Times New Roman" w:cs="Times New Roman"/>
          <w:sz w:val="20"/>
          <w:szCs w:val="20"/>
          <w:lang w:val="en-US" w:eastAsia="en-CA"/>
        </w:rPr>
      </w:pPr>
      <w:r w:rsidRPr="00AE57BE">
        <w:rPr>
          <w:rFonts w:eastAsia="Times New Roman" w:cs="Times New Roman"/>
          <w:b/>
          <w:bCs/>
          <w:sz w:val="20"/>
          <w:szCs w:val="20"/>
          <w:lang w:val="en-US" w:eastAsia="en-CA"/>
        </w:rPr>
        <w:t>IT IS HEREBY ORDERED THAT:</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AE57BE" w:rsidP="00AE57BE">
      <w:pPr>
        <w:spacing w:line="233" w:lineRule="auto"/>
        <w:ind w:left="360"/>
        <w:jc w:val="both"/>
        <w:rPr>
          <w:rFonts w:eastAsia="Times New Roman" w:cs="Times New Roman"/>
          <w:sz w:val="20"/>
          <w:szCs w:val="20"/>
          <w:lang w:val="fr-CA" w:eastAsia="en-CA"/>
        </w:rPr>
      </w:pPr>
      <w:r w:rsidRPr="00AE57BE">
        <w:rPr>
          <w:rFonts w:eastAsia="Times New Roman" w:cs="Times New Roman"/>
          <w:sz w:val="20"/>
          <w:szCs w:val="20"/>
          <w:lang w:val="fr-CA" w:eastAsia="en-CA"/>
        </w:rPr>
        <w:t>The motion is dismissed.</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jc w:val="both"/>
        <w:rPr>
          <w:rFonts w:eastAsia="Times New Roman" w:cs="Times New Roman"/>
          <w:b/>
          <w:bCs/>
          <w:sz w:val="20"/>
          <w:szCs w:val="20"/>
          <w:lang w:val="fr-CA" w:eastAsia="en-CA"/>
        </w:rPr>
      </w:pPr>
      <w:r w:rsidRPr="00AE57BE">
        <w:rPr>
          <w:rFonts w:eastAsia="Times New Roman" w:cs="Times New Roman"/>
          <w:b/>
          <w:bCs/>
          <w:sz w:val="20"/>
          <w:szCs w:val="20"/>
          <w:lang w:val="fr-CA" w:eastAsia="en-CA"/>
        </w:rPr>
        <w:t xml:space="preserve">À LA SUITE DE LA DEMANDE </w:t>
      </w:r>
      <w:r w:rsidRPr="00AE57BE">
        <w:rPr>
          <w:rFonts w:eastAsia="Times New Roman" w:cs="Times New Roman"/>
          <w:bCs/>
          <w:sz w:val="20"/>
          <w:szCs w:val="20"/>
          <w:lang w:val="fr-CA" w:eastAsia="en-CA"/>
        </w:rPr>
        <w:t xml:space="preserve">présentée par l’appelante pour obtenir l’autorisation de présenter de nouveaux éléments de preuve, à savoir l’avis d’expert du professeur </w:t>
      </w:r>
      <w:r w:rsidRPr="00AE57BE">
        <w:rPr>
          <w:rFonts w:eastAsia="Times New Roman" w:cs="Times New Roman"/>
          <w:sz w:val="20"/>
          <w:szCs w:val="20"/>
          <w:lang w:val="fr-CA" w:eastAsia="en-CA"/>
        </w:rPr>
        <w:t>James Hathaway du 18 août 2014;</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r w:rsidRPr="00AE57BE">
        <w:rPr>
          <w:rFonts w:eastAsia="Times New Roman" w:cs="Times New Roman"/>
          <w:b/>
          <w:bCs/>
          <w:sz w:val="20"/>
          <w:szCs w:val="20"/>
          <w:lang w:val="fr-CA" w:eastAsia="en-CA"/>
        </w:rPr>
        <w:t xml:space="preserve">ET APRÈS EXAMEN </w:t>
      </w:r>
      <w:r w:rsidRPr="00AE57BE">
        <w:rPr>
          <w:rFonts w:eastAsia="Times New Roman" w:cs="Times New Roman"/>
          <w:bCs/>
          <w:sz w:val="20"/>
          <w:szCs w:val="20"/>
          <w:lang w:val="fr-CA" w:eastAsia="en-CA"/>
        </w:rPr>
        <w:t>des documents déposés</w:t>
      </w:r>
      <w:r w:rsidRPr="00AE57BE">
        <w:rPr>
          <w:rFonts w:eastAsia="Times New Roman" w:cs="Times New Roman"/>
          <w:sz w:val="20"/>
          <w:szCs w:val="20"/>
          <w:lang w:val="fr-CA" w:eastAsia="en-CA"/>
        </w:rPr>
        <w:t>;</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jc w:val="both"/>
        <w:rPr>
          <w:rFonts w:eastAsia="Times New Roman" w:cs="Times New Roman"/>
          <w:sz w:val="20"/>
          <w:szCs w:val="20"/>
          <w:lang w:val="fr-CA" w:eastAsia="en-CA"/>
        </w:rPr>
      </w:pPr>
      <w:r w:rsidRPr="00AE57BE">
        <w:rPr>
          <w:rFonts w:eastAsia="Times New Roman" w:cs="Times New Roman"/>
          <w:b/>
          <w:bCs/>
          <w:sz w:val="20"/>
          <w:szCs w:val="20"/>
          <w:lang w:val="fr-CA" w:eastAsia="en-CA"/>
        </w:rPr>
        <w:t>IL EST ORDONNÉ CE QUI SUIT :</w:t>
      </w:r>
    </w:p>
    <w:p w:rsidR="00AE57BE" w:rsidRPr="00AE57BE" w:rsidRDefault="00AE57BE" w:rsidP="00AE57BE">
      <w:pPr>
        <w:spacing w:line="233" w:lineRule="auto"/>
        <w:jc w:val="both"/>
        <w:rPr>
          <w:rFonts w:eastAsia="Times New Roman" w:cs="Times New Roman"/>
          <w:sz w:val="20"/>
          <w:szCs w:val="20"/>
          <w:lang w:val="fr-CA" w:eastAsia="en-CA"/>
        </w:rPr>
      </w:pPr>
    </w:p>
    <w:p w:rsidR="00AE57BE" w:rsidRPr="00AE57BE" w:rsidRDefault="00AE57BE" w:rsidP="00AE57BE">
      <w:pPr>
        <w:spacing w:line="233" w:lineRule="auto"/>
        <w:ind w:left="360"/>
        <w:jc w:val="both"/>
        <w:rPr>
          <w:rFonts w:eastAsia="Times New Roman" w:cs="Times New Roman"/>
          <w:sz w:val="20"/>
          <w:szCs w:val="20"/>
          <w:lang w:val="fr-CA" w:eastAsia="en-CA"/>
        </w:rPr>
      </w:pPr>
      <w:r w:rsidRPr="00AE57BE">
        <w:rPr>
          <w:rFonts w:eastAsia="Times New Roman" w:cs="Times New Roman"/>
          <w:sz w:val="20"/>
          <w:szCs w:val="20"/>
          <w:lang w:val="fr-CA" w:eastAsia="en-CA"/>
        </w:rPr>
        <w:t>La requête est rejetée.</w:t>
      </w:r>
    </w:p>
    <w:p w:rsidR="00AE57BE" w:rsidRPr="00AE57BE" w:rsidRDefault="00AE57BE" w:rsidP="00AE57BE">
      <w:pPr>
        <w:spacing w:line="233" w:lineRule="auto"/>
        <w:jc w:val="both"/>
        <w:rPr>
          <w:rFonts w:eastAsia="Times New Roman" w:cs="Times New Roman"/>
          <w:sz w:val="20"/>
          <w:szCs w:val="20"/>
          <w:lang w:val="en-US" w:eastAsia="en-CA"/>
        </w:rPr>
      </w:pPr>
    </w:p>
    <w:p w:rsidR="00AE57BE" w:rsidRPr="00AE57BE" w:rsidRDefault="00E4461B" w:rsidP="00AE57BE">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102"/>
          <w:headerReference w:type="default" r:id="rId103"/>
          <w:footerReference w:type="even" r:id="rId104"/>
          <w:footerReference w:type="default" r:id="rId105"/>
          <w:headerReference w:type="first" r:id="rId106"/>
          <w:footerReference w:type="first" r:id="rId10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FFB"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9863FE" w:rsidP="005F1ED8">
            <w:pPr>
              <w:rPr>
                <w:sz w:val="20"/>
                <w:szCs w:val="20"/>
              </w:rPr>
            </w:pPr>
            <w:r>
              <w:rPr>
                <w:sz w:val="20"/>
                <w:szCs w:val="20"/>
              </w:rPr>
              <w:t>2</w:t>
            </w:r>
            <w:r w:rsidR="0086340B">
              <w:rPr>
                <w:sz w:val="20"/>
                <w:szCs w:val="20"/>
              </w:rPr>
              <w:t>7</w:t>
            </w:r>
            <w:r w:rsidR="0086340B" w:rsidRPr="003B3977">
              <w:rPr>
                <w:sz w:val="20"/>
                <w:szCs w:val="20"/>
              </w:rPr>
              <w:t>.1</w:t>
            </w:r>
            <w:r>
              <w:rPr>
                <w:sz w:val="20"/>
                <w:szCs w:val="20"/>
              </w:rPr>
              <w:t>1</w:t>
            </w:r>
            <w:r w:rsidR="0086340B" w:rsidRPr="003B3977">
              <w:rPr>
                <w:sz w:val="20"/>
                <w:szCs w:val="20"/>
              </w:rPr>
              <w:t>.201</w:t>
            </w:r>
            <w:r>
              <w:rPr>
                <w:sz w:val="20"/>
                <w:szCs w:val="20"/>
              </w:rPr>
              <w:t>4</w:t>
            </w:r>
          </w:p>
          <w:p w:rsidR="0086340B" w:rsidRPr="003B3977" w:rsidRDefault="0086340B" w:rsidP="005F1ED8">
            <w:pPr>
              <w:rPr>
                <w:sz w:val="20"/>
                <w:szCs w:val="20"/>
              </w:rPr>
            </w:pPr>
          </w:p>
          <w:p w:rsidR="0086340B" w:rsidRPr="003B3977" w:rsidRDefault="009863FE" w:rsidP="005F1ED8">
            <w:pPr>
              <w:rPr>
                <w:b/>
                <w:sz w:val="20"/>
                <w:szCs w:val="20"/>
              </w:rPr>
            </w:pPr>
            <w:r>
              <w:rPr>
                <w:b/>
                <w:sz w:val="20"/>
                <w:szCs w:val="20"/>
              </w:rPr>
              <w:t>S</w:t>
            </w:r>
            <w:r w:rsidR="0086340B">
              <w:rPr>
                <w:b/>
                <w:sz w:val="20"/>
                <w:szCs w:val="20"/>
              </w:rPr>
              <w:t>ha</w:t>
            </w:r>
            <w:r>
              <w:rPr>
                <w:b/>
                <w:sz w:val="20"/>
                <w:szCs w:val="20"/>
              </w:rPr>
              <w:t>w</w:t>
            </w:r>
            <w:r w:rsidR="0086340B">
              <w:rPr>
                <w:b/>
                <w:sz w:val="20"/>
                <w:szCs w:val="20"/>
              </w:rPr>
              <w:t>n</w:t>
            </w:r>
            <w:r>
              <w:rPr>
                <w:b/>
                <w:sz w:val="20"/>
                <w:szCs w:val="20"/>
              </w:rPr>
              <w:t xml:space="preserve"> Cu</w:t>
            </w:r>
            <w:r w:rsidR="0086340B">
              <w:rPr>
                <w:b/>
                <w:sz w:val="20"/>
                <w:szCs w:val="20"/>
              </w:rPr>
              <w:t>r</w:t>
            </w:r>
            <w:r>
              <w:rPr>
                <w:b/>
                <w:sz w:val="20"/>
                <w:szCs w:val="20"/>
              </w:rPr>
              <w:t>t</w:t>
            </w:r>
            <w:r w:rsidR="0086340B">
              <w:rPr>
                <w:b/>
                <w:sz w:val="20"/>
                <w:szCs w:val="20"/>
              </w:rPr>
              <w:t>is</w:t>
            </w:r>
            <w:r>
              <w:rPr>
                <w:b/>
                <w:sz w:val="20"/>
                <w:szCs w:val="20"/>
              </w:rPr>
              <w:t xml:space="preserve"> K</w:t>
            </w:r>
            <w:r w:rsidR="0086340B">
              <w:rPr>
                <w:b/>
                <w:sz w:val="20"/>
                <w:szCs w:val="20"/>
              </w:rPr>
              <w:t>e</w:t>
            </w:r>
            <w:r>
              <w:rPr>
                <w:b/>
                <w:sz w:val="20"/>
                <w:szCs w:val="20"/>
              </w:rPr>
              <w:t>epne</w:t>
            </w:r>
            <w:r w:rsidR="0086340B">
              <w:rPr>
                <w:b/>
                <w:sz w:val="20"/>
                <w:szCs w:val="20"/>
              </w:rPr>
              <w:t>ss</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9863FE">
              <w:rPr>
                <w:b/>
                <w:sz w:val="20"/>
                <w:szCs w:val="20"/>
              </w:rPr>
              <w:t>61</w:t>
            </w:r>
            <w:r w:rsidRPr="003B3977">
              <w:rPr>
                <w:b/>
                <w:sz w:val="20"/>
                <w:szCs w:val="20"/>
              </w:rPr>
              <w:t>9</w:t>
            </w:r>
            <w:r>
              <w:rPr>
                <w:b/>
                <w:sz w:val="20"/>
                <w:szCs w:val="20"/>
              </w:rPr>
              <w:t>2</w:t>
            </w:r>
            <w:r w:rsidRPr="003B3977">
              <w:rPr>
                <w:b/>
                <w:sz w:val="20"/>
                <w:szCs w:val="20"/>
              </w:rPr>
              <w:t>)</w:t>
            </w:r>
          </w:p>
          <w:p w:rsidR="0086340B" w:rsidRPr="003B3977" w:rsidRDefault="0086340B" w:rsidP="005F1ED8">
            <w:pPr>
              <w:rPr>
                <w:b/>
                <w:sz w:val="20"/>
                <w:szCs w:val="20"/>
              </w:rPr>
            </w:pPr>
          </w:p>
          <w:p w:rsidR="0086340B" w:rsidRPr="003B3977" w:rsidRDefault="0086340B" w:rsidP="005F1ED8">
            <w:pPr>
              <w:rPr>
                <w:b/>
                <w:sz w:val="20"/>
                <w:szCs w:val="20"/>
              </w:rPr>
            </w:pPr>
            <w:r>
              <w:rPr>
                <w:b/>
                <w:sz w:val="20"/>
                <w:szCs w:val="20"/>
              </w:rPr>
              <w:t>H</w:t>
            </w:r>
            <w:r w:rsidR="009863FE">
              <w:rPr>
                <w:b/>
                <w:sz w:val="20"/>
                <w:szCs w:val="20"/>
              </w:rPr>
              <w:t>e</w:t>
            </w:r>
            <w:r>
              <w:rPr>
                <w:b/>
                <w:sz w:val="20"/>
                <w:szCs w:val="20"/>
              </w:rPr>
              <w:t>r</w:t>
            </w:r>
            <w:r w:rsidR="009863FE">
              <w:rPr>
                <w:b/>
                <w:sz w:val="20"/>
                <w:szCs w:val="20"/>
              </w:rPr>
              <w:t xml:space="preserve"> M</w:t>
            </w:r>
            <w:r>
              <w:rPr>
                <w:b/>
                <w:sz w:val="20"/>
                <w:szCs w:val="20"/>
              </w:rPr>
              <w:t>a</w:t>
            </w:r>
            <w:r w:rsidR="009863FE">
              <w:rPr>
                <w:b/>
                <w:sz w:val="20"/>
                <w:szCs w:val="20"/>
              </w:rPr>
              <w:t>jest</w:t>
            </w:r>
            <w:r>
              <w:rPr>
                <w:b/>
                <w:sz w:val="20"/>
                <w:szCs w:val="20"/>
              </w:rPr>
              <w:t>y t</w:t>
            </w:r>
            <w:r w:rsidR="009863FE">
              <w:rPr>
                <w:b/>
                <w:sz w:val="20"/>
                <w:szCs w:val="20"/>
              </w:rPr>
              <w:t>h</w:t>
            </w:r>
            <w:r>
              <w:rPr>
                <w:b/>
                <w:sz w:val="20"/>
                <w:szCs w:val="20"/>
              </w:rPr>
              <w:t>e</w:t>
            </w:r>
            <w:r w:rsidR="009863FE">
              <w:rPr>
                <w:b/>
                <w:sz w:val="20"/>
                <w:szCs w:val="20"/>
              </w:rPr>
              <w:t xml:space="preserve"> Qu</w:t>
            </w:r>
            <w:r w:rsidRPr="003B3977">
              <w:rPr>
                <w:b/>
                <w:sz w:val="20"/>
                <w:szCs w:val="20"/>
              </w:rPr>
              <w:t>e</w:t>
            </w:r>
            <w:r w:rsidR="009863FE">
              <w:rPr>
                <w:b/>
                <w:sz w:val="20"/>
                <w:szCs w:val="20"/>
              </w:rPr>
              <w:t>en</w:t>
            </w:r>
            <w:r w:rsidRPr="003B3977">
              <w:rPr>
                <w:b/>
                <w:sz w:val="20"/>
                <w:szCs w:val="20"/>
              </w:rPr>
              <w:t xml:space="preserve"> (</w:t>
            </w:r>
            <w:r>
              <w:rPr>
                <w:b/>
                <w:sz w:val="20"/>
                <w:szCs w:val="20"/>
              </w:rPr>
              <w:t>S</w:t>
            </w:r>
            <w:r w:rsidR="009863FE">
              <w:rPr>
                <w:b/>
                <w:sz w:val="20"/>
                <w:szCs w:val="20"/>
              </w:rPr>
              <w:t>ask</w:t>
            </w:r>
            <w:r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9863FE">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E4461B" w:rsidP="005F1ED8">
            <w:pPr>
              <w:rPr>
                <w:sz w:val="20"/>
                <w:szCs w:val="20"/>
                <w:lang w:val="fr-CA"/>
              </w:rPr>
            </w:pPr>
            <w:r>
              <w:rPr>
                <w:sz w:val="20"/>
                <w:szCs w:val="20"/>
                <w:lang w:val="fr-CA"/>
              </w:rPr>
              <w:pict>
                <v:rect id="_x0000_i1076"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FFB"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8A444A" w:rsidRDefault="007C47C2" w:rsidP="007C47C2">
      <w:pPr>
        <w:widowControl w:val="0"/>
        <w:rPr>
          <w:sz w:val="20"/>
          <w:szCs w:val="20"/>
        </w:rPr>
      </w:pPr>
      <w:r w:rsidRPr="008A444A">
        <w:rPr>
          <w:sz w:val="20"/>
          <w:szCs w:val="20"/>
        </w:rPr>
        <w:t>0</w:t>
      </w:r>
      <w:r w:rsidR="006E1D53" w:rsidRPr="008A444A">
        <w:rPr>
          <w:sz w:val="20"/>
          <w:szCs w:val="20"/>
        </w:rPr>
        <w:t>5</w:t>
      </w:r>
      <w:r w:rsidRPr="008A444A">
        <w:rPr>
          <w:sz w:val="20"/>
          <w:szCs w:val="20"/>
        </w:rPr>
        <w:t>.</w:t>
      </w:r>
      <w:r w:rsidR="006E1D53" w:rsidRPr="008A444A">
        <w:rPr>
          <w:sz w:val="20"/>
          <w:szCs w:val="20"/>
        </w:rPr>
        <w:t>1</w:t>
      </w:r>
      <w:r w:rsidR="00002FFB">
        <w:rPr>
          <w:sz w:val="20"/>
          <w:szCs w:val="20"/>
        </w:rPr>
        <w:t>2</w:t>
      </w:r>
      <w:r w:rsidRPr="008A444A">
        <w:rPr>
          <w:sz w:val="20"/>
          <w:szCs w:val="20"/>
        </w:rPr>
        <w:t>.2014</w:t>
      </w:r>
    </w:p>
    <w:p w:rsidR="007C47C2" w:rsidRDefault="007C47C2" w:rsidP="007C47C2">
      <w:pPr>
        <w:widowControl w:val="0"/>
        <w:rPr>
          <w:sz w:val="20"/>
          <w:szCs w:val="20"/>
        </w:rPr>
      </w:pPr>
    </w:p>
    <w:p w:rsidR="00726349" w:rsidRPr="00592005" w:rsidRDefault="00726349" w:rsidP="00726349">
      <w:pPr>
        <w:widowControl w:val="0"/>
        <w:ind w:left="720" w:hanging="720"/>
        <w:rPr>
          <w:sz w:val="20"/>
          <w:szCs w:val="20"/>
          <w:u w:val="single"/>
        </w:rPr>
      </w:pPr>
      <w:r w:rsidRPr="00592005">
        <w:rPr>
          <w:sz w:val="20"/>
          <w:szCs w:val="20"/>
        </w:rPr>
        <w:t xml:space="preserve">Coram: </w:t>
      </w:r>
      <w:r w:rsidRPr="00592005">
        <w:rPr>
          <w:sz w:val="20"/>
          <w:szCs w:val="20"/>
        </w:rPr>
        <w:tab/>
      </w:r>
      <w:r w:rsidRPr="00592005">
        <w:rPr>
          <w:sz w:val="20"/>
          <w:szCs w:val="20"/>
          <w:u w:val="single"/>
        </w:rPr>
        <w:t>Abella, Rothstein, Cromwell, Moldaver, Karakatsanis, Wagner and Gascon JJ.</w:t>
      </w:r>
    </w:p>
    <w:p w:rsidR="007C47C2" w:rsidRPr="008A444A"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FFB" w:rsidTr="006E1D53">
        <w:tc>
          <w:tcPr>
            <w:tcW w:w="4380" w:type="dxa"/>
            <w:tcMar>
              <w:left w:w="0" w:type="dxa"/>
              <w:right w:w="0" w:type="dxa"/>
            </w:tcMar>
          </w:tcPr>
          <w:p w:rsidR="00726349" w:rsidRDefault="00726349" w:rsidP="00726349">
            <w:pPr>
              <w:rPr>
                <w:b/>
                <w:iCs/>
                <w:sz w:val="20"/>
                <w:szCs w:val="20"/>
              </w:rPr>
            </w:pPr>
            <w:r w:rsidRPr="00592005">
              <w:rPr>
                <w:b/>
                <w:iCs/>
                <w:sz w:val="20"/>
                <w:szCs w:val="20"/>
              </w:rPr>
              <w:t xml:space="preserve">Julie Guindon </w:t>
            </w:r>
          </w:p>
          <w:p w:rsidR="00726349" w:rsidRDefault="00726349" w:rsidP="00726349">
            <w:pPr>
              <w:rPr>
                <w:b/>
                <w:iCs/>
                <w:sz w:val="20"/>
                <w:szCs w:val="20"/>
              </w:rPr>
            </w:pPr>
          </w:p>
          <w:p w:rsidR="00726349" w:rsidRDefault="00726349" w:rsidP="00726349">
            <w:pPr>
              <w:rPr>
                <w:b/>
                <w:iCs/>
                <w:sz w:val="20"/>
                <w:szCs w:val="20"/>
              </w:rPr>
            </w:pPr>
            <w:r>
              <w:rPr>
                <w:b/>
                <w:iCs/>
                <w:sz w:val="20"/>
                <w:szCs w:val="20"/>
              </w:rPr>
              <w:tab/>
            </w:r>
            <w:r w:rsidRPr="00592005">
              <w:rPr>
                <w:b/>
                <w:iCs/>
                <w:sz w:val="20"/>
                <w:szCs w:val="20"/>
              </w:rPr>
              <w:t xml:space="preserve">v. </w:t>
            </w:r>
            <w:r w:rsidRPr="00592005">
              <w:rPr>
                <w:sz w:val="20"/>
                <w:szCs w:val="20"/>
              </w:rPr>
              <w:t>(</w:t>
            </w:r>
            <w:hyperlink r:id="rId114" w:history="1">
              <w:r w:rsidRPr="00592005">
                <w:rPr>
                  <w:rStyle w:val="Hyperlink"/>
                  <w:sz w:val="20"/>
                  <w:szCs w:val="20"/>
                </w:rPr>
                <w:t>35519</w:t>
              </w:r>
            </w:hyperlink>
            <w:r w:rsidRPr="00592005">
              <w:rPr>
                <w:sz w:val="20"/>
                <w:szCs w:val="20"/>
              </w:rPr>
              <w:t>)</w:t>
            </w:r>
          </w:p>
          <w:p w:rsidR="00726349" w:rsidRDefault="00726349" w:rsidP="00726349">
            <w:pPr>
              <w:rPr>
                <w:b/>
                <w:iCs/>
                <w:sz w:val="20"/>
                <w:szCs w:val="20"/>
              </w:rPr>
            </w:pPr>
          </w:p>
          <w:p w:rsidR="007C47C2" w:rsidRPr="008A444A" w:rsidRDefault="00726349" w:rsidP="00726349">
            <w:pPr>
              <w:rPr>
                <w:sz w:val="20"/>
                <w:szCs w:val="20"/>
              </w:rPr>
            </w:pPr>
            <w:r w:rsidRPr="00592005">
              <w:rPr>
                <w:b/>
                <w:iCs/>
                <w:sz w:val="20"/>
                <w:szCs w:val="20"/>
              </w:rPr>
              <w:t>Her Majesty the Queen</w:t>
            </w:r>
            <w:r w:rsidRPr="00592005">
              <w:rPr>
                <w:b/>
                <w:sz w:val="20"/>
                <w:szCs w:val="20"/>
              </w:rPr>
              <w:t xml:space="preserve"> </w:t>
            </w:r>
            <w:r w:rsidR="006E1D53" w:rsidRPr="006E1D53">
              <w:rPr>
                <w:b/>
                <w:sz w:val="20"/>
                <w:szCs w:val="20"/>
              </w:rPr>
              <w:t>(F.C.) (Civil) (By Leave)</w:t>
            </w:r>
          </w:p>
        </w:tc>
        <w:tc>
          <w:tcPr>
            <w:tcW w:w="720" w:type="dxa"/>
            <w:tcMar>
              <w:left w:w="0" w:type="dxa"/>
              <w:right w:w="0" w:type="dxa"/>
            </w:tcMar>
          </w:tcPr>
          <w:p w:rsidR="007C47C2" w:rsidRPr="008A444A" w:rsidRDefault="007C47C2" w:rsidP="006E1D53">
            <w:pPr>
              <w:widowControl w:val="0"/>
              <w:jc w:val="center"/>
              <w:rPr>
                <w:sz w:val="20"/>
                <w:szCs w:val="20"/>
              </w:rPr>
            </w:pPr>
          </w:p>
        </w:tc>
        <w:tc>
          <w:tcPr>
            <w:tcW w:w="4380" w:type="dxa"/>
            <w:tcMar>
              <w:left w:w="0" w:type="dxa"/>
              <w:right w:w="0" w:type="dxa"/>
            </w:tcMar>
          </w:tcPr>
          <w:p w:rsidR="008A444A" w:rsidRPr="007921B6" w:rsidRDefault="008A444A" w:rsidP="008A444A">
            <w:pPr>
              <w:jc w:val="both"/>
              <w:rPr>
                <w:sz w:val="20"/>
                <w:szCs w:val="20"/>
                <w:lang w:val="en-US"/>
              </w:rPr>
            </w:pPr>
            <w:r w:rsidRPr="007921B6">
              <w:rPr>
                <w:sz w:val="20"/>
                <w:szCs w:val="20"/>
                <w:lang w:val="en-US"/>
              </w:rPr>
              <w:t>Adam Aptowitzer</w:t>
            </w:r>
            <w:r w:rsidRPr="007921B6">
              <w:rPr>
                <w:sz w:val="20"/>
                <w:szCs w:val="20"/>
                <w:lang w:val="en-US"/>
              </w:rPr>
              <w:tab/>
            </w:r>
            <w:r>
              <w:rPr>
                <w:sz w:val="20"/>
                <w:szCs w:val="20"/>
                <w:lang w:val="en-US"/>
              </w:rPr>
              <w:t xml:space="preserve">, </w:t>
            </w:r>
            <w:r w:rsidRPr="007921B6">
              <w:rPr>
                <w:sz w:val="20"/>
                <w:szCs w:val="20"/>
                <w:lang w:val="en-US"/>
              </w:rPr>
              <w:t>Alexandra Tzannidakis</w:t>
            </w:r>
            <w:r>
              <w:rPr>
                <w:sz w:val="20"/>
                <w:szCs w:val="20"/>
                <w:lang w:val="en-US"/>
              </w:rPr>
              <w:t xml:space="preserve">, </w:t>
            </w:r>
            <w:r w:rsidRPr="007921B6">
              <w:rPr>
                <w:sz w:val="20"/>
                <w:szCs w:val="20"/>
                <w:lang w:val="en-US"/>
              </w:rPr>
              <w:t>Arthur B.C. Drache, C.M., Q.C.</w:t>
            </w:r>
            <w:r>
              <w:rPr>
                <w:sz w:val="20"/>
                <w:szCs w:val="20"/>
                <w:lang w:val="en-US"/>
              </w:rPr>
              <w:t xml:space="preserve"> and </w:t>
            </w:r>
            <w:r w:rsidRPr="007921B6">
              <w:rPr>
                <w:sz w:val="20"/>
                <w:szCs w:val="20"/>
                <w:lang w:val="en-US"/>
              </w:rPr>
              <w:t>Kenneth Jull</w:t>
            </w:r>
            <w:r>
              <w:rPr>
                <w:sz w:val="20"/>
                <w:szCs w:val="20"/>
                <w:lang w:val="en-US"/>
              </w:rPr>
              <w:t xml:space="preserve"> f</w:t>
            </w:r>
            <w:r w:rsidRPr="007921B6">
              <w:rPr>
                <w:sz w:val="20"/>
                <w:szCs w:val="20"/>
                <w:lang w:val="en-US"/>
              </w:rPr>
              <w:t xml:space="preserve">or the </w:t>
            </w:r>
            <w:r>
              <w:rPr>
                <w:sz w:val="20"/>
                <w:szCs w:val="20"/>
                <w:lang w:val="en-US"/>
              </w:rPr>
              <w:t>a</w:t>
            </w:r>
            <w:r w:rsidRPr="007921B6">
              <w:rPr>
                <w:sz w:val="20"/>
                <w:szCs w:val="20"/>
                <w:lang w:val="en-US"/>
              </w:rPr>
              <w:t>ppellant</w:t>
            </w:r>
            <w:r>
              <w:rPr>
                <w:sz w:val="20"/>
                <w:szCs w:val="20"/>
                <w:lang w:val="en-US"/>
              </w:rPr>
              <w:t>.</w:t>
            </w:r>
          </w:p>
          <w:p w:rsidR="008A444A" w:rsidRPr="007921B6" w:rsidRDefault="008A444A" w:rsidP="008A444A">
            <w:pPr>
              <w:jc w:val="both"/>
              <w:rPr>
                <w:sz w:val="20"/>
                <w:szCs w:val="20"/>
                <w:lang w:val="en-US"/>
              </w:rPr>
            </w:pPr>
          </w:p>
          <w:p w:rsidR="008A444A" w:rsidRDefault="008A444A" w:rsidP="008A444A">
            <w:pPr>
              <w:jc w:val="both"/>
              <w:rPr>
                <w:sz w:val="20"/>
                <w:szCs w:val="20"/>
              </w:rPr>
            </w:pPr>
            <w:r w:rsidRPr="007921B6">
              <w:rPr>
                <w:sz w:val="20"/>
                <w:szCs w:val="20"/>
                <w:lang w:val="en-US"/>
              </w:rPr>
              <w:t>Written submission</w:t>
            </w:r>
            <w:r>
              <w:rPr>
                <w:sz w:val="20"/>
                <w:szCs w:val="20"/>
                <w:lang w:val="en-US"/>
              </w:rPr>
              <w:t xml:space="preserve"> only</w:t>
            </w:r>
            <w:r w:rsidRPr="007921B6">
              <w:rPr>
                <w:sz w:val="20"/>
                <w:szCs w:val="20"/>
                <w:lang w:val="en-US"/>
              </w:rPr>
              <w:t xml:space="preserve"> </w:t>
            </w:r>
            <w:r>
              <w:rPr>
                <w:sz w:val="20"/>
                <w:szCs w:val="20"/>
                <w:lang w:val="en-US"/>
              </w:rPr>
              <w:t>f</w:t>
            </w:r>
            <w:r w:rsidRPr="007921B6">
              <w:rPr>
                <w:sz w:val="20"/>
                <w:szCs w:val="20"/>
                <w:lang w:val="en-US"/>
              </w:rPr>
              <w:t xml:space="preserve">or the </w:t>
            </w:r>
            <w:r>
              <w:rPr>
                <w:sz w:val="20"/>
                <w:szCs w:val="20"/>
                <w:lang w:val="en-US"/>
              </w:rPr>
              <w:t>i</w:t>
            </w:r>
            <w:r w:rsidRPr="007921B6">
              <w:rPr>
                <w:sz w:val="20"/>
                <w:szCs w:val="20"/>
                <w:lang w:val="en-US"/>
              </w:rPr>
              <w:t>ntervener</w:t>
            </w:r>
            <w:r>
              <w:rPr>
                <w:sz w:val="20"/>
                <w:szCs w:val="20"/>
                <w:lang w:val="en-US"/>
              </w:rPr>
              <w:t xml:space="preserve"> </w:t>
            </w:r>
            <w:r w:rsidRPr="007921B6">
              <w:rPr>
                <w:sz w:val="20"/>
                <w:szCs w:val="20"/>
              </w:rPr>
              <w:t>Canadian Constitution Foundation</w:t>
            </w:r>
            <w:r>
              <w:rPr>
                <w:sz w:val="20"/>
                <w:szCs w:val="20"/>
              </w:rPr>
              <w:t>.</w:t>
            </w:r>
          </w:p>
          <w:p w:rsidR="008A444A" w:rsidRPr="007921B6" w:rsidRDefault="008A444A" w:rsidP="008A444A">
            <w:pPr>
              <w:jc w:val="both"/>
              <w:rPr>
                <w:sz w:val="20"/>
                <w:szCs w:val="20"/>
                <w:lang w:val="en-US"/>
              </w:rPr>
            </w:pPr>
          </w:p>
          <w:p w:rsidR="008A444A" w:rsidRDefault="008A444A" w:rsidP="008A444A">
            <w:pPr>
              <w:jc w:val="both"/>
              <w:rPr>
                <w:sz w:val="20"/>
                <w:szCs w:val="20"/>
              </w:rPr>
            </w:pPr>
            <w:r w:rsidRPr="007921B6">
              <w:rPr>
                <w:sz w:val="20"/>
                <w:szCs w:val="20"/>
                <w:lang w:val="en-US"/>
              </w:rPr>
              <w:t xml:space="preserve">Written submission </w:t>
            </w:r>
            <w:r>
              <w:rPr>
                <w:sz w:val="20"/>
                <w:szCs w:val="20"/>
                <w:lang w:val="en-US"/>
              </w:rPr>
              <w:t xml:space="preserve">only by </w:t>
            </w:r>
            <w:r w:rsidRPr="007921B6">
              <w:rPr>
                <w:sz w:val="20"/>
                <w:szCs w:val="20"/>
                <w:lang w:val="en-US"/>
              </w:rPr>
              <w:t>Dominic C. Belley</w:t>
            </w:r>
            <w:r>
              <w:rPr>
                <w:sz w:val="20"/>
                <w:szCs w:val="20"/>
                <w:lang w:val="en-US"/>
              </w:rPr>
              <w:t xml:space="preserve"> and </w:t>
            </w:r>
            <w:r w:rsidRPr="007921B6">
              <w:rPr>
                <w:sz w:val="20"/>
                <w:szCs w:val="20"/>
                <w:lang w:val="en-US"/>
              </w:rPr>
              <w:t>Vincent Dionne</w:t>
            </w:r>
            <w:r>
              <w:rPr>
                <w:sz w:val="20"/>
                <w:szCs w:val="20"/>
                <w:lang w:val="en-US"/>
              </w:rPr>
              <w:t xml:space="preserve"> f</w:t>
            </w:r>
            <w:r w:rsidRPr="007921B6">
              <w:rPr>
                <w:sz w:val="20"/>
                <w:szCs w:val="20"/>
                <w:lang w:val="en-US"/>
              </w:rPr>
              <w:t xml:space="preserve">or the </w:t>
            </w:r>
            <w:r>
              <w:rPr>
                <w:sz w:val="20"/>
                <w:szCs w:val="20"/>
                <w:lang w:val="en-US"/>
              </w:rPr>
              <w:t>i</w:t>
            </w:r>
            <w:r w:rsidRPr="007921B6">
              <w:rPr>
                <w:sz w:val="20"/>
                <w:szCs w:val="20"/>
                <w:lang w:val="en-US"/>
              </w:rPr>
              <w:t>ntervener</w:t>
            </w:r>
            <w:r>
              <w:rPr>
                <w:sz w:val="20"/>
                <w:szCs w:val="20"/>
                <w:lang w:val="en-US"/>
              </w:rPr>
              <w:t xml:space="preserve"> </w:t>
            </w:r>
            <w:r w:rsidRPr="007921B6">
              <w:rPr>
                <w:sz w:val="20"/>
                <w:szCs w:val="20"/>
              </w:rPr>
              <w:t>Chartered Professional Accountants Canada</w:t>
            </w:r>
            <w:r>
              <w:rPr>
                <w:sz w:val="20"/>
                <w:szCs w:val="20"/>
              </w:rPr>
              <w:t>.</w:t>
            </w:r>
          </w:p>
          <w:p w:rsidR="008A444A" w:rsidRDefault="008A444A" w:rsidP="008A444A">
            <w:pPr>
              <w:jc w:val="both"/>
              <w:rPr>
                <w:sz w:val="20"/>
                <w:szCs w:val="20"/>
              </w:rPr>
            </w:pPr>
          </w:p>
          <w:p w:rsidR="008A444A" w:rsidRDefault="008A444A" w:rsidP="008A444A">
            <w:pPr>
              <w:jc w:val="both"/>
              <w:rPr>
                <w:sz w:val="20"/>
                <w:szCs w:val="20"/>
                <w:lang w:val="en-US"/>
              </w:rPr>
            </w:pPr>
            <w:r w:rsidRPr="007921B6">
              <w:rPr>
                <w:sz w:val="20"/>
                <w:szCs w:val="20"/>
                <w:lang w:val="en-US"/>
              </w:rPr>
              <w:t>Gordon Bourgard</w:t>
            </w:r>
            <w:r>
              <w:rPr>
                <w:sz w:val="20"/>
                <w:szCs w:val="20"/>
                <w:lang w:val="en-US"/>
              </w:rPr>
              <w:t xml:space="preserve"> and </w:t>
            </w:r>
            <w:r w:rsidRPr="007921B6">
              <w:rPr>
                <w:sz w:val="20"/>
                <w:szCs w:val="20"/>
                <w:lang w:val="en-US"/>
              </w:rPr>
              <w:t>Eric Noble</w:t>
            </w:r>
            <w:r>
              <w:rPr>
                <w:sz w:val="20"/>
                <w:szCs w:val="20"/>
                <w:lang w:val="en-US"/>
              </w:rPr>
              <w:t xml:space="preserve"> f</w:t>
            </w:r>
            <w:r w:rsidRPr="007921B6">
              <w:rPr>
                <w:sz w:val="20"/>
                <w:szCs w:val="20"/>
                <w:lang w:val="en-US"/>
              </w:rPr>
              <w:t xml:space="preserve">or the </w:t>
            </w:r>
            <w:r>
              <w:rPr>
                <w:sz w:val="20"/>
                <w:szCs w:val="20"/>
                <w:lang w:val="en-US"/>
              </w:rPr>
              <w:t>r</w:t>
            </w:r>
            <w:r w:rsidRPr="007921B6">
              <w:rPr>
                <w:sz w:val="20"/>
                <w:szCs w:val="20"/>
                <w:lang w:val="en-US"/>
              </w:rPr>
              <w:t>espondent</w:t>
            </w:r>
            <w:r>
              <w:rPr>
                <w:sz w:val="20"/>
                <w:szCs w:val="20"/>
                <w:lang w:val="en-US"/>
              </w:rPr>
              <w:t>.</w:t>
            </w:r>
          </w:p>
          <w:p w:rsidR="008A444A" w:rsidRDefault="008A444A" w:rsidP="008A444A">
            <w:pPr>
              <w:jc w:val="both"/>
              <w:rPr>
                <w:sz w:val="20"/>
                <w:szCs w:val="20"/>
                <w:lang w:val="en-US"/>
              </w:rPr>
            </w:pPr>
          </w:p>
          <w:p w:rsidR="008A444A" w:rsidRPr="007921B6" w:rsidRDefault="008A444A" w:rsidP="008A444A">
            <w:pPr>
              <w:jc w:val="both"/>
              <w:rPr>
                <w:sz w:val="20"/>
                <w:szCs w:val="20"/>
              </w:rPr>
            </w:pPr>
            <w:r w:rsidRPr="007921B6">
              <w:rPr>
                <w:sz w:val="20"/>
                <w:szCs w:val="20"/>
                <w:lang w:val="en-US"/>
              </w:rPr>
              <w:t>S. Zachary Green</w:t>
            </w:r>
            <w:r>
              <w:rPr>
                <w:sz w:val="20"/>
                <w:szCs w:val="20"/>
                <w:lang w:val="en-US"/>
              </w:rPr>
              <w:t xml:space="preserve"> f</w:t>
            </w:r>
            <w:r w:rsidRPr="007921B6">
              <w:rPr>
                <w:sz w:val="20"/>
                <w:szCs w:val="20"/>
                <w:lang w:val="en-US"/>
              </w:rPr>
              <w:t xml:space="preserve">or the </w:t>
            </w:r>
            <w:r>
              <w:rPr>
                <w:sz w:val="20"/>
                <w:szCs w:val="20"/>
                <w:lang w:val="en-US"/>
              </w:rPr>
              <w:t>i</w:t>
            </w:r>
            <w:r w:rsidRPr="007921B6">
              <w:rPr>
                <w:sz w:val="20"/>
                <w:szCs w:val="20"/>
                <w:lang w:val="en-US"/>
              </w:rPr>
              <w:t>ntervener</w:t>
            </w:r>
            <w:r>
              <w:rPr>
                <w:sz w:val="20"/>
                <w:szCs w:val="20"/>
                <w:lang w:val="en-US"/>
              </w:rPr>
              <w:t xml:space="preserve"> </w:t>
            </w:r>
            <w:r w:rsidRPr="007921B6">
              <w:rPr>
                <w:sz w:val="20"/>
                <w:szCs w:val="20"/>
              </w:rPr>
              <w:t>Attorney General of Ontario.</w:t>
            </w:r>
          </w:p>
          <w:p w:rsidR="008A444A" w:rsidRPr="007921B6" w:rsidRDefault="008A444A" w:rsidP="008A444A">
            <w:pPr>
              <w:jc w:val="both"/>
              <w:rPr>
                <w:sz w:val="20"/>
                <w:szCs w:val="20"/>
              </w:rPr>
            </w:pPr>
          </w:p>
          <w:p w:rsidR="007C47C2" w:rsidRPr="008A444A" w:rsidRDefault="008A444A" w:rsidP="008A444A">
            <w:pPr>
              <w:widowControl w:val="0"/>
              <w:jc w:val="both"/>
              <w:rPr>
                <w:sz w:val="20"/>
                <w:szCs w:val="20"/>
                <w:lang w:val="fr-CA"/>
              </w:rPr>
            </w:pPr>
            <w:r w:rsidRPr="007921B6">
              <w:rPr>
                <w:sz w:val="20"/>
                <w:szCs w:val="20"/>
                <w:lang w:val="fr-CA"/>
              </w:rPr>
              <w:t xml:space="preserve">Soumission écrite </w:t>
            </w:r>
            <w:r>
              <w:rPr>
                <w:sz w:val="20"/>
                <w:szCs w:val="20"/>
                <w:lang w:val="fr-CA"/>
              </w:rPr>
              <w:t>seulement p</w:t>
            </w:r>
            <w:r w:rsidRPr="007921B6">
              <w:rPr>
                <w:sz w:val="20"/>
                <w:szCs w:val="20"/>
                <w:lang w:val="fr-CA"/>
              </w:rPr>
              <w:t>our l’intervenante</w:t>
            </w:r>
            <w:r>
              <w:rPr>
                <w:sz w:val="20"/>
                <w:szCs w:val="20"/>
                <w:lang w:val="fr-CA"/>
              </w:rPr>
              <w:t xml:space="preserve"> </w:t>
            </w:r>
            <w:r w:rsidRPr="007921B6">
              <w:rPr>
                <w:sz w:val="20"/>
                <w:szCs w:val="20"/>
                <w:lang w:val="fr-CA"/>
              </w:rPr>
              <w:t>Procureure générale du Québec</w:t>
            </w:r>
            <w:r>
              <w:rPr>
                <w:sz w:val="20"/>
                <w:szCs w:val="20"/>
                <w:lang w:val="fr-CA"/>
              </w:rPr>
              <w:t>.</w:t>
            </w:r>
          </w:p>
        </w:tc>
      </w:tr>
    </w:tbl>
    <w:p w:rsidR="007C47C2" w:rsidRPr="008A444A" w:rsidRDefault="007C47C2" w:rsidP="007C47C2">
      <w:pPr>
        <w:widowControl w:val="0"/>
        <w:rPr>
          <w:sz w:val="20"/>
          <w:szCs w:val="20"/>
          <w:lang w:val="fr-CA"/>
        </w:rPr>
      </w:pPr>
    </w:p>
    <w:p w:rsidR="007C47C2" w:rsidRPr="0085476B" w:rsidRDefault="007C47C2" w:rsidP="007C47C2">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FFB" w:rsidTr="006E1D53">
        <w:tc>
          <w:tcPr>
            <w:tcW w:w="4380" w:type="dxa"/>
            <w:tcMar>
              <w:left w:w="0" w:type="dxa"/>
              <w:right w:w="0" w:type="dxa"/>
            </w:tcMar>
          </w:tcPr>
          <w:p w:rsidR="007C47C2" w:rsidRPr="00CC4D84" w:rsidRDefault="007C47C2" w:rsidP="006E1D53">
            <w:pPr>
              <w:widowControl w:val="0"/>
              <w:jc w:val="both"/>
              <w:rPr>
                <w:b/>
                <w:sz w:val="20"/>
                <w:szCs w:val="20"/>
                <w:u w:val="single"/>
              </w:rPr>
            </w:pPr>
            <w:r w:rsidRPr="00CC4D84">
              <w:rPr>
                <w:b/>
                <w:sz w:val="20"/>
                <w:szCs w:val="20"/>
                <w:u w:val="single"/>
              </w:rPr>
              <w:t>Nature of the case:</w:t>
            </w:r>
          </w:p>
          <w:p w:rsidR="007C47C2" w:rsidRPr="001A663B" w:rsidRDefault="007C47C2" w:rsidP="006E1D53">
            <w:pPr>
              <w:widowControl w:val="0"/>
              <w:jc w:val="both"/>
              <w:rPr>
                <w:b/>
                <w:sz w:val="20"/>
                <w:szCs w:val="20"/>
              </w:rPr>
            </w:pPr>
          </w:p>
          <w:p w:rsidR="007C47C2" w:rsidRPr="00C1697B" w:rsidRDefault="00726349" w:rsidP="006E1D53">
            <w:pPr>
              <w:widowControl w:val="0"/>
              <w:jc w:val="both"/>
              <w:rPr>
                <w:b/>
                <w:sz w:val="20"/>
                <w:szCs w:val="20"/>
              </w:rPr>
            </w:pPr>
            <w:r w:rsidRPr="00CC183D">
              <w:rPr>
                <w:i/>
                <w:sz w:val="20"/>
                <w:szCs w:val="20"/>
              </w:rPr>
              <w:t>Charter of Rights</w:t>
            </w:r>
            <w:r w:rsidRPr="00CC183D">
              <w:rPr>
                <w:sz w:val="20"/>
                <w:szCs w:val="20"/>
              </w:rPr>
              <w:t xml:space="preserve"> - Taxation - Assessments - Penalties - Misrepresentation of a tax matter by a third party - Whether an individual assessed a penalty under s. 163.2 of the </w:t>
            </w:r>
            <w:r w:rsidRPr="00CC183D">
              <w:rPr>
                <w:i/>
                <w:sz w:val="20"/>
                <w:szCs w:val="20"/>
              </w:rPr>
              <w:t>Income Tax Act</w:t>
            </w:r>
            <w:r w:rsidRPr="00CC183D">
              <w:rPr>
                <w:sz w:val="20"/>
                <w:szCs w:val="20"/>
              </w:rPr>
              <w:t>, R.S.C. 1985, c. 1 (5</w:t>
            </w:r>
            <w:r w:rsidRPr="00CC183D">
              <w:rPr>
                <w:sz w:val="20"/>
                <w:szCs w:val="20"/>
                <w:vertAlign w:val="superscript"/>
              </w:rPr>
              <w:t>th</w:t>
            </w:r>
            <w:r w:rsidRPr="00CC183D">
              <w:rPr>
                <w:sz w:val="20"/>
                <w:szCs w:val="20"/>
              </w:rPr>
              <w:t xml:space="preserve"> Supp.), is entitled to the rights guaranteed by s. 11 of the </w:t>
            </w:r>
            <w:r w:rsidRPr="00CC183D">
              <w:rPr>
                <w:i/>
                <w:sz w:val="20"/>
                <w:szCs w:val="20"/>
              </w:rPr>
              <w:t>Canadian Charter of Rights and Freedoms</w:t>
            </w:r>
            <w:r w:rsidRPr="00CC183D">
              <w:rPr>
                <w:sz w:val="20"/>
                <w:szCs w:val="20"/>
              </w:rPr>
              <w:t xml:space="preserve"> - Whether the requirement that a notice of constitutional question be served on the attorneys general is a matter going to the jurisdiction of the court to consider the constitutional issue - Application of </w:t>
            </w:r>
            <w:r w:rsidRPr="00CC183D">
              <w:rPr>
                <w:i/>
                <w:sz w:val="20"/>
                <w:szCs w:val="20"/>
              </w:rPr>
              <w:t>R. v. Wigglesworth</w:t>
            </w:r>
            <w:r w:rsidRPr="00CC183D">
              <w:rPr>
                <w:sz w:val="20"/>
                <w:szCs w:val="20"/>
              </w:rPr>
              <w:t xml:space="preserve">, [1987] 2 S.C.R. 541, and </w:t>
            </w:r>
            <w:r w:rsidRPr="00CC183D">
              <w:rPr>
                <w:i/>
                <w:sz w:val="20"/>
                <w:szCs w:val="20"/>
              </w:rPr>
              <w:t xml:space="preserve">Martineau </w:t>
            </w:r>
            <w:r w:rsidRPr="00CC183D">
              <w:rPr>
                <w:i/>
                <w:iCs/>
                <w:sz w:val="20"/>
                <w:szCs w:val="20"/>
              </w:rPr>
              <w:t xml:space="preserve">v. </w:t>
            </w:r>
            <w:r w:rsidRPr="00CC183D">
              <w:rPr>
                <w:i/>
                <w:sz w:val="20"/>
                <w:szCs w:val="20"/>
              </w:rPr>
              <w:t>M.N.R.</w:t>
            </w:r>
            <w:r w:rsidRPr="00CC183D">
              <w:rPr>
                <w:sz w:val="20"/>
                <w:szCs w:val="20"/>
              </w:rPr>
              <w:t>, [2004] 3 S.C.R. 737, 2004 SCC 81.</w:t>
            </w:r>
          </w:p>
        </w:tc>
        <w:tc>
          <w:tcPr>
            <w:tcW w:w="720" w:type="dxa"/>
            <w:tcMar>
              <w:left w:w="0" w:type="dxa"/>
              <w:right w:w="0" w:type="dxa"/>
            </w:tcMar>
          </w:tcPr>
          <w:p w:rsidR="007C47C2" w:rsidRPr="00C1697B" w:rsidRDefault="007C47C2" w:rsidP="006E1D53">
            <w:pPr>
              <w:widowControl w:val="0"/>
              <w:jc w:val="center"/>
              <w:rPr>
                <w:sz w:val="20"/>
                <w:szCs w:val="20"/>
              </w:rPr>
            </w:pPr>
          </w:p>
        </w:tc>
        <w:tc>
          <w:tcPr>
            <w:tcW w:w="4380" w:type="dxa"/>
            <w:tcMar>
              <w:left w:w="0" w:type="dxa"/>
              <w:right w:w="0" w:type="dxa"/>
            </w:tcMar>
          </w:tcPr>
          <w:p w:rsidR="007C47C2" w:rsidRPr="00CC4D84" w:rsidRDefault="007C47C2" w:rsidP="006E1D53">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6E1D53">
            <w:pPr>
              <w:widowControl w:val="0"/>
              <w:jc w:val="both"/>
              <w:rPr>
                <w:sz w:val="20"/>
                <w:szCs w:val="20"/>
                <w:lang w:val="fr-CA"/>
              </w:rPr>
            </w:pPr>
          </w:p>
          <w:p w:rsidR="007C47C2" w:rsidRPr="00C1697B" w:rsidRDefault="00726349" w:rsidP="006E1D53">
            <w:pPr>
              <w:widowControl w:val="0"/>
              <w:jc w:val="both"/>
              <w:rPr>
                <w:sz w:val="20"/>
                <w:szCs w:val="20"/>
                <w:lang w:val="fr-CA"/>
              </w:rPr>
            </w:pPr>
            <w:r w:rsidRPr="00665372">
              <w:rPr>
                <w:i/>
                <w:sz w:val="20"/>
                <w:szCs w:val="20"/>
                <w:lang w:val="fr-CA"/>
              </w:rPr>
              <w:t>Charte des droits</w:t>
            </w:r>
            <w:r w:rsidRPr="00665372">
              <w:rPr>
                <w:sz w:val="20"/>
                <w:szCs w:val="20"/>
                <w:lang w:val="fr-CA"/>
              </w:rPr>
              <w:t xml:space="preserve"> - Droit fiscal - Cotisations - Pénalités - Information trompeuse donnée par un tiers sur une question fiscale - Le particulier qui se voit imposer une pénalité en application de l’art. 163.2 de la </w:t>
            </w:r>
            <w:r w:rsidRPr="00665372">
              <w:rPr>
                <w:i/>
                <w:sz w:val="20"/>
                <w:szCs w:val="20"/>
                <w:lang w:val="fr-CA"/>
              </w:rPr>
              <w:t>Loi de l’impôt sur le revenu</w:t>
            </w:r>
            <w:r w:rsidRPr="00665372">
              <w:rPr>
                <w:sz w:val="20"/>
                <w:szCs w:val="20"/>
                <w:lang w:val="fr-CA"/>
              </w:rPr>
              <w:t>, L.R.C. 1985, ch. 1 (5</w:t>
            </w:r>
            <w:r w:rsidRPr="00665372">
              <w:rPr>
                <w:sz w:val="20"/>
                <w:szCs w:val="20"/>
                <w:vertAlign w:val="superscript"/>
                <w:lang w:val="fr-CA"/>
              </w:rPr>
              <w:t>e</w:t>
            </w:r>
            <w:r w:rsidRPr="00665372">
              <w:rPr>
                <w:sz w:val="20"/>
                <w:szCs w:val="20"/>
                <w:lang w:val="fr-CA"/>
              </w:rPr>
              <w:t xml:space="preserve"> suppl.) dispose-t-il des droits garantis par l’art. 11 de la </w:t>
            </w:r>
            <w:r w:rsidRPr="00665372">
              <w:rPr>
                <w:i/>
                <w:sz w:val="20"/>
                <w:szCs w:val="20"/>
                <w:lang w:val="fr-CA"/>
              </w:rPr>
              <w:t>Charte canadienne des droits et libertés</w:t>
            </w:r>
            <w:r w:rsidRPr="00665372">
              <w:rPr>
                <w:sz w:val="20"/>
                <w:szCs w:val="20"/>
                <w:lang w:val="fr-CA"/>
              </w:rPr>
              <w:t xml:space="preserve">? - Un tribunal n’est-il compétent à l’égard d’une question constitutionnelle que si l’on a signifié un avis de question constitutionnelle aux procureurs généraux? - Application de </w:t>
            </w:r>
            <w:r w:rsidRPr="00665372">
              <w:rPr>
                <w:i/>
                <w:sz w:val="20"/>
                <w:szCs w:val="20"/>
                <w:lang w:val="fr-CA"/>
              </w:rPr>
              <w:t>R. c. Wigglesworth</w:t>
            </w:r>
            <w:r w:rsidRPr="00665372">
              <w:rPr>
                <w:sz w:val="20"/>
                <w:szCs w:val="20"/>
                <w:lang w:val="fr-CA"/>
              </w:rPr>
              <w:t xml:space="preserve">, [1987] 2 R.C.S. 541 et de </w:t>
            </w:r>
            <w:r w:rsidRPr="00665372">
              <w:rPr>
                <w:i/>
                <w:sz w:val="20"/>
                <w:szCs w:val="20"/>
                <w:lang w:val="fr-CA"/>
              </w:rPr>
              <w:t xml:space="preserve">Martineau </w:t>
            </w:r>
            <w:r w:rsidRPr="00665372">
              <w:rPr>
                <w:i/>
                <w:iCs/>
                <w:sz w:val="20"/>
                <w:szCs w:val="20"/>
                <w:lang w:val="fr-CA"/>
              </w:rPr>
              <w:t xml:space="preserve">c. </w:t>
            </w:r>
            <w:r w:rsidRPr="00665372">
              <w:rPr>
                <w:i/>
                <w:sz w:val="20"/>
                <w:szCs w:val="20"/>
                <w:lang w:val="fr-CA"/>
              </w:rPr>
              <w:t>M.R.N.</w:t>
            </w:r>
            <w:r w:rsidRPr="00665372">
              <w:rPr>
                <w:sz w:val="20"/>
                <w:szCs w:val="20"/>
                <w:lang w:val="fr-CA"/>
              </w:rPr>
              <w:t>, [2004] 3 R.C.S. 737, 2004 CSC 81.</w:t>
            </w:r>
          </w:p>
        </w:tc>
      </w:tr>
    </w:tbl>
    <w:p w:rsidR="007C47C2" w:rsidRDefault="007C47C2" w:rsidP="007C47C2">
      <w:pPr>
        <w:widowControl w:val="0"/>
        <w:rPr>
          <w:sz w:val="20"/>
          <w:szCs w:val="20"/>
          <w:lang w:val="fr-CA"/>
        </w:rPr>
      </w:pPr>
    </w:p>
    <w:p w:rsidR="002A27D1" w:rsidRDefault="00E4461B" w:rsidP="002A27D1">
      <w:pPr>
        <w:widowControl w:val="0"/>
        <w:rPr>
          <w:sz w:val="20"/>
          <w:szCs w:val="20"/>
        </w:rPr>
      </w:pPr>
      <w:r>
        <w:rPr>
          <w:sz w:val="20"/>
          <w:szCs w:val="20"/>
          <w:lang w:val="fr-CA"/>
        </w:rPr>
        <w:pict>
          <v:rect id="_x0000_i1079" style="width:2in;height:1pt" o:hrpct="0" o:hralign="center" o:hrstd="t" o:hrnoshade="t" o:hr="t" fillcolor="black [3213]" stroked="f"/>
        </w:pict>
      </w:r>
    </w:p>
    <w:p w:rsidR="002A27D1" w:rsidRDefault="002A27D1" w:rsidP="002A27D1">
      <w:pPr>
        <w:widowControl w:val="0"/>
        <w:rPr>
          <w:sz w:val="20"/>
          <w:szCs w:val="20"/>
        </w:rPr>
      </w:pPr>
    </w:p>
    <w:p w:rsidR="006E1D53" w:rsidRPr="008A444A" w:rsidRDefault="006E1D53" w:rsidP="006E1D53">
      <w:pPr>
        <w:widowControl w:val="0"/>
        <w:rPr>
          <w:sz w:val="20"/>
          <w:szCs w:val="20"/>
        </w:rPr>
      </w:pPr>
      <w:r w:rsidRPr="008A444A">
        <w:rPr>
          <w:sz w:val="20"/>
          <w:szCs w:val="20"/>
        </w:rPr>
        <w:t>08.1</w:t>
      </w:r>
      <w:r w:rsidR="00002FFB">
        <w:rPr>
          <w:sz w:val="20"/>
          <w:szCs w:val="20"/>
        </w:rPr>
        <w:t>2</w:t>
      </w:r>
      <w:r w:rsidRPr="008A444A">
        <w:rPr>
          <w:sz w:val="20"/>
          <w:szCs w:val="20"/>
        </w:rPr>
        <w:t>.2014</w:t>
      </w:r>
    </w:p>
    <w:p w:rsidR="006E1D53" w:rsidRPr="008A444A" w:rsidRDefault="006E1D53" w:rsidP="006E1D53">
      <w:pPr>
        <w:widowControl w:val="0"/>
        <w:rPr>
          <w:sz w:val="20"/>
          <w:szCs w:val="20"/>
        </w:rPr>
      </w:pPr>
    </w:p>
    <w:p w:rsidR="006E1D53" w:rsidRPr="004742E3" w:rsidRDefault="006E1D53" w:rsidP="006E1D53">
      <w:pPr>
        <w:widowControl w:val="0"/>
        <w:ind w:left="720" w:hanging="720"/>
        <w:rPr>
          <w:sz w:val="20"/>
          <w:szCs w:val="20"/>
          <w:u w:val="single"/>
        </w:rPr>
      </w:pPr>
      <w:r w:rsidRPr="004742E3">
        <w:rPr>
          <w:sz w:val="20"/>
          <w:szCs w:val="20"/>
        </w:rPr>
        <w:t xml:space="preserve">Coram: </w:t>
      </w:r>
      <w:r w:rsidRPr="004742E3">
        <w:rPr>
          <w:sz w:val="20"/>
          <w:szCs w:val="20"/>
        </w:rPr>
        <w:tab/>
      </w:r>
      <w:r w:rsidRPr="004742E3">
        <w:rPr>
          <w:sz w:val="20"/>
          <w:szCs w:val="20"/>
          <w:u w:val="single"/>
        </w:rPr>
        <w:t>McLachlin C.J. and Rothstein, Moldaver, Wagner and Gascon JJ.</w:t>
      </w:r>
    </w:p>
    <w:p w:rsidR="006E1D53" w:rsidRPr="008A444A" w:rsidRDefault="006E1D53" w:rsidP="006E1D5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6E1D53" w:rsidTr="006E1D53">
        <w:tc>
          <w:tcPr>
            <w:tcW w:w="4380" w:type="dxa"/>
            <w:tcMar>
              <w:left w:w="0" w:type="dxa"/>
              <w:right w:w="0" w:type="dxa"/>
            </w:tcMar>
          </w:tcPr>
          <w:p w:rsidR="00982EDD" w:rsidRDefault="006E1D53" w:rsidP="006E1D53">
            <w:pPr>
              <w:rPr>
                <w:b/>
                <w:iCs/>
                <w:sz w:val="20"/>
                <w:szCs w:val="20"/>
              </w:rPr>
            </w:pPr>
            <w:r w:rsidRPr="004742E3">
              <w:rPr>
                <w:b/>
                <w:iCs/>
                <w:sz w:val="20"/>
                <w:szCs w:val="20"/>
              </w:rPr>
              <w:t xml:space="preserve">Ryan Paul Day </w:t>
            </w:r>
          </w:p>
          <w:p w:rsidR="00982EDD" w:rsidRDefault="00982EDD" w:rsidP="006E1D53">
            <w:pPr>
              <w:rPr>
                <w:b/>
                <w:iCs/>
                <w:sz w:val="20"/>
                <w:szCs w:val="20"/>
              </w:rPr>
            </w:pPr>
          </w:p>
          <w:p w:rsidR="00982EDD" w:rsidRDefault="00982EDD" w:rsidP="006E1D53">
            <w:pPr>
              <w:rPr>
                <w:b/>
                <w:iCs/>
                <w:sz w:val="20"/>
                <w:szCs w:val="20"/>
              </w:rPr>
            </w:pPr>
            <w:r>
              <w:rPr>
                <w:b/>
                <w:iCs/>
                <w:sz w:val="20"/>
                <w:szCs w:val="20"/>
              </w:rPr>
              <w:tab/>
            </w:r>
            <w:r w:rsidR="006E1D53" w:rsidRPr="004742E3">
              <w:rPr>
                <w:b/>
                <w:iCs/>
                <w:sz w:val="20"/>
                <w:szCs w:val="20"/>
              </w:rPr>
              <w:t xml:space="preserve">v. </w:t>
            </w:r>
            <w:r w:rsidRPr="004742E3">
              <w:rPr>
                <w:sz w:val="20"/>
                <w:szCs w:val="20"/>
              </w:rPr>
              <w:t>(</w:t>
            </w:r>
            <w:hyperlink r:id="rId115" w:history="1">
              <w:r w:rsidRPr="004742E3">
                <w:rPr>
                  <w:rStyle w:val="Hyperlink"/>
                  <w:sz w:val="20"/>
                  <w:szCs w:val="20"/>
                </w:rPr>
                <w:t>35822</w:t>
              </w:r>
            </w:hyperlink>
            <w:r w:rsidRPr="004742E3">
              <w:rPr>
                <w:sz w:val="20"/>
                <w:szCs w:val="20"/>
              </w:rPr>
              <w:t>)</w:t>
            </w:r>
          </w:p>
          <w:p w:rsidR="00982EDD" w:rsidRDefault="00982EDD" w:rsidP="006E1D53">
            <w:pPr>
              <w:rPr>
                <w:b/>
                <w:iCs/>
                <w:sz w:val="20"/>
                <w:szCs w:val="20"/>
              </w:rPr>
            </w:pPr>
          </w:p>
          <w:p w:rsidR="00982EDD" w:rsidRDefault="006E1D53" w:rsidP="006E1D53">
            <w:pPr>
              <w:rPr>
                <w:b/>
                <w:sz w:val="20"/>
                <w:szCs w:val="20"/>
              </w:rPr>
            </w:pPr>
            <w:r w:rsidRPr="004742E3">
              <w:rPr>
                <w:b/>
                <w:iCs/>
                <w:sz w:val="20"/>
                <w:szCs w:val="20"/>
              </w:rPr>
              <w:t xml:space="preserve">Her Majesty the Queen </w:t>
            </w:r>
            <w:r w:rsidRPr="00982EDD">
              <w:rPr>
                <w:b/>
                <w:sz w:val="20"/>
                <w:szCs w:val="20"/>
              </w:rPr>
              <w:t xml:space="preserve">(N.L.) (Criminal) </w:t>
            </w:r>
          </w:p>
          <w:p w:rsidR="006E1D53" w:rsidRPr="006E1D53" w:rsidRDefault="006E1D53" w:rsidP="00982EDD">
            <w:pPr>
              <w:rPr>
                <w:sz w:val="20"/>
                <w:szCs w:val="20"/>
              </w:rPr>
            </w:pPr>
            <w:r w:rsidRPr="00982EDD">
              <w:rPr>
                <w:b/>
                <w:sz w:val="20"/>
                <w:szCs w:val="20"/>
              </w:rPr>
              <w:t>(As of Right)</w:t>
            </w:r>
            <w:r w:rsidRPr="004742E3">
              <w:rPr>
                <w:sz w:val="20"/>
                <w:szCs w:val="20"/>
              </w:rPr>
              <w:t xml:space="preserve"> </w:t>
            </w:r>
          </w:p>
        </w:tc>
        <w:tc>
          <w:tcPr>
            <w:tcW w:w="720" w:type="dxa"/>
            <w:tcMar>
              <w:left w:w="0" w:type="dxa"/>
              <w:right w:w="0" w:type="dxa"/>
            </w:tcMar>
          </w:tcPr>
          <w:p w:rsidR="006E1D53" w:rsidRPr="006E1D53" w:rsidRDefault="006E1D53" w:rsidP="006E1D53">
            <w:pPr>
              <w:widowControl w:val="0"/>
              <w:jc w:val="center"/>
              <w:rPr>
                <w:sz w:val="20"/>
                <w:szCs w:val="20"/>
              </w:rPr>
            </w:pPr>
          </w:p>
        </w:tc>
        <w:tc>
          <w:tcPr>
            <w:tcW w:w="4380" w:type="dxa"/>
            <w:tcMar>
              <w:left w:w="0" w:type="dxa"/>
              <w:right w:w="0" w:type="dxa"/>
            </w:tcMar>
          </w:tcPr>
          <w:p w:rsidR="008A444A" w:rsidRPr="00E159BE" w:rsidRDefault="008A444A" w:rsidP="008A444A">
            <w:pPr>
              <w:jc w:val="both"/>
              <w:rPr>
                <w:sz w:val="20"/>
                <w:szCs w:val="20"/>
              </w:rPr>
            </w:pPr>
            <w:r w:rsidRPr="00E159BE">
              <w:rPr>
                <w:sz w:val="20"/>
                <w:szCs w:val="20"/>
              </w:rPr>
              <w:t>Kenneth J. Mahoney</w:t>
            </w:r>
            <w:r>
              <w:rPr>
                <w:sz w:val="20"/>
                <w:szCs w:val="20"/>
              </w:rPr>
              <w:t xml:space="preserve"> f</w:t>
            </w:r>
            <w:r w:rsidRPr="00E159BE">
              <w:rPr>
                <w:sz w:val="20"/>
                <w:szCs w:val="20"/>
              </w:rPr>
              <w:t xml:space="preserve">or the </w:t>
            </w:r>
            <w:r>
              <w:rPr>
                <w:sz w:val="20"/>
                <w:szCs w:val="20"/>
              </w:rPr>
              <w:t>a</w:t>
            </w:r>
            <w:r w:rsidRPr="00E159BE">
              <w:rPr>
                <w:sz w:val="20"/>
                <w:szCs w:val="20"/>
              </w:rPr>
              <w:t>ppellant.</w:t>
            </w:r>
          </w:p>
          <w:p w:rsidR="008A444A" w:rsidRPr="00E159BE" w:rsidRDefault="008A444A" w:rsidP="008A444A">
            <w:pPr>
              <w:jc w:val="both"/>
              <w:rPr>
                <w:sz w:val="20"/>
                <w:szCs w:val="20"/>
              </w:rPr>
            </w:pPr>
          </w:p>
          <w:p w:rsidR="006E1D53" w:rsidRPr="006E1D53" w:rsidRDefault="008A444A" w:rsidP="008A444A">
            <w:pPr>
              <w:widowControl w:val="0"/>
              <w:jc w:val="both"/>
              <w:rPr>
                <w:sz w:val="20"/>
                <w:szCs w:val="20"/>
              </w:rPr>
            </w:pPr>
            <w:r w:rsidRPr="00E159BE">
              <w:rPr>
                <w:sz w:val="20"/>
                <w:szCs w:val="20"/>
              </w:rPr>
              <w:t>Mark Covan</w:t>
            </w:r>
            <w:r>
              <w:rPr>
                <w:sz w:val="20"/>
                <w:szCs w:val="20"/>
              </w:rPr>
              <w:t xml:space="preserve"> and </w:t>
            </w:r>
            <w:r w:rsidRPr="00E159BE">
              <w:rPr>
                <w:sz w:val="20"/>
                <w:szCs w:val="20"/>
              </w:rPr>
              <w:t>Andrew O. Brown</w:t>
            </w:r>
            <w:r>
              <w:rPr>
                <w:sz w:val="20"/>
                <w:szCs w:val="20"/>
              </w:rPr>
              <w:t xml:space="preserve"> f</w:t>
            </w:r>
            <w:r w:rsidRPr="00E159BE">
              <w:rPr>
                <w:sz w:val="20"/>
                <w:szCs w:val="20"/>
              </w:rPr>
              <w:t xml:space="preserve">or the </w:t>
            </w:r>
            <w:r>
              <w:rPr>
                <w:sz w:val="20"/>
                <w:szCs w:val="20"/>
              </w:rPr>
              <w:t>r</w:t>
            </w:r>
            <w:r w:rsidRPr="00E159BE">
              <w:rPr>
                <w:sz w:val="20"/>
                <w:szCs w:val="20"/>
              </w:rPr>
              <w:t>espondent.</w:t>
            </w:r>
          </w:p>
        </w:tc>
      </w:tr>
    </w:tbl>
    <w:p w:rsidR="006E1D53" w:rsidRDefault="006E1D53" w:rsidP="006E1D53">
      <w:pPr>
        <w:widowControl w:val="0"/>
        <w:rPr>
          <w:sz w:val="20"/>
          <w:szCs w:val="20"/>
        </w:rPr>
      </w:pPr>
    </w:p>
    <w:p w:rsidR="008A444A" w:rsidRPr="008A444A" w:rsidRDefault="008A444A" w:rsidP="008A444A">
      <w:pPr>
        <w:rPr>
          <w:rFonts w:eastAsia="Calibri" w:cs="Times New Roman"/>
          <w:b/>
          <w:bCs/>
          <w:sz w:val="20"/>
          <w:szCs w:val="20"/>
        </w:rPr>
      </w:pPr>
      <w:r w:rsidRPr="008A444A">
        <w:rPr>
          <w:rFonts w:eastAsia="Calibri" w:cs="Times New Roman"/>
          <w:b/>
          <w:bCs/>
          <w:sz w:val="20"/>
          <w:szCs w:val="20"/>
        </w:rPr>
        <w:t xml:space="preserve">2014 </w:t>
      </w:r>
      <w:r w:rsidRPr="00E829A1">
        <w:rPr>
          <w:rFonts w:eastAsia="Calibri" w:cs="Times New Roman"/>
          <w:b/>
          <w:bCs/>
          <w:sz w:val="20"/>
          <w:szCs w:val="20"/>
        </w:rPr>
        <w:t xml:space="preserve">SCC </w:t>
      </w:r>
      <w:r w:rsidR="00BB5D5B">
        <w:rPr>
          <w:rFonts w:eastAsia="Calibri" w:cs="Times New Roman"/>
          <w:b/>
          <w:bCs/>
          <w:sz w:val="20"/>
          <w:szCs w:val="20"/>
        </w:rPr>
        <w:t>74</w:t>
      </w:r>
      <w:r w:rsidRPr="008A444A">
        <w:rPr>
          <w:rFonts w:eastAsia="Calibri" w:cs="Times New Roman"/>
          <w:b/>
          <w:bCs/>
          <w:sz w:val="20"/>
          <w:szCs w:val="20"/>
        </w:rPr>
        <w:t xml:space="preserve"> / 2014 CSC </w:t>
      </w:r>
      <w:r w:rsidR="00BB5D5B">
        <w:rPr>
          <w:rFonts w:eastAsia="Calibri" w:cs="Times New Roman"/>
          <w:b/>
          <w:bCs/>
          <w:sz w:val="20"/>
          <w:szCs w:val="20"/>
        </w:rPr>
        <w:t>74</w:t>
      </w:r>
    </w:p>
    <w:p w:rsidR="008A444A" w:rsidRPr="005E31A3" w:rsidRDefault="008A444A" w:rsidP="008A444A">
      <w:pPr>
        <w:widowControl w:val="0"/>
        <w:rPr>
          <w:sz w:val="20"/>
          <w:szCs w:val="20"/>
        </w:rPr>
      </w:pPr>
    </w:p>
    <w:p w:rsidR="006E1D53" w:rsidRPr="0085476B" w:rsidRDefault="008A444A" w:rsidP="006E1D53">
      <w:pPr>
        <w:widowControl w:val="0"/>
        <w:rPr>
          <w:sz w:val="20"/>
          <w:szCs w:val="20"/>
        </w:rPr>
      </w:pPr>
      <w:r>
        <w:rPr>
          <w:b/>
          <w:sz w:val="20"/>
          <w:szCs w:val="20"/>
        </w:rPr>
        <w:t>DISMISS</w:t>
      </w:r>
      <w:r w:rsidR="006E1D53" w:rsidRPr="0085476B">
        <w:rPr>
          <w:b/>
          <w:sz w:val="20"/>
          <w:szCs w:val="20"/>
        </w:rPr>
        <w:t xml:space="preserve">ED / </w:t>
      </w:r>
      <w:r>
        <w:rPr>
          <w:b/>
          <w:sz w:val="20"/>
          <w:szCs w:val="20"/>
        </w:rPr>
        <w:t>REJ</w:t>
      </w:r>
      <w:r w:rsidR="006E1D53" w:rsidRPr="008A444A">
        <w:rPr>
          <w:b/>
          <w:sz w:val="20"/>
          <w:szCs w:val="20"/>
        </w:rPr>
        <w:t>E</w:t>
      </w:r>
      <w:r w:rsidRPr="008A444A">
        <w:rPr>
          <w:b/>
          <w:sz w:val="20"/>
          <w:szCs w:val="20"/>
        </w:rPr>
        <w:t>T</w:t>
      </w:r>
      <w:r w:rsidR="006E1D53" w:rsidRPr="008A444A">
        <w:rPr>
          <w:b/>
          <w:sz w:val="20"/>
          <w:szCs w:val="20"/>
        </w:rPr>
        <w:t>É</w:t>
      </w:r>
    </w:p>
    <w:p w:rsidR="006E1D53" w:rsidRPr="008A444A" w:rsidRDefault="006E1D53" w:rsidP="006E1D5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8A444A" w:rsidRPr="00002FFB" w:rsidTr="003978BC">
        <w:tc>
          <w:tcPr>
            <w:tcW w:w="4380" w:type="dxa"/>
            <w:tcMar>
              <w:left w:w="0" w:type="dxa"/>
              <w:right w:w="0" w:type="dxa"/>
            </w:tcMar>
          </w:tcPr>
          <w:p w:rsidR="008A444A" w:rsidRPr="00CC4D84" w:rsidRDefault="008A444A" w:rsidP="003978BC">
            <w:pPr>
              <w:widowControl w:val="0"/>
              <w:jc w:val="both"/>
              <w:rPr>
                <w:b/>
                <w:sz w:val="20"/>
                <w:szCs w:val="20"/>
                <w:u w:val="single"/>
              </w:rPr>
            </w:pPr>
            <w:r>
              <w:rPr>
                <w:b/>
                <w:sz w:val="20"/>
                <w:szCs w:val="20"/>
                <w:u w:val="single"/>
              </w:rPr>
              <w:t>JUDGMENT</w:t>
            </w:r>
            <w:r w:rsidRPr="00CC4D84">
              <w:rPr>
                <w:b/>
                <w:sz w:val="20"/>
                <w:szCs w:val="20"/>
                <w:u w:val="single"/>
              </w:rPr>
              <w:t>:</w:t>
            </w:r>
          </w:p>
          <w:p w:rsidR="008A444A" w:rsidRPr="001A663B" w:rsidRDefault="008A444A" w:rsidP="003978BC">
            <w:pPr>
              <w:widowControl w:val="0"/>
              <w:jc w:val="both"/>
              <w:rPr>
                <w:b/>
                <w:sz w:val="20"/>
                <w:szCs w:val="20"/>
              </w:rPr>
            </w:pPr>
          </w:p>
          <w:p w:rsidR="00BB5D5B" w:rsidRPr="00186AB3" w:rsidRDefault="00BB5D5B" w:rsidP="00BB5D5B">
            <w:pPr>
              <w:jc w:val="both"/>
              <w:rPr>
                <w:sz w:val="20"/>
                <w:szCs w:val="20"/>
              </w:rPr>
            </w:pPr>
            <w:r w:rsidRPr="00186AB3">
              <w:rPr>
                <w:sz w:val="20"/>
                <w:szCs w:val="20"/>
              </w:rPr>
              <w:t xml:space="preserve">The appeal from the judgment of the Supreme Court of Newfoundland and Labrador - Court of Appeal, Number 13/05, 2014 NLCA 14, dated March 11, 2014, was heard on December 8, 2014, and the Court on that day delivered the following judgment orally: </w:t>
            </w:r>
          </w:p>
          <w:p w:rsidR="00BB5D5B" w:rsidRPr="00186AB3" w:rsidRDefault="00BB5D5B" w:rsidP="00BB5D5B">
            <w:pPr>
              <w:jc w:val="both"/>
              <w:rPr>
                <w:sz w:val="20"/>
                <w:szCs w:val="20"/>
              </w:rPr>
            </w:pPr>
          </w:p>
          <w:p w:rsidR="008A444A" w:rsidRPr="00C1697B" w:rsidRDefault="00BB5D5B" w:rsidP="00BB5D5B">
            <w:pPr>
              <w:jc w:val="both"/>
              <w:rPr>
                <w:b/>
                <w:sz w:val="20"/>
                <w:szCs w:val="20"/>
              </w:rPr>
            </w:pPr>
            <w:r w:rsidRPr="00186AB3">
              <w:rPr>
                <w:smallCaps/>
                <w:sz w:val="20"/>
                <w:szCs w:val="20"/>
              </w:rPr>
              <w:t xml:space="preserve">The Chief Justice — </w:t>
            </w:r>
            <w:r w:rsidRPr="00186AB3">
              <w:rPr>
                <w:sz w:val="20"/>
                <w:szCs w:val="20"/>
              </w:rPr>
              <w:t>In spite of the able argument of Mr. Mahoney, we are all of the view to dismiss the appeal for the reasons of Hoegg J.A.</w:t>
            </w:r>
          </w:p>
        </w:tc>
        <w:tc>
          <w:tcPr>
            <w:tcW w:w="720" w:type="dxa"/>
            <w:tcMar>
              <w:left w:w="0" w:type="dxa"/>
              <w:right w:w="0" w:type="dxa"/>
            </w:tcMar>
          </w:tcPr>
          <w:p w:rsidR="008A444A" w:rsidRPr="00C1697B" w:rsidRDefault="008A444A" w:rsidP="003978BC">
            <w:pPr>
              <w:widowControl w:val="0"/>
              <w:jc w:val="center"/>
              <w:rPr>
                <w:sz w:val="20"/>
                <w:szCs w:val="20"/>
              </w:rPr>
            </w:pPr>
          </w:p>
        </w:tc>
        <w:tc>
          <w:tcPr>
            <w:tcW w:w="4380" w:type="dxa"/>
            <w:tcMar>
              <w:left w:w="0" w:type="dxa"/>
              <w:right w:w="0" w:type="dxa"/>
            </w:tcMar>
          </w:tcPr>
          <w:p w:rsidR="008A444A" w:rsidRPr="00CC4D84" w:rsidRDefault="008A444A" w:rsidP="003978BC">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8A444A" w:rsidRPr="00C1697B" w:rsidRDefault="008A444A" w:rsidP="003978BC">
            <w:pPr>
              <w:widowControl w:val="0"/>
              <w:jc w:val="both"/>
              <w:rPr>
                <w:sz w:val="20"/>
                <w:szCs w:val="20"/>
                <w:lang w:val="fr-CA"/>
              </w:rPr>
            </w:pPr>
          </w:p>
          <w:p w:rsidR="00BB5D5B" w:rsidRPr="00186AB3" w:rsidRDefault="00BB5D5B" w:rsidP="00BB5D5B">
            <w:pPr>
              <w:jc w:val="both"/>
              <w:rPr>
                <w:sz w:val="20"/>
                <w:szCs w:val="20"/>
                <w:lang w:val="fr-CA"/>
              </w:rPr>
            </w:pPr>
            <w:r w:rsidRPr="00186AB3">
              <w:rPr>
                <w:sz w:val="20"/>
                <w:szCs w:val="20"/>
                <w:lang w:val="fr-CA"/>
              </w:rPr>
              <w:t>L’appel interjeté contre l’arrêt de la Cour suprême de Terre-Neuve-et-Labrador - Cour d'appel, numéro 13/05, 2014 NLCA 14, daté du 11 mars 2014, a été entendu le 8 décembre 2014 et la Cour a prononcé oralement le même jour le jugement suivant :</w:t>
            </w:r>
          </w:p>
          <w:p w:rsidR="00BB5D5B" w:rsidRDefault="00BB5D5B" w:rsidP="00BB5D5B">
            <w:pPr>
              <w:jc w:val="both"/>
              <w:rPr>
                <w:smallCaps/>
                <w:sz w:val="20"/>
                <w:szCs w:val="20"/>
                <w:lang w:val="fr-CA"/>
              </w:rPr>
            </w:pPr>
          </w:p>
          <w:p w:rsidR="00BB5D5B" w:rsidRPr="00186AB3" w:rsidRDefault="00BB5D5B" w:rsidP="00BB5D5B">
            <w:pPr>
              <w:jc w:val="both"/>
              <w:rPr>
                <w:smallCaps/>
                <w:sz w:val="20"/>
                <w:szCs w:val="20"/>
                <w:lang w:val="fr-CA"/>
              </w:rPr>
            </w:pPr>
            <w:r w:rsidRPr="00186AB3">
              <w:rPr>
                <w:smallCaps/>
                <w:sz w:val="20"/>
                <w:szCs w:val="20"/>
                <w:lang w:val="fr-CA"/>
              </w:rPr>
              <w:t>[traduction]</w:t>
            </w:r>
          </w:p>
          <w:p w:rsidR="008A444A" w:rsidRPr="00C1697B" w:rsidRDefault="00BB5D5B" w:rsidP="00BB5D5B">
            <w:pPr>
              <w:jc w:val="both"/>
              <w:rPr>
                <w:sz w:val="20"/>
                <w:szCs w:val="20"/>
                <w:lang w:val="fr-CA"/>
              </w:rPr>
            </w:pPr>
            <w:r w:rsidRPr="00186AB3">
              <w:rPr>
                <w:smallCaps/>
                <w:sz w:val="20"/>
                <w:szCs w:val="20"/>
                <w:lang w:val="fr-CA"/>
              </w:rPr>
              <w:t xml:space="preserve">La Juge en Chef — </w:t>
            </w:r>
            <w:r w:rsidRPr="00186AB3">
              <w:rPr>
                <w:sz w:val="20"/>
                <w:szCs w:val="20"/>
                <w:lang w:val="fr-FR"/>
              </w:rPr>
              <w:t>Malgré l’argumentation compétente</w:t>
            </w:r>
            <w:r w:rsidRPr="00186AB3">
              <w:rPr>
                <w:sz w:val="20"/>
                <w:szCs w:val="20"/>
                <w:lang w:val="fr-CA"/>
              </w:rPr>
              <w:t xml:space="preserve"> de M</w:t>
            </w:r>
            <w:r w:rsidRPr="00186AB3">
              <w:rPr>
                <w:sz w:val="20"/>
                <w:szCs w:val="20"/>
                <w:vertAlign w:val="superscript"/>
                <w:lang w:val="fr-CA"/>
              </w:rPr>
              <w:t>e</w:t>
            </w:r>
            <w:r w:rsidRPr="00186AB3">
              <w:rPr>
                <w:sz w:val="20"/>
                <w:szCs w:val="20"/>
                <w:lang w:val="fr-CA"/>
              </w:rPr>
              <w:t xml:space="preserve"> Mahoney, nous </w:t>
            </w:r>
            <w:r w:rsidRPr="00186AB3">
              <w:rPr>
                <w:rFonts w:asciiTheme="minorBidi" w:hAnsiTheme="minorBidi"/>
                <w:sz w:val="20"/>
                <w:szCs w:val="20"/>
                <w:lang w:val="fr-CA"/>
              </w:rPr>
              <w:t>sommes tous d’avis de rejeter le pourvoi pour les motifs exposés par la juge d’appel Hoegg</w:t>
            </w:r>
            <w:r w:rsidRPr="00186AB3">
              <w:rPr>
                <w:smallCaps/>
                <w:sz w:val="20"/>
                <w:szCs w:val="20"/>
                <w:lang w:val="fr-CA"/>
              </w:rPr>
              <w:t>.</w:t>
            </w:r>
          </w:p>
        </w:tc>
      </w:tr>
    </w:tbl>
    <w:p w:rsidR="008A444A" w:rsidRPr="008A444A" w:rsidRDefault="008A444A" w:rsidP="006E1D53">
      <w:pPr>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002FFB" w:rsidTr="006E1D53">
        <w:tc>
          <w:tcPr>
            <w:tcW w:w="4380" w:type="dxa"/>
            <w:tcMar>
              <w:left w:w="0" w:type="dxa"/>
              <w:right w:w="0" w:type="dxa"/>
            </w:tcMar>
          </w:tcPr>
          <w:p w:rsidR="006E1D53" w:rsidRPr="00CC4D84" w:rsidRDefault="006E1D53" w:rsidP="006E1D53">
            <w:pPr>
              <w:widowControl w:val="0"/>
              <w:jc w:val="both"/>
              <w:rPr>
                <w:b/>
                <w:sz w:val="20"/>
                <w:szCs w:val="20"/>
                <w:u w:val="single"/>
              </w:rPr>
            </w:pPr>
            <w:r w:rsidRPr="00CC4D84">
              <w:rPr>
                <w:b/>
                <w:sz w:val="20"/>
                <w:szCs w:val="20"/>
                <w:u w:val="single"/>
              </w:rPr>
              <w:t>Nature of the case:</w:t>
            </w:r>
          </w:p>
          <w:p w:rsidR="006E1D53" w:rsidRPr="001A663B" w:rsidRDefault="006E1D53" w:rsidP="006E1D53">
            <w:pPr>
              <w:widowControl w:val="0"/>
              <w:jc w:val="both"/>
              <w:rPr>
                <w:b/>
                <w:sz w:val="20"/>
                <w:szCs w:val="20"/>
              </w:rPr>
            </w:pPr>
          </w:p>
          <w:p w:rsidR="006E1D53" w:rsidRPr="00C1697B" w:rsidRDefault="008A444A" w:rsidP="006E1D53">
            <w:pPr>
              <w:widowControl w:val="0"/>
              <w:jc w:val="both"/>
              <w:rPr>
                <w:b/>
                <w:sz w:val="20"/>
                <w:szCs w:val="20"/>
              </w:rPr>
            </w:pPr>
            <w:r w:rsidRPr="00753B42">
              <w:rPr>
                <w:i/>
                <w:sz w:val="20"/>
                <w:szCs w:val="20"/>
              </w:rPr>
              <w:t>Charter of Rights</w:t>
            </w:r>
            <w:r w:rsidRPr="00753B42">
              <w:rPr>
                <w:sz w:val="20"/>
                <w:szCs w:val="20"/>
              </w:rPr>
              <w:t xml:space="preserve"> - Criminal law - Arbitrary detention - Unreasonable search and seizure - Exclusion of evidence - </w:t>
            </w:r>
            <w:r w:rsidRPr="00753B42">
              <w:rPr>
                <w:i/>
                <w:sz w:val="20"/>
                <w:szCs w:val="20"/>
              </w:rPr>
              <w:t>Canadian Charter of Rights and Freedoms</w:t>
            </w:r>
            <w:r w:rsidRPr="00753B42">
              <w:rPr>
                <w:sz w:val="20"/>
                <w:szCs w:val="20"/>
              </w:rPr>
              <w:t>, ss. 8, 9 and 24(2).</w:t>
            </w:r>
          </w:p>
        </w:tc>
        <w:tc>
          <w:tcPr>
            <w:tcW w:w="720" w:type="dxa"/>
            <w:tcMar>
              <w:left w:w="0" w:type="dxa"/>
              <w:right w:w="0" w:type="dxa"/>
            </w:tcMar>
          </w:tcPr>
          <w:p w:rsidR="006E1D53" w:rsidRPr="00C1697B" w:rsidRDefault="006E1D53" w:rsidP="006E1D53">
            <w:pPr>
              <w:widowControl w:val="0"/>
              <w:jc w:val="center"/>
              <w:rPr>
                <w:sz w:val="20"/>
                <w:szCs w:val="20"/>
              </w:rPr>
            </w:pPr>
          </w:p>
        </w:tc>
        <w:tc>
          <w:tcPr>
            <w:tcW w:w="4380" w:type="dxa"/>
            <w:tcMar>
              <w:left w:w="0" w:type="dxa"/>
              <w:right w:w="0" w:type="dxa"/>
            </w:tcMar>
          </w:tcPr>
          <w:p w:rsidR="006E1D53" w:rsidRPr="003110B0" w:rsidRDefault="006E1D53" w:rsidP="006E1D53">
            <w:pPr>
              <w:widowControl w:val="0"/>
              <w:jc w:val="both"/>
              <w:rPr>
                <w:b/>
                <w:sz w:val="20"/>
                <w:szCs w:val="20"/>
                <w:u w:val="single"/>
                <w:lang w:val="fr-CA"/>
              </w:rPr>
            </w:pPr>
            <w:r w:rsidRPr="003110B0">
              <w:rPr>
                <w:b/>
                <w:sz w:val="20"/>
                <w:szCs w:val="20"/>
                <w:u w:val="single"/>
                <w:lang w:val="fr-CA"/>
              </w:rPr>
              <w:t>Nature de la cause :</w:t>
            </w:r>
          </w:p>
          <w:p w:rsidR="006E1D53" w:rsidRPr="003110B0" w:rsidRDefault="006E1D53" w:rsidP="006E1D53">
            <w:pPr>
              <w:widowControl w:val="0"/>
              <w:jc w:val="both"/>
              <w:rPr>
                <w:sz w:val="20"/>
                <w:szCs w:val="20"/>
                <w:lang w:val="fr-CA"/>
              </w:rPr>
            </w:pPr>
          </w:p>
          <w:p w:rsidR="006E1D53" w:rsidRPr="008A444A" w:rsidRDefault="008A444A" w:rsidP="006E1D53">
            <w:pPr>
              <w:widowControl w:val="0"/>
              <w:jc w:val="both"/>
              <w:rPr>
                <w:sz w:val="20"/>
                <w:szCs w:val="20"/>
                <w:lang w:val="fr-CA"/>
              </w:rPr>
            </w:pPr>
            <w:r w:rsidRPr="00486D96">
              <w:rPr>
                <w:i/>
                <w:sz w:val="20"/>
                <w:szCs w:val="20"/>
                <w:lang w:val="fr-CA"/>
              </w:rPr>
              <w:t xml:space="preserve">Charte des droits </w:t>
            </w:r>
            <w:r w:rsidRPr="00486D96">
              <w:rPr>
                <w:sz w:val="20"/>
                <w:szCs w:val="20"/>
                <w:lang w:val="fr-CA"/>
              </w:rPr>
              <w:t xml:space="preserve">- Droit criminel - Détention arbitraire - Fouilles, perquisitions et saisies abusives - Exclusion de la preuve - </w:t>
            </w:r>
            <w:r w:rsidRPr="00486D96">
              <w:rPr>
                <w:i/>
                <w:sz w:val="20"/>
                <w:szCs w:val="20"/>
                <w:lang w:val="fr-CA"/>
              </w:rPr>
              <w:t>Charte canadienne des droits et libertés</w:t>
            </w:r>
            <w:r w:rsidRPr="00486D96">
              <w:rPr>
                <w:sz w:val="20"/>
                <w:szCs w:val="20"/>
                <w:lang w:val="fr-CA"/>
              </w:rPr>
              <w:t>, art. 8, 9 et 24(2).</w:t>
            </w:r>
          </w:p>
        </w:tc>
      </w:tr>
    </w:tbl>
    <w:p w:rsidR="006E1D53" w:rsidRPr="008A444A" w:rsidRDefault="006E1D53" w:rsidP="006E1D53">
      <w:pPr>
        <w:widowControl w:val="0"/>
        <w:rPr>
          <w:sz w:val="20"/>
          <w:szCs w:val="20"/>
          <w:lang w:val="fr-CA"/>
        </w:rPr>
      </w:pPr>
    </w:p>
    <w:p w:rsidR="006E1D53" w:rsidRDefault="00E4461B" w:rsidP="006E1D53">
      <w:pPr>
        <w:widowControl w:val="0"/>
        <w:rPr>
          <w:sz w:val="20"/>
          <w:szCs w:val="20"/>
        </w:rPr>
      </w:pPr>
      <w:r>
        <w:rPr>
          <w:sz w:val="20"/>
          <w:szCs w:val="20"/>
          <w:lang w:val="fr-CA"/>
        </w:rPr>
        <w:pict>
          <v:rect id="_x0000_i1080" style="width:2in;height:1pt" o:hrpct="0" o:hralign="center" o:hrstd="t" o:hrnoshade="t" o:hr="t" fillcolor="black [3213]" stroked="f"/>
        </w:pict>
      </w:r>
    </w:p>
    <w:p w:rsidR="006E1D53" w:rsidRDefault="006E1D53" w:rsidP="006E1D53">
      <w:pPr>
        <w:widowControl w:val="0"/>
        <w:rPr>
          <w:sz w:val="20"/>
          <w:szCs w:val="20"/>
        </w:rPr>
      </w:pPr>
    </w:p>
    <w:p w:rsidR="006E1D53" w:rsidRPr="008A444A" w:rsidRDefault="006E1D53" w:rsidP="006E1D53">
      <w:pPr>
        <w:widowControl w:val="0"/>
        <w:rPr>
          <w:sz w:val="20"/>
          <w:szCs w:val="20"/>
        </w:rPr>
      </w:pPr>
      <w:r w:rsidRPr="008A444A">
        <w:rPr>
          <w:sz w:val="20"/>
          <w:szCs w:val="20"/>
        </w:rPr>
        <w:t>08.1</w:t>
      </w:r>
      <w:r w:rsidR="00002FFB">
        <w:rPr>
          <w:sz w:val="20"/>
          <w:szCs w:val="20"/>
        </w:rPr>
        <w:t>2</w:t>
      </w:r>
      <w:r w:rsidRPr="008A444A">
        <w:rPr>
          <w:sz w:val="20"/>
          <w:szCs w:val="20"/>
        </w:rPr>
        <w:t>.2014</w:t>
      </w:r>
    </w:p>
    <w:p w:rsidR="006E1D53" w:rsidRPr="008A444A" w:rsidRDefault="006E1D53" w:rsidP="006E1D53">
      <w:pPr>
        <w:widowControl w:val="0"/>
        <w:rPr>
          <w:sz w:val="20"/>
          <w:szCs w:val="20"/>
        </w:rPr>
      </w:pPr>
    </w:p>
    <w:p w:rsidR="006E1D53" w:rsidRPr="004742E3" w:rsidRDefault="006E1D53" w:rsidP="006E1D53">
      <w:pPr>
        <w:widowControl w:val="0"/>
        <w:ind w:left="720" w:hanging="720"/>
        <w:rPr>
          <w:sz w:val="20"/>
          <w:szCs w:val="20"/>
          <w:u w:val="single"/>
        </w:rPr>
      </w:pPr>
      <w:r w:rsidRPr="004742E3">
        <w:rPr>
          <w:sz w:val="20"/>
          <w:szCs w:val="20"/>
        </w:rPr>
        <w:t xml:space="preserve">Coram: </w:t>
      </w:r>
      <w:r w:rsidRPr="004742E3">
        <w:rPr>
          <w:sz w:val="20"/>
          <w:szCs w:val="20"/>
        </w:rPr>
        <w:tab/>
      </w:r>
      <w:r w:rsidRPr="004742E3">
        <w:rPr>
          <w:sz w:val="20"/>
          <w:szCs w:val="20"/>
          <w:u w:val="single"/>
        </w:rPr>
        <w:t>McLachlin C.J. and Rothstein, Cromwell, Moldaver, Karakatsanis, Wagner and Gascon JJ.</w:t>
      </w:r>
    </w:p>
    <w:p w:rsidR="006E1D53" w:rsidRPr="008A444A" w:rsidRDefault="006E1D53" w:rsidP="006E1D5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6E1D53" w:rsidTr="006E1D53">
        <w:tc>
          <w:tcPr>
            <w:tcW w:w="4380" w:type="dxa"/>
            <w:tcMar>
              <w:left w:w="0" w:type="dxa"/>
              <w:right w:w="0" w:type="dxa"/>
            </w:tcMar>
          </w:tcPr>
          <w:p w:rsidR="00982EDD" w:rsidRDefault="006E1D53" w:rsidP="006E1D53">
            <w:pPr>
              <w:rPr>
                <w:b/>
                <w:iCs/>
                <w:sz w:val="20"/>
                <w:szCs w:val="20"/>
              </w:rPr>
            </w:pPr>
            <w:r w:rsidRPr="004742E3">
              <w:rPr>
                <w:b/>
                <w:iCs/>
                <w:sz w:val="20"/>
                <w:szCs w:val="20"/>
              </w:rPr>
              <w:t xml:space="preserve">James Steven Wilcox </w:t>
            </w:r>
          </w:p>
          <w:p w:rsidR="00982EDD" w:rsidRDefault="00982EDD" w:rsidP="006E1D53">
            <w:pPr>
              <w:rPr>
                <w:b/>
                <w:iCs/>
                <w:sz w:val="20"/>
                <w:szCs w:val="20"/>
              </w:rPr>
            </w:pPr>
          </w:p>
          <w:p w:rsidR="00982EDD" w:rsidRDefault="00982EDD" w:rsidP="006E1D53">
            <w:pPr>
              <w:rPr>
                <w:b/>
                <w:iCs/>
                <w:sz w:val="20"/>
                <w:szCs w:val="20"/>
              </w:rPr>
            </w:pPr>
            <w:r>
              <w:rPr>
                <w:b/>
                <w:iCs/>
                <w:sz w:val="20"/>
                <w:szCs w:val="20"/>
              </w:rPr>
              <w:tab/>
            </w:r>
            <w:r w:rsidR="006E1D53" w:rsidRPr="004742E3">
              <w:rPr>
                <w:b/>
                <w:iCs/>
                <w:sz w:val="20"/>
                <w:szCs w:val="20"/>
              </w:rPr>
              <w:t xml:space="preserve">v. </w:t>
            </w:r>
            <w:r w:rsidRPr="004742E3">
              <w:rPr>
                <w:sz w:val="20"/>
                <w:szCs w:val="20"/>
              </w:rPr>
              <w:t>(</w:t>
            </w:r>
            <w:hyperlink r:id="rId116" w:history="1">
              <w:r w:rsidRPr="004742E3">
                <w:rPr>
                  <w:rStyle w:val="Hyperlink"/>
                  <w:sz w:val="20"/>
                  <w:szCs w:val="20"/>
                </w:rPr>
                <w:t>35758</w:t>
              </w:r>
            </w:hyperlink>
            <w:r w:rsidRPr="004742E3">
              <w:rPr>
                <w:sz w:val="20"/>
                <w:szCs w:val="20"/>
              </w:rPr>
              <w:t>)</w:t>
            </w:r>
          </w:p>
          <w:p w:rsidR="00982EDD" w:rsidRDefault="00982EDD" w:rsidP="006E1D53">
            <w:pPr>
              <w:rPr>
                <w:b/>
                <w:iCs/>
                <w:sz w:val="20"/>
                <w:szCs w:val="20"/>
              </w:rPr>
            </w:pPr>
          </w:p>
          <w:p w:rsidR="006E1D53" w:rsidRPr="006E1D53" w:rsidRDefault="006E1D53" w:rsidP="002C3BA4">
            <w:pPr>
              <w:rPr>
                <w:sz w:val="20"/>
                <w:szCs w:val="20"/>
              </w:rPr>
            </w:pPr>
            <w:r w:rsidRPr="004742E3">
              <w:rPr>
                <w:b/>
                <w:iCs/>
                <w:sz w:val="20"/>
                <w:szCs w:val="20"/>
              </w:rPr>
              <w:t xml:space="preserve">Her Majesty the Queen </w:t>
            </w:r>
            <w:r w:rsidRPr="00982EDD">
              <w:rPr>
                <w:b/>
                <w:sz w:val="20"/>
                <w:szCs w:val="20"/>
              </w:rPr>
              <w:t>(Que.) (Criminal) (As of Right)</w:t>
            </w:r>
            <w:r w:rsidRPr="004742E3">
              <w:rPr>
                <w:sz w:val="20"/>
                <w:szCs w:val="20"/>
              </w:rPr>
              <w:t xml:space="preserve"> </w:t>
            </w:r>
            <w:r w:rsidRPr="006E1D53">
              <w:rPr>
                <w:sz w:val="20"/>
                <w:szCs w:val="20"/>
              </w:rPr>
              <w:t xml:space="preserve"> </w:t>
            </w:r>
          </w:p>
        </w:tc>
        <w:tc>
          <w:tcPr>
            <w:tcW w:w="720" w:type="dxa"/>
            <w:tcMar>
              <w:left w:w="0" w:type="dxa"/>
              <w:right w:w="0" w:type="dxa"/>
            </w:tcMar>
          </w:tcPr>
          <w:p w:rsidR="006E1D53" w:rsidRPr="006E1D53" w:rsidRDefault="006E1D53" w:rsidP="006E1D53">
            <w:pPr>
              <w:widowControl w:val="0"/>
              <w:jc w:val="center"/>
              <w:rPr>
                <w:sz w:val="20"/>
                <w:szCs w:val="20"/>
              </w:rPr>
            </w:pPr>
          </w:p>
        </w:tc>
        <w:tc>
          <w:tcPr>
            <w:tcW w:w="4380" w:type="dxa"/>
            <w:tcMar>
              <w:left w:w="0" w:type="dxa"/>
              <w:right w:w="0" w:type="dxa"/>
            </w:tcMar>
          </w:tcPr>
          <w:p w:rsidR="00BC2489" w:rsidRPr="00FD3E0B" w:rsidRDefault="00BC2489" w:rsidP="00BC2489">
            <w:pPr>
              <w:jc w:val="both"/>
              <w:rPr>
                <w:sz w:val="20"/>
                <w:szCs w:val="20"/>
              </w:rPr>
            </w:pPr>
            <w:r w:rsidRPr="00FD3E0B">
              <w:rPr>
                <w:sz w:val="20"/>
                <w:szCs w:val="20"/>
              </w:rPr>
              <w:t>Jeffrey Boro</w:t>
            </w:r>
            <w:r>
              <w:rPr>
                <w:sz w:val="20"/>
                <w:szCs w:val="20"/>
              </w:rPr>
              <w:t xml:space="preserve"> and </w:t>
            </w:r>
            <w:r w:rsidRPr="00FD3E0B">
              <w:rPr>
                <w:sz w:val="20"/>
                <w:szCs w:val="20"/>
              </w:rPr>
              <w:t xml:space="preserve">Jonathan Gordon </w:t>
            </w:r>
            <w:r>
              <w:rPr>
                <w:sz w:val="20"/>
                <w:szCs w:val="20"/>
              </w:rPr>
              <w:t>f</w:t>
            </w:r>
            <w:r w:rsidRPr="00FD3E0B">
              <w:rPr>
                <w:sz w:val="20"/>
                <w:szCs w:val="20"/>
              </w:rPr>
              <w:t xml:space="preserve">or the </w:t>
            </w:r>
            <w:r>
              <w:rPr>
                <w:sz w:val="20"/>
                <w:szCs w:val="20"/>
              </w:rPr>
              <w:t>a</w:t>
            </w:r>
            <w:r w:rsidRPr="00FD3E0B">
              <w:rPr>
                <w:sz w:val="20"/>
                <w:szCs w:val="20"/>
              </w:rPr>
              <w:t>ppellant</w:t>
            </w:r>
            <w:r>
              <w:rPr>
                <w:sz w:val="20"/>
                <w:szCs w:val="20"/>
              </w:rPr>
              <w:t>.</w:t>
            </w:r>
          </w:p>
          <w:p w:rsidR="00BC2489" w:rsidRPr="00FD3E0B" w:rsidRDefault="00BC2489" w:rsidP="00BC2489">
            <w:pPr>
              <w:jc w:val="both"/>
              <w:rPr>
                <w:sz w:val="20"/>
                <w:szCs w:val="20"/>
              </w:rPr>
            </w:pPr>
          </w:p>
          <w:p w:rsidR="00BC2489" w:rsidRPr="00FD3E0B" w:rsidRDefault="00BC2489" w:rsidP="00BC2489">
            <w:pPr>
              <w:jc w:val="both"/>
              <w:rPr>
                <w:sz w:val="20"/>
                <w:szCs w:val="20"/>
              </w:rPr>
            </w:pPr>
            <w:r w:rsidRPr="00FD3E0B">
              <w:rPr>
                <w:sz w:val="20"/>
                <w:szCs w:val="20"/>
                <w:lang w:val="en-US"/>
              </w:rPr>
              <w:t>Jonathan A. Shime</w:t>
            </w:r>
            <w:r>
              <w:rPr>
                <w:sz w:val="20"/>
                <w:szCs w:val="20"/>
                <w:lang w:val="en-US"/>
              </w:rPr>
              <w:t xml:space="preserve">, </w:t>
            </w:r>
            <w:r w:rsidRPr="00FD3E0B">
              <w:rPr>
                <w:sz w:val="20"/>
                <w:szCs w:val="20"/>
                <w:lang w:val="en-US"/>
              </w:rPr>
              <w:t>Amanda Ross</w:t>
            </w:r>
            <w:r>
              <w:rPr>
                <w:sz w:val="20"/>
                <w:szCs w:val="20"/>
                <w:lang w:val="en-US"/>
              </w:rPr>
              <w:t xml:space="preserve">, </w:t>
            </w:r>
            <w:r w:rsidRPr="00FD3E0B">
              <w:rPr>
                <w:sz w:val="20"/>
                <w:szCs w:val="20"/>
                <w:lang w:val="en-US"/>
              </w:rPr>
              <w:t>Ryan Peck</w:t>
            </w:r>
            <w:r>
              <w:rPr>
                <w:sz w:val="20"/>
                <w:szCs w:val="20"/>
                <w:lang w:val="en-US"/>
              </w:rPr>
              <w:t xml:space="preserve"> and </w:t>
            </w:r>
            <w:r w:rsidRPr="00FD3E0B">
              <w:rPr>
                <w:sz w:val="20"/>
                <w:szCs w:val="20"/>
                <w:lang w:val="en-US"/>
              </w:rPr>
              <w:t xml:space="preserve">Liz Lacharpagne </w:t>
            </w:r>
            <w:r>
              <w:rPr>
                <w:sz w:val="20"/>
                <w:szCs w:val="20"/>
                <w:lang w:val="en-US"/>
              </w:rPr>
              <w:t>f</w:t>
            </w:r>
            <w:r w:rsidRPr="00FD3E0B">
              <w:rPr>
                <w:sz w:val="20"/>
                <w:szCs w:val="20"/>
                <w:lang w:val="en-US"/>
              </w:rPr>
              <w:t xml:space="preserve">or the </w:t>
            </w:r>
            <w:r>
              <w:rPr>
                <w:sz w:val="20"/>
                <w:szCs w:val="20"/>
                <w:lang w:val="en-US"/>
              </w:rPr>
              <w:t>i</w:t>
            </w:r>
            <w:r w:rsidRPr="00FD3E0B">
              <w:rPr>
                <w:sz w:val="20"/>
                <w:szCs w:val="20"/>
                <w:lang w:val="en-US"/>
              </w:rPr>
              <w:t>nterveners</w:t>
            </w:r>
            <w:r>
              <w:rPr>
                <w:sz w:val="20"/>
                <w:szCs w:val="20"/>
                <w:lang w:val="en-US"/>
              </w:rPr>
              <w:t xml:space="preserve"> </w:t>
            </w:r>
            <w:r w:rsidRPr="00FD3E0B">
              <w:rPr>
                <w:sz w:val="20"/>
                <w:szCs w:val="20"/>
                <w:lang w:val="en-US"/>
              </w:rPr>
              <w:t>HIV/AIDS Legal</w:t>
            </w:r>
            <w:r>
              <w:rPr>
                <w:sz w:val="20"/>
                <w:szCs w:val="20"/>
                <w:lang w:val="en-US"/>
              </w:rPr>
              <w:t xml:space="preserve"> </w:t>
            </w:r>
            <w:r w:rsidRPr="00FD3E0B">
              <w:rPr>
                <w:sz w:val="20"/>
                <w:szCs w:val="20"/>
                <w:lang w:val="en-US"/>
              </w:rPr>
              <w:t>Network, et al.</w:t>
            </w:r>
          </w:p>
          <w:p w:rsidR="00BC2489" w:rsidRPr="00FD3E0B" w:rsidRDefault="00BC2489" w:rsidP="00BC2489">
            <w:pPr>
              <w:jc w:val="both"/>
              <w:rPr>
                <w:sz w:val="20"/>
                <w:szCs w:val="20"/>
              </w:rPr>
            </w:pPr>
          </w:p>
          <w:p w:rsidR="006E1D53" w:rsidRPr="006E1D53" w:rsidRDefault="00BC2489" w:rsidP="00BC2489">
            <w:pPr>
              <w:widowControl w:val="0"/>
              <w:jc w:val="both"/>
              <w:rPr>
                <w:sz w:val="20"/>
                <w:szCs w:val="20"/>
              </w:rPr>
            </w:pPr>
            <w:r w:rsidRPr="00FD3E0B">
              <w:rPr>
                <w:sz w:val="20"/>
                <w:szCs w:val="20"/>
              </w:rPr>
              <w:t>Dennis Galiatsatos</w:t>
            </w:r>
            <w:r>
              <w:rPr>
                <w:sz w:val="20"/>
                <w:szCs w:val="20"/>
              </w:rPr>
              <w:t xml:space="preserve"> and </w:t>
            </w:r>
            <w:r w:rsidRPr="00FD3E0B">
              <w:rPr>
                <w:sz w:val="20"/>
                <w:szCs w:val="20"/>
              </w:rPr>
              <w:t>Richard Audet</w:t>
            </w:r>
            <w:r>
              <w:rPr>
                <w:sz w:val="20"/>
                <w:szCs w:val="20"/>
              </w:rPr>
              <w:t xml:space="preserve"> f</w:t>
            </w:r>
            <w:r w:rsidRPr="00FD3E0B">
              <w:rPr>
                <w:sz w:val="20"/>
                <w:szCs w:val="20"/>
              </w:rPr>
              <w:t xml:space="preserve">or the </w:t>
            </w:r>
            <w:r>
              <w:rPr>
                <w:sz w:val="20"/>
                <w:szCs w:val="20"/>
              </w:rPr>
              <w:t>r</w:t>
            </w:r>
            <w:r w:rsidRPr="00FD3E0B">
              <w:rPr>
                <w:sz w:val="20"/>
                <w:szCs w:val="20"/>
              </w:rPr>
              <w:t>espondent</w:t>
            </w:r>
            <w:r>
              <w:rPr>
                <w:sz w:val="20"/>
                <w:szCs w:val="20"/>
              </w:rPr>
              <w:t>.</w:t>
            </w:r>
          </w:p>
        </w:tc>
      </w:tr>
    </w:tbl>
    <w:p w:rsidR="006E1D53" w:rsidRPr="006E1D53" w:rsidRDefault="006E1D53" w:rsidP="006E1D53">
      <w:pPr>
        <w:widowControl w:val="0"/>
        <w:rPr>
          <w:sz w:val="20"/>
          <w:szCs w:val="20"/>
        </w:rPr>
      </w:pPr>
    </w:p>
    <w:p w:rsidR="003110B0" w:rsidRPr="008A444A" w:rsidRDefault="003110B0" w:rsidP="003110B0">
      <w:pPr>
        <w:rPr>
          <w:rFonts w:eastAsia="Calibri" w:cs="Times New Roman"/>
          <w:b/>
          <w:bCs/>
          <w:sz w:val="20"/>
          <w:szCs w:val="20"/>
        </w:rPr>
      </w:pPr>
      <w:r w:rsidRPr="008A444A">
        <w:rPr>
          <w:rFonts w:eastAsia="Calibri" w:cs="Times New Roman"/>
          <w:b/>
          <w:bCs/>
          <w:sz w:val="20"/>
          <w:szCs w:val="20"/>
        </w:rPr>
        <w:t xml:space="preserve">2014 </w:t>
      </w:r>
      <w:r w:rsidRPr="00E829A1">
        <w:rPr>
          <w:rFonts w:eastAsia="Calibri" w:cs="Times New Roman"/>
          <w:b/>
          <w:bCs/>
          <w:sz w:val="20"/>
          <w:szCs w:val="20"/>
        </w:rPr>
        <w:t xml:space="preserve">SCC </w:t>
      </w:r>
      <w:r w:rsidR="00BB5D5B">
        <w:rPr>
          <w:rFonts w:eastAsia="Calibri" w:cs="Times New Roman"/>
          <w:b/>
          <w:bCs/>
          <w:sz w:val="20"/>
          <w:szCs w:val="20"/>
        </w:rPr>
        <w:t>75</w:t>
      </w:r>
      <w:r w:rsidRPr="008A444A">
        <w:rPr>
          <w:rFonts w:eastAsia="Calibri" w:cs="Times New Roman"/>
          <w:b/>
          <w:bCs/>
          <w:sz w:val="20"/>
          <w:szCs w:val="20"/>
        </w:rPr>
        <w:t xml:space="preserve"> / 2014 CSC </w:t>
      </w:r>
      <w:r w:rsidR="00BB5D5B">
        <w:rPr>
          <w:rFonts w:eastAsia="Calibri" w:cs="Times New Roman"/>
          <w:b/>
          <w:bCs/>
          <w:sz w:val="20"/>
          <w:szCs w:val="20"/>
        </w:rPr>
        <w:t>75</w:t>
      </w:r>
    </w:p>
    <w:p w:rsidR="003110B0" w:rsidRPr="005E31A3" w:rsidRDefault="003110B0" w:rsidP="003110B0">
      <w:pPr>
        <w:widowControl w:val="0"/>
        <w:rPr>
          <w:sz w:val="20"/>
          <w:szCs w:val="20"/>
        </w:rPr>
      </w:pPr>
    </w:p>
    <w:p w:rsidR="003110B0" w:rsidRPr="0085476B" w:rsidRDefault="003110B0" w:rsidP="003110B0">
      <w:pPr>
        <w:widowControl w:val="0"/>
        <w:rPr>
          <w:sz w:val="20"/>
          <w:szCs w:val="20"/>
        </w:rPr>
      </w:pPr>
      <w:r>
        <w:rPr>
          <w:b/>
          <w:sz w:val="20"/>
          <w:szCs w:val="20"/>
        </w:rPr>
        <w:t>DISMISS</w:t>
      </w:r>
      <w:r w:rsidRPr="0085476B">
        <w:rPr>
          <w:b/>
          <w:sz w:val="20"/>
          <w:szCs w:val="20"/>
        </w:rPr>
        <w:t xml:space="preserve">ED / </w:t>
      </w:r>
      <w:r>
        <w:rPr>
          <w:b/>
          <w:sz w:val="20"/>
          <w:szCs w:val="20"/>
        </w:rPr>
        <w:t>REJ</w:t>
      </w:r>
      <w:r w:rsidRPr="008A444A">
        <w:rPr>
          <w:b/>
          <w:sz w:val="20"/>
          <w:szCs w:val="20"/>
        </w:rPr>
        <w:t>ETÉ</w:t>
      </w:r>
    </w:p>
    <w:p w:rsidR="006E1D53" w:rsidRDefault="006E1D53" w:rsidP="006E1D5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110B0" w:rsidRPr="008A444A" w:rsidTr="009863FE">
        <w:tc>
          <w:tcPr>
            <w:tcW w:w="4380" w:type="dxa"/>
            <w:tcMar>
              <w:left w:w="0" w:type="dxa"/>
              <w:right w:w="0" w:type="dxa"/>
            </w:tcMar>
          </w:tcPr>
          <w:p w:rsidR="003110B0" w:rsidRPr="00CC4D84" w:rsidRDefault="003110B0" w:rsidP="009863FE">
            <w:pPr>
              <w:widowControl w:val="0"/>
              <w:jc w:val="both"/>
              <w:rPr>
                <w:b/>
                <w:sz w:val="20"/>
                <w:szCs w:val="20"/>
                <w:u w:val="single"/>
              </w:rPr>
            </w:pPr>
            <w:r>
              <w:rPr>
                <w:b/>
                <w:sz w:val="20"/>
                <w:szCs w:val="20"/>
                <w:u w:val="single"/>
              </w:rPr>
              <w:t>JUDGMENT</w:t>
            </w:r>
            <w:r w:rsidRPr="00CC4D84">
              <w:rPr>
                <w:b/>
                <w:sz w:val="20"/>
                <w:szCs w:val="20"/>
                <w:u w:val="single"/>
              </w:rPr>
              <w:t>:</w:t>
            </w:r>
          </w:p>
          <w:p w:rsidR="003110B0" w:rsidRPr="001A663B" w:rsidRDefault="003110B0" w:rsidP="009863FE">
            <w:pPr>
              <w:widowControl w:val="0"/>
              <w:jc w:val="both"/>
              <w:rPr>
                <w:b/>
                <w:sz w:val="20"/>
                <w:szCs w:val="20"/>
              </w:rPr>
            </w:pPr>
          </w:p>
          <w:p w:rsidR="00660B35" w:rsidRPr="0075580E" w:rsidRDefault="00660B35" w:rsidP="00660B35">
            <w:pPr>
              <w:jc w:val="both"/>
              <w:rPr>
                <w:sz w:val="20"/>
                <w:szCs w:val="20"/>
              </w:rPr>
            </w:pPr>
            <w:r w:rsidRPr="0075580E">
              <w:rPr>
                <w:sz w:val="20"/>
                <w:szCs w:val="20"/>
              </w:rPr>
              <w:t xml:space="preserve">The appeal from the judgment of the Court of Appeal of Quebec (Montréal), Number 500-10-005019-110, 2014 QCCA 321, dated February 20, 2014, was heard on December 8, 2014, and the Court on that day delivered the following judgment orally: </w:t>
            </w:r>
          </w:p>
          <w:p w:rsidR="00660B35" w:rsidRDefault="00660B35" w:rsidP="00660B35">
            <w:pPr>
              <w:jc w:val="both"/>
              <w:rPr>
                <w:sz w:val="20"/>
                <w:szCs w:val="20"/>
              </w:rPr>
            </w:pPr>
          </w:p>
          <w:p w:rsidR="00660B35" w:rsidRPr="0075580E" w:rsidRDefault="00660B35" w:rsidP="00660B35">
            <w:pPr>
              <w:jc w:val="both"/>
              <w:rPr>
                <w:sz w:val="20"/>
                <w:szCs w:val="20"/>
              </w:rPr>
            </w:pPr>
          </w:p>
          <w:p w:rsidR="003110B0" w:rsidRPr="00C1697B" w:rsidRDefault="00660B35" w:rsidP="00660B35">
            <w:pPr>
              <w:jc w:val="both"/>
              <w:rPr>
                <w:b/>
                <w:sz w:val="20"/>
                <w:szCs w:val="20"/>
              </w:rPr>
            </w:pPr>
            <w:r w:rsidRPr="0075580E">
              <w:rPr>
                <w:smallCaps/>
                <w:sz w:val="20"/>
                <w:szCs w:val="20"/>
              </w:rPr>
              <w:lastRenderedPageBreak/>
              <w:t>Karakatsanis</w:t>
            </w:r>
            <w:r w:rsidRPr="0075580E">
              <w:rPr>
                <w:sz w:val="20"/>
                <w:szCs w:val="20"/>
              </w:rPr>
              <w:t xml:space="preserve"> J. </w:t>
            </w:r>
            <w:r w:rsidRPr="0075580E">
              <w:rPr>
                <w:rFonts w:cs="Times New Roman"/>
                <w:sz w:val="20"/>
                <w:szCs w:val="20"/>
              </w:rPr>
              <w:t>—</w:t>
            </w:r>
            <w:r w:rsidRPr="0075580E">
              <w:rPr>
                <w:sz w:val="20"/>
                <w:szCs w:val="20"/>
              </w:rPr>
              <w:t xml:space="preserve"> This is an appeal as of right on a question of law.   We agree with the majority of the Quebec Court of Appeal that it was open to the trial judge to conclude beyond a reasonable doubt that the complainant would not have engaged in sexual relations had he known about the appellant’s HIV positive status.  The fact that the trial judge also found that it was possible that the sexual relationship continued after disclosure, despite the complainant’s denial, does not necessarily render that first finding unreasonable.  While it would have been preferable for the trial judge to more fully explain his reasoning relating to the complainant’s credibility, we are not satisfied that the trial judge erred in the analytical process set out in </w:t>
            </w:r>
            <w:r w:rsidRPr="0075580E">
              <w:rPr>
                <w:i/>
                <w:sz w:val="20"/>
                <w:szCs w:val="20"/>
              </w:rPr>
              <w:t>R. v. W. (D.)</w:t>
            </w:r>
            <w:r w:rsidRPr="0075580E">
              <w:rPr>
                <w:sz w:val="20"/>
                <w:szCs w:val="20"/>
              </w:rPr>
              <w:t>, [1991] 1 S.C.R. 742, or that he failed to analyze the evidence as a whole relating to an ultimate issue.  The appeal is dismissed.</w:t>
            </w:r>
          </w:p>
        </w:tc>
        <w:tc>
          <w:tcPr>
            <w:tcW w:w="720" w:type="dxa"/>
            <w:tcMar>
              <w:left w:w="0" w:type="dxa"/>
              <w:right w:w="0" w:type="dxa"/>
            </w:tcMar>
          </w:tcPr>
          <w:p w:rsidR="003110B0" w:rsidRPr="00C1697B" w:rsidRDefault="003110B0" w:rsidP="009863FE">
            <w:pPr>
              <w:widowControl w:val="0"/>
              <w:jc w:val="center"/>
              <w:rPr>
                <w:sz w:val="20"/>
                <w:szCs w:val="20"/>
              </w:rPr>
            </w:pPr>
          </w:p>
        </w:tc>
        <w:tc>
          <w:tcPr>
            <w:tcW w:w="4380" w:type="dxa"/>
            <w:tcMar>
              <w:left w:w="0" w:type="dxa"/>
              <w:right w:w="0" w:type="dxa"/>
            </w:tcMar>
          </w:tcPr>
          <w:p w:rsidR="003110B0" w:rsidRPr="00CC4D84" w:rsidRDefault="003110B0" w:rsidP="009863FE">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3110B0" w:rsidRPr="00C1697B" w:rsidRDefault="003110B0" w:rsidP="009863FE">
            <w:pPr>
              <w:widowControl w:val="0"/>
              <w:jc w:val="both"/>
              <w:rPr>
                <w:sz w:val="20"/>
                <w:szCs w:val="20"/>
                <w:lang w:val="fr-CA"/>
              </w:rPr>
            </w:pPr>
          </w:p>
          <w:p w:rsidR="00660B35" w:rsidRPr="0075580E" w:rsidRDefault="00660B35" w:rsidP="00660B35">
            <w:pPr>
              <w:jc w:val="both"/>
              <w:rPr>
                <w:sz w:val="20"/>
                <w:szCs w:val="20"/>
                <w:lang w:val="fr-CA"/>
              </w:rPr>
            </w:pPr>
            <w:r w:rsidRPr="0075580E">
              <w:rPr>
                <w:sz w:val="20"/>
                <w:szCs w:val="20"/>
                <w:lang w:val="fr-CA"/>
              </w:rPr>
              <w:t>L’appel interjeté contre l’arrêt de la Cour d’appel du Québec (Montréal), numéro 500-10-005019-110, 2014 QCCA 321, daté du 20 février 2014, a été entendu le 8 décembre 2014, et la Cour a prononcé oralement le même jour le jugement suivant :</w:t>
            </w:r>
          </w:p>
          <w:p w:rsidR="00660B35" w:rsidRPr="0075580E" w:rsidRDefault="00660B35" w:rsidP="00660B35">
            <w:pPr>
              <w:jc w:val="both"/>
              <w:rPr>
                <w:sz w:val="20"/>
                <w:szCs w:val="20"/>
                <w:lang w:val="fr-CA"/>
              </w:rPr>
            </w:pPr>
            <w:r w:rsidRPr="0075580E">
              <w:rPr>
                <w:sz w:val="20"/>
                <w:szCs w:val="20"/>
                <w:lang w:val="fr-CA"/>
              </w:rPr>
              <w:tab/>
            </w:r>
          </w:p>
          <w:p w:rsidR="00660B35" w:rsidRPr="0075580E" w:rsidRDefault="00660B35" w:rsidP="00660B35">
            <w:pPr>
              <w:jc w:val="both"/>
              <w:rPr>
                <w:rFonts w:cs="Times New Roman"/>
                <w:smallCaps/>
                <w:sz w:val="20"/>
                <w:szCs w:val="20"/>
                <w:lang w:val="fr-CA"/>
              </w:rPr>
            </w:pPr>
            <w:r w:rsidRPr="0075580E">
              <w:rPr>
                <w:rFonts w:cs="Times New Roman"/>
                <w:sz w:val="20"/>
                <w:szCs w:val="20"/>
                <w:lang w:val="fr-CA"/>
              </w:rPr>
              <w:t>[</w:t>
            </w:r>
            <w:r w:rsidRPr="0075580E">
              <w:rPr>
                <w:rFonts w:cs="Times New Roman"/>
                <w:smallCaps/>
                <w:sz w:val="20"/>
                <w:szCs w:val="20"/>
                <w:lang w:val="fr-CA"/>
              </w:rPr>
              <w:t>traduction]</w:t>
            </w:r>
          </w:p>
          <w:p w:rsidR="003110B0" w:rsidRPr="00C1697B" w:rsidRDefault="00660B35" w:rsidP="00660B35">
            <w:pPr>
              <w:jc w:val="both"/>
              <w:rPr>
                <w:sz w:val="20"/>
                <w:szCs w:val="20"/>
                <w:lang w:val="fr-CA"/>
              </w:rPr>
            </w:pPr>
            <w:r w:rsidRPr="0075580E">
              <w:rPr>
                <w:rFonts w:cs="Times New Roman"/>
                <w:smallCaps/>
                <w:sz w:val="20"/>
                <w:szCs w:val="20"/>
                <w:lang w:val="fr-CA"/>
              </w:rPr>
              <w:lastRenderedPageBreak/>
              <w:t>La juge</w:t>
            </w:r>
            <w:r w:rsidRPr="0075580E">
              <w:rPr>
                <w:rFonts w:cs="Times New Roman"/>
                <w:sz w:val="20"/>
                <w:szCs w:val="20"/>
                <w:lang w:val="fr-CA"/>
              </w:rPr>
              <w:t xml:space="preserve"> </w:t>
            </w:r>
            <w:r w:rsidRPr="0075580E">
              <w:rPr>
                <w:rFonts w:cs="Times New Roman"/>
                <w:smallCaps/>
                <w:sz w:val="20"/>
                <w:szCs w:val="20"/>
                <w:lang w:val="fr-CA"/>
              </w:rPr>
              <w:t>Karakatsanis</w:t>
            </w:r>
            <w:r w:rsidRPr="0075580E">
              <w:rPr>
                <w:rFonts w:cs="Times New Roman"/>
                <w:sz w:val="20"/>
                <w:szCs w:val="20"/>
                <w:lang w:val="fr-CA"/>
              </w:rPr>
              <w:t xml:space="preserve"> — Il s’agit d’un appel de plein droit portant sur une question de droit.  Comme les juges majoritaires de la Cour d’appel du Québec, nous estimons qu’il était loisible au juge du procès de conclure hors de tout doute raisonnable que le plaignant n’aurait pas eu de rapports sexuels  avec l’appelant s’il avait su que ce dernier était séropositif.  Le fait que le juge ait en outre conclu qu’il était possible que les rapports sexuels se soient poursuivis après que l’appelant eût dévoilé sa séropositivité — ce que nie le plaignant — ne rend pas nécessairement la première conclusion déraisonnable.  Bien qu’il eût été préférable que le juge explique plus en détail son raisonnement en ce qui concerne la crédibilité du plaignant, nous ne sommes pas convaincus qu’il a commis une erreur dans l’application de l’analyse é</w:t>
            </w:r>
            <w:r w:rsidRPr="0075580E">
              <w:rPr>
                <w:sz w:val="20"/>
                <w:szCs w:val="20"/>
                <w:lang w:val="fr-CA"/>
              </w:rPr>
              <w:t xml:space="preserve">noncée dans </w:t>
            </w:r>
            <w:r w:rsidRPr="0075580E">
              <w:rPr>
                <w:i/>
                <w:sz w:val="20"/>
                <w:szCs w:val="20"/>
                <w:lang w:val="fr-CA"/>
              </w:rPr>
              <w:t>R. c. W. (D.)</w:t>
            </w:r>
            <w:r w:rsidRPr="0075580E">
              <w:rPr>
                <w:sz w:val="20"/>
                <w:szCs w:val="20"/>
                <w:lang w:val="fr-CA"/>
              </w:rPr>
              <w:t>, [1991] 1 R.C.S. 742, ou qu’il a omis d’analyser la preuve dans son ensemble à l’égard d’une question déterminante.  Le pourvoi est rejeté.</w:t>
            </w:r>
          </w:p>
        </w:tc>
      </w:tr>
    </w:tbl>
    <w:p w:rsidR="003110B0" w:rsidRPr="003110B0" w:rsidRDefault="003110B0" w:rsidP="006E1D53">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002FFB" w:rsidTr="006E1D53">
        <w:tc>
          <w:tcPr>
            <w:tcW w:w="4380" w:type="dxa"/>
            <w:tcMar>
              <w:left w:w="0" w:type="dxa"/>
              <w:right w:w="0" w:type="dxa"/>
            </w:tcMar>
          </w:tcPr>
          <w:p w:rsidR="006E1D53" w:rsidRPr="00CC4D84" w:rsidRDefault="006E1D53" w:rsidP="006E1D53">
            <w:pPr>
              <w:widowControl w:val="0"/>
              <w:jc w:val="both"/>
              <w:rPr>
                <w:b/>
                <w:sz w:val="20"/>
                <w:szCs w:val="20"/>
                <w:u w:val="single"/>
              </w:rPr>
            </w:pPr>
            <w:r w:rsidRPr="00CC4D84">
              <w:rPr>
                <w:b/>
                <w:sz w:val="20"/>
                <w:szCs w:val="20"/>
                <w:u w:val="single"/>
              </w:rPr>
              <w:t>Nature of the case:</w:t>
            </w:r>
          </w:p>
          <w:p w:rsidR="006E1D53" w:rsidRPr="001A663B" w:rsidRDefault="006E1D53" w:rsidP="006E1D53">
            <w:pPr>
              <w:widowControl w:val="0"/>
              <w:jc w:val="both"/>
              <w:rPr>
                <w:b/>
                <w:sz w:val="20"/>
                <w:szCs w:val="20"/>
              </w:rPr>
            </w:pPr>
          </w:p>
          <w:p w:rsidR="006E1D53" w:rsidRPr="00C1697B" w:rsidRDefault="003978BC" w:rsidP="006E1D53">
            <w:pPr>
              <w:widowControl w:val="0"/>
              <w:jc w:val="both"/>
              <w:rPr>
                <w:b/>
                <w:sz w:val="20"/>
                <w:szCs w:val="20"/>
              </w:rPr>
            </w:pPr>
            <w:r w:rsidRPr="0083649E">
              <w:rPr>
                <w:sz w:val="20"/>
                <w:szCs w:val="20"/>
              </w:rPr>
              <w:t xml:space="preserve">Criminal law - Aggravated sexual assault - Consent - Evidence - Whether the trial judge failed to properly consider and apply </w:t>
            </w:r>
            <w:r w:rsidRPr="0083649E">
              <w:rPr>
                <w:i/>
                <w:sz w:val="20"/>
                <w:szCs w:val="20"/>
              </w:rPr>
              <w:t>R. v. W. (D.)</w:t>
            </w:r>
            <w:r w:rsidRPr="0083649E">
              <w:rPr>
                <w:sz w:val="20"/>
                <w:szCs w:val="20"/>
              </w:rPr>
              <w:t>, [1991] 1 S.C.R. 742, when assessing the evidence as a whole - Whether the trial judge’s findings were unsupported by the evidence when assessed as a whole.</w:t>
            </w:r>
          </w:p>
        </w:tc>
        <w:tc>
          <w:tcPr>
            <w:tcW w:w="720" w:type="dxa"/>
            <w:tcMar>
              <w:left w:w="0" w:type="dxa"/>
              <w:right w:w="0" w:type="dxa"/>
            </w:tcMar>
          </w:tcPr>
          <w:p w:rsidR="006E1D53" w:rsidRPr="00C1697B" w:rsidRDefault="006E1D53" w:rsidP="006E1D53">
            <w:pPr>
              <w:widowControl w:val="0"/>
              <w:jc w:val="center"/>
              <w:rPr>
                <w:sz w:val="20"/>
                <w:szCs w:val="20"/>
              </w:rPr>
            </w:pPr>
          </w:p>
        </w:tc>
        <w:tc>
          <w:tcPr>
            <w:tcW w:w="4380" w:type="dxa"/>
            <w:tcMar>
              <w:left w:w="0" w:type="dxa"/>
              <w:right w:w="0" w:type="dxa"/>
            </w:tcMar>
          </w:tcPr>
          <w:p w:rsidR="006E1D53" w:rsidRPr="00CC4D84" w:rsidRDefault="006E1D53" w:rsidP="006E1D53">
            <w:pPr>
              <w:widowControl w:val="0"/>
              <w:jc w:val="both"/>
              <w:rPr>
                <w:b/>
                <w:sz w:val="20"/>
                <w:szCs w:val="20"/>
                <w:u w:val="single"/>
                <w:lang w:val="fr-CA"/>
              </w:rPr>
            </w:pPr>
            <w:r w:rsidRPr="00CC4D84">
              <w:rPr>
                <w:b/>
                <w:sz w:val="20"/>
                <w:szCs w:val="20"/>
                <w:u w:val="single"/>
                <w:lang w:val="fr-CA"/>
              </w:rPr>
              <w:t>Nature de la cause :</w:t>
            </w:r>
          </w:p>
          <w:p w:rsidR="006E1D53" w:rsidRPr="00C1697B" w:rsidRDefault="006E1D53" w:rsidP="006E1D53">
            <w:pPr>
              <w:widowControl w:val="0"/>
              <w:jc w:val="both"/>
              <w:rPr>
                <w:sz w:val="20"/>
                <w:szCs w:val="20"/>
                <w:lang w:val="fr-CA"/>
              </w:rPr>
            </w:pPr>
          </w:p>
          <w:p w:rsidR="006E1D53" w:rsidRPr="00C1697B" w:rsidRDefault="003978BC" w:rsidP="006E1D53">
            <w:pPr>
              <w:widowControl w:val="0"/>
              <w:jc w:val="both"/>
              <w:rPr>
                <w:sz w:val="20"/>
                <w:szCs w:val="20"/>
                <w:lang w:val="fr-CA"/>
              </w:rPr>
            </w:pPr>
            <w:r w:rsidRPr="00E4277F">
              <w:rPr>
                <w:sz w:val="20"/>
                <w:szCs w:val="20"/>
                <w:lang w:val="fr-CA"/>
              </w:rPr>
              <w:t xml:space="preserve">Droit criminel - Agression sexuelle grave - Consentement - Preuve - Le juge du procès a-t-il omis de prendre en considération et d’appliquer adéquatement l’arrêt </w:t>
            </w:r>
            <w:r w:rsidRPr="00E4277F">
              <w:rPr>
                <w:i/>
                <w:sz w:val="20"/>
                <w:szCs w:val="20"/>
                <w:lang w:val="fr-CA"/>
              </w:rPr>
              <w:t>R. c. W. (D.)</w:t>
            </w:r>
            <w:r w:rsidRPr="00E4277F">
              <w:rPr>
                <w:sz w:val="20"/>
                <w:szCs w:val="20"/>
                <w:lang w:val="fr-CA"/>
              </w:rPr>
              <w:t>, [1991] 1 R.C.S. 742 dans son appréciation de l’ensemble de la preuve? - Est-il vrai que les conclusions du juge du procès ne s’appuyaient pas sur la preuve, appréciée dans son ensemble?</w:t>
            </w:r>
          </w:p>
        </w:tc>
      </w:tr>
    </w:tbl>
    <w:p w:rsidR="006E1D53" w:rsidRDefault="006E1D53" w:rsidP="006E1D53">
      <w:pPr>
        <w:widowControl w:val="0"/>
        <w:rPr>
          <w:sz w:val="20"/>
          <w:szCs w:val="20"/>
          <w:lang w:val="fr-CA"/>
        </w:rPr>
      </w:pPr>
    </w:p>
    <w:p w:rsidR="006E1D53" w:rsidRDefault="00E4461B" w:rsidP="006E1D53">
      <w:pPr>
        <w:widowControl w:val="0"/>
        <w:rPr>
          <w:sz w:val="20"/>
          <w:szCs w:val="20"/>
        </w:rPr>
      </w:pPr>
      <w:r>
        <w:rPr>
          <w:sz w:val="20"/>
          <w:szCs w:val="20"/>
          <w:lang w:val="fr-CA"/>
        </w:rPr>
        <w:pict>
          <v:rect id="_x0000_i1081" style="width:2in;height:1pt" o:hrpct="0" o:hralign="center" o:hrstd="t" o:hrnoshade="t" o:hr="t" fillcolor="black [3213]" stroked="f"/>
        </w:pict>
      </w:r>
    </w:p>
    <w:p w:rsidR="006E1D53" w:rsidRDefault="006E1D53" w:rsidP="006E1D53">
      <w:pPr>
        <w:widowControl w:val="0"/>
        <w:rPr>
          <w:sz w:val="20"/>
          <w:szCs w:val="20"/>
        </w:rPr>
      </w:pPr>
    </w:p>
    <w:p w:rsidR="006E1D53" w:rsidRPr="008A444A" w:rsidRDefault="006E1D53" w:rsidP="006E1D53">
      <w:pPr>
        <w:widowControl w:val="0"/>
        <w:rPr>
          <w:sz w:val="20"/>
          <w:szCs w:val="20"/>
        </w:rPr>
      </w:pPr>
      <w:r w:rsidRPr="008A444A">
        <w:rPr>
          <w:sz w:val="20"/>
          <w:szCs w:val="20"/>
        </w:rPr>
        <w:t>09.1</w:t>
      </w:r>
      <w:r w:rsidR="003F2AFF">
        <w:rPr>
          <w:sz w:val="20"/>
          <w:szCs w:val="20"/>
        </w:rPr>
        <w:t>2</w:t>
      </w:r>
      <w:r w:rsidRPr="008A444A">
        <w:rPr>
          <w:sz w:val="20"/>
          <w:szCs w:val="20"/>
        </w:rPr>
        <w:t>.2014</w:t>
      </w:r>
    </w:p>
    <w:p w:rsidR="006E1D53" w:rsidRPr="008A444A" w:rsidRDefault="006E1D53" w:rsidP="006E1D53">
      <w:pPr>
        <w:widowControl w:val="0"/>
        <w:rPr>
          <w:sz w:val="20"/>
          <w:szCs w:val="20"/>
        </w:rPr>
      </w:pPr>
    </w:p>
    <w:p w:rsidR="006E1D53" w:rsidRPr="003C6D38" w:rsidRDefault="006E1D53" w:rsidP="006E1D53">
      <w:pPr>
        <w:widowControl w:val="0"/>
        <w:ind w:left="720" w:hanging="720"/>
        <w:rPr>
          <w:sz w:val="20"/>
          <w:szCs w:val="20"/>
          <w:u w:val="single"/>
        </w:rPr>
      </w:pPr>
      <w:r w:rsidRPr="003C6D38">
        <w:rPr>
          <w:sz w:val="20"/>
          <w:szCs w:val="20"/>
        </w:rPr>
        <w:t xml:space="preserve">Coram: </w:t>
      </w:r>
      <w:r w:rsidRPr="003C6D38">
        <w:rPr>
          <w:sz w:val="20"/>
          <w:szCs w:val="20"/>
        </w:rPr>
        <w:tab/>
      </w:r>
      <w:r w:rsidRPr="003C6D38">
        <w:rPr>
          <w:sz w:val="20"/>
          <w:szCs w:val="20"/>
          <w:u w:val="single"/>
        </w:rPr>
        <w:t>McLachlin C.J. and Abella, Rothstein, Cromwell, Moldaver, Wagner and Gascon JJ.</w:t>
      </w:r>
    </w:p>
    <w:p w:rsidR="006E1D53" w:rsidRPr="008A444A" w:rsidRDefault="006E1D53" w:rsidP="006E1D5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6E1D53" w:rsidTr="006E1D53">
        <w:tc>
          <w:tcPr>
            <w:tcW w:w="4380" w:type="dxa"/>
            <w:tcMar>
              <w:left w:w="0" w:type="dxa"/>
              <w:right w:w="0" w:type="dxa"/>
            </w:tcMar>
          </w:tcPr>
          <w:p w:rsidR="00982EDD" w:rsidRDefault="006E1D53" w:rsidP="006E1D53">
            <w:pPr>
              <w:rPr>
                <w:b/>
                <w:iCs/>
                <w:sz w:val="20"/>
                <w:szCs w:val="20"/>
              </w:rPr>
            </w:pPr>
            <w:r w:rsidRPr="003C6D38">
              <w:rPr>
                <w:b/>
                <w:iCs/>
                <w:sz w:val="20"/>
                <w:szCs w:val="20"/>
              </w:rPr>
              <w:t xml:space="preserve">Her Majesty the Queen </w:t>
            </w:r>
          </w:p>
          <w:p w:rsidR="00982EDD" w:rsidRDefault="00982EDD" w:rsidP="006E1D53">
            <w:pPr>
              <w:rPr>
                <w:b/>
                <w:iCs/>
                <w:sz w:val="20"/>
                <w:szCs w:val="20"/>
              </w:rPr>
            </w:pPr>
          </w:p>
          <w:p w:rsidR="00982EDD" w:rsidRPr="008A444A" w:rsidRDefault="00982EDD" w:rsidP="006E1D53">
            <w:pPr>
              <w:rPr>
                <w:b/>
                <w:iCs/>
                <w:sz w:val="20"/>
                <w:szCs w:val="20"/>
              </w:rPr>
            </w:pPr>
            <w:r w:rsidRPr="008A444A">
              <w:rPr>
                <w:b/>
                <w:iCs/>
                <w:sz w:val="20"/>
                <w:szCs w:val="20"/>
              </w:rPr>
              <w:tab/>
            </w:r>
            <w:r w:rsidR="006E1D53" w:rsidRPr="008A444A">
              <w:rPr>
                <w:b/>
                <w:iCs/>
                <w:sz w:val="20"/>
                <w:szCs w:val="20"/>
              </w:rPr>
              <w:t xml:space="preserve">v. </w:t>
            </w:r>
            <w:r w:rsidRPr="008A444A">
              <w:rPr>
                <w:sz w:val="20"/>
                <w:szCs w:val="20"/>
              </w:rPr>
              <w:t>(</w:t>
            </w:r>
            <w:hyperlink r:id="rId117" w:history="1">
              <w:r w:rsidRPr="008A444A">
                <w:rPr>
                  <w:rStyle w:val="Hyperlink"/>
                  <w:sz w:val="20"/>
                  <w:szCs w:val="20"/>
                </w:rPr>
                <w:t>35866</w:t>
              </w:r>
            </w:hyperlink>
            <w:r w:rsidRPr="008A444A">
              <w:rPr>
                <w:sz w:val="20"/>
                <w:szCs w:val="20"/>
              </w:rPr>
              <w:t>)</w:t>
            </w:r>
          </w:p>
          <w:p w:rsidR="00982EDD" w:rsidRPr="008A444A" w:rsidRDefault="00982EDD" w:rsidP="006E1D53">
            <w:pPr>
              <w:rPr>
                <w:b/>
                <w:iCs/>
                <w:sz w:val="20"/>
                <w:szCs w:val="20"/>
              </w:rPr>
            </w:pPr>
          </w:p>
          <w:p w:rsidR="00982EDD" w:rsidRPr="008A444A" w:rsidRDefault="006E1D53" w:rsidP="00982EDD">
            <w:pPr>
              <w:rPr>
                <w:b/>
                <w:sz w:val="20"/>
                <w:szCs w:val="20"/>
                <w:lang w:val="fr-CA"/>
              </w:rPr>
            </w:pPr>
            <w:r w:rsidRPr="00982EDD">
              <w:rPr>
                <w:b/>
                <w:iCs/>
                <w:sz w:val="20"/>
                <w:szCs w:val="20"/>
                <w:lang w:val="fr-CA"/>
              </w:rPr>
              <w:t xml:space="preserve">Paul Francis Tatton </w:t>
            </w:r>
            <w:r w:rsidRPr="00982EDD">
              <w:rPr>
                <w:b/>
                <w:sz w:val="20"/>
                <w:szCs w:val="20"/>
                <w:lang w:val="fr-CA"/>
              </w:rPr>
              <w:t xml:space="preserve">(Ont.) </w:t>
            </w:r>
            <w:r w:rsidRPr="008A444A">
              <w:rPr>
                <w:b/>
                <w:sz w:val="20"/>
                <w:szCs w:val="20"/>
                <w:lang w:val="fr-CA"/>
              </w:rPr>
              <w:t xml:space="preserve">(Criminal) </w:t>
            </w:r>
          </w:p>
          <w:p w:rsidR="006E1D53" w:rsidRPr="006E1D53" w:rsidRDefault="006E1D53" w:rsidP="00982EDD">
            <w:pPr>
              <w:rPr>
                <w:sz w:val="20"/>
                <w:szCs w:val="20"/>
              </w:rPr>
            </w:pPr>
            <w:r w:rsidRPr="00982EDD">
              <w:rPr>
                <w:b/>
                <w:sz w:val="20"/>
                <w:szCs w:val="20"/>
              </w:rPr>
              <w:t>(As of Right)</w:t>
            </w:r>
            <w:r w:rsidRPr="006E1D53">
              <w:rPr>
                <w:sz w:val="20"/>
                <w:szCs w:val="20"/>
              </w:rPr>
              <w:t xml:space="preserve"> </w:t>
            </w:r>
          </w:p>
        </w:tc>
        <w:tc>
          <w:tcPr>
            <w:tcW w:w="720" w:type="dxa"/>
            <w:tcMar>
              <w:left w:w="0" w:type="dxa"/>
              <w:right w:w="0" w:type="dxa"/>
            </w:tcMar>
          </w:tcPr>
          <w:p w:rsidR="006E1D53" w:rsidRPr="006E1D53" w:rsidRDefault="006E1D53" w:rsidP="006E1D53">
            <w:pPr>
              <w:widowControl w:val="0"/>
              <w:jc w:val="center"/>
              <w:rPr>
                <w:sz w:val="20"/>
                <w:szCs w:val="20"/>
              </w:rPr>
            </w:pPr>
          </w:p>
        </w:tc>
        <w:tc>
          <w:tcPr>
            <w:tcW w:w="4380" w:type="dxa"/>
            <w:tcMar>
              <w:left w:w="0" w:type="dxa"/>
              <w:right w:w="0" w:type="dxa"/>
            </w:tcMar>
          </w:tcPr>
          <w:p w:rsidR="00332FFA" w:rsidRPr="00667D26" w:rsidRDefault="00332FFA" w:rsidP="00332FFA">
            <w:pPr>
              <w:jc w:val="both"/>
              <w:rPr>
                <w:sz w:val="20"/>
                <w:szCs w:val="20"/>
                <w:lang w:val="en-US"/>
              </w:rPr>
            </w:pPr>
            <w:r w:rsidRPr="00667D26">
              <w:rPr>
                <w:sz w:val="20"/>
                <w:szCs w:val="20"/>
                <w:lang w:val="en-US"/>
              </w:rPr>
              <w:t>Randy Schwartz</w:t>
            </w:r>
            <w:r>
              <w:rPr>
                <w:sz w:val="20"/>
                <w:szCs w:val="20"/>
                <w:lang w:val="en-US"/>
              </w:rPr>
              <w:t xml:space="preserve"> f</w:t>
            </w:r>
            <w:r w:rsidRPr="00667D26">
              <w:rPr>
                <w:sz w:val="20"/>
                <w:szCs w:val="20"/>
                <w:lang w:val="en-US"/>
              </w:rPr>
              <w:t xml:space="preserve">or the </w:t>
            </w:r>
            <w:r>
              <w:rPr>
                <w:sz w:val="20"/>
                <w:szCs w:val="20"/>
                <w:lang w:val="en-US"/>
              </w:rPr>
              <w:t>a</w:t>
            </w:r>
            <w:r w:rsidRPr="00667D26">
              <w:rPr>
                <w:sz w:val="20"/>
                <w:szCs w:val="20"/>
                <w:lang w:val="en-US"/>
              </w:rPr>
              <w:t>ppellant.</w:t>
            </w:r>
          </w:p>
          <w:p w:rsidR="00332FFA" w:rsidRPr="00667D26" w:rsidRDefault="00332FFA" w:rsidP="00332FFA">
            <w:pPr>
              <w:jc w:val="both"/>
              <w:rPr>
                <w:sz w:val="20"/>
                <w:szCs w:val="20"/>
                <w:lang w:val="en-US"/>
              </w:rPr>
            </w:pPr>
          </w:p>
          <w:p w:rsidR="00332FFA" w:rsidRDefault="00332FFA" w:rsidP="00332FFA">
            <w:pPr>
              <w:jc w:val="both"/>
              <w:rPr>
                <w:sz w:val="20"/>
                <w:szCs w:val="20"/>
                <w:lang w:val="en-US"/>
              </w:rPr>
            </w:pPr>
            <w:r w:rsidRPr="00667D26">
              <w:rPr>
                <w:sz w:val="20"/>
                <w:szCs w:val="20"/>
                <w:lang w:val="en-US"/>
              </w:rPr>
              <w:t>J. Douglas Grenkie, Q.C.</w:t>
            </w:r>
            <w:r>
              <w:rPr>
                <w:sz w:val="20"/>
                <w:szCs w:val="20"/>
                <w:lang w:val="en-US"/>
              </w:rPr>
              <w:t xml:space="preserve"> and </w:t>
            </w:r>
            <w:r w:rsidRPr="00667D26">
              <w:rPr>
                <w:sz w:val="20"/>
                <w:szCs w:val="20"/>
                <w:lang w:val="en-US"/>
              </w:rPr>
              <w:t>William James Webber</w:t>
            </w:r>
            <w:r>
              <w:rPr>
                <w:sz w:val="20"/>
                <w:szCs w:val="20"/>
                <w:lang w:val="en-US"/>
              </w:rPr>
              <w:t xml:space="preserve"> for the r</w:t>
            </w:r>
            <w:r w:rsidRPr="00667D26">
              <w:rPr>
                <w:sz w:val="20"/>
                <w:szCs w:val="20"/>
                <w:lang w:val="en-US"/>
              </w:rPr>
              <w:t>espondent</w:t>
            </w:r>
            <w:r>
              <w:rPr>
                <w:sz w:val="20"/>
                <w:szCs w:val="20"/>
                <w:lang w:val="en-US"/>
              </w:rPr>
              <w:t>.</w:t>
            </w:r>
          </w:p>
          <w:p w:rsidR="00332FFA" w:rsidRPr="00667D26" w:rsidRDefault="00332FFA" w:rsidP="00332FFA">
            <w:pPr>
              <w:jc w:val="both"/>
              <w:rPr>
                <w:sz w:val="20"/>
                <w:szCs w:val="20"/>
                <w:lang w:val="en-US"/>
              </w:rPr>
            </w:pPr>
          </w:p>
          <w:p w:rsidR="006E1D53" w:rsidRPr="006E1D53" w:rsidRDefault="00332FFA" w:rsidP="00332FFA">
            <w:pPr>
              <w:widowControl w:val="0"/>
              <w:jc w:val="both"/>
              <w:rPr>
                <w:sz w:val="20"/>
                <w:szCs w:val="20"/>
              </w:rPr>
            </w:pPr>
            <w:r w:rsidRPr="00667D26">
              <w:rPr>
                <w:sz w:val="20"/>
                <w:szCs w:val="20"/>
                <w:lang w:val="en-US"/>
              </w:rPr>
              <w:t>Anil K. Kapoor</w:t>
            </w:r>
            <w:r>
              <w:rPr>
                <w:sz w:val="20"/>
                <w:szCs w:val="20"/>
                <w:lang w:val="en-US"/>
              </w:rPr>
              <w:t xml:space="preserve"> and </w:t>
            </w:r>
            <w:r w:rsidRPr="00667D26">
              <w:rPr>
                <w:sz w:val="20"/>
                <w:szCs w:val="20"/>
                <w:lang w:val="en-US"/>
              </w:rPr>
              <w:t>Lindsay E. Trevelyan</w:t>
            </w:r>
            <w:r>
              <w:rPr>
                <w:sz w:val="20"/>
                <w:szCs w:val="20"/>
                <w:lang w:val="en-US"/>
              </w:rPr>
              <w:t xml:space="preserve"> f</w:t>
            </w:r>
            <w:r w:rsidRPr="00667D26">
              <w:rPr>
                <w:sz w:val="20"/>
                <w:szCs w:val="20"/>
                <w:lang w:val="en-US"/>
              </w:rPr>
              <w:t xml:space="preserve">or the </w:t>
            </w:r>
            <w:r>
              <w:rPr>
                <w:sz w:val="20"/>
                <w:szCs w:val="20"/>
                <w:lang w:val="en-US"/>
              </w:rPr>
              <w:t>i</w:t>
            </w:r>
            <w:r w:rsidRPr="00667D26">
              <w:rPr>
                <w:sz w:val="20"/>
                <w:szCs w:val="20"/>
                <w:lang w:val="en-US"/>
              </w:rPr>
              <w:t>ntervener</w:t>
            </w:r>
            <w:r>
              <w:rPr>
                <w:sz w:val="20"/>
                <w:szCs w:val="20"/>
                <w:lang w:val="en-US"/>
              </w:rPr>
              <w:t xml:space="preserve"> </w:t>
            </w:r>
            <w:r w:rsidRPr="00667D26">
              <w:rPr>
                <w:sz w:val="20"/>
                <w:szCs w:val="20"/>
                <w:lang w:val="en-US"/>
              </w:rPr>
              <w:t>Criminal Lawyers</w:t>
            </w:r>
            <w:r>
              <w:rPr>
                <w:sz w:val="20"/>
                <w:szCs w:val="20"/>
                <w:lang w:val="en-US"/>
              </w:rPr>
              <w:t>’</w:t>
            </w:r>
            <w:r w:rsidRPr="00667D26">
              <w:rPr>
                <w:sz w:val="20"/>
                <w:szCs w:val="20"/>
                <w:lang w:val="en-US"/>
              </w:rPr>
              <w:t xml:space="preserve"> Association (Ontario)</w:t>
            </w:r>
            <w:r>
              <w:rPr>
                <w:sz w:val="20"/>
                <w:szCs w:val="20"/>
                <w:lang w:val="en-US"/>
              </w:rPr>
              <w:t>.</w:t>
            </w:r>
          </w:p>
        </w:tc>
      </w:tr>
    </w:tbl>
    <w:p w:rsidR="006E1D53" w:rsidRPr="006E1D53" w:rsidRDefault="006E1D53" w:rsidP="006E1D53">
      <w:pPr>
        <w:widowControl w:val="0"/>
        <w:rPr>
          <w:sz w:val="20"/>
          <w:szCs w:val="20"/>
        </w:rPr>
      </w:pPr>
    </w:p>
    <w:p w:rsidR="006E1D53" w:rsidRPr="0085476B" w:rsidRDefault="006E1D53" w:rsidP="006E1D53">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E1D53" w:rsidRDefault="006E1D53" w:rsidP="006E1D5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002FFB" w:rsidTr="006E1D53">
        <w:tc>
          <w:tcPr>
            <w:tcW w:w="4380" w:type="dxa"/>
            <w:tcMar>
              <w:left w:w="0" w:type="dxa"/>
              <w:right w:w="0" w:type="dxa"/>
            </w:tcMar>
          </w:tcPr>
          <w:p w:rsidR="006E1D53" w:rsidRPr="00CC4D84" w:rsidRDefault="006E1D53" w:rsidP="006E1D53">
            <w:pPr>
              <w:widowControl w:val="0"/>
              <w:jc w:val="both"/>
              <w:rPr>
                <w:b/>
                <w:sz w:val="20"/>
                <w:szCs w:val="20"/>
                <w:u w:val="single"/>
              </w:rPr>
            </w:pPr>
            <w:r w:rsidRPr="00CC4D84">
              <w:rPr>
                <w:b/>
                <w:sz w:val="20"/>
                <w:szCs w:val="20"/>
                <w:u w:val="single"/>
              </w:rPr>
              <w:t>Nature of the case:</w:t>
            </w:r>
          </w:p>
          <w:p w:rsidR="006E1D53" w:rsidRPr="001A663B" w:rsidRDefault="006E1D53" w:rsidP="006E1D53">
            <w:pPr>
              <w:widowControl w:val="0"/>
              <w:jc w:val="both"/>
              <w:rPr>
                <w:b/>
                <w:sz w:val="20"/>
                <w:szCs w:val="20"/>
              </w:rPr>
            </w:pPr>
          </w:p>
          <w:p w:rsidR="006E1D53" w:rsidRPr="00C1697B" w:rsidRDefault="001D2D69" w:rsidP="006E1D53">
            <w:pPr>
              <w:widowControl w:val="0"/>
              <w:jc w:val="both"/>
              <w:rPr>
                <w:b/>
                <w:sz w:val="20"/>
                <w:szCs w:val="20"/>
              </w:rPr>
            </w:pPr>
            <w:r w:rsidRPr="00161D2C">
              <w:rPr>
                <w:sz w:val="20"/>
                <w:szCs w:val="20"/>
              </w:rPr>
              <w:t xml:space="preserve">Criminal law - Arson - Defences - Whether arson is an offence of general or specific intent - Whether an accused person’s self-induced drunkenness, short of extreme intoxication akin to automatism, is a defence </w:t>
            </w:r>
            <w:r w:rsidRPr="00161D2C">
              <w:rPr>
                <w:sz w:val="20"/>
                <w:szCs w:val="20"/>
              </w:rPr>
              <w:lastRenderedPageBreak/>
              <w:t>to arson.</w:t>
            </w:r>
          </w:p>
        </w:tc>
        <w:tc>
          <w:tcPr>
            <w:tcW w:w="720" w:type="dxa"/>
            <w:tcMar>
              <w:left w:w="0" w:type="dxa"/>
              <w:right w:w="0" w:type="dxa"/>
            </w:tcMar>
          </w:tcPr>
          <w:p w:rsidR="006E1D53" w:rsidRPr="00C1697B" w:rsidRDefault="006E1D53" w:rsidP="006E1D53">
            <w:pPr>
              <w:widowControl w:val="0"/>
              <w:jc w:val="center"/>
              <w:rPr>
                <w:sz w:val="20"/>
                <w:szCs w:val="20"/>
              </w:rPr>
            </w:pPr>
          </w:p>
        </w:tc>
        <w:tc>
          <w:tcPr>
            <w:tcW w:w="4380" w:type="dxa"/>
            <w:tcMar>
              <w:left w:w="0" w:type="dxa"/>
              <w:right w:w="0" w:type="dxa"/>
            </w:tcMar>
          </w:tcPr>
          <w:p w:rsidR="006E1D53" w:rsidRPr="00CC4D84" w:rsidRDefault="006E1D53" w:rsidP="006E1D53">
            <w:pPr>
              <w:widowControl w:val="0"/>
              <w:jc w:val="both"/>
              <w:rPr>
                <w:b/>
                <w:sz w:val="20"/>
                <w:szCs w:val="20"/>
                <w:u w:val="single"/>
                <w:lang w:val="fr-CA"/>
              </w:rPr>
            </w:pPr>
            <w:r w:rsidRPr="00CC4D84">
              <w:rPr>
                <w:b/>
                <w:sz w:val="20"/>
                <w:szCs w:val="20"/>
                <w:u w:val="single"/>
                <w:lang w:val="fr-CA"/>
              </w:rPr>
              <w:t>Nature de la cause :</w:t>
            </w:r>
          </w:p>
          <w:p w:rsidR="006E1D53" w:rsidRPr="00C1697B" w:rsidRDefault="006E1D53" w:rsidP="006E1D53">
            <w:pPr>
              <w:widowControl w:val="0"/>
              <w:jc w:val="both"/>
              <w:rPr>
                <w:sz w:val="20"/>
                <w:szCs w:val="20"/>
                <w:lang w:val="fr-CA"/>
              </w:rPr>
            </w:pPr>
          </w:p>
          <w:p w:rsidR="006E1D53" w:rsidRPr="00C1697B" w:rsidRDefault="001D2D69" w:rsidP="006E1D53">
            <w:pPr>
              <w:widowControl w:val="0"/>
              <w:jc w:val="both"/>
              <w:rPr>
                <w:sz w:val="20"/>
                <w:szCs w:val="20"/>
                <w:lang w:val="fr-CA"/>
              </w:rPr>
            </w:pPr>
            <w:r w:rsidRPr="008363EA">
              <w:rPr>
                <w:sz w:val="20"/>
                <w:szCs w:val="20"/>
                <w:lang w:val="fr-CA"/>
              </w:rPr>
              <w:t xml:space="preserve">Droit criminel - Incendie criminel - Moyens de défense - L’incendie criminel est-il une infraction d’intention générale ou une infraction d’intention spécifique? - L’ivresse volontaire de l’accusé qui ne </w:t>
            </w:r>
            <w:r w:rsidRPr="008363EA">
              <w:rPr>
                <w:sz w:val="20"/>
                <w:szCs w:val="20"/>
                <w:lang w:val="fr-CA"/>
              </w:rPr>
              <w:lastRenderedPageBreak/>
              <w:t xml:space="preserve">constitue pas une intoxication extrême s’apparentant à l’automatisme est-il un moyen de défense opposable à l’incendie criminel?  </w:t>
            </w:r>
          </w:p>
        </w:tc>
      </w:tr>
    </w:tbl>
    <w:p w:rsidR="006E1D53" w:rsidRDefault="006E1D53" w:rsidP="006E1D53">
      <w:pPr>
        <w:widowControl w:val="0"/>
        <w:rPr>
          <w:sz w:val="20"/>
          <w:szCs w:val="20"/>
          <w:lang w:val="fr-CA"/>
        </w:rPr>
      </w:pPr>
    </w:p>
    <w:p w:rsidR="006E1D53" w:rsidRDefault="00E4461B" w:rsidP="006E1D53">
      <w:pPr>
        <w:widowControl w:val="0"/>
        <w:rPr>
          <w:sz w:val="20"/>
          <w:szCs w:val="20"/>
        </w:rPr>
      </w:pPr>
      <w:r>
        <w:rPr>
          <w:sz w:val="20"/>
          <w:szCs w:val="20"/>
          <w:lang w:val="fr-CA"/>
        </w:rPr>
        <w:pict>
          <v:rect id="_x0000_i1082" style="width:2in;height:1pt" o:hrpct="0" o:hralign="center" o:hrstd="t" o:hrnoshade="t" o:hr="t" fillcolor="black [3213]" stroked="f"/>
        </w:pict>
      </w:r>
    </w:p>
    <w:p w:rsidR="006E1D53" w:rsidRDefault="006E1D53" w:rsidP="006E1D53">
      <w:pPr>
        <w:widowControl w:val="0"/>
        <w:rPr>
          <w:sz w:val="20"/>
          <w:szCs w:val="20"/>
        </w:rPr>
      </w:pPr>
    </w:p>
    <w:p w:rsidR="006E1D53" w:rsidRPr="008A444A" w:rsidRDefault="006E1D53" w:rsidP="006E1D53">
      <w:pPr>
        <w:widowControl w:val="0"/>
        <w:rPr>
          <w:sz w:val="20"/>
          <w:szCs w:val="20"/>
        </w:rPr>
      </w:pPr>
      <w:r w:rsidRPr="008A444A">
        <w:rPr>
          <w:sz w:val="20"/>
          <w:szCs w:val="20"/>
        </w:rPr>
        <w:t>10.1</w:t>
      </w:r>
      <w:r w:rsidR="003F2AFF">
        <w:rPr>
          <w:sz w:val="20"/>
          <w:szCs w:val="20"/>
        </w:rPr>
        <w:t>2</w:t>
      </w:r>
      <w:r w:rsidRPr="008A444A">
        <w:rPr>
          <w:sz w:val="20"/>
          <w:szCs w:val="20"/>
        </w:rPr>
        <w:t>.2014</w:t>
      </w:r>
    </w:p>
    <w:p w:rsidR="006E1D53" w:rsidRPr="008A444A" w:rsidRDefault="006E1D53" w:rsidP="006E1D53">
      <w:pPr>
        <w:widowControl w:val="0"/>
        <w:rPr>
          <w:sz w:val="20"/>
          <w:szCs w:val="20"/>
        </w:rPr>
      </w:pPr>
    </w:p>
    <w:p w:rsidR="006E1D53" w:rsidRPr="00EE7A6D" w:rsidRDefault="006E1D53" w:rsidP="00982EDD">
      <w:pPr>
        <w:widowControl w:val="0"/>
        <w:ind w:left="720" w:hanging="720"/>
        <w:rPr>
          <w:sz w:val="20"/>
          <w:szCs w:val="20"/>
          <w:u w:val="single"/>
        </w:rPr>
      </w:pPr>
      <w:r w:rsidRPr="00EE7A6D">
        <w:rPr>
          <w:sz w:val="20"/>
          <w:szCs w:val="20"/>
        </w:rPr>
        <w:t xml:space="preserve">Coram: </w:t>
      </w:r>
      <w:r w:rsidRPr="00EE7A6D">
        <w:rPr>
          <w:sz w:val="20"/>
          <w:szCs w:val="20"/>
        </w:rPr>
        <w:tab/>
      </w:r>
      <w:r w:rsidRPr="00EE7A6D">
        <w:rPr>
          <w:sz w:val="20"/>
          <w:szCs w:val="20"/>
          <w:u w:val="single"/>
        </w:rPr>
        <w:t>McLachlin C.J. and Abella, Rothstein, Cromwell, Moldaver, Karakatsanis and Wagner JJ.</w:t>
      </w:r>
    </w:p>
    <w:p w:rsidR="006E1D53" w:rsidRPr="008A444A" w:rsidRDefault="006E1D53" w:rsidP="006E1D5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982EDD" w:rsidTr="006E1D53">
        <w:tc>
          <w:tcPr>
            <w:tcW w:w="4380" w:type="dxa"/>
            <w:tcMar>
              <w:left w:w="0" w:type="dxa"/>
              <w:right w:w="0" w:type="dxa"/>
            </w:tcMar>
          </w:tcPr>
          <w:p w:rsidR="00982EDD" w:rsidRDefault="00982EDD" w:rsidP="00982EDD">
            <w:pPr>
              <w:rPr>
                <w:b/>
                <w:iCs/>
                <w:sz w:val="20"/>
                <w:szCs w:val="20"/>
              </w:rPr>
            </w:pPr>
            <w:r w:rsidRPr="00EE7A6D">
              <w:rPr>
                <w:b/>
                <w:iCs/>
                <w:sz w:val="20"/>
                <w:szCs w:val="20"/>
              </w:rPr>
              <w:t xml:space="preserve">Peter W.G. Carey </w:t>
            </w:r>
          </w:p>
          <w:p w:rsidR="00982EDD" w:rsidRDefault="00982EDD" w:rsidP="00982EDD">
            <w:pPr>
              <w:rPr>
                <w:b/>
                <w:iCs/>
                <w:sz w:val="20"/>
                <w:szCs w:val="20"/>
              </w:rPr>
            </w:pPr>
          </w:p>
          <w:p w:rsidR="00982EDD" w:rsidRDefault="00982EDD" w:rsidP="00982EDD">
            <w:pPr>
              <w:rPr>
                <w:b/>
                <w:iCs/>
                <w:sz w:val="20"/>
                <w:szCs w:val="20"/>
              </w:rPr>
            </w:pPr>
            <w:r>
              <w:rPr>
                <w:b/>
                <w:iCs/>
                <w:sz w:val="20"/>
                <w:szCs w:val="20"/>
              </w:rPr>
              <w:tab/>
            </w:r>
            <w:r w:rsidRPr="00EE7A6D">
              <w:rPr>
                <w:b/>
                <w:iCs/>
                <w:sz w:val="20"/>
                <w:szCs w:val="20"/>
              </w:rPr>
              <w:t xml:space="preserve">v. </w:t>
            </w:r>
            <w:r w:rsidRPr="00982EDD">
              <w:rPr>
                <w:sz w:val="20"/>
                <w:szCs w:val="20"/>
              </w:rPr>
              <w:t>(</w:t>
            </w:r>
            <w:hyperlink r:id="rId118" w:history="1">
              <w:r w:rsidRPr="00982EDD">
                <w:rPr>
                  <w:rStyle w:val="Hyperlink"/>
                  <w:sz w:val="20"/>
                  <w:szCs w:val="20"/>
                </w:rPr>
                <w:t>35597</w:t>
              </w:r>
            </w:hyperlink>
            <w:r w:rsidRPr="00982EDD">
              <w:rPr>
                <w:sz w:val="20"/>
                <w:szCs w:val="20"/>
              </w:rPr>
              <w:t>)</w:t>
            </w:r>
          </w:p>
          <w:p w:rsidR="00982EDD" w:rsidRDefault="00982EDD" w:rsidP="00982EDD">
            <w:pPr>
              <w:rPr>
                <w:b/>
                <w:iCs/>
                <w:sz w:val="20"/>
                <w:szCs w:val="20"/>
              </w:rPr>
            </w:pPr>
          </w:p>
          <w:p w:rsidR="006E1D53" w:rsidRPr="00982EDD" w:rsidRDefault="00982EDD" w:rsidP="00982EDD">
            <w:pPr>
              <w:rPr>
                <w:sz w:val="20"/>
                <w:szCs w:val="20"/>
              </w:rPr>
            </w:pPr>
            <w:r w:rsidRPr="00EE7A6D">
              <w:rPr>
                <w:b/>
                <w:iCs/>
                <w:sz w:val="20"/>
                <w:szCs w:val="20"/>
              </w:rPr>
              <w:t xml:space="preserve">Judith Laiken </w:t>
            </w:r>
            <w:r w:rsidRPr="00982EDD">
              <w:rPr>
                <w:b/>
                <w:sz w:val="20"/>
                <w:szCs w:val="20"/>
              </w:rPr>
              <w:t>(Ont.) (Civil) (By Leave)</w:t>
            </w:r>
            <w:r w:rsidRPr="00982EDD">
              <w:rPr>
                <w:sz w:val="20"/>
                <w:szCs w:val="20"/>
              </w:rPr>
              <w:t xml:space="preserve"> </w:t>
            </w:r>
            <w:r w:rsidR="006E1D53" w:rsidRPr="00982EDD">
              <w:rPr>
                <w:sz w:val="20"/>
                <w:szCs w:val="20"/>
              </w:rPr>
              <w:t xml:space="preserve"> </w:t>
            </w:r>
          </w:p>
        </w:tc>
        <w:tc>
          <w:tcPr>
            <w:tcW w:w="720" w:type="dxa"/>
            <w:tcMar>
              <w:left w:w="0" w:type="dxa"/>
              <w:right w:w="0" w:type="dxa"/>
            </w:tcMar>
          </w:tcPr>
          <w:p w:rsidR="006E1D53" w:rsidRPr="00982EDD" w:rsidRDefault="006E1D53" w:rsidP="006E1D53">
            <w:pPr>
              <w:widowControl w:val="0"/>
              <w:jc w:val="center"/>
              <w:rPr>
                <w:sz w:val="20"/>
                <w:szCs w:val="20"/>
              </w:rPr>
            </w:pPr>
          </w:p>
        </w:tc>
        <w:tc>
          <w:tcPr>
            <w:tcW w:w="4380" w:type="dxa"/>
            <w:tcMar>
              <w:left w:w="0" w:type="dxa"/>
              <w:right w:w="0" w:type="dxa"/>
            </w:tcMar>
          </w:tcPr>
          <w:p w:rsidR="00481D26" w:rsidRPr="00FB6B21" w:rsidRDefault="00481D26" w:rsidP="00481D26">
            <w:pPr>
              <w:jc w:val="both"/>
              <w:rPr>
                <w:sz w:val="20"/>
                <w:szCs w:val="20"/>
              </w:rPr>
            </w:pPr>
            <w:r w:rsidRPr="00FB6B21">
              <w:rPr>
                <w:sz w:val="20"/>
                <w:szCs w:val="20"/>
              </w:rPr>
              <w:t>Patricia D.S. Jackson</w:t>
            </w:r>
            <w:r>
              <w:rPr>
                <w:sz w:val="20"/>
                <w:szCs w:val="20"/>
              </w:rPr>
              <w:t xml:space="preserve"> and </w:t>
            </w:r>
            <w:r w:rsidRPr="00FB6B21">
              <w:rPr>
                <w:sz w:val="20"/>
                <w:szCs w:val="20"/>
              </w:rPr>
              <w:t>Rachael Saab</w:t>
            </w:r>
            <w:r>
              <w:rPr>
                <w:sz w:val="20"/>
                <w:szCs w:val="20"/>
              </w:rPr>
              <w:t xml:space="preserve"> f</w:t>
            </w:r>
            <w:r w:rsidRPr="00FB6B21">
              <w:rPr>
                <w:sz w:val="20"/>
                <w:szCs w:val="20"/>
              </w:rPr>
              <w:t xml:space="preserve">or the </w:t>
            </w:r>
            <w:r>
              <w:rPr>
                <w:sz w:val="20"/>
                <w:szCs w:val="20"/>
              </w:rPr>
              <w:t>a</w:t>
            </w:r>
            <w:r w:rsidRPr="00FB6B21">
              <w:rPr>
                <w:sz w:val="20"/>
                <w:szCs w:val="20"/>
              </w:rPr>
              <w:t>ppellant</w:t>
            </w:r>
            <w:r>
              <w:rPr>
                <w:sz w:val="20"/>
                <w:szCs w:val="20"/>
              </w:rPr>
              <w:t>.</w:t>
            </w:r>
            <w:r w:rsidRPr="00FB6B21">
              <w:rPr>
                <w:sz w:val="20"/>
                <w:szCs w:val="20"/>
              </w:rPr>
              <w:t xml:space="preserve"> </w:t>
            </w:r>
          </w:p>
          <w:p w:rsidR="00481D26" w:rsidRPr="00FB6B21" w:rsidRDefault="00481D26" w:rsidP="00481D26">
            <w:pPr>
              <w:jc w:val="both"/>
              <w:rPr>
                <w:sz w:val="20"/>
                <w:szCs w:val="20"/>
              </w:rPr>
            </w:pPr>
          </w:p>
          <w:p w:rsidR="006E1D53" w:rsidRPr="00982EDD" w:rsidRDefault="00481D26" w:rsidP="00481D26">
            <w:pPr>
              <w:widowControl w:val="0"/>
              <w:jc w:val="both"/>
              <w:rPr>
                <w:sz w:val="20"/>
                <w:szCs w:val="20"/>
              </w:rPr>
            </w:pPr>
            <w:r w:rsidRPr="00FB6B21">
              <w:rPr>
                <w:sz w:val="20"/>
                <w:szCs w:val="20"/>
              </w:rPr>
              <w:t>Kevin Toyne</w:t>
            </w:r>
            <w:r>
              <w:rPr>
                <w:sz w:val="20"/>
                <w:szCs w:val="20"/>
              </w:rPr>
              <w:t xml:space="preserve"> and </w:t>
            </w:r>
            <w:r w:rsidRPr="00FB6B21">
              <w:rPr>
                <w:sz w:val="20"/>
                <w:szCs w:val="20"/>
              </w:rPr>
              <w:t>John Philpott</w:t>
            </w:r>
            <w:r>
              <w:rPr>
                <w:sz w:val="20"/>
                <w:szCs w:val="20"/>
              </w:rPr>
              <w:t xml:space="preserve"> f</w:t>
            </w:r>
            <w:r w:rsidRPr="00FB6B21">
              <w:rPr>
                <w:sz w:val="20"/>
                <w:szCs w:val="20"/>
              </w:rPr>
              <w:t xml:space="preserve">or the </w:t>
            </w:r>
            <w:r>
              <w:rPr>
                <w:sz w:val="20"/>
                <w:szCs w:val="20"/>
              </w:rPr>
              <w:t>r</w:t>
            </w:r>
            <w:r w:rsidRPr="00FB6B21">
              <w:rPr>
                <w:sz w:val="20"/>
                <w:szCs w:val="20"/>
              </w:rPr>
              <w:t>espondent</w:t>
            </w:r>
            <w:r>
              <w:rPr>
                <w:sz w:val="20"/>
                <w:szCs w:val="20"/>
              </w:rPr>
              <w:t>.</w:t>
            </w:r>
          </w:p>
        </w:tc>
      </w:tr>
    </w:tbl>
    <w:p w:rsidR="006E1D53" w:rsidRPr="00982EDD" w:rsidRDefault="006E1D53" w:rsidP="006E1D53">
      <w:pPr>
        <w:widowControl w:val="0"/>
        <w:rPr>
          <w:sz w:val="20"/>
          <w:szCs w:val="20"/>
        </w:rPr>
      </w:pPr>
    </w:p>
    <w:p w:rsidR="006E1D53" w:rsidRPr="0085476B" w:rsidRDefault="006E1D53" w:rsidP="006E1D53">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6E1D53" w:rsidRDefault="006E1D53" w:rsidP="006E1D5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E1D53" w:rsidRPr="00002FFB" w:rsidTr="006E1D53">
        <w:tc>
          <w:tcPr>
            <w:tcW w:w="4380" w:type="dxa"/>
            <w:tcMar>
              <w:left w:w="0" w:type="dxa"/>
              <w:right w:w="0" w:type="dxa"/>
            </w:tcMar>
          </w:tcPr>
          <w:p w:rsidR="006E1D53" w:rsidRPr="00CC4D84" w:rsidRDefault="006E1D53" w:rsidP="006E1D53">
            <w:pPr>
              <w:widowControl w:val="0"/>
              <w:jc w:val="both"/>
              <w:rPr>
                <w:b/>
                <w:sz w:val="20"/>
                <w:szCs w:val="20"/>
                <w:u w:val="single"/>
              </w:rPr>
            </w:pPr>
            <w:r w:rsidRPr="00CC4D84">
              <w:rPr>
                <w:b/>
                <w:sz w:val="20"/>
                <w:szCs w:val="20"/>
                <w:u w:val="single"/>
              </w:rPr>
              <w:t>Nature of the case:</w:t>
            </w:r>
          </w:p>
          <w:p w:rsidR="006E1D53" w:rsidRPr="001A663B" w:rsidRDefault="006E1D53" w:rsidP="006E1D53">
            <w:pPr>
              <w:widowControl w:val="0"/>
              <w:jc w:val="both"/>
              <w:rPr>
                <w:b/>
                <w:sz w:val="20"/>
                <w:szCs w:val="20"/>
              </w:rPr>
            </w:pPr>
          </w:p>
          <w:p w:rsidR="006E1D53" w:rsidRPr="00C1697B" w:rsidRDefault="007B7E12" w:rsidP="006E1D53">
            <w:pPr>
              <w:widowControl w:val="0"/>
              <w:jc w:val="both"/>
              <w:rPr>
                <w:b/>
                <w:sz w:val="20"/>
                <w:szCs w:val="20"/>
              </w:rPr>
            </w:pPr>
            <w:r w:rsidRPr="002B11DA">
              <w:rPr>
                <w:sz w:val="20"/>
                <w:szCs w:val="20"/>
              </w:rPr>
              <w:t>Civil procedure - Contempt of court - Whether a judge should be allowed to revisit his or her finding of contempt at the penalty stage of the contempt proceedings - Whether it is necessary to show that an act was deliberately and willfully disobedient in order for it to constitute civil contempt.</w:t>
            </w:r>
          </w:p>
        </w:tc>
        <w:tc>
          <w:tcPr>
            <w:tcW w:w="720" w:type="dxa"/>
            <w:tcMar>
              <w:left w:w="0" w:type="dxa"/>
              <w:right w:w="0" w:type="dxa"/>
            </w:tcMar>
          </w:tcPr>
          <w:p w:rsidR="006E1D53" w:rsidRPr="00C1697B" w:rsidRDefault="006E1D53" w:rsidP="006E1D53">
            <w:pPr>
              <w:widowControl w:val="0"/>
              <w:jc w:val="center"/>
              <w:rPr>
                <w:sz w:val="20"/>
                <w:szCs w:val="20"/>
              </w:rPr>
            </w:pPr>
          </w:p>
        </w:tc>
        <w:tc>
          <w:tcPr>
            <w:tcW w:w="4380" w:type="dxa"/>
            <w:tcMar>
              <w:left w:w="0" w:type="dxa"/>
              <w:right w:w="0" w:type="dxa"/>
            </w:tcMar>
          </w:tcPr>
          <w:p w:rsidR="006E1D53" w:rsidRPr="00CC4D84" w:rsidRDefault="006E1D53" w:rsidP="006E1D53">
            <w:pPr>
              <w:widowControl w:val="0"/>
              <w:jc w:val="both"/>
              <w:rPr>
                <w:b/>
                <w:sz w:val="20"/>
                <w:szCs w:val="20"/>
                <w:u w:val="single"/>
                <w:lang w:val="fr-CA"/>
              </w:rPr>
            </w:pPr>
            <w:r w:rsidRPr="00CC4D84">
              <w:rPr>
                <w:b/>
                <w:sz w:val="20"/>
                <w:szCs w:val="20"/>
                <w:u w:val="single"/>
                <w:lang w:val="fr-CA"/>
              </w:rPr>
              <w:t>Nature de la cause :</w:t>
            </w:r>
          </w:p>
          <w:p w:rsidR="006E1D53" w:rsidRPr="00C1697B" w:rsidRDefault="006E1D53" w:rsidP="006E1D53">
            <w:pPr>
              <w:widowControl w:val="0"/>
              <w:jc w:val="both"/>
              <w:rPr>
                <w:sz w:val="20"/>
                <w:szCs w:val="20"/>
                <w:lang w:val="fr-CA"/>
              </w:rPr>
            </w:pPr>
          </w:p>
          <w:p w:rsidR="006E1D53" w:rsidRPr="00C1697B" w:rsidRDefault="007B7E12" w:rsidP="006E1D53">
            <w:pPr>
              <w:widowControl w:val="0"/>
              <w:jc w:val="both"/>
              <w:rPr>
                <w:sz w:val="20"/>
                <w:szCs w:val="20"/>
                <w:lang w:val="fr-CA"/>
              </w:rPr>
            </w:pPr>
            <w:r w:rsidRPr="00700A5A">
              <w:rPr>
                <w:sz w:val="20"/>
                <w:szCs w:val="20"/>
                <w:lang w:val="fr-CA"/>
              </w:rPr>
              <w:t>Procédure civile - Outrage au tribunal - Un juge devrait-il avoir le droit de réexaminer la condamnation pour outrage au tribunal au stade de l’imposition de la peine dans une instance d’outrage? - Est-il nécessaire de démontrer qu’un acte était le fait d’une désobéissance délibérée et volontaire pour qu’il constitue un outrage civil?</w:t>
            </w:r>
          </w:p>
        </w:tc>
      </w:tr>
    </w:tbl>
    <w:p w:rsidR="006E1D53" w:rsidRDefault="006E1D53" w:rsidP="006E1D53">
      <w:pPr>
        <w:widowControl w:val="0"/>
        <w:rPr>
          <w:sz w:val="20"/>
          <w:szCs w:val="20"/>
          <w:lang w:val="fr-CA"/>
        </w:rPr>
      </w:pPr>
    </w:p>
    <w:p w:rsidR="006E1D53" w:rsidRDefault="00E4461B" w:rsidP="006E1D53">
      <w:pPr>
        <w:widowControl w:val="0"/>
        <w:rPr>
          <w:sz w:val="20"/>
          <w:szCs w:val="20"/>
        </w:rPr>
      </w:pPr>
      <w:r>
        <w:rPr>
          <w:sz w:val="20"/>
          <w:szCs w:val="20"/>
          <w:lang w:val="fr-CA"/>
        </w:rPr>
        <w:pict>
          <v:rect id="_x0000_i1083" style="width:2in;height:1pt" o:hrpct="0" o:hralign="center" o:hrstd="t" o:hrnoshade="t" o:hr="t" fillcolor="black [3213]" stroked="f"/>
        </w:pict>
      </w:r>
    </w:p>
    <w:p w:rsidR="006E1D53" w:rsidRDefault="006E1D53" w:rsidP="006E1D53">
      <w:pPr>
        <w:widowControl w:val="0"/>
        <w:rPr>
          <w:sz w:val="20"/>
          <w:szCs w:val="20"/>
        </w:rPr>
      </w:pPr>
    </w:p>
    <w:p w:rsidR="00982EDD" w:rsidRPr="00982EDD" w:rsidRDefault="00982EDD" w:rsidP="00982EDD">
      <w:pPr>
        <w:widowControl w:val="0"/>
        <w:rPr>
          <w:sz w:val="20"/>
          <w:szCs w:val="20"/>
        </w:rPr>
      </w:pPr>
      <w:r w:rsidRPr="00982EDD">
        <w:rPr>
          <w:sz w:val="20"/>
          <w:szCs w:val="20"/>
        </w:rPr>
        <w:t>10.1</w:t>
      </w:r>
      <w:r w:rsidR="003F2AFF">
        <w:rPr>
          <w:sz w:val="20"/>
          <w:szCs w:val="20"/>
        </w:rPr>
        <w:t>2</w:t>
      </w:r>
      <w:r w:rsidRPr="00982EDD">
        <w:rPr>
          <w:sz w:val="20"/>
          <w:szCs w:val="20"/>
        </w:rPr>
        <w:t>.2014</w:t>
      </w:r>
    </w:p>
    <w:p w:rsidR="00982EDD" w:rsidRDefault="00982EDD" w:rsidP="00982EDD">
      <w:pPr>
        <w:widowControl w:val="0"/>
        <w:rPr>
          <w:sz w:val="20"/>
          <w:szCs w:val="20"/>
        </w:rPr>
      </w:pPr>
    </w:p>
    <w:p w:rsidR="00982EDD" w:rsidRPr="00EE7A6D" w:rsidRDefault="00982EDD" w:rsidP="00982EDD">
      <w:pPr>
        <w:widowControl w:val="0"/>
        <w:ind w:left="720" w:hanging="720"/>
        <w:rPr>
          <w:sz w:val="20"/>
          <w:szCs w:val="20"/>
          <w:u w:val="single"/>
        </w:rPr>
      </w:pPr>
      <w:r w:rsidRPr="00EE7A6D">
        <w:rPr>
          <w:sz w:val="20"/>
          <w:szCs w:val="20"/>
        </w:rPr>
        <w:t xml:space="preserve">Coram: </w:t>
      </w:r>
      <w:r w:rsidRPr="00EE7A6D">
        <w:rPr>
          <w:sz w:val="20"/>
          <w:szCs w:val="20"/>
        </w:rPr>
        <w:tab/>
      </w:r>
      <w:r w:rsidRPr="00EE7A6D">
        <w:rPr>
          <w:sz w:val="20"/>
          <w:szCs w:val="20"/>
          <w:u w:val="single"/>
        </w:rPr>
        <w:t>Abella, Cromwell, Moldaver, Wagner and Gascon JJ.</w:t>
      </w:r>
    </w:p>
    <w:p w:rsidR="00982EDD" w:rsidRPr="00982EDD" w:rsidRDefault="00982EDD" w:rsidP="00982EDD">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2EDD" w:rsidRPr="00982EDD" w:rsidTr="003978BC">
        <w:tc>
          <w:tcPr>
            <w:tcW w:w="4380" w:type="dxa"/>
            <w:tcMar>
              <w:left w:w="0" w:type="dxa"/>
              <w:right w:w="0" w:type="dxa"/>
            </w:tcMar>
          </w:tcPr>
          <w:p w:rsidR="00982EDD" w:rsidRDefault="00982EDD" w:rsidP="00982EDD">
            <w:pPr>
              <w:rPr>
                <w:b/>
                <w:iCs/>
                <w:sz w:val="20"/>
                <w:szCs w:val="20"/>
              </w:rPr>
            </w:pPr>
            <w:r w:rsidRPr="00EE7A6D">
              <w:rPr>
                <w:b/>
                <w:iCs/>
                <w:sz w:val="20"/>
                <w:szCs w:val="20"/>
              </w:rPr>
              <w:t xml:space="preserve">Her Majesty the Queen </w:t>
            </w:r>
          </w:p>
          <w:p w:rsidR="00982EDD" w:rsidRDefault="00982EDD" w:rsidP="00982EDD">
            <w:pPr>
              <w:rPr>
                <w:b/>
                <w:iCs/>
                <w:sz w:val="20"/>
                <w:szCs w:val="20"/>
              </w:rPr>
            </w:pPr>
          </w:p>
          <w:p w:rsidR="00982EDD" w:rsidRDefault="00982EDD" w:rsidP="00982EDD">
            <w:pPr>
              <w:rPr>
                <w:b/>
                <w:iCs/>
                <w:sz w:val="20"/>
                <w:szCs w:val="20"/>
              </w:rPr>
            </w:pPr>
            <w:r>
              <w:rPr>
                <w:b/>
                <w:iCs/>
                <w:sz w:val="20"/>
                <w:szCs w:val="20"/>
              </w:rPr>
              <w:tab/>
            </w:r>
            <w:r w:rsidRPr="00EE7A6D">
              <w:rPr>
                <w:b/>
                <w:iCs/>
                <w:sz w:val="20"/>
                <w:szCs w:val="20"/>
              </w:rPr>
              <w:t xml:space="preserve">v. </w:t>
            </w:r>
            <w:r w:rsidRPr="00EE7A6D">
              <w:rPr>
                <w:sz w:val="20"/>
                <w:szCs w:val="20"/>
              </w:rPr>
              <w:t>(</w:t>
            </w:r>
            <w:hyperlink r:id="rId119" w:history="1">
              <w:r w:rsidRPr="00EE7A6D">
                <w:rPr>
                  <w:rStyle w:val="Hyperlink"/>
                  <w:sz w:val="20"/>
                  <w:szCs w:val="20"/>
                </w:rPr>
                <w:t>35957</w:t>
              </w:r>
            </w:hyperlink>
            <w:r w:rsidRPr="00EE7A6D">
              <w:rPr>
                <w:sz w:val="20"/>
                <w:szCs w:val="20"/>
              </w:rPr>
              <w:t>)</w:t>
            </w:r>
          </w:p>
          <w:p w:rsidR="00982EDD" w:rsidRDefault="00982EDD" w:rsidP="00982EDD">
            <w:pPr>
              <w:rPr>
                <w:b/>
                <w:iCs/>
                <w:sz w:val="20"/>
                <w:szCs w:val="20"/>
              </w:rPr>
            </w:pPr>
          </w:p>
          <w:p w:rsidR="00982EDD" w:rsidRPr="00982EDD" w:rsidRDefault="00982EDD" w:rsidP="00982EDD">
            <w:pPr>
              <w:rPr>
                <w:sz w:val="20"/>
                <w:szCs w:val="20"/>
              </w:rPr>
            </w:pPr>
            <w:r w:rsidRPr="00EE7A6D">
              <w:rPr>
                <w:b/>
                <w:iCs/>
                <w:sz w:val="20"/>
                <w:szCs w:val="20"/>
              </w:rPr>
              <w:t>Clarence Michael MacLeod</w:t>
            </w:r>
            <w:r w:rsidRPr="00EE7A6D">
              <w:rPr>
                <w:iCs/>
                <w:sz w:val="20"/>
                <w:szCs w:val="20"/>
              </w:rPr>
              <w:t xml:space="preserve"> </w:t>
            </w:r>
            <w:r w:rsidRPr="00982EDD">
              <w:rPr>
                <w:b/>
                <w:sz w:val="20"/>
                <w:szCs w:val="20"/>
              </w:rPr>
              <w:t>(N.S.) (Criminal) (As of Right)</w:t>
            </w:r>
            <w:r w:rsidRPr="00EE7A6D">
              <w:rPr>
                <w:sz w:val="20"/>
                <w:szCs w:val="20"/>
              </w:rPr>
              <w:t xml:space="preserve"> </w:t>
            </w:r>
            <w:r w:rsidRPr="00982EDD">
              <w:rPr>
                <w:sz w:val="20"/>
                <w:szCs w:val="20"/>
              </w:rPr>
              <w:t xml:space="preserve"> </w:t>
            </w:r>
          </w:p>
        </w:tc>
        <w:tc>
          <w:tcPr>
            <w:tcW w:w="720" w:type="dxa"/>
            <w:tcMar>
              <w:left w:w="0" w:type="dxa"/>
              <w:right w:w="0" w:type="dxa"/>
            </w:tcMar>
          </w:tcPr>
          <w:p w:rsidR="00982EDD" w:rsidRPr="00982EDD" w:rsidRDefault="00982EDD" w:rsidP="003978BC">
            <w:pPr>
              <w:widowControl w:val="0"/>
              <w:jc w:val="center"/>
              <w:rPr>
                <w:sz w:val="20"/>
                <w:szCs w:val="20"/>
              </w:rPr>
            </w:pPr>
          </w:p>
        </w:tc>
        <w:tc>
          <w:tcPr>
            <w:tcW w:w="4380" w:type="dxa"/>
            <w:tcMar>
              <w:left w:w="0" w:type="dxa"/>
              <w:right w:w="0" w:type="dxa"/>
            </w:tcMar>
          </w:tcPr>
          <w:p w:rsidR="001D5FCF" w:rsidRPr="00023DDB" w:rsidRDefault="001D5FCF" w:rsidP="001D5FCF">
            <w:pPr>
              <w:rPr>
                <w:sz w:val="20"/>
                <w:szCs w:val="20"/>
              </w:rPr>
            </w:pPr>
            <w:r w:rsidRPr="00023DDB">
              <w:rPr>
                <w:sz w:val="20"/>
                <w:szCs w:val="20"/>
              </w:rPr>
              <w:t>Mark A. Scott</w:t>
            </w:r>
            <w:r>
              <w:rPr>
                <w:sz w:val="20"/>
                <w:szCs w:val="20"/>
              </w:rPr>
              <w:t xml:space="preserve"> and </w:t>
            </w:r>
            <w:r w:rsidRPr="00023DDB">
              <w:rPr>
                <w:sz w:val="20"/>
                <w:szCs w:val="20"/>
              </w:rPr>
              <w:t>Marian Fortune-Stone, Q.C</w:t>
            </w:r>
            <w:r>
              <w:rPr>
                <w:sz w:val="20"/>
                <w:szCs w:val="20"/>
              </w:rPr>
              <w:t xml:space="preserve"> f</w:t>
            </w:r>
            <w:r w:rsidRPr="00023DDB">
              <w:rPr>
                <w:sz w:val="20"/>
                <w:szCs w:val="20"/>
              </w:rPr>
              <w:t xml:space="preserve">or the </w:t>
            </w:r>
            <w:r>
              <w:rPr>
                <w:sz w:val="20"/>
                <w:szCs w:val="20"/>
              </w:rPr>
              <w:t>a</w:t>
            </w:r>
            <w:r w:rsidRPr="00023DDB">
              <w:rPr>
                <w:sz w:val="20"/>
                <w:szCs w:val="20"/>
              </w:rPr>
              <w:t>ppellant</w:t>
            </w:r>
            <w:r>
              <w:rPr>
                <w:sz w:val="20"/>
                <w:szCs w:val="20"/>
              </w:rPr>
              <w:t>.</w:t>
            </w:r>
          </w:p>
          <w:p w:rsidR="001D5FCF" w:rsidRPr="00023DDB" w:rsidRDefault="001D5FCF" w:rsidP="001D5FCF">
            <w:pPr>
              <w:rPr>
                <w:sz w:val="20"/>
                <w:szCs w:val="20"/>
              </w:rPr>
            </w:pPr>
          </w:p>
          <w:p w:rsidR="00982EDD" w:rsidRPr="00982EDD" w:rsidRDefault="001D5FCF" w:rsidP="001D5FCF">
            <w:pPr>
              <w:widowControl w:val="0"/>
              <w:jc w:val="both"/>
              <w:rPr>
                <w:sz w:val="20"/>
                <w:szCs w:val="20"/>
              </w:rPr>
            </w:pPr>
            <w:r w:rsidRPr="00023DDB">
              <w:rPr>
                <w:sz w:val="20"/>
                <w:szCs w:val="20"/>
              </w:rPr>
              <w:t>Roger A. Burrill</w:t>
            </w:r>
            <w:r>
              <w:rPr>
                <w:sz w:val="20"/>
                <w:szCs w:val="20"/>
              </w:rPr>
              <w:t xml:space="preserve"> f</w:t>
            </w:r>
            <w:r w:rsidRPr="00023DDB">
              <w:rPr>
                <w:sz w:val="20"/>
                <w:szCs w:val="20"/>
              </w:rPr>
              <w:t xml:space="preserve">or the </w:t>
            </w:r>
            <w:r>
              <w:rPr>
                <w:sz w:val="20"/>
                <w:szCs w:val="20"/>
              </w:rPr>
              <w:t>r</w:t>
            </w:r>
            <w:r w:rsidRPr="00023DDB">
              <w:rPr>
                <w:sz w:val="20"/>
                <w:szCs w:val="20"/>
              </w:rPr>
              <w:t>espondent.</w:t>
            </w:r>
          </w:p>
        </w:tc>
      </w:tr>
    </w:tbl>
    <w:p w:rsidR="00982EDD" w:rsidRPr="00982EDD" w:rsidRDefault="00982EDD" w:rsidP="00982EDD">
      <w:pPr>
        <w:widowControl w:val="0"/>
        <w:rPr>
          <w:sz w:val="20"/>
          <w:szCs w:val="20"/>
        </w:rPr>
      </w:pPr>
    </w:p>
    <w:p w:rsidR="00FF0954" w:rsidRPr="009C66DC" w:rsidRDefault="00FF0954" w:rsidP="00FF0954">
      <w:pPr>
        <w:rPr>
          <w:rFonts w:eastAsia="Calibri" w:cs="Times New Roman"/>
          <w:b/>
          <w:iCs/>
          <w:sz w:val="20"/>
          <w:szCs w:val="20"/>
          <w:lang w:val="fr-CA"/>
        </w:rPr>
      </w:pPr>
      <w:r w:rsidRPr="009C66DC">
        <w:rPr>
          <w:rFonts w:eastAsia="Calibri" w:cs="Times New Roman"/>
          <w:b/>
          <w:iCs/>
          <w:sz w:val="20"/>
          <w:szCs w:val="20"/>
          <w:lang w:val="fr-CA"/>
        </w:rPr>
        <w:t>2014 SCC 76 / 2014 CSC 76</w:t>
      </w:r>
    </w:p>
    <w:p w:rsidR="00FF0954" w:rsidRPr="00FF0954" w:rsidRDefault="00FF0954" w:rsidP="00982EDD">
      <w:pPr>
        <w:widowControl w:val="0"/>
        <w:rPr>
          <w:sz w:val="20"/>
          <w:szCs w:val="20"/>
        </w:rPr>
      </w:pPr>
    </w:p>
    <w:p w:rsidR="00FF0954" w:rsidRPr="0085476B" w:rsidRDefault="00FF0954" w:rsidP="00FF0954">
      <w:pPr>
        <w:widowControl w:val="0"/>
        <w:rPr>
          <w:sz w:val="20"/>
          <w:szCs w:val="20"/>
        </w:rPr>
      </w:pPr>
      <w:r>
        <w:rPr>
          <w:b/>
          <w:sz w:val="20"/>
          <w:szCs w:val="20"/>
        </w:rPr>
        <w:t>DISMISS</w:t>
      </w:r>
      <w:r w:rsidRPr="0085476B">
        <w:rPr>
          <w:b/>
          <w:sz w:val="20"/>
          <w:szCs w:val="20"/>
        </w:rPr>
        <w:t xml:space="preserve">ED / </w:t>
      </w:r>
      <w:r>
        <w:rPr>
          <w:b/>
          <w:sz w:val="20"/>
          <w:szCs w:val="20"/>
        </w:rPr>
        <w:t>REJ</w:t>
      </w:r>
      <w:r w:rsidRPr="008A444A">
        <w:rPr>
          <w:b/>
          <w:sz w:val="20"/>
          <w:szCs w:val="20"/>
        </w:rPr>
        <w:t>ETÉ</w:t>
      </w:r>
    </w:p>
    <w:p w:rsidR="00FF0954" w:rsidRDefault="00FF0954" w:rsidP="00FF095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2EDD" w:rsidRPr="00002FFB" w:rsidTr="003978BC">
        <w:tc>
          <w:tcPr>
            <w:tcW w:w="4380" w:type="dxa"/>
            <w:tcMar>
              <w:left w:w="0" w:type="dxa"/>
              <w:right w:w="0" w:type="dxa"/>
            </w:tcMar>
          </w:tcPr>
          <w:p w:rsidR="00982EDD" w:rsidRPr="00CC4D84" w:rsidRDefault="00982EDD" w:rsidP="003978BC">
            <w:pPr>
              <w:widowControl w:val="0"/>
              <w:jc w:val="both"/>
              <w:rPr>
                <w:b/>
                <w:sz w:val="20"/>
                <w:szCs w:val="20"/>
                <w:u w:val="single"/>
              </w:rPr>
            </w:pPr>
            <w:r w:rsidRPr="00CC4D84">
              <w:rPr>
                <w:b/>
                <w:sz w:val="20"/>
                <w:szCs w:val="20"/>
                <w:u w:val="single"/>
              </w:rPr>
              <w:t>Nature of the case:</w:t>
            </w:r>
          </w:p>
          <w:p w:rsidR="00982EDD" w:rsidRPr="001A663B" w:rsidRDefault="00982EDD" w:rsidP="003978BC">
            <w:pPr>
              <w:widowControl w:val="0"/>
              <w:jc w:val="both"/>
              <w:rPr>
                <w:b/>
                <w:sz w:val="20"/>
                <w:szCs w:val="20"/>
              </w:rPr>
            </w:pPr>
          </w:p>
          <w:p w:rsidR="00982EDD" w:rsidRPr="00C1697B" w:rsidRDefault="007B7E12" w:rsidP="003978BC">
            <w:pPr>
              <w:widowControl w:val="0"/>
              <w:jc w:val="both"/>
              <w:rPr>
                <w:b/>
                <w:sz w:val="20"/>
                <w:szCs w:val="20"/>
              </w:rPr>
            </w:pPr>
            <w:r w:rsidRPr="00CD1E47">
              <w:rPr>
                <w:sz w:val="20"/>
                <w:szCs w:val="20"/>
              </w:rPr>
              <w:t xml:space="preserve">Criminal law - Murder - Charge to jury - Lesser verdict of manslaughter - Air of reality - Whether the trial judge erred by refusing to charge the jury on the lesser verdict of manslaughter - To what extent are defence counsel’s express wishes and the strategies adopted at trial to be considered when deciding to charge a jury on a defence or lesser alternative verdict, </w:t>
            </w:r>
            <w:r w:rsidRPr="00CD1E47">
              <w:rPr>
                <w:sz w:val="20"/>
                <w:szCs w:val="20"/>
              </w:rPr>
              <w:lastRenderedPageBreak/>
              <w:t>particularly where such an alternative would be completely inconsistent and incompatible with the position taken by the accused in answer to the charge?</w:t>
            </w:r>
          </w:p>
        </w:tc>
        <w:tc>
          <w:tcPr>
            <w:tcW w:w="720" w:type="dxa"/>
            <w:tcMar>
              <w:left w:w="0" w:type="dxa"/>
              <w:right w:w="0" w:type="dxa"/>
            </w:tcMar>
          </w:tcPr>
          <w:p w:rsidR="00982EDD" w:rsidRPr="00C1697B" w:rsidRDefault="00982EDD" w:rsidP="003978BC">
            <w:pPr>
              <w:widowControl w:val="0"/>
              <w:jc w:val="center"/>
              <w:rPr>
                <w:sz w:val="20"/>
                <w:szCs w:val="20"/>
              </w:rPr>
            </w:pPr>
          </w:p>
        </w:tc>
        <w:tc>
          <w:tcPr>
            <w:tcW w:w="4380" w:type="dxa"/>
            <w:tcMar>
              <w:left w:w="0" w:type="dxa"/>
              <w:right w:w="0" w:type="dxa"/>
            </w:tcMar>
          </w:tcPr>
          <w:p w:rsidR="00982EDD" w:rsidRPr="00CC4D84" w:rsidRDefault="00982EDD" w:rsidP="003978BC">
            <w:pPr>
              <w:widowControl w:val="0"/>
              <w:jc w:val="both"/>
              <w:rPr>
                <w:b/>
                <w:sz w:val="20"/>
                <w:szCs w:val="20"/>
                <w:u w:val="single"/>
                <w:lang w:val="fr-CA"/>
              </w:rPr>
            </w:pPr>
            <w:r w:rsidRPr="00CC4D84">
              <w:rPr>
                <w:b/>
                <w:sz w:val="20"/>
                <w:szCs w:val="20"/>
                <w:u w:val="single"/>
                <w:lang w:val="fr-CA"/>
              </w:rPr>
              <w:t>Nature de la cause :</w:t>
            </w:r>
          </w:p>
          <w:p w:rsidR="00982EDD" w:rsidRPr="00C1697B" w:rsidRDefault="00982EDD" w:rsidP="003978BC">
            <w:pPr>
              <w:widowControl w:val="0"/>
              <w:jc w:val="both"/>
              <w:rPr>
                <w:sz w:val="20"/>
                <w:szCs w:val="20"/>
                <w:lang w:val="fr-CA"/>
              </w:rPr>
            </w:pPr>
          </w:p>
          <w:p w:rsidR="00982EDD" w:rsidRPr="00C1697B" w:rsidRDefault="007B7E12" w:rsidP="003978BC">
            <w:pPr>
              <w:widowControl w:val="0"/>
              <w:jc w:val="both"/>
              <w:rPr>
                <w:sz w:val="20"/>
                <w:szCs w:val="20"/>
                <w:lang w:val="fr-CA"/>
              </w:rPr>
            </w:pPr>
            <w:r w:rsidRPr="00451F33">
              <w:rPr>
                <w:sz w:val="20"/>
                <w:szCs w:val="20"/>
                <w:lang w:val="fr-CA"/>
              </w:rPr>
              <w:t xml:space="preserve">Droit criminel - Meurtre - Exposé au jury - Verdict pour l’infraction moindre d’homicide involontaire coupable - Vraisemblance - Le juge du procès a-t-il commis une erreur en refusant de donner au jury des directives quant à la possibilité d’un verdict pour l’infraction moindre d’homicide involontaire coupable? - Dans quelle mesure les souhaits exprès de </w:t>
            </w:r>
            <w:r w:rsidRPr="00451F33">
              <w:rPr>
                <w:sz w:val="20"/>
                <w:szCs w:val="20"/>
                <w:lang w:val="fr-CA"/>
              </w:rPr>
              <w:lastRenderedPageBreak/>
              <w:t>l’avocat de la défense et les stratégies adoptées durant le procès doivent-ils être pris en compte lorsqu’il s’agit de décider d’instruire un jury relativement à un moyen de défense ou à la possibilité de rendre un verdict quant à une infraction moindre, notamment lorsqu’une telle possibilité serait totalement incohérente et incompatible avec la position qu’a prise l’accusé en réponse à l’exposé au jury?</w:t>
            </w:r>
          </w:p>
        </w:tc>
      </w:tr>
    </w:tbl>
    <w:p w:rsidR="00982EDD" w:rsidRDefault="00982EDD" w:rsidP="00982EDD">
      <w:pPr>
        <w:widowControl w:val="0"/>
        <w:rPr>
          <w:sz w:val="20"/>
          <w:szCs w:val="20"/>
          <w:lang w:val="fr-CA"/>
        </w:rPr>
      </w:pPr>
    </w:p>
    <w:p w:rsidR="00982EDD" w:rsidRDefault="00E4461B" w:rsidP="00982EDD">
      <w:pPr>
        <w:widowControl w:val="0"/>
        <w:rPr>
          <w:sz w:val="20"/>
          <w:szCs w:val="20"/>
        </w:rPr>
      </w:pPr>
      <w:r>
        <w:rPr>
          <w:sz w:val="20"/>
          <w:szCs w:val="20"/>
          <w:lang w:val="fr-CA"/>
        </w:rPr>
        <w:pict>
          <v:rect id="_x0000_i1084" style="width:2in;height:1pt" o:hrpct="0" o:hralign="center" o:hrstd="t" o:hrnoshade="t" o:hr="t" fillcolor="black [3213]" stroked="f"/>
        </w:pict>
      </w:r>
    </w:p>
    <w:p w:rsidR="00982EDD" w:rsidRDefault="00982EDD" w:rsidP="00982EDD">
      <w:pPr>
        <w:widowControl w:val="0"/>
        <w:rPr>
          <w:sz w:val="20"/>
          <w:szCs w:val="20"/>
        </w:rPr>
      </w:pPr>
    </w:p>
    <w:p w:rsidR="00982EDD" w:rsidRPr="00982EDD" w:rsidRDefault="00982EDD" w:rsidP="00982EDD">
      <w:pPr>
        <w:widowControl w:val="0"/>
        <w:rPr>
          <w:sz w:val="20"/>
          <w:szCs w:val="20"/>
        </w:rPr>
      </w:pPr>
      <w:r w:rsidRPr="00982EDD">
        <w:rPr>
          <w:sz w:val="20"/>
          <w:szCs w:val="20"/>
        </w:rPr>
        <w:t>1</w:t>
      </w:r>
      <w:r>
        <w:rPr>
          <w:sz w:val="20"/>
          <w:szCs w:val="20"/>
        </w:rPr>
        <w:t>1</w:t>
      </w:r>
      <w:r w:rsidRPr="00982EDD">
        <w:rPr>
          <w:sz w:val="20"/>
          <w:szCs w:val="20"/>
        </w:rPr>
        <w:t>.1</w:t>
      </w:r>
      <w:r w:rsidR="003F2AFF">
        <w:rPr>
          <w:sz w:val="20"/>
          <w:szCs w:val="20"/>
        </w:rPr>
        <w:t>2</w:t>
      </w:r>
      <w:r w:rsidRPr="00982EDD">
        <w:rPr>
          <w:sz w:val="20"/>
          <w:szCs w:val="20"/>
        </w:rPr>
        <w:t>.2014</w:t>
      </w:r>
    </w:p>
    <w:p w:rsidR="00982EDD" w:rsidRDefault="00982EDD" w:rsidP="00982EDD">
      <w:pPr>
        <w:widowControl w:val="0"/>
        <w:rPr>
          <w:sz w:val="20"/>
          <w:szCs w:val="20"/>
        </w:rPr>
      </w:pPr>
    </w:p>
    <w:p w:rsidR="00982EDD" w:rsidRPr="0032237B" w:rsidRDefault="00982EDD" w:rsidP="00982EDD">
      <w:pPr>
        <w:widowControl w:val="0"/>
        <w:ind w:left="720" w:hanging="720"/>
        <w:rPr>
          <w:sz w:val="20"/>
          <w:szCs w:val="20"/>
          <w:u w:val="single"/>
        </w:rPr>
      </w:pPr>
      <w:r w:rsidRPr="0032237B">
        <w:rPr>
          <w:sz w:val="20"/>
          <w:szCs w:val="20"/>
        </w:rPr>
        <w:t xml:space="preserve">Coram: </w:t>
      </w:r>
      <w:r w:rsidRPr="0032237B">
        <w:rPr>
          <w:sz w:val="20"/>
          <w:szCs w:val="20"/>
        </w:rPr>
        <w:tab/>
      </w:r>
      <w:r w:rsidRPr="0032237B">
        <w:rPr>
          <w:sz w:val="20"/>
          <w:szCs w:val="20"/>
          <w:u w:val="single"/>
        </w:rPr>
        <w:t>McLachlin C.J. and Abella, Rothstein, Cromwell, Karakatsanis, Wagner and Gascon JJ.</w:t>
      </w:r>
    </w:p>
    <w:p w:rsidR="00982EDD" w:rsidRPr="00982EDD" w:rsidRDefault="00982EDD" w:rsidP="00982EDD">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2EDD" w:rsidRPr="00982EDD" w:rsidTr="003978BC">
        <w:tc>
          <w:tcPr>
            <w:tcW w:w="4380" w:type="dxa"/>
            <w:tcMar>
              <w:left w:w="0" w:type="dxa"/>
              <w:right w:w="0" w:type="dxa"/>
            </w:tcMar>
          </w:tcPr>
          <w:p w:rsidR="00982EDD" w:rsidRDefault="00982EDD" w:rsidP="00982EDD">
            <w:pPr>
              <w:jc w:val="both"/>
              <w:rPr>
                <w:b/>
                <w:iCs/>
                <w:sz w:val="20"/>
                <w:szCs w:val="20"/>
                <w:lang w:val="fr-CA"/>
              </w:rPr>
            </w:pPr>
            <w:r w:rsidRPr="0032237B">
              <w:rPr>
                <w:b/>
                <w:iCs/>
                <w:sz w:val="20"/>
                <w:szCs w:val="20"/>
                <w:lang w:val="fr-CA"/>
              </w:rPr>
              <w:t xml:space="preserve">Chevron Corporation et al. </w:t>
            </w:r>
          </w:p>
          <w:p w:rsidR="00982EDD" w:rsidRDefault="00982EDD" w:rsidP="00982EDD">
            <w:pPr>
              <w:jc w:val="both"/>
              <w:rPr>
                <w:b/>
                <w:iCs/>
                <w:sz w:val="20"/>
                <w:szCs w:val="20"/>
                <w:lang w:val="fr-CA"/>
              </w:rPr>
            </w:pPr>
          </w:p>
          <w:p w:rsidR="00982EDD" w:rsidRDefault="00982EDD" w:rsidP="00982EDD">
            <w:pPr>
              <w:jc w:val="both"/>
              <w:rPr>
                <w:b/>
                <w:iCs/>
                <w:sz w:val="20"/>
                <w:szCs w:val="20"/>
                <w:lang w:val="fr-CA"/>
              </w:rPr>
            </w:pPr>
            <w:r>
              <w:rPr>
                <w:b/>
                <w:iCs/>
                <w:sz w:val="20"/>
                <w:szCs w:val="20"/>
                <w:lang w:val="fr-CA"/>
              </w:rPr>
              <w:tab/>
            </w:r>
            <w:r w:rsidRPr="0032237B">
              <w:rPr>
                <w:b/>
                <w:iCs/>
                <w:sz w:val="20"/>
                <w:szCs w:val="20"/>
                <w:lang w:val="fr-CA"/>
              </w:rPr>
              <w:t xml:space="preserve">v. </w:t>
            </w:r>
            <w:r w:rsidRPr="008A444A">
              <w:rPr>
                <w:sz w:val="20"/>
                <w:szCs w:val="20"/>
                <w:lang w:val="fr-CA"/>
              </w:rPr>
              <w:t>(</w:t>
            </w:r>
            <w:hyperlink r:id="rId120" w:history="1">
              <w:r w:rsidRPr="008A444A">
                <w:rPr>
                  <w:rStyle w:val="Hyperlink"/>
                  <w:sz w:val="20"/>
                  <w:szCs w:val="20"/>
                  <w:lang w:val="fr-CA"/>
                </w:rPr>
                <w:t>35682</w:t>
              </w:r>
            </w:hyperlink>
            <w:r w:rsidRPr="008A444A">
              <w:rPr>
                <w:sz w:val="20"/>
                <w:szCs w:val="20"/>
                <w:lang w:val="fr-CA"/>
              </w:rPr>
              <w:t>)</w:t>
            </w:r>
          </w:p>
          <w:p w:rsidR="00982EDD" w:rsidRDefault="00982EDD" w:rsidP="00982EDD">
            <w:pPr>
              <w:jc w:val="both"/>
              <w:rPr>
                <w:b/>
                <w:iCs/>
                <w:sz w:val="20"/>
                <w:szCs w:val="20"/>
                <w:lang w:val="fr-CA"/>
              </w:rPr>
            </w:pPr>
          </w:p>
          <w:p w:rsidR="00982EDD" w:rsidRPr="00982EDD" w:rsidRDefault="00982EDD" w:rsidP="00982EDD">
            <w:pPr>
              <w:jc w:val="both"/>
              <w:rPr>
                <w:sz w:val="20"/>
                <w:szCs w:val="20"/>
              </w:rPr>
            </w:pPr>
            <w:r w:rsidRPr="0032237B">
              <w:rPr>
                <w:b/>
                <w:iCs/>
                <w:sz w:val="20"/>
                <w:szCs w:val="20"/>
                <w:lang w:val="fr-CA"/>
              </w:rPr>
              <w:t>Daniel Carlos Lusitande Yaiguaje et al.</w:t>
            </w:r>
            <w:r w:rsidRPr="0032237B">
              <w:rPr>
                <w:iCs/>
                <w:sz w:val="20"/>
                <w:szCs w:val="20"/>
                <w:lang w:val="fr-CA"/>
              </w:rPr>
              <w:t xml:space="preserve"> </w:t>
            </w:r>
            <w:r w:rsidRPr="00982EDD">
              <w:rPr>
                <w:b/>
                <w:sz w:val="20"/>
                <w:szCs w:val="20"/>
              </w:rPr>
              <w:t>(Ont.) (Civil) (By Leave)</w:t>
            </w:r>
            <w:r w:rsidRPr="0032237B">
              <w:rPr>
                <w:sz w:val="20"/>
                <w:szCs w:val="20"/>
              </w:rPr>
              <w:t xml:space="preserve"> </w:t>
            </w:r>
            <w:r w:rsidRPr="00982EDD">
              <w:rPr>
                <w:sz w:val="20"/>
                <w:szCs w:val="20"/>
              </w:rPr>
              <w:t xml:space="preserve"> </w:t>
            </w:r>
          </w:p>
        </w:tc>
        <w:tc>
          <w:tcPr>
            <w:tcW w:w="720" w:type="dxa"/>
            <w:tcMar>
              <w:left w:w="0" w:type="dxa"/>
              <w:right w:w="0" w:type="dxa"/>
            </w:tcMar>
          </w:tcPr>
          <w:p w:rsidR="00982EDD" w:rsidRPr="00982EDD" w:rsidRDefault="00982EDD" w:rsidP="003978BC">
            <w:pPr>
              <w:widowControl w:val="0"/>
              <w:jc w:val="center"/>
              <w:rPr>
                <w:sz w:val="20"/>
                <w:szCs w:val="20"/>
              </w:rPr>
            </w:pPr>
          </w:p>
        </w:tc>
        <w:tc>
          <w:tcPr>
            <w:tcW w:w="4380" w:type="dxa"/>
            <w:tcMar>
              <w:left w:w="0" w:type="dxa"/>
              <w:right w:w="0" w:type="dxa"/>
            </w:tcMar>
          </w:tcPr>
          <w:p w:rsidR="00EE06EA" w:rsidRPr="0092779D" w:rsidRDefault="00EE06EA" w:rsidP="00EE06EA">
            <w:pPr>
              <w:jc w:val="both"/>
              <w:rPr>
                <w:sz w:val="20"/>
                <w:szCs w:val="20"/>
              </w:rPr>
            </w:pPr>
            <w:r w:rsidRPr="0092779D">
              <w:rPr>
                <w:sz w:val="20"/>
                <w:szCs w:val="20"/>
              </w:rPr>
              <w:t>Clarke Hunter, Q.C.</w:t>
            </w:r>
            <w:r>
              <w:rPr>
                <w:sz w:val="20"/>
                <w:szCs w:val="20"/>
              </w:rPr>
              <w:t xml:space="preserve">, </w:t>
            </w:r>
            <w:r w:rsidRPr="0092779D">
              <w:rPr>
                <w:sz w:val="20"/>
                <w:szCs w:val="20"/>
              </w:rPr>
              <w:t>Anne Kirker, Q.C.</w:t>
            </w:r>
            <w:r>
              <w:rPr>
                <w:sz w:val="20"/>
                <w:szCs w:val="20"/>
              </w:rPr>
              <w:t xml:space="preserve"> and </w:t>
            </w:r>
            <w:r w:rsidRPr="0092779D">
              <w:rPr>
                <w:sz w:val="20"/>
                <w:szCs w:val="20"/>
              </w:rPr>
              <w:t>Robert Frank</w:t>
            </w:r>
            <w:r>
              <w:rPr>
                <w:sz w:val="20"/>
                <w:szCs w:val="20"/>
              </w:rPr>
              <w:t xml:space="preserve"> f</w:t>
            </w:r>
            <w:r w:rsidRPr="0092779D">
              <w:rPr>
                <w:sz w:val="20"/>
                <w:szCs w:val="20"/>
              </w:rPr>
              <w:t xml:space="preserve">or the </w:t>
            </w:r>
            <w:r>
              <w:rPr>
                <w:sz w:val="20"/>
                <w:szCs w:val="20"/>
              </w:rPr>
              <w:t>a</w:t>
            </w:r>
            <w:r w:rsidRPr="0092779D">
              <w:rPr>
                <w:sz w:val="20"/>
                <w:szCs w:val="20"/>
              </w:rPr>
              <w:t>ppellant</w:t>
            </w:r>
            <w:r>
              <w:rPr>
                <w:sz w:val="20"/>
                <w:szCs w:val="20"/>
              </w:rPr>
              <w:t xml:space="preserve"> </w:t>
            </w:r>
            <w:r w:rsidRPr="0092779D">
              <w:rPr>
                <w:sz w:val="20"/>
                <w:szCs w:val="20"/>
              </w:rPr>
              <w:t>Chevron Corporation</w:t>
            </w:r>
            <w:r>
              <w:rPr>
                <w:sz w:val="20"/>
                <w:szCs w:val="20"/>
              </w:rPr>
              <w:t>.</w:t>
            </w:r>
          </w:p>
          <w:p w:rsidR="00EE06EA" w:rsidRPr="0092779D" w:rsidRDefault="00EE06EA" w:rsidP="00EE06EA">
            <w:pPr>
              <w:jc w:val="both"/>
              <w:rPr>
                <w:sz w:val="20"/>
                <w:szCs w:val="20"/>
              </w:rPr>
            </w:pPr>
          </w:p>
          <w:p w:rsidR="00EE06EA" w:rsidRPr="0092779D" w:rsidRDefault="00EE06EA" w:rsidP="00EE06EA">
            <w:pPr>
              <w:jc w:val="both"/>
              <w:rPr>
                <w:sz w:val="20"/>
                <w:szCs w:val="20"/>
              </w:rPr>
            </w:pPr>
            <w:r w:rsidRPr="0092779D">
              <w:rPr>
                <w:sz w:val="20"/>
                <w:szCs w:val="20"/>
              </w:rPr>
              <w:t>Benjamin Zarnett</w:t>
            </w:r>
            <w:r w:rsidRPr="0092779D">
              <w:rPr>
                <w:sz w:val="20"/>
                <w:szCs w:val="20"/>
              </w:rPr>
              <w:tab/>
            </w:r>
            <w:r>
              <w:rPr>
                <w:sz w:val="20"/>
                <w:szCs w:val="20"/>
              </w:rPr>
              <w:t xml:space="preserve">, </w:t>
            </w:r>
            <w:r w:rsidRPr="0092779D">
              <w:rPr>
                <w:sz w:val="20"/>
                <w:szCs w:val="20"/>
              </w:rPr>
              <w:t>Suzy Kauffman</w:t>
            </w:r>
            <w:r>
              <w:rPr>
                <w:sz w:val="20"/>
                <w:szCs w:val="20"/>
              </w:rPr>
              <w:t xml:space="preserve"> and </w:t>
            </w:r>
            <w:r w:rsidRPr="0092779D">
              <w:rPr>
                <w:sz w:val="20"/>
                <w:szCs w:val="20"/>
              </w:rPr>
              <w:t>Peter Kolla</w:t>
            </w:r>
            <w:r>
              <w:rPr>
                <w:sz w:val="20"/>
                <w:szCs w:val="20"/>
              </w:rPr>
              <w:t xml:space="preserve"> f</w:t>
            </w:r>
            <w:r w:rsidRPr="0092779D">
              <w:rPr>
                <w:sz w:val="20"/>
                <w:szCs w:val="20"/>
              </w:rPr>
              <w:t xml:space="preserve">or the </w:t>
            </w:r>
            <w:r>
              <w:rPr>
                <w:sz w:val="20"/>
                <w:szCs w:val="20"/>
              </w:rPr>
              <w:t>a</w:t>
            </w:r>
            <w:r w:rsidRPr="0092779D">
              <w:rPr>
                <w:sz w:val="20"/>
                <w:szCs w:val="20"/>
              </w:rPr>
              <w:t>ppellant Chevron Canada Limited</w:t>
            </w:r>
            <w:r>
              <w:rPr>
                <w:sz w:val="20"/>
                <w:szCs w:val="20"/>
              </w:rPr>
              <w:t>.</w:t>
            </w:r>
          </w:p>
          <w:p w:rsidR="00EE06EA" w:rsidRPr="0092779D" w:rsidRDefault="00EE06EA" w:rsidP="00EE06EA">
            <w:pPr>
              <w:jc w:val="both"/>
              <w:rPr>
                <w:sz w:val="20"/>
                <w:szCs w:val="20"/>
              </w:rPr>
            </w:pPr>
          </w:p>
          <w:p w:rsidR="00EE06EA" w:rsidRDefault="00EE06EA" w:rsidP="00EE06EA">
            <w:pPr>
              <w:jc w:val="both"/>
              <w:rPr>
                <w:sz w:val="20"/>
                <w:szCs w:val="20"/>
              </w:rPr>
            </w:pPr>
            <w:r w:rsidRPr="0092779D">
              <w:rPr>
                <w:sz w:val="20"/>
                <w:szCs w:val="20"/>
              </w:rPr>
              <w:t>Alan J. Lenczner, Q.C., Brendan F. Morrison</w:t>
            </w:r>
            <w:r>
              <w:rPr>
                <w:sz w:val="20"/>
                <w:szCs w:val="20"/>
              </w:rPr>
              <w:t xml:space="preserve"> and </w:t>
            </w:r>
            <w:r w:rsidRPr="0092779D">
              <w:rPr>
                <w:sz w:val="20"/>
                <w:szCs w:val="20"/>
              </w:rPr>
              <w:t>Chris J. Hutchison</w:t>
            </w:r>
            <w:r>
              <w:rPr>
                <w:sz w:val="20"/>
                <w:szCs w:val="20"/>
              </w:rPr>
              <w:t xml:space="preserve"> f</w:t>
            </w:r>
            <w:r w:rsidRPr="0092779D">
              <w:rPr>
                <w:sz w:val="20"/>
                <w:szCs w:val="20"/>
              </w:rPr>
              <w:t xml:space="preserve">or the </w:t>
            </w:r>
            <w:r>
              <w:rPr>
                <w:sz w:val="20"/>
                <w:szCs w:val="20"/>
              </w:rPr>
              <w:t>r</w:t>
            </w:r>
            <w:r w:rsidRPr="0092779D">
              <w:rPr>
                <w:sz w:val="20"/>
                <w:szCs w:val="20"/>
              </w:rPr>
              <w:t>espondents</w:t>
            </w:r>
            <w:r>
              <w:rPr>
                <w:sz w:val="20"/>
                <w:szCs w:val="20"/>
              </w:rPr>
              <w:t>.</w:t>
            </w:r>
          </w:p>
          <w:p w:rsidR="00EE06EA" w:rsidRDefault="00EE06EA" w:rsidP="00EE06EA">
            <w:pPr>
              <w:jc w:val="both"/>
              <w:rPr>
                <w:sz w:val="20"/>
                <w:szCs w:val="20"/>
              </w:rPr>
            </w:pPr>
          </w:p>
          <w:p w:rsidR="00EE06EA" w:rsidRPr="0092779D" w:rsidRDefault="00EE06EA" w:rsidP="00EE06EA">
            <w:pPr>
              <w:jc w:val="both"/>
              <w:rPr>
                <w:sz w:val="20"/>
                <w:szCs w:val="20"/>
              </w:rPr>
            </w:pPr>
            <w:r w:rsidRPr="0092779D">
              <w:rPr>
                <w:sz w:val="20"/>
                <w:szCs w:val="20"/>
              </w:rPr>
              <w:t>Murray Klippenstein</w:t>
            </w:r>
            <w:r>
              <w:rPr>
                <w:sz w:val="20"/>
                <w:szCs w:val="20"/>
              </w:rPr>
              <w:t xml:space="preserve">, </w:t>
            </w:r>
            <w:r w:rsidRPr="0092779D">
              <w:rPr>
                <w:sz w:val="20"/>
                <w:szCs w:val="20"/>
              </w:rPr>
              <w:t>Renu Mandhane</w:t>
            </w:r>
            <w:r>
              <w:rPr>
                <w:sz w:val="20"/>
                <w:szCs w:val="20"/>
              </w:rPr>
              <w:t xml:space="preserve"> and </w:t>
            </w:r>
            <w:r w:rsidRPr="0092779D">
              <w:rPr>
                <w:sz w:val="20"/>
                <w:szCs w:val="20"/>
              </w:rPr>
              <w:t>W. Cory Wanless</w:t>
            </w:r>
            <w:r>
              <w:rPr>
                <w:sz w:val="20"/>
                <w:szCs w:val="20"/>
              </w:rPr>
              <w:t xml:space="preserve"> f</w:t>
            </w:r>
            <w:r w:rsidRPr="0092779D">
              <w:rPr>
                <w:sz w:val="20"/>
                <w:szCs w:val="20"/>
              </w:rPr>
              <w:t xml:space="preserve">or the </w:t>
            </w:r>
            <w:r>
              <w:rPr>
                <w:sz w:val="20"/>
                <w:szCs w:val="20"/>
              </w:rPr>
              <w:t>i</w:t>
            </w:r>
            <w:r w:rsidRPr="0092779D">
              <w:rPr>
                <w:sz w:val="20"/>
                <w:szCs w:val="20"/>
              </w:rPr>
              <w:t>ntervener</w:t>
            </w:r>
            <w:r>
              <w:rPr>
                <w:sz w:val="20"/>
                <w:szCs w:val="20"/>
              </w:rPr>
              <w:t xml:space="preserve"> </w:t>
            </w:r>
            <w:r w:rsidRPr="0092779D">
              <w:rPr>
                <w:sz w:val="20"/>
                <w:szCs w:val="20"/>
              </w:rPr>
              <w:t>International Human Rights Program et al.</w:t>
            </w:r>
          </w:p>
          <w:p w:rsidR="00EE06EA" w:rsidRPr="0092779D" w:rsidRDefault="00EE06EA" w:rsidP="00EE06EA">
            <w:pPr>
              <w:jc w:val="both"/>
              <w:rPr>
                <w:sz w:val="20"/>
                <w:szCs w:val="20"/>
              </w:rPr>
            </w:pPr>
          </w:p>
          <w:p w:rsidR="00982EDD" w:rsidRPr="00982EDD" w:rsidRDefault="00EE06EA" w:rsidP="00EE06EA">
            <w:pPr>
              <w:widowControl w:val="0"/>
              <w:jc w:val="both"/>
              <w:rPr>
                <w:sz w:val="20"/>
                <w:szCs w:val="20"/>
              </w:rPr>
            </w:pPr>
            <w:r w:rsidRPr="0092779D">
              <w:rPr>
                <w:sz w:val="20"/>
                <w:szCs w:val="20"/>
              </w:rPr>
              <w:t>A. Dimitri Lascaris</w:t>
            </w:r>
            <w:r>
              <w:rPr>
                <w:sz w:val="20"/>
                <w:szCs w:val="20"/>
              </w:rPr>
              <w:t xml:space="preserve"> and </w:t>
            </w:r>
            <w:r w:rsidRPr="0092779D">
              <w:rPr>
                <w:sz w:val="20"/>
                <w:szCs w:val="20"/>
              </w:rPr>
              <w:t>James Yap</w:t>
            </w:r>
            <w:r>
              <w:rPr>
                <w:sz w:val="20"/>
                <w:szCs w:val="20"/>
              </w:rPr>
              <w:t xml:space="preserve"> f</w:t>
            </w:r>
            <w:r w:rsidRPr="0092779D">
              <w:rPr>
                <w:sz w:val="20"/>
                <w:szCs w:val="20"/>
              </w:rPr>
              <w:t xml:space="preserve">or the </w:t>
            </w:r>
            <w:r>
              <w:rPr>
                <w:sz w:val="20"/>
                <w:szCs w:val="20"/>
              </w:rPr>
              <w:t>i</w:t>
            </w:r>
            <w:r w:rsidRPr="0092779D">
              <w:rPr>
                <w:sz w:val="20"/>
                <w:szCs w:val="20"/>
              </w:rPr>
              <w:t>ntervener</w:t>
            </w:r>
            <w:r>
              <w:rPr>
                <w:sz w:val="20"/>
                <w:szCs w:val="20"/>
              </w:rPr>
              <w:t xml:space="preserve"> </w:t>
            </w:r>
            <w:r w:rsidRPr="0092779D">
              <w:rPr>
                <w:sz w:val="20"/>
                <w:szCs w:val="20"/>
              </w:rPr>
              <w:t>Justice and Corporate Accountability Project</w:t>
            </w:r>
            <w:r>
              <w:rPr>
                <w:sz w:val="20"/>
                <w:szCs w:val="20"/>
              </w:rPr>
              <w:t>.</w:t>
            </w:r>
          </w:p>
        </w:tc>
      </w:tr>
    </w:tbl>
    <w:p w:rsidR="00982EDD" w:rsidRPr="00982EDD" w:rsidRDefault="00982EDD" w:rsidP="00982EDD">
      <w:pPr>
        <w:widowControl w:val="0"/>
        <w:rPr>
          <w:sz w:val="20"/>
          <w:szCs w:val="20"/>
        </w:rPr>
      </w:pPr>
    </w:p>
    <w:p w:rsidR="00982EDD" w:rsidRPr="0085476B" w:rsidRDefault="00982EDD" w:rsidP="00982EDD">
      <w:pPr>
        <w:widowControl w:val="0"/>
        <w:rPr>
          <w:sz w:val="20"/>
          <w:szCs w:val="20"/>
        </w:rPr>
      </w:pPr>
      <w:r>
        <w:rPr>
          <w:b/>
          <w:sz w:val="20"/>
          <w:szCs w:val="20"/>
        </w:rPr>
        <w:t>RESERV</w:t>
      </w:r>
      <w:r w:rsidRPr="0085476B">
        <w:rPr>
          <w:b/>
          <w:sz w:val="20"/>
          <w:szCs w:val="20"/>
        </w:rPr>
        <w:t xml:space="preserve">ED / </w:t>
      </w:r>
      <w:r w:rsidRPr="0085476B">
        <w:rPr>
          <w:b/>
          <w:sz w:val="20"/>
          <w:szCs w:val="20"/>
          <w:lang w:val="fr-CA"/>
        </w:rPr>
        <w:t>E</w:t>
      </w:r>
      <w:r>
        <w:rPr>
          <w:b/>
          <w:sz w:val="20"/>
          <w:szCs w:val="20"/>
          <w:lang w:val="fr-CA"/>
        </w:rPr>
        <w:t>N DÉLIBÉRÉ</w:t>
      </w:r>
    </w:p>
    <w:p w:rsidR="00982EDD" w:rsidRDefault="00982EDD" w:rsidP="00982EDD"/>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82EDD" w:rsidRPr="00002FFB" w:rsidTr="003978BC">
        <w:tc>
          <w:tcPr>
            <w:tcW w:w="4380" w:type="dxa"/>
            <w:tcMar>
              <w:left w:w="0" w:type="dxa"/>
              <w:right w:w="0" w:type="dxa"/>
            </w:tcMar>
          </w:tcPr>
          <w:p w:rsidR="00982EDD" w:rsidRPr="00CC4D84" w:rsidRDefault="00982EDD" w:rsidP="003978BC">
            <w:pPr>
              <w:widowControl w:val="0"/>
              <w:jc w:val="both"/>
              <w:rPr>
                <w:b/>
                <w:sz w:val="20"/>
                <w:szCs w:val="20"/>
                <w:u w:val="single"/>
              </w:rPr>
            </w:pPr>
            <w:r w:rsidRPr="00CC4D84">
              <w:rPr>
                <w:b/>
                <w:sz w:val="20"/>
                <w:szCs w:val="20"/>
                <w:u w:val="single"/>
              </w:rPr>
              <w:t>Nature of the case:</w:t>
            </w:r>
          </w:p>
          <w:p w:rsidR="00982EDD" w:rsidRPr="001A663B" w:rsidRDefault="00982EDD" w:rsidP="003978BC">
            <w:pPr>
              <w:widowControl w:val="0"/>
              <w:jc w:val="both"/>
              <w:rPr>
                <w:b/>
                <w:sz w:val="20"/>
                <w:szCs w:val="20"/>
              </w:rPr>
            </w:pPr>
          </w:p>
          <w:p w:rsidR="00237EED" w:rsidRPr="00981D91" w:rsidRDefault="00237EED" w:rsidP="00237EED">
            <w:pPr>
              <w:widowControl w:val="0"/>
              <w:jc w:val="both"/>
              <w:rPr>
                <w:sz w:val="20"/>
                <w:szCs w:val="20"/>
              </w:rPr>
            </w:pPr>
            <w:r w:rsidRPr="00981D91">
              <w:rPr>
                <w:sz w:val="20"/>
                <w:szCs w:val="20"/>
              </w:rPr>
              <w:t>(</w:t>
            </w:r>
            <w:r w:rsidRPr="00981D91">
              <w:rPr>
                <w:smallCaps/>
                <w:sz w:val="20"/>
                <w:szCs w:val="20"/>
              </w:rPr>
              <w:t xml:space="preserve">Sealing </w:t>
            </w:r>
            <w:r w:rsidRPr="00981D91">
              <w:rPr>
                <w:smallCaps/>
                <w:sz w:val="20"/>
              </w:rPr>
              <w:t>O</w:t>
            </w:r>
            <w:r w:rsidRPr="00981D91">
              <w:rPr>
                <w:smallCaps/>
                <w:sz w:val="20"/>
                <w:szCs w:val="20"/>
              </w:rPr>
              <w:t>rder</w:t>
            </w:r>
            <w:r w:rsidRPr="00981D91">
              <w:rPr>
                <w:sz w:val="20"/>
                <w:szCs w:val="20"/>
              </w:rPr>
              <w:t>)</w:t>
            </w:r>
          </w:p>
          <w:p w:rsidR="00237EED" w:rsidRPr="00981D91" w:rsidRDefault="00237EED" w:rsidP="00237EED">
            <w:pPr>
              <w:widowControl w:val="0"/>
              <w:jc w:val="both"/>
              <w:rPr>
                <w:sz w:val="20"/>
                <w:szCs w:val="20"/>
              </w:rPr>
            </w:pPr>
          </w:p>
          <w:p w:rsidR="00982EDD" w:rsidRPr="00C1697B" w:rsidRDefault="00237EED" w:rsidP="00237EED">
            <w:pPr>
              <w:widowControl w:val="0"/>
              <w:jc w:val="both"/>
              <w:rPr>
                <w:b/>
                <w:sz w:val="20"/>
                <w:szCs w:val="20"/>
              </w:rPr>
            </w:pPr>
            <w:r w:rsidRPr="00981D91">
              <w:rPr>
                <w:sz w:val="20"/>
                <w:szCs w:val="20"/>
              </w:rPr>
              <w:t xml:space="preserve">Private international law - Foreign judgments - Recognition - Enforcement - Proper test to determine whether a provincial superior court has jurisdiction to entertain an action for recognition and enforcement of a foreign judgment - Whether the real and substantial connection test is a universal test for the jurisdiction </w:t>
            </w:r>
            <w:r w:rsidRPr="00981D91">
              <w:rPr>
                <w:i/>
                <w:sz w:val="20"/>
                <w:szCs w:val="20"/>
              </w:rPr>
              <w:t>simpliciter</w:t>
            </w:r>
            <w:r w:rsidRPr="00981D91">
              <w:rPr>
                <w:sz w:val="20"/>
                <w:szCs w:val="20"/>
              </w:rPr>
              <w:t xml:space="preserve"> of the Canadian courts in any action and applies in a recognition and enforcement case - Whether constitutional imperatives preclude any interpretation of provincial legislation or service </w:t>
            </w:r>
            <w:r w:rsidRPr="00981D91">
              <w:rPr>
                <w:i/>
                <w:sz w:val="20"/>
                <w:szCs w:val="20"/>
              </w:rPr>
              <w:t>ex juris</w:t>
            </w:r>
            <w:r w:rsidRPr="00981D91">
              <w:rPr>
                <w:sz w:val="20"/>
                <w:szCs w:val="20"/>
              </w:rPr>
              <w:t xml:space="preserve"> rules as creating automatic or an irrebuttable presumption of jurisdiction over foreign parties - Whether the doctrine of comity dictates against the assertion of jurisdiction over foreign parties in an action when the adjudication of the issues will be academic, have no practical impact and serve no purpose - Whether a “good arguable case” standard </w:t>
            </w:r>
            <w:r w:rsidRPr="00981D91">
              <w:rPr>
                <w:sz w:val="20"/>
                <w:szCs w:val="20"/>
              </w:rPr>
              <w:lastRenderedPageBreak/>
              <w:t xml:space="preserve">applies to the determination of facts essential to the assertion of jurisdiction over a foreign party - Whether a real and substantial connection with the province is made out on these facts when the sole connection between it and any of the parties of the underlying case is the presence of an indirect Canadian subsidiary of a foreign defendant - Is the presence of assets a pre-requisite to the recognition and enforcement of a foreign judgment - What is the proper test to determine whether a provincial superior court has jurisdiction to recognize and enforce a foreign judgment against a non-party to the foreign judgment not domiciled in the province - Whether carrying on business in the province from an office in the province that bears no relation to the subject matter of the action and having an “economically significant relationship” with the judgment debtor are sufficient for there to be such jurisdiction - To what extent must a court faced with a jurisdictional challenge conduct a threshold examination of the merits of an allegation essential to jurisdiction - If and in what circumstances can a court that does not have jurisdiction to entertain a recognition and enforcement action against the judgment debtor, have jurisdiction for recognition and enforcement of the judgment against a party which was not a party to the original action - Whether, as a matter of jurisdiction </w:t>
            </w:r>
            <w:r w:rsidRPr="00981D91">
              <w:rPr>
                <w:i/>
                <w:sz w:val="20"/>
                <w:szCs w:val="20"/>
              </w:rPr>
              <w:t>simpliciter</w:t>
            </w:r>
            <w:r w:rsidRPr="00981D91">
              <w:rPr>
                <w:sz w:val="20"/>
                <w:szCs w:val="20"/>
              </w:rPr>
              <w:t xml:space="preserve"> over a domestic defendant present in Ontario, the Court must make a determination whether there is a real and substantial connection between the domestic defendant and the subject matter of the action - Whether, as a matter of jurisdiction </w:t>
            </w:r>
            <w:r w:rsidRPr="00981D91">
              <w:rPr>
                <w:i/>
                <w:sz w:val="20"/>
                <w:szCs w:val="20"/>
              </w:rPr>
              <w:t>simpliciter</w:t>
            </w:r>
            <w:r w:rsidRPr="00981D91">
              <w:rPr>
                <w:sz w:val="20"/>
                <w:szCs w:val="20"/>
              </w:rPr>
              <w:t>, the Court must determine if the assets of a 100 percent owned subsidiary are exigible to satisfy the final judgment against the parent.</w:t>
            </w:r>
          </w:p>
        </w:tc>
        <w:tc>
          <w:tcPr>
            <w:tcW w:w="720" w:type="dxa"/>
            <w:tcMar>
              <w:left w:w="0" w:type="dxa"/>
              <w:right w:w="0" w:type="dxa"/>
            </w:tcMar>
          </w:tcPr>
          <w:p w:rsidR="00982EDD" w:rsidRPr="00C1697B" w:rsidRDefault="00982EDD" w:rsidP="003978BC">
            <w:pPr>
              <w:widowControl w:val="0"/>
              <w:jc w:val="center"/>
              <w:rPr>
                <w:sz w:val="20"/>
                <w:szCs w:val="20"/>
              </w:rPr>
            </w:pPr>
          </w:p>
        </w:tc>
        <w:tc>
          <w:tcPr>
            <w:tcW w:w="4380" w:type="dxa"/>
            <w:tcMar>
              <w:left w:w="0" w:type="dxa"/>
              <w:right w:w="0" w:type="dxa"/>
            </w:tcMar>
          </w:tcPr>
          <w:p w:rsidR="00982EDD" w:rsidRPr="00CC4D84" w:rsidRDefault="00982EDD" w:rsidP="003978BC">
            <w:pPr>
              <w:widowControl w:val="0"/>
              <w:jc w:val="both"/>
              <w:rPr>
                <w:b/>
                <w:sz w:val="20"/>
                <w:szCs w:val="20"/>
                <w:u w:val="single"/>
                <w:lang w:val="fr-CA"/>
              </w:rPr>
            </w:pPr>
            <w:r w:rsidRPr="00CC4D84">
              <w:rPr>
                <w:b/>
                <w:sz w:val="20"/>
                <w:szCs w:val="20"/>
                <w:u w:val="single"/>
                <w:lang w:val="fr-CA"/>
              </w:rPr>
              <w:t>Nature de la cause :</w:t>
            </w:r>
          </w:p>
          <w:p w:rsidR="00982EDD" w:rsidRPr="00C1697B" w:rsidRDefault="00982EDD" w:rsidP="003978BC">
            <w:pPr>
              <w:widowControl w:val="0"/>
              <w:jc w:val="both"/>
              <w:rPr>
                <w:sz w:val="20"/>
                <w:szCs w:val="20"/>
                <w:lang w:val="fr-CA"/>
              </w:rPr>
            </w:pPr>
          </w:p>
          <w:p w:rsidR="00237EED" w:rsidRPr="00801A08" w:rsidRDefault="00237EED" w:rsidP="00237EED">
            <w:pPr>
              <w:widowControl w:val="0"/>
              <w:jc w:val="both"/>
              <w:rPr>
                <w:sz w:val="20"/>
                <w:szCs w:val="20"/>
                <w:lang w:val="fr-CA"/>
              </w:rPr>
            </w:pPr>
            <w:r w:rsidRPr="00801A08">
              <w:rPr>
                <w:sz w:val="20"/>
                <w:szCs w:val="20"/>
                <w:lang w:val="fr-CA"/>
              </w:rPr>
              <w:t>(</w:t>
            </w:r>
            <w:r w:rsidRPr="00801A08">
              <w:rPr>
                <w:smallCaps/>
                <w:sz w:val="20"/>
                <w:szCs w:val="20"/>
                <w:lang w:val="fr-CA"/>
              </w:rPr>
              <w:t>Ordonnance de mise sous scellés</w:t>
            </w:r>
            <w:r w:rsidRPr="00801A08">
              <w:rPr>
                <w:sz w:val="20"/>
                <w:szCs w:val="20"/>
                <w:lang w:val="fr-CA"/>
              </w:rPr>
              <w:t>)</w:t>
            </w:r>
          </w:p>
          <w:p w:rsidR="00237EED" w:rsidRPr="00801A08" w:rsidRDefault="00237EED" w:rsidP="00237EED">
            <w:pPr>
              <w:widowControl w:val="0"/>
              <w:jc w:val="both"/>
              <w:rPr>
                <w:sz w:val="20"/>
                <w:szCs w:val="20"/>
                <w:lang w:val="fr-CA"/>
              </w:rPr>
            </w:pPr>
          </w:p>
          <w:p w:rsidR="00982EDD" w:rsidRPr="00C1697B" w:rsidRDefault="00237EED" w:rsidP="00237EED">
            <w:pPr>
              <w:widowControl w:val="0"/>
              <w:jc w:val="both"/>
              <w:rPr>
                <w:sz w:val="20"/>
                <w:szCs w:val="20"/>
                <w:lang w:val="fr-CA"/>
              </w:rPr>
            </w:pPr>
            <w:r w:rsidRPr="00801A08">
              <w:rPr>
                <w:sz w:val="20"/>
                <w:szCs w:val="20"/>
                <w:lang w:val="fr-CA"/>
              </w:rPr>
              <w:t>Droit international privé - Jugements étrangers - Reconnaissance - Exécution - Critère applicable pour déterminer si une cour supérieure provinciale peut connaître d’une action en reconnaissance et exécution du jugement d’un tribunal étranger - Le critère du lien réel et substantiel constitue</w:t>
            </w:r>
            <w:r w:rsidRPr="00801A08">
              <w:rPr>
                <w:sz w:val="20"/>
                <w:szCs w:val="20"/>
                <w:lang w:val="fr-CA"/>
              </w:rPr>
              <w:noBreakHyphen/>
              <w:t>t</w:t>
            </w:r>
            <w:r w:rsidRPr="00801A08">
              <w:rPr>
                <w:sz w:val="20"/>
                <w:szCs w:val="20"/>
                <w:lang w:val="fr-CA"/>
              </w:rPr>
              <w:noBreakHyphen/>
              <w:t>il un critère universel de simple reconnaissance de compétence des tribunaux canadiens dans toute action et s’applique</w:t>
            </w:r>
            <w:r w:rsidRPr="00801A08">
              <w:rPr>
                <w:sz w:val="20"/>
                <w:szCs w:val="20"/>
                <w:lang w:val="fr-CA"/>
              </w:rPr>
              <w:noBreakHyphen/>
              <w:t>t</w:t>
            </w:r>
            <w:r w:rsidRPr="00801A08">
              <w:rPr>
                <w:sz w:val="20"/>
                <w:szCs w:val="20"/>
                <w:lang w:val="fr-CA"/>
              </w:rPr>
              <w:noBreakHyphen/>
              <w:t>il dans une affaire portant sur la reconnaissance et l’exécution d’un jugement étranger? - Les impératifs constitutionnels font</w:t>
            </w:r>
            <w:r w:rsidRPr="00801A08">
              <w:rPr>
                <w:sz w:val="20"/>
                <w:szCs w:val="20"/>
                <w:lang w:val="fr-CA"/>
              </w:rPr>
              <w:noBreakHyphen/>
              <w:t xml:space="preserve">ils obstacle à une interprétation de la législation provinciale ou des règles de signification </w:t>
            </w:r>
            <w:r w:rsidRPr="00801A08">
              <w:rPr>
                <w:i/>
                <w:sz w:val="20"/>
                <w:szCs w:val="20"/>
                <w:lang w:val="fr-CA"/>
              </w:rPr>
              <w:t>ex juris</w:t>
            </w:r>
            <w:r w:rsidRPr="00801A08">
              <w:rPr>
                <w:sz w:val="20"/>
                <w:szCs w:val="20"/>
                <w:lang w:val="fr-CA"/>
              </w:rPr>
              <w:t xml:space="preserve"> selon laquelle il y a compétence d’office ou une présomption irréfutable de compétence à l’égard des parties étrangères? - La doctrine de la courtoisie empêche</w:t>
            </w:r>
            <w:r w:rsidRPr="00801A08">
              <w:rPr>
                <w:sz w:val="20"/>
                <w:szCs w:val="20"/>
                <w:lang w:val="fr-CA"/>
              </w:rPr>
              <w:noBreakHyphen/>
              <w:t>t</w:t>
            </w:r>
            <w:r w:rsidRPr="00801A08">
              <w:rPr>
                <w:sz w:val="20"/>
                <w:szCs w:val="20"/>
                <w:lang w:val="fr-CA"/>
              </w:rPr>
              <w:noBreakHyphen/>
              <w:t xml:space="preserve">elle le tribunal de se déclarer compétent à l’égard de parties étrangères </w:t>
            </w:r>
            <w:r w:rsidRPr="00801A08">
              <w:rPr>
                <w:sz w:val="20"/>
                <w:szCs w:val="20"/>
                <w:lang w:val="fr-CA"/>
              </w:rPr>
              <w:lastRenderedPageBreak/>
              <w:t>dans le cadre d’une action où la décision revêtera un caractère théorique, sera dépourvue d’incidence concrète et ne servira aucune fin? - La norme de la « cause tout à fait défendable » s’applique</w:t>
            </w:r>
            <w:r w:rsidRPr="00801A08">
              <w:rPr>
                <w:sz w:val="20"/>
                <w:szCs w:val="20"/>
                <w:lang w:val="fr-CA"/>
              </w:rPr>
              <w:noBreakHyphen/>
              <w:t>t</w:t>
            </w:r>
            <w:r w:rsidRPr="00801A08">
              <w:rPr>
                <w:sz w:val="20"/>
                <w:szCs w:val="20"/>
                <w:lang w:val="fr-CA"/>
              </w:rPr>
              <w:noBreakHyphen/>
              <w:t>elle à la détermination de faits essentiels à la déclaration de compétence à l’égard d’une partie étrangère? - Un lien réel et substantiel avec la province est</w:t>
            </w:r>
            <w:r w:rsidRPr="00801A08">
              <w:rPr>
                <w:sz w:val="20"/>
                <w:szCs w:val="20"/>
                <w:lang w:val="fr-CA"/>
              </w:rPr>
              <w:noBreakHyphen/>
              <w:t>il établi à la lumière de ces faits si le seul lien entre cette dernière et l’une ou l’autre des parties à l’action intentée dans l’autre ressort est la présence au Canada d’une filiale indirecte d’un défendeur étranger? - La  reconnaissance et l’exécution d’un jugement étranger sont</w:t>
            </w:r>
            <w:r w:rsidRPr="00801A08">
              <w:rPr>
                <w:sz w:val="20"/>
                <w:szCs w:val="20"/>
                <w:lang w:val="fr-CA"/>
              </w:rPr>
              <w:noBreakHyphen/>
              <w:t>elles subordonnées à la présence d’actifs? - Quel est le critère applicable pour déterminer si une cour supérieure provinciale peut reconnaître et exécuter un jugement étranger contre une personne qui n’est pas partie au jugement étranger et qui n’est pas domiciliée dans la province? - Le fait d’avoir un bureau dans la province et d’y faire des affaires sans aucun rapport avec le sujet de l’action et le fait d’entretenir des « rapports économiques importants » avec le débiteur judiciaire suffisent</w:t>
            </w:r>
            <w:r w:rsidRPr="00801A08">
              <w:rPr>
                <w:sz w:val="20"/>
                <w:szCs w:val="20"/>
                <w:lang w:val="fr-CA"/>
              </w:rPr>
              <w:noBreakHyphen/>
              <w:t>ils pour qu’il y ait compétence? - Dans quelle mesure un tribunal saisi d’une contestation quant à la compétence doit</w:t>
            </w:r>
            <w:r w:rsidRPr="00801A08">
              <w:rPr>
                <w:sz w:val="20"/>
                <w:szCs w:val="20"/>
                <w:lang w:val="fr-CA"/>
              </w:rPr>
              <w:noBreakHyphen/>
              <w:t>il juger au fond une allégation essentielle pour déterminer la compétence afin de déterminer si elle atteint le seuil nécessaire? - Dans quelles circonstances, s’il y en a, un tribunal ne pouvant connaître d’une action en reconnaissance et exécution contre le débiteur judiciaire a</w:t>
            </w:r>
            <w:r w:rsidRPr="00801A08">
              <w:rPr>
                <w:sz w:val="20"/>
                <w:szCs w:val="20"/>
                <w:lang w:val="fr-CA"/>
              </w:rPr>
              <w:noBreakHyphen/>
              <w:t>t</w:t>
            </w:r>
            <w:r w:rsidRPr="00801A08">
              <w:rPr>
                <w:sz w:val="20"/>
                <w:szCs w:val="20"/>
                <w:lang w:val="fr-CA"/>
              </w:rPr>
              <w:noBreakHyphen/>
              <w:t>il compétence pour reconnaître et exécuter un jugement prononcé contre une partie qui n’était pas partie à l’action initiale? - La Cour doit</w:t>
            </w:r>
            <w:r w:rsidRPr="00801A08">
              <w:rPr>
                <w:sz w:val="20"/>
                <w:szCs w:val="20"/>
                <w:lang w:val="fr-CA"/>
              </w:rPr>
              <w:noBreakHyphen/>
              <w:t>elle, en vertu de sa compétence à l’égard d’un défendeur présent en Ontario, déterminer s’il existe un lien réel et substantiel entre le défendeur ontarien et le sujet de l’action? - La Cour doit</w:t>
            </w:r>
            <w:r w:rsidRPr="00801A08">
              <w:rPr>
                <w:sz w:val="20"/>
                <w:szCs w:val="20"/>
                <w:lang w:val="fr-CA"/>
              </w:rPr>
              <w:noBreakHyphen/>
              <w:t>elle, en vertu de sa compétence, déterminer si les actifs d’une filiale en propriété exclusive sont exigibles à l’égard du jugement final prononcé contre la société mère?</w:t>
            </w:r>
          </w:p>
        </w:tc>
      </w:tr>
    </w:tbl>
    <w:p w:rsidR="00982EDD" w:rsidRDefault="00982EDD" w:rsidP="00982EDD">
      <w:pPr>
        <w:widowControl w:val="0"/>
        <w:rPr>
          <w:sz w:val="20"/>
          <w:szCs w:val="20"/>
          <w:lang w:val="fr-CA"/>
        </w:rPr>
      </w:pPr>
    </w:p>
    <w:p w:rsidR="00982EDD" w:rsidRDefault="00E4461B" w:rsidP="00982EDD">
      <w:pPr>
        <w:widowControl w:val="0"/>
        <w:rPr>
          <w:sz w:val="20"/>
          <w:szCs w:val="20"/>
        </w:rPr>
      </w:pPr>
      <w:r>
        <w:rPr>
          <w:sz w:val="20"/>
          <w:szCs w:val="20"/>
          <w:lang w:val="fr-CA"/>
        </w:rPr>
        <w:pict>
          <v:rect id="_x0000_i1085" style="width:2in;height:1pt" o:hrpct="0" o:hralign="center" o:hrstd="t" o:hrnoshade="t" o:hr="t" fillcolor="black [3213]" stroked="f"/>
        </w:pict>
      </w:r>
    </w:p>
    <w:p w:rsidR="00982EDD" w:rsidRDefault="00982EDD" w:rsidP="00982EDD">
      <w:pPr>
        <w:widowControl w:val="0"/>
        <w:rPr>
          <w:sz w:val="20"/>
          <w:szCs w:val="20"/>
        </w:rPr>
      </w:pPr>
    </w:p>
    <w:p w:rsidR="006E1D53" w:rsidRDefault="006E1D53" w:rsidP="002A27D1">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121"/>
          <w:headerReference w:type="default" r:id="rId122"/>
          <w:footerReference w:type="even" r:id="rId123"/>
          <w:footerReference w:type="default" r:id="rId124"/>
          <w:headerReference w:type="first" r:id="rId125"/>
          <w:footerReference w:type="first" r:id="rId126"/>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02FFB"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5614E6" w:rsidRDefault="00332FFA" w:rsidP="0052229C">
      <w:pPr>
        <w:rPr>
          <w:b/>
          <w:sz w:val="20"/>
          <w:szCs w:val="20"/>
        </w:rPr>
      </w:pPr>
      <w:r w:rsidRPr="005614E6">
        <w:rPr>
          <w:b/>
          <w:sz w:val="20"/>
          <w:szCs w:val="20"/>
        </w:rPr>
        <w:t>DECEMBE</w:t>
      </w:r>
      <w:r w:rsidR="0052229C" w:rsidRPr="005614E6">
        <w:rPr>
          <w:b/>
          <w:sz w:val="20"/>
          <w:szCs w:val="20"/>
        </w:rPr>
        <w:t>R 1</w:t>
      </w:r>
      <w:r w:rsidRPr="005614E6">
        <w:rPr>
          <w:b/>
          <w:sz w:val="20"/>
          <w:szCs w:val="20"/>
        </w:rPr>
        <w:t>1</w:t>
      </w:r>
      <w:r w:rsidR="0052229C" w:rsidRPr="005614E6">
        <w:rPr>
          <w:b/>
          <w:sz w:val="20"/>
          <w:szCs w:val="20"/>
        </w:rPr>
        <w:t>, 2014 / LE 1</w:t>
      </w:r>
      <w:r w:rsidRPr="005614E6">
        <w:rPr>
          <w:b/>
          <w:sz w:val="20"/>
          <w:szCs w:val="20"/>
        </w:rPr>
        <w:t>1</w:t>
      </w:r>
      <w:r w:rsidR="0052229C" w:rsidRPr="005614E6">
        <w:rPr>
          <w:b/>
          <w:sz w:val="20"/>
          <w:szCs w:val="20"/>
        </w:rPr>
        <w:t xml:space="preserve"> </w:t>
      </w:r>
      <w:r w:rsidRPr="005614E6">
        <w:rPr>
          <w:b/>
          <w:sz w:val="20"/>
          <w:szCs w:val="20"/>
        </w:rPr>
        <w:t>DÉC</w:t>
      </w:r>
      <w:r w:rsidR="0052229C" w:rsidRPr="005614E6">
        <w:rPr>
          <w:b/>
          <w:sz w:val="20"/>
          <w:szCs w:val="20"/>
        </w:rPr>
        <w:t>E</w:t>
      </w:r>
      <w:r w:rsidRPr="005614E6">
        <w:rPr>
          <w:b/>
          <w:sz w:val="20"/>
          <w:szCs w:val="20"/>
        </w:rPr>
        <w:t>MB</w:t>
      </w:r>
      <w:r w:rsidR="0052229C" w:rsidRPr="005614E6">
        <w:rPr>
          <w:b/>
          <w:sz w:val="20"/>
          <w:szCs w:val="20"/>
        </w:rPr>
        <w:t>R</w:t>
      </w:r>
      <w:r w:rsidRPr="005614E6">
        <w:rPr>
          <w:b/>
          <w:sz w:val="20"/>
          <w:szCs w:val="20"/>
        </w:rPr>
        <w:t>E</w:t>
      </w:r>
      <w:r w:rsidR="0052229C" w:rsidRPr="005614E6">
        <w:rPr>
          <w:b/>
          <w:sz w:val="20"/>
          <w:szCs w:val="20"/>
        </w:rPr>
        <w:t xml:space="preserve"> 2014</w:t>
      </w:r>
    </w:p>
    <w:p w:rsidR="0052229C" w:rsidRPr="005614E6" w:rsidRDefault="0052229C" w:rsidP="0052229C">
      <w:pPr>
        <w:rPr>
          <w:sz w:val="20"/>
          <w:szCs w:val="20"/>
        </w:rPr>
      </w:pPr>
    </w:p>
    <w:p w:rsidR="00AB5A01" w:rsidRPr="003413DF" w:rsidRDefault="00680749" w:rsidP="00AB5A01">
      <w:pPr>
        <w:ind w:left="1440" w:hanging="1440"/>
        <w:jc w:val="both"/>
        <w:rPr>
          <w:sz w:val="20"/>
        </w:rPr>
      </w:pPr>
      <w:r w:rsidRPr="006C6301">
        <w:rPr>
          <w:b/>
          <w:sz w:val="20"/>
        </w:rPr>
        <w:fldChar w:fldCharType="begin"/>
      </w:r>
      <w:r w:rsidR="00AB5A01" w:rsidRPr="009574CC">
        <w:rPr>
          <w:b/>
          <w:sz w:val="20"/>
        </w:rPr>
        <w:instrText xml:space="preserve"> SEQ CHAPTER \h \r 1</w:instrText>
      </w:r>
      <w:r w:rsidRPr="006C6301">
        <w:rPr>
          <w:b/>
          <w:sz w:val="20"/>
        </w:rPr>
        <w:fldChar w:fldCharType="end"/>
      </w:r>
      <w:r w:rsidR="00AB5A01" w:rsidRPr="009574CC">
        <w:rPr>
          <w:b/>
          <w:sz w:val="20"/>
        </w:rPr>
        <w:t>35</w:t>
      </w:r>
      <w:r w:rsidR="00AB5A01">
        <w:rPr>
          <w:b/>
          <w:sz w:val="20"/>
        </w:rPr>
        <w:t>298</w:t>
      </w:r>
      <w:r w:rsidR="00AB5A01" w:rsidRPr="009574CC">
        <w:rPr>
          <w:sz w:val="20"/>
        </w:rPr>
        <w:tab/>
      </w:r>
      <w:r w:rsidR="00AB5A01" w:rsidRPr="00A86B78">
        <w:rPr>
          <w:b/>
          <w:sz w:val="20"/>
          <w:u w:val="single"/>
        </w:rPr>
        <w:t>Kevin Fearon</w:t>
      </w:r>
      <w:r w:rsidR="00AB5A01" w:rsidRPr="003413DF">
        <w:rPr>
          <w:b/>
          <w:sz w:val="20"/>
          <w:u w:val="single"/>
        </w:rPr>
        <w:t xml:space="preserve"> </w:t>
      </w:r>
      <w:r w:rsidR="00AB5A01" w:rsidRPr="009574CC">
        <w:rPr>
          <w:b/>
          <w:sz w:val="20"/>
          <w:u w:val="single"/>
        </w:rPr>
        <w:t>v.</w:t>
      </w:r>
      <w:r w:rsidR="00AB5A01">
        <w:rPr>
          <w:b/>
          <w:sz w:val="20"/>
          <w:u w:val="single"/>
        </w:rPr>
        <w:t xml:space="preserve"> </w:t>
      </w:r>
      <w:r w:rsidR="00AB5A01" w:rsidRPr="003413DF">
        <w:rPr>
          <w:b/>
          <w:sz w:val="20"/>
          <w:u w:val="single"/>
        </w:rPr>
        <w:t>Her Majesty the Queen</w:t>
      </w:r>
      <w:r w:rsidR="00AB5A01">
        <w:rPr>
          <w:b/>
          <w:sz w:val="20"/>
          <w:u w:val="single"/>
        </w:rPr>
        <w:t xml:space="preserve"> – and – </w:t>
      </w:r>
      <w:r w:rsidR="00AB5A01" w:rsidRPr="00A86B78">
        <w:rPr>
          <w:b/>
          <w:sz w:val="20"/>
          <w:u w:val="single"/>
        </w:rPr>
        <w:t>Director of Public Prosecutions of Canada, Attorney General of Quebec, Attorney General of Alberta, Samuelson-Glushko Canadian Internet Policy and Public Interest Clinic, British Columbia Civil Liberties Association, Criminal Trial Lawyers’ Association (Alberta), Canadian Civil Liberties Association, Canadian Association of Chiefs of Police and Criminal Lawyers’ Association</w:t>
      </w:r>
      <w:r w:rsidR="00AB5A01" w:rsidRPr="003413DF">
        <w:rPr>
          <w:sz w:val="20"/>
        </w:rPr>
        <w:t xml:space="preserve"> (</w:t>
      </w:r>
      <w:r w:rsidR="00AB5A01">
        <w:rPr>
          <w:sz w:val="20"/>
        </w:rPr>
        <w:t>Ont</w:t>
      </w:r>
      <w:r w:rsidR="00AB5A01" w:rsidRPr="003413DF">
        <w:rPr>
          <w:sz w:val="20"/>
        </w:rPr>
        <w:t>.)</w:t>
      </w:r>
    </w:p>
    <w:p w:rsidR="00AB5A01" w:rsidRPr="009574CC" w:rsidRDefault="00AB5A01" w:rsidP="00AB5A01">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574CC">
        <w:rPr>
          <w:b/>
          <w:sz w:val="20"/>
        </w:rPr>
        <w:t>2014 SCC 7</w:t>
      </w:r>
      <w:r>
        <w:rPr>
          <w:b/>
          <w:sz w:val="20"/>
        </w:rPr>
        <w:t>7</w:t>
      </w:r>
      <w:r w:rsidRPr="009574CC">
        <w:rPr>
          <w:b/>
          <w:sz w:val="20"/>
        </w:rPr>
        <w:t xml:space="preserve"> / 2014 CSC 7</w:t>
      </w:r>
      <w:r>
        <w:rPr>
          <w:b/>
          <w:sz w:val="20"/>
        </w:rPr>
        <w:t>7</w:t>
      </w:r>
    </w:p>
    <w:p w:rsidR="00AB5A01" w:rsidRPr="009574CC" w:rsidRDefault="00AB5A01" w:rsidP="00AB5A0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AB5A01" w:rsidRPr="009574CC" w:rsidRDefault="00AB5A01" w:rsidP="00AB5A01">
      <w:pPr>
        <w:ind w:left="1440" w:hanging="1440"/>
        <w:rPr>
          <w:sz w:val="20"/>
          <w:u w:val="single"/>
        </w:rPr>
      </w:pPr>
      <w:r w:rsidRPr="009574CC">
        <w:rPr>
          <w:sz w:val="20"/>
        </w:rPr>
        <w:t>Coram:</w:t>
      </w:r>
      <w:r w:rsidRPr="009574CC">
        <w:rPr>
          <w:sz w:val="20"/>
        </w:rPr>
        <w:tab/>
      </w:r>
      <w:r w:rsidRPr="00A86B78">
        <w:rPr>
          <w:sz w:val="20"/>
          <w:u w:val="single"/>
        </w:rPr>
        <w:t>McLachlin C.J. and LeBel, Abella, Cromwell, Moldaver, Karakatsanis and Wagner JJ.</w:t>
      </w:r>
    </w:p>
    <w:p w:rsidR="00AB5A01" w:rsidRPr="00A86B78" w:rsidRDefault="00AB5A01" w:rsidP="00AB5A01">
      <w:pPr>
        <w:ind w:left="1440" w:hanging="1440"/>
        <w:jc w:val="both"/>
        <w:rPr>
          <w:sz w:val="16"/>
          <w:u w:val="single"/>
        </w:rPr>
      </w:pPr>
    </w:p>
    <w:p w:rsidR="00AB5A01" w:rsidRPr="00A86B78" w:rsidRDefault="00AB5A01" w:rsidP="00AB5A01">
      <w:pPr>
        <w:jc w:val="both"/>
        <w:rPr>
          <w:rFonts w:eastAsia="Calibri"/>
          <w:sz w:val="20"/>
          <w:lang w:val="fr-CA"/>
        </w:rPr>
      </w:pPr>
      <w:r w:rsidRPr="00A86B78">
        <w:rPr>
          <w:rFonts w:eastAsia="Calibri"/>
          <w:sz w:val="20"/>
        </w:rPr>
        <w:t xml:space="preserve">The appeal from the judgment </w:t>
      </w:r>
      <w:bookmarkStart w:id="3" w:name="BM_1_"/>
      <w:bookmarkEnd w:id="3"/>
      <w:r w:rsidRPr="00A86B78">
        <w:rPr>
          <w:rFonts w:eastAsia="Calibri"/>
          <w:sz w:val="20"/>
        </w:rPr>
        <w:t xml:space="preserve">of the Court of Appeal for Ontario, Number C54387, 2013 ONCA 106, dated February 20, 2013, heard on May 23, 2014, is dismissed. </w:t>
      </w:r>
      <w:r w:rsidRPr="00A86B78">
        <w:rPr>
          <w:rFonts w:eastAsia="Calibri"/>
          <w:sz w:val="20"/>
          <w:lang w:val="fr-CA"/>
        </w:rPr>
        <w:t>LeBel, Abella and Karakatsanis JJ. are dissenting.</w:t>
      </w:r>
    </w:p>
    <w:p w:rsidR="00AB5A01" w:rsidRDefault="00AB5A01" w:rsidP="00AB5A01">
      <w:pPr>
        <w:jc w:val="both"/>
        <w:rPr>
          <w:rFonts w:eastAsia="Calibri"/>
          <w:sz w:val="20"/>
          <w:lang w:val="fr-CA"/>
        </w:rPr>
      </w:pPr>
    </w:p>
    <w:p w:rsidR="00AB5A01" w:rsidRPr="00A86B78" w:rsidRDefault="00AB5A01" w:rsidP="00AB5A01">
      <w:pPr>
        <w:jc w:val="both"/>
        <w:rPr>
          <w:rFonts w:eastAsia="Calibri"/>
          <w:sz w:val="20"/>
          <w:lang w:val="fr-CA"/>
        </w:rPr>
      </w:pPr>
      <w:r w:rsidRPr="00A86B78">
        <w:rPr>
          <w:rFonts w:eastAsia="Calibri"/>
          <w:sz w:val="20"/>
          <w:lang w:val="fr-CA"/>
        </w:rPr>
        <w:t>L’appel interjeté contre l’arrêt de la Cour d’appel de l’Ontario, numéro C54387, 2013 ONCA 106, daté du 20 février 2013, entendu le 23 mai 2014, est rejeté. Les juges LeBel, Abella et Karakatsanis sont dissidents.</w:t>
      </w:r>
    </w:p>
    <w:p w:rsidR="00AB5A01" w:rsidRDefault="00AB5A01" w:rsidP="0052229C">
      <w:pPr>
        <w:rPr>
          <w:sz w:val="20"/>
          <w:szCs w:val="20"/>
          <w:lang w:val="fr-CA"/>
        </w:rPr>
      </w:pPr>
    </w:p>
    <w:p w:rsidR="0052229C" w:rsidRPr="003B3977" w:rsidRDefault="00E4461B" w:rsidP="0052229C">
      <w:pPr>
        <w:spacing w:line="0" w:lineRule="atLeast"/>
        <w:rPr>
          <w:sz w:val="20"/>
          <w:szCs w:val="20"/>
        </w:rPr>
      </w:pPr>
      <w:r>
        <w:rPr>
          <w:b/>
          <w:sz w:val="20"/>
          <w:szCs w:val="20"/>
        </w:rPr>
        <w:pict>
          <v:rect id="_x0000_i1088"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127"/>
          <w:headerReference w:type="default" r:id="rId128"/>
          <w:footerReference w:type="even" r:id="rId129"/>
          <w:footerReference w:type="default" r:id="rId130"/>
          <w:headerReference w:type="first" r:id="rId131"/>
          <w:footerReference w:type="first" r:id="rId132"/>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B3F6F" w:rsidRPr="00561F8C" w:rsidRDefault="008B3F6F" w:rsidP="008B3F6F">
      <w:pPr>
        <w:ind w:left="720" w:hanging="720"/>
        <w:rPr>
          <w:sz w:val="20"/>
          <w:szCs w:val="20"/>
        </w:rPr>
      </w:pPr>
      <w:r w:rsidRPr="00561F8C">
        <w:rPr>
          <w:bCs/>
          <w:i/>
          <w:sz w:val="20"/>
          <w:szCs w:val="20"/>
        </w:rPr>
        <w:t>Kevin Fearon v. Her Majesty the Queen</w:t>
      </w:r>
      <w:r w:rsidRPr="00561F8C">
        <w:rPr>
          <w:bCs/>
          <w:sz w:val="20"/>
          <w:szCs w:val="20"/>
        </w:rPr>
        <w:t xml:space="preserve"> </w:t>
      </w:r>
      <w:r w:rsidRPr="00561F8C">
        <w:rPr>
          <w:sz w:val="20"/>
          <w:szCs w:val="20"/>
        </w:rPr>
        <w:t>(Ont.) (</w:t>
      </w:r>
      <w:hyperlink r:id="rId133" w:history="1">
        <w:r w:rsidRPr="00561F8C">
          <w:rPr>
            <w:rStyle w:val="Hyperlink"/>
            <w:sz w:val="20"/>
            <w:szCs w:val="20"/>
          </w:rPr>
          <w:t>35298</w:t>
        </w:r>
      </w:hyperlink>
      <w:r w:rsidRPr="00561F8C">
        <w:rPr>
          <w:sz w:val="20"/>
          <w:szCs w:val="20"/>
        </w:rPr>
        <w:t>)</w:t>
      </w:r>
    </w:p>
    <w:p w:rsidR="00091A37" w:rsidRPr="00091A37" w:rsidRDefault="00091A37" w:rsidP="00091A37">
      <w:pPr>
        <w:jc w:val="both"/>
        <w:rPr>
          <w:b/>
          <w:sz w:val="20"/>
          <w:szCs w:val="20"/>
        </w:rPr>
      </w:pPr>
      <w:r w:rsidRPr="00CB4A11">
        <w:rPr>
          <w:b/>
          <w:sz w:val="20"/>
          <w:szCs w:val="20"/>
        </w:rPr>
        <w:t xml:space="preserve">Indexed as:  R. </w:t>
      </w:r>
      <w:r w:rsidRPr="00CB4A11">
        <w:rPr>
          <w:b/>
          <w:i/>
          <w:sz w:val="20"/>
          <w:szCs w:val="20"/>
        </w:rPr>
        <w:t>v.</w:t>
      </w:r>
      <w:r w:rsidRPr="00CB4A11">
        <w:rPr>
          <w:b/>
          <w:sz w:val="20"/>
          <w:szCs w:val="20"/>
        </w:rPr>
        <w:t xml:space="preserve"> Fearon</w:t>
      </w:r>
      <w:r>
        <w:rPr>
          <w:b/>
          <w:sz w:val="20"/>
          <w:szCs w:val="20"/>
        </w:rPr>
        <w:t xml:space="preserve"> / </w:t>
      </w:r>
      <w:r w:rsidRPr="00091A37">
        <w:rPr>
          <w:b/>
          <w:sz w:val="20"/>
          <w:szCs w:val="20"/>
        </w:rPr>
        <w:t xml:space="preserve">Répertorié : R. </w:t>
      </w:r>
      <w:r w:rsidRPr="00091A37">
        <w:rPr>
          <w:b/>
          <w:i/>
          <w:sz w:val="20"/>
          <w:szCs w:val="20"/>
        </w:rPr>
        <w:t>c.</w:t>
      </w:r>
      <w:r w:rsidRPr="00091A37">
        <w:rPr>
          <w:b/>
          <w:sz w:val="20"/>
          <w:szCs w:val="20"/>
        </w:rPr>
        <w:t xml:space="preserve"> Fearon</w:t>
      </w:r>
    </w:p>
    <w:p w:rsidR="0052229C" w:rsidRPr="00091A37" w:rsidRDefault="0052229C" w:rsidP="0052229C">
      <w:pPr>
        <w:pStyle w:val="SCCSystemYear"/>
        <w:jc w:val="both"/>
        <w:rPr>
          <w:sz w:val="20"/>
        </w:rPr>
      </w:pPr>
      <w:r w:rsidRPr="00091A37">
        <w:rPr>
          <w:sz w:val="20"/>
        </w:rPr>
        <w:t>Neutral citation:  2014 SCC </w:t>
      </w:r>
      <w:r w:rsidR="00091A37" w:rsidRPr="00091A37">
        <w:rPr>
          <w:sz w:val="20"/>
        </w:rPr>
        <w:t>77</w:t>
      </w:r>
      <w:r w:rsidRPr="00091A37">
        <w:rPr>
          <w:sz w:val="20"/>
        </w:rPr>
        <w:t xml:space="preserve"> / Référence neutre : 2014 CSC </w:t>
      </w:r>
      <w:r w:rsidR="00091A37">
        <w:rPr>
          <w:sz w:val="20"/>
        </w:rPr>
        <w:t>77</w:t>
      </w:r>
    </w:p>
    <w:p w:rsidR="0052229C" w:rsidRPr="00091A37" w:rsidRDefault="0052229C" w:rsidP="0052229C">
      <w:pPr>
        <w:rPr>
          <w:rFonts w:cs="Times New Roman"/>
          <w:sz w:val="20"/>
          <w:szCs w:val="20"/>
          <w:lang w:val="fr-CA"/>
        </w:rPr>
      </w:pPr>
      <w:r w:rsidRPr="00091A37">
        <w:rPr>
          <w:rFonts w:cs="Times New Roman"/>
          <w:sz w:val="20"/>
          <w:szCs w:val="20"/>
          <w:lang w:val="fr-CA"/>
        </w:rPr>
        <w:t xml:space="preserve">Hearing:  </w:t>
      </w:r>
      <w:r w:rsidR="00091A37">
        <w:rPr>
          <w:rFonts w:cs="Times New Roman"/>
          <w:sz w:val="20"/>
          <w:szCs w:val="20"/>
          <w:lang w:val="fr-CA"/>
        </w:rPr>
        <w:t>May</w:t>
      </w:r>
      <w:r w:rsidRPr="00091A37">
        <w:rPr>
          <w:rFonts w:cs="Times New Roman"/>
          <w:sz w:val="20"/>
          <w:szCs w:val="20"/>
          <w:lang w:val="fr-CA"/>
        </w:rPr>
        <w:t xml:space="preserve"> 2</w:t>
      </w:r>
      <w:r w:rsidR="00091A37" w:rsidRPr="00091A37">
        <w:rPr>
          <w:rFonts w:cs="Times New Roman"/>
          <w:sz w:val="20"/>
          <w:szCs w:val="20"/>
          <w:lang w:val="fr-CA"/>
        </w:rPr>
        <w:t>3</w:t>
      </w:r>
      <w:r w:rsidRPr="00091A37">
        <w:rPr>
          <w:rFonts w:cs="Times New Roman"/>
          <w:sz w:val="20"/>
          <w:szCs w:val="20"/>
          <w:lang w:val="fr-CA"/>
        </w:rPr>
        <w:t>, 201</w:t>
      </w:r>
      <w:r w:rsidR="00091A37" w:rsidRPr="00091A37">
        <w:rPr>
          <w:rFonts w:cs="Times New Roman"/>
          <w:sz w:val="20"/>
          <w:szCs w:val="20"/>
          <w:lang w:val="fr-CA"/>
        </w:rPr>
        <w:t>4</w:t>
      </w:r>
      <w:r w:rsidRPr="00091A37">
        <w:rPr>
          <w:rFonts w:cs="Times New Roman"/>
          <w:sz w:val="20"/>
          <w:szCs w:val="20"/>
          <w:lang w:val="fr-CA"/>
        </w:rPr>
        <w:t xml:space="preserve"> / Judgment:  </w:t>
      </w:r>
      <w:r w:rsidR="008B3F6F" w:rsidRPr="00091A37">
        <w:rPr>
          <w:rFonts w:cs="Times New Roman"/>
          <w:sz w:val="20"/>
          <w:szCs w:val="20"/>
          <w:lang w:val="fr-CA"/>
        </w:rPr>
        <w:t>Decembe</w:t>
      </w:r>
      <w:r w:rsidRPr="00091A37">
        <w:rPr>
          <w:rFonts w:cs="Times New Roman"/>
          <w:sz w:val="20"/>
          <w:szCs w:val="20"/>
          <w:lang w:val="fr-CA"/>
        </w:rPr>
        <w:t>r 1</w:t>
      </w:r>
      <w:r w:rsidR="008B3F6F" w:rsidRPr="00091A37">
        <w:rPr>
          <w:rFonts w:cs="Times New Roman"/>
          <w:sz w:val="20"/>
          <w:szCs w:val="20"/>
          <w:lang w:val="fr-CA"/>
        </w:rPr>
        <w:t>1</w:t>
      </w:r>
      <w:r w:rsidRPr="00091A37">
        <w:rPr>
          <w:rFonts w:cs="Times New Roman"/>
          <w:sz w:val="20"/>
          <w:szCs w:val="20"/>
          <w:lang w:val="fr-CA"/>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Pr>
          <w:rFonts w:cs="Times New Roman"/>
          <w:sz w:val="20"/>
          <w:szCs w:val="20"/>
          <w:lang w:val="fr-CA"/>
        </w:rPr>
        <w:t>2</w:t>
      </w:r>
      <w:r w:rsidR="00091A37">
        <w:rPr>
          <w:rFonts w:cs="Times New Roman"/>
          <w:sz w:val="20"/>
          <w:szCs w:val="20"/>
          <w:lang w:val="fr-CA"/>
        </w:rPr>
        <w:t>3</w:t>
      </w:r>
      <w:r w:rsidRPr="003B3977">
        <w:rPr>
          <w:rFonts w:cs="Times New Roman"/>
          <w:sz w:val="20"/>
          <w:szCs w:val="20"/>
          <w:lang w:val="fr-CA"/>
        </w:rPr>
        <w:t xml:space="preserve"> </w:t>
      </w:r>
      <w:r w:rsidR="00091A37">
        <w:rPr>
          <w:rFonts w:cs="Times New Roman"/>
          <w:sz w:val="20"/>
          <w:szCs w:val="20"/>
          <w:lang w:val="fr-CA"/>
        </w:rPr>
        <w:t>m</w:t>
      </w:r>
      <w:r>
        <w:rPr>
          <w:rFonts w:cs="Times New Roman"/>
          <w:sz w:val="20"/>
          <w:szCs w:val="20"/>
          <w:lang w:val="fr-CA"/>
        </w:rPr>
        <w:t>ai</w:t>
      </w:r>
      <w:r w:rsidRPr="003B3977">
        <w:rPr>
          <w:rFonts w:cs="Times New Roman"/>
          <w:sz w:val="20"/>
          <w:szCs w:val="20"/>
          <w:lang w:val="fr-CA"/>
        </w:rPr>
        <w:t xml:space="preserve"> 201</w:t>
      </w:r>
      <w:r w:rsidR="00091A37">
        <w:rPr>
          <w:rFonts w:cs="Times New Roman"/>
          <w:sz w:val="20"/>
          <w:szCs w:val="20"/>
          <w:lang w:val="fr-CA"/>
        </w:rPr>
        <w:t>4</w:t>
      </w:r>
      <w:r w:rsidRPr="003B3977">
        <w:rPr>
          <w:rFonts w:cs="Times New Roman"/>
          <w:sz w:val="20"/>
          <w:szCs w:val="20"/>
          <w:lang w:val="fr-CA"/>
        </w:rPr>
        <w:t xml:space="preserve"> / Jugement : Le </w:t>
      </w:r>
      <w:r>
        <w:rPr>
          <w:rFonts w:cs="Times New Roman"/>
          <w:sz w:val="20"/>
          <w:szCs w:val="20"/>
          <w:lang w:val="fr-CA"/>
        </w:rPr>
        <w:t>1</w:t>
      </w:r>
      <w:r w:rsidR="008B3F6F">
        <w:rPr>
          <w:rFonts w:cs="Times New Roman"/>
          <w:sz w:val="20"/>
          <w:szCs w:val="20"/>
          <w:lang w:val="fr-CA"/>
        </w:rPr>
        <w:t>1 déc</w:t>
      </w:r>
      <w:r w:rsidRPr="003B3977">
        <w:rPr>
          <w:rFonts w:cs="Times New Roman"/>
          <w:sz w:val="20"/>
          <w:szCs w:val="20"/>
          <w:lang w:val="fr-CA"/>
        </w:rPr>
        <w:t>e</w:t>
      </w:r>
      <w:r w:rsidR="008B3F6F">
        <w:rPr>
          <w:rFonts w:cs="Times New Roman"/>
          <w:sz w:val="20"/>
          <w:szCs w:val="20"/>
          <w:lang w:val="fr-CA"/>
        </w:rPr>
        <w:t>mb</w:t>
      </w:r>
      <w:r>
        <w:rPr>
          <w:rFonts w:cs="Times New Roman"/>
          <w:sz w:val="20"/>
          <w:szCs w:val="20"/>
          <w:lang w:val="fr-CA"/>
        </w:rPr>
        <w:t>r</w:t>
      </w:r>
      <w:r w:rsidR="008B3F6F">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E4461B" w:rsidP="005C6840">
      <w:pPr>
        <w:rPr>
          <w:rFonts w:cs="Times New Roman"/>
          <w:sz w:val="20"/>
          <w:szCs w:val="20"/>
          <w:lang w:val="fr-CA"/>
        </w:rPr>
      </w:pPr>
      <w:r>
        <w:rPr>
          <w:rFonts w:cs="Times New Roman"/>
          <w:i/>
          <w:sz w:val="20"/>
          <w:szCs w:val="20"/>
        </w:rPr>
        <w:pict>
          <v:rect id="_x0000_i1091"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091A37" w:rsidRPr="00CB4A11" w:rsidRDefault="00091A37" w:rsidP="00091A37">
      <w:pPr>
        <w:jc w:val="both"/>
        <w:rPr>
          <w:sz w:val="20"/>
          <w:szCs w:val="20"/>
        </w:rPr>
      </w:pPr>
      <w:r w:rsidRPr="00CB4A11">
        <w:rPr>
          <w:sz w:val="20"/>
          <w:szCs w:val="20"/>
        </w:rPr>
        <w:t>Present:  McLachlin C.J. and LeBel, Abella, Cromwell, Moldaver, Karakatsanis and Wagner JJ.</w:t>
      </w:r>
    </w:p>
    <w:p w:rsidR="00091A37" w:rsidRDefault="00091A37" w:rsidP="00091A37">
      <w:pPr>
        <w:pStyle w:val="SCCLowerCourtNameLowercase"/>
        <w:spacing w:line="240" w:lineRule="auto"/>
        <w:rPr>
          <w:sz w:val="20"/>
        </w:rPr>
      </w:pPr>
    </w:p>
    <w:p w:rsidR="00091A37" w:rsidRPr="00CB4A11" w:rsidRDefault="00091A37" w:rsidP="00091A37">
      <w:pPr>
        <w:pStyle w:val="SCCNormalDoubleSpacing"/>
        <w:spacing w:line="240" w:lineRule="auto"/>
        <w:rPr>
          <w:i/>
          <w:sz w:val="20"/>
        </w:rPr>
      </w:pPr>
      <w:r w:rsidRPr="00CB4A11">
        <w:rPr>
          <w:i/>
          <w:sz w:val="20"/>
        </w:rPr>
        <w:tab/>
        <w:t>Constitutional law — Charter of Rights — Search and seizure — Search incident to arrest — Cell phone found on accused and searched without warrant  — Text message and photos on cell phone introduced as evidence at trial — Whether general common law framework for searches incident to arrest needs to be modified in case of cell phone searches incident to arrest — Whether search of cell phone incident to arrest was unreasonable and contrary to accused’s right to be secure against unreasonable search or seizure — If so, whether evidence discovered in search should be excluded — Canadian Charter of Rights and Freedoms, ss. 8, 24(2).</w:t>
      </w:r>
    </w:p>
    <w:p w:rsidR="00091A37" w:rsidRDefault="00091A37" w:rsidP="00091A37">
      <w:pPr>
        <w:pStyle w:val="SCCNormalDoubleSpacing"/>
        <w:spacing w:line="240" w:lineRule="auto"/>
        <w:rPr>
          <w:i/>
          <w:sz w:val="20"/>
        </w:rPr>
      </w:pPr>
    </w:p>
    <w:p w:rsidR="00091A37" w:rsidRPr="00CB4A11" w:rsidRDefault="00091A37" w:rsidP="00091A37">
      <w:pPr>
        <w:pStyle w:val="SCCNormalDoubleSpacing"/>
        <w:spacing w:line="240" w:lineRule="auto"/>
        <w:rPr>
          <w:i/>
          <w:sz w:val="20"/>
        </w:rPr>
      </w:pPr>
      <w:r w:rsidRPr="00CB4A11">
        <w:rPr>
          <w:i/>
          <w:sz w:val="20"/>
        </w:rPr>
        <w:tab/>
        <w:t>Police — Powers — Search incident to arrest — Warrantless search of cell phone — Text message and photos on cell phone introduced as evidence at trial of accused — Whether common law police power to search incident to arrest permits cell phone searches — Whether search of cell phone incident to arrest was unreasonable and contrary to accused’s right to be secure against unreasonable search or seizure — Canadian Charter of Rights and Freedoms, s. 8.</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Two men, one armed with a handgun, robbed a merchant as she loaded her car with jewellery.  The robbers grabbed some bags, one of which was filled with jewellery, and fled in a black vehicle.  The police became involved very shortly afterward. At that point, they had not located the jewellery or the handgun.  Later that evening, they located and secured the getaway vehicle, and arrested F and C.  During the pat</w:t>
      </w:r>
      <w:r w:rsidRPr="00CB4A11">
        <w:rPr>
          <w:sz w:val="20"/>
        </w:rPr>
        <w:noBreakHyphen/>
        <w:t>down search of F conducted incident to arrest, police found a cell phone in F’s pocket. Police searched the phone at that time and again within less than two hours of the arrest. They found a draft text message which read “We did it were the jewelry at nigga burrrrrrrrrrr”, and some photos, including one of a handgun.  A day and a half later, when police had a warrant to search the vehicle, they recovered the handgun used in the robbery and depicted in the photo.  Months later, police applied for and were granted a warrant to search the contents of the phone. No new evidence was discovered.</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On a </w:t>
      </w:r>
      <w:r w:rsidRPr="00CB4A11">
        <w:rPr>
          <w:i/>
          <w:sz w:val="20"/>
        </w:rPr>
        <w:t>voir dire</w:t>
      </w:r>
      <w:r w:rsidRPr="00CB4A11">
        <w:rPr>
          <w:sz w:val="20"/>
        </w:rPr>
        <w:t xml:space="preserve">, the trial judge found that the search of the cell phone incident to arrest had not breached s. 8 of the </w:t>
      </w:r>
      <w:r w:rsidRPr="00CB4A11">
        <w:rPr>
          <w:i/>
          <w:sz w:val="20"/>
        </w:rPr>
        <w:t>Charter</w:t>
      </w:r>
      <w:r w:rsidRPr="00CB4A11">
        <w:rPr>
          <w:sz w:val="20"/>
        </w:rPr>
        <w:t>.  She admitted the photos and text message and convicted F of robbery with a firearm and related offences.  The Court of Appeal dismissed an appeal.</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r>
      <w:r w:rsidRPr="00CB4A11">
        <w:rPr>
          <w:rStyle w:val="QuoteChar"/>
          <w:sz w:val="20"/>
        </w:rPr>
        <w:t>Held (LeBel, Abella and Karakatsanis JJ. dissenting):</w:t>
      </w:r>
      <w:r w:rsidRPr="00CB4A11">
        <w:rPr>
          <w:sz w:val="20"/>
        </w:rPr>
        <w:t xml:space="preserve">  The appeal should be dismissed.</w:t>
      </w:r>
    </w:p>
    <w:p w:rsidR="00091A37" w:rsidRDefault="00091A37" w:rsidP="00091A37">
      <w:pPr>
        <w:pStyle w:val="SCCNormalDoubleSpacing"/>
        <w:spacing w:line="240" w:lineRule="auto"/>
        <w:rPr>
          <w:i/>
          <w:sz w:val="20"/>
        </w:rPr>
      </w:pPr>
    </w:p>
    <w:p w:rsidR="00091A37" w:rsidRPr="00CB4A11" w:rsidRDefault="00091A37" w:rsidP="00091A37">
      <w:pPr>
        <w:pStyle w:val="SCCNormalDoubleSpacing"/>
        <w:spacing w:line="240" w:lineRule="auto"/>
        <w:rPr>
          <w:sz w:val="20"/>
        </w:rPr>
      </w:pPr>
      <w:r w:rsidRPr="00CB4A11">
        <w:rPr>
          <w:i/>
          <w:sz w:val="20"/>
        </w:rPr>
        <w:tab/>
        <w:t>Per</w:t>
      </w:r>
      <w:r w:rsidRPr="00CB4A11">
        <w:rPr>
          <w:sz w:val="20"/>
        </w:rPr>
        <w:t xml:space="preserve"> McLachlin C.J. and </w:t>
      </w:r>
      <w:r w:rsidRPr="00CB4A11">
        <w:rPr>
          <w:b/>
          <w:sz w:val="20"/>
        </w:rPr>
        <w:t>Cromwell</w:t>
      </w:r>
      <w:r w:rsidRPr="00CB4A11">
        <w:rPr>
          <w:sz w:val="20"/>
        </w:rPr>
        <w:t>, Moldaver and Wagner JJ.:  The common law power to search incident to a lawful arrest permits the search of cell phones and similar devices found on the suspect, although some modification of the existing common law framework is necessary because the search of a cell phone has the potential to be a much more significant invasion of privacy than the typical search incident to arrest.</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The power to search incident to arrest is extraordinary in that it permits reasonable searches when the police have neither a warrant nor reasonable and probable grounds.  That the exercise of this extraordinary power has been considered in general to meet constitutional muster reflects the important law enforcement objectives which are served by searches of people who have been lawfully arrested.  This power must be exercised in the pursuit of a valid purpose related to the proper administration of justice and the search must be truly incidental to the arrest.</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Like other searches incident to arrest, prompt cell phone searches incident to arrest may serve important law enforcement objectives:  they can assist police to identify and mitigate risks to public safety; locate firearms or stolen goods; identify accomplices; locate and preserve evidence; prevent suspects from evading or resisting law enforcement; locate the other perpetrators; warn officers of possible impending danger; and follow leads promptly.  Cell phone searches also have an element of urgency, which supports the extension of the power to search incident to arrest.</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Safeguards must be added to the law of search of cell phones incident to arrest in order to make that power compliant with s. 8 of the </w:t>
      </w:r>
      <w:r w:rsidRPr="00CB4A11">
        <w:rPr>
          <w:i/>
          <w:sz w:val="20"/>
        </w:rPr>
        <w:t>Charter</w:t>
      </w:r>
      <w:r w:rsidRPr="00CB4A11">
        <w:rPr>
          <w:sz w:val="20"/>
        </w:rPr>
        <w:t>. Ultimately, the purpose of the exercise is to strike a balance that gives due weight to the important law enforcement objectives served by searches incidental to arrest and to the very significant privacy interests at stake in cell phone searches. Consequently, four conditions must be met in order for the search of a cell phone or similar device incidental to arrest to comply with s. 8. First, the arrest must be lawful. Second, the search must be truly incidental to the arrest. This requirement should be strictly applied to permit searches that must be done promptly upon arrest in order to effectively serve the law enforcement purposes.  In this context, those purposes are protecting the police, the accused or the public; preserving evidence; and, if the investigation will be stymied or significantly hampered absent the ability to promptly conduct the search, discovering evidence.  Third, the nature and the extent of the search must be tailored to its purpose.  In practice, this will mean that only recently sent or drafted emails, texts, photos and the call log will, generally, be available, although other searches may, in some circumstances, be justified.  Finally, the police must take detailed notes of what they have examined on the device and how they examined it.  The notes should generally include the applications searched, the extent of the search, the time of the search, its purpose and its duration.  The record</w:t>
      </w:r>
      <w:r w:rsidRPr="00CB4A11">
        <w:rPr>
          <w:sz w:val="20"/>
        </w:rPr>
        <w:noBreakHyphen/>
        <w:t>keeping requirement is important to the effectiveness of after</w:t>
      </w:r>
      <w:r w:rsidRPr="00CB4A11">
        <w:rPr>
          <w:sz w:val="20"/>
        </w:rPr>
        <w:noBreakHyphen/>
        <w:t>the</w:t>
      </w:r>
      <w:r w:rsidRPr="00CB4A11">
        <w:rPr>
          <w:sz w:val="20"/>
        </w:rPr>
        <w:noBreakHyphen/>
        <w:t xml:space="preserve">fact judicial review.  It will also help police officers to focus on whether what they are doing in relation to the phone falls squarely within the parameters of a lawful search incident to arrest. </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None of the three main modifications to the common law power to search cell phones incident to arrest previously suggested in the case law strike the balance required by s. 8.  First the considerations that prompted the Court to take a categorical approach with respect to the non</w:t>
      </w:r>
      <w:r w:rsidRPr="00CB4A11">
        <w:rPr>
          <w:sz w:val="20"/>
        </w:rPr>
        <w:noBreakHyphen/>
        <w:t>consensual seizure of bodily samples are entirely absent in this case.  Second, police will rarely have reasonable and probable grounds to search for safety purposes or to believe that evidence of the offence will be found on the phone at the time of arrest.  Third, allowing cell phone searches only in exigent circumstances would share the pitfalls of imposing a standard of reasonable and probable grounds, and would give almost no weight to the law enforcement objectives served by prompt searches.  Moreover, the search incident to arrest exception to the warrant requirement is not a subset of the exigency exception.</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In this case, the initial search of the cell phone, which disclosed all of the cell phone evidence tendered by the Crown at trial, breached F’s s. 8 rights.  Although they were truly incidental to F’s arrest for robbery, were for valid law enforcement objectives, and were appropriately linked to the offence for which F had been lawfully arrested, detailed evidence about precisely what was searched, how and why, was lacking.</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Despite that breach, the evidence should not be excluded.  The impact of the breach on F’s </w:t>
      </w:r>
      <w:r w:rsidRPr="00CB4A11">
        <w:rPr>
          <w:i/>
          <w:sz w:val="20"/>
        </w:rPr>
        <w:t>Charter</w:t>
      </w:r>
      <w:r w:rsidRPr="00CB4A11">
        <w:rPr>
          <w:i/>
          <w:sz w:val="20"/>
        </w:rPr>
        <w:noBreakHyphen/>
      </w:r>
      <w:r w:rsidRPr="00CB4A11">
        <w:rPr>
          <w:sz w:val="20"/>
        </w:rPr>
        <w:t xml:space="preserve">protected interests favours exclusion of the evidence, but it does so weakly.  Although any search of any cell phone has the potential to be a very significant invasion of a person’s informational privacy interests, the invasion of F’s privacy was not particularly grave.  Further, as he did not challenge the warrant that was subsequently issued for the comprehensive search of the cell phone, his privacy interests were going to be impacted and the particular breach did not significantly change the nature of that impact.  However, other factors favour inclusion.  As to the seriousness of the </w:t>
      </w:r>
      <w:r w:rsidRPr="00CB4A11">
        <w:rPr>
          <w:i/>
          <w:sz w:val="20"/>
        </w:rPr>
        <w:t>Charter</w:t>
      </w:r>
      <w:r w:rsidRPr="00CB4A11">
        <w:rPr>
          <w:sz w:val="20"/>
        </w:rPr>
        <w:noBreakHyphen/>
        <w:t>infringing state conduct, the dominant view at the time of the search approved cell phone searches incident to arrest.  In addition, the police fully disclosed the earlier searches when they decided to obtain the warrant to search the cell phone.  While the police should, when faced with real uncertainty, choose a course of action that is more respectful of the accused’s potential privacy rights, an honest mistake, reasonably made, is not state misconduct that requires the exclusion of evidence.  Society’s interest in the adjudication of the case on its merits also favours admission: the evidence is cogent and reliable, and its exclusion would undermine the truth</w:t>
      </w:r>
      <w:r w:rsidRPr="00CB4A11">
        <w:rPr>
          <w:sz w:val="20"/>
        </w:rPr>
        <w:noBreakHyphen/>
        <w:t>seeking function of the justice system.</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r>
      <w:r w:rsidRPr="00CB4A11">
        <w:rPr>
          <w:i/>
          <w:sz w:val="20"/>
        </w:rPr>
        <w:t>Per</w:t>
      </w:r>
      <w:r w:rsidRPr="00CB4A11">
        <w:rPr>
          <w:sz w:val="20"/>
        </w:rPr>
        <w:t xml:space="preserve"> LeBel, Abella and </w:t>
      </w:r>
      <w:r w:rsidRPr="00CB4A11">
        <w:rPr>
          <w:b/>
          <w:sz w:val="20"/>
        </w:rPr>
        <w:t>Karakatsanis</w:t>
      </w:r>
      <w:r w:rsidRPr="00CB4A11">
        <w:rPr>
          <w:sz w:val="20"/>
        </w:rPr>
        <w:t xml:space="preserve"> JJ. (dissenting): Searches of personal digital devices — including personal computers — risk serious encroachments on privacy and are therefore not authorized under the common law power to search incident to arrest. Only judicial pre-authorization can provide the effective and impartial balancing of the state’s law enforcement objectives with the intensely personal and uniquely pervasive privacy interests in our digital devices. Section 8 of the </w:t>
      </w:r>
      <w:r w:rsidRPr="00CB4A11">
        <w:rPr>
          <w:i/>
          <w:sz w:val="20"/>
        </w:rPr>
        <w:t>Charter</w:t>
      </w:r>
      <w:r w:rsidRPr="00CB4A11">
        <w:rPr>
          <w:sz w:val="20"/>
        </w:rPr>
        <w:t xml:space="preserve"> provides constitutional protection for privacy, which includes the right to be free of the threat of unreasonable intrusions on privacy and the right to determine when, how, and to what extent we release personal information.</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Generally, the law enforcement interests will outweigh the privacy interest that an arrested person has in the physical items in his immediate vicinity. However, because the privacy interest in a digital device is quantitatively and </w:t>
      </w:r>
      <w:r w:rsidRPr="00CB4A11">
        <w:rPr>
          <w:sz w:val="20"/>
        </w:rPr>
        <w:lastRenderedPageBreak/>
        <w:t>qualitatively different from that in other physical items traditionally subject to such searches, the constitutional balance between privacy and the needs of law enforcement with respect to the search of cell phones and similar digital devices incident to arrest must be reassessed, using first principles.</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A cell phone cannot be treated like any other piece of physical evidence that may be found on an arrestee and searched incident to arrest. Individuals have a high expectation of privacy in their digital devices because they store immense amounts of information, are fastidious record keepers, retain files and data even after users think they have been destroyed, make the temporal and territorial limitations on a search incident to arrest meaningless, and can continue to generate evidence even after they have been seized.</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The law enforcement interests relate to the three purposes justifying searches incident to arrest:  safety, the preservation of evidence, and the discovery of evidence. Digital devices are not physically dangerous weapons and they cannot conceal such a weapon. The mere possibility that a phone could have been used to summon backup or that evidence on the cell phone could be remotely deleted should not justify a search incident to arrest.  Although the delay of obtaining a warrant may come at a cost to the prompt pursuit of the investigation, this cost must be weighed against the privacy interest in a personal digital device.</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The most pressing state interests can be accommodated by the existing doctrine that permits warrantless searches under exigent circumstances. Exigent circumstances exist when (1) there is a reasonable basis to suspect a search may prevent an imminent threat to safety or (2) there are reasonable grounds to believe that the imminent destruction of evidence can be prevented by a warrantless search. Where exigent circumstances do not exist, a telewarrant can usually be obtained relatively quickly and with little harm to the investigation.</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Thus, the weighty privacy interest that an arrested person has in a personal digital device will outweigh the state interest in performing a warrantless search incident to arrest, except in exigent circumstances.</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Searches that treat a cell phone merely as a physical object continue to be permissible incident to arrest since it is the information that attracts a heightened expectation of privacy. As such, the police may usually seize a phone incident to arrest in order to preserve the evidence, but will require a warrant before they can search its contents.</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In performing a search of a cell phone, whether under exigent circumstances or pursuant to a warrant, the police officers must not extend that search beyond the scope of the grounds permitting the search.</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Tailoring the scope of the common law power to search incident to arrest does not adequately protect the reasonable expectations of privacy in personal digital devices. The majority’s proposed modifications generate problems of impracticality, police uncertainty, and increased after-the-fact litigation. And while detailed note-taking may be desirable, it may prove to be an impractical requirement, and it is not an adequate remedy to what would be an extraordinary search power. Fundamentally, the police are not in the best position to determine whether the law enforcement objectives clearly outweigh the potentially significant intrusion on privacy in the search of a digital device, and, if they are wrong, the subsequent exclusion of the evidence will not remedy the initial privacy violation.</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Here, the searches of F’s phone were not justified and unreasonably infringed his privacy, in violation of s. 8 of the </w:t>
      </w:r>
      <w:r w:rsidRPr="00CB4A11">
        <w:rPr>
          <w:i/>
          <w:sz w:val="20"/>
        </w:rPr>
        <w:t>Charter</w:t>
      </w:r>
      <w:r w:rsidRPr="00CB4A11">
        <w:rPr>
          <w:sz w:val="20"/>
        </w:rPr>
        <w:t>. The facts of this case fall far below either standard for exigency.</w:t>
      </w:r>
    </w:p>
    <w:p w:rsidR="00091A37" w:rsidRDefault="00091A37" w:rsidP="00091A37">
      <w:pPr>
        <w:pStyle w:val="SCCNormalDoubleSpacing"/>
        <w:spacing w:line="240" w:lineRule="auto"/>
        <w:rPr>
          <w:sz w:val="20"/>
        </w:rPr>
      </w:pPr>
    </w:p>
    <w:p w:rsidR="00091A37" w:rsidRDefault="00091A37" w:rsidP="00091A37">
      <w:pPr>
        <w:pStyle w:val="SCCNormalDoubleSpacing"/>
        <w:spacing w:line="240" w:lineRule="auto"/>
        <w:rPr>
          <w:sz w:val="20"/>
        </w:rPr>
      </w:pPr>
      <w:r w:rsidRPr="00CB4A11">
        <w:rPr>
          <w:sz w:val="20"/>
        </w:rPr>
        <w:tab/>
        <w:t>The evidence which was unconstitutionally obtained should be excluded.  The state conduct was not particularly objectionable, given that the police acted in good faith, and the evidence is reliable; however, the high privacy interest individuals have in their electronic devices tips the balance in favour of exclusion. Unwarranted searches undermine the public’s confidence that personal communications, ideas and beliefs will be protected on their digital devices.  This is particularly important given the increasing use and ubiquity of such technology. It is difficult to conceive of a sphere of privacy more intensely personal ― or indeed more pervasive ― than that found in an individual’s personal digital device or computer.  To admit evidence obtained in breach of this particularly strong privacy interest would tend to bring the administration of justice into disrepute.</w:t>
      </w:r>
    </w:p>
    <w:p w:rsidR="00091A37" w:rsidRDefault="00091A37" w:rsidP="00091A37">
      <w:pPr>
        <w:pStyle w:val="SCCNormalDoubleSpacing"/>
        <w:spacing w:line="240" w:lineRule="auto"/>
        <w:rPr>
          <w:sz w:val="20"/>
        </w:rPr>
      </w:pPr>
    </w:p>
    <w:p w:rsidR="00091A37" w:rsidRPr="00CB4A11" w:rsidRDefault="00091A37" w:rsidP="00091A37">
      <w:pPr>
        <w:pStyle w:val="SCCNormalDoubleSpacing"/>
        <w:spacing w:line="240" w:lineRule="auto"/>
        <w:rPr>
          <w:sz w:val="20"/>
        </w:rPr>
      </w:pPr>
      <w:r w:rsidRPr="00CB4A11">
        <w:rPr>
          <w:sz w:val="20"/>
        </w:rPr>
        <w:tab/>
        <w:t xml:space="preserve">APPEAL from a judgment of the Ontario Court of Appeal (MacPherson, Armstrong and Watt JJ.A.), 2013 ONCA 106, 114 O.R. (3d) 81, 302 O.A.C. 284, 296 C.C.C. (3d) 331, 100 C.R. (6th) 296, 277 C.R.R. (2d) 126, [2013] </w:t>
      </w:r>
      <w:r w:rsidRPr="00CB4A11">
        <w:rPr>
          <w:sz w:val="20"/>
        </w:rPr>
        <w:lastRenderedPageBreak/>
        <w:t>O.J. No. 704 (QL), 2013 CarswellOnt 1703, affirming the accused’s conviction for armed robbery and related offences.  Appeal dismissed, LeBel, Abella and Karakatsanis JJ. dissenting.</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Sam Goldstein</w:t>
      </w:r>
      <w:r w:rsidRPr="00091A37">
        <w:rPr>
          <w:rStyle w:val="SCCCounselSeparatorChar"/>
          <w:sz w:val="20"/>
          <w:lang w:val="en-CA"/>
        </w:rPr>
        <w:t xml:space="preserve"> and </w:t>
      </w:r>
      <w:r w:rsidRPr="00CB4A11">
        <w:rPr>
          <w:rStyle w:val="SCCCounselNameChar"/>
          <w:sz w:val="20"/>
        </w:rPr>
        <w:t>Shelley Flam</w:t>
      </w:r>
      <w:r w:rsidRPr="00CB4A11">
        <w:rPr>
          <w:rStyle w:val="SCCCounselPartyRoleChar"/>
          <w:sz w:val="20"/>
        </w:rPr>
        <w:t>, for the appellant.</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Randy Schwartz</w:t>
      </w:r>
      <w:r w:rsidRPr="00CB4A11">
        <w:rPr>
          <w:rStyle w:val="SCCCounselPartyRoleChar"/>
          <w:sz w:val="20"/>
        </w:rPr>
        <w:t>, for the respondent.</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Kevin Wilson</w:t>
      </w:r>
      <w:r w:rsidRPr="00091A37">
        <w:rPr>
          <w:rStyle w:val="SCCCounselSeparatorChar"/>
          <w:sz w:val="20"/>
          <w:lang w:val="en-CA"/>
        </w:rPr>
        <w:t xml:space="preserve"> and </w:t>
      </w:r>
      <w:r w:rsidRPr="00CB4A11">
        <w:rPr>
          <w:rStyle w:val="SCCCounselNameChar"/>
          <w:sz w:val="20"/>
        </w:rPr>
        <w:t>W. Paul Riley</w:t>
      </w:r>
      <w:r w:rsidRPr="00CB4A11">
        <w:rPr>
          <w:rStyle w:val="SCCCounselPartyRoleChar"/>
          <w:sz w:val="20"/>
        </w:rPr>
        <w:t>, for the intervener the Director of Public Prosecutions of Canada.</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Dominique A. Jobin</w:t>
      </w:r>
      <w:r w:rsidRPr="00CB4A11">
        <w:rPr>
          <w:rStyle w:val="SCCCounselPartyRoleChar"/>
          <w:sz w:val="20"/>
        </w:rPr>
        <w:t>, for the intervener the Attorney General of Quebec.</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Jolaine Antonio</w:t>
      </w:r>
      <w:r w:rsidRPr="00CB4A11">
        <w:rPr>
          <w:rStyle w:val="SCCCounselPartyRoleChar"/>
          <w:sz w:val="20"/>
        </w:rPr>
        <w:t>, for the intervener the Attorney General of Alberta.</w:t>
      </w:r>
    </w:p>
    <w:p w:rsidR="00091A37" w:rsidRDefault="00091A37" w:rsidP="00091A37">
      <w:pPr>
        <w:pStyle w:val="SCCNormalDoubleSpacing"/>
        <w:spacing w:line="240" w:lineRule="auto"/>
        <w:rPr>
          <w:rStyle w:val="SCCCounselNameChar"/>
          <w:i w:val="0"/>
          <w:sz w:val="20"/>
        </w:rPr>
      </w:pPr>
    </w:p>
    <w:p w:rsidR="00091A37" w:rsidRPr="00CB4A11" w:rsidRDefault="00091A37" w:rsidP="00091A37">
      <w:pPr>
        <w:pStyle w:val="SCCNormalDoubleSpacing"/>
        <w:spacing w:line="240" w:lineRule="auto"/>
        <w:rPr>
          <w:sz w:val="20"/>
        </w:rPr>
      </w:pPr>
      <w:r w:rsidRPr="00CB4A11">
        <w:rPr>
          <w:rStyle w:val="SCCCounselNameChar"/>
          <w:sz w:val="20"/>
        </w:rPr>
        <w:tab/>
      </w:r>
      <w:r w:rsidRPr="00CB2023">
        <w:rPr>
          <w:rStyle w:val="SCCCounselNameChar"/>
          <w:i w:val="0"/>
          <w:sz w:val="20"/>
        </w:rPr>
        <w:t>Written submissions only by</w:t>
      </w:r>
      <w:r w:rsidRPr="00CB4A11">
        <w:rPr>
          <w:rStyle w:val="SCCCounselNameChar"/>
          <w:sz w:val="20"/>
        </w:rPr>
        <w:t xml:space="preserve"> Tamir Israel</w:t>
      </w:r>
      <w:r w:rsidRPr="00CB4A11">
        <w:rPr>
          <w:rStyle w:val="SCCCounselPartyRoleChar"/>
          <w:sz w:val="20"/>
        </w:rPr>
        <w:t>, for the intervener the Samuelson</w:t>
      </w:r>
      <w:r w:rsidRPr="00CB4A11">
        <w:rPr>
          <w:rStyle w:val="SCCCounselPartyRoleChar"/>
          <w:sz w:val="20"/>
        </w:rPr>
        <w:noBreakHyphen/>
        <w:t>Glushko Canadian Internet Policy and Public Interest Clinic.</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Gerald Chan</w:t>
      </w:r>
      <w:r w:rsidRPr="00091A37">
        <w:rPr>
          <w:rStyle w:val="SCCCounselSeparatorChar"/>
          <w:sz w:val="20"/>
          <w:lang w:val="en-CA"/>
        </w:rPr>
        <w:t xml:space="preserve"> and </w:t>
      </w:r>
      <w:r w:rsidRPr="00CB4A11">
        <w:rPr>
          <w:rStyle w:val="SCCCounselNameChar"/>
          <w:sz w:val="20"/>
        </w:rPr>
        <w:t>Nader R. Hasan</w:t>
      </w:r>
      <w:r w:rsidRPr="00CB4A11">
        <w:rPr>
          <w:rStyle w:val="SCCCounselPartyRoleChar"/>
          <w:sz w:val="20"/>
        </w:rPr>
        <w:t>, for the intervener the British Columbia Civil Liberties Association.</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Dane F. Bullerwell</w:t>
      </w:r>
      <w:r w:rsidRPr="00CB4A11">
        <w:rPr>
          <w:rStyle w:val="SCCCounselPartyRoleChar"/>
          <w:sz w:val="20"/>
        </w:rPr>
        <w:t xml:space="preserve"> and </w:t>
      </w:r>
      <w:r w:rsidRPr="00CB4A11">
        <w:rPr>
          <w:rStyle w:val="SCCCounselPartyRoleChar"/>
          <w:i/>
          <w:sz w:val="20"/>
        </w:rPr>
        <w:t>Jeffrey W. Beedell</w:t>
      </w:r>
      <w:r w:rsidRPr="00CB4A11">
        <w:rPr>
          <w:rStyle w:val="SCCCounselPartyRoleChar"/>
          <w:sz w:val="20"/>
        </w:rPr>
        <w:t>, for the intervener the Criminal Trial Lawyers’ Association (Alberta).</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Matthew Milne</w:t>
      </w:r>
      <w:r w:rsidRPr="00CB4A11">
        <w:rPr>
          <w:rStyle w:val="SCCCounselNameChar"/>
          <w:sz w:val="20"/>
        </w:rPr>
        <w:noBreakHyphen/>
        <w:t>Smith</w:t>
      </w:r>
      <w:r w:rsidRPr="00CB4A11">
        <w:rPr>
          <w:rStyle w:val="SCCCounselPartyRoleChar"/>
          <w:sz w:val="20"/>
        </w:rPr>
        <w:t>, for the intervener the Canadian Civil Liberties Association.</w:t>
      </w:r>
    </w:p>
    <w:p w:rsidR="00091A37" w:rsidRDefault="00091A37" w:rsidP="00091A37">
      <w:pPr>
        <w:pStyle w:val="SCCNormalDoubleSpacing"/>
        <w:spacing w:line="240" w:lineRule="auto"/>
        <w:rPr>
          <w:rStyle w:val="SCCCounselNameChar"/>
          <w:sz w:val="20"/>
        </w:rPr>
      </w:pPr>
    </w:p>
    <w:p w:rsidR="00091A37" w:rsidRPr="00CB4A11" w:rsidRDefault="00091A37" w:rsidP="00091A37">
      <w:pPr>
        <w:pStyle w:val="SCCNormalDoubleSpacing"/>
        <w:spacing w:line="240" w:lineRule="auto"/>
        <w:rPr>
          <w:sz w:val="20"/>
        </w:rPr>
      </w:pPr>
      <w:r w:rsidRPr="00CB4A11">
        <w:rPr>
          <w:rStyle w:val="SCCCounselNameChar"/>
          <w:sz w:val="20"/>
        </w:rPr>
        <w:tab/>
        <w:t>Leonard T. Doust, Q.C.</w:t>
      </w:r>
      <w:r w:rsidRPr="00CB4A11">
        <w:rPr>
          <w:rStyle w:val="SCCCounselPartyRoleChar"/>
          <w:sz w:val="20"/>
        </w:rPr>
        <w:t xml:space="preserve">, </w:t>
      </w:r>
      <w:r w:rsidRPr="00091A37">
        <w:rPr>
          <w:rStyle w:val="SCCCounselSeparatorChar"/>
          <w:sz w:val="20"/>
          <w:lang w:val="en-CA"/>
        </w:rPr>
        <w:t xml:space="preserve">and </w:t>
      </w:r>
      <w:r w:rsidRPr="00CB4A11">
        <w:rPr>
          <w:rStyle w:val="SCCCounselNameChar"/>
          <w:sz w:val="20"/>
        </w:rPr>
        <w:t>Bronson Toy</w:t>
      </w:r>
      <w:r w:rsidRPr="00091A37">
        <w:rPr>
          <w:rStyle w:val="SCCCounselSeparatorChar"/>
          <w:sz w:val="20"/>
          <w:lang w:val="en-CA"/>
        </w:rPr>
        <w:t xml:space="preserve">, </w:t>
      </w:r>
      <w:r w:rsidRPr="00CB4A11">
        <w:rPr>
          <w:rStyle w:val="SCCCounselPartyRoleChar"/>
          <w:sz w:val="20"/>
        </w:rPr>
        <w:t>for the intervener the Canadian Association of Chiefs of Police.</w:t>
      </w:r>
    </w:p>
    <w:p w:rsidR="00091A37" w:rsidRDefault="00091A37" w:rsidP="00091A37">
      <w:pPr>
        <w:pStyle w:val="SCCNormalDoubleSpacing"/>
        <w:spacing w:line="240" w:lineRule="auto"/>
        <w:rPr>
          <w:rStyle w:val="SCCCounselNameChar"/>
          <w:i w:val="0"/>
          <w:sz w:val="20"/>
        </w:rPr>
      </w:pPr>
    </w:p>
    <w:p w:rsidR="00091A37" w:rsidRPr="00CB4A11" w:rsidRDefault="00091A37" w:rsidP="00091A37">
      <w:pPr>
        <w:pStyle w:val="SCCNormalDoubleSpacing"/>
        <w:spacing w:line="240" w:lineRule="auto"/>
        <w:rPr>
          <w:sz w:val="20"/>
        </w:rPr>
      </w:pPr>
      <w:r w:rsidRPr="00CB4A11">
        <w:rPr>
          <w:rStyle w:val="SCCCounselNameChar"/>
          <w:sz w:val="20"/>
        </w:rPr>
        <w:tab/>
      </w:r>
      <w:r w:rsidRPr="00CB2023">
        <w:rPr>
          <w:rStyle w:val="SCCCounselNameChar"/>
          <w:i w:val="0"/>
          <w:sz w:val="20"/>
        </w:rPr>
        <w:t>Written submissions only by</w:t>
      </w:r>
      <w:r w:rsidRPr="00CB4A11">
        <w:rPr>
          <w:rStyle w:val="SCCCounselNameChar"/>
          <w:sz w:val="20"/>
        </w:rPr>
        <w:t xml:space="preserve"> Susan M. Chapman</w:t>
      </w:r>
      <w:r w:rsidRPr="00091A37">
        <w:rPr>
          <w:rStyle w:val="SCCCounselSeparatorChar"/>
          <w:sz w:val="20"/>
          <w:lang w:val="en-CA"/>
        </w:rPr>
        <w:t xml:space="preserve">, </w:t>
      </w:r>
      <w:r w:rsidRPr="00CB4A11">
        <w:rPr>
          <w:rStyle w:val="SCCCounselNameChar"/>
          <w:sz w:val="20"/>
        </w:rPr>
        <w:t>Jennifer Micallef</w:t>
      </w:r>
      <w:r w:rsidRPr="00091A37">
        <w:rPr>
          <w:rStyle w:val="SCCCounselSeparatorChar"/>
          <w:sz w:val="20"/>
          <w:lang w:val="en-CA"/>
        </w:rPr>
        <w:t xml:space="preserve"> and </w:t>
      </w:r>
      <w:r w:rsidRPr="00CB4A11">
        <w:rPr>
          <w:rStyle w:val="SCCCounselNameChar"/>
          <w:sz w:val="20"/>
        </w:rPr>
        <w:t>Kristen Allen</w:t>
      </w:r>
      <w:r w:rsidRPr="00CB4A11">
        <w:rPr>
          <w:rStyle w:val="SCCCounselPartyRoleChar"/>
          <w:sz w:val="20"/>
        </w:rPr>
        <w:t>, for the intervener the Criminal Lawyers’ Association.</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Solicitors for the appellant:  Sam Goldstein, Toronto; Shelley Flam, Toronto.</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respondent:  Attorney General of Ontario, Toronto.</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intervener the Director of Public Prosecutions of Canada:  Public Prosecution Service of Canada, Toronto.</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intervener the Attorney General of Quebec:  Attorney General of Quebec, Québec.</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intervener the Attorney General of Alberta:  Attorney General of Alberta, Calgary.</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intervener the Samuelson</w:t>
      </w:r>
      <w:r w:rsidRPr="00CB4A11">
        <w:rPr>
          <w:sz w:val="20"/>
        </w:rPr>
        <w:noBreakHyphen/>
        <w:t>Glushko Canadian Internet Policy and Public Interest Clinic:  University of Ottawa, Ottawa.</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Solicitors for the intervener the British Columbia Civil Liberties Association:  Ruby Shiller Chan Hasan, Toronto.</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Solicitors for the intervener the Criminal Trial Lawyers’ Association (Alberta):  Pringle, Chivers, Sparks, Teskey, Edmonton; Gowling Lafleur Henderson, Ottawa.</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Solicitors for the intervener the Canadian Civil Liberties Association:  Davies Ward Phillips &amp; Vineberg, Toronto.</w:t>
      </w:r>
    </w:p>
    <w:p w:rsidR="00091A37" w:rsidRDefault="00091A37" w:rsidP="00091A37">
      <w:pPr>
        <w:pStyle w:val="SCCLawFirm"/>
        <w:spacing w:line="240" w:lineRule="auto"/>
        <w:rPr>
          <w:sz w:val="20"/>
        </w:rPr>
      </w:pPr>
    </w:p>
    <w:p w:rsidR="00091A37" w:rsidRPr="00CB4A11" w:rsidRDefault="00091A37" w:rsidP="00091A37">
      <w:pPr>
        <w:pStyle w:val="SCCLawFirm"/>
        <w:spacing w:line="240" w:lineRule="auto"/>
        <w:rPr>
          <w:sz w:val="20"/>
        </w:rPr>
      </w:pPr>
      <w:r w:rsidRPr="00CB4A11">
        <w:rPr>
          <w:sz w:val="20"/>
        </w:rPr>
        <w:tab/>
        <w:t>Solicitor for the intervener the Canadian Association of Chiefs of Police:  City of Vancouver, Vancouver.</w:t>
      </w:r>
    </w:p>
    <w:p w:rsidR="00091A37" w:rsidRDefault="00091A37" w:rsidP="00091A37">
      <w:pPr>
        <w:pStyle w:val="SCCLawFirm"/>
        <w:spacing w:line="240" w:lineRule="auto"/>
        <w:rPr>
          <w:sz w:val="20"/>
        </w:rPr>
      </w:pPr>
    </w:p>
    <w:p w:rsidR="00091A37" w:rsidRDefault="00091A37">
      <w:pPr>
        <w:rPr>
          <w:rFonts w:eastAsia="Times New Roman" w:cs="Times New Roman"/>
          <w:i/>
          <w:sz w:val="20"/>
          <w:szCs w:val="20"/>
          <w:lang w:eastAsia="en-CA"/>
        </w:rPr>
      </w:pPr>
      <w:r>
        <w:rPr>
          <w:sz w:val="20"/>
        </w:rPr>
        <w:br w:type="page"/>
      </w:r>
    </w:p>
    <w:p w:rsidR="00091A37" w:rsidRDefault="00091A37" w:rsidP="00091A37">
      <w:pPr>
        <w:pStyle w:val="SCCLawFirm"/>
        <w:spacing w:line="240" w:lineRule="auto"/>
        <w:rPr>
          <w:sz w:val="20"/>
        </w:rPr>
      </w:pPr>
      <w:r w:rsidRPr="00CB4A11">
        <w:rPr>
          <w:sz w:val="20"/>
        </w:rPr>
        <w:lastRenderedPageBreak/>
        <w:tab/>
        <w:t>Solicitors for the intervener the Criminal Lawyers’ Association:  Ursel Phillips Fellows Hopkinson, Toronto.</w:t>
      </w:r>
    </w:p>
    <w:p w:rsidR="0052229C" w:rsidRPr="00091A37" w:rsidRDefault="0052229C" w:rsidP="0052229C">
      <w:pPr>
        <w:rPr>
          <w:rFonts w:cs="Times New Roman"/>
          <w:sz w:val="20"/>
          <w:szCs w:val="20"/>
          <w:lang w:val="fr-CA"/>
        </w:rPr>
      </w:pPr>
      <w:r w:rsidRPr="00091A37">
        <w:rPr>
          <w:rFonts w:cs="Times New Roman"/>
          <w:sz w:val="20"/>
          <w:szCs w:val="20"/>
          <w:lang w:val="fr-CA"/>
        </w:rPr>
        <w:t>________________________</w:t>
      </w:r>
    </w:p>
    <w:p w:rsidR="0052229C" w:rsidRPr="00091A37" w:rsidRDefault="0052229C" w:rsidP="0052229C">
      <w:pPr>
        <w:rPr>
          <w:rFonts w:cs="Times New Roman"/>
          <w:sz w:val="20"/>
          <w:szCs w:val="20"/>
          <w:lang w:val="fr-CA"/>
        </w:rPr>
      </w:pPr>
    </w:p>
    <w:p w:rsidR="00091A37" w:rsidRPr="00FA0A07" w:rsidRDefault="00091A37" w:rsidP="00091A37">
      <w:pPr>
        <w:jc w:val="both"/>
        <w:rPr>
          <w:sz w:val="20"/>
          <w:szCs w:val="20"/>
          <w:lang w:val="fr-CA"/>
        </w:rPr>
      </w:pPr>
      <w:r w:rsidRPr="00FA0A07">
        <w:rPr>
          <w:sz w:val="20"/>
          <w:szCs w:val="20"/>
          <w:lang w:val="fr-CA"/>
        </w:rPr>
        <w:t>Présents : La juge en chef McLachlin et les juges LeBel, Abella, Cromwell, Moldaver, Karakatsanis et Wagner.</w:t>
      </w:r>
    </w:p>
    <w:p w:rsidR="00091A37" w:rsidRDefault="00091A37" w:rsidP="00091A37">
      <w:pPr>
        <w:jc w:val="both"/>
        <w:rPr>
          <w:smallCaps/>
          <w:sz w:val="20"/>
          <w:lang w:val="fr-CA"/>
        </w:rPr>
      </w:pPr>
    </w:p>
    <w:p w:rsidR="00091A37" w:rsidRPr="00FA0A07" w:rsidRDefault="00091A37" w:rsidP="00091A37">
      <w:pPr>
        <w:pStyle w:val="SCCNormalDoubleSpacing"/>
        <w:spacing w:line="240" w:lineRule="auto"/>
        <w:rPr>
          <w:i/>
          <w:sz w:val="20"/>
          <w:lang w:val="fr-CA"/>
        </w:rPr>
      </w:pPr>
      <w:r w:rsidRPr="00FA0A07">
        <w:rPr>
          <w:sz w:val="20"/>
          <w:lang w:val="fr-CA"/>
        </w:rPr>
        <w:tab/>
      </w:r>
      <w:r w:rsidRPr="00FA0A07">
        <w:rPr>
          <w:i/>
          <w:sz w:val="20"/>
          <w:lang w:val="fr-CA"/>
        </w:rPr>
        <w:t>Droit constitutionnel — Charte des droits — Fouilles, perquisitions et saisies — Fouille accessoire à une arrestation — Téléphone cellulaire trouvé sur l’accusé et fouillé sans mandat — Message texte et photos trouvés sur le téléphone produits en preuve au procès — Le cadre général de la common law régissant les fouilles accessoires à l’arrestation doit</w:t>
      </w:r>
      <w:r w:rsidRPr="00FA0A07">
        <w:rPr>
          <w:i/>
          <w:sz w:val="20"/>
          <w:lang w:val="fr-CA"/>
        </w:rPr>
        <w:noBreakHyphen/>
        <w:t>il être modifié dans le cas des fouilles de téléphones cellulaires effectuées accessoirement à l’arrestation? — La fouille du téléphone cellulaire effectuée accessoirement à l’arrestation était</w:t>
      </w:r>
      <w:r w:rsidRPr="00FA0A07">
        <w:rPr>
          <w:i/>
          <w:sz w:val="20"/>
          <w:lang w:val="fr-CA"/>
        </w:rPr>
        <w:noBreakHyphen/>
        <w:t>elle abusive et contraire au droit de l’accusé à la protection contre les fouilles, les perquisitions et les saisies abusives? — Dans l’affirmative, les éléments de preuve découverts lors de la fouille doivent</w:t>
      </w:r>
      <w:r w:rsidRPr="00FA0A07">
        <w:rPr>
          <w:i/>
          <w:sz w:val="20"/>
          <w:lang w:val="fr-CA"/>
        </w:rPr>
        <w:noBreakHyphen/>
        <w:t>ils être écartés? — Charte canadienne des droits et libertés, art. 8, 24(2).</w:t>
      </w:r>
    </w:p>
    <w:p w:rsidR="00091A37" w:rsidRDefault="00091A37" w:rsidP="00091A37">
      <w:pPr>
        <w:pStyle w:val="SCCNormalDoubleSpacing"/>
        <w:spacing w:line="240" w:lineRule="auto"/>
        <w:rPr>
          <w:i/>
          <w:sz w:val="20"/>
          <w:lang w:val="fr-CA"/>
        </w:rPr>
      </w:pPr>
    </w:p>
    <w:p w:rsidR="00091A37" w:rsidRPr="00FA0A07" w:rsidRDefault="00091A37" w:rsidP="00091A37">
      <w:pPr>
        <w:pStyle w:val="SCCNormalDoubleSpacing"/>
        <w:spacing w:line="240" w:lineRule="auto"/>
        <w:rPr>
          <w:sz w:val="20"/>
          <w:lang w:val="fr-CA"/>
        </w:rPr>
      </w:pPr>
      <w:r w:rsidRPr="00FA0A07">
        <w:rPr>
          <w:i/>
          <w:sz w:val="20"/>
          <w:lang w:val="fr-CA"/>
        </w:rPr>
        <w:tab/>
        <w:t>Police — Pouvoirs — Fouille accessoire à une arrestation — Fouille sans mandat d’un téléphone cellulaire — Message texte et photos trouvés sur le téléphone produits en preuve au procès de l’accusé — Le pouvoir que la common law accorde aux policiers de procéder à une fouille accessoire à l’arrestation permet</w:t>
      </w:r>
      <w:r w:rsidRPr="00FA0A07">
        <w:rPr>
          <w:i/>
          <w:sz w:val="20"/>
          <w:lang w:val="fr-CA"/>
        </w:rPr>
        <w:noBreakHyphen/>
        <w:t>il la fouille d’un téléphone cellulaire? — La fouille du téléphone cellulaire effectuée accessoirement à l’arrestation était</w:t>
      </w:r>
      <w:r w:rsidRPr="00FA0A07">
        <w:rPr>
          <w:i/>
          <w:sz w:val="20"/>
          <w:lang w:val="fr-CA"/>
        </w:rPr>
        <w:noBreakHyphen/>
        <w:t>elle abusive et contraire au droit de l’accusé à la protection contre les fouilles, les perquisitions et les saisies abusives? — Charte canadienne des droits et libertés, art. 8.</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Deux hommes, l’un armé d’une arme de poing, ont volé une commerçante alors qu’elle déposait des bijoux dans sa voiture.  Les voleurs ont attrapé des sacs, dont l’un était rempli de bijoux, et se sont enfuis dans un véhicule noir.  Les policiers sont intervenus très peu de temps après.  À ce moment</w:t>
      </w:r>
      <w:r w:rsidRPr="00FA0A07">
        <w:rPr>
          <w:sz w:val="20"/>
          <w:lang w:val="fr-CA"/>
        </w:rPr>
        <w:noBreakHyphen/>
        <w:t>là, ils n’avaient pas trouvé les bijoux ni l’arme.  Plus tard dans la soirée, ils ont repéré et saisi le véhicule utilisé par les fuyards, et ils ont arrêté F et C.  Lors de la fouille par palpation de F effectuée accessoirement à l’arrestation, les policiers ont trouvé un téléphone cellulaire dans sa poche.  Les policiers ont fouillé le téléphone à ce moment</w:t>
      </w:r>
      <w:r w:rsidRPr="00FA0A07">
        <w:rPr>
          <w:sz w:val="20"/>
          <w:lang w:val="fr-CA"/>
        </w:rPr>
        <w:noBreakHyphen/>
        <w:t>là, puis une autre fois moins de deux heures après l’arrestation.  Ils ont trouvé un projet de message texte rédigé comme suit : « On l’a fait, où sont les bijoux, nègre burrrrrrrrrrr » et quelques photos, y compris un cliché d’une arme de poing.  Une journée et demi plus tard, lorsque les policiers ont obtenu un mandat pour fouiller le véhicule, ils ont trouvé l’arme utilisée au cours du vol et apparaissant sur la photo.  Des mois plus tard, les policiers ont demandé et obtenu un mandat pour fouiller le contenu du téléphone.  Aucun nouvel élément de preuve n’a été découvert.</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Lors d’un voir</w:t>
      </w:r>
      <w:r w:rsidRPr="00FA0A07">
        <w:rPr>
          <w:sz w:val="20"/>
          <w:lang w:val="fr-CA"/>
        </w:rPr>
        <w:noBreakHyphen/>
        <w:t xml:space="preserve">dire, la juge du procès a conclu que la fouille du téléphone cellulaire effectuée accessoirement à l’arrestation ne contrevenait pas à l’art. 8 de la </w:t>
      </w:r>
      <w:r w:rsidRPr="00FA0A07">
        <w:rPr>
          <w:i/>
          <w:sz w:val="20"/>
          <w:lang w:val="fr-CA"/>
        </w:rPr>
        <w:t>Charte</w:t>
      </w:r>
      <w:r w:rsidRPr="00FA0A07">
        <w:rPr>
          <w:sz w:val="20"/>
          <w:lang w:val="fr-CA"/>
        </w:rPr>
        <w:t xml:space="preserve">.  Elle a admis en preuve les photos et le message texte et a déclaré F coupable de vol qualifié perpétré avec une arme à feu et d’infractions connexes.  La Cour d’appel a rejeté l’appel.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r>
      <w:r w:rsidRPr="00FA0A07">
        <w:rPr>
          <w:i/>
          <w:sz w:val="20"/>
          <w:lang w:val="fr-CA"/>
        </w:rPr>
        <w:t xml:space="preserve">Arrêt </w:t>
      </w:r>
      <w:r w:rsidRPr="00FA0A07">
        <w:rPr>
          <w:rStyle w:val="QuoteChar"/>
          <w:sz w:val="20"/>
          <w:lang w:val="fr-CA"/>
        </w:rPr>
        <w:t>(les juges LeBel, Abella et Karakatsanis sont dissidents) :</w:t>
      </w:r>
      <w:r w:rsidRPr="00FA0A07">
        <w:rPr>
          <w:sz w:val="20"/>
          <w:lang w:val="fr-CA"/>
        </w:rPr>
        <w:t xml:space="preserve"> Le pourvoi est rejeté.</w:t>
      </w:r>
    </w:p>
    <w:p w:rsidR="00091A37" w:rsidRDefault="00091A37" w:rsidP="00091A37">
      <w:pPr>
        <w:pStyle w:val="SCCNormalDoubleSpacing"/>
        <w:spacing w:line="240" w:lineRule="auto"/>
        <w:rPr>
          <w:i/>
          <w:sz w:val="20"/>
          <w:lang w:val="fr-CA"/>
        </w:rPr>
      </w:pPr>
    </w:p>
    <w:p w:rsidR="00091A37" w:rsidRPr="00FA0A07" w:rsidRDefault="00091A37" w:rsidP="00091A37">
      <w:pPr>
        <w:pStyle w:val="SCCNormalDoubleSpacing"/>
        <w:spacing w:line="240" w:lineRule="auto"/>
        <w:rPr>
          <w:sz w:val="20"/>
          <w:lang w:val="fr-CA"/>
        </w:rPr>
      </w:pPr>
      <w:r w:rsidRPr="00FA0A07">
        <w:rPr>
          <w:i/>
          <w:sz w:val="20"/>
          <w:lang w:val="fr-CA"/>
        </w:rPr>
        <w:tab/>
        <w:t xml:space="preserve">La </w:t>
      </w:r>
      <w:r w:rsidRPr="00FA0A07">
        <w:rPr>
          <w:sz w:val="20"/>
          <w:lang w:val="fr-CA"/>
        </w:rPr>
        <w:t xml:space="preserve">juge en chef McLachlin et les juges </w:t>
      </w:r>
      <w:r w:rsidRPr="00FA0A07">
        <w:rPr>
          <w:b/>
          <w:sz w:val="20"/>
          <w:lang w:val="fr-CA"/>
        </w:rPr>
        <w:t>Cromwell</w:t>
      </w:r>
      <w:r w:rsidRPr="00FA0A07">
        <w:rPr>
          <w:sz w:val="20"/>
          <w:lang w:val="fr-CA"/>
        </w:rPr>
        <w:t xml:space="preserve">, Moldaver et Wagner : Le pouvoir de common law de procéder à une fouille accessoire à une arrestation légale permet la fouille de téléphones cellulaires et d’appareils similaires trouvés sur le suspect, bien qu’il soit nécessaire de modifier dans une certaine mesure le cadre actuel de la common law parce que la fouille d’un téléphone cellulaire est susceptible de constituer une atteinte à la vie privée beaucoup plus grave que la fouille normale accessoire à l’arrestation.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Le pouvoir de procéder à une fouille accessoire à l’arrestation est extraordinaire en ce qu’il permet les fouilles non abusives lorsque les policiers n’ont ni mandat ni motifs raisonnables et probables. </w:t>
      </w:r>
      <w:r w:rsidRPr="00FA0A07">
        <w:rPr>
          <w:b/>
          <w:sz w:val="20"/>
          <w:lang w:val="fr-CA"/>
        </w:rPr>
        <w:t xml:space="preserve"> </w:t>
      </w:r>
      <w:r w:rsidRPr="00FA0A07">
        <w:rPr>
          <w:sz w:val="20"/>
          <w:lang w:val="fr-CA"/>
        </w:rPr>
        <w:t>Le fait que l’on considère généralement que l’exercice de ce pouvoir extraordinaire résiste au contrôle constitutionnel reflète les objectifs importants d’application de la loi réalisés au moyen de la fouille d’une personne arrêtée légalement.  Ce pouvoir doit être exercé dans la poursuite d’un objectif valable lié à la bonne administration de la justice, et la fouille doit être véritablement accessoire à l’arrestation.</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Tout comme les autres fouilles accessoires à l’arrestation, les fouilles accessoires à l’arrestation effectuées rapidement à l’égard de téléphones cellulaires peuvent permettre de réaliser d’importants objectifs d’application de la </w:t>
      </w:r>
      <w:r w:rsidRPr="00FA0A07">
        <w:rPr>
          <w:sz w:val="20"/>
          <w:lang w:val="fr-CA"/>
        </w:rPr>
        <w:lastRenderedPageBreak/>
        <w:t xml:space="preserve">loi : elles peuvent aider les policiers à identifier et à atténuer les risques pour la sécurité du public; à trouver des armes à feu ou des biens volés; à identifier des complices; à repérer et conserver des éléments de preuve; à empêcher les suspects d’échapper ou de résister aux policiers; à repérer les autres auteurs du crime; à prévenir les policiers de dangers imminents possibles; à effectuer un suivi rapide des indices.  Les fouilles de téléphone cellulaire répondent aussi à des considérations d’urgence, ce qui justifie l’élargissement du pouvoir de fouille accessoire à l’arrestation.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Des garanties doivent être ajoutées au droit relatif aux fouilles accessoires à l’arrestation à l’égard de téléphones cellulaires afin que ce pouvoir soit conforme à l’art. 8 de la </w:t>
      </w:r>
      <w:r w:rsidRPr="00FA0A07">
        <w:rPr>
          <w:i/>
          <w:sz w:val="20"/>
          <w:lang w:val="fr-CA"/>
        </w:rPr>
        <w:t>Charte</w:t>
      </w:r>
      <w:r w:rsidRPr="00FA0A07">
        <w:rPr>
          <w:sz w:val="20"/>
          <w:lang w:val="fr-CA"/>
        </w:rPr>
        <w:t xml:space="preserve">.  Le but de l’exercice consiste en définitive à établir un équilibre qui prend dûment en compte, d’une part, les importants objectifs d’application de la loi que les fouilles accessoires à l’arrestation permettent de réaliser, et d’autre part, les intérêts très importants que l’on porte au respect de la vie privée en jeu lors des fouilles d’un téléphone cellulaire.  Par conséquent, quatre conditions doivent être réunies pour que la fouille d’un téléphone cellulaire ou d’un appareil similaire effectuée accessoirement à l’arrestation soit conforme à l’art. 8.  Premièrement, l’arrestation doit être légale.  Deuxièmement, la fouille doit être véritablement accessoire à l’arrestation.  Cette exigence devrait être appliquée strictement pour permettre les fouilles qui doivent être effectuées rapidement après l’arrestation afin de réaliser efficacement les objectifs d’application de la loi.  Dans ce contexte, ces objectifs sont les suivants : protéger la police, l’accusé ou le public; conserver les éléments de preuve; et, si l’enquête sera paralysée ou sérieusement entravée parce qu’on ne peut pas procéder rapidement à la fouille, découvrir des éléments de preuve.  Troisièmement, la nature et l’étendue de la fouille doivent être adaptées à son objectif.  Cela signifiera en pratique que, généralement, seuls les courriels, photos et messages textes récents, ainsi que le registre des appels, pourront être examinés bien que, dans certaines circonstances, d’autres fouilles puissent être justifiées.  Enfin, les policiers doivent prendre des notes détaillées de ce qu’ils ont examiné sur l’appareil et de la façon dont ils l’ont fait.  Les notes doivent généralement porter sur les applications ayant fait l’objet d’une fouille ainsi que sur l’étendue, l’heure, les objectifs et la durée de la fouille.  L’exigence de conserver des notes est importante pour l’efficacité du contrôle judiciaire après le fait.  Elle aidera aussi les policiers à se concentrer sur la question de savoir si les mesures prises à l’égard du téléphone sont conformes aux paramètres d’une fouille légale accessoire à l’arrestation.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Aucune des trois modifications principales proposées auparavant par la jurisprudence au pouvoir de common law de procéder à une fouille accessoire à l’arrestation à l’égard de téléphones cellulaires n’établit l’équilibre requis par l’art. 8.  En premier lieu, les facteurs qui ont incité la Cour à adopter une approche catégorique à l’égard de la saisie non consensuelle d’échantillons corporels sont entièrement absents en l’espèce.  En deuxième lieu, les policiers auront rarement des motifs raisonnables et probables de procéder à une fouille pour des raisons de sécurité, ou de croire que des éléments de preuve de l’infraction se trouveront sur le téléphone au moment de l’arrestation.  En troisième lieu, permettre les fouilles de téléphones cellulaires seulement en situation d’urgence recèlerait les mêmes pièges que l’imposition d’une norme de motifs raisonnables et probables et atténuerait sensiblement les objectifs d’application de la loi que les fouilles effectuées rapidement permettent de réaliser.  De plus, l’application, à l’exigence d’obtenir un mandat, de l’exception relative à la fouille accessoire à l’arrestation ne constitue pas un sous</w:t>
      </w:r>
      <w:r w:rsidRPr="00FA0A07">
        <w:rPr>
          <w:sz w:val="20"/>
          <w:lang w:val="fr-CA"/>
        </w:rPr>
        <w:noBreakHyphen/>
        <w:t>ensemble de l’exception en cas de situation d’urgence.</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En l’espèce, la fouille initiale du téléphone cellulaire, qui a permis de découvrir tous les éléments de preuve provenant du téléphone et présentés par le ministère public au procès, a porté atteinte aux droits que l’art. 8 garantit à F.  Même si cette fouille était véritablement accessoire à l’arrestation de F pour vol qualifié, si elle visait des objectifs valables d’application de la loi et si elle était liée de manière appropriée à l’infraction pour laquelle F avait été légalement arrêté, il n’y avait pas d’éléments de preuve détaillés indiquant avec précision le contenu qui a fait l’objet de la fouille, la façon dont la fouille a été effectuée et la raison pour laquelle elle a été effectuée.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Malgré cette atteinte, les éléments de preuve ne devraient pas être écartés.  L’incidence de la violation sur les intérêts de F que protège la </w:t>
      </w:r>
      <w:r w:rsidRPr="00FA0A07">
        <w:rPr>
          <w:i/>
          <w:sz w:val="20"/>
          <w:lang w:val="fr-CA"/>
        </w:rPr>
        <w:t>Charte</w:t>
      </w:r>
      <w:r w:rsidRPr="00FA0A07">
        <w:rPr>
          <w:sz w:val="20"/>
          <w:lang w:val="fr-CA"/>
        </w:rPr>
        <w:t xml:space="preserve"> milite en faveur de l’exclusion de la preuve, mais elle ne le fait pas de façon convaincante.  Bien que toute fouille d’un téléphone cellulaire risque de constituer une atteinte très importante à l’intérêt que porte une personne à la protection du caractère privé des renseignements qu’il contient, l’atteinte à la vie privée de F n’était pas particulièrement grave.  En outre, comme il n’a pas contesté le mandat qui a été subséquemment décerné relativement à la fouille complète du téléphone cellulaire, il y aurait eu d’une façon ou d’une autre une incidence sur ses intérêts en matière de respect de la vie privée, et la violation dans ce cas n’a pas changé considérablement la nature de cette incidence.  Toutefois, d’autres facteurs militent en faveur de l’inclusion de la preuve.  Pour ce qui est de la gravité de la conduite attentatoire de l’État, l’opinion dominante au moment de l’arrestation approuvait les fouilles accessoires à l’arrestation à l’égard de téléphones cellulaires.  De plus, les policiers </w:t>
      </w:r>
      <w:r w:rsidRPr="00FA0A07">
        <w:rPr>
          <w:sz w:val="20"/>
          <w:lang w:val="fr-CA"/>
        </w:rPr>
        <w:lastRenderedPageBreak/>
        <w:t>ont présenté un état détaillé des fouilles effectuées précédemment lorsqu’ils ont décidé d’obtenir le mandat autorisant la fouille du téléphone cellulaire.  Bien que les policiers devraient, lorsqu’ils sont vraiment incertains, opter pour une ligne de conduite qui est plus respectueuse des droits que l’accusé pourrait avoir en matière de respect de la vie privée, une erreur honnête, commise raisonnablement, ne constitue pas une inconduite de l’État qui exige l’exclusion des éléments de preuve.  L’intérêt de la société à ce que l’affaire soit jugée au fond milite aussi en faveur de l’admission de la preuve : les éléments de preuve sont convaincants et fiables, et leur exclusion minerait la fonction de recherche de la vérité du système de justice.</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r>
      <w:r w:rsidRPr="00FA0A07">
        <w:rPr>
          <w:i/>
          <w:sz w:val="20"/>
          <w:lang w:val="fr-CA"/>
        </w:rPr>
        <w:t>Les</w:t>
      </w:r>
      <w:r w:rsidRPr="00FA0A07">
        <w:rPr>
          <w:sz w:val="20"/>
          <w:lang w:val="fr-CA"/>
        </w:rPr>
        <w:t xml:space="preserve"> juges LeBel, Abella et Karakatsanis (dissidents) : Les fouilles d’appareils numériques personnels — y compris les ordinateurs personnels — risquent d’entraîner des empiétements graves sur la vie privée et elles ne sont en conséquence pas autorisées en vertu du pouvoir de fouille accessoire à l’arrestation que reconnaît la common law.  Seul un régime d’autorisation judiciaire préalable permet de réaliser une mise en équilibre effective et impartiale des objectifs de l’État en matière d’application de la loi et des intérêts éminemment personnels et extrêmement généralisés que les gens portent au respect de leur vie privée liée aux appareils numériques.  L’article 8 de la </w:t>
      </w:r>
      <w:r w:rsidRPr="00FA0A07">
        <w:rPr>
          <w:i/>
          <w:sz w:val="20"/>
          <w:lang w:val="fr-CA"/>
        </w:rPr>
        <w:t>Charte</w:t>
      </w:r>
      <w:r w:rsidRPr="00FA0A07">
        <w:rPr>
          <w:sz w:val="20"/>
          <w:lang w:val="fr-CA"/>
        </w:rPr>
        <w:t xml:space="preserve"> accorde la protection de la Constitution à la vie privée, ce qui englobe le droit à la protection contre la menace d’atteintes abusives à la vie privée ainsi que le droit de déterminer quand, comment et dans quelle mesure diffuser des renseignements personnels.</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L’intérêt des autorités chargées de l’application de la loi l’emportera généralement sur l’intérêt que porte la personne arrêtée aux objets matériels qui se trouvent dans son environnement immédiat.  Toutefois, comme l’intérêt porté au respect de la vie privée à l’égard d’un appareil numérique diffère, sur les plans quantitatif et qualitatif, de celui applicable à d’autres objets matériels qui sont traditionnellement visés par de telles fouilles, l’équilibre constitutionnel entre le respect de la vie privée et les exigences de l’application de la loi en ce qui concerne la fouille de téléphones cellulaires et d’appareils semblables effectuée accessoirement à une arrestation doit être réévalué en fonction des principes de base.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Un téléphone cellulaire ne saurait être traité comme n’importe quel autre élément de preuve matériel trouvé sur une personne arrêtée et fouillée accessoirement à l’arrestation.  Les citoyens ont des attentes élevées en matière de respect de leur vie privée en ce qui concerne leurs appareils numériques parce que ces appareils stockent d’immenses quantités de données, tiennent les dossiers de façon très méticuleuse, conservent des fichiers et des données, même après que les utilisateurs croient les avoir détruits, rendent inutiles les limites de temps et d’espace intrinsèques aux fouilles accessoires à une arrestation et peuvent continuer de générer des éléments de preuve même après leur saisie.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Les intérêts liés à l’application de la loi ont trait aux trois objectifs qui justifient une fouille accessoire à une arrestation : la sécurité, la préservation de la preuve et la découverte d’éléments de preuve.  Les appareils numériques ne constituent pas des armes physiquement dangereuses et ne peuvent dissimuler une telle arme.  La simple possibilité qu’un téléphone puisse avoir été utilisé pour appeler des renforts ou que des éléments de preuve se trouvant dans le téléphone puissent être supprimés à distance ne devrait pas justifier une fouille accessoire à une arrestation.  Bien que le délai pour obtenir un mandat puisse nuire à la poursuite rapide de l’enquête, cet inconvénient doit être soupesé au regard de l’intérêt des gens au respect de leur vie privée à l’égard de leur appareil numérique personnel.</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Il est possible de tenir compte des intérêts les plus urgents de l’État en appliquant la règle actuelle, qui autorise les fouilles sans mandat selon l’urgence de la situation.  La situation est urgente lorsqu’il existe (1) soit des motifs raisonnables de soupçonner qu’une fouille peut éviter une menace imminente à la sécurité, (2) soit des motifs raisonnables de croire qu’une fouille sans mandat peut empêcher la destruction imminente d’éléments de preuve.  Si la situation n’est pas urgente, les policiers peuvent habituellement obtenir assez rapidement un télémandat, et cette démarche a peu d’incidence sur l’enquête.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Ainsi, l’important intérêt qu’une personne arrêtée porte au respect de sa vie privée à l’égard de son appareil numérique personnel l’emporte sur l’intérêt qu’a l’État à effectuer une fouille sans mandat accessoire à l’arrestation.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Les fouilles au cours desquelles le téléphone cellulaire est considéré simplement comme un objet physique demeurent autorisées à titre de mesures accessoires à une arrestation puisque ce sont les données qui suscitent des attentes élevées en matière de respect de la vie privée.  Ainsi, les policiers peuvent généralement saisir un téléphone </w:t>
      </w:r>
      <w:r w:rsidRPr="00FA0A07">
        <w:rPr>
          <w:sz w:val="20"/>
          <w:lang w:val="fr-CA"/>
        </w:rPr>
        <w:lastRenderedPageBreak/>
        <w:t>accessoirement à une arrestation pour préserver des éléments de preuve, mais ils doivent obtenir un mandat avant de pouvoir fouiller</w:t>
      </w:r>
      <w:r w:rsidRPr="00FA0A07">
        <w:rPr>
          <w:i/>
          <w:sz w:val="20"/>
          <w:lang w:val="fr-CA"/>
        </w:rPr>
        <w:t xml:space="preserve"> </w:t>
      </w:r>
      <w:r w:rsidRPr="00FA0A07">
        <w:rPr>
          <w:sz w:val="20"/>
          <w:lang w:val="fr-CA"/>
        </w:rPr>
        <w:t>le contenu de l’appareil.</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Lorsqu’ils fouillent un téléphone cellulaire, que ce soit en raison de l’urgence de la situation ou conformément à un mandat, les policiers ne doivent pas élargir leurs recherches au</w:t>
      </w:r>
      <w:r w:rsidRPr="00FA0A07">
        <w:rPr>
          <w:sz w:val="20"/>
          <w:lang w:val="fr-CA"/>
        </w:rPr>
        <w:noBreakHyphen/>
        <w:t xml:space="preserve">delà de ce que permettent les motifs justifiant la fouille.  </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Le fait d’adapter l’étendue du pouvoir de common law de procéder à une fouille accessoire à une arrestation ne protège pas adéquatement les attentes raisonnables en matière de respect de la vie privée à l’égard des appareils numériques personnels.  Les modifications que proposent les juges majoritaires soulèvent des difficultés puisqu’elles ne seront pas pratiques, engendreront l’incertitude chez les policiers et accroîtront les contestations après le fait.  Et bien que la prise de notes détaillées puisse être souhaitable, elle peut s’avérer une exigence non pratique et ne constitue pas une solution adéquate en présence d’un pouvoir extraordinaire de procéder à une fouille.  Fondamentalement, les policiers ne sont pas les mieux placés pour déterminer si les objectifs d’application de la loi l’emportent clairement sur l’atteinte potentiellement importante à la vie privée que constitue la fouille d’un appareil numérique, et s’ils se trompent, l’exclusion subséquente des éléments de preuve ne remédiera pas à l’atteinte initiale à la vie privée.</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 xml:space="preserve">En l’espèce, les fouilles du téléphone de F n’étaient pas justifiées et ont porté atteinte de manière abusive à sa vie privée, en contravention de l’art. 8 de la </w:t>
      </w:r>
      <w:r w:rsidRPr="00FA0A07">
        <w:rPr>
          <w:i/>
          <w:sz w:val="20"/>
          <w:lang w:val="fr-CA"/>
        </w:rPr>
        <w:t>Charte</w:t>
      </w:r>
      <w:r w:rsidRPr="00FA0A07">
        <w:rPr>
          <w:sz w:val="20"/>
          <w:lang w:val="fr-CA"/>
        </w:rPr>
        <w:t xml:space="preserve">.  Les faits de l’espèce sont loin de satisfaire à l’une ou l’autre des normes de détermination de l’urgence de la situation.  </w:t>
      </w:r>
    </w:p>
    <w:p w:rsidR="00091A37" w:rsidRDefault="00091A37" w:rsidP="00091A37">
      <w:pPr>
        <w:pStyle w:val="SCCNormalDoubleSpacing"/>
        <w:spacing w:line="240" w:lineRule="auto"/>
        <w:rPr>
          <w:sz w:val="20"/>
          <w:lang w:val="fr-CA"/>
        </w:rPr>
      </w:pPr>
    </w:p>
    <w:p w:rsidR="00091A37" w:rsidRDefault="00091A37" w:rsidP="00091A37">
      <w:pPr>
        <w:pStyle w:val="SCCNormalDoubleSpacing"/>
        <w:spacing w:line="240" w:lineRule="auto"/>
        <w:rPr>
          <w:sz w:val="20"/>
          <w:lang w:val="fr-CA"/>
        </w:rPr>
      </w:pPr>
      <w:r w:rsidRPr="00FA0A07">
        <w:rPr>
          <w:sz w:val="20"/>
          <w:lang w:val="fr-CA"/>
        </w:rPr>
        <w:tab/>
        <w:t>Les éléments de preuve obtenus en violation de la Constitution devraient être écartés.  La conduite de l’État n’était pas particulièrement répréhensible car les policiers avaient agi de bonne foi, et la preuve était fiable; cependant, l’intérêt élevé que les gens portent au respect de leur vie privée en ce qui concerne leurs appareils électroniques fait pencher la balance en faveur de l’exclusion de la preuve.  Les fouilles injustifiées minent la confiance des gens dans la protection des communications, idées et croyances personnelles se trouvant dans leurs appareils numériques.  Cette considération est particulièrement importante compte tenu de l’omniprésence et de l’utilisation sans cesse croissante de ces moyens techniques.  Il est difficile d’imaginer une sphère privée plus hautement personnelle — ou même plus répandue — que celle existant dans un appareil numérique ou un ordinateur personnel.  Permettre l’utilisation d’une preuve obtenue en violation de cet intérêt singulièrement important en matière de respect de la vie privée serait susceptible de déconsidérer l’administration de la justice.</w:t>
      </w:r>
    </w:p>
    <w:p w:rsidR="00091A37" w:rsidRDefault="00091A37" w:rsidP="00091A37">
      <w:pPr>
        <w:pStyle w:val="SCCNormalDoubleSpacing"/>
        <w:spacing w:line="240" w:lineRule="auto"/>
        <w:rPr>
          <w:sz w:val="20"/>
          <w:lang w:val="fr-CA"/>
        </w:rPr>
      </w:pPr>
    </w:p>
    <w:p w:rsidR="00091A37" w:rsidRPr="00FA0A07" w:rsidRDefault="00091A37" w:rsidP="00091A37">
      <w:pPr>
        <w:pStyle w:val="SCCNormalDoubleSpacing"/>
        <w:spacing w:line="240" w:lineRule="auto"/>
        <w:rPr>
          <w:sz w:val="20"/>
          <w:lang w:val="fr-CA"/>
        </w:rPr>
      </w:pPr>
      <w:r w:rsidRPr="00FA0A07">
        <w:rPr>
          <w:sz w:val="20"/>
          <w:lang w:val="fr-CA"/>
        </w:rPr>
        <w:tab/>
        <w:t>POURVOI contre un arrêt de la Cour d’appel de l’Ontario (les juges MacPherson, Armstrong et Watt), 2013 ONCA 106, 114 O.R. (3d) 81, 302 O.A.C. 284, 296 C.C.C. (3d) 331, 100 C.R. (6th) 296, 277 C.R.R. (2d) 126, [2013] O.J. No. 704 (QL), 2013 CarswellOnt 1703, qui a confirmé la déclaration de culpabilité de vol à main armée et de différentes infractions connexes prononcée contre l’accusé.  Pourvoi rejeté, les juges LeBel, Abella et Karakatsanis sont dissidents.</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Sam Goldstein</w:t>
      </w:r>
      <w:r w:rsidRPr="00FA0A07">
        <w:rPr>
          <w:rStyle w:val="SCCCounselSeparatorChar"/>
          <w:sz w:val="20"/>
        </w:rPr>
        <w:t xml:space="preserve"> et </w:t>
      </w:r>
      <w:r w:rsidRPr="00FA0A07">
        <w:rPr>
          <w:rStyle w:val="SCCCounselNameChar"/>
          <w:sz w:val="20"/>
          <w:lang w:val="fr-CA"/>
        </w:rPr>
        <w:t>Shelley Flam</w:t>
      </w:r>
      <w:r w:rsidRPr="00FA0A07">
        <w:rPr>
          <w:rStyle w:val="SCCCounselPartyRoleChar"/>
          <w:sz w:val="20"/>
          <w:lang w:val="fr-CA"/>
        </w:rPr>
        <w:t>, pour l’appelant.</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Randy Schwartz</w:t>
      </w:r>
      <w:r w:rsidRPr="00FA0A07">
        <w:rPr>
          <w:rStyle w:val="SCCCounselPartyRoleChar"/>
          <w:sz w:val="20"/>
          <w:lang w:val="fr-CA"/>
        </w:rPr>
        <w:t>, pour l’intimée.</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Kevin Wilson</w:t>
      </w:r>
      <w:r w:rsidRPr="00FA0A07">
        <w:rPr>
          <w:rStyle w:val="SCCCounselSeparatorChar"/>
          <w:sz w:val="20"/>
        </w:rPr>
        <w:t xml:space="preserve"> et </w:t>
      </w:r>
      <w:r w:rsidRPr="00FA0A07">
        <w:rPr>
          <w:rStyle w:val="SCCCounselNameChar"/>
          <w:sz w:val="20"/>
          <w:lang w:val="fr-CA"/>
        </w:rPr>
        <w:t>W. Paul Riley</w:t>
      </w:r>
      <w:r w:rsidRPr="00FA0A07">
        <w:rPr>
          <w:rStyle w:val="SCCCounselPartyRoleChar"/>
          <w:sz w:val="20"/>
          <w:lang w:val="fr-CA"/>
        </w:rPr>
        <w:t>, pour l’intervenant le directeur des poursuites pénales du Canada.</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Dominique A. Jobin</w:t>
      </w:r>
      <w:r w:rsidRPr="00FA0A07">
        <w:rPr>
          <w:rStyle w:val="SCCCounselPartyRoleChar"/>
          <w:sz w:val="20"/>
          <w:lang w:val="fr-CA"/>
        </w:rPr>
        <w:t>, pour l’intervenant le procureur général du Québec.</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Jolaine Antonio</w:t>
      </w:r>
      <w:r w:rsidRPr="00FA0A07">
        <w:rPr>
          <w:rStyle w:val="SCCCounselPartyRoleChar"/>
          <w:sz w:val="20"/>
          <w:lang w:val="fr-CA"/>
        </w:rPr>
        <w:t>, pour l’intervenant le procureur général de l’Alberta.</w:t>
      </w:r>
    </w:p>
    <w:p w:rsidR="00091A37" w:rsidRDefault="00091A37" w:rsidP="00091A37">
      <w:pPr>
        <w:pStyle w:val="SCCNormalDoubleSpacing"/>
        <w:spacing w:line="240" w:lineRule="auto"/>
        <w:rPr>
          <w:rStyle w:val="SCCCounselNameChar"/>
          <w:i w:val="0"/>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r>
      <w:r w:rsidRPr="00F51618">
        <w:rPr>
          <w:rStyle w:val="SCCCounselNameChar"/>
          <w:i w:val="0"/>
          <w:sz w:val="20"/>
          <w:lang w:val="fr-CA"/>
        </w:rPr>
        <w:t>Argumentation écrite seulement par</w:t>
      </w:r>
      <w:r w:rsidRPr="00FA0A07">
        <w:rPr>
          <w:rStyle w:val="SCCCounselNameChar"/>
          <w:sz w:val="20"/>
          <w:lang w:val="fr-CA"/>
        </w:rPr>
        <w:t xml:space="preserve"> Tamir Israel</w:t>
      </w:r>
      <w:r w:rsidRPr="00FA0A07">
        <w:rPr>
          <w:rStyle w:val="SCCCounselPartyRoleChar"/>
          <w:sz w:val="20"/>
          <w:lang w:val="fr-CA"/>
        </w:rPr>
        <w:t>, pour l’intervenante la Clinique d’intérêt public et de politique d’internet du Canada Samuelson</w:t>
      </w:r>
      <w:r w:rsidRPr="00FA0A07">
        <w:rPr>
          <w:rStyle w:val="SCCCounselPartyRoleChar"/>
          <w:sz w:val="20"/>
          <w:lang w:val="fr-CA"/>
        </w:rPr>
        <w:noBreakHyphen/>
        <w:t>Glushko.</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Gerald Chan</w:t>
      </w:r>
      <w:r w:rsidRPr="00FA0A07">
        <w:rPr>
          <w:rStyle w:val="SCCCounselSeparatorChar"/>
          <w:sz w:val="20"/>
        </w:rPr>
        <w:t xml:space="preserve"> et </w:t>
      </w:r>
      <w:r w:rsidRPr="00FA0A07">
        <w:rPr>
          <w:rStyle w:val="SCCCounselNameChar"/>
          <w:sz w:val="20"/>
          <w:lang w:val="fr-CA"/>
        </w:rPr>
        <w:t>Nader R. Hasan</w:t>
      </w:r>
      <w:r w:rsidRPr="00FA0A07">
        <w:rPr>
          <w:rStyle w:val="SCCCounselPartyRoleChar"/>
          <w:sz w:val="20"/>
          <w:lang w:val="fr-CA"/>
        </w:rPr>
        <w:t>, pour l’intervenante l’Association des libertés civiles de la Colombie</w:t>
      </w:r>
      <w:r w:rsidRPr="00FA0A07">
        <w:rPr>
          <w:rStyle w:val="SCCCounselPartyRoleChar"/>
          <w:sz w:val="20"/>
          <w:lang w:val="fr-CA"/>
        </w:rPr>
        <w:noBreakHyphen/>
        <w:t>Britannique.</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Dane F. Bullerwell</w:t>
      </w:r>
      <w:r w:rsidRPr="00FA0A07">
        <w:rPr>
          <w:rStyle w:val="SCCCounselPartyRoleChar"/>
          <w:sz w:val="20"/>
          <w:lang w:val="fr-CA"/>
        </w:rPr>
        <w:t xml:space="preserve"> et </w:t>
      </w:r>
      <w:r w:rsidRPr="00FA0A07">
        <w:rPr>
          <w:rStyle w:val="SCCCounselPartyRoleChar"/>
          <w:i/>
          <w:sz w:val="20"/>
          <w:lang w:val="fr-CA"/>
        </w:rPr>
        <w:t>Jeffrey W. Beedell</w:t>
      </w:r>
      <w:r w:rsidRPr="00FA0A07">
        <w:rPr>
          <w:rStyle w:val="SCCCounselPartyRoleChar"/>
          <w:sz w:val="20"/>
          <w:lang w:val="fr-CA"/>
        </w:rPr>
        <w:t>, pour l’intervenante Criminal Trial Lawyers’ Association (Alberta).</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Matthew Milne</w:t>
      </w:r>
      <w:r w:rsidRPr="00FA0A07">
        <w:rPr>
          <w:rStyle w:val="SCCCounselNameChar"/>
          <w:sz w:val="20"/>
          <w:lang w:val="fr-CA"/>
        </w:rPr>
        <w:noBreakHyphen/>
        <w:t>Smith</w:t>
      </w:r>
      <w:r w:rsidRPr="00FA0A07">
        <w:rPr>
          <w:rStyle w:val="SCCCounselPartyRoleChar"/>
          <w:sz w:val="20"/>
          <w:lang w:val="fr-CA"/>
        </w:rPr>
        <w:t>, pour l’intervenante l’Association canadienne des libertés civiles.</w:t>
      </w:r>
    </w:p>
    <w:p w:rsidR="00091A37" w:rsidRDefault="00091A37" w:rsidP="00091A37">
      <w:pPr>
        <w:pStyle w:val="SCCNormalDoubleSpacing"/>
        <w:spacing w:line="240" w:lineRule="auto"/>
        <w:rPr>
          <w:rStyle w:val="SCCCounselNameChar"/>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t>Leonard T. Doust, c.r.</w:t>
      </w:r>
      <w:r w:rsidRPr="00FA0A07">
        <w:rPr>
          <w:rStyle w:val="SCCCounselPartyRoleChar"/>
          <w:sz w:val="20"/>
          <w:lang w:val="fr-CA"/>
        </w:rPr>
        <w:t xml:space="preserve">, </w:t>
      </w:r>
      <w:r w:rsidRPr="00FA0A07">
        <w:rPr>
          <w:rStyle w:val="SCCCounselSeparatorChar"/>
          <w:sz w:val="20"/>
        </w:rPr>
        <w:t xml:space="preserve">et </w:t>
      </w:r>
      <w:r w:rsidRPr="00FA0A07">
        <w:rPr>
          <w:rStyle w:val="SCCCounselNameChar"/>
          <w:sz w:val="20"/>
          <w:lang w:val="fr-CA"/>
        </w:rPr>
        <w:t>Bronson Toy</w:t>
      </w:r>
      <w:r w:rsidRPr="00FA0A07">
        <w:rPr>
          <w:rStyle w:val="SCCCounselPartyRoleChar"/>
          <w:sz w:val="20"/>
          <w:lang w:val="fr-CA"/>
        </w:rPr>
        <w:t>, pour l’intervenante l’Association canadienne des chefs de police.</w:t>
      </w:r>
    </w:p>
    <w:p w:rsidR="00091A37" w:rsidRDefault="00091A37" w:rsidP="00091A37">
      <w:pPr>
        <w:pStyle w:val="SCCNormalDoubleSpacing"/>
        <w:spacing w:line="240" w:lineRule="auto"/>
        <w:rPr>
          <w:rStyle w:val="SCCCounselNameChar"/>
          <w:i w:val="0"/>
          <w:sz w:val="20"/>
          <w:lang w:val="fr-CA"/>
        </w:rPr>
      </w:pPr>
    </w:p>
    <w:p w:rsidR="00091A37" w:rsidRPr="00FA0A07" w:rsidRDefault="00091A37" w:rsidP="00091A37">
      <w:pPr>
        <w:pStyle w:val="SCCNormalDoubleSpacing"/>
        <w:spacing w:line="240" w:lineRule="auto"/>
        <w:rPr>
          <w:sz w:val="20"/>
          <w:lang w:val="fr-CA"/>
        </w:rPr>
      </w:pPr>
      <w:r w:rsidRPr="00FA0A07">
        <w:rPr>
          <w:rStyle w:val="SCCCounselNameChar"/>
          <w:sz w:val="20"/>
          <w:lang w:val="fr-CA"/>
        </w:rPr>
        <w:tab/>
      </w:r>
      <w:r w:rsidRPr="00F51618">
        <w:rPr>
          <w:rStyle w:val="SCCCounselNameChar"/>
          <w:i w:val="0"/>
          <w:sz w:val="20"/>
          <w:lang w:val="fr-CA"/>
        </w:rPr>
        <w:t>Argumentation écrite seulement par</w:t>
      </w:r>
      <w:r w:rsidRPr="00FA0A07">
        <w:rPr>
          <w:rStyle w:val="SCCCounselNameChar"/>
          <w:sz w:val="20"/>
          <w:lang w:val="fr-CA"/>
        </w:rPr>
        <w:t xml:space="preserve"> Susan M. Chapman</w:t>
      </w:r>
      <w:r w:rsidRPr="00FA0A07">
        <w:rPr>
          <w:rStyle w:val="SCCCounselSeparatorChar"/>
          <w:sz w:val="20"/>
        </w:rPr>
        <w:t xml:space="preserve">, </w:t>
      </w:r>
      <w:r w:rsidRPr="00FA0A07">
        <w:rPr>
          <w:rStyle w:val="SCCCounselNameChar"/>
          <w:sz w:val="20"/>
          <w:lang w:val="fr-CA"/>
        </w:rPr>
        <w:t>Jennifer Micallef</w:t>
      </w:r>
      <w:r w:rsidRPr="00FA0A07">
        <w:rPr>
          <w:rStyle w:val="SCCCounselSeparatorChar"/>
          <w:sz w:val="20"/>
        </w:rPr>
        <w:t xml:space="preserve"> et </w:t>
      </w:r>
      <w:r w:rsidRPr="00FA0A07">
        <w:rPr>
          <w:rStyle w:val="SCCCounselNameChar"/>
          <w:sz w:val="20"/>
          <w:lang w:val="fr-CA"/>
        </w:rPr>
        <w:t>Kristen Allen</w:t>
      </w:r>
      <w:r w:rsidRPr="00FA0A07">
        <w:rPr>
          <w:rStyle w:val="SCCCounselPartyRoleChar"/>
          <w:sz w:val="20"/>
          <w:lang w:val="fr-CA"/>
        </w:rPr>
        <w:t>, pour l’intervenante Criminal Lawyers’ Association.</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Procureurs de l’appelant : Sam Goldstein, Toronto; Shelley Flam, Toronto.</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 de l’intimée : Procureur général de l’Ontario, Toronto.</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 de l’intervenant le directeur des poursuites pénales du Canada : Service des poursuites pénales du Canada, Toronto.</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 de l’intervenant le procureur général du Québec : Procureur général du Québec, Québec.</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 de l’intervenant le procureur général de l’Alberta : Procureur général de l’Alberta, Calgary.</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 de l’intervenante la Clinique d’intérêt public et de politique d’internet du Canada Samuelson</w:t>
      </w:r>
      <w:r w:rsidRPr="00FA0A07">
        <w:rPr>
          <w:sz w:val="20"/>
          <w:lang w:val="fr-CA"/>
        </w:rPr>
        <w:noBreakHyphen/>
        <w:t>Glushko : Université d’Ottawa, Ottawa.</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Procureurs de l’intervenante l’Association des libertés civiles de la Colombie</w:t>
      </w:r>
      <w:r w:rsidRPr="00FA0A07">
        <w:rPr>
          <w:sz w:val="20"/>
          <w:lang w:val="fr-CA"/>
        </w:rPr>
        <w:noBreakHyphen/>
        <w:t>Britannique : Ruby Shiller Chan Hasan, Toronto.</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Procureurs de l’intervenante Criminal Trial Lawyers’ Association (Alberta) : Pringle, Chivers, Sparks, Teskey, Edmonton; Gowling Lafleur Henderson, Ottawa.</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Procureurs de l’intervenante l’Association canadienne des libertés civiles : Davies Ward Phillips &amp; Vineberg, Toronto.</w:t>
      </w:r>
    </w:p>
    <w:p w:rsidR="00091A37" w:rsidRDefault="00091A37" w:rsidP="00091A37">
      <w:pPr>
        <w:pStyle w:val="SCCLawFirm"/>
        <w:spacing w:line="240" w:lineRule="auto"/>
        <w:rPr>
          <w:sz w:val="20"/>
          <w:lang w:val="fr-CA"/>
        </w:rPr>
      </w:pPr>
    </w:p>
    <w:p w:rsidR="00091A37" w:rsidRPr="00FA0A07" w:rsidRDefault="00091A37" w:rsidP="00091A37">
      <w:pPr>
        <w:pStyle w:val="SCCLawFirm"/>
        <w:spacing w:line="240" w:lineRule="auto"/>
        <w:rPr>
          <w:sz w:val="20"/>
          <w:lang w:val="fr-CA"/>
        </w:rPr>
      </w:pPr>
      <w:r w:rsidRPr="00FA0A07">
        <w:rPr>
          <w:sz w:val="20"/>
          <w:lang w:val="fr-CA"/>
        </w:rPr>
        <w:tab/>
        <w:t>Procureurs de l’intervenante l’Association canadienne des chefs de police : City of Vancouver, Vancouver.</w:t>
      </w:r>
    </w:p>
    <w:p w:rsidR="00091A37" w:rsidRDefault="00091A37" w:rsidP="00091A37">
      <w:pPr>
        <w:pStyle w:val="SCCLawFirm"/>
        <w:spacing w:line="240" w:lineRule="auto"/>
        <w:rPr>
          <w:sz w:val="20"/>
          <w:lang w:val="fr-CA"/>
        </w:rPr>
      </w:pPr>
    </w:p>
    <w:p w:rsidR="00091A37" w:rsidRDefault="00091A37" w:rsidP="00091A37">
      <w:pPr>
        <w:pStyle w:val="SCCLawFirm"/>
        <w:spacing w:line="240" w:lineRule="auto"/>
        <w:rPr>
          <w:sz w:val="20"/>
          <w:lang w:val="fr-CA"/>
        </w:rPr>
      </w:pPr>
      <w:r w:rsidRPr="00FA0A07">
        <w:rPr>
          <w:sz w:val="20"/>
          <w:lang w:val="fr-CA"/>
        </w:rPr>
        <w:tab/>
        <w:t>Procureurs de l’intervenante Criminal Lawyers’ Association : Ursel Phillips Fellows Hopkinson, Toronto.</w:t>
      </w:r>
    </w:p>
    <w:p w:rsidR="00091A37" w:rsidRPr="00091A37" w:rsidRDefault="00091A37" w:rsidP="00091A37">
      <w:pPr>
        <w:pStyle w:val="SCCNormalDoubleSpacing"/>
        <w:spacing w:line="240" w:lineRule="auto"/>
        <w:rPr>
          <w:sz w:val="20"/>
          <w:lang w:val="fr-CA"/>
        </w:rPr>
      </w:pPr>
    </w:p>
    <w:p w:rsidR="005C6840" w:rsidRDefault="00E4461B" w:rsidP="005C6840">
      <w:pPr>
        <w:rPr>
          <w:lang w:val="fr-CA"/>
        </w:rPr>
      </w:pPr>
      <w:r>
        <w:rPr>
          <w:rFonts w:cs="Times New Roman"/>
          <w:sz w:val="20"/>
          <w:szCs w:val="20"/>
          <w:lang w:val="fr-CA"/>
        </w:rPr>
        <w:pict>
          <v:rect id="_x0000_i1092" style="width:144.3pt;height:1pt" o:hrpct="300" o:hralign="center" o:hrstd="t" o:hrnoshade="t" o:hr="t" fillcolor="black [3213]" stroked="f"/>
        </w:pict>
      </w:r>
    </w:p>
    <w:p w:rsidR="00902E51" w:rsidRDefault="00902E51"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34"/>
          <w:headerReference w:type="default" r:id="rId135"/>
          <w:footerReference w:type="even" r:id="rId136"/>
          <w:footerReference w:type="default" r:id="rId137"/>
          <w:headerReference w:type="first" r:id="rId138"/>
          <w:footerReference w:type="first" r:id="rId139"/>
          <w:pgSz w:w="12240" w:h="15840"/>
          <w:pgMar w:top="720" w:right="965" w:bottom="1080" w:left="1656" w:header="576" w:footer="960" w:gutter="0"/>
          <w:cols w:space="720"/>
          <w:titlePg/>
          <w:docGrid w:linePitch="272"/>
        </w:sectPr>
      </w:pPr>
    </w:p>
    <w:p w:rsidR="008112A9" w:rsidRPr="002E0C7E" w:rsidRDefault="00680749"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6E1D53">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DECEMBER - DÉCEMBRE</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M</w:t>
            </w: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13</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6E1D53">
            <w:pPr>
              <w:widowControl w:val="0"/>
              <w:jc w:val="center"/>
              <w:rPr>
                <w:rFonts w:ascii="Arial" w:hAnsi="Arial"/>
                <w:b/>
                <w:sz w:val="14"/>
              </w:rPr>
            </w:pPr>
            <w:r w:rsidRPr="004F066E">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20</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E1D53">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6E1D53">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6E1D53">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MARCH - MARS</w:t>
            </w:r>
          </w:p>
        </w:tc>
      </w:tr>
      <w:tr w:rsidR="008112A9" w:rsidRPr="002E0C7E" w:rsidTr="006E1D5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6E1D53">
            <w:pPr>
              <w:widowControl w:val="0"/>
              <w:jc w:val="center"/>
              <w:rPr>
                <w:rFonts w:ascii="Arial" w:hAnsi="Arial"/>
                <w:b/>
                <w:sz w:val="14"/>
              </w:rPr>
            </w:pPr>
            <w:r w:rsidRPr="004F066E">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14</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6E1D53">
            <w:pPr>
              <w:widowControl w:val="0"/>
              <w:jc w:val="center"/>
              <w:rPr>
                <w:rFonts w:ascii="Arial" w:hAnsi="Arial"/>
                <w:b/>
                <w:sz w:val="14"/>
              </w:rPr>
            </w:pPr>
            <w:r w:rsidRPr="009900C5">
              <w:rPr>
                <w:rFonts w:ascii="Arial" w:hAnsi="Arial"/>
                <w:b/>
                <w:sz w:val="14"/>
              </w:rPr>
              <w:t>M</w:t>
            </w: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6E1D5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6E1D53">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6E1D53">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6E1D53">
            <w:pPr>
              <w:widowControl w:val="0"/>
              <w:jc w:val="center"/>
              <w:rPr>
                <w:rFonts w:ascii="Arial" w:hAnsi="Arial"/>
                <w:sz w:val="14"/>
              </w:rPr>
            </w:pPr>
            <w:r w:rsidRPr="002E0C7E">
              <w:rPr>
                <w:rFonts w:ascii="Arial" w:hAnsi="Arial"/>
                <w:b/>
                <w:sz w:val="14"/>
              </w:rPr>
              <w:t>JUNE - JUIN</w:t>
            </w:r>
          </w:p>
        </w:tc>
      </w:tr>
      <w:tr w:rsidR="008112A9" w:rsidRPr="002E0C7E" w:rsidTr="006E1D53">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S</w:t>
            </w:r>
          </w:p>
          <w:p w:rsidR="008112A9" w:rsidRPr="002E0C7E" w:rsidRDefault="008112A9" w:rsidP="006E1D53">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M</w:t>
            </w:r>
          </w:p>
          <w:p w:rsidR="008112A9" w:rsidRPr="002E0C7E" w:rsidRDefault="008112A9" w:rsidP="006E1D53">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W</w:t>
            </w:r>
          </w:p>
          <w:p w:rsidR="008112A9" w:rsidRPr="002E0C7E" w:rsidRDefault="008112A9" w:rsidP="006E1D53">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T</w:t>
            </w:r>
          </w:p>
          <w:p w:rsidR="008112A9" w:rsidRPr="002E0C7E" w:rsidRDefault="008112A9" w:rsidP="006E1D53">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sidRPr="002E0C7E">
              <w:rPr>
                <w:rFonts w:ascii="Arial" w:hAnsi="Arial"/>
                <w:sz w:val="14"/>
              </w:rPr>
              <w:t>F</w:t>
            </w:r>
          </w:p>
          <w:p w:rsidR="008112A9" w:rsidRPr="002E0C7E" w:rsidRDefault="008112A9" w:rsidP="006E1D53">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r>
              <w:rPr>
                <w:rFonts w:ascii="Arial" w:hAnsi="Arial"/>
                <w:sz w:val="14"/>
              </w:rPr>
              <w:t>S</w:t>
            </w:r>
          </w:p>
          <w:p w:rsidR="008112A9" w:rsidRPr="002E0C7E" w:rsidRDefault="008112A9" w:rsidP="006E1D53">
            <w:pPr>
              <w:widowControl w:val="0"/>
              <w:jc w:val="center"/>
              <w:rPr>
                <w:rFonts w:ascii="Arial" w:hAnsi="Arial"/>
                <w:sz w:val="14"/>
              </w:rPr>
            </w:pPr>
            <w:r>
              <w:rPr>
                <w:rFonts w:ascii="Arial" w:hAnsi="Arial"/>
                <w:sz w:val="14"/>
              </w:rPr>
              <w:t>S</w:t>
            </w:r>
          </w:p>
        </w:tc>
      </w:tr>
      <w:tr w:rsidR="008112A9" w:rsidRPr="002E0C7E" w:rsidTr="006E1D53">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13</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6E1D53">
            <w:pPr>
              <w:widowControl w:val="0"/>
              <w:jc w:val="center"/>
              <w:rPr>
                <w:rFonts w:ascii="Arial" w:hAnsi="Arial"/>
                <w:b/>
                <w:sz w:val="14"/>
              </w:rPr>
            </w:pPr>
            <w:r>
              <w:rPr>
                <w:rFonts w:ascii="Arial" w:hAnsi="Arial"/>
                <w:b/>
                <w:sz w:val="14"/>
              </w:rPr>
              <w:t>M</w:t>
            </w: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6E1D53">
            <w:pPr>
              <w:widowControl w:val="0"/>
              <w:jc w:val="center"/>
              <w:rPr>
                <w:rFonts w:ascii="Arial" w:hAnsi="Arial"/>
                <w:b/>
                <w:sz w:val="14"/>
              </w:rPr>
            </w:pPr>
            <w:r w:rsidRPr="002453E3">
              <w:rPr>
                <w:rFonts w:ascii="Arial" w:hAnsi="Arial"/>
                <w:b/>
                <w:sz w:val="14"/>
              </w:rPr>
              <w:t>M</w:t>
            </w: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20</w:t>
            </w:r>
          </w:p>
        </w:tc>
      </w:tr>
      <w:tr w:rsidR="008112A9" w:rsidRPr="002E0C7E" w:rsidTr="006E1D53">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6E1D53">
            <w:pPr>
              <w:widowControl w:val="0"/>
              <w:jc w:val="center"/>
              <w:rPr>
                <w:rFonts w:ascii="Arial" w:hAnsi="Arial"/>
                <w:b/>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6E1D53">
            <w:pPr>
              <w:widowControl w:val="0"/>
              <w:jc w:val="center"/>
              <w:rPr>
                <w:rFonts w:ascii="Arial" w:hAnsi="Arial"/>
                <w:b/>
                <w:sz w:val="14"/>
              </w:rPr>
            </w:pPr>
            <w:r>
              <w:rPr>
                <w:rFonts w:ascii="Arial" w:hAnsi="Arial"/>
                <w:b/>
                <w:sz w:val="14"/>
              </w:rPr>
              <w:t>H</w:t>
            </w:r>
          </w:p>
          <w:p w:rsidR="008112A9" w:rsidRPr="002E0C7E" w:rsidRDefault="008112A9" w:rsidP="006E1D53">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6E1D53">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6E1D53">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6E1D53">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6E1D53">
            <w:pPr>
              <w:widowControl w:val="0"/>
              <w:jc w:val="center"/>
              <w:rPr>
                <w:rFonts w:ascii="Arial" w:hAnsi="Arial"/>
                <w:sz w:val="14"/>
              </w:rPr>
            </w:pPr>
          </w:p>
          <w:p w:rsidR="008112A9" w:rsidRPr="002E0C7E" w:rsidRDefault="008112A9" w:rsidP="006E1D53">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6E1D53">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6E1D53">
            <w:pPr>
              <w:widowControl w:val="0"/>
              <w:rPr>
                <w:rFonts w:ascii="Arial" w:hAnsi="Arial"/>
                <w:sz w:val="16"/>
              </w:rPr>
            </w:pPr>
            <w:r w:rsidRPr="002E0C7E">
              <w:rPr>
                <w:rFonts w:ascii="Arial" w:hAnsi="Arial"/>
                <w:sz w:val="16"/>
              </w:rPr>
              <w:t>Sittings of the court:</w:t>
            </w:r>
          </w:p>
          <w:p w:rsidR="008112A9" w:rsidRPr="002E0C7E" w:rsidRDefault="008112A9" w:rsidP="006E1D53">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6E1D53">
            <w:pPr>
              <w:widowControl w:val="0"/>
              <w:rPr>
                <w:rFonts w:ascii="Arial" w:hAnsi="Arial"/>
                <w:sz w:val="16"/>
              </w:rPr>
            </w:pPr>
          </w:p>
          <w:p w:rsidR="008112A9" w:rsidRPr="002E0C7E" w:rsidRDefault="008112A9" w:rsidP="006E1D53">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E1D5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6E1D53">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6E1D53">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6E1D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140"/>
      <w:footerReference w:type="default" r:id="rId14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FB" w:rsidRDefault="00002FFB" w:rsidP="00A87207">
      <w:r>
        <w:separator/>
      </w:r>
    </w:p>
  </w:endnote>
  <w:endnote w:type="continuationSeparator" w:id="0">
    <w:p w:rsidR="00002FFB" w:rsidRDefault="00002FFB"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pStyle w:val="Footer"/>
      <w:rPr>
        <w:lang w:val="fr-CA"/>
      </w:rPr>
    </w:pPr>
    <w:r>
      <w:rPr>
        <w:lang w:val="fr-CA"/>
      </w:rPr>
      <w:pict>
        <v:rect id="_x0000_i1071" style="width:480.95pt;height:1pt" o:hralign="center" o:hrstd="t" o:hrnoshade="t" o:hr="t" fillcolor="black [3213]" stroked="f"/>
      </w:pict>
    </w:r>
  </w:p>
  <w:p w:rsidR="00002FFB" w:rsidRDefault="00002FFB" w:rsidP="00245129">
    <w:pPr>
      <w:tabs>
        <w:tab w:val="center" w:pos="4680"/>
      </w:tabs>
    </w:pPr>
    <w:r>
      <w:tab/>
    </w:r>
    <w:r w:rsidRPr="0009648D">
      <w:t xml:space="preserve">- </w:t>
    </w:r>
    <w:r w:rsidR="00E4461B">
      <w:fldChar w:fldCharType="begin"/>
    </w:r>
    <w:r w:rsidR="00E4461B">
      <w:instrText xml:space="preserve"> PAGE   \* MERGEFORMAT </w:instrText>
    </w:r>
    <w:r w:rsidR="00E4461B">
      <w:fldChar w:fldCharType="separate"/>
    </w:r>
    <w:r w:rsidR="00E4461B">
      <w:rPr>
        <w:noProof/>
      </w:rPr>
      <w:t>1972</w:t>
    </w:r>
    <w:r w:rsidR="00E4461B">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755F22">
    <w:pPr>
      <w:tabs>
        <w:tab w:val="left" w:pos="-1440"/>
        <w:tab w:val="left" w:pos="-720"/>
      </w:tabs>
    </w:pPr>
    <w:r>
      <w:pict>
        <v:rect id="_x0000_i1074" style="width:480.95pt;height:1pt" o:hralign="center" o:hrstd="t" o:hrnoshade="t" o:hr="t" fillcolor="black [3213]" stroked="f"/>
      </w:pict>
    </w:r>
  </w:p>
  <w:p w:rsidR="00002FFB" w:rsidRDefault="00002FFB" w:rsidP="00EB2B90">
    <w:pPr>
      <w:tabs>
        <w:tab w:val="center" w:pos="4680"/>
      </w:tabs>
    </w:pPr>
    <w:r>
      <w:tab/>
      <w:t xml:space="preserve">- </w:t>
    </w:r>
    <w:r w:rsidR="00E4461B">
      <w:fldChar w:fldCharType="begin"/>
    </w:r>
    <w:r w:rsidR="00E4461B">
      <w:instrText xml:space="preserve"> PAGE   \* MERGEFORMAT </w:instrText>
    </w:r>
    <w:r w:rsidR="00E4461B">
      <w:fldChar w:fldCharType="separate"/>
    </w:r>
    <w:r w:rsidR="00E4461B">
      <w:rPr>
        <w:noProof/>
      </w:rPr>
      <w:t>2011</w:t>
    </w:r>
    <w:r w:rsidR="00E4461B">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EB2B90">
    <w:pPr>
      <w:tabs>
        <w:tab w:val="center" w:pos="4680"/>
      </w:tabs>
    </w:pPr>
    <w:r>
      <w:pict>
        <v:rect id="_x0000_i1075" style="width:480.95pt;height:1pt" o:hralign="center" o:hrstd="t" o:hrnoshade="t" o:hr="t" fillcolor="black [3213]" stroked="f"/>
      </w:pict>
    </w:r>
  </w:p>
  <w:p w:rsidR="00002FFB" w:rsidRPr="0031432F" w:rsidRDefault="00002FFB" w:rsidP="00EB2B90">
    <w:pPr>
      <w:tabs>
        <w:tab w:val="center" w:pos="4680"/>
      </w:tabs>
    </w:pPr>
    <w:r>
      <w:tab/>
      <w:t xml:space="preserve">- </w:t>
    </w:r>
    <w:r w:rsidR="00E4461B">
      <w:fldChar w:fldCharType="begin"/>
    </w:r>
    <w:r w:rsidR="00E4461B">
      <w:instrText xml:space="preserve"> PAGE   \* MERGEFORMAT </w:instrText>
    </w:r>
    <w:r w:rsidR="00E4461B">
      <w:fldChar w:fldCharType="separate"/>
    </w:r>
    <w:r w:rsidR="00E4461B">
      <w:rPr>
        <w:noProof/>
      </w:rPr>
      <w:t>2010</w:t>
    </w:r>
    <w:r w:rsidR="00E4461B">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7" style="width:480.95pt;height:1pt" o:hralign="center" o:hrstd="t" o:hrnoshade="t" o:hr="t" fillcolor="black [3213]" stroked="f"/>
      </w:pict>
    </w:r>
  </w:p>
  <w:p w:rsidR="00002FFB" w:rsidRDefault="00002FFB" w:rsidP="00EB2B90">
    <w:pPr>
      <w:tabs>
        <w:tab w:val="center" w:pos="4680"/>
      </w:tabs>
    </w:pPr>
    <w:r>
      <w:tab/>
      <w:t xml:space="preserve">- </w:t>
    </w:r>
    <w:r w:rsidR="00E4461B">
      <w:fldChar w:fldCharType="begin"/>
    </w:r>
    <w:r w:rsidR="00E4461B">
      <w:instrText xml:space="preserve"> PAGE   \* MERGEFORMAT </w:instrText>
    </w:r>
    <w:r w:rsidR="00E4461B">
      <w:fldChar w:fldCharType="separate"/>
    </w:r>
    <w:r>
      <w:rPr>
        <w:noProof/>
      </w:rPr>
      <w:t>524</w:t>
    </w:r>
    <w:r w:rsidR="00E4461B">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pStyle w:val="Footer"/>
      <w:rPr>
        <w:lang w:val="fr-CA"/>
      </w:rPr>
    </w:pPr>
    <w:r>
      <w:rPr>
        <w:lang w:val="fr-CA"/>
      </w:rPr>
      <w:pict>
        <v:rect id="_x0000_i1078" style="width:480.95pt;height:1pt" o:hralign="center" o:hrstd="t" o:hrnoshade="t" o:hr="t" fillcolor="black [3213]" stroked="f"/>
      </w:pict>
    </w:r>
  </w:p>
  <w:p w:rsidR="00002FFB" w:rsidRDefault="00002FFB" w:rsidP="00EB2B90">
    <w:pPr>
      <w:tabs>
        <w:tab w:val="center" w:pos="4680"/>
      </w:tabs>
    </w:pPr>
    <w:r>
      <w:tab/>
      <w:t xml:space="preserve">- </w:t>
    </w:r>
    <w:r w:rsidR="00E4461B">
      <w:fldChar w:fldCharType="begin"/>
    </w:r>
    <w:r w:rsidR="00E4461B">
      <w:instrText xml:space="preserve"> PAGE   \* MERGEFORMAT </w:instrText>
    </w:r>
    <w:r w:rsidR="00E4461B">
      <w:fldChar w:fldCharType="separate"/>
    </w:r>
    <w:r w:rsidR="00E4461B">
      <w:rPr>
        <w:noProof/>
      </w:rPr>
      <w:t>2012</w:t>
    </w:r>
    <w:r w:rsidR="00E4461B">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732DB7">
    <w:r>
      <w:pict>
        <v:rect id="_x0000_i1086" style="width:480.95pt;height:1pt" o:hralign="center" o:hrstd="t" o:hrnoshade="t" o:hr="t" fillcolor="black" stroked="f"/>
      </w:pict>
    </w:r>
  </w:p>
  <w:p w:rsidR="00002FFB" w:rsidRDefault="00002FFB">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pStyle w:val="Footer"/>
    </w:pPr>
    <w:r>
      <w:pict>
        <v:rect id="_x0000_i1087" style="width:480.95pt;height:1pt" o:hralign="center" o:hrstd="t" o:hrnoshade="t" o:hr="t" fillcolor="black" stroked="f"/>
      </w:pict>
    </w:r>
  </w:p>
  <w:p w:rsidR="00002FFB" w:rsidRPr="00283C52" w:rsidRDefault="00002FFB">
    <w:pPr>
      <w:pStyle w:val="Footer"/>
    </w:pPr>
    <w:r>
      <w:tab/>
    </w:r>
    <w:r w:rsidRPr="00283C52">
      <w:t xml:space="preserve">- </w:t>
    </w:r>
    <w:r w:rsidRPr="00283C52">
      <w:pgNum/>
    </w:r>
    <w:r w:rsidRPr="00283C5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732DB7">
    <w:r>
      <w:pict>
        <v:rect id="_x0000_i1089" style="width:480.95pt;height:1pt" o:hralign="center" o:hrstd="t" o:hrnoshade="t" o:hr="t" fillcolor="black" stroked="f"/>
      </w:pict>
    </w:r>
  </w:p>
  <w:p w:rsidR="00002FFB" w:rsidRDefault="00002FFB">
    <w:pPr>
      <w:tabs>
        <w:tab w:val="center" w:pos="4740"/>
      </w:tabs>
      <w:spacing w:line="0" w:lineRule="atLeast"/>
    </w:pPr>
    <w:r>
      <w:tab/>
      <w:t xml:space="preserve">- </w:t>
    </w:r>
    <w:r>
      <w:pgNum/>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pStyle w:val="Footer"/>
    </w:pPr>
    <w:r>
      <w:pict>
        <v:rect id="_x0000_i1090" style="width:480.95pt;height:1pt" o:hralign="center" o:hrstd="t" o:hrnoshade="t" o:hr="t" fillcolor="black [3213]" stroked="f"/>
      </w:pict>
    </w:r>
  </w:p>
  <w:p w:rsidR="00002FFB" w:rsidRPr="003C2C0F" w:rsidRDefault="00002FFB" w:rsidP="00697C62">
    <w:pPr>
      <w:tabs>
        <w:tab w:val="center" w:pos="4680"/>
      </w:tabs>
    </w:pPr>
    <w:r>
      <w:tab/>
      <w:t xml:space="preserve">- </w:t>
    </w:r>
    <w:r w:rsidR="00E4461B">
      <w:fldChar w:fldCharType="begin"/>
    </w:r>
    <w:r w:rsidR="00E4461B">
      <w:instrText xml:space="preserve"> PAGE   \* MERGEFORMAT </w:instrText>
    </w:r>
    <w:r w:rsidR="00E4461B">
      <w:fldChar w:fldCharType="separate"/>
    </w:r>
    <w:r w:rsidR="00E4461B">
      <w:rPr>
        <w:noProof/>
      </w:rPr>
      <w:t>2019</w:t>
    </w:r>
    <w:r w:rsidR="00E4461B">
      <w:rPr>
        <w:noProof/>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pPr>
    <w:r>
      <w:tab/>
      <w:t xml:space="preserve">- </w:t>
    </w:r>
    <w:r>
      <w:pgNum/>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02FFB" w:rsidRDefault="00E446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3" style="width:480.95pt;height:1pt" o:hralign="center" o:hrstd="t" o:hrnoshade="t" o:hr="t" fillcolor="black [3213]" stroked="f"/>
      </w:pict>
    </w:r>
  </w:p>
  <w:p w:rsidR="00002FFB" w:rsidRDefault="00002FF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461B">
      <w:rPr>
        <w:noProof/>
        <w:szCs w:val="24"/>
      </w:rPr>
      <w:t>2029</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782AE4">
    <w:pPr>
      <w:tabs>
        <w:tab w:val="center" w:pos="4680"/>
      </w:tabs>
    </w:pPr>
    <w:r>
      <w:pict>
        <v:rect id="_x0000_i1094" style="width:480.95pt;height:1pt" o:hralign="center" o:hrstd="t" o:hrnoshade="t" o:hr="t" fillcolor="black [3213]" stroked="f"/>
      </w:pict>
    </w:r>
  </w:p>
  <w:p w:rsidR="00002FFB" w:rsidRDefault="00002FFB"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461B">
      <w:rPr>
        <w:noProof/>
        <w:szCs w:val="24"/>
      </w:rPr>
      <w:t>2020</w:t>
    </w:r>
    <w:r w:rsidRPr="001775C1">
      <w:rPr>
        <w:szCs w:val="24"/>
      </w:rP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Pr="00924065" w:rsidRDefault="00002FFB"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A87207">
    <w:pPr>
      <w:pStyle w:val="Footer"/>
    </w:pPr>
    <w:r>
      <w:pict>
        <v:rect id="_x0000_i1033" style="width:480.95pt;height:1pt" o:hralign="center" o:hrstd="t" o:hrnoshade="t" o:hr="t" fillcolor="black [3213]" stroked="f"/>
      </w:pict>
    </w:r>
  </w:p>
  <w:p w:rsidR="00002FFB" w:rsidRPr="00B7374B" w:rsidRDefault="00002FF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1971</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755F22">
    <w:pPr>
      <w:tabs>
        <w:tab w:val="left" w:pos="-1440"/>
        <w:tab w:val="left" w:pos="-720"/>
      </w:tabs>
    </w:pPr>
    <w:r>
      <w:pict>
        <v:rect id="_x0000_i1034" style="width:480.95pt;height:1pt" o:hralign="center" o:hrstd="t" o:hrnoshade="t" o:hr="t" fillcolor="black [3213]" stroked="f"/>
      </w:pict>
    </w:r>
  </w:p>
  <w:p w:rsidR="00002FFB" w:rsidRPr="00954D22" w:rsidRDefault="00002FFB"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461B">
      <w:rPr>
        <w:noProof/>
        <w:szCs w:val="24"/>
      </w:rPr>
      <w:t>1970</w:t>
    </w:r>
    <w:r>
      <w:rPr>
        <w:szCs w:val="24"/>
      </w:rPr>
      <w:fldChar w:fldCharType="end"/>
    </w:r>
    <w:r w:rsidRPr="00954D22">
      <w:rPr>
        <w:szCs w:val="24"/>
      </w:rPr>
      <w:t xml:space="preserve"> -</w:t>
    </w:r>
  </w:p>
  <w:p w:rsidR="00002FFB" w:rsidRDefault="00002FF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A87207">
    <w:pPr>
      <w:pStyle w:val="Footer"/>
    </w:pPr>
    <w:r>
      <w:pict>
        <v:rect id="_x0000_i1036" style="width:480.95pt;height:1pt" o:hralign="center" o:hrstd="t" o:hrnoshade="t" o:hr="t" fillcolor="black [3213]" stroked="f"/>
      </w:pict>
    </w:r>
  </w:p>
  <w:p w:rsidR="00002FFB" w:rsidRPr="00B7374B" w:rsidRDefault="00002FF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1972</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002FFB" w:rsidRPr="00954D22" w:rsidRDefault="00002FFB"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61B">
      <w:rPr>
        <w:noProof/>
        <w:szCs w:val="24"/>
      </w:rPr>
      <w:t>1971</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02FFB" w:rsidRDefault="00002FFB">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E446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002FFB" w:rsidRPr="0009648D" w:rsidRDefault="00002FFB" w:rsidP="00ED7E83">
    <w:pPr>
      <w:tabs>
        <w:tab w:val="center" w:pos="4680"/>
      </w:tabs>
    </w:pPr>
    <w:r>
      <w:tab/>
    </w:r>
    <w:r w:rsidRPr="0009648D">
      <w:t xml:space="preserve">- </w:t>
    </w:r>
    <w:r w:rsidR="00E4461B">
      <w:fldChar w:fldCharType="begin"/>
    </w:r>
    <w:r w:rsidR="00E4461B">
      <w:instrText xml:space="preserve"> PAGE   \* MERGEFORMAT </w:instrText>
    </w:r>
    <w:r w:rsidR="00E4461B">
      <w:fldChar w:fldCharType="separate"/>
    </w:r>
    <w:r w:rsidR="00E4461B">
      <w:rPr>
        <w:noProof/>
      </w:rPr>
      <w:t>2009</w:t>
    </w:r>
    <w:r w:rsidR="00E4461B">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FB" w:rsidRDefault="00002FFB" w:rsidP="00A87207">
      <w:r>
        <w:separator/>
      </w:r>
    </w:p>
  </w:footnote>
  <w:footnote w:type="continuationSeparator" w:id="0">
    <w:p w:rsidR="00002FFB" w:rsidRDefault="00002FFB"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2FFB">
      <w:tc>
        <w:tcPr>
          <w:tcW w:w="423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002FFB"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FFB"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002FFB">
      <w:trPr>
        <w:gridAfter w:val="2"/>
        <w:wAfter w:w="5250" w:type="dxa"/>
      </w:trPr>
      <w:tc>
        <w:tcPr>
          <w:tcW w:w="4230" w:type="dxa"/>
          <w:tcMar>
            <w:left w:w="0" w:type="dxa"/>
            <w:right w:w="0" w:type="dxa"/>
          </w:tcMar>
        </w:tcPr>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2FFB" w:rsidRPr="00755F22" w:rsidTr="00245129">
      <w:tc>
        <w:tcPr>
          <w:tcW w:w="4230" w:type="dxa"/>
          <w:tcMar>
            <w:left w:w="0" w:type="dxa"/>
            <w:right w:w="0" w:type="dxa"/>
          </w:tcMar>
        </w:tcPr>
        <w:p w:rsidR="00002FFB" w:rsidRPr="00755F22" w:rsidRDefault="00002FFB" w:rsidP="00831CA9">
          <w:pPr>
            <w:keepNext/>
            <w:keepLines/>
            <w:rPr>
              <w:sz w:val="20"/>
              <w:szCs w:val="20"/>
            </w:rPr>
          </w:pPr>
          <w:r w:rsidRPr="00755F22">
            <w:rPr>
              <w:sz w:val="20"/>
              <w:szCs w:val="20"/>
            </w:rPr>
            <w:t>MOTIONS</w:t>
          </w:r>
        </w:p>
      </w:tc>
      <w:tc>
        <w:tcPr>
          <w:tcW w:w="1170" w:type="dxa"/>
          <w:tcMar>
            <w:left w:w="0" w:type="dxa"/>
            <w:right w:w="0" w:type="dxa"/>
          </w:tcMar>
        </w:tcPr>
        <w:p w:rsidR="00002FFB" w:rsidRPr="00755F22" w:rsidRDefault="00002FFB" w:rsidP="00831CA9">
          <w:pPr>
            <w:keepLines/>
            <w:jc w:val="center"/>
            <w:rPr>
              <w:sz w:val="20"/>
              <w:szCs w:val="20"/>
            </w:rPr>
          </w:pPr>
        </w:p>
        <w:p w:rsidR="00002FFB" w:rsidRPr="00755F22" w:rsidRDefault="00002FFB" w:rsidP="00831CA9">
          <w:pPr>
            <w:keepLines/>
            <w:tabs>
              <w:tab w:val="left" w:pos="-1440"/>
              <w:tab w:val="left" w:pos="-720"/>
            </w:tabs>
            <w:jc w:val="center"/>
            <w:rPr>
              <w:sz w:val="20"/>
              <w:szCs w:val="20"/>
            </w:rPr>
          </w:pPr>
        </w:p>
      </w:tc>
      <w:tc>
        <w:tcPr>
          <w:tcW w:w="4080" w:type="dxa"/>
          <w:tcMar>
            <w:left w:w="0" w:type="dxa"/>
            <w:right w:w="0" w:type="dxa"/>
          </w:tcMar>
        </w:tcPr>
        <w:p w:rsidR="00002FFB" w:rsidRPr="00BA6468" w:rsidRDefault="00002FFB" w:rsidP="00BA6468">
          <w:pPr>
            <w:keepLines/>
            <w:rPr>
              <w:sz w:val="20"/>
              <w:szCs w:val="20"/>
              <w:lang w:val="fr-CA"/>
            </w:rPr>
          </w:pPr>
          <w:r w:rsidRPr="00BA6468">
            <w:rPr>
              <w:sz w:val="20"/>
              <w:szCs w:val="20"/>
              <w:lang w:val="fr-CA"/>
            </w:rPr>
            <w:t>REQUÊTES</w:t>
          </w:r>
        </w:p>
      </w:tc>
    </w:tr>
  </w:tbl>
  <w:p w:rsidR="00002FFB" w:rsidRDefault="00002FFB"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tc>
        <w:tcPr>
          <w:tcW w:w="4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FFB" w:rsidRPr="00B01A03"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02FFB" w:rsidRPr="00B01A03"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02FFB" w:rsidRPr="00B01A03"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02FFB" w:rsidRPr="00002FFB" w:rsidTr="00245129">
      <w:tc>
        <w:tcPr>
          <w:tcW w:w="4200" w:type="dxa"/>
          <w:tcMar>
            <w:left w:w="0" w:type="dxa"/>
            <w:right w:w="0" w:type="dxa"/>
          </w:tcMar>
        </w:tcPr>
        <w:p w:rsidR="00002FFB" w:rsidRPr="00F40249" w:rsidRDefault="00002FFB"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02FFB" w:rsidRDefault="00002FFB" w:rsidP="00102926">
          <w:pPr>
            <w:keepNext/>
            <w:keepLines/>
            <w:tabs>
              <w:tab w:val="left" w:pos="-1440"/>
              <w:tab w:val="left" w:pos="-720"/>
            </w:tabs>
            <w:jc w:val="center"/>
            <w:rPr>
              <w:sz w:val="20"/>
              <w:szCs w:val="20"/>
            </w:rPr>
          </w:pPr>
        </w:p>
        <w:p w:rsidR="00002FFB" w:rsidRDefault="00002FFB" w:rsidP="00102926">
          <w:pPr>
            <w:keepNext/>
            <w:keepLines/>
            <w:tabs>
              <w:tab w:val="left" w:pos="-1440"/>
              <w:tab w:val="left" w:pos="-720"/>
            </w:tabs>
            <w:jc w:val="center"/>
            <w:rPr>
              <w:sz w:val="20"/>
              <w:szCs w:val="20"/>
            </w:rPr>
          </w:pPr>
        </w:p>
        <w:p w:rsidR="00002FFB" w:rsidRPr="00F40249" w:rsidRDefault="00002FFB" w:rsidP="00102926">
          <w:pPr>
            <w:keepNext/>
            <w:keepLines/>
            <w:tabs>
              <w:tab w:val="left" w:pos="-1440"/>
              <w:tab w:val="left" w:pos="-720"/>
            </w:tabs>
            <w:jc w:val="center"/>
            <w:rPr>
              <w:sz w:val="20"/>
              <w:szCs w:val="20"/>
            </w:rPr>
          </w:pPr>
        </w:p>
      </w:tc>
      <w:tc>
        <w:tcPr>
          <w:tcW w:w="4230" w:type="dxa"/>
          <w:tcMar>
            <w:left w:w="0" w:type="dxa"/>
            <w:right w:w="0" w:type="dxa"/>
          </w:tcMar>
        </w:tcPr>
        <w:p w:rsidR="00002FFB" w:rsidRPr="00F40249" w:rsidRDefault="00002FFB"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02FFB" w:rsidRPr="00B01A03" w:rsidRDefault="00002FFB"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tc>
        <w:tcPr>
          <w:tcW w:w="4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FFB" w:rsidRPr="00283C52"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002FFB" w:rsidRPr="00283C52"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02FFB" w:rsidRPr="00283C52"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rsidTr="00245129">
      <w:tc>
        <w:tcPr>
          <w:tcW w:w="4200" w:type="dxa"/>
          <w:tcMar>
            <w:left w:w="0" w:type="dxa"/>
            <w:right w:w="0" w:type="dxa"/>
          </w:tcMar>
        </w:tcPr>
        <w:p w:rsidR="00002FFB" w:rsidRPr="00732DB7" w:rsidRDefault="00002FFB"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002FFB" w:rsidRPr="00732DB7" w:rsidRDefault="00002FFB" w:rsidP="00732DB7">
          <w:pPr>
            <w:keepNext/>
            <w:keepLines/>
            <w:tabs>
              <w:tab w:val="left" w:pos="-1440"/>
              <w:tab w:val="left" w:pos="-720"/>
            </w:tabs>
            <w:jc w:val="center"/>
            <w:rPr>
              <w:sz w:val="20"/>
              <w:szCs w:val="20"/>
            </w:rPr>
          </w:pPr>
        </w:p>
        <w:p w:rsidR="00002FFB" w:rsidRPr="00732DB7" w:rsidRDefault="00002FFB" w:rsidP="00732DB7">
          <w:pPr>
            <w:keepNext/>
            <w:keepLines/>
            <w:tabs>
              <w:tab w:val="left" w:pos="-1440"/>
              <w:tab w:val="left" w:pos="-720"/>
            </w:tabs>
            <w:jc w:val="center"/>
            <w:rPr>
              <w:sz w:val="20"/>
              <w:szCs w:val="20"/>
            </w:rPr>
          </w:pPr>
        </w:p>
        <w:p w:rsidR="00002FFB" w:rsidRPr="00732DB7" w:rsidRDefault="00002FFB" w:rsidP="00732DB7">
          <w:pPr>
            <w:keepNext/>
            <w:keepLines/>
            <w:tabs>
              <w:tab w:val="left" w:pos="-1440"/>
              <w:tab w:val="left" w:pos="-720"/>
            </w:tabs>
            <w:jc w:val="center"/>
            <w:rPr>
              <w:sz w:val="20"/>
              <w:szCs w:val="20"/>
            </w:rPr>
          </w:pPr>
        </w:p>
      </w:tc>
      <w:tc>
        <w:tcPr>
          <w:tcW w:w="4080" w:type="dxa"/>
          <w:tcMar>
            <w:left w:w="0" w:type="dxa"/>
            <w:right w:w="0" w:type="dxa"/>
          </w:tcMar>
        </w:tcPr>
        <w:p w:rsidR="00002FFB" w:rsidRPr="00732DB7" w:rsidRDefault="00002FFB"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002FFB" w:rsidRPr="00283C52" w:rsidRDefault="00002FFB"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tc>
        <w:tcPr>
          <w:tcW w:w="4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02FFB" w:rsidRPr="003C2C0F"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002FFB" w:rsidRPr="003C2C0F"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02FFB" w:rsidRPr="003C2C0F"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rsidTr="00245129">
      <w:tc>
        <w:tcPr>
          <w:tcW w:w="4200" w:type="dxa"/>
          <w:tcMar>
            <w:left w:w="0" w:type="dxa"/>
            <w:right w:w="0" w:type="dxa"/>
          </w:tcMar>
        </w:tcPr>
        <w:p w:rsidR="00002FFB" w:rsidRPr="00FF6EEC" w:rsidRDefault="00002FFB" w:rsidP="00FF6EEC">
          <w:pPr>
            <w:rPr>
              <w:sz w:val="20"/>
              <w:szCs w:val="20"/>
            </w:rPr>
          </w:pPr>
          <w:r w:rsidRPr="00FF6EEC">
            <w:rPr>
              <w:sz w:val="20"/>
              <w:szCs w:val="20"/>
            </w:rPr>
            <w:t>PRONOUNCEMENTS OF APPEALS RESERVED</w:t>
          </w:r>
        </w:p>
      </w:tc>
      <w:tc>
        <w:tcPr>
          <w:tcW w:w="1200" w:type="dxa"/>
          <w:tcMar>
            <w:left w:w="0" w:type="dxa"/>
            <w:right w:w="0" w:type="dxa"/>
          </w:tcMar>
        </w:tcPr>
        <w:p w:rsidR="00002FFB" w:rsidRPr="00FF6EEC" w:rsidRDefault="00002FFB" w:rsidP="00FF6EEC">
          <w:pPr>
            <w:jc w:val="center"/>
            <w:rPr>
              <w:sz w:val="20"/>
              <w:szCs w:val="20"/>
            </w:rPr>
          </w:pPr>
        </w:p>
        <w:p w:rsidR="00002FFB" w:rsidRPr="00FF6EEC" w:rsidRDefault="00002FFB" w:rsidP="00FF6EEC">
          <w:pPr>
            <w:jc w:val="center"/>
            <w:rPr>
              <w:sz w:val="20"/>
              <w:szCs w:val="20"/>
            </w:rPr>
          </w:pPr>
        </w:p>
        <w:p w:rsidR="00002FFB" w:rsidRPr="00FF6EEC" w:rsidRDefault="00002FFB" w:rsidP="00FF6EEC">
          <w:pPr>
            <w:jc w:val="center"/>
            <w:rPr>
              <w:sz w:val="20"/>
              <w:szCs w:val="20"/>
            </w:rPr>
          </w:pPr>
        </w:p>
      </w:tc>
      <w:tc>
        <w:tcPr>
          <w:tcW w:w="4080" w:type="dxa"/>
          <w:tcMar>
            <w:left w:w="0" w:type="dxa"/>
            <w:right w:w="0" w:type="dxa"/>
          </w:tcMar>
        </w:tcPr>
        <w:p w:rsidR="00002FFB" w:rsidRPr="00FF6EEC" w:rsidRDefault="00002FFB" w:rsidP="00FF6EEC">
          <w:pPr>
            <w:rPr>
              <w:sz w:val="20"/>
              <w:szCs w:val="20"/>
              <w:lang w:val="fr-CA"/>
            </w:rPr>
          </w:pPr>
          <w:r w:rsidRPr="00FF6EEC">
            <w:rPr>
              <w:sz w:val="20"/>
              <w:szCs w:val="20"/>
              <w:lang w:val="fr-CA"/>
            </w:rPr>
            <w:t>JUGEMENTS RENDUS SUR LES APPELS EN DÉLIBÉRÉ</w:t>
          </w:r>
        </w:p>
      </w:tc>
    </w:tr>
  </w:tbl>
  <w:p w:rsidR="00002FFB" w:rsidRPr="003C2C0F" w:rsidRDefault="00002FFB"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002FFB">
      <w:tc>
        <w:tcPr>
          <w:tcW w:w="423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002FFB"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002FFB"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002FFB" w:rsidRPr="00782AE4" w:rsidTr="00245129">
      <w:tc>
        <w:tcPr>
          <w:tcW w:w="4230" w:type="dxa"/>
          <w:tcMar>
            <w:left w:w="0" w:type="dxa"/>
            <w:right w:w="0" w:type="dxa"/>
          </w:tcMar>
        </w:tcPr>
        <w:p w:rsidR="00002FFB" w:rsidRPr="00782AE4" w:rsidRDefault="00002FFB" w:rsidP="00102926">
          <w:pPr>
            <w:keepNext/>
            <w:keepLines/>
            <w:tabs>
              <w:tab w:val="left" w:pos="-1440"/>
              <w:tab w:val="left" w:pos="-720"/>
            </w:tabs>
            <w:rPr>
              <w:sz w:val="20"/>
              <w:szCs w:val="20"/>
            </w:rPr>
          </w:pPr>
          <w:r w:rsidRPr="00782AE4">
            <w:rPr>
              <w:sz w:val="20"/>
              <w:szCs w:val="20"/>
            </w:rPr>
            <w:t xml:space="preserve">HEADNOTES OF RECENT </w:t>
          </w:r>
        </w:p>
        <w:p w:rsidR="00002FFB" w:rsidRPr="00782AE4"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002FFB" w:rsidRDefault="00002FFB" w:rsidP="00102926">
          <w:pPr>
            <w:keepNext/>
            <w:keepLines/>
            <w:tabs>
              <w:tab w:val="left" w:pos="-1440"/>
              <w:tab w:val="left" w:pos="-720"/>
            </w:tabs>
            <w:jc w:val="center"/>
            <w:rPr>
              <w:sz w:val="20"/>
              <w:szCs w:val="20"/>
            </w:rPr>
          </w:pPr>
        </w:p>
        <w:p w:rsidR="00002FFB" w:rsidRDefault="00002FFB" w:rsidP="00102926">
          <w:pPr>
            <w:keepNext/>
            <w:keepLines/>
            <w:tabs>
              <w:tab w:val="left" w:pos="-1440"/>
              <w:tab w:val="left" w:pos="-720"/>
            </w:tabs>
            <w:jc w:val="center"/>
            <w:rPr>
              <w:sz w:val="20"/>
              <w:szCs w:val="20"/>
            </w:rPr>
          </w:pPr>
        </w:p>
        <w:p w:rsidR="00002FFB" w:rsidRPr="00782AE4" w:rsidRDefault="00002FFB" w:rsidP="00102926">
          <w:pPr>
            <w:keepNext/>
            <w:keepLines/>
            <w:tabs>
              <w:tab w:val="left" w:pos="-1440"/>
              <w:tab w:val="left" w:pos="-720"/>
            </w:tabs>
            <w:jc w:val="center"/>
            <w:rPr>
              <w:sz w:val="20"/>
              <w:szCs w:val="20"/>
            </w:rPr>
          </w:pPr>
        </w:p>
      </w:tc>
      <w:tc>
        <w:tcPr>
          <w:tcW w:w="4080" w:type="dxa"/>
          <w:tcMar>
            <w:left w:w="0" w:type="dxa"/>
            <w:right w:w="0" w:type="dxa"/>
          </w:tcMar>
        </w:tcPr>
        <w:p w:rsidR="00002FFB" w:rsidRPr="00102926"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002FFB" w:rsidRPr="00782AE4" w:rsidRDefault="00002FFB" w:rsidP="00102926">
          <w:pPr>
            <w:keepLines/>
            <w:tabs>
              <w:tab w:val="left" w:pos="-1440"/>
              <w:tab w:val="left" w:pos="-720"/>
            </w:tabs>
            <w:rPr>
              <w:sz w:val="20"/>
              <w:szCs w:val="20"/>
            </w:rPr>
          </w:pPr>
          <w:r w:rsidRPr="00102926">
            <w:rPr>
              <w:sz w:val="20"/>
              <w:szCs w:val="20"/>
              <w:lang w:val="fr-CA"/>
            </w:rPr>
            <w:t>RÉCENTS</w:t>
          </w:r>
        </w:p>
      </w:tc>
    </w:tr>
  </w:tbl>
  <w:p w:rsidR="00002FFB" w:rsidRDefault="00002FFB"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02FFB" w:rsidRPr="0044776A" w:rsidTr="00245129">
      <w:tc>
        <w:tcPr>
          <w:tcW w:w="4290" w:type="dxa"/>
          <w:tcMar>
            <w:left w:w="0" w:type="dxa"/>
            <w:right w:w="0" w:type="dxa"/>
          </w:tcMar>
        </w:tcPr>
        <w:p w:rsidR="00002FFB" w:rsidRPr="0044776A" w:rsidRDefault="00002FFB"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02FFB" w:rsidRPr="0044776A" w:rsidRDefault="00002FFB" w:rsidP="002E2327">
          <w:pPr>
            <w:keepNext/>
            <w:keepLines/>
            <w:tabs>
              <w:tab w:val="left" w:pos="-1440"/>
              <w:tab w:val="left" w:pos="-720"/>
            </w:tabs>
            <w:jc w:val="center"/>
            <w:rPr>
              <w:sz w:val="20"/>
              <w:szCs w:val="20"/>
            </w:rPr>
          </w:pPr>
        </w:p>
        <w:p w:rsidR="00002FFB" w:rsidRPr="0044776A" w:rsidRDefault="00002FFB" w:rsidP="002E2327">
          <w:pPr>
            <w:keepNext/>
            <w:keepLines/>
            <w:tabs>
              <w:tab w:val="left" w:pos="-1440"/>
              <w:tab w:val="left" w:pos="-720"/>
            </w:tabs>
            <w:jc w:val="center"/>
            <w:rPr>
              <w:sz w:val="20"/>
              <w:szCs w:val="20"/>
            </w:rPr>
          </w:pPr>
        </w:p>
        <w:p w:rsidR="00002FFB" w:rsidRPr="0044776A" w:rsidRDefault="00002FFB" w:rsidP="002E2327">
          <w:pPr>
            <w:keepNext/>
            <w:keepLines/>
            <w:tabs>
              <w:tab w:val="left" w:pos="-1440"/>
              <w:tab w:val="left" w:pos="-720"/>
            </w:tabs>
            <w:jc w:val="center"/>
            <w:rPr>
              <w:sz w:val="20"/>
              <w:szCs w:val="20"/>
            </w:rPr>
          </w:pPr>
        </w:p>
      </w:tc>
      <w:tc>
        <w:tcPr>
          <w:tcW w:w="4320" w:type="dxa"/>
          <w:tcMar>
            <w:left w:w="0" w:type="dxa"/>
            <w:right w:w="0" w:type="dxa"/>
          </w:tcMar>
        </w:tcPr>
        <w:p w:rsidR="00002FFB" w:rsidRPr="0044776A" w:rsidRDefault="00002FFB" w:rsidP="002E2327">
          <w:pPr>
            <w:keepLines/>
            <w:rPr>
              <w:sz w:val="20"/>
              <w:szCs w:val="20"/>
              <w:lang w:val="fr-CA"/>
            </w:rPr>
          </w:pPr>
          <w:r w:rsidRPr="0044776A">
            <w:rPr>
              <w:sz w:val="20"/>
              <w:szCs w:val="20"/>
              <w:lang w:val="fr-CA"/>
            </w:rPr>
            <w:t>DEMANDES D'AUTORISATION D'APPEL DÉPOSÉES</w:t>
          </w:r>
        </w:p>
      </w:tc>
    </w:tr>
  </w:tbl>
  <w:p w:rsidR="00002FFB" w:rsidRDefault="00002F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rsidTr="00245129">
      <w:tc>
        <w:tcPr>
          <w:tcW w:w="4200" w:type="dxa"/>
          <w:tcMar>
            <w:left w:w="0" w:type="dxa"/>
            <w:right w:w="0" w:type="dxa"/>
          </w:tcMar>
        </w:tcPr>
        <w:p w:rsidR="00002FFB" w:rsidRPr="0044776A" w:rsidRDefault="00002FFB" w:rsidP="0044776A">
          <w:pPr>
            <w:keepNext/>
            <w:keepLines/>
            <w:widowControl w:val="0"/>
            <w:rPr>
              <w:sz w:val="20"/>
              <w:szCs w:val="20"/>
            </w:rPr>
          </w:pPr>
          <w:r>
            <w:rPr>
              <w:sz w:val="20"/>
              <w:szCs w:val="20"/>
            </w:rPr>
            <w:t>APPLICATIONS FOR LEAVE</w:t>
          </w:r>
        </w:p>
        <w:p w:rsidR="00002FFB" w:rsidRPr="0044776A" w:rsidRDefault="00002FFB"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02FFB" w:rsidRPr="0044776A" w:rsidRDefault="00002FFB" w:rsidP="0044776A">
          <w:pPr>
            <w:keepNext/>
            <w:keepLines/>
            <w:widowControl w:val="0"/>
            <w:jc w:val="center"/>
            <w:rPr>
              <w:sz w:val="20"/>
              <w:szCs w:val="20"/>
            </w:rPr>
          </w:pPr>
        </w:p>
        <w:p w:rsidR="00002FFB" w:rsidRPr="0044776A" w:rsidRDefault="00002FFB" w:rsidP="0044776A">
          <w:pPr>
            <w:keepNext/>
            <w:keepLines/>
            <w:widowControl w:val="0"/>
            <w:jc w:val="center"/>
            <w:rPr>
              <w:sz w:val="20"/>
              <w:szCs w:val="20"/>
            </w:rPr>
          </w:pPr>
        </w:p>
        <w:p w:rsidR="00002FFB" w:rsidRPr="0044776A" w:rsidRDefault="00002FFB" w:rsidP="0044776A">
          <w:pPr>
            <w:keepNext/>
            <w:keepLines/>
            <w:widowControl w:val="0"/>
            <w:jc w:val="center"/>
            <w:rPr>
              <w:sz w:val="20"/>
              <w:szCs w:val="20"/>
            </w:rPr>
          </w:pPr>
        </w:p>
      </w:tc>
      <w:tc>
        <w:tcPr>
          <w:tcW w:w="4080" w:type="dxa"/>
          <w:tcMar>
            <w:left w:w="0" w:type="dxa"/>
            <w:right w:w="0" w:type="dxa"/>
          </w:tcMar>
        </w:tcPr>
        <w:p w:rsidR="00002FFB" w:rsidRPr="0044776A" w:rsidRDefault="00002FFB" w:rsidP="0044776A">
          <w:pPr>
            <w:keepLines/>
            <w:widowControl w:val="0"/>
            <w:rPr>
              <w:sz w:val="20"/>
              <w:szCs w:val="20"/>
              <w:lang w:val="fr-CA"/>
            </w:rPr>
          </w:pPr>
          <w:r w:rsidRPr="0044776A">
            <w:rPr>
              <w:sz w:val="20"/>
              <w:szCs w:val="20"/>
              <w:lang w:val="fr-CA"/>
            </w:rPr>
            <w:t>DEMANDES SOUMISES À LA COUR DEPUIS LA DERNIÈRE PARUTION</w:t>
          </w:r>
        </w:p>
        <w:p w:rsidR="00002FFB" w:rsidRPr="0044776A" w:rsidRDefault="00002FFB" w:rsidP="0044776A">
          <w:pPr>
            <w:widowControl w:val="0"/>
            <w:rPr>
              <w:sz w:val="20"/>
              <w:szCs w:val="20"/>
              <w:lang w:val="fr-CA"/>
            </w:rPr>
          </w:pPr>
        </w:p>
      </w:tc>
    </w:tr>
  </w:tbl>
  <w:p w:rsidR="00002FFB" w:rsidRPr="002E2327" w:rsidRDefault="00002FFB">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FB" w:rsidRDefault="00002FF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tc>
        <w:tcPr>
          <w:tcW w:w="4200" w:type="dxa"/>
          <w:tcMar>
            <w:left w:w="0" w:type="dxa"/>
            <w:right w:w="0" w:type="dxa"/>
          </w:tcMar>
        </w:tcPr>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002FFB"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002FFB"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02FFB" w:rsidRPr="00FF6BA5"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002FFB" w:rsidRPr="00FF6BA5"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002FFB" w:rsidRPr="00FF6BA5"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002FFB" w:rsidRPr="00FF6BA5" w:rsidRDefault="00002F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02FFB" w:rsidRPr="00002FFB" w:rsidTr="00245129">
      <w:tc>
        <w:tcPr>
          <w:tcW w:w="4200" w:type="dxa"/>
          <w:tcMar>
            <w:left w:w="0" w:type="dxa"/>
            <w:right w:w="0" w:type="dxa"/>
          </w:tcMar>
        </w:tcPr>
        <w:p w:rsidR="00002FFB" w:rsidRPr="00755F22"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002FFB" w:rsidRPr="00755F22" w:rsidRDefault="00002FF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002FFB" w:rsidRPr="00755F22" w:rsidRDefault="00002F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2FFB" w:rsidRPr="00755F22" w:rsidRDefault="00002F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002FFB" w:rsidRPr="00755F22" w:rsidRDefault="00002FFB"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002FFB" w:rsidRPr="00755F22" w:rsidRDefault="00002FFB">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002FFB" w:rsidRPr="00FF6BA5" w:rsidRDefault="00002FFB"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76817"/>
  </w:hdrShapeDefaults>
  <w:footnotePr>
    <w:footnote w:id="-1"/>
    <w:footnote w:id="0"/>
  </w:footnotePr>
  <w:endnotePr>
    <w:endnote w:id="-1"/>
    <w:endnote w:id="0"/>
  </w:endnotePr>
  <w:compat>
    <w:compatSetting w:name="compatibilityMode" w:uri="http://schemas.microsoft.com/office/word" w:val="12"/>
  </w:compat>
  <w:rsids>
    <w:rsidRoot w:val="00DF3651"/>
    <w:rsid w:val="00002FFB"/>
    <w:rsid w:val="00004285"/>
    <w:rsid w:val="0003223B"/>
    <w:rsid w:val="000327B2"/>
    <w:rsid w:val="0004528B"/>
    <w:rsid w:val="000578B4"/>
    <w:rsid w:val="00091A37"/>
    <w:rsid w:val="00091FA6"/>
    <w:rsid w:val="00096BD9"/>
    <w:rsid w:val="000B3C9A"/>
    <w:rsid w:val="000B40A2"/>
    <w:rsid w:val="000B4624"/>
    <w:rsid w:val="000C0ACD"/>
    <w:rsid w:val="000C0D2A"/>
    <w:rsid w:val="000C5CE8"/>
    <w:rsid w:val="000E2959"/>
    <w:rsid w:val="000F0B60"/>
    <w:rsid w:val="00102926"/>
    <w:rsid w:val="0010587F"/>
    <w:rsid w:val="00111C6B"/>
    <w:rsid w:val="0012102B"/>
    <w:rsid w:val="0013369E"/>
    <w:rsid w:val="00164E6D"/>
    <w:rsid w:val="00183454"/>
    <w:rsid w:val="001A56CA"/>
    <w:rsid w:val="001B157C"/>
    <w:rsid w:val="001B4006"/>
    <w:rsid w:val="001B5C23"/>
    <w:rsid w:val="001D0D5F"/>
    <w:rsid w:val="001D2D69"/>
    <w:rsid w:val="001D5FCF"/>
    <w:rsid w:val="001D6B8C"/>
    <w:rsid w:val="001F1F83"/>
    <w:rsid w:val="001F40DF"/>
    <w:rsid w:val="001F6B2D"/>
    <w:rsid w:val="002021A9"/>
    <w:rsid w:val="00211FE1"/>
    <w:rsid w:val="002139A7"/>
    <w:rsid w:val="00215F7C"/>
    <w:rsid w:val="0022323B"/>
    <w:rsid w:val="00237EED"/>
    <w:rsid w:val="002410B8"/>
    <w:rsid w:val="00242AEE"/>
    <w:rsid w:val="00245129"/>
    <w:rsid w:val="00245879"/>
    <w:rsid w:val="002539A3"/>
    <w:rsid w:val="00267FD5"/>
    <w:rsid w:val="00274D34"/>
    <w:rsid w:val="00283ED8"/>
    <w:rsid w:val="002868D0"/>
    <w:rsid w:val="002937AF"/>
    <w:rsid w:val="002A008C"/>
    <w:rsid w:val="002A27D1"/>
    <w:rsid w:val="002A4AFA"/>
    <w:rsid w:val="002B516C"/>
    <w:rsid w:val="002B6BCF"/>
    <w:rsid w:val="002C3BA4"/>
    <w:rsid w:val="002D72EB"/>
    <w:rsid w:val="002E2327"/>
    <w:rsid w:val="002E3583"/>
    <w:rsid w:val="002E5576"/>
    <w:rsid w:val="003104AE"/>
    <w:rsid w:val="003110B0"/>
    <w:rsid w:val="003163AF"/>
    <w:rsid w:val="00331B52"/>
    <w:rsid w:val="00332FFA"/>
    <w:rsid w:val="003359D3"/>
    <w:rsid w:val="00355967"/>
    <w:rsid w:val="00382C47"/>
    <w:rsid w:val="00384384"/>
    <w:rsid w:val="003866AE"/>
    <w:rsid w:val="003978BC"/>
    <w:rsid w:val="003B3977"/>
    <w:rsid w:val="003E0B85"/>
    <w:rsid w:val="003E1D4C"/>
    <w:rsid w:val="003F2AFF"/>
    <w:rsid w:val="00400D5E"/>
    <w:rsid w:val="004137A0"/>
    <w:rsid w:val="00414EF0"/>
    <w:rsid w:val="00422D9A"/>
    <w:rsid w:val="00432989"/>
    <w:rsid w:val="00440E24"/>
    <w:rsid w:val="0044776A"/>
    <w:rsid w:val="00460AFC"/>
    <w:rsid w:val="0047471F"/>
    <w:rsid w:val="00481D26"/>
    <w:rsid w:val="004B195E"/>
    <w:rsid w:val="004B66B4"/>
    <w:rsid w:val="004B7F60"/>
    <w:rsid w:val="004C1AAC"/>
    <w:rsid w:val="004E1E0A"/>
    <w:rsid w:val="004F090E"/>
    <w:rsid w:val="00501F3C"/>
    <w:rsid w:val="005174EE"/>
    <w:rsid w:val="0052229C"/>
    <w:rsid w:val="00527CC7"/>
    <w:rsid w:val="005551EE"/>
    <w:rsid w:val="005614E6"/>
    <w:rsid w:val="0057077B"/>
    <w:rsid w:val="00570EF9"/>
    <w:rsid w:val="00571CA4"/>
    <w:rsid w:val="00582136"/>
    <w:rsid w:val="005A17B2"/>
    <w:rsid w:val="005A5407"/>
    <w:rsid w:val="005B5000"/>
    <w:rsid w:val="005C6840"/>
    <w:rsid w:val="005F1ED8"/>
    <w:rsid w:val="005F263E"/>
    <w:rsid w:val="00600252"/>
    <w:rsid w:val="00612A40"/>
    <w:rsid w:val="0062714A"/>
    <w:rsid w:val="006535BF"/>
    <w:rsid w:val="00660B35"/>
    <w:rsid w:val="00675479"/>
    <w:rsid w:val="00680709"/>
    <w:rsid w:val="00680749"/>
    <w:rsid w:val="00696BF9"/>
    <w:rsid w:val="00697C62"/>
    <w:rsid w:val="006A329B"/>
    <w:rsid w:val="006A7EB8"/>
    <w:rsid w:val="006B6926"/>
    <w:rsid w:val="006C3F47"/>
    <w:rsid w:val="006C5F7A"/>
    <w:rsid w:val="006E06AF"/>
    <w:rsid w:val="006E1D53"/>
    <w:rsid w:val="006F350F"/>
    <w:rsid w:val="00726349"/>
    <w:rsid w:val="00732DB7"/>
    <w:rsid w:val="0074238B"/>
    <w:rsid w:val="00745EF7"/>
    <w:rsid w:val="00755F22"/>
    <w:rsid w:val="00766E4A"/>
    <w:rsid w:val="007820CE"/>
    <w:rsid w:val="00782AE4"/>
    <w:rsid w:val="0079724F"/>
    <w:rsid w:val="007A3EAE"/>
    <w:rsid w:val="007B7E12"/>
    <w:rsid w:val="007C04FC"/>
    <w:rsid w:val="007C47C2"/>
    <w:rsid w:val="007D3E0F"/>
    <w:rsid w:val="007E4282"/>
    <w:rsid w:val="007F387B"/>
    <w:rsid w:val="00802863"/>
    <w:rsid w:val="008112A9"/>
    <w:rsid w:val="00815B3C"/>
    <w:rsid w:val="0081610A"/>
    <w:rsid w:val="0082783A"/>
    <w:rsid w:val="00831CA9"/>
    <w:rsid w:val="0083649F"/>
    <w:rsid w:val="0084682C"/>
    <w:rsid w:val="00850E1F"/>
    <w:rsid w:val="0085476B"/>
    <w:rsid w:val="0086340B"/>
    <w:rsid w:val="008877D5"/>
    <w:rsid w:val="00890FEB"/>
    <w:rsid w:val="00895E7E"/>
    <w:rsid w:val="008A444A"/>
    <w:rsid w:val="008A5C1A"/>
    <w:rsid w:val="008B3F6F"/>
    <w:rsid w:val="008C34B7"/>
    <w:rsid w:val="008D292F"/>
    <w:rsid w:val="008D35A1"/>
    <w:rsid w:val="008E03DC"/>
    <w:rsid w:val="00902E51"/>
    <w:rsid w:val="00924065"/>
    <w:rsid w:val="00930D68"/>
    <w:rsid w:val="00932DB4"/>
    <w:rsid w:val="00937236"/>
    <w:rsid w:val="00941A4B"/>
    <w:rsid w:val="00946242"/>
    <w:rsid w:val="0095096B"/>
    <w:rsid w:val="00970CD3"/>
    <w:rsid w:val="009723FA"/>
    <w:rsid w:val="00982EDD"/>
    <w:rsid w:val="00984546"/>
    <w:rsid w:val="009863FE"/>
    <w:rsid w:val="00996510"/>
    <w:rsid w:val="009D1F15"/>
    <w:rsid w:val="009D555E"/>
    <w:rsid w:val="009F3024"/>
    <w:rsid w:val="009F39BA"/>
    <w:rsid w:val="00A0340C"/>
    <w:rsid w:val="00A0355E"/>
    <w:rsid w:val="00A375D1"/>
    <w:rsid w:val="00A51D10"/>
    <w:rsid w:val="00A52A83"/>
    <w:rsid w:val="00A6552C"/>
    <w:rsid w:val="00A87207"/>
    <w:rsid w:val="00A935AA"/>
    <w:rsid w:val="00A956D3"/>
    <w:rsid w:val="00AB2201"/>
    <w:rsid w:val="00AB573B"/>
    <w:rsid w:val="00AB5A01"/>
    <w:rsid w:val="00AD1D34"/>
    <w:rsid w:val="00AD3259"/>
    <w:rsid w:val="00AE57BE"/>
    <w:rsid w:val="00AF1715"/>
    <w:rsid w:val="00AF3904"/>
    <w:rsid w:val="00B010C0"/>
    <w:rsid w:val="00B02DE5"/>
    <w:rsid w:val="00B4740D"/>
    <w:rsid w:val="00B608EE"/>
    <w:rsid w:val="00B61629"/>
    <w:rsid w:val="00B7374B"/>
    <w:rsid w:val="00B90DC0"/>
    <w:rsid w:val="00BA116A"/>
    <w:rsid w:val="00BA5582"/>
    <w:rsid w:val="00BA6468"/>
    <w:rsid w:val="00BB1D44"/>
    <w:rsid w:val="00BB5D5B"/>
    <w:rsid w:val="00BC2489"/>
    <w:rsid w:val="00BD06DA"/>
    <w:rsid w:val="00BD4217"/>
    <w:rsid w:val="00BE0961"/>
    <w:rsid w:val="00BF25F3"/>
    <w:rsid w:val="00BF6437"/>
    <w:rsid w:val="00C1697B"/>
    <w:rsid w:val="00C21644"/>
    <w:rsid w:val="00C21CB5"/>
    <w:rsid w:val="00C46376"/>
    <w:rsid w:val="00C50A5C"/>
    <w:rsid w:val="00C50FDF"/>
    <w:rsid w:val="00C63381"/>
    <w:rsid w:val="00C73D06"/>
    <w:rsid w:val="00C73E1B"/>
    <w:rsid w:val="00C759B4"/>
    <w:rsid w:val="00C77713"/>
    <w:rsid w:val="00C77E17"/>
    <w:rsid w:val="00C82EF9"/>
    <w:rsid w:val="00C85BB7"/>
    <w:rsid w:val="00CA2DEA"/>
    <w:rsid w:val="00CA314B"/>
    <w:rsid w:val="00CB2023"/>
    <w:rsid w:val="00CB3520"/>
    <w:rsid w:val="00CB43D5"/>
    <w:rsid w:val="00CC4D84"/>
    <w:rsid w:val="00CE198A"/>
    <w:rsid w:val="00CF08C8"/>
    <w:rsid w:val="00D004FC"/>
    <w:rsid w:val="00D17B96"/>
    <w:rsid w:val="00D26E66"/>
    <w:rsid w:val="00D408A3"/>
    <w:rsid w:val="00D56CB4"/>
    <w:rsid w:val="00D64901"/>
    <w:rsid w:val="00D76BDF"/>
    <w:rsid w:val="00D862C1"/>
    <w:rsid w:val="00D93B50"/>
    <w:rsid w:val="00D94028"/>
    <w:rsid w:val="00D94670"/>
    <w:rsid w:val="00DA22E6"/>
    <w:rsid w:val="00DA46F6"/>
    <w:rsid w:val="00DC4C0D"/>
    <w:rsid w:val="00DD0B49"/>
    <w:rsid w:val="00DE0502"/>
    <w:rsid w:val="00DE349D"/>
    <w:rsid w:val="00DF3651"/>
    <w:rsid w:val="00E06DFA"/>
    <w:rsid w:val="00E20A0A"/>
    <w:rsid w:val="00E22571"/>
    <w:rsid w:val="00E2374F"/>
    <w:rsid w:val="00E240C2"/>
    <w:rsid w:val="00E30277"/>
    <w:rsid w:val="00E356C7"/>
    <w:rsid w:val="00E41A5A"/>
    <w:rsid w:val="00E4461B"/>
    <w:rsid w:val="00E45FE4"/>
    <w:rsid w:val="00E56A3F"/>
    <w:rsid w:val="00E64FA7"/>
    <w:rsid w:val="00E770CB"/>
    <w:rsid w:val="00E903A1"/>
    <w:rsid w:val="00E940EB"/>
    <w:rsid w:val="00E9703F"/>
    <w:rsid w:val="00EB2B90"/>
    <w:rsid w:val="00ED7E83"/>
    <w:rsid w:val="00EE06EA"/>
    <w:rsid w:val="00EE091F"/>
    <w:rsid w:val="00EF3BAE"/>
    <w:rsid w:val="00EF4B63"/>
    <w:rsid w:val="00F0068D"/>
    <w:rsid w:val="00F0576D"/>
    <w:rsid w:val="00F14E6D"/>
    <w:rsid w:val="00F15EA8"/>
    <w:rsid w:val="00F16C8D"/>
    <w:rsid w:val="00F1752C"/>
    <w:rsid w:val="00F26C61"/>
    <w:rsid w:val="00F33CCE"/>
    <w:rsid w:val="00F368A5"/>
    <w:rsid w:val="00F40249"/>
    <w:rsid w:val="00F51618"/>
    <w:rsid w:val="00F526C8"/>
    <w:rsid w:val="00F600F7"/>
    <w:rsid w:val="00F761A3"/>
    <w:rsid w:val="00F8036E"/>
    <w:rsid w:val="00F9272D"/>
    <w:rsid w:val="00F9518C"/>
    <w:rsid w:val="00FA316E"/>
    <w:rsid w:val="00FA59EF"/>
    <w:rsid w:val="00FB19A2"/>
    <w:rsid w:val="00FF095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6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211FE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11FE1"/>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570EF9"/>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5B500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5B500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6535B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EF3BA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EF3BA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EF3BA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EF3BA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5174E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5174E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5174E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5174EE"/>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004285"/>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7">
    <w:name w:val="Table Grid17"/>
    <w:basedOn w:val="TableNormal"/>
    <w:next w:val="TableGrid"/>
    <w:uiPriority w:val="59"/>
    <w:rsid w:val="00AE57B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4/2014qcca591/2014qcca591.html" TargetMode="External"/><Relationship Id="rId117" Type="http://schemas.openxmlformats.org/officeDocument/2006/relationships/hyperlink" Target="http://www.scc-csc.ca/case-dossier/info/sum-som-eng.aspx?cas=35866" TargetMode="External"/><Relationship Id="rId21" Type="http://schemas.openxmlformats.org/officeDocument/2006/relationships/header" Target="header6.xml"/><Relationship Id="rId42" Type="http://schemas.openxmlformats.org/officeDocument/2006/relationships/hyperlink" Target="http://www.canlii.org/fr/ca/legis/lois/lrc-1985-c-c-46/derniere/lrc-1985-c-c-46.html" TargetMode="External"/><Relationship Id="rId47" Type="http://schemas.openxmlformats.org/officeDocument/2006/relationships/hyperlink" Target="http://www.canlii.org/fr/ca/legis/lois/lrc-1985-c-n-5/derniere/lrc-1985-c-n-5.html" TargetMode="External"/><Relationship Id="rId63" Type="http://schemas.openxmlformats.org/officeDocument/2006/relationships/hyperlink" Target="http://www.canlii.org/en/ab/abqb/doc/2013/2013abqb205/2013abqb205.html" TargetMode="External"/><Relationship Id="rId68" Type="http://schemas.openxmlformats.org/officeDocument/2006/relationships/hyperlink" Target="http://canlii.ca/t/g71g0" TargetMode="External"/><Relationship Id="rId84" Type="http://schemas.openxmlformats.org/officeDocument/2006/relationships/hyperlink" Target="http://canlii.ca/t/fzcpk" TargetMode="External"/><Relationship Id="rId89" Type="http://schemas.openxmlformats.org/officeDocument/2006/relationships/hyperlink" Target="http://www.canlii.org/en/ab/abqb/doc/2013/2013abqb611/2013abqb611.html" TargetMode="External"/><Relationship Id="rId112" Type="http://schemas.openxmlformats.org/officeDocument/2006/relationships/header" Target="header16.xml"/><Relationship Id="rId133" Type="http://schemas.openxmlformats.org/officeDocument/2006/relationships/hyperlink" Target="http://www.scc-csc.ca/case-dossier/info/sum-som-eng.aspx?cas=35298" TargetMode="External"/><Relationship Id="rId138" Type="http://schemas.openxmlformats.org/officeDocument/2006/relationships/header" Target="header25.xml"/><Relationship Id="rId16" Type="http://schemas.openxmlformats.org/officeDocument/2006/relationships/footer" Target="footer3.xml"/><Relationship Id="rId107" Type="http://schemas.openxmlformats.org/officeDocument/2006/relationships/footer" Target="footer13.xml"/><Relationship Id="rId11" Type="http://schemas.openxmlformats.org/officeDocument/2006/relationships/header" Target="header1.xml"/><Relationship Id="rId32" Type="http://schemas.openxmlformats.org/officeDocument/2006/relationships/hyperlink" Target="http://www.canlii.org/en/qc/qcca/doc/2014/2014qcca774/2014qcca774.html" TargetMode="External"/><Relationship Id="rId37" Type="http://schemas.openxmlformats.org/officeDocument/2006/relationships/hyperlink" Target="http://www.canlii.org/fr/ca/legis/lois/lrc-1985-c-c-46/derniere/lrc-1985-c-c-46.html" TargetMode="External"/><Relationship Id="rId53" Type="http://schemas.openxmlformats.org/officeDocument/2006/relationships/hyperlink" Target="http://www.canlii.org/fr/ca/legis/lois/lrc-1985-c-n-5/derniere/lrc-1985-c-n-5.html" TargetMode="External"/><Relationship Id="rId58" Type="http://schemas.openxmlformats.org/officeDocument/2006/relationships/hyperlink" Target="http://canlii.ca/t/g6pg4" TargetMode="External"/><Relationship Id="rId74" Type="http://schemas.openxmlformats.org/officeDocument/2006/relationships/hyperlink" Target="http://www.canlii.org/fr/qc/qccs/doc/2014/2014qccs2143/2014qccs2143.html" TargetMode="External"/><Relationship Id="rId79" Type="http://schemas.openxmlformats.org/officeDocument/2006/relationships/hyperlink" Target="http://canlii.ca/t/g7cqc" TargetMode="External"/><Relationship Id="rId102" Type="http://schemas.openxmlformats.org/officeDocument/2006/relationships/header" Target="header11.xml"/><Relationship Id="rId123" Type="http://schemas.openxmlformats.org/officeDocument/2006/relationships/footer" Target="footer17.xml"/><Relationship Id="rId128" Type="http://schemas.openxmlformats.org/officeDocument/2006/relationships/header" Target="header21.xml"/><Relationship Id="rId5" Type="http://schemas.openxmlformats.org/officeDocument/2006/relationships/webSettings" Target="webSettings.xml"/><Relationship Id="rId90" Type="http://schemas.openxmlformats.org/officeDocument/2006/relationships/hyperlink" Target="http://www.canlii.org/en/ab/abca/doc/2014/2014abca225/2014abca225.html?searchUrlHash=AAAAAQANMjAxNCBBQkNBIDIyNQAAAAAB" TargetMode="External"/><Relationship Id="rId95" Type="http://schemas.openxmlformats.org/officeDocument/2006/relationships/hyperlink" Target="http://canlii.ca/t/g7rmw" TargetMode="External"/><Relationship Id="rId22" Type="http://schemas.openxmlformats.org/officeDocument/2006/relationships/footer" Target="footer6.xml"/><Relationship Id="rId27" Type="http://schemas.openxmlformats.org/officeDocument/2006/relationships/hyperlink" Target="http://www.canlii.org/fr/qc/qccs/doc/2012/2012qccs248/2012qccs248.html" TargetMode="External"/><Relationship Id="rId43" Type="http://schemas.openxmlformats.org/officeDocument/2006/relationships/hyperlink" Target="http://www.canlii.org/fr/ca/legis/lois/lrc-1985-c-c-46/derniere/lrc-1985-c-c-46.html" TargetMode="External"/><Relationship Id="rId48" Type="http://schemas.openxmlformats.org/officeDocument/2006/relationships/hyperlink" Target="http://www.canlii.org/fr/ca/legis/lois/lrc-1985-c-n-5/derniere/lrc-1985-c-n-5.html" TargetMode="External"/><Relationship Id="rId64" Type="http://schemas.openxmlformats.org/officeDocument/2006/relationships/hyperlink" Target="http://www.canlii.org/en/ab/abqb/doc/2013/2013abqb363/2013abqb363.html?searchUrlHash=AAAAAQAOc3ByYWd1ZS1yb3NzZXIAAAAAAQ" TargetMode="External"/><Relationship Id="rId69" Type="http://schemas.openxmlformats.org/officeDocument/2006/relationships/hyperlink" Target="http://www.canlii.org/fr/ca/legis/lois/lrc-1985-c-b-4/derniere/lrc-1985-c-b-4.html" TargetMode="External"/><Relationship Id="rId113" Type="http://schemas.openxmlformats.org/officeDocument/2006/relationships/footer" Target="footer16.xml"/><Relationship Id="rId118" Type="http://schemas.openxmlformats.org/officeDocument/2006/relationships/hyperlink" Target="http://www.scc-csc.ca/case-dossier/info/sum-som-eng.aspx?cas=35597" TargetMode="External"/><Relationship Id="rId134" Type="http://schemas.openxmlformats.org/officeDocument/2006/relationships/header" Target="header23.xml"/><Relationship Id="rId139" Type="http://schemas.openxmlformats.org/officeDocument/2006/relationships/footer" Target="footer25.xml"/><Relationship Id="rId8" Type="http://schemas.openxmlformats.org/officeDocument/2006/relationships/image" Target="media/image1.wmf"/><Relationship Id="rId51" Type="http://schemas.openxmlformats.org/officeDocument/2006/relationships/hyperlink" Target="http://www.canlii.org/fr/ca/legis/lois/lrc-1985-c-c-46/derniere/lrc-1985-c-c-46.html" TargetMode="External"/><Relationship Id="rId72" Type="http://schemas.openxmlformats.org/officeDocument/2006/relationships/hyperlink" Target="http://www.canlii.org/fr/qc/qccs/doc/2014/2014qccs2143/2014qccs2143.html" TargetMode="External"/><Relationship Id="rId80" Type="http://schemas.openxmlformats.org/officeDocument/2006/relationships/hyperlink" Target="http://canlii.ca/t/frh0h" TargetMode="External"/><Relationship Id="rId85" Type="http://schemas.openxmlformats.org/officeDocument/2006/relationships/hyperlink" Target="http://canlii.ca/t/g6qm8" TargetMode="External"/><Relationship Id="rId93" Type="http://schemas.openxmlformats.org/officeDocument/2006/relationships/hyperlink" Target="http://www.canlii.org/en/on/onca/doc/2014/2014onca569/2014onca569.html" TargetMode="External"/><Relationship Id="rId98" Type="http://schemas.openxmlformats.org/officeDocument/2006/relationships/footer" Target="footer8.xml"/><Relationship Id="rId121" Type="http://schemas.openxmlformats.org/officeDocument/2006/relationships/header" Target="header17.xm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2/2012qccs248/2012qccs248.html" TargetMode="External"/><Relationship Id="rId33" Type="http://schemas.openxmlformats.org/officeDocument/2006/relationships/hyperlink" Target="http://www.canlii.org/fr/ca/legis/lois/lrc-1985-c-n-5/derniere/lrc-1985-c-n-5.html" TargetMode="External"/><Relationship Id="rId38" Type="http://schemas.openxmlformats.org/officeDocument/2006/relationships/hyperlink" Target="http://www.canlii.org/fr/ca/legis/lois/lrc-1985-c-n-5/derniere/lrc-1985-c-n-5.html" TargetMode="External"/><Relationship Id="rId46" Type="http://schemas.openxmlformats.org/officeDocument/2006/relationships/hyperlink" Target="http://www.canlii.org/fr/ca/legis/lois/lrc-1985-c-n-5/derniere/lrc-1985-c-n-5.html" TargetMode="External"/><Relationship Id="rId59" Type="http://schemas.openxmlformats.org/officeDocument/2006/relationships/hyperlink" Target="http://canlii.ca/t/fz56p" TargetMode="External"/><Relationship Id="rId67" Type="http://schemas.openxmlformats.org/officeDocument/2006/relationships/hyperlink" Target="http://canlii.ca/t/g2hzg" TargetMode="External"/><Relationship Id="rId103" Type="http://schemas.openxmlformats.org/officeDocument/2006/relationships/header" Target="header12.xml"/><Relationship Id="rId108" Type="http://schemas.openxmlformats.org/officeDocument/2006/relationships/header" Target="header14.xml"/><Relationship Id="rId116" Type="http://schemas.openxmlformats.org/officeDocument/2006/relationships/hyperlink" Target="http://www.scc-csc.ca/case-dossier/info/sum-som-eng.aspx?cas=35758" TargetMode="External"/><Relationship Id="rId124" Type="http://schemas.openxmlformats.org/officeDocument/2006/relationships/footer" Target="footer18.xml"/><Relationship Id="rId129" Type="http://schemas.openxmlformats.org/officeDocument/2006/relationships/footer" Target="footer20.xml"/><Relationship Id="rId137" Type="http://schemas.openxmlformats.org/officeDocument/2006/relationships/footer" Target="footer24.xml"/><Relationship Id="rId20" Type="http://schemas.openxmlformats.org/officeDocument/2006/relationships/footer" Target="footer5.xml"/><Relationship Id="rId41" Type="http://schemas.openxmlformats.org/officeDocument/2006/relationships/hyperlink" Target="http://www.canlii.org/fr/ca/legis/lois/lrc-1985-c-n-5/derniere/lrc-1985-c-n-5.html" TargetMode="External"/><Relationship Id="rId54" Type="http://schemas.openxmlformats.org/officeDocument/2006/relationships/hyperlink" Target="http://decisions.cmac-cacm.ca/cmac-cacm/cmac-cacm/fr/item/73442/index.do" TargetMode="External"/><Relationship Id="rId62" Type="http://schemas.openxmlformats.org/officeDocument/2006/relationships/hyperlink" Target="http://canlii.ca/t/g703h" TargetMode="External"/><Relationship Id="rId70" Type="http://schemas.openxmlformats.org/officeDocument/2006/relationships/hyperlink" Target="http://canlii.ca/t/g2hzg" TargetMode="External"/><Relationship Id="rId75" Type="http://schemas.openxmlformats.org/officeDocument/2006/relationships/hyperlink" Target="http://www.canlii.org/en/qc/qcca/doc/2014/2014qcca1184/2014qcca1184.html" TargetMode="External"/><Relationship Id="rId83" Type="http://schemas.openxmlformats.org/officeDocument/2006/relationships/hyperlink" Target="http://canlii.ca/t/g6qm8" TargetMode="External"/><Relationship Id="rId88" Type="http://schemas.openxmlformats.org/officeDocument/2006/relationships/hyperlink" Target="http://www.canlii.org/en/ab/abca/doc/2014/2014abca239/2014abca239.html?searchUrlHash=AAAAAQAOMjAxNCBBQkNBIDIzOSAAAAAAAQ" TargetMode="External"/><Relationship Id="rId91" Type="http://schemas.openxmlformats.org/officeDocument/2006/relationships/hyperlink" Target="http://www.canlii.org/en/ab/abca/doc/2014/2014abca239/2014abca239.html?searchUrlHash=AAAAAQAOMjAxNCBBQkNBIDIzOSAAAAAAAQ" TargetMode="External"/><Relationship Id="rId96" Type="http://schemas.openxmlformats.org/officeDocument/2006/relationships/header" Target="header8.xml"/><Relationship Id="rId111" Type="http://schemas.openxmlformats.org/officeDocument/2006/relationships/footer" Target="footer15.xml"/><Relationship Id="rId132" Type="http://schemas.openxmlformats.org/officeDocument/2006/relationships/footer" Target="footer22.xml"/><Relationship Id="rId140"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591/2014qcca591.html" TargetMode="External"/><Relationship Id="rId36" Type="http://schemas.openxmlformats.org/officeDocument/2006/relationships/hyperlink" Target="http://www.canlii.org/fr/ca/cm/doc/2013/2013cm4005/2013cm4005.html" TargetMode="External"/><Relationship Id="rId49" Type="http://schemas.openxmlformats.org/officeDocument/2006/relationships/hyperlink" Target="http://www.canlii.org/fr/ca/legis/lois/lrc-1985-c-n-5/derniere/lrc-1985-c-n-5.html" TargetMode="External"/><Relationship Id="rId57" Type="http://schemas.openxmlformats.org/officeDocument/2006/relationships/hyperlink" Target="http://canlii.ca/t/fwgd2" TargetMode="External"/><Relationship Id="rId106" Type="http://schemas.openxmlformats.org/officeDocument/2006/relationships/header" Target="header13.xml"/><Relationship Id="rId114" Type="http://schemas.openxmlformats.org/officeDocument/2006/relationships/hyperlink" Target="http://www.scc-csc.ca/case-dossier/info/sum-som-eng.aspx?cas=35519" TargetMode="External"/><Relationship Id="rId119" Type="http://schemas.openxmlformats.org/officeDocument/2006/relationships/hyperlink" Target="http://www.scc-csc.ca/case-dossier/info/sum-som-eng.aspx?cas=35957" TargetMode="External"/><Relationship Id="rId127" Type="http://schemas.openxmlformats.org/officeDocument/2006/relationships/header" Target="header20.xml"/><Relationship Id="rId10" Type="http://schemas.openxmlformats.org/officeDocument/2006/relationships/hyperlink" Target="http://www.scc-csc.ca" TargetMode="External"/><Relationship Id="rId31" Type="http://schemas.openxmlformats.org/officeDocument/2006/relationships/hyperlink" Target="http://www.canlii.org/en/qc/qccs/doc/2014/2014qccs666/2014qccs666.html" TargetMode="External"/><Relationship Id="rId44" Type="http://schemas.openxmlformats.org/officeDocument/2006/relationships/hyperlink" Target="http://www.canlii.org/fr/ca/legis/lois/lrc-1985-c-n-5/derniere/lrc-1985-c-n-5.html" TargetMode="External"/><Relationship Id="rId52" Type="http://schemas.openxmlformats.org/officeDocument/2006/relationships/hyperlink" Target="http://www.canlii.org/fr/ca/legis/lois/lrc-1985-c-n-5/derniere/lrc-1985-c-n-5.html" TargetMode="External"/><Relationship Id="rId60" Type="http://schemas.openxmlformats.org/officeDocument/2006/relationships/hyperlink" Target="http://canlii.ca/t/g703h" TargetMode="External"/><Relationship Id="rId65" Type="http://schemas.openxmlformats.org/officeDocument/2006/relationships/hyperlink" Target="http://www.canlii.org/en/ab/abqb/doc/2013/2013abqb205/2013abqb205.html" TargetMode="External"/><Relationship Id="rId73" Type="http://schemas.openxmlformats.org/officeDocument/2006/relationships/hyperlink" Target="http://www.canlii.org/en/qc/qcca/doc/2014/2014qcca1184/2014qcca1184.html" TargetMode="External"/><Relationship Id="rId78" Type="http://schemas.openxmlformats.org/officeDocument/2006/relationships/hyperlink" Target="http://canlii.ca/t/frh0h" TargetMode="External"/><Relationship Id="rId81" Type="http://schemas.openxmlformats.org/officeDocument/2006/relationships/hyperlink" Target="http://canlii.ca/t/g7cqc" TargetMode="External"/><Relationship Id="rId86" Type="http://schemas.openxmlformats.org/officeDocument/2006/relationships/hyperlink" Target="http://www.canlii.org/en/ab/abqb/doc/2013/2013abqb611/2013abqb611.html" TargetMode="External"/><Relationship Id="rId94" Type="http://schemas.openxmlformats.org/officeDocument/2006/relationships/hyperlink" Target="http://canlii.ca/t/g7rmw" TargetMode="External"/><Relationship Id="rId99" Type="http://schemas.openxmlformats.org/officeDocument/2006/relationships/footer" Target="footer9.xml"/><Relationship Id="rId101" Type="http://schemas.openxmlformats.org/officeDocument/2006/relationships/footer" Target="footer10.xml"/><Relationship Id="rId122" Type="http://schemas.openxmlformats.org/officeDocument/2006/relationships/header" Target="header18.xml"/><Relationship Id="rId130" Type="http://schemas.openxmlformats.org/officeDocument/2006/relationships/footer" Target="footer21.xml"/><Relationship Id="rId135" Type="http://schemas.openxmlformats.org/officeDocument/2006/relationships/header" Target="header24.xm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fr/ca/legis/lois/lrc-1985-c-n-5/derniere/lrc-1985-c-n-5.html" TargetMode="External"/><Relationship Id="rId109" Type="http://schemas.openxmlformats.org/officeDocument/2006/relationships/header" Target="header15.xml"/><Relationship Id="rId34" Type="http://schemas.openxmlformats.org/officeDocument/2006/relationships/hyperlink" Target="http://www.canlii.org/fr/ca/legis/lois/lrc-1985-c-c-46/derniere/lrc-1985-c-c-46.html" TargetMode="External"/><Relationship Id="rId50" Type="http://schemas.openxmlformats.org/officeDocument/2006/relationships/hyperlink" Target="http://www.canlii.org/fr/ca/cm/doc/2013/2013cm4005/2013cm4005.html" TargetMode="External"/><Relationship Id="rId55" Type="http://schemas.openxmlformats.org/officeDocument/2006/relationships/hyperlink" Target="http://canlii.ca/t/fwgd2" TargetMode="External"/><Relationship Id="rId76" Type="http://schemas.openxmlformats.org/officeDocument/2006/relationships/hyperlink" Target="http://www.canlii.org/en/qc/qcca/doc/2014/2014qcca869/2014qcca869.html" TargetMode="External"/><Relationship Id="rId97" Type="http://schemas.openxmlformats.org/officeDocument/2006/relationships/header" Target="header9.xml"/><Relationship Id="rId104" Type="http://schemas.openxmlformats.org/officeDocument/2006/relationships/footer" Target="footer11.xml"/><Relationship Id="rId120" Type="http://schemas.openxmlformats.org/officeDocument/2006/relationships/hyperlink" Target="http://www.scc-csc.ca/case-dossier/info/sum-som-eng.aspx?cas=35682" TargetMode="External"/><Relationship Id="rId125" Type="http://schemas.openxmlformats.org/officeDocument/2006/relationships/header" Target="header19.xml"/><Relationship Id="rId141"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yperlink" Target="http://canlii.ca/t/g71g0" TargetMode="External"/><Relationship Id="rId92" Type="http://schemas.openxmlformats.org/officeDocument/2006/relationships/hyperlink" Target="http://www.canlii.org/en/on/onca/doc/2014/2014onca569/2014onca569.html" TargetMode="External"/><Relationship Id="rId2" Type="http://schemas.openxmlformats.org/officeDocument/2006/relationships/numbering" Target="numbering.xml"/><Relationship Id="rId29" Type="http://schemas.openxmlformats.org/officeDocument/2006/relationships/hyperlink" Target="http://www.canlii.org/en/qc/qccs/doc/2014/2014qccs666/2014qccs666.html" TargetMode="External"/><Relationship Id="rId24" Type="http://schemas.openxmlformats.org/officeDocument/2006/relationships/footer" Target="footer7.xml"/><Relationship Id="rId40" Type="http://schemas.openxmlformats.org/officeDocument/2006/relationships/hyperlink" Target="http://decisions.cmac-cacm.ca/cmac-cacm/cmac-cacm/fr/item/73442/index.do" TargetMode="External"/><Relationship Id="rId45" Type="http://schemas.openxmlformats.org/officeDocument/2006/relationships/hyperlink" Target="http://www.canlii.org/fr/ca/legis/lois/lrc-1985-c-n-5/derniere/lrc-1985-c-n-5.html" TargetMode="External"/><Relationship Id="rId66" Type="http://schemas.openxmlformats.org/officeDocument/2006/relationships/hyperlink" Target="http://www.canlii.org/en/ab/abqb/doc/2013/2013abqb363/2013abqb363.html?searchUrlHash=AAAAAQAOc3ByYWd1ZS1yb3NzZXIAAAAAAQ" TargetMode="External"/><Relationship Id="rId87" Type="http://schemas.openxmlformats.org/officeDocument/2006/relationships/hyperlink" Target="http://www.canlii.org/en/ab/abca/doc/2014/2014abca225/2014abca225.html?searchUrlHash=AAAAAQANMjAxNCBBQkNBIDIyNQAAAAAB" TargetMode="External"/><Relationship Id="rId110" Type="http://schemas.openxmlformats.org/officeDocument/2006/relationships/footer" Target="footer14.xml"/><Relationship Id="rId115" Type="http://schemas.openxmlformats.org/officeDocument/2006/relationships/hyperlink" Target="http://www.scc-csc.ca/case-dossier/info/sum-som-eng.aspx?cas=35822" TargetMode="External"/><Relationship Id="rId131" Type="http://schemas.openxmlformats.org/officeDocument/2006/relationships/header" Target="header22.xml"/><Relationship Id="rId136" Type="http://schemas.openxmlformats.org/officeDocument/2006/relationships/footer" Target="footer23.xml"/><Relationship Id="rId61" Type="http://schemas.openxmlformats.org/officeDocument/2006/relationships/hyperlink" Target="http://canlii.ca/t/fz56p" TargetMode="External"/><Relationship Id="rId82" Type="http://schemas.openxmlformats.org/officeDocument/2006/relationships/hyperlink" Target="http://canlii.ca/t/fzcpk"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yperlink" Target="http://www.canlii.org/en/qc/qcca/doc/2014/2014qcca774/2014qcca774.html" TargetMode="External"/><Relationship Id="rId35" Type="http://schemas.openxmlformats.org/officeDocument/2006/relationships/hyperlink" Target="http://www.canlii.org/fr/ca/legis/lois/lrc-1985-c-n-5/derniere/lrc-1985-c-n-5.html" TargetMode="External"/><Relationship Id="rId56" Type="http://schemas.openxmlformats.org/officeDocument/2006/relationships/hyperlink" Target="http://canlii.ca/t/g6pg4" TargetMode="External"/><Relationship Id="rId77" Type="http://schemas.openxmlformats.org/officeDocument/2006/relationships/hyperlink" Target="http://www.canlii.org/en/qc/qcca/doc/2014/2014qcca869/2014qcca869.html" TargetMode="External"/><Relationship Id="rId100" Type="http://schemas.openxmlformats.org/officeDocument/2006/relationships/header" Target="header10.xml"/><Relationship Id="rId105" Type="http://schemas.openxmlformats.org/officeDocument/2006/relationships/footer" Target="footer12.xml"/><Relationship Id="rId126"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F4B65-AC7F-4AB6-9992-EC00CAB4F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25854</Words>
  <Characters>147372</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2014-12-05T13:47:00Z</dcterms:created>
  <dcterms:modified xsi:type="dcterms:W3CDTF">2015-11-30T15:06:00Z</dcterms:modified>
</cp:coreProperties>
</file>