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B098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B098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B098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B098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B0985"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B0985"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B0985"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EB0985">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EB0985">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C4E1B" w:rsidP="00F0068D">
      <w:pPr>
        <w:pBdr>
          <w:bottom w:val="single" w:sz="6" w:space="1" w:color="auto"/>
        </w:pBdr>
        <w:tabs>
          <w:tab w:val="center" w:pos="4680"/>
          <w:tab w:val="right" w:pos="9360"/>
        </w:tabs>
        <w:rPr>
          <w:lang w:val="fr-CA"/>
        </w:rPr>
      </w:pPr>
      <w:r>
        <w:rPr>
          <w:lang w:val="fr-CA"/>
        </w:rPr>
        <w:t>September 18</w:t>
      </w:r>
      <w:r w:rsidR="00440E24" w:rsidRPr="00675479">
        <w:rPr>
          <w:lang w:val="fr-CA"/>
        </w:rPr>
        <w:t>, 201</w:t>
      </w:r>
      <w:r w:rsidR="00020DC3">
        <w:rPr>
          <w:lang w:val="fr-CA"/>
        </w:rPr>
        <w:t>5</w:t>
      </w:r>
      <w:r w:rsidR="00F0068D" w:rsidRPr="00675479">
        <w:rPr>
          <w:lang w:val="fr-CA"/>
        </w:rPr>
        <w:tab/>
        <w:t>1</w:t>
      </w:r>
      <w:r>
        <w:rPr>
          <w:lang w:val="fr-CA"/>
        </w:rPr>
        <w:t>319</w:t>
      </w:r>
      <w:r w:rsidR="00F0068D" w:rsidRPr="00675479">
        <w:rPr>
          <w:lang w:val="fr-CA"/>
        </w:rPr>
        <w:t xml:space="preserve"> - </w:t>
      </w:r>
      <w:r w:rsidR="002E5A9A">
        <w:rPr>
          <w:lang w:val="fr-CA"/>
        </w:rPr>
        <w:t>1337</w:t>
      </w:r>
      <w:r w:rsidR="00440E24" w:rsidRPr="00675479">
        <w:rPr>
          <w:lang w:val="fr-CA"/>
        </w:rPr>
        <w:tab/>
      </w:r>
      <w:r w:rsidR="00440E24" w:rsidRPr="002E2327">
        <w:rPr>
          <w:lang w:val="fr-CA"/>
        </w:rPr>
        <w:t>Le</w:t>
      </w:r>
      <w:r w:rsidR="00C73D06">
        <w:rPr>
          <w:lang w:val="fr-CA"/>
        </w:rPr>
        <w:t xml:space="preserve"> </w:t>
      </w:r>
      <w:r>
        <w:rPr>
          <w:lang w:val="fr-CA"/>
        </w:rPr>
        <w:t>18 septembre</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055D79" w:rsidRDefault="00440E24" w:rsidP="00440E24">
      <w:pPr>
        <w:pBdr>
          <w:bottom w:val="single" w:sz="6" w:space="1" w:color="auto"/>
        </w:pBdr>
        <w:tabs>
          <w:tab w:val="right" w:pos="9360"/>
        </w:tabs>
        <w:rPr>
          <w:sz w:val="18"/>
          <w:szCs w:val="18"/>
          <w:lang w:val="fr-CA"/>
        </w:rPr>
      </w:pPr>
      <w:r w:rsidRPr="00055D79">
        <w:rPr>
          <w:sz w:val="18"/>
          <w:szCs w:val="18"/>
          <w:lang w:val="fr-CA"/>
        </w:rPr>
        <w:t>© Supreme Court of Canada (201</w:t>
      </w:r>
      <w:r w:rsidR="00020DC3" w:rsidRPr="00055D79">
        <w:rPr>
          <w:sz w:val="18"/>
          <w:szCs w:val="18"/>
          <w:lang w:val="fr-CA"/>
        </w:rPr>
        <w:t>5</w:t>
      </w:r>
      <w:r w:rsidRPr="00055D79">
        <w:rPr>
          <w:sz w:val="18"/>
          <w:szCs w:val="18"/>
          <w:lang w:val="fr-CA"/>
        </w:rPr>
        <w:t>)</w:t>
      </w:r>
      <w:r w:rsidRPr="00055D79">
        <w:rPr>
          <w:sz w:val="18"/>
          <w:szCs w:val="18"/>
          <w:lang w:val="fr-CA"/>
        </w:rPr>
        <w:tab/>
        <w:t>© Cour suprême du Canada (201</w:t>
      </w:r>
      <w:r w:rsidR="00020DC3" w:rsidRPr="00055D79">
        <w:rPr>
          <w:sz w:val="18"/>
          <w:szCs w:val="18"/>
          <w:lang w:val="fr-CA"/>
        </w:rPr>
        <w:t>5</w:t>
      </w:r>
      <w:r w:rsidRPr="00055D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916C68" w:rsidRPr="00675479" w:rsidRDefault="00916C68"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536DA2">
            <w:pPr>
              <w:tabs>
                <w:tab w:val="right" w:pos="9360"/>
              </w:tabs>
              <w:rPr>
                <w:rFonts w:cs="Times New Roman"/>
                <w:sz w:val="20"/>
                <w:szCs w:val="20"/>
              </w:rPr>
            </w:pPr>
          </w:p>
        </w:tc>
        <w:tc>
          <w:tcPr>
            <w:tcW w:w="1980" w:type="dxa"/>
          </w:tcPr>
          <w:p w:rsidR="0095096B" w:rsidRPr="002E2327" w:rsidRDefault="00D60C39" w:rsidP="0095096B">
            <w:pPr>
              <w:jc w:val="center"/>
              <w:rPr>
                <w:rFonts w:cs="Times New Roman"/>
                <w:sz w:val="20"/>
                <w:szCs w:val="20"/>
              </w:rPr>
            </w:pPr>
            <w:r>
              <w:rPr>
                <w:rFonts w:cs="Times New Roman"/>
                <w:sz w:val="20"/>
                <w:szCs w:val="20"/>
              </w:rPr>
              <w:t xml:space="preserve">1319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sidR="002E5A9A">
              <w:rPr>
                <w:rFonts w:cs="Times New Roman"/>
                <w:sz w:val="20"/>
                <w:szCs w:val="20"/>
              </w:rPr>
              <w:t xml:space="preserve"> 1321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E5A9A" w:rsidP="0095096B">
            <w:pPr>
              <w:jc w:val="center"/>
              <w:rPr>
                <w:rFonts w:cs="Times New Roman"/>
                <w:sz w:val="20"/>
                <w:szCs w:val="20"/>
              </w:rPr>
            </w:pPr>
            <w:r>
              <w:rPr>
                <w:rFonts w:cs="Times New Roman"/>
                <w:sz w:val="20"/>
                <w:szCs w:val="20"/>
              </w:rPr>
              <w:t>1322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E5A9A" w:rsidP="0095096B">
            <w:pPr>
              <w:jc w:val="center"/>
              <w:rPr>
                <w:rFonts w:cs="Times New Roman"/>
                <w:sz w:val="20"/>
                <w:szCs w:val="20"/>
              </w:rPr>
            </w:pPr>
            <w:r>
              <w:rPr>
                <w:rFonts w:cs="Times New Roman"/>
                <w:sz w:val="20"/>
                <w:szCs w:val="20"/>
              </w:rPr>
              <w:t xml:space="preserve">1323 </w:t>
            </w:r>
            <w:r w:rsidR="0095096B" w:rsidRPr="002E2327">
              <w:rPr>
                <w:rFonts w:cs="Times New Roman"/>
                <w:sz w:val="20"/>
                <w:szCs w:val="20"/>
              </w:rPr>
              <w:t>-</w:t>
            </w:r>
            <w:r>
              <w:rPr>
                <w:rFonts w:cs="Times New Roman"/>
                <w:sz w:val="20"/>
                <w:szCs w:val="20"/>
              </w:rPr>
              <w:t xml:space="preserve"> 1330</w:t>
            </w:r>
          </w:p>
          <w:p w:rsidR="0095096B" w:rsidRPr="002E2327" w:rsidRDefault="0095096B" w:rsidP="0095096B">
            <w:pPr>
              <w:jc w:val="center"/>
              <w:rPr>
                <w:rFonts w:cs="Times New Roman"/>
                <w:sz w:val="20"/>
                <w:szCs w:val="20"/>
              </w:rPr>
            </w:pPr>
          </w:p>
          <w:p w:rsidR="00536DA2" w:rsidRDefault="00536DA2" w:rsidP="0095096B">
            <w:pPr>
              <w:jc w:val="center"/>
              <w:rPr>
                <w:rFonts w:cs="Times New Roman"/>
                <w:sz w:val="20"/>
                <w:szCs w:val="20"/>
              </w:rPr>
            </w:pPr>
          </w:p>
          <w:p w:rsidR="0095096B" w:rsidRPr="002E2327" w:rsidRDefault="002E5A9A" w:rsidP="0095096B">
            <w:pPr>
              <w:jc w:val="center"/>
              <w:rPr>
                <w:rFonts w:cs="Times New Roman"/>
                <w:sz w:val="20"/>
                <w:szCs w:val="20"/>
              </w:rPr>
            </w:pPr>
            <w:r>
              <w:rPr>
                <w:rFonts w:cs="Times New Roman"/>
                <w:sz w:val="20"/>
                <w:szCs w:val="20"/>
              </w:rPr>
              <w:t xml:space="preserve">1331 </w:t>
            </w:r>
            <w:r w:rsidR="0095096B" w:rsidRPr="002E2327">
              <w:rPr>
                <w:rFonts w:cs="Times New Roman"/>
                <w:sz w:val="20"/>
                <w:szCs w:val="20"/>
              </w:rPr>
              <w:t>-</w:t>
            </w:r>
            <w:r>
              <w:rPr>
                <w:rFonts w:cs="Times New Roman"/>
                <w:sz w:val="20"/>
                <w:szCs w:val="20"/>
              </w:rPr>
              <w:t xml:space="preserve"> 1332</w:t>
            </w:r>
          </w:p>
          <w:p w:rsidR="0095096B" w:rsidRPr="002E2327" w:rsidRDefault="0095096B" w:rsidP="0095096B">
            <w:pPr>
              <w:jc w:val="center"/>
              <w:rPr>
                <w:rFonts w:cs="Times New Roman"/>
                <w:sz w:val="20"/>
                <w:szCs w:val="20"/>
              </w:rPr>
            </w:pPr>
          </w:p>
          <w:p w:rsidR="0095096B" w:rsidRPr="002E2327" w:rsidRDefault="002E5A9A" w:rsidP="0095096B">
            <w:pPr>
              <w:jc w:val="center"/>
              <w:rPr>
                <w:rFonts w:cs="Times New Roman"/>
                <w:sz w:val="20"/>
                <w:szCs w:val="20"/>
              </w:rPr>
            </w:pPr>
            <w:r>
              <w:rPr>
                <w:rFonts w:cs="Times New Roman"/>
                <w:sz w:val="20"/>
                <w:szCs w:val="20"/>
              </w:rPr>
              <w:t>1333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E5A9A" w:rsidP="0095096B">
            <w:pPr>
              <w:jc w:val="center"/>
              <w:rPr>
                <w:rFonts w:cs="Times New Roman"/>
                <w:sz w:val="20"/>
                <w:szCs w:val="20"/>
              </w:rPr>
            </w:pPr>
            <w:r>
              <w:rPr>
                <w:rFonts w:cs="Times New Roman"/>
                <w:sz w:val="20"/>
                <w:szCs w:val="20"/>
              </w:rPr>
              <w:t>1334</w:t>
            </w:r>
          </w:p>
          <w:p w:rsidR="0095096B" w:rsidRPr="002E2327" w:rsidRDefault="0095096B" w:rsidP="0095096B">
            <w:pPr>
              <w:jc w:val="center"/>
              <w:rPr>
                <w:rFonts w:cs="Times New Roman"/>
                <w:sz w:val="20"/>
                <w:szCs w:val="20"/>
              </w:rPr>
            </w:pPr>
          </w:p>
          <w:p w:rsidR="00536DA2" w:rsidRDefault="00536DA2" w:rsidP="0095096B">
            <w:pPr>
              <w:jc w:val="center"/>
              <w:rPr>
                <w:rFonts w:cs="Times New Roman"/>
                <w:sz w:val="20"/>
                <w:szCs w:val="20"/>
              </w:rPr>
            </w:pPr>
          </w:p>
          <w:p w:rsidR="00A87207" w:rsidRPr="002E2327" w:rsidRDefault="002E5A9A" w:rsidP="00536DA2">
            <w:pPr>
              <w:jc w:val="center"/>
              <w:rPr>
                <w:rFonts w:cs="Times New Roman"/>
                <w:sz w:val="20"/>
                <w:szCs w:val="20"/>
              </w:rPr>
            </w:pPr>
            <w:r>
              <w:rPr>
                <w:rFonts w:cs="Times New Roman"/>
                <w:sz w:val="20"/>
                <w:szCs w:val="20"/>
              </w:rPr>
              <w:t xml:space="preserve">1335 </w:t>
            </w:r>
            <w:r w:rsidR="0095096B" w:rsidRPr="002E2327">
              <w:rPr>
                <w:rFonts w:cs="Times New Roman"/>
                <w:sz w:val="20"/>
                <w:szCs w:val="20"/>
              </w:rPr>
              <w:t>-</w:t>
            </w:r>
            <w:r>
              <w:rPr>
                <w:rFonts w:cs="Times New Roman"/>
                <w:sz w:val="20"/>
                <w:szCs w:val="20"/>
              </w:rPr>
              <w:t xml:space="preserve"> 1337</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536DA2">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EB098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7727AF" w:rsidRDefault="009C4E1B" w:rsidP="005F1ED8">
            <w:pPr>
              <w:rPr>
                <w:b/>
                <w:sz w:val="20"/>
                <w:szCs w:val="20"/>
                <w:lang w:val="en-US"/>
              </w:rPr>
            </w:pPr>
            <w:r w:rsidRPr="007727AF">
              <w:rPr>
                <w:b/>
                <w:sz w:val="20"/>
                <w:szCs w:val="20"/>
                <w:lang w:val="en-US"/>
              </w:rPr>
              <w:t>Peavine Metis Settlement</w:t>
            </w:r>
            <w:r w:rsidR="00C21644" w:rsidRPr="007727AF">
              <w:rPr>
                <w:b/>
                <w:sz w:val="20"/>
                <w:szCs w:val="20"/>
                <w:lang w:val="en-US"/>
              </w:rPr>
              <w:t xml:space="preserve"> et al.</w:t>
            </w:r>
          </w:p>
          <w:p w:rsidR="00C21644" w:rsidRPr="009C4E1B" w:rsidRDefault="00C21644" w:rsidP="005F1ED8">
            <w:pPr>
              <w:tabs>
                <w:tab w:val="left" w:pos="-1440"/>
                <w:tab w:val="left" w:pos="-720"/>
              </w:tabs>
              <w:rPr>
                <w:sz w:val="20"/>
                <w:szCs w:val="20"/>
                <w:lang w:val="en-US"/>
              </w:rPr>
            </w:pPr>
            <w:r w:rsidRPr="007727AF">
              <w:rPr>
                <w:sz w:val="20"/>
                <w:szCs w:val="20"/>
                <w:lang w:val="en-US"/>
              </w:rPr>
              <w:tab/>
            </w:r>
            <w:r w:rsidR="009C4E1B" w:rsidRPr="009C4E1B">
              <w:rPr>
                <w:sz w:val="20"/>
                <w:szCs w:val="20"/>
                <w:lang w:val="en-US"/>
              </w:rPr>
              <w:t>Richard B. Hajduk</w:t>
            </w:r>
            <w:r w:rsidRPr="009C4E1B">
              <w:rPr>
                <w:sz w:val="20"/>
                <w:szCs w:val="20"/>
                <w:lang w:val="en-US"/>
              </w:rPr>
              <w:t xml:space="preserve"> </w:t>
            </w:r>
            <w:r w:rsidR="00032504">
              <w:rPr>
                <w:sz w:val="20"/>
                <w:szCs w:val="20"/>
                <w:lang w:val="en-US"/>
              </w:rPr>
              <w:t>1</w:t>
            </w:r>
          </w:p>
          <w:p w:rsidR="00C21644" w:rsidRPr="009C4E1B" w:rsidRDefault="00C21644" w:rsidP="005F1ED8">
            <w:pPr>
              <w:tabs>
                <w:tab w:val="left" w:pos="-1440"/>
                <w:tab w:val="left" w:pos="-720"/>
              </w:tabs>
              <w:rPr>
                <w:sz w:val="20"/>
                <w:szCs w:val="20"/>
                <w:lang w:val="en-US"/>
              </w:rPr>
            </w:pPr>
            <w:r w:rsidRPr="009C4E1B">
              <w:rPr>
                <w:sz w:val="20"/>
                <w:szCs w:val="20"/>
                <w:lang w:val="en-US"/>
              </w:rPr>
              <w:tab/>
            </w:r>
            <w:r w:rsidR="009C4E1B" w:rsidRPr="009C4E1B">
              <w:rPr>
                <w:sz w:val="20"/>
                <w:szCs w:val="20"/>
                <w:lang w:val="en-US"/>
              </w:rPr>
              <w:t>Hajduk Gibbs LLP</w:t>
            </w:r>
          </w:p>
          <w:p w:rsidR="00C21644" w:rsidRPr="009C4E1B" w:rsidRDefault="00C21644" w:rsidP="005F1ED8">
            <w:pPr>
              <w:tabs>
                <w:tab w:val="left" w:pos="-1440"/>
                <w:tab w:val="left" w:pos="-720"/>
              </w:tabs>
              <w:rPr>
                <w:sz w:val="20"/>
                <w:szCs w:val="20"/>
                <w:lang w:val="en-US"/>
              </w:rPr>
            </w:pPr>
          </w:p>
          <w:p w:rsidR="00C21644" w:rsidRPr="00E95CE4" w:rsidRDefault="00C21644" w:rsidP="005F1ED8">
            <w:pPr>
              <w:tabs>
                <w:tab w:val="left" w:pos="-1440"/>
                <w:tab w:val="left" w:pos="-720"/>
              </w:tabs>
              <w:rPr>
                <w:sz w:val="20"/>
                <w:szCs w:val="20"/>
                <w:lang w:val="fr-CA"/>
              </w:rPr>
            </w:pPr>
            <w:r w:rsidRPr="009C4E1B">
              <w:rPr>
                <w:sz w:val="20"/>
                <w:szCs w:val="20"/>
                <w:lang w:val="en-US"/>
              </w:rPr>
              <w:tab/>
            </w:r>
            <w:r w:rsidRPr="00E95CE4">
              <w:rPr>
                <w:sz w:val="20"/>
                <w:szCs w:val="20"/>
                <w:lang w:val="fr-CA"/>
              </w:rPr>
              <w:t>v. (</w:t>
            </w:r>
            <w:r w:rsidR="009C4E1B">
              <w:rPr>
                <w:sz w:val="20"/>
                <w:szCs w:val="20"/>
                <w:lang w:val="fr-CA"/>
              </w:rPr>
              <w:t>36565</w:t>
            </w:r>
            <w:r w:rsidRPr="00E95CE4">
              <w:rPr>
                <w:sz w:val="20"/>
                <w:szCs w:val="20"/>
                <w:lang w:val="fr-CA"/>
              </w:rPr>
              <w:t>)</w:t>
            </w:r>
          </w:p>
          <w:p w:rsidR="00C21644" w:rsidRPr="00E95CE4" w:rsidRDefault="00C21644" w:rsidP="005F1ED8">
            <w:pPr>
              <w:tabs>
                <w:tab w:val="left" w:pos="-1440"/>
                <w:tab w:val="left" w:pos="-720"/>
              </w:tabs>
              <w:rPr>
                <w:sz w:val="20"/>
                <w:szCs w:val="20"/>
                <w:lang w:val="fr-CA"/>
              </w:rPr>
            </w:pPr>
          </w:p>
          <w:p w:rsidR="00C21644" w:rsidRPr="007727AF" w:rsidRDefault="009C4E1B" w:rsidP="005F1ED8">
            <w:pPr>
              <w:tabs>
                <w:tab w:val="left" w:pos="-1440"/>
                <w:tab w:val="left" w:pos="-720"/>
              </w:tabs>
              <w:rPr>
                <w:b/>
                <w:sz w:val="20"/>
                <w:szCs w:val="20"/>
                <w:lang w:val="en-US"/>
              </w:rPr>
            </w:pPr>
            <w:r>
              <w:rPr>
                <w:b/>
                <w:sz w:val="20"/>
                <w:szCs w:val="20"/>
                <w:lang w:val="fr-CA"/>
              </w:rPr>
              <w:t xml:space="preserve">Linda </w:t>
            </w:r>
            <w:r w:rsidRPr="009C4E1B">
              <w:rPr>
                <w:b/>
                <w:sz w:val="20"/>
                <w:szCs w:val="20"/>
                <w:lang w:val="fr-CA"/>
              </w:rPr>
              <w:t>Isbister</w:t>
            </w:r>
            <w:r w:rsidR="00C21644" w:rsidRPr="00E95CE4">
              <w:rPr>
                <w:b/>
                <w:sz w:val="20"/>
                <w:szCs w:val="20"/>
                <w:lang w:val="fr-CA"/>
              </w:rPr>
              <w:t xml:space="preserve"> et al.</w:t>
            </w:r>
            <w:r w:rsidR="00C21644" w:rsidRPr="00E95CE4">
              <w:rPr>
                <w:sz w:val="20"/>
                <w:szCs w:val="20"/>
                <w:lang w:val="fr-CA"/>
              </w:rPr>
              <w:t xml:space="preserve"> </w:t>
            </w:r>
            <w:r w:rsidR="00C21644" w:rsidRPr="007727AF">
              <w:rPr>
                <w:b/>
                <w:sz w:val="20"/>
                <w:szCs w:val="20"/>
                <w:lang w:val="en-US"/>
              </w:rPr>
              <w:t>(</w:t>
            </w:r>
            <w:r w:rsidRPr="007727AF">
              <w:rPr>
                <w:b/>
                <w:sz w:val="20"/>
                <w:szCs w:val="20"/>
                <w:lang w:val="en-US"/>
              </w:rPr>
              <w:t>Alta</w:t>
            </w:r>
            <w:r w:rsidR="00C21644" w:rsidRPr="007727AF">
              <w:rPr>
                <w:b/>
                <w:sz w:val="20"/>
                <w:szCs w:val="20"/>
                <w:lang w:val="en-US"/>
              </w:rPr>
              <w:t>.)</w:t>
            </w:r>
          </w:p>
          <w:p w:rsidR="00C21644" w:rsidRPr="007727AF" w:rsidRDefault="00C21644" w:rsidP="005F1ED8">
            <w:pPr>
              <w:tabs>
                <w:tab w:val="left" w:pos="-1440"/>
                <w:tab w:val="left" w:pos="-720"/>
              </w:tabs>
              <w:rPr>
                <w:sz w:val="20"/>
                <w:szCs w:val="20"/>
                <w:lang w:val="en-US"/>
              </w:rPr>
            </w:pPr>
            <w:r w:rsidRPr="007727AF">
              <w:rPr>
                <w:sz w:val="20"/>
                <w:szCs w:val="20"/>
                <w:lang w:val="en-US"/>
              </w:rPr>
              <w:tab/>
            </w:r>
            <w:r w:rsidR="009C4E1B" w:rsidRPr="007727AF">
              <w:rPr>
                <w:sz w:val="20"/>
                <w:szCs w:val="20"/>
                <w:lang w:val="en-US"/>
              </w:rPr>
              <w:t>Patrice Taylor</w:t>
            </w:r>
          </w:p>
          <w:p w:rsidR="00C21644" w:rsidRPr="007727AF" w:rsidRDefault="00C21644" w:rsidP="005F1ED8">
            <w:pPr>
              <w:tabs>
                <w:tab w:val="left" w:pos="-1440"/>
                <w:tab w:val="left" w:pos="-720"/>
              </w:tabs>
              <w:rPr>
                <w:sz w:val="20"/>
                <w:szCs w:val="20"/>
                <w:lang w:val="en-US"/>
              </w:rPr>
            </w:pPr>
          </w:p>
          <w:p w:rsidR="00C21644" w:rsidRPr="007727AF" w:rsidRDefault="00C21644" w:rsidP="005F1ED8">
            <w:pPr>
              <w:rPr>
                <w:sz w:val="20"/>
                <w:szCs w:val="20"/>
                <w:lang w:val="en-US"/>
              </w:rPr>
            </w:pPr>
            <w:r w:rsidRPr="007727AF">
              <w:rPr>
                <w:sz w:val="20"/>
                <w:szCs w:val="20"/>
                <w:lang w:val="en-US"/>
              </w:rPr>
              <w:t xml:space="preserve">FILING DATE: </w:t>
            </w:r>
            <w:r w:rsidR="009C4E1B" w:rsidRPr="007727AF">
              <w:rPr>
                <w:sz w:val="20"/>
                <w:szCs w:val="20"/>
                <w:lang w:val="en-US"/>
              </w:rPr>
              <w:t>14</w:t>
            </w:r>
            <w:r w:rsidRPr="007727AF">
              <w:rPr>
                <w:sz w:val="20"/>
                <w:szCs w:val="20"/>
                <w:lang w:val="en-US"/>
              </w:rPr>
              <w:t>.</w:t>
            </w:r>
            <w:r w:rsidR="009C4E1B" w:rsidRPr="007727AF">
              <w:rPr>
                <w:sz w:val="20"/>
                <w:szCs w:val="20"/>
                <w:lang w:val="en-US"/>
              </w:rPr>
              <w:t>08</w:t>
            </w:r>
            <w:r w:rsidRPr="007727AF">
              <w:rPr>
                <w:sz w:val="20"/>
                <w:szCs w:val="20"/>
                <w:lang w:val="en-US"/>
              </w:rPr>
              <w:t>.201</w:t>
            </w:r>
            <w:r w:rsidR="009C4E1B" w:rsidRPr="007727AF">
              <w:rPr>
                <w:sz w:val="20"/>
                <w:szCs w:val="20"/>
                <w:lang w:val="en-US"/>
              </w:rPr>
              <w:t>5</w:t>
            </w:r>
          </w:p>
          <w:p w:rsidR="00C21644" w:rsidRPr="009C4E1B" w:rsidRDefault="00EB0985" w:rsidP="005F1ED8">
            <w:pPr>
              <w:rPr>
                <w:sz w:val="20"/>
                <w:szCs w:val="20"/>
                <w:lang w:val="fr-CA"/>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9C4E1B" w:rsidRDefault="00C21644" w:rsidP="00242AEE">
            <w:pPr>
              <w:jc w:val="center"/>
              <w:rPr>
                <w:sz w:val="20"/>
                <w:szCs w:val="20"/>
                <w:lang w:val="fr-CA"/>
              </w:rPr>
            </w:pPr>
          </w:p>
          <w:p w:rsidR="00C21644" w:rsidRPr="009C4E1B" w:rsidRDefault="00C21644" w:rsidP="00242AEE">
            <w:pPr>
              <w:jc w:val="center"/>
              <w:rPr>
                <w:sz w:val="20"/>
                <w:szCs w:val="20"/>
                <w:lang w:val="fr-CA"/>
              </w:rPr>
            </w:pPr>
          </w:p>
          <w:p w:rsidR="00C21644" w:rsidRPr="009C4E1B" w:rsidRDefault="00C21644" w:rsidP="00242AEE">
            <w:pPr>
              <w:jc w:val="center"/>
              <w:rPr>
                <w:sz w:val="20"/>
                <w:szCs w:val="20"/>
                <w:lang w:val="fr-CA"/>
              </w:rPr>
            </w:pPr>
          </w:p>
          <w:p w:rsidR="00C21644" w:rsidRPr="009C4E1B" w:rsidRDefault="00C21644" w:rsidP="00242AEE">
            <w:pPr>
              <w:jc w:val="center"/>
              <w:rPr>
                <w:sz w:val="20"/>
                <w:szCs w:val="20"/>
                <w:lang w:val="fr-CA"/>
              </w:rPr>
            </w:pPr>
          </w:p>
          <w:p w:rsidR="00C21644" w:rsidRPr="009C4E1B" w:rsidRDefault="00C21644" w:rsidP="00242AEE">
            <w:pPr>
              <w:jc w:val="center"/>
              <w:rPr>
                <w:sz w:val="20"/>
                <w:szCs w:val="20"/>
                <w:lang w:val="fr-CA"/>
              </w:rPr>
            </w:pPr>
          </w:p>
          <w:p w:rsidR="00C21644" w:rsidRPr="009C4E1B" w:rsidRDefault="00C21644" w:rsidP="00242AEE">
            <w:pPr>
              <w:jc w:val="center"/>
              <w:rPr>
                <w:sz w:val="20"/>
                <w:szCs w:val="20"/>
                <w:lang w:val="fr-CA"/>
              </w:rPr>
            </w:pPr>
          </w:p>
          <w:p w:rsidR="00C21644" w:rsidRPr="009C4E1B" w:rsidRDefault="00C21644" w:rsidP="00242AEE">
            <w:pPr>
              <w:jc w:val="center"/>
              <w:rPr>
                <w:sz w:val="20"/>
                <w:szCs w:val="20"/>
                <w:lang w:val="fr-CA"/>
              </w:rPr>
            </w:pPr>
          </w:p>
          <w:p w:rsidR="00C21644" w:rsidRPr="009C4E1B" w:rsidRDefault="00C21644" w:rsidP="00242AEE">
            <w:pPr>
              <w:jc w:val="center"/>
              <w:rPr>
                <w:sz w:val="20"/>
                <w:szCs w:val="20"/>
                <w:lang w:val="fr-CA"/>
              </w:rPr>
            </w:pPr>
          </w:p>
          <w:p w:rsidR="00C21644" w:rsidRPr="009C4E1B" w:rsidRDefault="00C21644" w:rsidP="00242AEE">
            <w:pPr>
              <w:jc w:val="center"/>
              <w:rPr>
                <w:sz w:val="20"/>
                <w:szCs w:val="20"/>
                <w:lang w:val="fr-CA"/>
              </w:rPr>
            </w:pPr>
          </w:p>
          <w:p w:rsidR="00C21644" w:rsidRPr="009C4E1B" w:rsidRDefault="00C21644" w:rsidP="00242AEE">
            <w:pPr>
              <w:jc w:val="center"/>
              <w:rPr>
                <w:sz w:val="20"/>
                <w:szCs w:val="20"/>
                <w:lang w:val="fr-CA"/>
              </w:rPr>
            </w:pPr>
          </w:p>
          <w:p w:rsidR="00C21644" w:rsidRPr="009C4E1B" w:rsidRDefault="00C21644" w:rsidP="00242AEE">
            <w:pPr>
              <w:jc w:val="center"/>
              <w:rPr>
                <w:sz w:val="20"/>
                <w:szCs w:val="20"/>
                <w:lang w:val="fr-CA"/>
              </w:rPr>
            </w:pPr>
          </w:p>
          <w:p w:rsidR="00C21644" w:rsidRPr="009C4E1B" w:rsidRDefault="00C21644" w:rsidP="00242AEE">
            <w:pPr>
              <w:jc w:val="center"/>
              <w:rPr>
                <w:sz w:val="20"/>
                <w:szCs w:val="20"/>
                <w:lang w:val="fr-CA"/>
              </w:rPr>
            </w:pPr>
          </w:p>
        </w:tc>
        <w:tc>
          <w:tcPr>
            <w:tcW w:w="4320" w:type="dxa"/>
            <w:shd w:val="clear" w:color="auto" w:fill="auto"/>
          </w:tcPr>
          <w:p w:rsidR="008A6415" w:rsidRPr="007727AF" w:rsidRDefault="008A6415" w:rsidP="008A6415">
            <w:pPr>
              <w:keepNext/>
              <w:keepLines/>
              <w:tabs>
                <w:tab w:val="left" w:pos="-1440"/>
                <w:tab w:val="left" w:pos="-720"/>
              </w:tabs>
              <w:rPr>
                <w:b/>
                <w:sz w:val="20"/>
                <w:szCs w:val="20"/>
                <w:lang w:val="en-US"/>
              </w:rPr>
            </w:pPr>
            <w:r w:rsidRPr="007727AF">
              <w:rPr>
                <w:b/>
                <w:sz w:val="20"/>
                <w:szCs w:val="20"/>
                <w:lang w:val="en-US"/>
              </w:rPr>
              <w:t>Martin Green</w:t>
            </w:r>
          </w:p>
          <w:p w:rsidR="008A6415" w:rsidRPr="007727AF" w:rsidRDefault="008A6415" w:rsidP="008A6415">
            <w:pPr>
              <w:keepNext/>
              <w:keepLines/>
              <w:tabs>
                <w:tab w:val="left" w:pos="-1440"/>
                <w:tab w:val="left" w:pos="-720"/>
              </w:tabs>
              <w:rPr>
                <w:sz w:val="20"/>
                <w:szCs w:val="20"/>
                <w:lang w:val="en-US"/>
              </w:rPr>
            </w:pPr>
            <w:r w:rsidRPr="007727AF">
              <w:rPr>
                <w:sz w:val="20"/>
                <w:szCs w:val="20"/>
                <w:lang w:val="en-US"/>
              </w:rPr>
              <w:tab/>
              <w:t>Martin Green</w:t>
            </w:r>
          </w:p>
          <w:p w:rsidR="008A6415" w:rsidRPr="00A935AA" w:rsidRDefault="008A6415" w:rsidP="008A6415">
            <w:pPr>
              <w:keepNext/>
              <w:keepLines/>
              <w:tabs>
                <w:tab w:val="left" w:pos="-1440"/>
                <w:tab w:val="left" w:pos="-720"/>
              </w:tabs>
              <w:rPr>
                <w:sz w:val="20"/>
                <w:szCs w:val="20"/>
              </w:rPr>
            </w:pPr>
          </w:p>
          <w:p w:rsidR="008A6415" w:rsidRPr="00A935AA" w:rsidRDefault="008A6415" w:rsidP="008A6415">
            <w:pPr>
              <w:keepNext/>
              <w:keepLines/>
              <w:tabs>
                <w:tab w:val="left" w:pos="-1440"/>
                <w:tab w:val="left" w:pos="-720"/>
              </w:tabs>
              <w:rPr>
                <w:sz w:val="20"/>
                <w:szCs w:val="20"/>
              </w:rPr>
            </w:pPr>
            <w:r w:rsidRPr="00A935AA">
              <w:rPr>
                <w:sz w:val="20"/>
                <w:szCs w:val="20"/>
              </w:rPr>
              <w:tab/>
              <w:t>v. (3</w:t>
            </w:r>
            <w:r>
              <w:rPr>
                <w:sz w:val="20"/>
                <w:szCs w:val="20"/>
              </w:rPr>
              <w:t>6558</w:t>
            </w:r>
            <w:r w:rsidRPr="00A935AA">
              <w:rPr>
                <w:sz w:val="20"/>
                <w:szCs w:val="20"/>
              </w:rPr>
              <w:t>)</w:t>
            </w:r>
          </w:p>
          <w:p w:rsidR="008A6415" w:rsidRPr="00A935AA" w:rsidRDefault="008A6415" w:rsidP="008A6415">
            <w:pPr>
              <w:keepNext/>
              <w:keepLines/>
              <w:tabs>
                <w:tab w:val="left" w:pos="-1440"/>
                <w:tab w:val="left" w:pos="-720"/>
              </w:tabs>
              <w:rPr>
                <w:sz w:val="20"/>
                <w:szCs w:val="20"/>
              </w:rPr>
            </w:pPr>
          </w:p>
          <w:p w:rsidR="008A6415" w:rsidRPr="00A935AA" w:rsidRDefault="008A6415" w:rsidP="008A6415">
            <w:pPr>
              <w:keepNext/>
              <w:keepLines/>
              <w:tabs>
                <w:tab w:val="left" w:pos="-1440"/>
                <w:tab w:val="left" w:pos="-720"/>
              </w:tabs>
              <w:rPr>
                <w:b/>
                <w:sz w:val="20"/>
                <w:szCs w:val="20"/>
              </w:rPr>
            </w:pPr>
            <w:r w:rsidRPr="009C4E1B">
              <w:rPr>
                <w:b/>
                <w:sz w:val="20"/>
                <w:szCs w:val="20"/>
              </w:rPr>
              <w:t xml:space="preserve">Her Majesty the Queen </w:t>
            </w:r>
            <w:r w:rsidRPr="00A935AA">
              <w:rPr>
                <w:b/>
                <w:sz w:val="20"/>
                <w:szCs w:val="20"/>
              </w:rPr>
              <w:t>(</w:t>
            </w:r>
            <w:r>
              <w:rPr>
                <w:b/>
                <w:sz w:val="20"/>
                <w:szCs w:val="20"/>
              </w:rPr>
              <w:t>Man</w:t>
            </w:r>
            <w:r w:rsidRPr="00A935AA">
              <w:rPr>
                <w:b/>
                <w:sz w:val="20"/>
                <w:szCs w:val="20"/>
              </w:rPr>
              <w:t>.)</w:t>
            </w:r>
          </w:p>
          <w:p w:rsidR="008A6415" w:rsidRPr="007727AF" w:rsidRDefault="008A6415" w:rsidP="008A6415">
            <w:pPr>
              <w:keepNext/>
              <w:keepLines/>
              <w:tabs>
                <w:tab w:val="left" w:pos="-1440"/>
                <w:tab w:val="left" w:pos="-720"/>
              </w:tabs>
              <w:rPr>
                <w:sz w:val="20"/>
                <w:szCs w:val="20"/>
                <w:lang w:val="en-US"/>
              </w:rPr>
            </w:pPr>
            <w:r w:rsidRPr="00A935AA">
              <w:rPr>
                <w:sz w:val="20"/>
                <w:szCs w:val="20"/>
              </w:rPr>
              <w:tab/>
            </w:r>
            <w:r>
              <w:rPr>
                <w:sz w:val="20"/>
                <w:szCs w:val="20"/>
              </w:rPr>
              <w:t>Ren</w:t>
            </w:r>
            <w:r w:rsidRPr="007727AF">
              <w:rPr>
                <w:sz w:val="20"/>
                <w:szCs w:val="20"/>
                <w:lang w:val="en-US"/>
              </w:rPr>
              <w:t>ée Lagimodière</w:t>
            </w:r>
          </w:p>
          <w:p w:rsidR="008A6415" w:rsidRPr="00A935AA" w:rsidRDefault="008A6415" w:rsidP="008A6415">
            <w:pPr>
              <w:keepNext/>
              <w:keepLines/>
              <w:tabs>
                <w:tab w:val="left" w:pos="-1440"/>
                <w:tab w:val="left" w:pos="-720"/>
              </w:tabs>
              <w:rPr>
                <w:sz w:val="20"/>
                <w:szCs w:val="20"/>
              </w:rPr>
            </w:pPr>
            <w:r w:rsidRPr="00A935AA">
              <w:rPr>
                <w:sz w:val="20"/>
                <w:szCs w:val="20"/>
              </w:rPr>
              <w:tab/>
            </w:r>
            <w:r>
              <w:rPr>
                <w:sz w:val="20"/>
                <w:szCs w:val="20"/>
              </w:rPr>
              <w:t>A.G. of Manitoba</w:t>
            </w:r>
          </w:p>
          <w:p w:rsidR="008A6415" w:rsidRPr="00A935AA" w:rsidRDefault="008A6415" w:rsidP="008A6415">
            <w:pPr>
              <w:keepNext/>
              <w:keepLines/>
              <w:tabs>
                <w:tab w:val="left" w:pos="-1440"/>
                <w:tab w:val="left" w:pos="-720"/>
              </w:tabs>
              <w:rPr>
                <w:sz w:val="20"/>
                <w:szCs w:val="20"/>
              </w:rPr>
            </w:pPr>
          </w:p>
          <w:p w:rsidR="008A6415" w:rsidRDefault="008A6415" w:rsidP="008A6415">
            <w:pPr>
              <w:keepNext/>
              <w:keepLines/>
              <w:tabs>
                <w:tab w:val="left" w:pos="-1440"/>
                <w:tab w:val="left" w:pos="-720"/>
              </w:tabs>
            </w:pPr>
            <w:r w:rsidRPr="00A935AA">
              <w:rPr>
                <w:sz w:val="20"/>
                <w:szCs w:val="20"/>
              </w:rPr>
              <w:t xml:space="preserve">FILING DATE: </w:t>
            </w:r>
            <w:r>
              <w:rPr>
                <w:sz w:val="20"/>
                <w:szCs w:val="20"/>
              </w:rPr>
              <w:t>18</w:t>
            </w:r>
            <w:r w:rsidRPr="00A935AA">
              <w:rPr>
                <w:sz w:val="20"/>
                <w:szCs w:val="20"/>
              </w:rPr>
              <w:t>.0</w:t>
            </w:r>
            <w:r>
              <w:rPr>
                <w:sz w:val="20"/>
                <w:szCs w:val="20"/>
              </w:rPr>
              <w:t>8</w:t>
            </w:r>
            <w:r w:rsidRPr="00A935AA">
              <w:rPr>
                <w:sz w:val="20"/>
                <w:szCs w:val="20"/>
              </w:rPr>
              <w:t>.201</w:t>
            </w:r>
            <w:r>
              <w:rPr>
                <w:sz w:val="20"/>
                <w:szCs w:val="20"/>
              </w:rPr>
              <w:t xml:space="preserve">5 </w:t>
            </w:r>
          </w:p>
          <w:p w:rsidR="00C21644" w:rsidRPr="00806A5B" w:rsidRDefault="00EB0985" w:rsidP="009C4E1B">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8A6415" w:rsidRPr="00A935AA" w:rsidRDefault="008A6415" w:rsidP="008A6415">
            <w:pPr>
              <w:rPr>
                <w:b/>
                <w:sz w:val="20"/>
                <w:szCs w:val="20"/>
              </w:rPr>
            </w:pPr>
            <w:r>
              <w:rPr>
                <w:b/>
                <w:sz w:val="20"/>
                <w:szCs w:val="20"/>
              </w:rPr>
              <w:t xml:space="preserve">Romeo </w:t>
            </w:r>
            <w:r w:rsidRPr="003C38EF">
              <w:rPr>
                <w:b/>
                <w:sz w:val="20"/>
                <w:szCs w:val="20"/>
              </w:rPr>
              <w:t>Constantine</w:t>
            </w:r>
          </w:p>
          <w:p w:rsidR="008A6415" w:rsidRPr="00A935AA" w:rsidRDefault="008A6415" w:rsidP="008A6415">
            <w:pPr>
              <w:tabs>
                <w:tab w:val="left" w:pos="-1440"/>
                <w:tab w:val="left" w:pos="-720"/>
              </w:tabs>
              <w:rPr>
                <w:sz w:val="20"/>
                <w:szCs w:val="20"/>
              </w:rPr>
            </w:pPr>
            <w:r w:rsidRPr="00A935AA">
              <w:rPr>
                <w:sz w:val="20"/>
                <w:szCs w:val="20"/>
              </w:rPr>
              <w:tab/>
            </w:r>
            <w:r>
              <w:rPr>
                <w:sz w:val="20"/>
                <w:szCs w:val="20"/>
              </w:rPr>
              <w:t>Richard Posner</w:t>
            </w:r>
          </w:p>
          <w:p w:rsidR="008A6415" w:rsidRPr="00A935AA" w:rsidRDefault="008A6415" w:rsidP="008A6415">
            <w:pPr>
              <w:tabs>
                <w:tab w:val="left" w:pos="-1440"/>
                <w:tab w:val="left" w:pos="-720"/>
              </w:tabs>
              <w:rPr>
                <w:sz w:val="20"/>
                <w:szCs w:val="20"/>
              </w:rPr>
            </w:pPr>
            <w:r w:rsidRPr="00A935AA">
              <w:rPr>
                <w:sz w:val="20"/>
                <w:szCs w:val="20"/>
              </w:rPr>
              <w:tab/>
            </w:r>
            <w:r>
              <w:rPr>
                <w:sz w:val="20"/>
                <w:szCs w:val="20"/>
              </w:rPr>
              <w:t>Lockyer Campbell Posner</w:t>
            </w:r>
          </w:p>
          <w:p w:rsidR="008A6415" w:rsidRPr="00A935AA" w:rsidRDefault="008A6415" w:rsidP="008A6415">
            <w:pPr>
              <w:tabs>
                <w:tab w:val="left" w:pos="-1440"/>
                <w:tab w:val="left" w:pos="-720"/>
              </w:tabs>
              <w:rPr>
                <w:sz w:val="20"/>
                <w:szCs w:val="20"/>
              </w:rPr>
            </w:pPr>
          </w:p>
          <w:p w:rsidR="008A6415" w:rsidRPr="00A935AA" w:rsidRDefault="008A6415" w:rsidP="008A6415">
            <w:pPr>
              <w:tabs>
                <w:tab w:val="left" w:pos="-1440"/>
                <w:tab w:val="left" w:pos="-720"/>
              </w:tabs>
              <w:rPr>
                <w:sz w:val="20"/>
                <w:szCs w:val="20"/>
              </w:rPr>
            </w:pPr>
            <w:r w:rsidRPr="00A935AA">
              <w:rPr>
                <w:sz w:val="20"/>
                <w:szCs w:val="20"/>
              </w:rPr>
              <w:tab/>
              <w:t>v. (3</w:t>
            </w:r>
            <w:r>
              <w:rPr>
                <w:sz w:val="20"/>
                <w:szCs w:val="20"/>
              </w:rPr>
              <w:t>6570</w:t>
            </w:r>
            <w:r w:rsidRPr="00A935AA">
              <w:rPr>
                <w:sz w:val="20"/>
                <w:szCs w:val="20"/>
              </w:rPr>
              <w:t>)</w:t>
            </w:r>
          </w:p>
          <w:p w:rsidR="008A6415" w:rsidRPr="00A935AA" w:rsidRDefault="008A6415" w:rsidP="008A6415">
            <w:pPr>
              <w:tabs>
                <w:tab w:val="left" w:pos="-1440"/>
                <w:tab w:val="left" w:pos="-720"/>
              </w:tabs>
              <w:rPr>
                <w:sz w:val="20"/>
                <w:szCs w:val="20"/>
              </w:rPr>
            </w:pPr>
          </w:p>
          <w:p w:rsidR="008A6415" w:rsidRPr="00A935AA" w:rsidRDefault="008A6415" w:rsidP="008A6415">
            <w:pPr>
              <w:tabs>
                <w:tab w:val="left" w:pos="-1440"/>
                <w:tab w:val="left" w:pos="-720"/>
              </w:tabs>
              <w:rPr>
                <w:b/>
                <w:sz w:val="20"/>
                <w:szCs w:val="20"/>
              </w:rPr>
            </w:pPr>
            <w:r w:rsidRPr="003C38EF">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8A6415" w:rsidRPr="00A935AA" w:rsidRDefault="008A6415" w:rsidP="008A6415">
            <w:pPr>
              <w:tabs>
                <w:tab w:val="left" w:pos="-1440"/>
                <w:tab w:val="left" w:pos="-720"/>
              </w:tabs>
              <w:rPr>
                <w:sz w:val="20"/>
                <w:szCs w:val="20"/>
              </w:rPr>
            </w:pPr>
            <w:r w:rsidRPr="00A935AA">
              <w:rPr>
                <w:sz w:val="20"/>
                <w:szCs w:val="20"/>
              </w:rPr>
              <w:tab/>
            </w:r>
            <w:r>
              <w:rPr>
                <w:sz w:val="20"/>
                <w:szCs w:val="20"/>
              </w:rPr>
              <w:t>Deborah Krick</w:t>
            </w:r>
          </w:p>
          <w:p w:rsidR="008A6415" w:rsidRPr="00A935AA" w:rsidRDefault="008A6415" w:rsidP="008A6415">
            <w:pPr>
              <w:tabs>
                <w:tab w:val="left" w:pos="-1440"/>
                <w:tab w:val="left" w:pos="-720"/>
              </w:tabs>
              <w:rPr>
                <w:sz w:val="20"/>
                <w:szCs w:val="20"/>
              </w:rPr>
            </w:pPr>
            <w:r w:rsidRPr="00A935AA">
              <w:rPr>
                <w:sz w:val="20"/>
                <w:szCs w:val="20"/>
              </w:rPr>
              <w:tab/>
            </w:r>
            <w:r>
              <w:rPr>
                <w:sz w:val="20"/>
                <w:szCs w:val="20"/>
              </w:rPr>
              <w:t>A.G. of Ontario</w:t>
            </w:r>
          </w:p>
          <w:p w:rsidR="008A6415" w:rsidRPr="00A935AA" w:rsidRDefault="008A6415" w:rsidP="008A6415">
            <w:pPr>
              <w:tabs>
                <w:tab w:val="left" w:pos="-1440"/>
                <w:tab w:val="left" w:pos="-720"/>
              </w:tabs>
              <w:rPr>
                <w:sz w:val="20"/>
                <w:szCs w:val="20"/>
              </w:rPr>
            </w:pPr>
          </w:p>
          <w:p w:rsidR="00C21644" w:rsidRPr="00A935AA" w:rsidRDefault="008A6415" w:rsidP="002E4309">
            <w:pPr>
              <w:rPr>
                <w:sz w:val="20"/>
                <w:szCs w:val="20"/>
              </w:rPr>
            </w:pPr>
            <w:r w:rsidRPr="00A935AA">
              <w:rPr>
                <w:sz w:val="20"/>
                <w:szCs w:val="20"/>
              </w:rPr>
              <w:t>FILING DATE: 2</w:t>
            </w:r>
            <w:r>
              <w:rPr>
                <w:sz w:val="20"/>
                <w:szCs w:val="20"/>
              </w:rPr>
              <w:t>4</w:t>
            </w:r>
            <w:r w:rsidRPr="00A935AA">
              <w:rPr>
                <w:sz w:val="20"/>
                <w:szCs w:val="20"/>
              </w:rPr>
              <w:t>.0</w:t>
            </w:r>
            <w:r>
              <w:rPr>
                <w:sz w:val="20"/>
                <w:szCs w:val="20"/>
              </w:rPr>
              <w:t>8</w:t>
            </w:r>
            <w:r w:rsidRPr="00A935AA">
              <w:rPr>
                <w:sz w:val="20"/>
                <w:szCs w:val="20"/>
              </w:rPr>
              <w:t>.201</w:t>
            </w:r>
            <w:r>
              <w:rPr>
                <w:sz w:val="20"/>
                <w:szCs w:val="20"/>
              </w:rPr>
              <w:t>5</w:t>
            </w:r>
            <w:r w:rsidR="00EB0985">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8A6415" w:rsidRPr="00A935AA" w:rsidRDefault="008A6415"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8A6415" w:rsidRPr="00806A5B" w:rsidRDefault="008A6415" w:rsidP="008A6415">
            <w:pPr>
              <w:keepNext/>
              <w:keepLines/>
              <w:tabs>
                <w:tab w:val="left" w:pos="-1440"/>
                <w:tab w:val="left" w:pos="-720"/>
              </w:tabs>
              <w:rPr>
                <w:b/>
                <w:sz w:val="20"/>
                <w:szCs w:val="20"/>
                <w:lang w:val="fr-CA"/>
              </w:rPr>
            </w:pPr>
            <w:r w:rsidRPr="009C4E1B">
              <w:rPr>
                <w:b/>
                <w:sz w:val="20"/>
                <w:szCs w:val="20"/>
                <w:lang w:val="fr-CA"/>
              </w:rPr>
              <w:t>Elena-Gabriela</w:t>
            </w:r>
            <w:r>
              <w:rPr>
                <w:b/>
                <w:sz w:val="20"/>
                <w:szCs w:val="20"/>
                <w:lang w:val="fr-CA"/>
              </w:rPr>
              <w:t xml:space="preserve"> </w:t>
            </w:r>
            <w:r w:rsidRPr="009C4E1B">
              <w:rPr>
                <w:b/>
                <w:sz w:val="20"/>
                <w:szCs w:val="20"/>
                <w:lang w:val="fr-CA"/>
              </w:rPr>
              <w:t>Zugravescu</w:t>
            </w:r>
          </w:p>
          <w:p w:rsidR="008A6415" w:rsidRPr="009C4E1B" w:rsidRDefault="008A6415" w:rsidP="008A6415">
            <w:pPr>
              <w:keepNext/>
              <w:keepLines/>
              <w:tabs>
                <w:tab w:val="left" w:pos="-1440"/>
                <w:tab w:val="left" w:pos="-720"/>
              </w:tabs>
              <w:rPr>
                <w:sz w:val="20"/>
                <w:szCs w:val="20"/>
                <w:lang w:val="fr-CA"/>
              </w:rPr>
            </w:pPr>
            <w:r w:rsidRPr="00806A5B">
              <w:rPr>
                <w:sz w:val="20"/>
                <w:szCs w:val="20"/>
                <w:lang w:val="fr-CA"/>
              </w:rPr>
              <w:tab/>
            </w:r>
            <w:r w:rsidRPr="009C4E1B">
              <w:rPr>
                <w:sz w:val="20"/>
                <w:szCs w:val="20"/>
                <w:lang w:val="fr-CA"/>
              </w:rPr>
              <w:t>Elena-Gabriela Zugravescu</w:t>
            </w:r>
          </w:p>
          <w:p w:rsidR="008A6415" w:rsidRPr="00806A5B" w:rsidRDefault="008A6415" w:rsidP="008A6415">
            <w:pPr>
              <w:keepNext/>
              <w:keepLines/>
              <w:tabs>
                <w:tab w:val="left" w:pos="-1440"/>
                <w:tab w:val="left" w:pos="-720"/>
              </w:tabs>
              <w:rPr>
                <w:sz w:val="20"/>
                <w:szCs w:val="20"/>
                <w:lang w:val="fr-CA"/>
              </w:rPr>
            </w:pPr>
          </w:p>
          <w:p w:rsidR="008A6415" w:rsidRPr="00806A5B" w:rsidRDefault="008A6415" w:rsidP="008A6415">
            <w:pPr>
              <w:keepNext/>
              <w:keepLines/>
              <w:tabs>
                <w:tab w:val="left" w:pos="-1440"/>
                <w:tab w:val="left" w:pos="-720"/>
              </w:tabs>
              <w:rPr>
                <w:sz w:val="20"/>
                <w:szCs w:val="20"/>
                <w:lang w:val="fr-CA"/>
              </w:rPr>
            </w:pPr>
            <w:r w:rsidRPr="00806A5B">
              <w:rPr>
                <w:sz w:val="20"/>
                <w:szCs w:val="20"/>
                <w:lang w:val="fr-CA"/>
              </w:rPr>
              <w:tab/>
              <w:t>c. (36</w:t>
            </w:r>
            <w:r>
              <w:rPr>
                <w:sz w:val="20"/>
                <w:szCs w:val="20"/>
                <w:lang w:val="fr-CA"/>
              </w:rPr>
              <w:t>559</w:t>
            </w:r>
            <w:r w:rsidRPr="00806A5B">
              <w:rPr>
                <w:sz w:val="20"/>
                <w:szCs w:val="20"/>
                <w:lang w:val="fr-CA"/>
              </w:rPr>
              <w:t>)</w:t>
            </w:r>
          </w:p>
          <w:p w:rsidR="008A6415" w:rsidRPr="00806A5B" w:rsidRDefault="008A6415" w:rsidP="008A6415">
            <w:pPr>
              <w:keepNext/>
              <w:keepLines/>
              <w:tabs>
                <w:tab w:val="left" w:pos="-1440"/>
                <w:tab w:val="left" w:pos="-720"/>
              </w:tabs>
              <w:rPr>
                <w:sz w:val="20"/>
                <w:szCs w:val="20"/>
                <w:lang w:val="fr-CA"/>
              </w:rPr>
            </w:pPr>
          </w:p>
          <w:p w:rsidR="008A6415" w:rsidRPr="00806A5B" w:rsidRDefault="008A6415" w:rsidP="008A6415">
            <w:pPr>
              <w:keepNext/>
              <w:keepLines/>
              <w:tabs>
                <w:tab w:val="left" w:pos="-1440"/>
                <w:tab w:val="left" w:pos="-720"/>
              </w:tabs>
              <w:rPr>
                <w:b/>
                <w:sz w:val="20"/>
                <w:szCs w:val="20"/>
                <w:lang w:val="fr-CA"/>
              </w:rPr>
            </w:pPr>
            <w:r w:rsidRPr="00806A5B">
              <w:rPr>
                <w:b/>
                <w:sz w:val="20"/>
                <w:szCs w:val="20"/>
                <w:lang w:val="fr-CA"/>
              </w:rPr>
              <w:t>Sa Majesté la Reine (Qc)</w:t>
            </w:r>
          </w:p>
          <w:p w:rsidR="008A6415" w:rsidRPr="00806A5B" w:rsidRDefault="008A6415" w:rsidP="008A6415">
            <w:pPr>
              <w:keepNext/>
              <w:keepLines/>
              <w:tabs>
                <w:tab w:val="left" w:pos="-1440"/>
                <w:tab w:val="left" w:pos="-720"/>
              </w:tabs>
              <w:rPr>
                <w:sz w:val="20"/>
                <w:szCs w:val="20"/>
                <w:lang w:val="fr-CA"/>
              </w:rPr>
            </w:pPr>
            <w:r w:rsidRPr="00806A5B">
              <w:rPr>
                <w:sz w:val="20"/>
                <w:szCs w:val="20"/>
                <w:lang w:val="fr-CA"/>
              </w:rPr>
              <w:tab/>
            </w:r>
            <w:r>
              <w:rPr>
                <w:sz w:val="20"/>
                <w:szCs w:val="20"/>
                <w:lang w:val="fr-CA"/>
              </w:rPr>
              <w:t>Dennis Galiatsatos</w:t>
            </w:r>
          </w:p>
          <w:p w:rsidR="008A6415" w:rsidRPr="00806A5B" w:rsidRDefault="008A6415" w:rsidP="008A6415">
            <w:pPr>
              <w:keepNext/>
              <w:keepLines/>
              <w:tabs>
                <w:tab w:val="left" w:pos="-1440"/>
                <w:tab w:val="left" w:pos="-720"/>
              </w:tabs>
              <w:rPr>
                <w:sz w:val="20"/>
                <w:szCs w:val="20"/>
                <w:lang w:val="fr-CA"/>
              </w:rPr>
            </w:pPr>
            <w:r w:rsidRPr="00806A5B">
              <w:rPr>
                <w:sz w:val="20"/>
                <w:szCs w:val="20"/>
                <w:lang w:val="fr-CA"/>
              </w:rPr>
              <w:tab/>
            </w:r>
            <w:r>
              <w:rPr>
                <w:sz w:val="20"/>
                <w:szCs w:val="20"/>
                <w:lang w:val="fr-CA"/>
              </w:rPr>
              <w:t xml:space="preserve">Poursuites criminelles et pénales du </w:t>
            </w:r>
            <w:r>
              <w:rPr>
                <w:sz w:val="20"/>
                <w:szCs w:val="20"/>
                <w:lang w:val="fr-CA"/>
              </w:rPr>
              <w:tab/>
              <w:t>Québec</w:t>
            </w:r>
          </w:p>
          <w:p w:rsidR="008A6415" w:rsidRPr="00806A5B" w:rsidRDefault="008A6415" w:rsidP="008A6415">
            <w:pPr>
              <w:keepNext/>
              <w:keepLines/>
              <w:tabs>
                <w:tab w:val="left" w:pos="-1440"/>
                <w:tab w:val="left" w:pos="-720"/>
              </w:tabs>
              <w:rPr>
                <w:sz w:val="20"/>
                <w:szCs w:val="20"/>
                <w:lang w:val="fr-CA"/>
              </w:rPr>
            </w:pPr>
          </w:p>
          <w:p w:rsidR="00C21644" w:rsidRPr="00A935AA" w:rsidRDefault="008A6415" w:rsidP="008A6415">
            <w:pPr>
              <w:rPr>
                <w:sz w:val="20"/>
                <w:szCs w:val="20"/>
              </w:rPr>
            </w:pPr>
            <w:r w:rsidRPr="00806A5B">
              <w:rPr>
                <w:sz w:val="20"/>
                <w:szCs w:val="20"/>
                <w:lang w:val="fr-CA"/>
              </w:rPr>
              <w:t>DATE DE PRODUCTION</w:t>
            </w:r>
            <w:r>
              <w:rPr>
                <w:sz w:val="20"/>
                <w:szCs w:val="20"/>
                <w:lang w:val="fr-CA"/>
              </w:rPr>
              <w:t xml:space="preserve"> </w:t>
            </w:r>
            <w:r w:rsidRPr="00806A5B">
              <w:rPr>
                <w:sz w:val="20"/>
                <w:szCs w:val="20"/>
                <w:lang w:val="fr-CA"/>
              </w:rPr>
              <w:t>: 1</w:t>
            </w:r>
            <w:r>
              <w:rPr>
                <w:sz w:val="20"/>
                <w:szCs w:val="20"/>
                <w:lang w:val="fr-CA"/>
              </w:rPr>
              <w:t>7</w:t>
            </w:r>
            <w:r w:rsidRPr="00806A5B">
              <w:rPr>
                <w:sz w:val="20"/>
                <w:szCs w:val="20"/>
                <w:lang w:val="fr-CA"/>
              </w:rPr>
              <w:t>.0</w:t>
            </w:r>
            <w:r>
              <w:rPr>
                <w:sz w:val="20"/>
                <w:szCs w:val="20"/>
                <w:lang w:val="fr-CA"/>
              </w:rPr>
              <w:t>8</w:t>
            </w:r>
            <w:r w:rsidRPr="00806A5B">
              <w:rPr>
                <w:sz w:val="20"/>
                <w:szCs w:val="20"/>
                <w:lang w:val="fr-CA"/>
              </w:rPr>
              <w:t>.201</w:t>
            </w:r>
            <w:r>
              <w:rPr>
                <w:sz w:val="20"/>
                <w:szCs w:val="20"/>
                <w:lang w:val="fr-CA"/>
              </w:rPr>
              <w:t>5</w:t>
            </w:r>
            <w:r w:rsidR="00EB0985">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8A6415" w:rsidRPr="00A935AA" w:rsidRDefault="008A6415" w:rsidP="008A6415">
            <w:pPr>
              <w:rPr>
                <w:b/>
                <w:sz w:val="20"/>
                <w:szCs w:val="20"/>
              </w:rPr>
            </w:pPr>
            <w:r w:rsidRPr="007727AF">
              <w:rPr>
                <w:b/>
                <w:sz w:val="20"/>
                <w:szCs w:val="20"/>
              </w:rPr>
              <w:t>Nirmala Devi</w:t>
            </w:r>
            <w:r>
              <w:rPr>
                <w:b/>
                <w:sz w:val="20"/>
                <w:szCs w:val="20"/>
              </w:rPr>
              <w:t xml:space="preserve"> Arjun</w:t>
            </w:r>
          </w:p>
          <w:p w:rsidR="008A6415" w:rsidRPr="00A935AA" w:rsidRDefault="008A6415" w:rsidP="008A6415">
            <w:pPr>
              <w:tabs>
                <w:tab w:val="left" w:pos="-1440"/>
                <w:tab w:val="left" w:pos="-720"/>
              </w:tabs>
              <w:rPr>
                <w:sz w:val="20"/>
                <w:szCs w:val="20"/>
              </w:rPr>
            </w:pPr>
            <w:r w:rsidRPr="00A935AA">
              <w:rPr>
                <w:sz w:val="20"/>
                <w:szCs w:val="20"/>
              </w:rPr>
              <w:tab/>
            </w:r>
            <w:r>
              <w:rPr>
                <w:sz w:val="20"/>
                <w:szCs w:val="20"/>
              </w:rPr>
              <w:t>Christopher Nowlin</w:t>
            </w:r>
          </w:p>
          <w:p w:rsidR="008A6415" w:rsidRPr="00A935AA" w:rsidRDefault="008A6415" w:rsidP="008A6415">
            <w:pPr>
              <w:tabs>
                <w:tab w:val="left" w:pos="-1440"/>
                <w:tab w:val="left" w:pos="-720"/>
              </w:tabs>
              <w:rPr>
                <w:sz w:val="20"/>
                <w:szCs w:val="20"/>
              </w:rPr>
            </w:pPr>
          </w:p>
          <w:p w:rsidR="008A6415" w:rsidRPr="00A935AA" w:rsidRDefault="008A6415" w:rsidP="008A6415">
            <w:pPr>
              <w:tabs>
                <w:tab w:val="left" w:pos="-1440"/>
                <w:tab w:val="left" w:pos="-720"/>
              </w:tabs>
              <w:rPr>
                <w:sz w:val="20"/>
                <w:szCs w:val="20"/>
              </w:rPr>
            </w:pPr>
            <w:r w:rsidRPr="00A935AA">
              <w:rPr>
                <w:sz w:val="20"/>
                <w:szCs w:val="20"/>
              </w:rPr>
              <w:tab/>
              <w:t>v. (3</w:t>
            </w:r>
            <w:r>
              <w:rPr>
                <w:sz w:val="20"/>
                <w:szCs w:val="20"/>
              </w:rPr>
              <w:t>6568</w:t>
            </w:r>
            <w:r w:rsidRPr="00A935AA">
              <w:rPr>
                <w:sz w:val="20"/>
                <w:szCs w:val="20"/>
              </w:rPr>
              <w:t>)</w:t>
            </w:r>
          </w:p>
          <w:p w:rsidR="008A6415" w:rsidRPr="00A935AA" w:rsidRDefault="008A6415" w:rsidP="008A6415">
            <w:pPr>
              <w:tabs>
                <w:tab w:val="left" w:pos="-1440"/>
                <w:tab w:val="left" w:pos="-720"/>
              </w:tabs>
              <w:rPr>
                <w:sz w:val="20"/>
                <w:szCs w:val="20"/>
              </w:rPr>
            </w:pPr>
          </w:p>
          <w:p w:rsidR="008A6415" w:rsidRPr="00A935AA" w:rsidRDefault="008A6415" w:rsidP="008A6415">
            <w:pPr>
              <w:tabs>
                <w:tab w:val="left" w:pos="-1440"/>
                <w:tab w:val="left" w:pos="-720"/>
              </w:tabs>
              <w:rPr>
                <w:b/>
                <w:sz w:val="20"/>
                <w:szCs w:val="20"/>
              </w:rPr>
            </w:pPr>
            <w:r w:rsidRPr="007727AF">
              <w:rPr>
                <w:b/>
                <w:sz w:val="20"/>
                <w:szCs w:val="20"/>
              </w:rPr>
              <w:t xml:space="preserve">Her Majesty the Queen </w:t>
            </w:r>
            <w:r w:rsidRPr="00A935AA">
              <w:rPr>
                <w:b/>
                <w:sz w:val="20"/>
                <w:szCs w:val="20"/>
              </w:rPr>
              <w:t>(</w:t>
            </w:r>
            <w:r>
              <w:rPr>
                <w:b/>
                <w:sz w:val="20"/>
                <w:szCs w:val="20"/>
              </w:rPr>
              <w:t>B.C</w:t>
            </w:r>
            <w:r w:rsidRPr="00A935AA">
              <w:rPr>
                <w:b/>
                <w:sz w:val="20"/>
                <w:szCs w:val="20"/>
              </w:rPr>
              <w:t>.)</w:t>
            </w:r>
          </w:p>
          <w:p w:rsidR="008A6415" w:rsidRPr="00A935AA" w:rsidRDefault="008A6415" w:rsidP="008A6415">
            <w:pPr>
              <w:tabs>
                <w:tab w:val="left" w:pos="-1440"/>
                <w:tab w:val="left" w:pos="-720"/>
              </w:tabs>
              <w:rPr>
                <w:sz w:val="20"/>
                <w:szCs w:val="20"/>
              </w:rPr>
            </w:pPr>
            <w:r w:rsidRPr="00A935AA">
              <w:rPr>
                <w:sz w:val="20"/>
                <w:szCs w:val="20"/>
              </w:rPr>
              <w:tab/>
            </w:r>
            <w:r>
              <w:rPr>
                <w:sz w:val="20"/>
                <w:szCs w:val="20"/>
              </w:rPr>
              <w:t>Peter A. Juk Q.C.</w:t>
            </w:r>
          </w:p>
          <w:p w:rsidR="008A6415" w:rsidRPr="00A935AA" w:rsidRDefault="008A6415" w:rsidP="008A6415">
            <w:pPr>
              <w:tabs>
                <w:tab w:val="left" w:pos="-1440"/>
                <w:tab w:val="left" w:pos="-720"/>
              </w:tabs>
              <w:rPr>
                <w:sz w:val="20"/>
                <w:szCs w:val="20"/>
              </w:rPr>
            </w:pPr>
            <w:r w:rsidRPr="00A935AA">
              <w:rPr>
                <w:sz w:val="20"/>
                <w:szCs w:val="20"/>
              </w:rPr>
              <w:tab/>
            </w:r>
            <w:r>
              <w:rPr>
                <w:sz w:val="20"/>
                <w:szCs w:val="20"/>
              </w:rPr>
              <w:t>A.G. of British Columbia</w:t>
            </w:r>
          </w:p>
          <w:p w:rsidR="008A6415" w:rsidRPr="00A935AA" w:rsidRDefault="008A6415" w:rsidP="008A6415">
            <w:pPr>
              <w:tabs>
                <w:tab w:val="left" w:pos="-1440"/>
                <w:tab w:val="left" w:pos="-720"/>
              </w:tabs>
              <w:rPr>
                <w:sz w:val="20"/>
                <w:szCs w:val="20"/>
              </w:rPr>
            </w:pPr>
          </w:p>
          <w:p w:rsidR="008A6415" w:rsidRPr="00A935AA" w:rsidRDefault="008A6415" w:rsidP="008A6415">
            <w:pPr>
              <w:rPr>
                <w:sz w:val="20"/>
                <w:szCs w:val="20"/>
              </w:rPr>
            </w:pPr>
            <w:r w:rsidRPr="00A935AA">
              <w:rPr>
                <w:sz w:val="20"/>
                <w:szCs w:val="20"/>
              </w:rPr>
              <w:t>FILING DATE: 2</w:t>
            </w:r>
            <w:r>
              <w:rPr>
                <w:sz w:val="20"/>
                <w:szCs w:val="20"/>
              </w:rPr>
              <w:t>4</w:t>
            </w:r>
            <w:r w:rsidRPr="00A935AA">
              <w:rPr>
                <w:sz w:val="20"/>
                <w:szCs w:val="20"/>
              </w:rPr>
              <w:t>.0</w:t>
            </w:r>
            <w:r>
              <w:rPr>
                <w:sz w:val="20"/>
                <w:szCs w:val="20"/>
              </w:rPr>
              <w:t>8</w:t>
            </w:r>
            <w:r w:rsidRPr="00A935AA">
              <w:rPr>
                <w:sz w:val="20"/>
                <w:szCs w:val="20"/>
              </w:rPr>
              <w:t>.201</w:t>
            </w:r>
            <w:r>
              <w:rPr>
                <w:sz w:val="20"/>
                <w:szCs w:val="20"/>
              </w:rPr>
              <w:t>5</w:t>
            </w:r>
          </w:p>
          <w:p w:rsidR="00C21644" w:rsidRPr="00A935AA" w:rsidRDefault="00EB0985"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7727AF" w:rsidP="005F1ED8">
            <w:pPr>
              <w:rPr>
                <w:b/>
                <w:sz w:val="20"/>
                <w:szCs w:val="20"/>
              </w:rPr>
            </w:pPr>
            <w:r w:rsidRPr="007727AF">
              <w:rPr>
                <w:b/>
                <w:sz w:val="20"/>
                <w:szCs w:val="20"/>
              </w:rPr>
              <w:t>A</w:t>
            </w:r>
            <w:r>
              <w:rPr>
                <w:b/>
                <w:sz w:val="20"/>
                <w:szCs w:val="20"/>
              </w:rPr>
              <w:t xml:space="preserve">ttorney </w:t>
            </w:r>
            <w:r w:rsidRPr="007727AF">
              <w:rPr>
                <w:b/>
                <w:sz w:val="20"/>
                <w:szCs w:val="20"/>
              </w:rPr>
              <w:t>G</w:t>
            </w:r>
            <w:r>
              <w:rPr>
                <w:b/>
                <w:sz w:val="20"/>
                <w:szCs w:val="20"/>
              </w:rPr>
              <w:t>eneral</w:t>
            </w:r>
            <w:r w:rsidRPr="007727AF">
              <w:rPr>
                <w:b/>
                <w:sz w:val="20"/>
                <w:szCs w:val="20"/>
              </w:rPr>
              <w:t xml:space="preserve"> of Canada</w:t>
            </w:r>
          </w:p>
          <w:p w:rsidR="00C21644" w:rsidRPr="00A935AA" w:rsidRDefault="00C21644" w:rsidP="005F1ED8">
            <w:pPr>
              <w:tabs>
                <w:tab w:val="left" w:pos="-1440"/>
                <w:tab w:val="left" w:pos="-720"/>
              </w:tabs>
              <w:rPr>
                <w:sz w:val="20"/>
                <w:szCs w:val="20"/>
              </w:rPr>
            </w:pPr>
            <w:r w:rsidRPr="00A935AA">
              <w:rPr>
                <w:sz w:val="20"/>
                <w:szCs w:val="20"/>
              </w:rPr>
              <w:tab/>
            </w:r>
            <w:r w:rsidR="007727AF">
              <w:rPr>
                <w:sz w:val="20"/>
                <w:szCs w:val="20"/>
              </w:rPr>
              <w:t>Michael J. Simms</w:t>
            </w:r>
          </w:p>
          <w:p w:rsidR="00C21644" w:rsidRDefault="00C21644" w:rsidP="005F1ED8">
            <w:pPr>
              <w:tabs>
                <w:tab w:val="left" w:pos="-1440"/>
                <w:tab w:val="left" w:pos="-720"/>
              </w:tabs>
              <w:rPr>
                <w:sz w:val="20"/>
                <w:szCs w:val="20"/>
              </w:rPr>
            </w:pPr>
            <w:r w:rsidRPr="00A935AA">
              <w:rPr>
                <w:sz w:val="20"/>
                <w:szCs w:val="20"/>
              </w:rPr>
              <w:tab/>
            </w:r>
            <w:r w:rsidR="007727AF">
              <w:rPr>
                <w:sz w:val="20"/>
                <w:szCs w:val="20"/>
              </w:rPr>
              <w:t>A.G. of Canada</w:t>
            </w:r>
          </w:p>
          <w:p w:rsidR="007727AF" w:rsidRPr="00A935AA" w:rsidRDefault="007727AF" w:rsidP="005F1ED8">
            <w:pPr>
              <w:tabs>
                <w:tab w:val="left" w:pos="-1440"/>
                <w:tab w:val="left" w:pos="-720"/>
              </w:tabs>
              <w:rPr>
                <w:sz w:val="20"/>
                <w:szCs w:val="20"/>
              </w:rPr>
            </w:pPr>
          </w:p>
          <w:p w:rsidR="00C21644" w:rsidRPr="00D60C39" w:rsidRDefault="00C21644" w:rsidP="005F1ED8">
            <w:pPr>
              <w:tabs>
                <w:tab w:val="left" w:pos="-1440"/>
                <w:tab w:val="left" w:pos="-720"/>
              </w:tabs>
              <w:rPr>
                <w:sz w:val="20"/>
                <w:szCs w:val="20"/>
                <w:lang w:val="en-US"/>
              </w:rPr>
            </w:pPr>
            <w:r w:rsidRPr="00A935AA">
              <w:rPr>
                <w:sz w:val="20"/>
                <w:szCs w:val="20"/>
              </w:rPr>
              <w:tab/>
            </w:r>
            <w:r w:rsidRPr="00D60C39">
              <w:rPr>
                <w:sz w:val="20"/>
                <w:szCs w:val="20"/>
                <w:lang w:val="en-US"/>
              </w:rPr>
              <w:t>v. (3</w:t>
            </w:r>
            <w:r w:rsidR="007727AF" w:rsidRPr="00D60C39">
              <w:rPr>
                <w:sz w:val="20"/>
                <w:szCs w:val="20"/>
                <w:lang w:val="en-US"/>
              </w:rPr>
              <w:t>6564</w:t>
            </w:r>
            <w:r w:rsidRPr="00D60C39">
              <w:rPr>
                <w:sz w:val="20"/>
                <w:szCs w:val="20"/>
                <w:lang w:val="en-US"/>
              </w:rPr>
              <w:t>)</w:t>
            </w:r>
          </w:p>
          <w:p w:rsidR="00C21644" w:rsidRPr="00D60C39" w:rsidRDefault="00C21644" w:rsidP="005F1ED8">
            <w:pPr>
              <w:tabs>
                <w:tab w:val="left" w:pos="-1440"/>
                <w:tab w:val="left" w:pos="-720"/>
              </w:tabs>
              <w:rPr>
                <w:sz w:val="20"/>
                <w:szCs w:val="20"/>
                <w:lang w:val="en-US"/>
              </w:rPr>
            </w:pPr>
          </w:p>
          <w:p w:rsidR="00C21644" w:rsidRPr="00D60C39" w:rsidRDefault="007727AF" w:rsidP="005F1ED8">
            <w:pPr>
              <w:tabs>
                <w:tab w:val="left" w:pos="-1440"/>
                <w:tab w:val="left" w:pos="-720"/>
              </w:tabs>
              <w:rPr>
                <w:b/>
                <w:sz w:val="20"/>
                <w:szCs w:val="20"/>
                <w:lang w:val="en-US"/>
              </w:rPr>
            </w:pPr>
            <w:r w:rsidRPr="007727AF">
              <w:rPr>
                <w:b/>
                <w:sz w:val="20"/>
                <w:szCs w:val="20"/>
                <w:lang w:val="fr-CA"/>
              </w:rPr>
              <w:t>Samatha Claire Lewis</w:t>
            </w:r>
            <w:r w:rsidR="003C38EF">
              <w:rPr>
                <w:b/>
                <w:sz w:val="20"/>
                <w:szCs w:val="20"/>
                <w:lang w:val="fr-CA"/>
              </w:rPr>
              <w:t xml:space="preserve"> et al.</w:t>
            </w:r>
            <w:r w:rsidRPr="007727AF">
              <w:rPr>
                <w:b/>
                <w:sz w:val="20"/>
                <w:szCs w:val="20"/>
                <w:lang w:val="fr-CA"/>
              </w:rPr>
              <w:t xml:space="preserve"> </w:t>
            </w:r>
            <w:r w:rsidRPr="00D60C39">
              <w:rPr>
                <w:b/>
                <w:sz w:val="20"/>
                <w:szCs w:val="20"/>
                <w:lang w:val="en-US"/>
              </w:rPr>
              <w:t>(</w:t>
            </w:r>
            <w:r w:rsidR="00C21644" w:rsidRPr="00D60C39">
              <w:rPr>
                <w:b/>
                <w:sz w:val="20"/>
                <w:szCs w:val="20"/>
                <w:lang w:val="en-US"/>
              </w:rPr>
              <w:t>Ont.)</w:t>
            </w:r>
          </w:p>
          <w:p w:rsidR="00C21644" w:rsidRPr="00D60C39" w:rsidRDefault="00C21644" w:rsidP="005F1ED8">
            <w:pPr>
              <w:tabs>
                <w:tab w:val="left" w:pos="-1440"/>
                <w:tab w:val="left" w:pos="-720"/>
              </w:tabs>
              <w:rPr>
                <w:sz w:val="20"/>
                <w:szCs w:val="20"/>
                <w:lang w:val="en-US"/>
              </w:rPr>
            </w:pPr>
            <w:r w:rsidRPr="00D60C39">
              <w:rPr>
                <w:sz w:val="20"/>
                <w:szCs w:val="20"/>
                <w:lang w:val="en-US"/>
              </w:rPr>
              <w:tab/>
            </w:r>
            <w:r w:rsidR="007727AF" w:rsidRPr="00D60C39">
              <w:rPr>
                <w:sz w:val="20"/>
                <w:szCs w:val="20"/>
                <w:lang w:val="en-US"/>
              </w:rPr>
              <w:t>Brian A. Callender</w:t>
            </w:r>
          </w:p>
          <w:p w:rsidR="00C21644" w:rsidRPr="00D60C39" w:rsidRDefault="00C21644" w:rsidP="005F1ED8">
            <w:pPr>
              <w:tabs>
                <w:tab w:val="left" w:pos="-1440"/>
                <w:tab w:val="left" w:pos="-720"/>
              </w:tabs>
              <w:rPr>
                <w:sz w:val="20"/>
                <w:szCs w:val="20"/>
                <w:lang w:val="en-US"/>
              </w:rPr>
            </w:pPr>
          </w:p>
          <w:p w:rsidR="00C21644" w:rsidRPr="00A935AA" w:rsidRDefault="00C21644" w:rsidP="005F1ED8">
            <w:pPr>
              <w:rPr>
                <w:sz w:val="20"/>
                <w:szCs w:val="20"/>
              </w:rPr>
            </w:pPr>
            <w:r w:rsidRPr="00A935AA">
              <w:rPr>
                <w:sz w:val="20"/>
                <w:szCs w:val="20"/>
              </w:rPr>
              <w:t>FILING DATE: 2</w:t>
            </w:r>
            <w:r w:rsidR="007727AF">
              <w:rPr>
                <w:sz w:val="20"/>
                <w:szCs w:val="20"/>
              </w:rPr>
              <w:t>4</w:t>
            </w:r>
            <w:r w:rsidRPr="00A935AA">
              <w:rPr>
                <w:sz w:val="20"/>
                <w:szCs w:val="20"/>
              </w:rPr>
              <w:t>.0</w:t>
            </w:r>
            <w:r w:rsidR="007727AF">
              <w:rPr>
                <w:sz w:val="20"/>
                <w:szCs w:val="20"/>
              </w:rPr>
              <w:t>8</w:t>
            </w:r>
            <w:r w:rsidRPr="00A935AA">
              <w:rPr>
                <w:sz w:val="20"/>
                <w:szCs w:val="20"/>
              </w:rPr>
              <w:t>.201</w:t>
            </w:r>
            <w:r w:rsidR="007727AF">
              <w:rPr>
                <w:sz w:val="20"/>
                <w:szCs w:val="20"/>
              </w:rPr>
              <w:t>5</w:t>
            </w:r>
          </w:p>
          <w:p w:rsidR="00C21644" w:rsidRPr="00A935AA" w:rsidRDefault="00EB0985" w:rsidP="005F1ED8">
            <w:pPr>
              <w:rPr>
                <w:sz w:val="20"/>
                <w:szCs w:val="20"/>
              </w:rPr>
            </w:pPr>
            <w:r>
              <w:rPr>
                <w:sz w:val="20"/>
                <w:szCs w:val="20"/>
                <w:lang w:val="fr-CA"/>
              </w:rPr>
              <w:pict>
                <v:rect id="_x0000_i1030" style="width:108pt;height:1pt" o:hrpct="0" o:hralign="center" o:hrstd="t" o:hrnoshade="t" o:hr="t" fillcolor="black [3213]" stroked="f"/>
              </w:pict>
            </w:r>
          </w:p>
        </w:tc>
      </w:tr>
      <w:tr w:rsidR="00C21644" w:rsidRPr="00EB0985" w:rsidTr="003B3977">
        <w:trPr>
          <w:cantSplit/>
        </w:trPr>
        <w:tc>
          <w:tcPr>
            <w:tcW w:w="4320" w:type="dxa"/>
            <w:shd w:val="clear" w:color="auto" w:fill="auto"/>
          </w:tcPr>
          <w:p w:rsidR="008A6415" w:rsidRPr="008A220B" w:rsidRDefault="008A6415" w:rsidP="008A6415">
            <w:pPr>
              <w:rPr>
                <w:b/>
                <w:sz w:val="20"/>
                <w:szCs w:val="20"/>
              </w:rPr>
            </w:pPr>
            <w:r w:rsidRPr="008A220B">
              <w:rPr>
                <w:b/>
                <w:sz w:val="20"/>
                <w:szCs w:val="20"/>
              </w:rPr>
              <w:t>Delbert John (Jack) Marshall et al.</w:t>
            </w:r>
          </w:p>
          <w:p w:rsidR="008A6415" w:rsidRPr="008A220B" w:rsidRDefault="008A6415" w:rsidP="008A6415">
            <w:pPr>
              <w:tabs>
                <w:tab w:val="left" w:pos="-1440"/>
                <w:tab w:val="left" w:pos="-720"/>
              </w:tabs>
              <w:rPr>
                <w:sz w:val="20"/>
                <w:szCs w:val="20"/>
              </w:rPr>
            </w:pPr>
            <w:r w:rsidRPr="008A220B">
              <w:rPr>
                <w:sz w:val="20"/>
                <w:szCs w:val="20"/>
              </w:rPr>
              <w:tab/>
              <w:t>Neal S. Steinman</w:t>
            </w:r>
          </w:p>
          <w:p w:rsidR="008A6415" w:rsidRPr="008A220B" w:rsidRDefault="008A6415" w:rsidP="008A6415">
            <w:pPr>
              <w:tabs>
                <w:tab w:val="left" w:pos="-1440"/>
                <w:tab w:val="left" w:pos="-720"/>
              </w:tabs>
              <w:rPr>
                <w:sz w:val="20"/>
                <w:szCs w:val="20"/>
              </w:rPr>
            </w:pPr>
            <w:r w:rsidRPr="008A220B">
              <w:rPr>
                <w:sz w:val="20"/>
                <w:szCs w:val="20"/>
              </w:rPr>
              <w:tab/>
              <w:t>Steinman Preovolos</w:t>
            </w:r>
          </w:p>
          <w:p w:rsidR="008A6415" w:rsidRPr="008A220B" w:rsidRDefault="008A6415" w:rsidP="008A6415">
            <w:pPr>
              <w:tabs>
                <w:tab w:val="left" w:pos="-1440"/>
                <w:tab w:val="left" w:pos="-720"/>
              </w:tabs>
              <w:rPr>
                <w:sz w:val="20"/>
                <w:szCs w:val="20"/>
              </w:rPr>
            </w:pPr>
          </w:p>
          <w:p w:rsidR="008A6415" w:rsidRPr="008A220B" w:rsidRDefault="008A6415" w:rsidP="008A6415">
            <w:pPr>
              <w:tabs>
                <w:tab w:val="left" w:pos="-1440"/>
                <w:tab w:val="left" w:pos="-720"/>
              </w:tabs>
              <w:rPr>
                <w:sz w:val="20"/>
                <w:szCs w:val="20"/>
              </w:rPr>
            </w:pPr>
            <w:r w:rsidRPr="008A220B">
              <w:rPr>
                <w:sz w:val="20"/>
                <w:szCs w:val="20"/>
              </w:rPr>
              <w:tab/>
              <w:t>v. (36584)</w:t>
            </w:r>
          </w:p>
          <w:p w:rsidR="008A6415" w:rsidRPr="008A220B" w:rsidRDefault="008A6415" w:rsidP="008A6415">
            <w:pPr>
              <w:tabs>
                <w:tab w:val="left" w:pos="-1440"/>
                <w:tab w:val="left" w:pos="-720"/>
              </w:tabs>
              <w:rPr>
                <w:sz w:val="20"/>
                <w:szCs w:val="20"/>
              </w:rPr>
            </w:pPr>
          </w:p>
          <w:p w:rsidR="008A6415" w:rsidRPr="008A220B" w:rsidRDefault="008A6415" w:rsidP="008A6415">
            <w:pPr>
              <w:tabs>
                <w:tab w:val="left" w:pos="-1440"/>
                <w:tab w:val="left" w:pos="-720"/>
              </w:tabs>
              <w:rPr>
                <w:b/>
                <w:sz w:val="20"/>
                <w:szCs w:val="20"/>
              </w:rPr>
            </w:pPr>
            <w:r w:rsidRPr="008A220B">
              <w:rPr>
                <w:b/>
                <w:sz w:val="20"/>
                <w:szCs w:val="20"/>
              </w:rPr>
              <w:t>United Furniture Warehouse (2004) Corporation et al. (B.C.)</w:t>
            </w:r>
          </w:p>
          <w:p w:rsidR="008A6415" w:rsidRPr="008A220B" w:rsidRDefault="008A6415" w:rsidP="008A6415">
            <w:pPr>
              <w:tabs>
                <w:tab w:val="left" w:pos="-1440"/>
                <w:tab w:val="left" w:pos="-720"/>
              </w:tabs>
              <w:rPr>
                <w:sz w:val="20"/>
                <w:szCs w:val="20"/>
              </w:rPr>
            </w:pPr>
            <w:r w:rsidRPr="008A220B">
              <w:rPr>
                <w:sz w:val="20"/>
                <w:szCs w:val="20"/>
              </w:rPr>
              <w:tab/>
              <w:t>Bradley W. Dixon</w:t>
            </w:r>
          </w:p>
          <w:p w:rsidR="008A6415" w:rsidRPr="008A220B" w:rsidRDefault="008A6415" w:rsidP="008A6415">
            <w:pPr>
              <w:tabs>
                <w:tab w:val="left" w:pos="-1440"/>
                <w:tab w:val="left" w:pos="-720"/>
              </w:tabs>
              <w:rPr>
                <w:sz w:val="20"/>
                <w:szCs w:val="20"/>
              </w:rPr>
            </w:pPr>
            <w:r w:rsidRPr="008A220B">
              <w:rPr>
                <w:sz w:val="20"/>
                <w:szCs w:val="20"/>
              </w:rPr>
              <w:tab/>
              <w:t>Borden Ladner Gervais LLP</w:t>
            </w:r>
          </w:p>
          <w:p w:rsidR="008A6415" w:rsidRPr="008A220B" w:rsidRDefault="008A6415" w:rsidP="008A6415">
            <w:pPr>
              <w:tabs>
                <w:tab w:val="left" w:pos="-1440"/>
                <w:tab w:val="left" w:pos="-720"/>
              </w:tabs>
              <w:rPr>
                <w:sz w:val="20"/>
                <w:szCs w:val="20"/>
              </w:rPr>
            </w:pPr>
          </w:p>
          <w:p w:rsidR="008A6415" w:rsidRPr="008A6415" w:rsidRDefault="008A6415" w:rsidP="008A6415">
            <w:pPr>
              <w:rPr>
                <w:sz w:val="20"/>
                <w:szCs w:val="20"/>
                <w:lang w:val="fr-CA"/>
              </w:rPr>
            </w:pPr>
            <w:r w:rsidRPr="008A6415">
              <w:rPr>
                <w:sz w:val="20"/>
                <w:szCs w:val="20"/>
                <w:lang w:val="fr-CA"/>
              </w:rPr>
              <w:t>FILING DATE: 31.08.2015</w:t>
            </w:r>
          </w:p>
          <w:p w:rsidR="00C21644" w:rsidRPr="00A935AA" w:rsidRDefault="00EB0985" w:rsidP="005F1ED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8A6415" w:rsidRPr="00A935AA" w:rsidRDefault="008A6415"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3C38EF" w:rsidRDefault="003C38EF" w:rsidP="005F1ED8">
            <w:pPr>
              <w:rPr>
                <w:b/>
                <w:sz w:val="20"/>
                <w:szCs w:val="20"/>
                <w:lang w:val="fr-CA"/>
              </w:rPr>
            </w:pPr>
            <w:r w:rsidRPr="003C38EF">
              <w:rPr>
                <w:b/>
                <w:sz w:val="20"/>
                <w:szCs w:val="20"/>
                <w:lang w:val="fr-CA"/>
              </w:rPr>
              <w:t>9221-2133 Québec Inc., f.a.s.r.c. Centre Mécatech</w:t>
            </w:r>
            <w:r>
              <w:rPr>
                <w:b/>
                <w:sz w:val="20"/>
                <w:szCs w:val="20"/>
                <w:lang w:val="fr-CA"/>
              </w:rPr>
              <w:t xml:space="preserve"> et autre</w:t>
            </w:r>
          </w:p>
          <w:p w:rsidR="00C21644" w:rsidRPr="003C38EF" w:rsidRDefault="00C21644" w:rsidP="005F1ED8">
            <w:pPr>
              <w:tabs>
                <w:tab w:val="left" w:pos="-1440"/>
                <w:tab w:val="left" w:pos="-720"/>
              </w:tabs>
              <w:rPr>
                <w:sz w:val="20"/>
                <w:szCs w:val="20"/>
                <w:lang w:val="fr-CA"/>
              </w:rPr>
            </w:pPr>
            <w:r w:rsidRPr="003C38EF">
              <w:rPr>
                <w:sz w:val="20"/>
                <w:szCs w:val="20"/>
                <w:lang w:val="fr-CA"/>
              </w:rPr>
              <w:tab/>
            </w:r>
            <w:r w:rsidR="003C38EF">
              <w:rPr>
                <w:sz w:val="20"/>
                <w:szCs w:val="20"/>
                <w:lang w:val="fr-CA"/>
              </w:rPr>
              <w:t>Manès Webster</w:t>
            </w:r>
          </w:p>
          <w:p w:rsidR="00C21644" w:rsidRPr="003C38EF" w:rsidRDefault="00C21644" w:rsidP="005F1ED8">
            <w:pPr>
              <w:tabs>
                <w:tab w:val="left" w:pos="-1440"/>
                <w:tab w:val="left" w:pos="-720"/>
              </w:tabs>
              <w:rPr>
                <w:sz w:val="20"/>
                <w:szCs w:val="20"/>
                <w:lang w:val="fr-CA"/>
              </w:rPr>
            </w:pPr>
            <w:r w:rsidRPr="003C38EF">
              <w:rPr>
                <w:sz w:val="20"/>
                <w:szCs w:val="20"/>
                <w:lang w:val="fr-CA"/>
              </w:rPr>
              <w:tab/>
            </w:r>
            <w:r w:rsidR="003C38EF">
              <w:rPr>
                <w:sz w:val="20"/>
                <w:szCs w:val="20"/>
                <w:lang w:val="fr-CA"/>
              </w:rPr>
              <w:t>Armijo &amp;Webster, société d’avocats</w:t>
            </w:r>
          </w:p>
          <w:p w:rsidR="00C21644" w:rsidRPr="003C38EF" w:rsidRDefault="00C21644" w:rsidP="005F1ED8">
            <w:pPr>
              <w:tabs>
                <w:tab w:val="left" w:pos="-1440"/>
                <w:tab w:val="left" w:pos="-720"/>
              </w:tabs>
              <w:rPr>
                <w:sz w:val="20"/>
                <w:szCs w:val="20"/>
                <w:lang w:val="fr-CA"/>
              </w:rPr>
            </w:pPr>
          </w:p>
          <w:p w:rsidR="00C21644" w:rsidRPr="003C38EF" w:rsidRDefault="00C21644" w:rsidP="005F1ED8">
            <w:pPr>
              <w:tabs>
                <w:tab w:val="left" w:pos="-1440"/>
                <w:tab w:val="left" w:pos="-720"/>
              </w:tabs>
              <w:rPr>
                <w:sz w:val="20"/>
                <w:szCs w:val="20"/>
                <w:lang w:val="fr-CA"/>
              </w:rPr>
            </w:pPr>
            <w:r w:rsidRPr="003C38EF">
              <w:rPr>
                <w:sz w:val="20"/>
                <w:szCs w:val="20"/>
                <w:lang w:val="fr-CA"/>
              </w:rPr>
              <w:tab/>
              <w:t>v. (3</w:t>
            </w:r>
            <w:r w:rsidR="003C38EF" w:rsidRPr="003C38EF">
              <w:rPr>
                <w:sz w:val="20"/>
                <w:szCs w:val="20"/>
                <w:lang w:val="fr-CA"/>
              </w:rPr>
              <w:t>6569</w:t>
            </w:r>
            <w:r w:rsidRPr="003C38EF">
              <w:rPr>
                <w:sz w:val="20"/>
                <w:szCs w:val="20"/>
                <w:lang w:val="fr-CA"/>
              </w:rPr>
              <w:t>)</w:t>
            </w:r>
          </w:p>
          <w:p w:rsidR="00C21644" w:rsidRPr="003C38EF" w:rsidRDefault="00C21644" w:rsidP="005F1ED8">
            <w:pPr>
              <w:tabs>
                <w:tab w:val="left" w:pos="-1440"/>
                <w:tab w:val="left" w:pos="-720"/>
              </w:tabs>
              <w:rPr>
                <w:sz w:val="20"/>
                <w:szCs w:val="20"/>
                <w:lang w:val="fr-CA"/>
              </w:rPr>
            </w:pPr>
          </w:p>
          <w:p w:rsidR="00C21644" w:rsidRPr="00D60C39" w:rsidRDefault="003C38EF" w:rsidP="005F1ED8">
            <w:pPr>
              <w:tabs>
                <w:tab w:val="left" w:pos="-1440"/>
                <w:tab w:val="left" w:pos="-720"/>
              </w:tabs>
              <w:rPr>
                <w:b/>
                <w:sz w:val="20"/>
                <w:szCs w:val="20"/>
                <w:lang w:val="fr-CA"/>
              </w:rPr>
            </w:pPr>
            <w:r w:rsidRPr="00D60C39">
              <w:rPr>
                <w:b/>
                <w:sz w:val="20"/>
                <w:szCs w:val="20"/>
                <w:lang w:val="fr-CA"/>
              </w:rPr>
              <w:t xml:space="preserve">Intact Assurance Inc. </w:t>
            </w:r>
            <w:r w:rsidR="00C21644" w:rsidRPr="00D60C39">
              <w:rPr>
                <w:b/>
                <w:sz w:val="20"/>
                <w:szCs w:val="20"/>
                <w:lang w:val="fr-CA"/>
              </w:rPr>
              <w:t>(</w:t>
            </w:r>
            <w:r w:rsidRPr="00D60C39">
              <w:rPr>
                <w:b/>
                <w:sz w:val="20"/>
                <w:szCs w:val="20"/>
                <w:lang w:val="fr-CA"/>
              </w:rPr>
              <w:t>Qc</w:t>
            </w:r>
            <w:r w:rsidR="00C21644" w:rsidRPr="00D60C39">
              <w:rPr>
                <w:b/>
                <w:sz w:val="20"/>
                <w:szCs w:val="20"/>
                <w:lang w:val="fr-CA"/>
              </w:rPr>
              <w:t>)</w:t>
            </w:r>
          </w:p>
          <w:p w:rsidR="00C21644" w:rsidRPr="003C38EF" w:rsidRDefault="00C21644" w:rsidP="005F1ED8">
            <w:pPr>
              <w:tabs>
                <w:tab w:val="left" w:pos="-1440"/>
                <w:tab w:val="left" w:pos="-720"/>
              </w:tabs>
              <w:rPr>
                <w:sz w:val="20"/>
                <w:szCs w:val="20"/>
                <w:lang w:val="fr-CA"/>
              </w:rPr>
            </w:pPr>
            <w:r w:rsidRPr="00D60C39">
              <w:rPr>
                <w:sz w:val="20"/>
                <w:szCs w:val="20"/>
                <w:lang w:val="fr-CA"/>
              </w:rPr>
              <w:tab/>
            </w:r>
            <w:r w:rsidR="003C38EF" w:rsidRPr="003C38EF">
              <w:rPr>
                <w:sz w:val="20"/>
                <w:szCs w:val="20"/>
                <w:lang w:val="fr-CA"/>
              </w:rPr>
              <w:t>Sophie Lapierre</w:t>
            </w:r>
          </w:p>
          <w:p w:rsidR="00C21644" w:rsidRPr="003C38EF" w:rsidRDefault="00C21644" w:rsidP="005F1ED8">
            <w:pPr>
              <w:tabs>
                <w:tab w:val="left" w:pos="-1440"/>
                <w:tab w:val="left" w:pos="-720"/>
              </w:tabs>
              <w:rPr>
                <w:sz w:val="20"/>
                <w:szCs w:val="20"/>
                <w:lang w:val="fr-CA"/>
              </w:rPr>
            </w:pPr>
            <w:r w:rsidRPr="003C38EF">
              <w:rPr>
                <w:sz w:val="20"/>
                <w:szCs w:val="20"/>
                <w:lang w:val="fr-CA"/>
              </w:rPr>
              <w:tab/>
            </w:r>
            <w:r w:rsidR="003C38EF" w:rsidRPr="003C38EF">
              <w:rPr>
                <w:sz w:val="20"/>
                <w:szCs w:val="20"/>
                <w:lang w:val="fr-CA"/>
              </w:rPr>
              <w:t>Cain Lamarre Casgrain Wells</w:t>
            </w:r>
          </w:p>
          <w:p w:rsidR="00C21644" w:rsidRPr="003C38EF" w:rsidRDefault="00C21644" w:rsidP="005F1ED8">
            <w:pPr>
              <w:tabs>
                <w:tab w:val="left" w:pos="-1440"/>
                <w:tab w:val="left" w:pos="-720"/>
              </w:tabs>
              <w:rPr>
                <w:sz w:val="20"/>
                <w:szCs w:val="20"/>
                <w:lang w:val="fr-CA"/>
              </w:rPr>
            </w:pPr>
          </w:p>
          <w:p w:rsidR="00C21644" w:rsidRPr="00D60C39" w:rsidRDefault="003C38EF" w:rsidP="003C38EF">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24</w:t>
            </w:r>
            <w:r w:rsidRPr="00806A5B">
              <w:rPr>
                <w:sz w:val="20"/>
                <w:szCs w:val="20"/>
                <w:lang w:val="fr-CA"/>
              </w:rPr>
              <w:t>.0</w:t>
            </w:r>
            <w:r>
              <w:rPr>
                <w:sz w:val="20"/>
                <w:szCs w:val="20"/>
                <w:lang w:val="fr-CA"/>
              </w:rPr>
              <w:t>8</w:t>
            </w:r>
            <w:r w:rsidRPr="00806A5B">
              <w:rPr>
                <w:sz w:val="20"/>
                <w:szCs w:val="20"/>
                <w:lang w:val="fr-CA"/>
              </w:rPr>
              <w:t>.201</w:t>
            </w:r>
            <w:r>
              <w:rPr>
                <w:sz w:val="20"/>
                <w:szCs w:val="20"/>
                <w:lang w:val="fr-CA"/>
              </w:rPr>
              <w:t>5</w:t>
            </w:r>
            <w:r w:rsidR="00EB0985">
              <w:rPr>
                <w:sz w:val="20"/>
                <w:szCs w:val="20"/>
                <w:lang w:val="fr-CA"/>
              </w:rPr>
              <w:pict>
                <v:rect id="_x0000_i1032"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8A6415" w:rsidRPr="00A935AA" w:rsidRDefault="008A6415" w:rsidP="008A6415">
            <w:pPr>
              <w:rPr>
                <w:b/>
                <w:sz w:val="20"/>
                <w:szCs w:val="20"/>
              </w:rPr>
            </w:pPr>
            <w:r w:rsidRPr="0047020C">
              <w:rPr>
                <w:b/>
                <w:sz w:val="20"/>
                <w:szCs w:val="20"/>
              </w:rPr>
              <w:lastRenderedPageBreak/>
              <w:t>Attorney General of Canada</w:t>
            </w:r>
          </w:p>
          <w:p w:rsidR="008A6415" w:rsidRPr="00A935AA" w:rsidRDefault="008A6415" w:rsidP="008A6415">
            <w:pPr>
              <w:tabs>
                <w:tab w:val="left" w:pos="-1440"/>
                <w:tab w:val="left" w:pos="-720"/>
              </w:tabs>
              <w:rPr>
                <w:sz w:val="20"/>
                <w:szCs w:val="20"/>
              </w:rPr>
            </w:pPr>
            <w:r w:rsidRPr="00A935AA">
              <w:rPr>
                <w:sz w:val="20"/>
                <w:szCs w:val="20"/>
              </w:rPr>
              <w:tab/>
            </w:r>
            <w:r>
              <w:rPr>
                <w:sz w:val="20"/>
                <w:szCs w:val="20"/>
              </w:rPr>
              <w:t>Michael J. Sims</w:t>
            </w:r>
          </w:p>
          <w:p w:rsidR="008A6415" w:rsidRPr="00A935AA" w:rsidRDefault="008A6415" w:rsidP="008A6415">
            <w:pPr>
              <w:tabs>
                <w:tab w:val="left" w:pos="-1440"/>
                <w:tab w:val="left" w:pos="-720"/>
              </w:tabs>
              <w:rPr>
                <w:sz w:val="20"/>
                <w:szCs w:val="20"/>
              </w:rPr>
            </w:pPr>
            <w:r w:rsidRPr="00A935AA">
              <w:rPr>
                <w:sz w:val="20"/>
                <w:szCs w:val="20"/>
              </w:rPr>
              <w:tab/>
            </w:r>
            <w:r>
              <w:rPr>
                <w:sz w:val="20"/>
                <w:szCs w:val="20"/>
              </w:rPr>
              <w:t>A.G. of Canada</w:t>
            </w:r>
          </w:p>
          <w:p w:rsidR="008A6415" w:rsidRPr="00A935AA" w:rsidRDefault="008A6415" w:rsidP="008A6415">
            <w:pPr>
              <w:tabs>
                <w:tab w:val="left" w:pos="-1440"/>
                <w:tab w:val="left" w:pos="-720"/>
              </w:tabs>
              <w:rPr>
                <w:sz w:val="20"/>
                <w:szCs w:val="20"/>
              </w:rPr>
            </w:pPr>
          </w:p>
          <w:p w:rsidR="008A6415" w:rsidRPr="00A935AA" w:rsidRDefault="008A6415" w:rsidP="008A6415">
            <w:pPr>
              <w:tabs>
                <w:tab w:val="left" w:pos="-1440"/>
                <w:tab w:val="left" w:pos="-720"/>
              </w:tabs>
              <w:rPr>
                <w:sz w:val="20"/>
                <w:szCs w:val="20"/>
              </w:rPr>
            </w:pPr>
            <w:r w:rsidRPr="00A935AA">
              <w:rPr>
                <w:sz w:val="20"/>
                <w:szCs w:val="20"/>
              </w:rPr>
              <w:tab/>
              <w:t>v. (3</w:t>
            </w:r>
            <w:r>
              <w:rPr>
                <w:sz w:val="20"/>
                <w:szCs w:val="20"/>
              </w:rPr>
              <w:t>6574</w:t>
            </w:r>
            <w:r w:rsidRPr="00A935AA">
              <w:rPr>
                <w:sz w:val="20"/>
                <w:szCs w:val="20"/>
              </w:rPr>
              <w:t>)</w:t>
            </w:r>
          </w:p>
          <w:p w:rsidR="008A6415" w:rsidRPr="00A935AA" w:rsidRDefault="008A6415" w:rsidP="008A6415">
            <w:pPr>
              <w:tabs>
                <w:tab w:val="left" w:pos="-1440"/>
                <w:tab w:val="left" w:pos="-720"/>
              </w:tabs>
              <w:rPr>
                <w:sz w:val="20"/>
                <w:szCs w:val="20"/>
              </w:rPr>
            </w:pPr>
          </w:p>
          <w:p w:rsidR="008A6415" w:rsidRPr="00A935AA" w:rsidRDefault="008A6415" w:rsidP="008A6415">
            <w:pPr>
              <w:tabs>
                <w:tab w:val="left" w:pos="-1440"/>
                <w:tab w:val="left" w:pos="-720"/>
              </w:tabs>
              <w:rPr>
                <w:b/>
                <w:sz w:val="20"/>
                <w:szCs w:val="20"/>
              </w:rPr>
            </w:pPr>
            <w:r>
              <w:rPr>
                <w:b/>
                <w:sz w:val="20"/>
                <w:szCs w:val="20"/>
              </w:rPr>
              <w:t xml:space="preserve">Raymond </w:t>
            </w:r>
            <w:r w:rsidRPr="0047020C">
              <w:rPr>
                <w:b/>
                <w:sz w:val="20"/>
                <w:szCs w:val="20"/>
              </w:rPr>
              <w:t xml:space="preserve">Lapple </w:t>
            </w:r>
            <w:r w:rsidRPr="00A935AA">
              <w:rPr>
                <w:b/>
                <w:sz w:val="20"/>
                <w:szCs w:val="20"/>
              </w:rPr>
              <w:t>(</w:t>
            </w:r>
            <w:r>
              <w:rPr>
                <w:b/>
                <w:sz w:val="20"/>
                <w:szCs w:val="20"/>
              </w:rPr>
              <w:t>Ont</w:t>
            </w:r>
            <w:r w:rsidRPr="00A935AA">
              <w:rPr>
                <w:b/>
                <w:sz w:val="20"/>
                <w:szCs w:val="20"/>
              </w:rPr>
              <w:t>.)</w:t>
            </w:r>
          </w:p>
          <w:p w:rsidR="008A6415" w:rsidRPr="00A935AA" w:rsidRDefault="008A6415" w:rsidP="008A6415">
            <w:pPr>
              <w:tabs>
                <w:tab w:val="left" w:pos="-1440"/>
                <w:tab w:val="left" w:pos="-720"/>
              </w:tabs>
              <w:rPr>
                <w:sz w:val="20"/>
                <w:szCs w:val="20"/>
              </w:rPr>
            </w:pPr>
            <w:r w:rsidRPr="00A935AA">
              <w:rPr>
                <w:sz w:val="20"/>
                <w:szCs w:val="20"/>
              </w:rPr>
              <w:tab/>
            </w:r>
            <w:r>
              <w:rPr>
                <w:sz w:val="20"/>
                <w:szCs w:val="20"/>
              </w:rPr>
              <w:t>Raymond Lapple</w:t>
            </w:r>
          </w:p>
          <w:p w:rsidR="008A6415" w:rsidRPr="00A935AA" w:rsidRDefault="008A6415" w:rsidP="008A6415">
            <w:pPr>
              <w:tabs>
                <w:tab w:val="left" w:pos="-1440"/>
                <w:tab w:val="left" w:pos="-720"/>
              </w:tabs>
              <w:rPr>
                <w:sz w:val="20"/>
                <w:szCs w:val="20"/>
              </w:rPr>
            </w:pPr>
          </w:p>
          <w:p w:rsidR="008A6415" w:rsidRPr="00A935AA" w:rsidRDefault="008A6415" w:rsidP="008A6415">
            <w:pPr>
              <w:rPr>
                <w:sz w:val="20"/>
                <w:szCs w:val="20"/>
              </w:rPr>
            </w:pPr>
            <w:r w:rsidRPr="00A935AA">
              <w:rPr>
                <w:sz w:val="20"/>
                <w:szCs w:val="20"/>
              </w:rPr>
              <w:t>FILING DATE: 2</w:t>
            </w:r>
            <w:r>
              <w:rPr>
                <w:sz w:val="20"/>
                <w:szCs w:val="20"/>
              </w:rPr>
              <w:t>4</w:t>
            </w:r>
            <w:r w:rsidRPr="00A935AA">
              <w:rPr>
                <w:sz w:val="20"/>
                <w:szCs w:val="20"/>
              </w:rPr>
              <w:t>.0</w:t>
            </w:r>
            <w:r>
              <w:rPr>
                <w:sz w:val="20"/>
                <w:szCs w:val="20"/>
              </w:rPr>
              <w:t>8</w:t>
            </w:r>
            <w:r w:rsidRPr="00A935AA">
              <w:rPr>
                <w:sz w:val="20"/>
                <w:szCs w:val="20"/>
              </w:rPr>
              <w:t>.201</w:t>
            </w:r>
            <w:r>
              <w:rPr>
                <w:sz w:val="20"/>
                <w:szCs w:val="20"/>
              </w:rPr>
              <w:t>5</w:t>
            </w:r>
          </w:p>
          <w:p w:rsidR="00C21644" w:rsidRPr="00A935AA" w:rsidRDefault="00EB0985" w:rsidP="005F1ED8">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3C38EF" w:rsidP="005F1ED8">
            <w:pPr>
              <w:rPr>
                <w:b/>
                <w:sz w:val="20"/>
                <w:szCs w:val="20"/>
              </w:rPr>
            </w:pPr>
            <w:r w:rsidRPr="003C38EF">
              <w:rPr>
                <w:b/>
                <w:sz w:val="20"/>
                <w:szCs w:val="20"/>
              </w:rPr>
              <w:t>Attorney General of Canada</w:t>
            </w:r>
          </w:p>
          <w:p w:rsidR="00C21644" w:rsidRPr="00A935AA" w:rsidRDefault="00C21644" w:rsidP="005F1ED8">
            <w:pPr>
              <w:tabs>
                <w:tab w:val="left" w:pos="-1440"/>
                <w:tab w:val="left" w:pos="-720"/>
              </w:tabs>
              <w:rPr>
                <w:sz w:val="20"/>
                <w:szCs w:val="20"/>
              </w:rPr>
            </w:pPr>
            <w:r w:rsidRPr="00A935AA">
              <w:rPr>
                <w:sz w:val="20"/>
                <w:szCs w:val="20"/>
              </w:rPr>
              <w:tab/>
            </w:r>
            <w:r w:rsidR="003C38EF">
              <w:rPr>
                <w:sz w:val="20"/>
                <w:szCs w:val="20"/>
              </w:rPr>
              <w:t>Michael J. Sims</w:t>
            </w:r>
          </w:p>
          <w:p w:rsidR="00C21644" w:rsidRPr="00A935AA" w:rsidRDefault="00C21644" w:rsidP="005F1ED8">
            <w:pPr>
              <w:tabs>
                <w:tab w:val="left" w:pos="-1440"/>
                <w:tab w:val="left" w:pos="-720"/>
              </w:tabs>
              <w:rPr>
                <w:sz w:val="20"/>
                <w:szCs w:val="20"/>
              </w:rPr>
            </w:pPr>
            <w:r w:rsidRPr="00A935AA">
              <w:rPr>
                <w:sz w:val="20"/>
                <w:szCs w:val="20"/>
              </w:rPr>
              <w:tab/>
            </w:r>
            <w:r w:rsidR="003C38EF">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w:t>
            </w:r>
            <w:r w:rsidR="003C38EF">
              <w:rPr>
                <w:sz w:val="20"/>
                <w:szCs w:val="20"/>
              </w:rPr>
              <w:t>36571)</w:t>
            </w:r>
          </w:p>
          <w:p w:rsidR="00C21644" w:rsidRPr="00A935AA" w:rsidRDefault="00C21644" w:rsidP="005F1ED8">
            <w:pPr>
              <w:tabs>
                <w:tab w:val="left" w:pos="-1440"/>
                <w:tab w:val="left" w:pos="-720"/>
              </w:tabs>
              <w:rPr>
                <w:sz w:val="20"/>
                <w:szCs w:val="20"/>
              </w:rPr>
            </w:pPr>
          </w:p>
          <w:p w:rsidR="00C21644" w:rsidRPr="00A935AA" w:rsidRDefault="003C38EF" w:rsidP="005F1ED8">
            <w:pPr>
              <w:tabs>
                <w:tab w:val="left" w:pos="-1440"/>
                <w:tab w:val="left" w:pos="-720"/>
              </w:tabs>
              <w:rPr>
                <w:b/>
                <w:sz w:val="20"/>
                <w:szCs w:val="20"/>
              </w:rPr>
            </w:pPr>
            <w:r>
              <w:rPr>
                <w:b/>
                <w:sz w:val="20"/>
                <w:szCs w:val="20"/>
              </w:rPr>
              <w:t xml:space="preserve">James Frost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3C38EF">
              <w:rPr>
                <w:sz w:val="20"/>
                <w:szCs w:val="20"/>
              </w:rPr>
              <w:t>Brian A. Callender</w:t>
            </w:r>
          </w:p>
          <w:p w:rsidR="00C21644" w:rsidRPr="00A935AA" w:rsidRDefault="00C21644" w:rsidP="005F1ED8">
            <w:pPr>
              <w:tabs>
                <w:tab w:val="left" w:pos="-1440"/>
                <w:tab w:val="left" w:pos="-720"/>
              </w:tabs>
              <w:rPr>
                <w:sz w:val="20"/>
                <w:szCs w:val="20"/>
              </w:rPr>
            </w:pPr>
          </w:p>
          <w:p w:rsidR="003C38EF" w:rsidRPr="00A935AA" w:rsidRDefault="00C21644" w:rsidP="003C38EF">
            <w:pPr>
              <w:rPr>
                <w:sz w:val="20"/>
                <w:szCs w:val="20"/>
              </w:rPr>
            </w:pPr>
            <w:r w:rsidRPr="00A935AA">
              <w:rPr>
                <w:sz w:val="20"/>
                <w:szCs w:val="20"/>
              </w:rPr>
              <w:t xml:space="preserve">FILING DATE: </w:t>
            </w:r>
            <w:r w:rsidR="003C38EF" w:rsidRPr="00A935AA">
              <w:rPr>
                <w:sz w:val="20"/>
                <w:szCs w:val="20"/>
              </w:rPr>
              <w:t>2</w:t>
            </w:r>
            <w:r w:rsidR="003C38EF">
              <w:rPr>
                <w:sz w:val="20"/>
                <w:szCs w:val="20"/>
              </w:rPr>
              <w:t>4</w:t>
            </w:r>
            <w:r w:rsidR="003C38EF" w:rsidRPr="00A935AA">
              <w:rPr>
                <w:sz w:val="20"/>
                <w:szCs w:val="20"/>
              </w:rPr>
              <w:t>.0</w:t>
            </w:r>
            <w:r w:rsidR="003C38EF">
              <w:rPr>
                <w:sz w:val="20"/>
                <w:szCs w:val="20"/>
              </w:rPr>
              <w:t>8</w:t>
            </w:r>
            <w:r w:rsidR="003C38EF" w:rsidRPr="00A935AA">
              <w:rPr>
                <w:sz w:val="20"/>
                <w:szCs w:val="20"/>
              </w:rPr>
              <w:t>.201</w:t>
            </w:r>
            <w:r w:rsidR="003C38EF">
              <w:rPr>
                <w:sz w:val="20"/>
                <w:szCs w:val="20"/>
              </w:rPr>
              <w:t>5</w:t>
            </w:r>
          </w:p>
          <w:p w:rsidR="00C21644" w:rsidRPr="00A935AA" w:rsidRDefault="00EB0985" w:rsidP="005F1ED8">
            <w:pPr>
              <w:rPr>
                <w:sz w:val="20"/>
                <w:szCs w:val="20"/>
              </w:rPr>
            </w:pPr>
            <w:r>
              <w:rPr>
                <w:sz w:val="20"/>
                <w:szCs w:val="20"/>
                <w:lang w:val="fr-CA"/>
              </w:rPr>
              <w:pict>
                <v:rect id="_x0000_i1034"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8A6415" w:rsidRPr="00796D32" w:rsidRDefault="008A6415" w:rsidP="008A6415">
            <w:pPr>
              <w:rPr>
                <w:b/>
                <w:sz w:val="20"/>
                <w:szCs w:val="20"/>
              </w:rPr>
            </w:pPr>
            <w:r w:rsidRPr="00796D32">
              <w:rPr>
                <w:b/>
                <w:sz w:val="20"/>
                <w:szCs w:val="20"/>
              </w:rPr>
              <w:t>Mirsada Mujagic</w:t>
            </w:r>
            <w:r>
              <w:rPr>
                <w:b/>
                <w:sz w:val="20"/>
                <w:szCs w:val="20"/>
              </w:rPr>
              <w:t xml:space="preserve"> et al.</w:t>
            </w:r>
          </w:p>
          <w:p w:rsidR="008A6415" w:rsidRPr="00796D32" w:rsidRDefault="008A6415" w:rsidP="008A6415">
            <w:pPr>
              <w:tabs>
                <w:tab w:val="left" w:pos="-1440"/>
                <w:tab w:val="left" w:pos="-720"/>
              </w:tabs>
              <w:rPr>
                <w:sz w:val="20"/>
                <w:szCs w:val="20"/>
              </w:rPr>
            </w:pPr>
            <w:r w:rsidRPr="00796D32">
              <w:rPr>
                <w:sz w:val="20"/>
                <w:szCs w:val="20"/>
              </w:rPr>
              <w:tab/>
              <w:t>Rodney M. Godard</w:t>
            </w:r>
          </w:p>
          <w:p w:rsidR="008A6415" w:rsidRPr="00796D32" w:rsidRDefault="008A6415" w:rsidP="008A6415">
            <w:pPr>
              <w:tabs>
                <w:tab w:val="left" w:pos="-1440"/>
                <w:tab w:val="left" w:pos="-720"/>
              </w:tabs>
              <w:rPr>
                <w:sz w:val="20"/>
                <w:szCs w:val="20"/>
              </w:rPr>
            </w:pPr>
            <w:r w:rsidRPr="00796D32">
              <w:rPr>
                <w:sz w:val="20"/>
                <w:szCs w:val="20"/>
              </w:rPr>
              <w:tab/>
              <w:t>Kirwin Partners LLP</w:t>
            </w:r>
          </w:p>
          <w:p w:rsidR="008A6415" w:rsidRPr="00796D32" w:rsidRDefault="008A6415" w:rsidP="008A6415">
            <w:pPr>
              <w:tabs>
                <w:tab w:val="left" w:pos="-1440"/>
                <w:tab w:val="left" w:pos="-720"/>
              </w:tabs>
              <w:rPr>
                <w:sz w:val="20"/>
                <w:szCs w:val="20"/>
              </w:rPr>
            </w:pPr>
          </w:p>
          <w:p w:rsidR="008A6415" w:rsidRPr="00796D32" w:rsidRDefault="008A6415" w:rsidP="008A6415">
            <w:pPr>
              <w:tabs>
                <w:tab w:val="left" w:pos="-1440"/>
                <w:tab w:val="left" w:pos="-720"/>
              </w:tabs>
              <w:rPr>
                <w:sz w:val="20"/>
                <w:szCs w:val="20"/>
              </w:rPr>
            </w:pPr>
            <w:r w:rsidRPr="00796D32">
              <w:rPr>
                <w:sz w:val="20"/>
                <w:szCs w:val="20"/>
              </w:rPr>
              <w:tab/>
              <w:t>v. (3657</w:t>
            </w:r>
            <w:r>
              <w:rPr>
                <w:sz w:val="20"/>
                <w:szCs w:val="20"/>
              </w:rPr>
              <w:t>8</w:t>
            </w:r>
            <w:r w:rsidRPr="00796D32">
              <w:rPr>
                <w:sz w:val="20"/>
                <w:szCs w:val="20"/>
              </w:rPr>
              <w:t>)</w:t>
            </w:r>
          </w:p>
          <w:p w:rsidR="008A6415" w:rsidRPr="00796D32" w:rsidRDefault="008A6415" w:rsidP="008A6415">
            <w:pPr>
              <w:tabs>
                <w:tab w:val="left" w:pos="-1440"/>
                <w:tab w:val="left" w:pos="-720"/>
              </w:tabs>
              <w:rPr>
                <w:sz w:val="20"/>
                <w:szCs w:val="20"/>
              </w:rPr>
            </w:pPr>
          </w:p>
          <w:p w:rsidR="008A6415" w:rsidRPr="00796D32" w:rsidRDefault="008A6415" w:rsidP="008A6415">
            <w:pPr>
              <w:tabs>
                <w:tab w:val="left" w:pos="-1440"/>
                <w:tab w:val="left" w:pos="-720"/>
              </w:tabs>
              <w:rPr>
                <w:b/>
                <w:sz w:val="20"/>
                <w:szCs w:val="20"/>
              </w:rPr>
            </w:pPr>
            <w:r w:rsidRPr="00796D32">
              <w:rPr>
                <w:b/>
                <w:sz w:val="20"/>
                <w:szCs w:val="20"/>
              </w:rPr>
              <w:t>Annette Kamps (Ont.)</w:t>
            </w:r>
          </w:p>
          <w:p w:rsidR="008A6415" w:rsidRPr="00796D32" w:rsidRDefault="008A6415" w:rsidP="008A6415">
            <w:pPr>
              <w:tabs>
                <w:tab w:val="left" w:pos="-1440"/>
                <w:tab w:val="left" w:pos="-720"/>
              </w:tabs>
              <w:rPr>
                <w:sz w:val="20"/>
                <w:szCs w:val="20"/>
              </w:rPr>
            </w:pPr>
            <w:r w:rsidRPr="00796D32">
              <w:rPr>
                <w:sz w:val="20"/>
                <w:szCs w:val="20"/>
              </w:rPr>
              <w:tab/>
              <w:t>Keiran C. Dickson</w:t>
            </w:r>
          </w:p>
          <w:p w:rsidR="008A6415" w:rsidRPr="00796D32" w:rsidRDefault="008A6415" w:rsidP="008A6415">
            <w:pPr>
              <w:tabs>
                <w:tab w:val="left" w:pos="-1440"/>
                <w:tab w:val="left" w:pos="-720"/>
              </w:tabs>
              <w:rPr>
                <w:sz w:val="20"/>
                <w:szCs w:val="20"/>
              </w:rPr>
            </w:pPr>
            <w:r w:rsidRPr="00796D32">
              <w:rPr>
                <w:sz w:val="20"/>
                <w:szCs w:val="20"/>
              </w:rPr>
              <w:tab/>
              <w:t>Evans, Philp LLP</w:t>
            </w:r>
          </w:p>
          <w:p w:rsidR="008A6415" w:rsidRPr="00796D32" w:rsidRDefault="008A6415" w:rsidP="008A6415">
            <w:pPr>
              <w:tabs>
                <w:tab w:val="left" w:pos="-1440"/>
                <w:tab w:val="left" w:pos="-720"/>
              </w:tabs>
              <w:rPr>
                <w:sz w:val="20"/>
                <w:szCs w:val="20"/>
              </w:rPr>
            </w:pPr>
          </w:p>
          <w:p w:rsidR="008A6415" w:rsidRPr="00796D32" w:rsidRDefault="008A6415" w:rsidP="008A6415">
            <w:pPr>
              <w:rPr>
                <w:sz w:val="20"/>
                <w:szCs w:val="20"/>
              </w:rPr>
            </w:pPr>
            <w:r w:rsidRPr="00796D32">
              <w:rPr>
                <w:sz w:val="20"/>
                <w:szCs w:val="20"/>
              </w:rPr>
              <w:t>FILING DATE: 28.08.2015</w:t>
            </w:r>
          </w:p>
          <w:p w:rsidR="00C21644" w:rsidRPr="00A935AA" w:rsidRDefault="00EB0985" w:rsidP="005F1ED8">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796D32" w:rsidP="005F1ED8">
            <w:pPr>
              <w:rPr>
                <w:b/>
                <w:sz w:val="20"/>
                <w:szCs w:val="20"/>
              </w:rPr>
            </w:pPr>
            <w:r w:rsidRPr="00796D32">
              <w:rPr>
                <w:b/>
                <w:sz w:val="20"/>
                <w:szCs w:val="20"/>
              </w:rPr>
              <w:t>Peter Quon San</w:t>
            </w:r>
            <w:r>
              <w:rPr>
                <w:b/>
                <w:sz w:val="20"/>
                <w:szCs w:val="20"/>
              </w:rPr>
              <w:t xml:space="preserve"> Wong</w:t>
            </w:r>
          </w:p>
          <w:p w:rsidR="00C21644" w:rsidRPr="00A935AA" w:rsidRDefault="00C21644" w:rsidP="005F1ED8">
            <w:pPr>
              <w:tabs>
                <w:tab w:val="left" w:pos="-1440"/>
                <w:tab w:val="left" w:pos="-720"/>
              </w:tabs>
              <w:rPr>
                <w:sz w:val="20"/>
                <w:szCs w:val="20"/>
              </w:rPr>
            </w:pPr>
            <w:r w:rsidRPr="00A935AA">
              <w:rPr>
                <w:sz w:val="20"/>
                <w:szCs w:val="20"/>
              </w:rPr>
              <w:tab/>
            </w:r>
            <w:r w:rsidR="00796D32">
              <w:rPr>
                <w:sz w:val="20"/>
                <w:szCs w:val="20"/>
              </w:rPr>
              <w:t>Hovan M. Patey</w:t>
            </w:r>
          </w:p>
          <w:p w:rsidR="00C21644" w:rsidRPr="00796D32" w:rsidRDefault="00C21644" w:rsidP="005F1ED8">
            <w:pPr>
              <w:tabs>
                <w:tab w:val="left" w:pos="-1440"/>
                <w:tab w:val="left" w:pos="-720"/>
              </w:tabs>
              <w:rPr>
                <w:sz w:val="20"/>
                <w:szCs w:val="20"/>
                <w:lang w:val="en-US"/>
              </w:rPr>
            </w:pPr>
            <w:r w:rsidRPr="00A935AA">
              <w:rPr>
                <w:sz w:val="20"/>
                <w:szCs w:val="20"/>
              </w:rPr>
              <w:tab/>
            </w:r>
            <w:r w:rsidR="00796D32">
              <w:rPr>
                <w:sz w:val="20"/>
                <w:szCs w:val="20"/>
              </w:rPr>
              <w:t>Myers, McMurdo &amp; Karp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796D32">
              <w:rPr>
                <w:sz w:val="20"/>
                <w:szCs w:val="20"/>
              </w:rPr>
              <w:t>6577</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796D32" w:rsidP="005F1ED8">
            <w:pPr>
              <w:tabs>
                <w:tab w:val="left" w:pos="-1440"/>
                <w:tab w:val="left" w:pos="-720"/>
              </w:tabs>
              <w:rPr>
                <w:b/>
                <w:sz w:val="20"/>
                <w:szCs w:val="20"/>
              </w:rPr>
            </w:pPr>
            <w:r w:rsidRPr="003C38EF">
              <w:rPr>
                <w:b/>
                <w:sz w:val="20"/>
                <w:szCs w:val="20"/>
              </w:rPr>
              <w:t>Her Majesty the Queen</w:t>
            </w:r>
            <w:r w:rsidRPr="00A935AA">
              <w:rPr>
                <w:b/>
                <w:sz w:val="20"/>
                <w:szCs w:val="20"/>
              </w:rPr>
              <w:t xml:space="preserve">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796D32">
              <w:rPr>
                <w:sz w:val="20"/>
                <w:szCs w:val="20"/>
              </w:rPr>
              <w:t>Fred Tischler</w:t>
            </w:r>
          </w:p>
          <w:p w:rsidR="00C21644" w:rsidRPr="00A935AA" w:rsidRDefault="00C21644" w:rsidP="005F1ED8">
            <w:pPr>
              <w:tabs>
                <w:tab w:val="left" w:pos="-1440"/>
                <w:tab w:val="left" w:pos="-720"/>
              </w:tabs>
              <w:rPr>
                <w:sz w:val="20"/>
                <w:szCs w:val="20"/>
              </w:rPr>
            </w:pPr>
            <w:r w:rsidRPr="00A935AA">
              <w:rPr>
                <w:sz w:val="20"/>
                <w:szCs w:val="20"/>
              </w:rPr>
              <w:tab/>
            </w:r>
            <w:r w:rsidR="00796D32">
              <w:rPr>
                <w:sz w:val="20"/>
                <w:szCs w:val="20"/>
              </w:rPr>
              <w:t>A.G. of British Columbia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3C38EF" w:rsidRPr="00A935AA">
              <w:rPr>
                <w:sz w:val="20"/>
                <w:szCs w:val="20"/>
              </w:rPr>
              <w:t>2</w:t>
            </w:r>
            <w:r w:rsidR="00796D32">
              <w:rPr>
                <w:sz w:val="20"/>
                <w:szCs w:val="20"/>
              </w:rPr>
              <w:t>6</w:t>
            </w:r>
            <w:r w:rsidR="003C38EF" w:rsidRPr="00A935AA">
              <w:rPr>
                <w:sz w:val="20"/>
                <w:szCs w:val="20"/>
              </w:rPr>
              <w:t>.0</w:t>
            </w:r>
            <w:r w:rsidR="003C38EF">
              <w:rPr>
                <w:sz w:val="20"/>
                <w:szCs w:val="20"/>
              </w:rPr>
              <w:t>8</w:t>
            </w:r>
            <w:r w:rsidR="003C38EF" w:rsidRPr="00A935AA">
              <w:rPr>
                <w:sz w:val="20"/>
                <w:szCs w:val="20"/>
              </w:rPr>
              <w:t>.201</w:t>
            </w:r>
            <w:r w:rsidR="003C38EF">
              <w:rPr>
                <w:sz w:val="20"/>
                <w:szCs w:val="20"/>
              </w:rPr>
              <w:t>5</w:t>
            </w:r>
          </w:p>
          <w:p w:rsidR="00C21644" w:rsidRPr="00A935AA" w:rsidRDefault="00EB0985" w:rsidP="005F1ED8">
            <w:pPr>
              <w:rPr>
                <w:sz w:val="20"/>
                <w:szCs w:val="20"/>
              </w:rPr>
            </w:pPr>
            <w:r>
              <w:rPr>
                <w:sz w:val="20"/>
                <w:szCs w:val="20"/>
                <w:lang w:val="fr-CA"/>
              </w:rPr>
              <w:pict>
                <v:rect id="_x0000_i1036" style="width:108pt;height:1pt" o:hrpct="0" o:hralign="center" o:hrstd="t" o:hrnoshade="t" o:hr="t" fillcolor="black [3213]" stroked="f"/>
              </w:pict>
            </w:r>
          </w:p>
        </w:tc>
      </w:tr>
      <w:tr w:rsidR="00E25A85" w:rsidRPr="00A935AA" w:rsidTr="003B3977">
        <w:trPr>
          <w:cantSplit/>
        </w:trPr>
        <w:tc>
          <w:tcPr>
            <w:tcW w:w="4320" w:type="dxa"/>
            <w:shd w:val="clear" w:color="auto" w:fill="auto"/>
          </w:tcPr>
          <w:p w:rsidR="00E25A85" w:rsidRPr="00796D32" w:rsidRDefault="00796D32" w:rsidP="00E25A85">
            <w:pPr>
              <w:rPr>
                <w:b/>
                <w:sz w:val="20"/>
                <w:szCs w:val="20"/>
                <w:lang w:val="fr-CA"/>
              </w:rPr>
            </w:pPr>
            <w:r w:rsidRPr="00796D32">
              <w:rPr>
                <w:b/>
                <w:sz w:val="20"/>
                <w:szCs w:val="20"/>
                <w:lang w:val="fr-CA"/>
              </w:rPr>
              <w:t>J. Robert Verdun</w:t>
            </w:r>
          </w:p>
          <w:p w:rsidR="00E25A85" w:rsidRPr="00796D32" w:rsidRDefault="00E25A85" w:rsidP="00796D32">
            <w:pPr>
              <w:rPr>
                <w:sz w:val="20"/>
                <w:szCs w:val="20"/>
                <w:lang w:val="fr-CA"/>
              </w:rPr>
            </w:pPr>
            <w:r w:rsidRPr="00796D32">
              <w:rPr>
                <w:sz w:val="20"/>
                <w:szCs w:val="20"/>
                <w:lang w:val="fr-CA"/>
              </w:rPr>
              <w:tab/>
            </w:r>
            <w:r w:rsidR="00796D32" w:rsidRPr="00796D32">
              <w:rPr>
                <w:sz w:val="20"/>
                <w:szCs w:val="20"/>
                <w:lang w:val="fr-CA"/>
              </w:rPr>
              <w:t>J. Robert Verdun</w:t>
            </w:r>
          </w:p>
          <w:p w:rsidR="00E25A85" w:rsidRPr="00D60C39" w:rsidRDefault="00E25A85" w:rsidP="00E25A85">
            <w:pPr>
              <w:tabs>
                <w:tab w:val="left" w:pos="-1440"/>
                <w:tab w:val="left" w:pos="-720"/>
              </w:tabs>
              <w:rPr>
                <w:sz w:val="20"/>
                <w:szCs w:val="20"/>
                <w:lang w:val="fr-CA"/>
              </w:rPr>
            </w:pPr>
          </w:p>
          <w:p w:rsidR="00E25A85" w:rsidRPr="00796D32" w:rsidRDefault="00E25A85" w:rsidP="00E25A85">
            <w:pPr>
              <w:tabs>
                <w:tab w:val="left" w:pos="-1440"/>
                <w:tab w:val="left" w:pos="-720"/>
              </w:tabs>
              <w:rPr>
                <w:sz w:val="20"/>
                <w:szCs w:val="20"/>
                <w:lang w:val="fr-CA"/>
              </w:rPr>
            </w:pPr>
            <w:r w:rsidRPr="00D60C39">
              <w:rPr>
                <w:sz w:val="20"/>
                <w:szCs w:val="20"/>
                <w:lang w:val="fr-CA"/>
              </w:rPr>
              <w:tab/>
            </w:r>
            <w:r w:rsidRPr="00796D32">
              <w:rPr>
                <w:sz w:val="20"/>
                <w:szCs w:val="20"/>
                <w:lang w:val="fr-CA"/>
              </w:rPr>
              <w:t>v. (365</w:t>
            </w:r>
            <w:r w:rsidR="00796D32" w:rsidRPr="00796D32">
              <w:rPr>
                <w:sz w:val="20"/>
                <w:szCs w:val="20"/>
                <w:lang w:val="fr-CA"/>
              </w:rPr>
              <w:t>86</w:t>
            </w:r>
            <w:r w:rsidRPr="00796D32">
              <w:rPr>
                <w:sz w:val="20"/>
                <w:szCs w:val="20"/>
                <w:lang w:val="fr-CA"/>
              </w:rPr>
              <w:t>)</w:t>
            </w:r>
          </w:p>
          <w:p w:rsidR="00E25A85" w:rsidRPr="00796D32" w:rsidRDefault="00E25A85" w:rsidP="00E25A85">
            <w:pPr>
              <w:tabs>
                <w:tab w:val="left" w:pos="-1440"/>
                <w:tab w:val="left" w:pos="-720"/>
              </w:tabs>
              <w:rPr>
                <w:sz w:val="20"/>
                <w:szCs w:val="20"/>
                <w:lang w:val="fr-CA"/>
              </w:rPr>
            </w:pPr>
          </w:p>
          <w:p w:rsidR="00E25A85" w:rsidRPr="00796D32" w:rsidRDefault="00796D32" w:rsidP="00E25A85">
            <w:pPr>
              <w:tabs>
                <w:tab w:val="left" w:pos="-1440"/>
                <w:tab w:val="left" w:pos="-720"/>
              </w:tabs>
              <w:rPr>
                <w:b/>
                <w:sz w:val="20"/>
                <w:szCs w:val="20"/>
                <w:lang w:val="fr-CA"/>
              </w:rPr>
            </w:pPr>
            <w:r w:rsidRPr="00796D32">
              <w:rPr>
                <w:b/>
                <w:sz w:val="20"/>
                <w:szCs w:val="20"/>
                <w:lang w:val="fr-CA"/>
              </w:rPr>
              <w:t xml:space="preserve">Robert M. Astley </w:t>
            </w:r>
            <w:r w:rsidR="00E25A85" w:rsidRPr="00796D32">
              <w:rPr>
                <w:b/>
                <w:sz w:val="20"/>
                <w:szCs w:val="20"/>
                <w:lang w:val="fr-CA"/>
              </w:rPr>
              <w:t>(Ont.)</w:t>
            </w:r>
          </w:p>
          <w:p w:rsidR="00E25A85" w:rsidRPr="00796D32" w:rsidRDefault="00E25A85" w:rsidP="00E25A85">
            <w:pPr>
              <w:tabs>
                <w:tab w:val="left" w:pos="-1440"/>
                <w:tab w:val="left" w:pos="-720"/>
              </w:tabs>
              <w:rPr>
                <w:sz w:val="20"/>
                <w:szCs w:val="20"/>
                <w:lang w:val="en-US"/>
              </w:rPr>
            </w:pPr>
            <w:r w:rsidRPr="00796D32">
              <w:rPr>
                <w:sz w:val="20"/>
                <w:szCs w:val="20"/>
                <w:lang w:val="fr-CA"/>
              </w:rPr>
              <w:tab/>
            </w:r>
            <w:r w:rsidR="00796D32" w:rsidRPr="00796D32">
              <w:rPr>
                <w:sz w:val="20"/>
                <w:szCs w:val="20"/>
                <w:lang w:val="en-US"/>
              </w:rPr>
              <w:t>Brian N. Radnoff</w:t>
            </w:r>
          </w:p>
          <w:p w:rsidR="00E25A85" w:rsidRPr="00796D32" w:rsidRDefault="00E25A85" w:rsidP="00E25A85">
            <w:pPr>
              <w:tabs>
                <w:tab w:val="left" w:pos="-1440"/>
                <w:tab w:val="left" w:pos="-720"/>
              </w:tabs>
              <w:rPr>
                <w:sz w:val="20"/>
                <w:szCs w:val="20"/>
              </w:rPr>
            </w:pPr>
            <w:r w:rsidRPr="00796D32">
              <w:rPr>
                <w:sz w:val="20"/>
                <w:szCs w:val="20"/>
                <w:lang w:val="en-US"/>
              </w:rPr>
              <w:tab/>
            </w:r>
            <w:r w:rsidR="00796D32" w:rsidRPr="00796D32">
              <w:rPr>
                <w:sz w:val="20"/>
                <w:szCs w:val="20"/>
              </w:rPr>
              <w:t>Lerners LLP</w:t>
            </w:r>
          </w:p>
          <w:p w:rsidR="00E25A85" w:rsidRPr="00796D32" w:rsidRDefault="00E25A85" w:rsidP="00E25A85">
            <w:pPr>
              <w:tabs>
                <w:tab w:val="left" w:pos="-1440"/>
                <w:tab w:val="left" w:pos="-720"/>
              </w:tabs>
              <w:rPr>
                <w:sz w:val="20"/>
                <w:szCs w:val="20"/>
              </w:rPr>
            </w:pPr>
          </w:p>
          <w:p w:rsidR="00E25A85" w:rsidRPr="00796D32" w:rsidRDefault="00E25A85" w:rsidP="00E25A85">
            <w:pPr>
              <w:rPr>
                <w:sz w:val="20"/>
                <w:szCs w:val="20"/>
              </w:rPr>
            </w:pPr>
            <w:r w:rsidRPr="00796D32">
              <w:rPr>
                <w:sz w:val="20"/>
                <w:szCs w:val="20"/>
              </w:rPr>
              <w:t>FILING DATE: 2</w:t>
            </w:r>
            <w:r w:rsidR="00796D32" w:rsidRPr="00796D32">
              <w:rPr>
                <w:sz w:val="20"/>
                <w:szCs w:val="20"/>
              </w:rPr>
              <w:t>6</w:t>
            </w:r>
            <w:r w:rsidRPr="00796D32">
              <w:rPr>
                <w:sz w:val="20"/>
                <w:szCs w:val="20"/>
              </w:rPr>
              <w:t>.08.2015</w:t>
            </w:r>
          </w:p>
          <w:p w:rsidR="00E25A85" w:rsidRPr="00796D32" w:rsidRDefault="00EB0985" w:rsidP="00E25A85">
            <w:pPr>
              <w:rPr>
                <w:sz w:val="20"/>
                <w:szCs w:val="20"/>
              </w:rPr>
            </w:pPr>
            <w:r>
              <w:rPr>
                <w:sz w:val="20"/>
                <w:szCs w:val="20"/>
                <w:lang w:val="fr-CA"/>
              </w:rPr>
              <w:pict w14:anchorId="2DCAE554">
                <v:rect id="_x0000_i1037" style="width:108pt;height:1pt" o:hrpct="0" o:hralign="center" o:hrstd="t" o:hrnoshade="t" o:hr="t" fillcolor="black [3213]" stroked="f"/>
              </w:pict>
            </w:r>
          </w:p>
        </w:tc>
        <w:tc>
          <w:tcPr>
            <w:tcW w:w="1181" w:type="dxa"/>
            <w:shd w:val="clear" w:color="auto" w:fill="auto"/>
          </w:tcPr>
          <w:p w:rsidR="00E25A85" w:rsidRPr="00796D32" w:rsidRDefault="00E25A85" w:rsidP="00E25A85">
            <w:pPr>
              <w:jc w:val="center"/>
              <w:rPr>
                <w:sz w:val="20"/>
                <w:szCs w:val="20"/>
              </w:rPr>
            </w:pPr>
          </w:p>
          <w:p w:rsidR="00E25A85" w:rsidRPr="00796D32" w:rsidRDefault="00E25A85" w:rsidP="00E25A85">
            <w:pPr>
              <w:jc w:val="center"/>
              <w:rPr>
                <w:sz w:val="20"/>
                <w:szCs w:val="20"/>
              </w:rPr>
            </w:pPr>
          </w:p>
          <w:p w:rsidR="00E25A85" w:rsidRPr="00796D32" w:rsidRDefault="00E25A85" w:rsidP="00E25A85">
            <w:pPr>
              <w:jc w:val="center"/>
              <w:rPr>
                <w:sz w:val="20"/>
                <w:szCs w:val="20"/>
              </w:rPr>
            </w:pPr>
          </w:p>
          <w:p w:rsidR="00E25A85" w:rsidRPr="00796D32" w:rsidRDefault="00E25A85" w:rsidP="00E25A85">
            <w:pPr>
              <w:jc w:val="center"/>
              <w:rPr>
                <w:sz w:val="20"/>
                <w:szCs w:val="20"/>
              </w:rPr>
            </w:pPr>
          </w:p>
          <w:p w:rsidR="00E25A85" w:rsidRPr="00796D32" w:rsidRDefault="00E25A85" w:rsidP="00E25A85">
            <w:pPr>
              <w:jc w:val="center"/>
              <w:rPr>
                <w:sz w:val="20"/>
                <w:szCs w:val="20"/>
              </w:rPr>
            </w:pPr>
          </w:p>
          <w:p w:rsidR="00E25A85" w:rsidRPr="00796D32" w:rsidRDefault="00E25A85" w:rsidP="00E25A85">
            <w:pPr>
              <w:jc w:val="center"/>
              <w:rPr>
                <w:sz w:val="20"/>
                <w:szCs w:val="20"/>
              </w:rPr>
            </w:pPr>
          </w:p>
          <w:p w:rsidR="00E25A85" w:rsidRPr="00796D32" w:rsidRDefault="00E25A85" w:rsidP="00E25A85">
            <w:pPr>
              <w:jc w:val="center"/>
              <w:rPr>
                <w:sz w:val="20"/>
                <w:szCs w:val="20"/>
              </w:rPr>
            </w:pPr>
          </w:p>
          <w:p w:rsidR="00E25A85" w:rsidRPr="00796D32" w:rsidRDefault="00E25A85" w:rsidP="00E25A85">
            <w:pPr>
              <w:jc w:val="center"/>
              <w:rPr>
                <w:sz w:val="20"/>
                <w:szCs w:val="20"/>
              </w:rPr>
            </w:pPr>
          </w:p>
          <w:p w:rsidR="00E25A85" w:rsidRPr="00796D32" w:rsidRDefault="00E25A85" w:rsidP="00E25A85">
            <w:pPr>
              <w:jc w:val="center"/>
              <w:rPr>
                <w:sz w:val="20"/>
                <w:szCs w:val="20"/>
              </w:rPr>
            </w:pPr>
          </w:p>
          <w:p w:rsidR="00E25A85" w:rsidRPr="00796D32" w:rsidRDefault="00E25A85" w:rsidP="00E25A85">
            <w:pPr>
              <w:jc w:val="center"/>
              <w:rPr>
                <w:sz w:val="20"/>
                <w:szCs w:val="20"/>
              </w:rPr>
            </w:pPr>
          </w:p>
          <w:p w:rsidR="00E25A85" w:rsidRPr="00796D32" w:rsidRDefault="00E25A85" w:rsidP="00E25A85">
            <w:pPr>
              <w:jc w:val="center"/>
              <w:rPr>
                <w:sz w:val="20"/>
                <w:szCs w:val="20"/>
              </w:rPr>
            </w:pPr>
          </w:p>
          <w:p w:rsidR="00E25A85" w:rsidRPr="00796D32" w:rsidRDefault="00E25A85" w:rsidP="00E25A85">
            <w:pPr>
              <w:jc w:val="center"/>
              <w:rPr>
                <w:sz w:val="20"/>
                <w:szCs w:val="20"/>
              </w:rPr>
            </w:pPr>
          </w:p>
        </w:tc>
        <w:tc>
          <w:tcPr>
            <w:tcW w:w="4320" w:type="dxa"/>
            <w:shd w:val="clear" w:color="auto" w:fill="auto"/>
          </w:tcPr>
          <w:p w:rsidR="008A6415" w:rsidRPr="008A220B" w:rsidRDefault="008A6415" w:rsidP="008A6415">
            <w:pPr>
              <w:rPr>
                <w:b/>
                <w:sz w:val="20"/>
                <w:szCs w:val="20"/>
              </w:rPr>
            </w:pPr>
            <w:r w:rsidRPr="008A220B">
              <w:rPr>
                <w:b/>
                <w:sz w:val="20"/>
                <w:szCs w:val="20"/>
              </w:rPr>
              <w:t>Her Majesty the Queen</w:t>
            </w:r>
          </w:p>
          <w:p w:rsidR="008A6415" w:rsidRPr="008A220B" w:rsidRDefault="008A6415" w:rsidP="008A6415">
            <w:pPr>
              <w:tabs>
                <w:tab w:val="left" w:pos="-1440"/>
                <w:tab w:val="left" w:pos="-720"/>
              </w:tabs>
              <w:rPr>
                <w:sz w:val="20"/>
                <w:szCs w:val="20"/>
              </w:rPr>
            </w:pPr>
            <w:r w:rsidRPr="008A220B">
              <w:rPr>
                <w:sz w:val="20"/>
                <w:szCs w:val="20"/>
              </w:rPr>
              <w:tab/>
              <w:t>Rodney G. Garson</w:t>
            </w:r>
          </w:p>
          <w:p w:rsidR="008A6415" w:rsidRPr="008A220B" w:rsidRDefault="008A6415" w:rsidP="008A6415">
            <w:pPr>
              <w:tabs>
                <w:tab w:val="left" w:pos="-1440"/>
                <w:tab w:val="left" w:pos="-720"/>
              </w:tabs>
              <w:rPr>
                <w:sz w:val="20"/>
                <w:szCs w:val="20"/>
              </w:rPr>
            </w:pPr>
            <w:r w:rsidRPr="008A220B">
              <w:rPr>
                <w:sz w:val="20"/>
                <w:szCs w:val="20"/>
              </w:rPr>
              <w:tab/>
              <w:t>A.G. of British Columbia</w:t>
            </w:r>
          </w:p>
          <w:p w:rsidR="008A6415" w:rsidRPr="008A220B" w:rsidRDefault="008A6415" w:rsidP="008A6415">
            <w:pPr>
              <w:tabs>
                <w:tab w:val="left" w:pos="-1440"/>
                <w:tab w:val="left" w:pos="-720"/>
              </w:tabs>
              <w:rPr>
                <w:sz w:val="20"/>
                <w:szCs w:val="20"/>
              </w:rPr>
            </w:pPr>
          </w:p>
          <w:p w:rsidR="008A6415" w:rsidRPr="008A220B" w:rsidRDefault="008A6415" w:rsidP="008A6415">
            <w:pPr>
              <w:tabs>
                <w:tab w:val="left" w:pos="-1440"/>
                <w:tab w:val="left" w:pos="-720"/>
              </w:tabs>
              <w:rPr>
                <w:sz w:val="20"/>
                <w:szCs w:val="20"/>
              </w:rPr>
            </w:pPr>
            <w:r w:rsidRPr="008A220B">
              <w:rPr>
                <w:sz w:val="20"/>
                <w:szCs w:val="20"/>
              </w:rPr>
              <w:tab/>
              <w:t>v. (36582)</w:t>
            </w:r>
          </w:p>
          <w:p w:rsidR="008A6415" w:rsidRPr="008A220B" w:rsidRDefault="008A6415" w:rsidP="008A6415">
            <w:pPr>
              <w:tabs>
                <w:tab w:val="left" w:pos="-1440"/>
                <w:tab w:val="left" w:pos="-720"/>
              </w:tabs>
              <w:rPr>
                <w:sz w:val="20"/>
                <w:szCs w:val="20"/>
              </w:rPr>
            </w:pPr>
          </w:p>
          <w:p w:rsidR="008A6415" w:rsidRPr="008A220B" w:rsidRDefault="008A6415" w:rsidP="008A6415">
            <w:pPr>
              <w:tabs>
                <w:tab w:val="left" w:pos="-1440"/>
                <w:tab w:val="left" w:pos="-720"/>
              </w:tabs>
              <w:rPr>
                <w:b/>
                <w:sz w:val="20"/>
                <w:szCs w:val="20"/>
              </w:rPr>
            </w:pPr>
            <w:r w:rsidRPr="008A220B">
              <w:rPr>
                <w:b/>
                <w:sz w:val="20"/>
                <w:szCs w:val="20"/>
              </w:rPr>
              <w:t>Donald Boutilier</w:t>
            </w:r>
            <w:r w:rsidR="00E512ED">
              <w:rPr>
                <w:b/>
                <w:sz w:val="20"/>
                <w:szCs w:val="20"/>
              </w:rPr>
              <w:t xml:space="preserve"> </w:t>
            </w:r>
            <w:r w:rsidRPr="008A220B">
              <w:rPr>
                <w:b/>
                <w:sz w:val="20"/>
                <w:szCs w:val="20"/>
              </w:rPr>
              <w:t>(B.C.)</w:t>
            </w:r>
          </w:p>
          <w:p w:rsidR="008A6415" w:rsidRPr="008A220B" w:rsidRDefault="008A6415" w:rsidP="008A6415">
            <w:pPr>
              <w:tabs>
                <w:tab w:val="left" w:pos="-1440"/>
                <w:tab w:val="left" w:pos="-720"/>
              </w:tabs>
              <w:rPr>
                <w:sz w:val="20"/>
                <w:szCs w:val="20"/>
              </w:rPr>
            </w:pPr>
            <w:r w:rsidRPr="008A220B">
              <w:rPr>
                <w:sz w:val="20"/>
                <w:szCs w:val="20"/>
              </w:rPr>
              <w:tab/>
              <w:t>Eric Purtzki</w:t>
            </w:r>
          </w:p>
          <w:p w:rsidR="008A6415" w:rsidRPr="008A220B" w:rsidRDefault="008A6415" w:rsidP="008A6415">
            <w:pPr>
              <w:tabs>
                <w:tab w:val="left" w:pos="-1440"/>
                <w:tab w:val="left" w:pos="-720"/>
              </w:tabs>
              <w:rPr>
                <w:sz w:val="20"/>
                <w:szCs w:val="20"/>
              </w:rPr>
            </w:pPr>
          </w:p>
          <w:p w:rsidR="008A6415" w:rsidRPr="008A220B" w:rsidRDefault="008A6415" w:rsidP="008A6415">
            <w:pPr>
              <w:rPr>
                <w:sz w:val="20"/>
                <w:szCs w:val="20"/>
              </w:rPr>
            </w:pPr>
            <w:r w:rsidRPr="008A220B">
              <w:rPr>
                <w:sz w:val="20"/>
                <w:szCs w:val="20"/>
              </w:rPr>
              <w:t>FILING DATE: 28.08.2015</w:t>
            </w:r>
          </w:p>
          <w:p w:rsidR="00E25A85" w:rsidRPr="00796D32" w:rsidRDefault="00EB0985" w:rsidP="00E25A85">
            <w:pPr>
              <w:rPr>
                <w:sz w:val="20"/>
                <w:szCs w:val="20"/>
              </w:rPr>
            </w:pPr>
            <w:r>
              <w:rPr>
                <w:sz w:val="20"/>
                <w:szCs w:val="20"/>
                <w:lang w:val="fr-CA"/>
              </w:rPr>
              <w:pict w14:anchorId="5BCCA5C6">
                <v:rect id="_x0000_i1038" style="width:108pt;height:1pt" o:hrpct="0" o:hralign="center" o:hrstd="t" o:hrnoshade="t" o:hr="t" fillcolor="black [3213]" stroked="f"/>
              </w:pict>
            </w:r>
          </w:p>
        </w:tc>
      </w:tr>
      <w:tr w:rsidR="00E25A85" w:rsidRPr="00A935AA" w:rsidTr="003B3977">
        <w:trPr>
          <w:cantSplit/>
        </w:trPr>
        <w:tc>
          <w:tcPr>
            <w:tcW w:w="4320" w:type="dxa"/>
            <w:shd w:val="clear" w:color="auto" w:fill="auto"/>
          </w:tcPr>
          <w:p w:rsidR="008A6415" w:rsidRPr="008A220B" w:rsidRDefault="008A6415" w:rsidP="008A6415">
            <w:pPr>
              <w:rPr>
                <w:b/>
                <w:sz w:val="20"/>
                <w:szCs w:val="20"/>
              </w:rPr>
            </w:pPr>
            <w:r w:rsidRPr="008A220B">
              <w:rPr>
                <w:b/>
                <w:sz w:val="20"/>
                <w:szCs w:val="20"/>
              </w:rPr>
              <w:t>Deepan Budlakoti</w:t>
            </w:r>
          </w:p>
          <w:p w:rsidR="008A6415" w:rsidRPr="008A220B" w:rsidRDefault="008A6415" w:rsidP="008A6415">
            <w:pPr>
              <w:tabs>
                <w:tab w:val="left" w:pos="-1440"/>
                <w:tab w:val="left" w:pos="-720"/>
              </w:tabs>
              <w:rPr>
                <w:sz w:val="20"/>
                <w:szCs w:val="20"/>
              </w:rPr>
            </w:pPr>
            <w:r w:rsidRPr="008A220B">
              <w:rPr>
                <w:sz w:val="20"/>
                <w:szCs w:val="20"/>
              </w:rPr>
              <w:tab/>
              <w:t>Yavar Hameed</w:t>
            </w:r>
          </w:p>
          <w:p w:rsidR="008A6415" w:rsidRPr="008A220B" w:rsidRDefault="008A6415" w:rsidP="008A6415">
            <w:pPr>
              <w:tabs>
                <w:tab w:val="left" w:pos="-1440"/>
                <w:tab w:val="left" w:pos="-720"/>
              </w:tabs>
              <w:rPr>
                <w:sz w:val="20"/>
                <w:szCs w:val="20"/>
              </w:rPr>
            </w:pPr>
            <w:r w:rsidRPr="008A220B">
              <w:rPr>
                <w:sz w:val="20"/>
                <w:szCs w:val="20"/>
              </w:rPr>
              <w:tab/>
              <w:t>Hameed &amp; Farrokhzad</w:t>
            </w:r>
          </w:p>
          <w:p w:rsidR="008A6415" w:rsidRPr="008A220B" w:rsidRDefault="008A6415" w:rsidP="008A6415">
            <w:pPr>
              <w:tabs>
                <w:tab w:val="left" w:pos="-1440"/>
                <w:tab w:val="left" w:pos="-720"/>
              </w:tabs>
              <w:rPr>
                <w:sz w:val="20"/>
                <w:szCs w:val="20"/>
              </w:rPr>
            </w:pPr>
          </w:p>
          <w:p w:rsidR="008A6415" w:rsidRPr="008A220B" w:rsidRDefault="008A6415" w:rsidP="008A6415">
            <w:pPr>
              <w:tabs>
                <w:tab w:val="left" w:pos="-1440"/>
                <w:tab w:val="left" w:pos="-720"/>
              </w:tabs>
              <w:rPr>
                <w:sz w:val="20"/>
                <w:szCs w:val="20"/>
              </w:rPr>
            </w:pPr>
            <w:r w:rsidRPr="008A220B">
              <w:rPr>
                <w:sz w:val="20"/>
                <w:szCs w:val="20"/>
              </w:rPr>
              <w:tab/>
              <w:t>v. (36591)</w:t>
            </w:r>
          </w:p>
          <w:p w:rsidR="008A6415" w:rsidRPr="008A220B" w:rsidRDefault="008A6415" w:rsidP="008A6415">
            <w:pPr>
              <w:tabs>
                <w:tab w:val="left" w:pos="-1440"/>
                <w:tab w:val="left" w:pos="-720"/>
              </w:tabs>
              <w:rPr>
                <w:sz w:val="20"/>
                <w:szCs w:val="20"/>
              </w:rPr>
            </w:pPr>
          </w:p>
          <w:p w:rsidR="008A6415" w:rsidRPr="008A220B" w:rsidRDefault="008A6415" w:rsidP="008A6415">
            <w:pPr>
              <w:tabs>
                <w:tab w:val="left" w:pos="-1440"/>
                <w:tab w:val="left" w:pos="-720"/>
              </w:tabs>
              <w:rPr>
                <w:b/>
                <w:sz w:val="20"/>
                <w:szCs w:val="20"/>
              </w:rPr>
            </w:pPr>
            <w:r w:rsidRPr="008A220B">
              <w:rPr>
                <w:b/>
                <w:sz w:val="20"/>
                <w:szCs w:val="20"/>
              </w:rPr>
              <w:t>Minister of Citizenship and Immigration (F.C.)</w:t>
            </w:r>
          </w:p>
          <w:p w:rsidR="008A6415" w:rsidRPr="008A220B" w:rsidRDefault="008A6415" w:rsidP="008A6415">
            <w:pPr>
              <w:tabs>
                <w:tab w:val="left" w:pos="-1440"/>
                <w:tab w:val="left" w:pos="-720"/>
              </w:tabs>
              <w:rPr>
                <w:sz w:val="20"/>
                <w:szCs w:val="20"/>
              </w:rPr>
            </w:pPr>
            <w:r w:rsidRPr="008A220B">
              <w:rPr>
                <w:sz w:val="20"/>
                <w:szCs w:val="20"/>
              </w:rPr>
              <w:tab/>
              <w:t>Elizabeth D. Richards</w:t>
            </w:r>
          </w:p>
          <w:p w:rsidR="008A6415" w:rsidRPr="008A220B" w:rsidRDefault="008A6415" w:rsidP="008A6415">
            <w:pPr>
              <w:tabs>
                <w:tab w:val="left" w:pos="-1440"/>
                <w:tab w:val="left" w:pos="-720"/>
              </w:tabs>
              <w:rPr>
                <w:sz w:val="20"/>
                <w:szCs w:val="20"/>
              </w:rPr>
            </w:pPr>
            <w:r w:rsidRPr="008A220B">
              <w:rPr>
                <w:sz w:val="20"/>
                <w:szCs w:val="20"/>
              </w:rPr>
              <w:tab/>
              <w:t>A.G. of Canada</w:t>
            </w:r>
          </w:p>
          <w:p w:rsidR="008A6415" w:rsidRPr="008A220B" w:rsidRDefault="008A6415" w:rsidP="008A6415">
            <w:pPr>
              <w:tabs>
                <w:tab w:val="left" w:pos="-1440"/>
                <w:tab w:val="left" w:pos="-720"/>
              </w:tabs>
              <w:rPr>
                <w:sz w:val="20"/>
                <w:szCs w:val="20"/>
              </w:rPr>
            </w:pPr>
          </w:p>
          <w:p w:rsidR="008A6415" w:rsidRPr="008A220B" w:rsidRDefault="008A6415" w:rsidP="008A6415">
            <w:pPr>
              <w:rPr>
                <w:sz w:val="20"/>
                <w:szCs w:val="20"/>
              </w:rPr>
            </w:pPr>
            <w:r w:rsidRPr="008A220B">
              <w:rPr>
                <w:sz w:val="20"/>
                <w:szCs w:val="20"/>
              </w:rPr>
              <w:t>FILING DATE: 03.09.2015</w:t>
            </w:r>
          </w:p>
          <w:p w:rsidR="00E25A85" w:rsidRPr="008A220B" w:rsidRDefault="00EB0985" w:rsidP="00E25A85">
            <w:pPr>
              <w:rPr>
                <w:sz w:val="20"/>
                <w:szCs w:val="20"/>
              </w:rPr>
            </w:pPr>
            <w:r>
              <w:rPr>
                <w:sz w:val="20"/>
                <w:szCs w:val="20"/>
                <w:lang w:val="fr-CA"/>
              </w:rPr>
              <w:pict w14:anchorId="04E13F6C">
                <v:rect id="_x0000_i1039" style="width:108pt;height:1pt" o:hrpct="0" o:hralign="center" o:hrstd="t" o:hrnoshade="t" o:hr="t" fillcolor="black [3213]" stroked="f"/>
              </w:pict>
            </w:r>
          </w:p>
        </w:tc>
        <w:tc>
          <w:tcPr>
            <w:tcW w:w="1181" w:type="dxa"/>
            <w:shd w:val="clear" w:color="auto" w:fill="auto"/>
          </w:tcPr>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tc>
        <w:tc>
          <w:tcPr>
            <w:tcW w:w="4320" w:type="dxa"/>
            <w:shd w:val="clear" w:color="auto" w:fill="auto"/>
          </w:tcPr>
          <w:p w:rsidR="00E25A85" w:rsidRPr="008A220B" w:rsidRDefault="008A220B" w:rsidP="00E25A85">
            <w:pPr>
              <w:rPr>
                <w:b/>
                <w:sz w:val="20"/>
                <w:szCs w:val="20"/>
              </w:rPr>
            </w:pPr>
            <w:r w:rsidRPr="008A220B">
              <w:rPr>
                <w:b/>
                <w:sz w:val="20"/>
                <w:szCs w:val="20"/>
              </w:rPr>
              <w:t>Sidney Green</w:t>
            </w:r>
          </w:p>
          <w:p w:rsidR="00E25A85" w:rsidRPr="008A220B" w:rsidRDefault="00E25A85" w:rsidP="00E25A85">
            <w:pPr>
              <w:tabs>
                <w:tab w:val="left" w:pos="-1440"/>
                <w:tab w:val="left" w:pos="-720"/>
              </w:tabs>
              <w:rPr>
                <w:sz w:val="20"/>
                <w:szCs w:val="20"/>
              </w:rPr>
            </w:pPr>
            <w:r w:rsidRPr="008A220B">
              <w:rPr>
                <w:sz w:val="20"/>
                <w:szCs w:val="20"/>
              </w:rPr>
              <w:tab/>
            </w:r>
            <w:r w:rsidR="008A220B" w:rsidRPr="008A220B">
              <w:rPr>
                <w:sz w:val="20"/>
                <w:szCs w:val="20"/>
              </w:rPr>
              <w:t>Charles R. Huband</w:t>
            </w:r>
          </w:p>
          <w:p w:rsidR="00E25A85" w:rsidRPr="008A220B" w:rsidRDefault="00E25A85" w:rsidP="00E25A85">
            <w:pPr>
              <w:tabs>
                <w:tab w:val="left" w:pos="-1440"/>
                <w:tab w:val="left" w:pos="-720"/>
              </w:tabs>
              <w:rPr>
                <w:sz w:val="20"/>
                <w:szCs w:val="20"/>
              </w:rPr>
            </w:pPr>
            <w:r w:rsidRPr="008A220B">
              <w:rPr>
                <w:sz w:val="20"/>
                <w:szCs w:val="20"/>
              </w:rPr>
              <w:tab/>
            </w:r>
            <w:r w:rsidR="008A220B" w:rsidRPr="008A220B">
              <w:rPr>
                <w:sz w:val="20"/>
                <w:szCs w:val="20"/>
              </w:rPr>
              <w:t>Taylor McCaffrey LLP</w:t>
            </w:r>
          </w:p>
          <w:p w:rsidR="00E25A85" w:rsidRPr="008A220B" w:rsidRDefault="00E25A85" w:rsidP="00E25A85">
            <w:pPr>
              <w:tabs>
                <w:tab w:val="left" w:pos="-1440"/>
                <w:tab w:val="left" w:pos="-720"/>
              </w:tabs>
              <w:rPr>
                <w:sz w:val="20"/>
                <w:szCs w:val="20"/>
              </w:rPr>
            </w:pPr>
          </w:p>
          <w:p w:rsidR="00E25A85" w:rsidRPr="008A220B" w:rsidRDefault="00E25A85" w:rsidP="00E25A85">
            <w:pPr>
              <w:tabs>
                <w:tab w:val="left" w:pos="-1440"/>
                <w:tab w:val="left" w:pos="-720"/>
              </w:tabs>
              <w:rPr>
                <w:sz w:val="20"/>
                <w:szCs w:val="20"/>
              </w:rPr>
            </w:pPr>
            <w:r w:rsidRPr="008A220B">
              <w:rPr>
                <w:sz w:val="20"/>
                <w:szCs w:val="20"/>
              </w:rPr>
              <w:tab/>
              <w:t>v. (3</w:t>
            </w:r>
            <w:r w:rsidR="008A220B" w:rsidRPr="008A220B">
              <w:rPr>
                <w:sz w:val="20"/>
                <w:szCs w:val="20"/>
              </w:rPr>
              <w:t>6583)</w:t>
            </w:r>
          </w:p>
          <w:p w:rsidR="00E25A85" w:rsidRPr="008A220B" w:rsidRDefault="00E25A85" w:rsidP="00E25A85">
            <w:pPr>
              <w:tabs>
                <w:tab w:val="left" w:pos="-1440"/>
                <w:tab w:val="left" w:pos="-720"/>
              </w:tabs>
              <w:rPr>
                <w:sz w:val="20"/>
                <w:szCs w:val="20"/>
              </w:rPr>
            </w:pPr>
          </w:p>
          <w:p w:rsidR="00E25A85" w:rsidRPr="008A220B" w:rsidRDefault="008A220B" w:rsidP="00E25A85">
            <w:pPr>
              <w:tabs>
                <w:tab w:val="left" w:pos="-1440"/>
                <w:tab w:val="left" w:pos="-720"/>
              </w:tabs>
              <w:rPr>
                <w:b/>
                <w:sz w:val="20"/>
                <w:szCs w:val="20"/>
              </w:rPr>
            </w:pPr>
            <w:r w:rsidRPr="008A220B">
              <w:rPr>
                <w:b/>
                <w:sz w:val="20"/>
                <w:szCs w:val="20"/>
              </w:rPr>
              <w:t xml:space="preserve">Law Society of Manitoba </w:t>
            </w:r>
            <w:r w:rsidR="00E25A85" w:rsidRPr="008A220B">
              <w:rPr>
                <w:b/>
                <w:sz w:val="20"/>
                <w:szCs w:val="20"/>
              </w:rPr>
              <w:t>(</w:t>
            </w:r>
            <w:r w:rsidRPr="008A220B">
              <w:rPr>
                <w:b/>
                <w:sz w:val="20"/>
                <w:szCs w:val="20"/>
              </w:rPr>
              <w:t>Man</w:t>
            </w:r>
            <w:r w:rsidR="00E25A85" w:rsidRPr="008A220B">
              <w:rPr>
                <w:b/>
                <w:sz w:val="20"/>
                <w:szCs w:val="20"/>
              </w:rPr>
              <w:t>.)</w:t>
            </w:r>
          </w:p>
          <w:p w:rsidR="00E25A85" w:rsidRPr="008A220B" w:rsidRDefault="00E25A85" w:rsidP="00E25A85">
            <w:pPr>
              <w:tabs>
                <w:tab w:val="left" w:pos="-1440"/>
                <w:tab w:val="left" w:pos="-720"/>
              </w:tabs>
              <w:rPr>
                <w:sz w:val="20"/>
                <w:szCs w:val="20"/>
              </w:rPr>
            </w:pPr>
            <w:r w:rsidRPr="008A220B">
              <w:rPr>
                <w:sz w:val="20"/>
                <w:szCs w:val="20"/>
              </w:rPr>
              <w:tab/>
            </w:r>
            <w:r w:rsidR="008A220B" w:rsidRPr="008A220B">
              <w:rPr>
                <w:sz w:val="20"/>
                <w:szCs w:val="20"/>
              </w:rPr>
              <w:t>Rocky Kravetsky</w:t>
            </w:r>
          </w:p>
          <w:p w:rsidR="00E25A85" w:rsidRPr="008A220B" w:rsidRDefault="00E25A85" w:rsidP="00E25A85">
            <w:pPr>
              <w:tabs>
                <w:tab w:val="left" w:pos="-1440"/>
                <w:tab w:val="left" w:pos="-720"/>
              </w:tabs>
              <w:rPr>
                <w:sz w:val="20"/>
                <w:szCs w:val="20"/>
              </w:rPr>
            </w:pPr>
            <w:r w:rsidRPr="008A220B">
              <w:rPr>
                <w:sz w:val="20"/>
                <w:szCs w:val="20"/>
              </w:rPr>
              <w:tab/>
            </w:r>
            <w:r w:rsidR="008A220B" w:rsidRPr="008A220B">
              <w:rPr>
                <w:sz w:val="20"/>
                <w:szCs w:val="20"/>
              </w:rPr>
              <w:t>Law Society of Manitoba</w:t>
            </w:r>
          </w:p>
          <w:p w:rsidR="00E25A85" w:rsidRPr="008A220B" w:rsidRDefault="00E25A85" w:rsidP="00E25A85">
            <w:pPr>
              <w:tabs>
                <w:tab w:val="left" w:pos="-1440"/>
                <w:tab w:val="left" w:pos="-720"/>
              </w:tabs>
              <w:rPr>
                <w:sz w:val="20"/>
                <w:szCs w:val="20"/>
              </w:rPr>
            </w:pPr>
          </w:p>
          <w:p w:rsidR="00E25A85" w:rsidRPr="008A220B" w:rsidRDefault="00E25A85" w:rsidP="00E25A85">
            <w:pPr>
              <w:rPr>
                <w:sz w:val="20"/>
                <w:szCs w:val="20"/>
              </w:rPr>
            </w:pPr>
            <w:r w:rsidRPr="008A220B">
              <w:rPr>
                <w:sz w:val="20"/>
                <w:szCs w:val="20"/>
              </w:rPr>
              <w:t xml:space="preserve">FILING DATE: </w:t>
            </w:r>
            <w:r w:rsidR="008A220B" w:rsidRPr="008A220B">
              <w:rPr>
                <w:sz w:val="20"/>
                <w:szCs w:val="20"/>
              </w:rPr>
              <w:t>31</w:t>
            </w:r>
            <w:r w:rsidRPr="008A220B">
              <w:rPr>
                <w:sz w:val="20"/>
                <w:szCs w:val="20"/>
              </w:rPr>
              <w:t>.08.2015</w:t>
            </w:r>
          </w:p>
          <w:p w:rsidR="00E25A85" w:rsidRPr="008A220B" w:rsidRDefault="00EB0985" w:rsidP="00E25A85">
            <w:pPr>
              <w:rPr>
                <w:sz w:val="20"/>
                <w:szCs w:val="20"/>
              </w:rPr>
            </w:pPr>
            <w:r>
              <w:rPr>
                <w:sz w:val="20"/>
                <w:szCs w:val="20"/>
                <w:lang w:val="fr-CA"/>
              </w:rPr>
              <w:pict w14:anchorId="504ABD05">
                <v:rect id="_x0000_i1040" style="width:108pt;height:1pt" o:hrpct="0" o:hralign="center" o:hrstd="t" o:hrnoshade="t" o:hr="t" fillcolor="black [3213]" stroked="f"/>
              </w:pict>
            </w:r>
          </w:p>
        </w:tc>
      </w:tr>
      <w:tr w:rsidR="00E25A85" w:rsidRPr="00A935AA" w:rsidTr="003B3977">
        <w:trPr>
          <w:cantSplit/>
        </w:trPr>
        <w:tc>
          <w:tcPr>
            <w:tcW w:w="4320" w:type="dxa"/>
            <w:shd w:val="clear" w:color="auto" w:fill="auto"/>
          </w:tcPr>
          <w:p w:rsidR="008A6415" w:rsidRPr="00466997" w:rsidRDefault="008A6415" w:rsidP="008A6415">
            <w:pPr>
              <w:rPr>
                <w:b/>
                <w:sz w:val="20"/>
                <w:szCs w:val="20"/>
                <w:lang w:val="fr-CA"/>
              </w:rPr>
            </w:pPr>
            <w:r w:rsidRPr="00466997">
              <w:rPr>
                <w:b/>
                <w:sz w:val="20"/>
                <w:szCs w:val="20"/>
                <w:lang w:val="fr-CA"/>
              </w:rPr>
              <w:lastRenderedPageBreak/>
              <w:t>Site Touristique Chute à L'ours de Normandin Inc.</w:t>
            </w:r>
          </w:p>
          <w:p w:rsidR="008A6415" w:rsidRPr="00466997" w:rsidRDefault="008A6415" w:rsidP="008A6415">
            <w:pPr>
              <w:tabs>
                <w:tab w:val="left" w:pos="-1440"/>
                <w:tab w:val="left" w:pos="-720"/>
              </w:tabs>
              <w:rPr>
                <w:sz w:val="20"/>
                <w:szCs w:val="20"/>
                <w:lang w:val="en-US"/>
              </w:rPr>
            </w:pPr>
            <w:r w:rsidRPr="00466997">
              <w:rPr>
                <w:sz w:val="20"/>
                <w:szCs w:val="20"/>
                <w:lang w:val="fr-CA"/>
              </w:rPr>
              <w:tab/>
            </w:r>
            <w:r w:rsidRPr="00466997">
              <w:rPr>
                <w:sz w:val="20"/>
                <w:szCs w:val="20"/>
                <w:lang w:val="en-US"/>
              </w:rPr>
              <w:t>André Legrand</w:t>
            </w:r>
          </w:p>
          <w:p w:rsidR="008A6415" w:rsidRPr="00466997" w:rsidRDefault="008A6415" w:rsidP="008A6415">
            <w:pPr>
              <w:tabs>
                <w:tab w:val="left" w:pos="-1440"/>
                <w:tab w:val="left" w:pos="-720"/>
              </w:tabs>
              <w:rPr>
                <w:sz w:val="20"/>
                <w:szCs w:val="20"/>
                <w:lang w:val="en-US"/>
              </w:rPr>
            </w:pPr>
            <w:r w:rsidRPr="00466997">
              <w:rPr>
                <w:sz w:val="20"/>
                <w:szCs w:val="20"/>
                <w:lang w:val="en-US"/>
              </w:rPr>
              <w:tab/>
              <w:t>Norton Rose Fulbright Canada LLP</w:t>
            </w:r>
          </w:p>
          <w:p w:rsidR="008A6415" w:rsidRPr="00466997" w:rsidRDefault="008A6415" w:rsidP="008A6415">
            <w:pPr>
              <w:tabs>
                <w:tab w:val="left" w:pos="-1440"/>
                <w:tab w:val="left" w:pos="-720"/>
              </w:tabs>
              <w:rPr>
                <w:sz w:val="20"/>
                <w:szCs w:val="20"/>
                <w:lang w:val="en-US"/>
              </w:rPr>
            </w:pPr>
          </w:p>
          <w:p w:rsidR="008A6415" w:rsidRPr="00466997" w:rsidRDefault="008A6415" w:rsidP="008A6415">
            <w:pPr>
              <w:tabs>
                <w:tab w:val="left" w:pos="-1440"/>
                <w:tab w:val="left" w:pos="-720"/>
              </w:tabs>
              <w:rPr>
                <w:sz w:val="20"/>
                <w:szCs w:val="20"/>
                <w:lang w:val="fr-CA"/>
              </w:rPr>
            </w:pPr>
            <w:r w:rsidRPr="00466997">
              <w:rPr>
                <w:sz w:val="20"/>
                <w:szCs w:val="20"/>
                <w:lang w:val="en-US"/>
              </w:rPr>
              <w:tab/>
            </w:r>
            <w:r w:rsidRPr="00466997">
              <w:rPr>
                <w:sz w:val="20"/>
                <w:szCs w:val="20"/>
                <w:lang w:val="fr-CA"/>
              </w:rPr>
              <w:t>c. (36566)</w:t>
            </w:r>
          </w:p>
          <w:p w:rsidR="008A6415" w:rsidRPr="00466997" w:rsidRDefault="008A6415" w:rsidP="008A6415">
            <w:pPr>
              <w:tabs>
                <w:tab w:val="left" w:pos="-1440"/>
                <w:tab w:val="left" w:pos="-720"/>
              </w:tabs>
              <w:rPr>
                <w:sz w:val="20"/>
                <w:szCs w:val="20"/>
                <w:lang w:val="fr-CA"/>
              </w:rPr>
            </w:pPr>
          </w:p>
          <w:p w:rsidR="008A6415" w:rsidRPr="00466997" w:rsidRDefault="008A6415" w:rsidP="008A6415">
            <w:pPr>
              <w:tabs>
                <w:tab w:val="left" w:pos="-1440"/>
                <w:tab w:val="left" w:pos="-720"/>
              </w:tabs>
              <w:rPr>
                <w:b/>
                <w:sz w:val="20"/>
                <w:szCs w:val="20"/>
                <w:lang w:val="fr-CA"/>
              </w:rPr>
            </w:pPr>
            <w:r w:rsidRPr="00466997">
              <w:rPr>
                <w:b/>
                <w:sz w:val="20"/>
                <w:szCs w:val="20"/>
                <w:lang w:val="fr-CA"/>
              </w:rPr>
              <w:t xml:space="preserve">La succession de Duc Duy Nguyen </w:t>
            </w:r>
            <w:r>
              <w:rPr>
                <w:b/>
                <w:sz w:val="20"/>
                <w:szCs w:val="20"/>
                <w:lang w:val="fr-CA"/>
              </w:rPr>
              <w:t xml:space="preserve">et autres </w:t>
            </w:r>
            <w:r w:rsidRPr="00466997">
              <w:rPr>
                <w:b/>
                <w:sz w:val="20"/>
                <w:szCs w:val="20"/>
                <w:lang w:val="fr-CA"/>
              </w:rPr>
              <w:t>(Qc)</w:t>
            </w:r>
          </w:p>
          <w:p w:rsidR="008A6415" w:rsidRPr="00466997" w:rsidRDefault="008A6415" w:rsidP="008A6415">
            <w:pPr>
              <w:tabs>
                <w:tab w:val="left" w:pos="-1440"/>
                <w:tab w:val="left" w:pos="-720"/>
              </w:tabs>
              <w:rPr>
                <w:sz w:val="20"/>
                <w:szCs w:val="20"/>
                <w:lang w:val="fr-CA"/>
              </w:rPr>
            </w:pPr>
            <w:r w:rsidRPr="00466997">
              <w:rPr>
                <w:sz w:val="20"/>
                <w:szCs w:val="20"/>
                <w:lang w:val="fr-CA"/>
              </w:rPr>
              <w:tab/>
            </w:r>
            <w:r>
              <w:rPr>
                <w:sz w:val="20"/>
                <w:szCs w:val="20"/>
                <w:lang w:val="fr-CA"/>
              </w:rPr>
              <w:t>Yan Romanowski</w:t>
            </w:r>
          </w:p>
          <w:p w:rsidR="008A6415" w:rsidRPr="00466997" w:rsidRDefault="008A6415" w:rsidP="008A6415">
            <w:pPr>
              <w:tabs>
                <w:tab w:val="left" w:pos="-1440"/>
                <w:tab w:val="left" w:pos="-720"/>
              </w:tabs>
              <w:rPr>
                <w:sz w:val="20"/>
                <w:szCs w:val="20"/>
                <w:lang w:val="fr-CA"/>
              </w:rPr>
            </w:pPr>
            <w:r w:rsidRPr="00466997">
              <w:rPr>
                <w:sz w:val="20"/>
                <w:szCs w:val="20"/>
                <w:lang w:val="fr-CA"/>
              </w:rPr>
              <w:tab/>
            </w:r>
            <w:r>
              <w:rPr>
                <w:sz w:val="20"/>
                <w:szCs w:val="20"/>
                <w:lang w:val="fr-CA"/>
              </w:rPr>
              <w:t>Romanowski &amp; Associés</w:t>
            </w:r>
          </w:p>
          <w:p w:rsidR="008A6415" w:rsidRPr="00466997" w:rsidRDefault="008A6415" w:rsidP="008A6415">
            <w:pPr>
              <w:tabs>
                <w:tab w:val="left" w:pos="-1440"/>
                <w:tab w:val="left" w:pos="-720"/>
              </w:tabs>
              <w:rPr>
                <w:sz w:val="20"/>
                <w:szCs w:val="20"/>
                <w:lang w:val="fr-CA"/>
              </w:rPr>
            </w:pPr>
          </w:p>
          <w:p w:rsidR="008A6415" w:rsidRPr="00466997" w:rsidRDefault="008A6415" w:rsidP="008A6415">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20</w:t>
            </w:r>
            <w:r w:rsidRPr="00466997">
              <w:rPr>
                <w:sz w:val="20"/>
                <w:szCs w:val="20"/>
                <w:lang w:val="fr-CA"/>
              </w:rPr>
              <w:t>.0</w:t>
            </w:r>
            <w:r>
              <w:rPr>
                <w:sz w:val="20"/>
                <w:szCs w:val="20"/>
                <w:lang w:val="fr-CA"/>
              </w:rPr>
              <w:t>8</w:t>
            </w:r>
            <w:r w:rsidRPr="00466997">
              <w:rPr>
                <w:sz w:val="20"/>
                <w:szCs w:val="20"/>
                <w:lang w:val="fr-CA"/>
              </w:rPr>
              <w:t>.201</w:t>
            </w:r>
            <w:r>
              <w:rPr>
                <w:sz w:val="20"/>
                <w:szCs w:val="20"/>
                <w:lang w:val="fr-CA"/>
              </w:rPr>
              <w:t>5</w:t>
            </w:r>
          </w:p>
          <w:p w:rsidR="00E25A85" w:rsidRPr="008A220B" w:rsidRDefault="00EB0985" w:rsidP="00E25A85">
            <w:pPr>
              <w:rPr>
                <w:sz w:val="20"/>
                <w:szCs w:val="20"/>
              </w:rPr>
            </w:pPr>
            <w:r>
              <w:rPr>
                <w:sz w:val="20"/>
                <w:szCs w:val="20"/>
                <w:lang w:val="fr-CA"/>
              </w:rPr>
              <w:pict w14:anchorId="2800D6BF">
                <v:rect id="_x0000_i1041" style="width:108pt;height:1pt" o:hrpct="0" o:hralign="center" o:hrstd="t" o:hrnoshade="t" o:hr="t" fillcolor="black [3213]" stroked="f"/>
              </w:pict>
            </w:r>
          </w:p>
        </w:tc>
        <w:tc>
          <w:tcPr>
            <w:tcW w:w="1181" w:type="dxa"/>
            <w:shd w:val="clear" w:color="auto" w:fill="auto"/>
          </w:tcPr>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p w:rsidR="00E25A85" w:rsidRPr="008A220B" w:rsidRDefault="00E25A85" w:rsidP="00E25A85">
            <w:pPr>
              <w:jc w:val="center"/>
              <w:rPr>
                <w:sz w:val="20"/>
                <w:szCs w:val="20"/>
              </w:rPr>
            </w:pPr>
          </w:p>
        </w:tc>
        <w:tc>
          <w:tcPr>
            <w:tcW w:w="4320" w:type="dxa"/>
            <w:shd w:val="clear" w:color="auto" w:fill="auto"/>
          </w:tcPr>
          <w:p w:rsidR="008A6415" w:rsidRPr="009C4E1B" w:rsidRDefault="008A6415" w:rsidP="008A6415">
            <w:pPr>
              <w:rPr>
                <w:b/>
                <w:sz w:val="20"/>
                <w:szCs w:val="20"/>
                <w:lang w:val="en-US"/>
              </w:rPr>
            </w:pPr>
            <w:r w:rsidRPr="009C4E1B">
              <w:rPr>
                <w:b/>
                <w:sz w:val="20"/>
                <w:szCs w:val="20"/>
                <w:lang w:val="en-US"/>
              </w:rPr>
              <w:t>Kwok Wah</w:t>
            </w:r>
            <w:r>
              <w:rPr>
                <w:b/>
                <w:sz w:val="20"/>
                <w:szCs w:val="20"/>
                <w:lang w:val="en-US"/>
              </w:rPr>
              <w:t xml:space="preserve"> Lee</w:t>
            </w:r>
          </w:p>
          <w:p w:rsidR="008A6415" w:rsidRPr="009C4E1B" w:rsidRDefault="008A6415" w:rsidP="008A6415">
            <w:pPr>
              <w:rPr>
                <w:sz w:val="20"/>
                <w:szCs w:val="20"/>
                <w:lang w:val="en-US"/>
              </w:rPr>
            </w:pPr>
            <w:r w:rsidRPr="009C4E1B">
              <w:rPr>
                <w:sz w:val="20"/>
                <w:szCs w:val="20"/>
                <w:lang w:val="en-US"/>
              </w:rPr>
              <w:tab/>
              <w:t>Kwok Wah Lee</w:t>
            </w:r>
          </w:p>
          <w:p w:rsidR="008A6415" w:rsidRPr="009C4E1B" w:rsidRDefault="008A6415" w:rsidP="008A6415">
            <w:pPr>
              <w:tabs>
                <w:tab w:val="left" w:pos="-1440"/>
                <w:tab w:val="left" w:pos="-720"/>
              </w:tabs>
              <w:rPr>
                <w:sz w:val="20"/>
                <w:szCs w:val="20"/>
                <w:lang w:val="en-US"/>
              </w:rPr>
            </w:pPr>
          </w:p>
          <w:p w:rsidR="008A6415" w:rsidRPr="00A935AA" w:rsidRDefault="008A6415" w:rsidP="008A6415">
            <w:pPr>
              <w:tabs>
                <w:tab w:val="left" w:pos="-1440"/>
                <w:tab w:val="left" w:pos="-720"/>
              </w:tabs>
              <w:rPr>
                <w:sz w:val="20"/>
                <w:szCs w:val="20"/>
              </w:rPr>
            </w:pPr>
            <w:r w:rsidRPr="009C4E1B">
              <w:rPr>
                <w:sz w:val="20"/>
                <w:szCs w:val="20"/>
                <w:lang w:val="en-US"/>
              </w:rPr>
              <w:tab/>
            </w:r>
            <w:r w:rsidRPr="00A935AA">
              <w:rPr>
                <w:sz w:val="20"/>
                <w:szCs w:val="20"/>
              </w:rPr>
              <w:t>v. (</w:t>
            </w:r>
            <w:r>
              <w:rPr>
                <w:sz w:val="20"/>
                <w:szCs w:val="20"/>
              </w:rPr>
              <w:t>36567</w:t>
            </w:r>
            <w:r w:rsidRPr="00A935AA">
              <w:rPr>
                <w:sz w:val="20"/>
                <w:szCs w:val="20"/>
              </w:rPr>
              <w:t>)</w:t>
            </w:r>
          </w:p>
          <w:p w:rsidR="008A6415" w:rsidRPr="00A935AA" w:rsidRDefault="008A6415" w:rsidP="008A6415">
            <w:pPr>
              <w:tabs>
                <w:tab w:val="left" w:pos="-1440"/>
                <w:tab w:val="left" w:pos="-720"/>
              </w:tabs>
              <w:rPr>
                <w:sz w:val="20"/>
                <w:szCs w:val="20"/>
              </w:rPr>
            </w:pPr>
          </w:p>
          <w:p w:rsidR="008A6415" w:rsidRPr="00A935AA" w:rsidRDefault="008A6415" w:rsidP="008A6415">
            <w:pPr>
              <w:tabs>
                <w:tab w:val="left" w:pos="-1440"/>
                <w:tab w:val="left" w:pos="-720"/>
              </w:tabs>
              <w:rPr>
                <w:b/>
                <w:sz w:val="20"/>
                <w:szCs w:val="20"/>
              </w:rPr>
            </w:pPr>
            <w:r w:rsidRPr="009C4E1B">
              <w:rPr>
                <w:b/>
                <w:sz w:val="20"/>
                <w:szCs w:val="20"/>
              </w:rPr>
              <w:t xml:space="preserve">Michael Kwok Wing </w:t>
            </w:r>
            <w:r>
              <w:rPr>
                <w:b/>
                <w:sz w:val="20"/>
                <w:szCs w:val="20"/>
              </w:rPr>
              <w:t xml:space="preserve">Lee </w:t>
            </w:r>
            <w:r w:rsidRPr="00A935AA">
              <w:rPr>
                <w:b/>
                <w:sz w:val="20"/>
                <w:szCs w:val="20"/>
              </w:rPr>
              <w:t>(</w:t>
            </w:r>
            <w:r>
              <w:rPr>
                <w:b/>
                <w:sz w:val="20"/>
                <w:szCs w:val="20"/>
              </w:rPr>
              <w:t>B.C.</w:t>
            </w:r>
            <w:r w:rsidRPr="00A935AA">
              <w:rPr>
                <w:b/>
                <w:sz w:val="20"/>
                <w:szCs w:val="20"/>
              </w:rPr>
              <w:t>)</w:t>
            </w:r>
          </w:p>
          <w:p w:rsidR="008A6415" w:rsidRPr="009C4E1B" w:rsidRDefault="008A6415" w:rsidP="008A6415">
            <w:pPr>
              <w:tabs>
                <w:tab w:val="left" w:pos="-1440"/>
                <w:tab w:val="left" w:pos="-720"/>
              </w:tabs>
              <w:rPr>
                <w:sz w:val="20"/>
                <w:szCs w:val="20"/>
              </w:rPr>
            </w:pPr>
            <w:r w:rsidRPr="00A935AA">
              <w:rPr>
                <w:sz w:val="20"/>
                <w:szCs w:val="20"/>
              </w:rPr>
              <w:tab/>
            </w:r>
            <w:r w:rsidRPr="009C4E1B">
              <w:rPr>
                <w:sz w:val="20"/>
                <w:szCs w:val="20"/>
              </w:rPr>
              <w:t>Michael Kwok Wing Lee</w:t>
            </w:r>
          </w:p>
          <w:p w:rsidR="008A6415" w:rsidRPr="00A935AA" w:rsidRDefault="008A6415" w:rsidP="008A6415">
            <w:pPr>
              <w:tabs>
                <w:tab w:val="left" w:pos="-1440"/>
                <w:tab w:val="left" w:pos="-720"/>
              </w:tabs>
              <w:rPr>
                <w:sz w:val="20"/>
                <w:szCs w:val="20"/>
              </w:rPr>
            </w:pPr>
          </w:p>
          <w:p w:rsidR="008A6415" w:rsidRDefault="008A6415" w:rsidP="008A6415">
            <w:pPr>
              <w:rPr>
                <w:sz w:val="20"/>
                <w:szCs w:val="20"/>
              </w:rPr>
            </w:pPr>
            <w:r w:rsidRPr="00A935AA">
              <w:rPr>
                <w:sz w:val="20"/>
                <w:szCs w:val="20"/>
              </w:rPr>
              <w:t xml:space="preserve">FILING DATE: </w:t>
            </w:r>
            <w:r>
              <w:rPr>
                <w:sz w:val="20"/>
                <w:szCs w:val="20"/>
              </w:rPr>
              <w:t>17</w:t>
            </w:r>
            <w:r w:rsidRPr="00A935AA">
              <w:rPr>
                <w:sz w:val="20"/>
                <w:szCs w:val="20"/>
              </w:rPr>
              <w:t>.0</w:t>
            </w:r>
            <w:r>
              <w:rPr>
                <w:sz w:val="20"/>
                <w:szCs w:val="20"/>
              </w:rPr>
              <w:t>8</w:t>
            </w:r>
            <w:r w:rsidRPr="00A935AA">
              <w:rPr>
                <w:sz w:val="20"/>
                <w:szCs w:val="20"/>
              </w:rPr>
              <w:t>.201</w:t>
            </w:r>
            <w:r>
              <w:rPr>
                <w:sz w:val="20"/>
                <w:szCs w:val="20"/>
              </w:rPr>
              <w:t>5</w:t>
            </w:r>
          </w:p>
          <w:p w:rsidR="00E25A85" w:rsidRPr="008A220B" w:rsidRDefault="00EB0985" w:rsidP="00E25A85">
            <w:pPr>
              <w:rPr>
                <w:sz w:val="20"/>
                <w:szCs w:val="20"/>
              </w:rPr>
            </w:pPr>
            <w:r>
              <w:rPr>
                <w:sz w:val="20"/>
                <w:szCs w:val="20"/>
                <w:lang w:val="fr-CA"/>
              </w:rPr>
              <w:pict w14:anchorId="433B28D7">
                <v:rect id="_x0000_i1042"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916C68">
          <w:headerReference w:type="default" r:id="rId16"/>
          <w:footerReference w:type="default" r:id="rId17"/>
          <w:headerReference w:type="first" r:id="rId18"/>
          <w:footerReference w:type="first" r:id="rId19"/>
          <w:pgSz w:w="12240" w:h="15840"/>
          <w:pgMar w:top="720" w:right="965" w:bottom="1080" w:left="1656" w:header="706" w:footer="706" w:gutter="0"/>
          <w:pgNumType w:start="131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B0985"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D60C39" w:rsidRDefault="002E2327" w:rsidP="002E2327">
            <w:pPr>
              <w:keepLines/>
              <w:widowControl w:val="0"/>
              <w:rPr>
                <w:szCs w:val="24"/>
                <w:lang w:val="fr-CA"/>
              </w:rPr>
            </w:pPr>
            <w:r w:rsidRPr="00D60C39">
              <w:rPr>
                <w:b/>
                <w:szCs w:val="24"/>
                <w:lang w:val="fr-CA"/>
              </w:rPr>
              <w:t>DEMANDES SOUMISES À LA COUR DEPUIS LA DERNIÈRE PARUTION</w:t>
            </w:r>
          </w:p>
          <w:p w:rsidR="002E2327" w:rsidRPr="00D60C39"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D60C39" w:rsidRDefault="002E2327" w:rsidP="002E2327">
      <w:pPr>
        <w:widowControl w:val="0"/>
        <w:rPr>
          <w:b/>
          <w:sz w:val="20"/>
          <w:szCs w:val="20"/>
          <w:lang w:val="fr-CA"/>
        </w:rPr>
      </w:pPr>
    </w:p>
    <w:p w:rsidR="00CB3520" w:rsidRPr="00C50A5C" w:rsidRDefault="002E2DF2" w:rsidP="00CB3520">
      <w:pPr>
        <w:widowControl w:val="0"/>
        <w:rPr>
          <w:b/>
          <w:sz w:val="20"/>
          <w:szCs w:val="20"/>
        </w:rPr>
      </w:pPr>
      <w:r>
        <w:rPr>
          <w:b/>
          <w:sz w:val="20"/>
          <w:szCs w:val="20"/>
        </w:rPr>
        <w:t>SEPTEMBER 14</w:t>
      </w:r>
      <w:r w:rsidR="00CB3520" w:rsidRPr="00C50A5C">
        <w:rPr>
          <w:b/>
          <w:sz w:val="20"/>
          <w:szCs w:val="20"/>
        </w:rPr>
        <w:t>, 201</w:t>
      </w:r>
      <w:r w:rsidR="00020DC3">
        <w:rPr>
          <w:b/>
          <w:sz w:val="20"/>
          <w:szCs w:val="20"/>
        </w:rPr>
        <w:t>5</w:t>
      </w:r>
      <w:r w:rsidR="00CB3520" w:rsidRPr="00C50A5C">
        <w:rPr>
          <w:b/>
          <w:sz w:val="20"/>
          <w:szCs w:val="20"/>
        </w:rPr>
        <w:t xml:space="preserve"> / LE </w:t>
      </w:r>
      <w:r>
        <w:rPr>
          <w:b/>
          <w:sz w:val="20"/>
          <w:szCs w:val="20"/>
        </w:rPr>
        <w:t>14 SEPTEMBRE</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2E2DF2">
        <w:rPr>
          <w:b/>
          <w:sz w:val="20"/>
          <w:szCs w:val="20"/>
        </w:rPr>
        <w:t>Moldaver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2E2DF2">
        <w:rPr>
          <w:b/>
          <w:sz w:val="20"/>
          <w:szCs w:val="20"/>
          <w:lang w:val="fr-CA"/>
        </w:rPr>
        <w:t>M</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2E2DF2" w:rsidP="002E2DF2">
      <w:pPr>
        <w:pStyle w:val="ListParagraph"/>
        <w:widowControl w:val="0"/>
        <w:numPr>
          <w:ilvl w:val="0"/>
          <w:numId w:val="1"/>
        </w:numPr>
        <w:jc w:val="both"/>
        <w:rPr>
          <w:sz w:val="20"/>
          <w:szCs w:val="20"/>
        </w:rPr>
      </w:pPr>
      <w:r w:rsidRPr="002E2DF2">
        <w:rPr>
          <w:i/>
          <w:sz w:val="20"/>
          <w:szCs w:val="20"/>
        </w:rPr>
        <w:t>Sean William Doak</w:t>
      </w:r>
      <w:r>
        <w:rPr>
          <w:i/>
          <w:sz w:val="20"/>
          <w:szCs w:val="20"/>
        </w:rPr>
        <w:t xml:space="preserve"> </w:t>
      </w:r>
      <w:r w:rsidR="00CB3520" w:rsidRPr="009C5D38">
        <w:rPr>
          <w:i/>
          <w:sz w:val="20"/>
          <w:szCs w:val="20"/>
        </w:rPr>
        <w:t xml:space="preserve">v. </w:t>
      </w:r>
      <w:r w:rsidRPr="002E2DF2">
        <w:rPr>
          <w:i/>
          <w:sz w:val="20"/>
          <w:szCs w:val="20"/>
        </w:rPr>
        <w:t xml:space="preserve">Attorney General of Canada on behalf of the United States of America </w:t>
      </w:r>
      <w:r w:rsidR="00CB3520" w:rsidRPr="009C5D38">
        <w:rPr>
          <w:sz w:val="20"/>
          <w:szCs w:val="20"/>
        </w:rPr>
        <w:t>(</w:t>
      </w:r>
      <w:r>
        <w:rPr>
          <w:sz w:val="20"/>
          <w:szCs w:val="20"/>
        </w:rPr>
        <w:t>B.C</w:t>
      </w:r>
      <w:r w:rsidR="00CB3520" w:rsidRPr="009C5D38">
        <w:rPr>
          <w:sz w:val="20"/>
          <w:szCs w:val="20"/>
        </w:rPr>
        <w:t>.) (Crim.) (By Leave)</w:t>
      </w:r>
      <w:r w:rsidR="00CB3520" w:rsidRPr="00C50A5C">
        <w:rPr>
          <w:sz w:val="20"/>
          <w:szCs w:val="20"/>
        </w:rPr>
        <w:t xml:space="preserve"> (</w:t>
      </w:r>
      <w:r>
        <w:rPr>
          <w:sz w:val="20"/>
          <w:szCs w:val="20"/>
        </w:rPr>
        <w:t>36469</w:t>
      </w:r>
      <w:r w:rsidR="00CB3520" w:rsidRPr="00C50A5C">
        <w:rPr>
          <w:sz w:val="20"/>
          <w:szCs w:val="20"/>
        </w:rPr>
        <w:t>)</w:t>
      </w:r>
    </w:p>
    <w:p w:rsidR="00CB3520" w:rsidRPr="00C50A5C" w:rsidRDefault="00CB3520" w:rsidP="00CB3520">
      <w:pPr>
        <w:widowControl w:val="0"/>
        <w:jc w:val="both"/>
        <w:rPr>
          <w:sz w:val="20"/>
          <w:szCs w:val="20"/>
        </w:rPr>
      </w:pPr>
    </w:p>
    <w:p w:rsidR="002E2DF2" w:rsidRPr="002E2DF2" w:rsidRDefault="002E2DF2" w:rsidP="002E2DF2">
      <w:pPr>
        <w:pStyle w:val="ListParagraph"/>
        <w:widowControl w:val="0"/>
        <w:numPr>
          <w:ilvl w:val="0"/>
          <w:numId w:val="1"/>
        </w:numPr>
        <w:jc w:val="both"/>
        <w:rPr>
          <w:sz w:val="20"/>
          <w:szCs w:val="20"/>
        </w:rPr>
      </w:pPr>
      <w:r w:rsidRPr="002E2DF2">
        <w:rPr>
          <w:i/>
          <w:sz w:val="20"/>
          <w:szCs w:val="20"/>
        </w:rPr>
        <w:t>Musqueam Indian Band</w:t>
      </w:r>
      <w:r w:rsidR="00CB3520" w:rsidRPr="002E2DF2">
        <w:rPr>
          <w:i/>
          <w:sz w:val="20"/>
          <w:szCs w:val="20"/>
        </w:rPr>
        <w:t xml:space="preserve"> v. </w:t>
      </w:r>
      <w:r w:rsidRPr="002E2DF2">
        <w:rPr>
          <w:i/>
          <w:sz w:val="20"/>
          <w:szCs w:val="20"/>
        </w:rPr>
        <w:t>Musqueam Indian Band Board of Review et al.</w:t>
      </w:r>
      <w:r>
        <w:rPr>
          <w:sz w:val="20"/>
          <w:szCs w:val="20"/>
        </w:rPr>
        <w:t xml:space="preserve"> </w:t>
      </w:r>
      <w:r w:rsidRPr="002E2DF2">
        <w:rPr>
          <w:sz w:val="20"/>
          <w:szCs w:val="20"/>
        </w:rPr>
        <w:t>(B.C.) (Civil) (By Leave)</w:t>
      </w:r>
      <w:r>
        <w:rPr>
          <w:sz w:val="20"/>
          <w:szCs w:val="20"/>
        </w:rPr>
        <w:t xml:space="preserve"> </w:t>
      </w:r>
      <w:r w:rsidR="00CB3520" w:rsidRPr="002E2DF2">
        <w:rPr>
          <w:sz w:val="20"/>
          <w:szCs w:val="20"/>
        </w:rPr>
        <w:t>(</w:t>
      </w:r>
      <w:r w:rsidRPr="002E2DF2">
        <w:rPr>
          <w:sz w:val="20"/>
          <w:szCs w:val="20"/>
        </w:rPr>
        <w:t>36478)</w:t>
      </w:r>
    </w:p>
    <w:p w:rsidR="00CB3520" w:rsidRPr="00C612D0" w:rsidRDefault="00CB3520" w:rsidP="00CB3520">
      <w:pPr>
        <w:widowControl w:val="0"/>
        <w:jc w:val="both"/>
        <w:rPr>
          <w:sz w:val="20"/>
          <w:szCs w:val="20"/>
        </w:rPr>
      </w:pPr>
    </w:p>
    <w:p w:rsidR="00CB3520" w:rsidRPr="00C50A5C" w:rsidRDefault="002E2DF2" w:rsidP="002E2DF2">
      <w:pPr>
        <w:pStyle w:val="ListParagraph"/>
        <w:widowControl w:val="0"/>
        <w:numPr>
          <w:ilvl w:val="0"/>
          <w:numId w:val="1"/>
        </w:numPr>
        <w:jc w:val="both"/>
        <w:rPr>
          <w:sz w:val="20"/>
          <w:szCs w:val="20"/>
        </w:rPr>
      </w:pPr>
      <w:r w:rsidRPr="002E2DF2">
        <w:rPr>
          <w:i/>
          <w:sz w:val="20"/>
          <w:szCs w:val="20"/>
        </w:rPr>
        <w:t>Former clients of James represented by Antonito Agozzino Professional Corporation (Alida Trevisan, Neda Moeini, Albert Tarzi, Marco Lorenti, Adessa International &amp; Others)</w:t>
      </w:r>
      <w:r>
        <w:rPr>
          <w:i/>
          <w:sz w:val="20"/>
          <w:szCs w:val="20"/>
        </w:rPr>
        <w:t xml:space="preserve"> </w:t>
      </w:r>
      <w:r w:rsidRPr="002E2DF2">
        <w:rPr>
          <w:i/>
          <w:sz w:val="20"/>
          <w:szCs w:val="20"/>
        </w:rPr>
        <w:t>(The "Agozzino" clients)</w:t>
      </w:r>
      <w:r>
        <w:rPr>
          <w:i/>
          <w:sz w:val="20"/>
          <w:szCs w:val="20"/>
        </w:rPr>
        <w:t xml:space="preserve"> </w:t>
      </w:r>
      <w:r w:rsidR="00CB3520" w:rsidRPr="009C5D38">
        <w:rPr>
          <w:i/>
          <w:sz w:val="20"/>
          <w:szCs w:val="20"/>
        </w:rPr>
        <w:t xml:space="preserve">v. </w:t>
      </w:r>
      <w:r w:rsidRPr="002E2DF2">
        <w:rPr>
          <w:i/>
          <w:sz w:val="20"/>
          <w:szCs w:val="20"/>
        </w:rPr>
        <w:t xml:space="preserve">Her Majesty the Queen et al. </w:t>
      </w:r>
      <w:r>
        <w:rPr>
          <w:sz w:val="20"/>
          <w:szCs w:val="20"/>
        </w:rPr>
        <w:t>(Ont</w:t>
      </w:r>
      <w:r w:rsidR="00CB3520" w:rsidRPr="009C5D38">
        <w:rPr>
          <w:sz w:val="20"/>
          <w:szCs w:val="20"/>
        </w:rPr>
        <w:t>.) (Civil) (By Leave)</w:t>
      </w:r>
      <w:r w:rsidR="00CB3520" w:rsidRPr="00940CAD">
        <w:rPr>
          <w:sz w:val="20"/>
          <w:szCs w:val="20"/>
        </w:rPr>
        <w:t xml:space="preserve"> (</w:t>
      </w:r>
      <w:r w:rsidRPr="002E2DF2">
        <w:rPr>
          <w:sz w:val="20"/>
          <w:szCs w:val="20"/>
        </w:rPr>
        <w:t>36458</w:t>
      </w:r>
      <w:r w:rsidR="00CB3520" w:rsidRPr="00940CAD">
        <w:rPr>
          <w:sz w:val="20"/>
          <w:szCs w:val="20"/>
        </w:rPr>
        <w:t>)</w:t>
      </w:r>
    </w:p>
    <w:p w:rsidR="00CB3520" w:rsidRPr="00C50A5C" w:rsidRDefault="00CB3520" w:rsidP="00CB3520">
      <w:pPr>
        <w:widowControl w:val="0"/>
        <w:rPr>
          <w:sz w:val="20"/>
          <w:szCs w:val="20"/>
        </w:rPr>
      </w:pPr>
    </w:p>
    <w:p w:rsidR="00CB3520" w:rsidRPr="009C5D38" w:rsidRDefault="00CB3520" w:rsidP="00CB3520">
      <w:pPr>
        <w:widowControl w:val="0"/>
        <w:rPr>
          <w:sz w:val="20"/>
          <w:szCs w:val="20"/>
        </w:rPr>
      </w:pPr>
    </w:p>
    <w:p w:rsidR="00CB3520" w:rsidRPr="002E2DF2" w:rsidRDefault="00CB3520" w:rsidP="00CB3520">
      <w:pPr>
        <w:widowControl w:val="0"/>
        <w:jc w:val="center"/>
        <w:rPr>
          <w:b/>
          <w:sz w:val="20"/>
          <w:szCs w:val="20"/>
          <w:lang w:val="en-US"/>
        </w:rPr>
      </w:pPr>
      <w:r w:rsidRPr="002E2DF2">
        <w:rPr>
          <w:b/>
          <w:sz w:val="20"/>
          <w:szCs w:val="20"/>
          <w:lang w:val="en-US"/>
        </w:rPr>
        <w:t xml:space="preserve">CORAM: </w:t>
      </w:r>
      <w:r w:rsidR="00FA3373" w:rsidRPr="002E2DF2">
        <w:rPr>
          <w:b/>
          <w:sz w:val="20"/>
          <w:szCs w:val="20"/>
          <w:lang w:val="en-US"/>
        </w:rPr>
        <w:t>Abella</w:t>
      </w:r>
      <w:r w:rsidRPr="002E2DF2">
        <w:rPr>
          <w:b/>
          <w:sz w:val="20"/>
          <w:szCs w:val="20"/>
          <w:lang w:val="en-US"/>
        </w:rPr>
        <w:t xml:space="preserve">, Karakatsanis and </w:t>
      </w:r>
      <w:r w:rsidR="002E2DF2" w:rsidRPr="002E2DF2">
        <w:rPr>
          <w:b/>
          <w:sz w:val="20"/>
          <w:szCs w:val="20"/>
          <w:lang w:val="en-US"/>
        </w:rPr>
        <w:t>Brown</w:t>
      </w:r>
      <w:r w:rsidRPr="002E2DF2">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2E2DF2">
        <w:rPr>
          <w:b/>
          <w:sz w:val="20"/>
          <w:szCs w:val="20"/>
          <w:lang w:val="fr-CA"/>
        </w:rPr>
        <w:t>Brown</w:t>
      </w:r>
    </w:p>
    <w:p w:rsidR="00CB3520" w:rsidRPr="00C16CB3" w:rsidRDefault="00CB3520" w:rsidP="00CB3520">
      <w:pPr>
        <w:widowControl w:val="0"/>
        <w:jc w:val="both"/>
        <w:rPr>
          <w:sz w:val="20"/>
          <w:szCs w:val="20"/>
          <w:lang w:val="fr-CA"/>
        </w:rPr>
      </w:pPr>
    </w:p>
    <w:p w:rsidR="00CB3520" w:rsidRPr="002E2DF2" w:rsidRDefault="002E2DF2" w:rsidP="002E2DF2">
      <w:pPr>
        <w:pStyle w:val="ListParagraph"/>
        <w:widowControl w:val="0"/>
        <w:numPr>
          <w:ilvl w:val="0"/>
          <w:numId w:val="1"/>
        </w:numPr>
        <w:jc w:val="both"/>
        <w:rPr>
          <w:sz w:val="20"/>
          <w:szCs w:val="20"/>
          <w:lang w:val="en-US"/>
        </w:rPr>
      </w:pPr>
      <w:r>
        <w:rPr>
          <w:i/>
          <w:sz w:val="20"/>
          <w:szCs w:val="20"/>
        </w:rPr>
        <w:t>M.E.N.</w:t>
      </w:r>
      <w:r w:rsidR="00CB3520" w:rsidRPr="009C5D38">
        <w:rPr>
          <w:i/>
          <w:sz w:val="20"/>
          <w:szCs w:val="20"/>
        </w:rPr>
        <w:t xml:space="preserve"> v. </w:t>
      </w:r>
      <w:r>
        <w:rPr>
          <w:i/>
          <w:sz w:val="20"/>
          <w:szCs w:val="20"/>
        </w:rPr>
        <w:t xml:space="preserve">Her Majesty the Queen </w:t>
      </w:r>
      <w:r w:rsidR="00CB3520" w:rsidRPr="009C5D38">
        <w:rPr>
          <w:sz w:val="20"/>
          <w:szCs w:val="20"/>
        </w:rPr>
        <w:t>(</w:t>
      </w:r>
      <w:r>
        <w:rPr>
          <w:sz w:val="20"/>
          <w:szCs w:val="20"/>
        </w:rPr>
        <w:t>Ont</w:t>
      </w:r>
      <w:r w:rsidR="00CB3520" w:rsidRPr="009C5D38">
        <w:rPr>
          <w:sz w:val="20"/>
          <w:szCs w:val="20"/>
        </w:rPr>
        <w:t>.) (</w:t>
      </w:r>
      <w:r>
        <w:rPr>
          <w:sz w:val="20"/>
          <w:szCs w:val="20"/>
        </w:rPr>
        <w:t>Crim.</w:t>
      </w:r>
      <w:r w:rsidR="00CB3520" w:rsidRPr="009C5D38">
        <w:rPr>
          <w:sz w:val="20"/>
          <w:szCs w:val="20"/>
        </w:rPr>
        <w:t>) (By Leave)</w:t>
      </w:r>
      <w:r w:rsidR="00CB3520" w:rsidRPr="002E2DF2">
        <w:rPr>
          <w:sz w:val="20"/>
          <w:szCs w:val="20"/>
          <w:lang w:val="en-US"/>
        </w:rPr>
        <w:t xml:space="preserve"> (</w:t>
      </w:r>
      <w:r w:rsidRPr="002E2DF2">
        <w:rPr>
          <w:sz w:val="20"/>
          <w:szCs w:val="20"/>
          <w:lang w:val="en-US"/>
        </w:rPr>
        <w:t>36518</w:t>
      </w:r>
      <w:r w:rsidR="00CB3520" w:rsidRPr="002E2DF2">
        <w:rPr>
          <w:sz w:val="20"/>
          <w:szCs w:val="20"/>
          <w:lang w:val="en-US"/>
        </w:rPr>
        <w:t>)</w:t>
      </w:r>
    </w:p>
    <w:p w:rsidR="00CB3520" w:rsidRPr="002E2DF2" w:rsidRDefault="00CB3520" w:rsidP="00CB3520">
      <w:pPr>
        <w:widowControl w:val="0"/>
        <w:jc w:val="both"/>
        <w:rPr>
          <w:sz w:val="20"/>
          <w:szCs w:val="20"/>
          <w:lang w:val="en-US"/>
        </w:rPr>
      </w:pPr>
    </w:p>
    <w:p w:rsidR="00CB3520" w:rsidRPr="009C5D38" w:rsidRDefault="002E2DF2" w:rsidP="002E2DF2">
      <w:pPr>
        <w:pStyle w:val="ListParagraph"/>
        <w:widowControl w:val="0"/>
        <w:numPr>
          <w:ilvl w:val="0"/>
          <w:numId w:val="1"/>
        </w:numPr>
        <w:jc w:val="both"/>
        <w:rPr>
          <w:sz w:val="20"/>
          <w:szCs w:val="20"/>
        </w:rPr>
      </w:pPr>
      <w:r w:rsidRPr="002E2DF2">
        <w:rPr>
          <w:i/>
          <w:sz w:val="20"/>
          <w:szCs w:val="20"/>
        </w:rPr>
        <w:t>Paul Gnanamani Kanagarajah</w:t>
      </w:r>
      <w:r w:rsidR="00CB3520" w:rsidRPr="009C5D38">
        <w:rPr>
          <w:i/>
          <w:sz w:val="20"/>
          <w:szCs w:val="20"/>
        </w:rPr>
        <w:t xml:space="preserve"> v. </w:t>
      </w:r>
      <w:r w:rsidRPr="002E2DF2">
        <w:rPr>
          <w:i/>
          <w:sz w:val="20"/>
          <w:szCs w:val="20"/>
        </w:rPr>
        <w:t>Immigration Appeal Board of Canada et al.</w:t>
      </w:r>
      <w:r w:rsidR="00CB3520" w:rsidRPr="009C5D38">
        <w:rPr>
          <w:sz w:val="20"/>
          <w:szCs w:val="20"/>
        </w:rPr>
        <w:t xml:space="preserve"> (</w:t>
      </w:r>
      <w:r>
        <w:rPr>
          <w:sz w:val="20"/>
          <w:szCs w:val="20"/>
        </w:rPr>
        <w:t>F.C</w:t>
      </w:r>
      <w:r w:rsidR="00CB3520" w:rsidRPr="009C5D38">
        <w:rPr>
          <w:sz w:val="20"/>
          <w:szCs w:val="20"/>
        </w:rPr>
        <w:t>.) (Civil) (By Leave) (</w:t>
      </w:r>
      <w:r w:rsidRPr="002E2DF2">
        <w:rPr>
          <w:sz w:val="20"/>
          <w:szCs w:val="20"/>
        </w:rPr>
        <w:t>36536</w:t>
      </w:r>
      <w:r w:rsidR="00CB3520" w:rsidRPr="009C5D38">
        <w:rPr>
          <w:sz w:val="20"/>
          <w:szCs w:val="20"/>
        </w:rPr>
        <w:t>)</w:t>
      </w:r>
    </w:p>
    <w:p w:rsidR="00CB3520" w:rsidRPr="009C5D38" w:rsidRDefault="00CB3520" w:rsidP="00CB3520">
      <w:pPr>
        <w:widowControl w:val="0"/>
        <w:jc w:val="both"/>
        <w:rPr>
          <w:sz w:val="20"/>
          <w:szCs w:val="20"/>
        </w:rPr>
      </w:pPr>
    </w:p>
    <w:p w:rsidR="00CB3520" w:rsidRPr="00A030C5" w:rsidRDefault="002E2DF2" w:rsidP="002E2DF2">
      <w:pPr>
        <w:pStyle w:val="ListParagraph"/>
        <w:widowControl w:val="0"/>
        <w:numPr>
          <w:ilvl w:val="0"/>
          <w:numId w:val="1"/>
        </w:numPr>
        <w:jc w:val="both"/>
        <w:rPr>
          <w:sz w:val="20"/>
          <w:szCs w:val="20"/>
          <w:lang w:val="en-US"/>
        </w:rPr>
      </w:pPr>
      <w:r w:rsidRPr="00A030C5">
        <w:rPr>
          <w:i/>
          <w:sz w:val="20"/>
          <w:szCs w:val="20"/>
          <w:lang w:val="en-US"/>
        </w:rPr>
        <w:t>Jules Honoré Chartier v.</w:t>
      </w:r>
      <w:r w:rsidR="00CB3520" w:rsidRPr="00A030C5">
        <w:rPr>
          <w:i/>
          <w:sz w:val="20"/>
          <w:szCs w:val="20"/>
          <w:lang w:val="en-US"/>
        </w:rPr>
        <w:t xml:space="preserve"> </w:t>
      </w:r>
      <w:r w:rsidRPr="00A030C5">
        <w:rPr>
          <w:i/>
          <w:sz w:val="20"/>
          <w:szCs w:val="20"/>
          <w:lang w:val="en-US"/>
        </w:rPr>
        <w:t>Manitoba Public Insurance Corporation</w:t>
      </w:r>
      <w:r w:rsidR="00CB3520" w:rsidRPr="00A030C5">
        <w:rPr>
          <w:sz w:val="20"/>
          <w:szCs w:val="20"/>
          <w:lang w:val="en-US"/>
        </w:rPr>
        <w:t xml:space="preserve"> (</w:t>
      </w:r>
      <w:r w:rsidRPr="00A030C5">
        <w:rPr>
          <w:sz w:val="20"/>
          <w:szCs w:val="20"/>
          <w:lang w:val="en-US"/>
        </w:rPr>
        <w:t>Man.</w:t>
      </w:r>
      <w:r w:rsidR="00CB3520" w:rsidRPr="00A030C5">
        <w:rPr>
          <w:sz w:val="20"/>
          <w:szCs w:val="20"/>
          <w:lang w:val="en-US"/>
        </w:rPr>
        <w:t>) (Civil) (</w:t>
      </w:r>
      <w:r w:rsidRPr="00A030C5">
        <w:rPr>
          <w:sz w:val="20"/>
          <w:szCs w:val="20"/>
          <w:lang w:val="en-US"/>
        </w:rPr>
        <w:t>By Leave</w:t>
      </w:r>
      <w:r w:rsidR="00CB3520" w:rsidRPr="00A030C5">
        <w:rPr>
          <w:sz w:val="20"/>
          <w:szCs w:val="20"/>
          <w:lang w:val="en-US"/>
        </w:rPr>
        <w:t>) (</w:t>
      </w:r>
      <w:r w:rsidRPr="00A030C5">
        <w:rPr>
          <w:sz w:val="20"/>
          <w:szCs w:val="20"/>
          <w:lang w:val="en-US"/>
        </w:rPr>
        <w:t>36473</w:t>
      </w:r>
      <w:r w:rsidR="00CB3520" w:rsidRPr="00A030C5">
        <w:rPr>
          <w:sz w:val="20"/>
          <w:szCs w:val="20"/>
          <w:lang w:val="en-US"/>
        </w:rPr>
        <w:t>)</w:t>
      </w:r>
    </w:p>
    <w:p w:rsidR="00CB3520" w:rsidRPr="00A030C5" w:rsidRDefault="00CB3520" w:rsidP="00CB3520">
      <w:pPr>
        <w:widowControl w:val="0"/>
        <w:rPr>
          <w:sz w:val="20"/>
          <w:szCs w:val="20"/>
          <w:lang w:val="en-US"/>
        </w:rPr>
      </w:pP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2E2DF2">
        <w:rPr>
          <w:b/>
          <w:sz w:val="20"/>
          <w:szCs w:val="20"/>
        </w:rPr>
        <w:t xml:space="preserve">Cromwell, Wagner </w:t>
      </w:r>
      <w:r w:rsidRPr="00C50A5C">
        <w:rPr>
          <w:b/>
          <w:sz w:val="20"/>
          <w:szCs w:val="20"/>
        </w:rPr>
        <w:t xml:space="preserve">and </w:t>
      </w:r>
      <w:r w:rsidR="002E2DF2">
        <w:rPr>
          <w:b/>
          <w:sz w:val="20"/>
          <w:szCs w:val="20"/>
        </w:rPr>
        <w:t>C</w:t>
      </w:r>
      <w:r w:rsidR="002E2DF2" w:rsidRPr="002E2DF2">
        <w:rPr>
          <w:b/>
          <w:sz w:val="20"/>
          <w:szCs w:val="20"/>
          <w:lang w:val="en-US"/>
        </w:rPr>
        <w:t>ôté</w:t>
      </w:r>
      <w:r w:rsidR="002E2DF2" w:rsidRPr="00C50A5C">
        <w:rPr>
          <w:b/>
          <w:sz w:val="20"/>
          <w:szCs w:val="20"/>
        </w:rPr>
        <w:t xml:space="preserve"> </w:t>
      </w:r>
      <w:r w:rsidRPr="00C50A5C">
        <w:rPr>
          <w:b/>
          <w:sz w:val="20"/>
          <w:szCs w:val="20"/>
        </w:rPr>
        <w:t>JJ.</w:t>
      </w:r>
    </w:p>
    <w:p w:rsidR="00CB3520" w:rsidRPr="002E2DF2"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Cromwell</w:t>
      </w:r>
      <w:r w:rsidR="002E2DF2">
        <w:rPr>
          <w:b/>
          <w:sz w:val="20"/>
          <w:szCs w:val="20"/>
          <w:lang w:val="fr-CA"/>
        </w:rPr>
        <w:t>, Wagner</w:t>
      </w:r>
      <w:r w:rsidR="00FA3373">
        <w:rPr>
          <w:b/>
          <w:sz w:val="20"/>
          <w:szCs w:val="20"/>
          <w:lang w:val="fr-CA"/>
        </w:rPr>
        <w:t xml:space="preserve"> </w:t>
      </w:r>
      <w:r w:rsidRPr="00C50A5C">
        <w:rPr>
          <w:b/>
          <w:sz w:val="20"/>
          <w:szCs w:val="20"/>
          <w:lang w:val="fr-CA"/>
        </w:rPr>
        <w:t xml:space="preserve">et </w:t>
      </w:r>
      <w:r w:rsidR="002E2DF2" w:rsidRPr="002E2DF2">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2E2DF2" w:rsidP="00EF1D28">
      <w:pPr>
        <w:pStyle w:val="ListParagraph"/>
        <w:widowControl w:val="0"/>
        <w:numPr>
          <w:ilvl w:val="0"/>
          <w:numId w:val="1"/>
        </w:numPr>
        <w:jc w:val="both"/>
        <w:rPr>
          <w:sz w:val="20"/>
          <w:szCs w:val="20"/>
        </w:rPr>
      </w:pPr>
      <w:r w:rsidRPr="002E2DF2">
        <w:rPr>
          <w:i/>
          <w:sz w:val="20"/>
          <w:szCs w:val="20"/>
        </w:rPr>
        <w:t>Chief R. Donald Maracle in his personal capacity and in a representative capacity on behalf of the members of the Mohawks of the Bay of Quinte et al.</w:t>
      </w:r>
      <w:r>
        <w:rPr>
          <w:i/>
          <w:sz w:val="20"/>
          <w:szCs w:val="20"/>
        </w:rPr>
        <w:t xml:space="preserve"> </w:t>
      </w:r>
      <w:r w:rsidR="00CB3520" w:rsidRPr="009C5D38">
        <w:rPr>
          <w:i/>
          <w:sz w:val="20"/>
          <w:szCs w:val="20"/>
        </w:rPr>
        <w:t xml:space="preserve">v. </w:t>
      </w:r>
      <w:r w:rsidR="00EF1D28" w:rsidRPr="00EF1D28">
        <w:rPr>
          <w:i/>
          <w:sz w:val="20"/>
          <w:szCs w:val="20"/>
        </w:rPr>
        <w:t xml:space="preserve">Attorney General of Canada </w:t>
      </w:r>
      <w:r w:rsidR="00CB3520" w:rsidRPr="009C5D38">
        <w:rPr>
          <w:sz w:val="20"/>
          <w:szCs w:val="20"/>
        </w:rPr>
        <w:t>(F.C.) (Civil) (By Leave)</w:t>
      </w:r>
      <w:r w:rsidR="00CB3520" w:rsidRPr="00115C9E">
        <w:rPr>
          <w:sz w:val="20"/>
          <w:szCs w:val="20"/>
        </w:rPr>
        <w:t xml:space="preserve"> (</w:t>
      </w:r>
      <w:r w:rsidR="00EF1D28" w:rsidRPr="00EF1D28">
        <w:rPr>
          <w:sz w:val="20"/>
          <w:szCs w:val="20"/>
        </w:rPr>
        <w:t>36455</w:t>
      </w:r>
      <w:r w:rsidR="00CB3520" w:rsidRPr="00115C9E">
        <w:rPr>
          <w:sz w:val="20"/>
          <w:szCs w:val="20"/>
        </w:rPr>
        <w:t>)</w:t>
      </w:r>
    </w:p>
    <w:p w:rsidR="00CB3520" w:rsidRPr="00115C9E" w:rsidRDefault="00CB3520" w:rsidP="00CB3520">
      <w:pPr>
        <w:widowControl w:val="0"/>
        <w:jc w:val="both"/>
        <w:rPr>
          <w:sz w:val="20"/>
          <w:szCs w:val="20"/>
        </w:rPr>
      </w:pPr>
    </w:p>
    <w:p w:rsidR="002E2327" w:rsidRDefault="00EB0985" w:rsidP="002E2327">
      <w:pPr>
        <w:widowControl w:val="0"/>
        <w:rPr>
          <w:sz w:val="20"/>
          <w:szCs w:val="20"/>
        </w:rPr>
      </w:pPr>
      <w:r>
        <w:rPr>
          <w:sz w:val="20"/>
          <w:szCs w:val="20"/>
        </w:rPr>
        <w:pict>
          <v:rect id="_x0000_i1045"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B0985"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A43EF5" w:rsidP="000E2959">
      <w:pPr>
        <w:rPr>
          <w:b/>
          <w:sz w:val="20"/>
          <w:szCs w:val="20"/>
        </w:rPr>
      </w:pPr>
      <w:r>
        <w:rPr>
          <w:b/>
          <w:sz w:val="20"/>
          <w:szCs w:val="20"/>
        </w:rPr>
        <w:t>SEPTEMBER 17</w:t>
      </w:r>
      <w:r w:rsidRPr="00C50A5C">
        <w:rPr>
          <w:b/>
          <w:sz w:val="20"/>
          <w:szCs w:val="20"/>
        </w:rPr>
        <w:t>, 201</w:t>
      </w:r>
      <w:r>
        <w:rPr>
          <w:b/>
          <w:sz w:val="20"/>
          <w:szCs w:val="20"/>
        </w:rPr>
        <w:t>5</w:t>
      </w:r>
      <w:r w:rsidRPr="00C50A5C">
        <w:rPr>
          <w:b/>
          <w:sz w:val="20"/>
          <w:szCs w:val="20"/>
        </w:rPr>
        <w:t xml:space="preserve"> / LE </w:t>
      </w:r>
      <w:r>
        <w:rPr>
          <w:b/>
          <w:sz w:val="20"/>
          <w:szCs w:val="20"/>
        </w:rPr>
        <w:t>17 SEPTEMBRE</w:t>
      </w:r>
      <w:r w:rsidR="000E2959" w:rsidRPr="00C50A5C">
        <w:rPr>
          <w:b/>
          <w:sz w:val="20"/>
          <w:szCs w:val="20"/>
        </w:rPr>
        <w:t xml:space="preserve"> 201</w:t>
      </w:r>
      <w:r w:rsidR="00681F61">
        <w:rPr>
          <w:b/>
          <w:sz w:val="20"/>
          <w:szCs w:val="20"/>
        </w:rPr>
        <w:t>5</w:t>
      </w:r>
    </w:p>
    <w:p w:rsidR="000E2959" w:rsidRPr="00A43EF5" w:rsidRDefault="000E2959" w:rsidP="000E2959">
      <w:pPr>
        <w:rPr>
          <w:rFonts w:cs="Times New Roman"/>
          <w:sz w:val="20"/>
          <w:szCs w:val="20"/>
          <w:lang w:val="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43EF5" w:rsidRPr="00A43EF5" w:rsidTr="002E5A9A">
        <w:trPr>
          <w:cantSplit/>
        </w:trPr>
        <w:tc>
          <w:tcPr>
            <w:tcW w:w="1458" w:type="dxa"/>
          </w:tcPr>
          <w:p w:rsidR="00A43EF5" w:rsidRPr="00A43EF5" w:rsidRDefault="00A43EF5" w:rsidP="00A43EF5">
            <w:pPr>
              <w:rPr>
                <w:rFonts w:cs="Times New Roman"/>
                <w:sz w:val="20"/>
                <w:szCs w:val="20"/>
              </w:rPr>
            </w:pPr>
            <w:r w:rsidRPr="00A43EF5">
              <w:rPr>
                <w:rFonts w:cs="Times New Roman"/>
                <w:b/>
                <w:sz w:val="20"/>
                <w:szCs w:val="20"/>
                <w:lang w:val="fr-CA"/>
              </w:rPr>
              <w:t>36363</w:t>
            </w:r>
          </w:p>
          <w:p w:rsidR="00A43EF5" w:rsidRPr="00A43EF5" w:rsidRDefault="00A43EF5" w:rsidP="00A43EF5">
            <w:pPr>
              <w:rPr>
                <w:rFonts w:cs="Times New Roman"/>
                <w:b/>
                <w:sz w:val="20"/>
                <w:szCs w:val="20"/>
                <w:lang w:val="fr-CA"/>
              </w:rPr>
            </w:pPr>
          </w:p>
        </w:tc>
        <w:tc>
          <w:tcPr>
            <w:tcW w:w="8118" w:type="dxa"/>
          </w:tcPr>
          <w:p w:rsidR="00A43EF5" w:rsidRPr="00A43EF5" w:rsidRDefault="00A43EF5" w:rsidP="00A43EF5">
            <w:pPr>
              <w:rPr>
                <w:rFonts w:cs="Times New Roman"/>
                <w:sz w:val="20"/>
                <w:szCs w:val="20"/>
              </w:rPr>
            </w:pPr>
            <w:r w:rsidRPr="00A43EF5">
              <w:rPr>
                <w:rFonts w:cs="Times New Roman"/>
                <w:b/>
                <w:sz w:val="20"/>
                <w:szCs w:val="20"/>
                <w:u w:val="single"/>
                <w:lang w:val="en-US"/>
              </w:rPr>
              <w:t>Tajedin Getahun v. Blake Moore</w:t>
            </w:r>
            <w:r w:rsidRPr="00A43EF5">
              <w:rPr>
                <w:rFonts w:cs="Times New Roman"/>
                <w:sz w:val="20"/>
                <w:szCs w:val="20"/>
              </w:rPr>
              <w:t xml:space="preserve"> (Ont.) (Civil) (By Leave)</w:t>
            </w:r>
          </w:p>
          <w:p w:rsidR="00A43EF5" w:rsidRPr="00A43EF5" w:rsidRDefault="00A43EF5" w:rsidP="00A43EF5">
            <w:pPr>
              <w:rPr>
                <w:rFonts w:cs="Times New Roman"/>
                <w:sz w:val="20"/>
                <w:szCs w:val="20"/>
              </w:rPr>
            </w:pPr>
          </w:p>
        </w:tc>
      </w:tr>
      <w:tr w:rsidR="00A43EF5" w:rsidRPr="00A43EF5" w:rsidTr="002E5A9A">
        <w:trPr>
          <w:cantSplit/>
        </w:trPr>
        <w:tc>
          <w:tcPr>
            <w:tcW w:w="1458" w:type="dxa"/>
          </w:tcPr>
          <w:p w:rsidR="00A43EF5" w:rsidRPr="00A43EF5" w:rsidRDefault="00A43EF5" w:rsidP="00A43EF5">
            <w:pPr>
              <w:rPr>
                <w:rFonts w:cs="Times New Roman"/>
                <w:sz w:val="20"/>
                <w:szCs w:val="20"/>
              </w:rPr>
            </w:pPr>
            <w:r w:rsidRPr="00A43EF5">
              <w:rPr>
                <w:rFonts w:cs="Times New Roman"/>
                <w:sz w:val="20"/>
                <w:szCs w:val="20"/>
              </w:rPr>
              <w:t>Coram :</w:t>
            </w:r>
          </w:p>
        </w:tc>
        <w:tc>
          <w:tcPr>
            <w:tcW w:w="8118" w:type="dxa"/>
          </w:tcPr>
          <w:p w:rsidR="00A43EF5" w:rsidRPr="00A43EF5" w:rsidRDefault="00A43EF5" w:rsidP="00A43EF5">
            <w:pPr>
              <w:rPr>
                <w:rFonts w:cs="Times New Roman"/>
                <w:sz w:val="20"/>
                <w:szCs w:val="20"/>
              </w:rPr>
            </w:pPr>
            <w:r w:rsidRPr="00A43EF5">
              <w:rPr>
                <w:rFonts w:cs="Times New Roman"/>
                <w:sz w:val="20"/>
                <w:szCs w:val="20"/>
                <w:u w:val="single"/>
                <w:lang w:val="en-US"/>
              </w:rPr>
              <w:t>McLachlin C.J. and Wagner and Gascon JJ.</w:t>
            </w:r>
          </w:p>
          <w:p w:rsidR="00A43EF5" w:rsidRPr="00A43EF5" w:rsidRDefault="00A43EF5" w:rsidP="00A43EF5">
            <w:pPr>
              <w:rPr>
                <w:rFonts w:cs="Times New Roman"/>
                <w:sz w:val="20"/>
                <w:szCs w:val="20"/>
                <w:u w:val="single"/>
              </w:rPr>
            </w:pPr>
          </w:p>
        </w:tc>
      </w:tr>
      <w:tr w:rsidR="00A43EF5" w:rsidRPr="00EB0985" w:rsidTr="002E5A9A">
        <w:trPr>
          <w:cantSplit/>
        </w:trPr>
        <w:tc>
          <w:tcPr>
            <w:tcW w:w="9576" w:type="dxa"/>
            <w:gridSpan w:val="2"/>
          </w:tcPr>
          <w:p w:rsidR="00A43EF5" w:rsidRPr="00A43EF5" w:rsidRDefault="00A43EF5" w:rsidP="00A43EF5">
            <w:pPr>
              <w:ind w:firstLine="720"/>
              <w:jc w:val="both"/>
              <w:rPr>
                <w:rFonts w:cs="Times New Roman"/>
                <w:sz w:val="20"/>
                <w:szCs w:val="20"/>
              </w:rPr>
            </w:pPr>
            <w:r w:rsidRPr="00A43EF5">
              <w:rPr>
                <w:rFonts w:cs="Times New Roman"/>
                <w:sz w:val="20"/>
                <w:szCs w:val="20"/>
              </w:rPr>
              <w:t>The application for leave to appeal from the judgment of the Court of Appeal for Ontario, Number C58338, 2015 ONCA 55, dated January 29, 2015, is dismissed with costs.</w:t>
            </w:r>
          </w:p>
          <w:p w:rsidR="00A43EF5" w:rsidRPr="00A43EF5" w:rsidRDefault="00A43EF5" w:rsidP="00A43EF5">
            <w:pPr>
              <w:jc w:val="both"/>
              <w:rPr>
                <w:rFonts w:cs="Times New Roman"/>
                <w:sz w:val="20"/>
                <w:szCs w:val="20"/>
              </w:rPr>
            </w:pPr>
          </w:p>
          <w:p w:rsidR="00A43EF5" w:rsidRPr="00A43EF5" w:rsidRDefault="00A43EF5" w:rsidP="00A43EF5">
            <w:pPr>
              <w:ind w:firstLine="720"/>
              <w:jc w:val="both"/>
              <w:rPr>
                <w:rFonts w:cs="Times New Roman"/>
                <w:sz w:val="20"/>
                <w:szCs w:val="20"/>
                <w:lang w:val="fr-CA"/>
              </w:rPr>
            </w:pPr>
            <w:r w:rsidRPr="00A43EF5">
              <w:rPr>
                <w:rFonts w:cs="Times New Roman"/>
                <w:sz w:val="20"/>
                <w:szCs w:val="20"/>
                <w:lang w:val="fr-CA"/>
              </w:rPr>
              <w:t>La demande d’autorisation d’appel de l’arrêt de la Cour d’appel de l’Ontario, numéro C58338, 2015 ONCA 55, daté du 29 janvier 2015, est rejetée avec dépens.</w:t>
            </w:r>
          </w:p>
        </w:tc>
      </w:tr>
    </w:tbl>
    <w:p w:rsidR="00A43EF5" w:rsidRPr="0016547E" w:rsidRDefault="00A43EF5" w:rsidP="00A43EF5">
      <w:pPr>
        <w:rPr>
          <w:sz w:val="20"/>
          <w:szCs w:val="20"/>
          <w:lang w:val="fr-CA"/>
        </w:rPr>
      </w:pPr>
    </w:p>
    <w:p w:rsidR="00A43EF5" w:rsidRPr="001B157C" w:rsidRDefault="00A43EF5" w:rsidP="00A43EF5">
      <w:pPr>
        <w:rPr>
          <w:sz w:val="20"/>
          <w:szCs w:val="20"/>
          <w:u w:val="single"/>
        </w:rPr>
      </w:pPr>
      <w:r w:rsidRPr="001B157C">
        <w:rPr>
          <w:sz w:val="20"/>
          <w:szCs w:val="20"/>
          <w:u w:val="single"/>
        </w:rPr>
        <w:t>CASE SUMMARY</w:t>
      </w:r>
    </w:p>
    <w:p w:rsidR="00A43EF5" w:rsidRDefault="00A43EF5" w:rsidP="00A43EF5">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A43EF5" w:rsidRPr="006C30BE" w:rsidTr="002E5A9A">
        <w:tc>
          <w:tcPr>
            <w:tcW w:w="5000" w:type="pct"/>
            <w:gridSpan w:val="3"/>
          </w:tcPr>
          <w:p w:rsidR="00A43EF5" w:rsidRPr="006C30BE" w:rsidRDefault="00A43EF5" w:rsidP="002E5A9A">
            <w:pPr>
              <w:spacing w:line="276" w:lineRule="auto"/>
              <w:jc w:val="both"/>
              <w:rPr>
                <w:rFonts w:eastAsia="Calibri"/>
                <w:smallCaps/>
                <w:sz w:val="20"/>
              </w:rPr>
            </w:pPr>
            <w:r w:rsidRPr="006C30BE">
              <w:rPr>
                <w:rFonts w:eastAsia="Calibri"/>
                <w:sz w:val="20"/>
              </w:rPr>
              <w:t xml:space="preserve">Torts — Negligence — Medical malpractice — Civil litigation — Expert Evidence — New trial — Respondent awarded damages in medical malpractice action — Court of Appeal finding lower court’s errors not affecting outcome and no substantial wrong or miscarriage of justice flowing from errors — Court of Appeal dismissing appeal — What principles should determine whether a new trial should be ordered in a civil action — </w:t>
            </w:r>
            <w:r w:rsidRPr="006C30BE">
              <w:rPr>
                <w:rFonts w:eastAsia="Calibri"/>
                <w:i/>
                <w:sz w:val="20"/>
              </w:rPr>
              <w:t>Courts of Justice Act</w:t>
            </w:r>
            <w:r w:rsidRPr="006C30BE">
              <w:rPr>
                <w:rFonts w:eastAsia="Calibri"/>
                <w:sz w:val="20"/>
              </w:rPr>
              <w:t>, R.S.O. 1990, c. C-43, s. 134(6).</w:t>
            </w:r>
          </w:p>
        </w:tc>
      </w:tr>
      <w:tr w:rsidR="00A43EF5" w:rsidRPr="006C30BE" w:rsidTr="002E5A9A">
        <w:tc>
          <w:tcPr>
            <w:tcW w:w="5000" w:type="pct"/>
            <w:gridSpan w:val="3"/>
          </w:tcPr>
          <w:p w:rsidR="00A43EF5" w:rsidRPr="006C30BE" w:rsidRDefault="00A43EF5" w:rsidP="002E5A9A">
            <w:pPr>
              <w:spacing w:line="276" w:lineRule="auto"/>
              <w:jc w:val="both"/>
              <w:rPr>
                <w:rFonts w:eastAsia="Calibri"/>
                <w:sz w:val="20"/>
              </w:rPr>
            </w:pPr>
          </w:p>
        </w:tc>
      </w:tr>
      <w:tr w:rsidR="00A43EF5" w:rsidRPr="006C30BE" w:rsidTr="002E5A9A">
        <w:tc>
          <w:tcPr>
            <w:tcW w:w="5000" w:type="pct"/>
            <w:gridSpan w:val="3"/>
          </w:tcPr>
          <w:p w:rsidR="00A43EF5" w:rsidRPr="006C30BE" w:rsidRDefault="00A43EF5" w:rsidP="002E5A9A">
            <w:pPr>
              <w:spacing w:line="276" w:lineRule="auto"/>
              <w:jc w:val="both"/>
              <w:rPr>
                <w:rFonts w:eastAsia="Calibri"/>
                <w:sz w:val="20"/>
              </w:rPr>
            </w:pPr>
            <w:r w:rsidRPr="006C30BE">
              <w:rPr>
                <w:rFonts w:eastAsia="Calibri"/>
                <w:sz w:val="20"/>
              </w:rPr>
              <w:t>Following a motorcycle accident, the respondent was treated by the applicant, an orthopedic surgeon, for a fracture to his right wrist. A full circumferential cast was applied to the wrist and forearm. The respondent suffered permanent damage to the muscles in his arm due to compartment syndrome that he alleged was caused by the applicant’s negligence in the application of a full cast.</w:t>
            </w:r>
          </w:p>
          <w:p w:rsidR="00A43EF5" w:rsidRPr="006C30BE" w:rsidRDefault="00A43EF5" w:rsidP="002E5A9A">
            <w:pPr>
              <w:spacing w:line="276" w:lineRule="auto"/>
              <w:jc w:val="both"/>
              <w:rPr>
                <w:rFonts w:eastAsia="Calibri"/>
                <w:sz w:val="20"/>
              </w:rPr>
            </w:pPr>
          </w:p>
          <w:p w:rsidR="00A43EF5" w:rsidRPr="006C30BE" w:rsidRDefault="00A43EF5" w:rsidP="002E5A9A">
            <w:pPr>
              <w:spacing w:line="276" w:lineRule="auto"/>
              <w:jc w:val="both"/>
              <w:rPr>
                <w:rFonts w:eastAsia="Calibri"/>
                <w:sz w:val="20"/>
              </w:rPr>
            </w:pPr>
            <w:r w:rsidRPr="006C30BE">
              <w:rPr>
                <w:rFonts w:eastAsia="Calibri"/>
                <w:sz w:val="20"/>
              </w:rPr>
              <w:t xml:space="preserve">The trial judge found that the application of the full circumferential cast was a breach of the standard of care and had caused the compartment syndrome to develop. She ordered $350,000 in damages. The Court of Appeal dismissed the appeal.  </w:t>
            </w:r>
          </w:p>
          <w:p w:rsidR="00A43EF5" w:rsidRPr="006C30BE" w:rsidRDefault="00A43EF5" w:rsidP="002E5A9A">
            <w:pPr>
              <w:spacing w:line="276" w:lineRule="auto"/>
              <w:jc w:val="both"/>
              <w:rPr>
                <w:rFonts w:eastAsia="Calibri"/>
                <w:sz w:val="20"/>
              </w:rPr>
            </w:pPr>
          </w:p>
        </w:tc>
      </w:tr>
      <w:tr w:rsidR="00A43EF5" w:rsidRPr="006C30BE" w:rsidTr="002E5A9A">
        <w:tc>
          <w:tcPr>
            <w:tcW w:w="2427" w:type="pct"/>
          </w:tcPr>
          <w:p w:rsidR="00A43EF5" w:rsidRPr="006C30BE" w:rsidRDefault="00A43EF5" w:rsidP="002E5A9A">
            <w:pPr>
              <w:spacing w:line="276" w:lineRule="auto"/>
              <w:jc w:val="both"/>
              <w:rPr>
                <w:rFonts w:eastAsia="Calibri"/>
                <w:sz w:val="20"/>
              </w:rPr>
            </w:pPr>
            <w:r w:rsidRPr="006C30BE">
              <w:rPr>
                <w:rFonts w:eastAsia="Calibri"/>
                <w:sz w:val="20"/>
              </w:rPr>
              <w:t>January 14, 2014</w:t>
            </w:r>
          </w:p>
          <w:p w:rsidR="00A43EF5" w:rsidRPr="006C30BE" w:rsidRDefault="00A43EF5" w:rsidP="002E5A9A">
            <w:pPr>
              <w:spacing w:line="276" w:lineRule="auto"/>
              <w:jc w:val="both"/>
              <w:rPr>
                <w:rFonts w:eastAsia="Calibri"/>
                <w:sz w:val="20"/>
              </w:rPr>
            </w:pPr>
            <w:r w:rsidRPr="006C30BE">
              <w:rPr>
                <w:rFonts w:eastAsia="Calibri"/>
                <w:sz w:val="20"/>
              </w:rPr>
              <w:t>Ontario Superior Court of Justice</w:t>
            </w:r>
          </w:p>
          <w:p w:rsidR="00A43EF5" w:rsidRPr="006C30BE" w:rsidRDefault="00A43EF5" w:rsidP="002E5A9A">
            <w:pPr>
              <w:spacing w:line="276" w:lineRule="auto"/>
              <w:jc w:val="both"/>
              <w:rPr>
                <w:rFonts w:eastAsia="Calibri"/>
                <w:sz w:val="20"/>
              </w:rPr>
            </w:pPr>
            <w:r w:rsidRPr="006C30BE">
              <w:rPr>
                <w:rFonts w:eastAsia="Calibri"/>
                <w:sz w:val="20"/>
              </w:rPr>
              <w:t>(Wilson J.)</w:t>
            </w:r>
          </w:p>
          <w:p w:rsidR="00A43EF5" w:rsidRPr="006C30BE" w:rsidRDefault="00EB0985" w:rsidP="002E5A9A">
            <w:pPr>
              <w:spacing w:line="276" w:lineRule="auto"/>
              <w:jc w:val="both"/>
              <w:rPr>
                <w:rFonts w:eastAsia="Calibri"/>
                <w:sz w:val="20"/>
              </w:rPr>
            </w:pPr>
            <w:hyperlink r:id="rId24" w:history="1">
              <w:r w:rsidR="00A43EF5" w:rsidRPr="00424A9D">
                <w:rPr>
                  <w:rFonts w:eastAsia="Calibri"/>
                  <w:color w:val="0000FF" w:themeColor="hyperlink"/>
                  <w:sz w:val="20"/>
                  <w:u w:val="single"/>
                </w:rPr>
                <w:t>2014 ONSC 237</w:t>
              </w:r>
            </w:hyperlink>
          </w:p>
          <w:p w:rsidR="00A43EF5" w:rsidRPr="006C30BE" w:rsidRDefault="00A43EF5" w:rsidP="002E5A9A">
            <w:pPr>
              <w:spacing w:line="276" w:lineRule="auto"/>
              <w:jc w:val="both"/>
              <w:rPr>
                <w:rFonts w:eastAsia="Calibri"/>
                <w:sz w:val="20"/>
              </w:rPr>
            </w:pPr>
          </w:p>
        </w:tc>
        <w:tc>
          <w:tcPr>
            <w:tcW w:w="243" w:type="pct"/>
          </w:tcPr>
          <w:p w:rsidR="00A43EF5" w:rsidRPr="006C30BE" w:rsidRDefault="00A43EF5" w:rsidP="002E5A9A">
            <w:pPr>
              <w:spacing w:line="276" w:lineRule="auto"/>
              <w:jc w:val="both"/>
              <w:rPr>
                <w:rFonts w:eastAsia="Calibri"/>
                <w:sz w:val="20"/>
              </w:rPr>
            </w:pPr>
          </w:p>
        </w:tc>
        <w:tc>
          <w:tcPr>
            <w:tcW w:w="2330" w:type="pct"/>
          </w:tcPr>
          <w:p w:rsidR="00A43EF5" w:rsidRPr="006C30BE" w:rsidRDefault="00A43EF5" w:rsidP="002E5A9A">
            <w:pPr>
              <w:spacing w:line="276" w:lineRule="auto"/>
              <w:jc w:val="both"/>
              <w:rPr>
                <w:rFonts w:eastAsia="Calibri"/>
                <w:sz w:val="20"/>
              </w:rPr>
            </w:pPr>
            <w:r w:rsidRPr="006C30BE">
              <w:rPr>
                <w:rFonts w:eastAsia="Calibri"/>
                <w:sz w:val="20"/>
              </w:rPr>
              <w:t xml:space="preserve">Applicant ordered to pay respondent $350,000 in damages. </w:t>
            </w:r>
          </w:p>
          <w:p w:rsidR="00A43EF5" w:rsidRPr="006C30BE" w:rsidRDefault="00A43EF5" w:rsidP="002E5A9A">
            <w:pPr>
              <w:spacing w:line="276" w:lineRule="auto"/>
              <w:jc w:val="both"/>
              <w:rPr>
                <w:rFonts w:eastAsia="Calibri"/>
                <w:sz w:val="20"/>
              </w:rPr>
            </w:pPr>
          </w:p>
        </w:tc>
      </w:tr>
      <w:tr w:rsidR="00A43EF5" w:rsidRPr="006C30BE" w:rsidTr="002E5A9A">
        <w:tc>
          <w:tcPr>
            <w:tcW w:w="2427" w:type="pct"/>
          </w:tcPr>
          <w:p w:rsidR="00A43EF5" w:rsidRPr="006C30BE" w:rsidRDefault="00A43EF5" w:rsidP="002E5A9A">
            <w:pPr>
              <w:spacing w:line="276" w:lineRule="auto"/>
              <w:jc w:val="both"/>
              <w:rPr>
                <w:rFonts w:eastAsia="Calibri"/>
                <w:sz w:val="20"/>
              </w:rPr>
            </w:pPr>
            <w:r w:rsidRPr="006C30BE">
              <w:rPr>
                <w:rFonts w:eastAsia="Calibri"/>
                <w:sz w:val="20"/>
              </w:rPr>
              <w:t>January 29, 2015</w:t>
            </w:r>
          </w:p>
          <w:p w:rsidR="00A43EF5" w:rsidRPr="006C30BE" w:rsidRDefault="00A43EF5" w:rsidP="002E5A9A">
            <w:pPr>
              <w:spacing w:line="276" w:lineRule="auto"/>
              <w:jc w:val="both"/>
              <w:rPr>
                <w:rFonts w:eastAsia="Calibri"/>
                <w:sz w:val="20"/>
              </w:rPr>
            </w:pPr>
            <w:r w:rsidRPr="006C30BE">
              <w:rPr>
                <w:rFonts w:eastAsia="Calibri"/>
                <w:sz w:val="20"/>
              </w:rPr>
              <w:t>Court of Appeal for Ontario</w:t>
            </w:r>
          </w:p>
          <w:p w:rsidR="00A43EF5" w:rsidRPr="006C30BE" w:rsidRDefault="00A43EF5" w:rsidP="002E5A9A">
            <w:pPr>
              <w:spacing w:line="276" w:lineRule="auto"/>
              <w:jc w:val="both"/>
              <w:rPr>
                <w:rFonts w:eastAsia="Calibri"/>
                <w:sz w:val="20"/>
              </w:rPr>
            </w:pPr>
            <w:r w:rsidRPr="006C30BE">
              <w:rPr>
                <w:rFonts w:eastAsia="Calibri"/>
                <w:sz w:val="20"/>
              </w:rPr>
              <w:t>(Laskin, Sharpe and Simmons JJ.A.)</w:t>
            </w:r>
          </w:p>
          <w:p w:rsidR="00A43EF5" w:rsidRPr="006C30BE" w:rsidRDefault="00EB0985" w:rsidP="002E5A9A">
            <w:pPr>
              <w:spacing w:line="276" w:lineRule="auto"/>
              <w:jc w:val="both"/>
              <w:rPr>
                <w:rFonts w:eastAsia="Calibri"/>
                <w:sz w:val="20"/>
              </w:rPr>
            </w:pPr>
            <w:hyperlink r:id="rId25" w:history="1">
              <w:r w:rsidR="00A43EF5" w:rsidRPr="00424A9D">
                <w:rPr>
                  <w:rFonts w:eastAsia="Calibri"/>
                  <w:color w:val="0000FF" w:themeColor="hyperlink"/>
                  <w:sz w:val="20"/>
                  <w:u w:val="single"/>
                </w:rPr>
                <w:t>2015 ONCA 55</w:t>
              </w:r>
            </w:hyperlink>
          </w:p>
          <w:p w:rsidR="00A43EF5" w:rsidRPr="006C30BE" w:rsidRDefault="00A43EF5" w:rsidP="002E5A9A">
            <w:pPr>
              <w:spacing w:line="276" w:lineRule="auto"/>
              <w:jc w:val="both"/>
              <w:rPr>
                <w:rFonts w:eastAsia="Calibri"/>
                <w:sz w:val="20"/>
              </w:rPr>
            </w:pPr>
            <w:r w:rsidRPr="006C30BE">
              <w:rPr>
                <w:rFonts w:eastAsia="Calibri"/>
                <w:sz w:val="20"/>
              </w:rPr>
              <w:t>File No.: C58338</w:t>
            </w:r>
          </w:p>
          <w:p w:rsidR="00A43EF5" w:rsidRPr="006C30BE" w:rsidRDefault="00A43EF5" w:rsidP="002E5A9A">
            <w:pPr>
              <w:spacing w:line="276" w:lineRule="auto"/>
              <w:jc w:val="both"/>
              <w:rPr>
                <w:rFonts w:eastAsia="Calibri"/>
                <w:sz w:val="20"/>
              </w:rPr>
            </w:pPr>
          </w:p>
        </w:tc>
        <w:tc>
          <w:tcPr>
            <w:tcW w:w="243" w:type="pct"/>
          </w:tcPr>
          <w:p w:rsidR="00A43EF5" w:rsidRPr="006C30BE" w:rsidRDefault="00A43EF5" w:rsidP="002E5A9A">
            <w:pPr>
              <w:spacing w:line="276" w:lineRule="auto"/>
              <w:jc w:val="both"/>
              <w:rPr>
                <w:rFonts w:eastAsia="Calibri"/>
                <w:sz w:val="20"/>
              </w:rPr>
            </w:pPr>
          </w:p>
        </w:tc>
        <w:tc>
          <w:tcPr>
            <w:tcW w:w="2330" w:type="pct"/>
          </w:tcPr>
          <w:p w:rsidR="00A43EF5" w:rsidRPr="006C30BE" w:rsidRDefault="00A43EF5" w:rsidP="002E5A9A">
            <w:pPr>
              <w:spacing w:line="276" w:lineRule="auto"/>
              <w:jc w:val="both"/>
              <w:rPr>
                <w:rFonts w:eastAsia="Calibri"/>
                <w:sz w:val="20"/>
              </w:rPr>
            </w:pPr>
            <w:r w:rsidRPr="006C30BE">
              <w:rPr>
                <w:rFonts w:eastAsia="Calibri"/>
                <w:sz w:val="20"/>
              </w:rPr>
              <w:t>Appeal dismissed.</w:t>
            </w:r>
          </w:p>
          <w:p w:rsidR="00A43EF5" w:rsidRPr="006C30BE" w:rsidRDefault="00A43EF5" w:rsidP="002E5A9A">
            <w:pPr>
              <w:spacing w:line="276" w:lineRule="auto"/>
              <w:jc w:val="both"/>
              <w:rPr>
                <w:rFonts w:eastAsia="Calibri"/>
                <w:sz w:val="20"/>
              </w:rPr>
            </w:pPr>
          </w:p>
        </w:tc>
      </w:tr>
      <w:tr w:rsidR="00A43EF5" w:rsidRPr="006C30BE" w:rsidTr="002E5A9A">
        <w:tc>
          <w:tcPr>
            <w:tcW w:w="2427" w:type="pct"/>
            <w:hideMark/>
          </w:tcPr>
          <w:p w:rsidR="00A43EF5" w:rsidRPr="006C30BE" w:rsidRDefault="00A43EF5" w:rsidP="002E5A9A">
            <w:pPr>
              <w:spacing w:line="276" w:lineRule="auto"/>
              <w:jc w:val="both"/>
              <w:rPr>
                <w:rFonts w:eastAsia="Calibri"/>
                <w:sz w:val="20"/>
              </w:rPr>
            </w:pPr>
            <w:r w:rsidRPr="006C30BE">
              <w:rPr>
                <w:rFonts w:eastAsia="Calibri"/>
                <w:sz w:val="20"/>
              </w:rPr>
              <w:t>March 30, 2015</w:t>
            </w:r>
          </w:p>
          <w:p w:rsidR="00A43EF5" w:rsidRPr="006C30BE" w:rsidRDefault="00A43EF5" w:rsidP="002E5A9A">
            <w:pPr>
              <w:spacing w:line="276" w:lineRule="auto"/>
              <w:jc w:val="both"/>
              <w:rPr>
                <w:rFonts w:eastAsia="Calibri"/>
                <w:sz w:val="20"/>
              </w:rPr>
            </w:pPr>
            <w:r w:rsidRPr="006C30BE">
              <w:rPr>
                <w:rFonts w:eastAsia="Calibri"/>
                <w:sz w:val="20"/>
              </w:rPr>
              <w:t>Supreme Court of Canada</w:t>
            </w:r>
          </w:p>
        </w:tc>
        <w:tc>
          <w:tcPr>
            <w:tcW w:w="243" w:type="pct"/>
          </w:tcPr>
          <w:p w:rsidR="00A43EF5" w:rsidRPr="006C30BE" w:rsidRDefault="00A43EF5" w:rsidP="002E5A9A">
            <w:pPr>
              <w:spacing w:line="276" w:lineRule="auto"/>
              <w:jc w:val="both"/>
              <w:rPr>
                <w:rFonts w:eastAsia="Calibri"/>
                <w:sz w:val="20"/>
              </w:rPr>
            </w:pPr>
          </w:p>
        </w:tc>
        <w:tc>
          <w:tcPr>
            <w:tcW w:w="2330" w:type="pct"/>
          </w:tcPr>
          <w:p w:rsidR="00A43EF5" w:rsidRPr="006C30BE" w:rsidRDefault="00A43EF5" w:rsidP="002E5A9A">
            <w:pPr>
              <w:spacing w:line="276" w:lineRule="auto"/>
              <w:jc w:val="both"/>
              <w:rPr>
                <w:rFonts w:eastAsia="Calibri"/>
                <w:sz w:val="20"/>
              </w:rPr>
            </w:pPr>
            <w:r w:rsidRPr="006C30BE">
              <w:rPr>
                <w:rFonts w:eastAsia="Calibri"/>
                <w:sz w:val="20"/>
              </w:rPr>
              <w:t>Application for leave to appeal filed.</w:t>
            </w:r>
          </w:p>
          <w:p w:rsidR="00A43EF5" w:rsidRPr="006C30BE" w:rsidRDefault="00A43EF5" w:rsidP="002E5A9A">
            <w:pPr>
              <w:spacing w:line="276" w:lineRule="auto"/>
              <w:jc w:val="both"/>
              <w:rPr>
                <w:rFonts w:eastAsia="Calibri"/>
                <w:sz w:val="20"/>
              </w:rPr>
            </w:pPr>
          </w:p>
        </w:tc>
      </w:tr>
    </w:tbl>
    <w:p w:rsidR="00A43EF5" w:rsidRPr="00A030C5" w:rsidRDefault="00A43EF5" w:rsidP="00A43EF5">
      <w:pPr>
        <w:rPr>
          <w:sz w:val="20"/>
          <w:szCs w:val="20"/>
          <w:lang w:val="en-US"/>
        </w:rPr>
      </w:pPr>
    </w:p>
    <w:p w:rsidR="00A43EF5" w:rsidRPr="00C50A5C" w:rsidRDefault="00EB0985" w:rsidP="00A43EF5">
      <w:pPr>
        <w:rPr>
          <w:sz w:val="20"/>
          <w:szCs w:val="20"/>
        </w:rPr>
      </w:pPr>
      <w:r>
        <w:rPr>
          <w:sz w:val="20"/>
          <w:szCs w:val="20"/>
          <w:lang w:val="fr-CA"/>
        </w:rPr>
        <w:pict>
          <v:rect id="_x0000_i1048" style="width:2in;height:1pt" o:hrpct="0" o:hralign="center" o:hrstd="t" o:hrnoshade="t" o:hr="t" fillcolor="black [3213]" stroked="f"/>
        </w:pict>
      </w:r>
    </w:p>
    <w:p w:rsidR="00A43EF5" w:rsidRDefault="00A43EF5" w:rsidP="00A43EF5">
      <w:pPr>
        <w:rPr>
          <w:sz w:val="20"/>
          <w:szCs w:val="20"/>
        </w:rPr>
      </w:pPr>
    </w:p>
    <w:p w:rsidR="00A43EF5" w:rsidRPr="001B157C" w:rsidRDefault="00A43EF5" w:rsidP="00A43EF5">
      <w:pPr>
        <w:rPr>
          <w:sz w:val="20"/>
          <w:szCs w:val="20"/>
          <w:u w:val="single"/>
          <w:lang w:val="fr-CA"/>
        </w:rPr>
      </w:pPr>
      <w:r w:rsidRPr="001B157C">
        <w:rPr>
          <w:sz w:val="20"/>
          <w:szCs w:val="20"/>
          <w:u w:val="single"/>
          <w:lang w:val="fr-CA"/>
        </w:rPr>
        <w:t>RÉSUMÉ DE L’AFFAIRE</w:t>
      </w:r>
    </w:p>
    <w:p w:rsidR="00A43EF5" w:rsidRDefault="00A43EF5" w:rsidP="00A43EF5">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A43EF5" w:rsidRPr="00EB0985" w:rsidTr="002E5A9A">
        <w:tc>
          <w:tcPr>
            <w:tcW w:w="5000" w:type="pct"/>
            <w:gridSpan w:val="3"/>
          </w:tcPr>
          <w:p w:rsidR="00A43EF5" w:rsidRPr="006C30BE" w:rsidRDefault="00A43EF5" w:rsidP="002E5A9A">
            <w:pPr>
              <w:spacing w:line="276" w:lineRule="auto"/>
              <w:jc w:val="both"/>
              <w:rPr>
                <w:rFonts w:eastAsia="Calibri"/>
                <w:sz w:val="20"/>
                <w:lang w:val="fr-CA"/>
              </w:rPr>
            </w:pPr>
            <w:r w:rsidRPr="006C30BE">
              <w:rPr>
                <w:rFonts w:eastAsia="Calibri"/>
                <w:sz w:val="20"/>
                <w:lang w:val="fr-CA"/>
              </w:rPr>
              <w:t xml:space="preserve">Responsabilité délictuelle ― Négligence ― Faute professionnelle médicale ― Contentieux civil ― Preuve d’expert ― Nouveau procès ― Dommages-intérêts octroyés à l’intimé au terme d’une action pour faute professionnelle médicale ― Conclusion de la Cour d’appel que les erreurs de la juridiction inférieure n’ont pas influé sur le résultat et n’ont donné lieu à aucun tort important ni erreur judiciaire grave ― Rejet de l’appel par la Cour d’appel ― Quels principes faut-il prendre en considération pour décider s’il y a lieu d’ordonner la tenue d’un nouveau procès dans une action civile? ― </w:t>
            </w:r>
            <w:r w:rsidRPr="006C30BE">
              <w:rPr>
                <w:rFonts w:eastAsia="Calibri"/>
                <w:i/>
                <w:sz w:val="20"/>
                <w:lang w:val="fr-CA"/>
              </w:rPr>
              <w:t>Loi sur les tribunaux judiciaires</w:t>
            </w:r>
            <w:r w:rsidRPr="006C30BE">
              <w:rPr>
                <w:rFonts w:eastAsia="Calibri"/>
                <w:sz w:val="20"/>
                <w:lang w:val="fr-CA"/>
              </w:rPr>
              <w:t>, L.R.O. 1990, c. C-43, art. 134(6).</w:t>
            </w:r>
          </w:p>
        </w:tc>
      </w:tr>
      <w:tr w:rsidR="00A43EF5" w:rsidRPr="00EB0985" w:rsidTr="002E5A9A">
        <w:tc>
          <w:tcPr>
            <w:tcW w:w="5000" w:type="pct"/>
            <w:gridSpan w:val="3"/>
          </w:tcPr>
          <w:p w:rsidR="00A43EF5" w:rsidRPr="006C30BE" w:rsidRDefault="00A43EF5" w:rsidP="002E5A9A">
            <w:pPr>
              <w:spacing w:line="276" w:lineRule="auto"/>
              <w:jc w:val="both"/>
              <w:rPr>
                <w:rFonts w:eastAsia="Calibri"/>
                <w:sz w:val="20"/>
                <w:lang w:val="fr-CA"/>
              </w:rPr>
            </w:pPr>
          </w:p>
        </w:tc>
      </w:tr>
      <w:tr w:rsidR="00A43EF5" w:rsidRPr="006C30BE" w:rsidTr="002E5A9A">
        <w:tc>
          <w:tcPr>
            <w:tcW w:w="5000" w:type="pct"/>
            <w:gridSpan w:val="3"/>
          </w:tcPr>
          <w:p w:rsidR="00A43EF5" w:rsidRPr="006C30BE" w:rsidRDefault="00A43EF5" w:rsidP="002E5A9A">
            <w:pPr>
              <w:spacing w:line="276" w:lineRule="auto"/>
              <w:jc w:val="both"/>
              <w:rPr>
                <w:rFonts w:eastAsia="Calibri"/>
                <w:sz w:val="20"/>
                <w:lang w:val="fr-CA"/>
              </w:rPr>
            </w:pPr>
            <w:r w:rsidRPr="006C30BE">
              <w:rPr>
                <w:rFonts w:eastAsia="Calibri"/>
                <w:sz w:val="20"/>
                <w:lang w:val="fr-CA"/>
              </w:rPr>
              <w:t xml:space="preserve">À la suite d’un accident de motocyclette, l’intimé a été soigné pour fracture au poignet droit par le demandeur, un chirurgien orthopédiste. Un plâtre circonférentiel complet a été posé sur le poignet et l’avant-bras. L’intimé a subi des dommages permanents aux muscles du bras à cause du syndrome des loges qui, selon ses dires, est imputable à la négligence dont a fait preuve le demandeur dans la pose du plâtre complet. </w:t>
            </w:r>
          </w:p>
          <w:p w:rsidR="00A43EF5" w:rsidRPr="006C30BE" w:rsidRDefault="00A43EF5" w:rsidP="002E5A9A">
            <w:pPr>
              <w:spacing w:line="276" w:lineRule="auto"/>
              <w:jc w:val="both"/>
              <w:rPr>
                <w:rFonts w:eastAsia="Calibri"/>
                <w:sz w:val="20"/>
                <w:lang w:val="fr-CA"/>
              </w:rPr>
            </w:pPr>
          </w:p>
          <w:p w:rsidR="00A43EF5" w:rsidRPr="006C30BE" w:rsidRDefault="00A43EF5" w:rsidP="002E5A9A">
            <w:pPr>
              <w:spacing w:line="276" w:lineRule="auto"/>
              <w:jc w:val="both"/>
              <w:rPr>
                <w:rFonts w:eastAsia="Calibri"/>
                <w:sz w:val="20"/>
                <w:lang w:val="fr-CA"/>
              </w:rPr>
            </w:pPr>
            <w:r w:rsidRPr="006C30BE">
              <w:rPr>
                <w:rFonts w:eastAsia="Calibri"/>
                <w:sz w:val="20"/>
                <w:lang w:val="fr-CA"/>
              </w:rPr>
              <w:t xml:space="preserve">La juge de première instance a estimé que la pose du plâtre circonférentiel complet constituait un manquement à la norme de prudence et avait causé l’apparition du syndrome des loges. Elle a condamné le demandeur à verser 350 000 $ en dommages-intérêts. La Cour d’appel a rejeté l’appel.  </w:t>
            </w:r>
          </w:p>
          <w:p w:rsidR="00A43EF5" w:rsidRPr="006C30BE" w:rsidRDefault="00A43EF5" w:rsidP="002E5A9A">
            <w:pPr>
              <w:spacing w:line="276" w:lineRule="auto"/>
              <w:jc w:val="both"/>
              <w:rPr>
                <w:rFonts w:eastAsia="Calibri"/>
                <w:sz w:val="20"/>
                <w:lang w:val="fr-CA"/>
              </w:rPr>
            </w:pPr>
          </w:p>
        </w:tc>
      </w:tr>
      <w:tr w:rsidR="00A43EF5" w:rsidRPr="00EB0985" w:rsidTr="002E5A9A">
        <w:tc>
          <w:tcPr>
            <w:tcW w:w="2427" w:type="pct"/>
          </w:tcPr>
          <w:p w:rsidR="00A43EF5" w:rsidRPr="006C30BE" w:rsidRDefault="00A43EF5" w:rsidP="002E5A9A">
            <w:pPr>
              <w:spacing w:line="276" w:lineRule="auto"/>
              <w:jc w:val="both"/>
              <w:rPr>
                <w:rFonts w:eastAsia="Calibri"/>
                <w:sz w:val="20"/>
                <w:lang w:val="fr-CA"/>
              </w:rPr>
            </w:pPr>
            <w:r w:rsidRPr="006C30BE">
              <w:rPr>
                <w:rFonts w:eastAsia="Calibri"/>
                <w:sz w:val="20"/>
                <w:lang w:val="fr-CA"/>
              </w:rPr>
              <w:t>14 janvier 2014</w:t>
            </w:r>
          </w:p>
          <w:p w:rsidR="00A43EF5" w:rsidRPr="006C30BE" w:rsidRDefault="00A43EF5" w:rsidP="002E5A9A">
            <w:pPr>
              <w:spacing w:line="276" w:lineRule="auto"/>
              <w:jc w:val="both"/>
              <w:rPr>
                <w:rFonts w:eastAsia="Calibri"/>
                <w:sz w:val="20"/>
                <w:lang w:val="fr-CA"/>
              </w:rPr>
            </w:pPr>
            <w:r w:rsidRPr="006C30BE">
              <w:rPr>
                <w:rFonts w:eastAsia="Calibri"/>
                <w:sz w:val="20"/>
                <w:lang w:val="fr-CA"/>
              </w:rPr>
              <w:t xml:space="preserve">Cour supérieure de justice de l’Ontario </w:t>
            </w:r>
          </w:p>
          <w:p w:rsidR="00A43EF5" w:rsidRPr="006C30BE" w:rsidRDefault="00A43EF5" w:rsidP="002E5A9A">
            <w:pPr>
              <w:spacing w:line="276" w:lineRule="auto"/>
              <w:jc w:val="both"/>
              <w:rPr>
                <w:rFonts w:eastAsia="Calibri"/>
                <w:sz w:val="20"/>
              </w:rPr>
            </w:pPr>
            <w:r w:rsidRPr="006C30BE">
              <w:rPr>
                <w:rFonts w:eastAsia="Calibri"/>
                <w:sz w:val="20"/>
              </w:rPr>
              <w:t>(Juge Wilson)</w:t>
            </w:r>
          </w:p>
          <w:p w:rsidR="00A43EF5" w:rsidRPr="006C30BE" w:rsidRDefault="00EB0985" w:rsidP="002E5A9A">
            <w:pPr>
              <w:spacing w:line="276" w:lineRule="auto"/>
              <w:jc w:val="both"/>
              <w:rPr>
                <w:rFonts w:eastAsia="Calibri"/>
                <w:sz w:val="20"/>
              </w:rPr>
            </w:pPr>
            <w:hyperlink r:id="rId26" w:history="1">
              <w:r w:rsidR="00A43EF5" w:rsidRPr="00424A9D">
                <w:rPr>
                  <w:rFonts w:eastAsia="Calibri"/>
                  <w:color w:val="0000FF" w:themeColor="hyperlink"/>
                  <w:sz w:val="20"/>
                  <w:u w:val="single"/>
                </w:rPr>
                <w:t>2014 ONSC 237</w:t>
              </w:r>
            </w:hyperlink>
          </w:p>
          <w:p w:rsidR="00A43EF5" w:rsidRPr="006C30BE" w:rsidRDefault="00A43EF5" w:rsidP="002E5A9A">
            <w:pPr>
              <w:spacing w:line="276" w:lineRule="auto"/>
              <w:jc w:val="both"/>
              <w:rPr>
                <w:rFonts w:eastAsia="Calibri"/>
                <w:sz w:val="20"/>
              </w:rPr>
            </w:pPr>
          </w:p>
        </w:tc>
        <w:tc>
          <w:tcPr>
            <w:tcW w:w="243" w:type="pct"/>
          </w:tcPr>
          <w:p w:rsidR="00A43EF5" w:rsidRPr="006C30BE" w:rsidRDefault="00A43EF5" w:rsidP="002E5A9A">
            <w:pPr>
              <w:spacing w:line="276" w:lineRule="auto"/>
              <w:jc w:val="both"/>
              <w:rPr>
                <w:rFonts w:eastAsia="Calibri"/>
                <w:sz w:val="20"/>
              </w:rPr>
            </w:pPr>
          </w:p>
        </w:tc>
        <w:tc>
          <w:tcPr>
            <w:tcW w:w="2330" w:type="pct"/>
          </w:tcPr>
          <w:p w:rsidR="00A43EF5" w:rsidRPr="006C30BE" w:rsidRDefault="00A43EF5" w:rsidP="002E5A9A">
            <w:pPr>
              <w:spacing w:line="276" w:lineRule="auto"/>
              <w:jc w:val="both"/>
              <w:rPr>
                <w:rFonts w:eastAsia="Calibri"/>
                <w:sz w:val="20"/>
                <w:lang w:val="fr-CA"/>
              </w:rPr>
            </w:pPr>
            <w:r w:rsidRPr="006C30BE">
              <w:rPr>
                <w:rFonts w:eastAsia="Calibri"/>
                <w:sz w:val="20"/>
                <w:lang w:val="fr-CA"/>
              </w:rPr>
              <w:t xml:space="preserve">Demandeur condamné à payer 350 000 $ en dommages-intérêts à l’intimé. </w:t>
            </w:r>
          </w:p>
          <w:p w:rsidR="00A43EF5" w:rsidRPr="006C30BE" w:rsidRDefault="00A43EF5" w:rsidP="002E5A9A">
            <w:pPr>
              <w:spacing w:line="276" w:lineRule="auto"/>
              <w:jc w:val="both"/>
              <w:rPr>
                <w:rFonts w:eastAsia="Calibri"/>
                <w:sz w:val="20"/>
                <w:lang w:val="fr-CA"/>
              </w:rPr>
            </w:pPr>
          </w:p>
        </w:tc>
      </w:tr>
      <w:tr w:rsidR="00A43EF5" w:rsidRPr="006C30BE" w:rsidTr="002E5A9A">
        <w:tc>
          <w:tcPr>
            <w:tcW w:w="2427" w:type="pct"/>
          </w:tcPr>
          <w:p w:rsidR="00A43EF5" w:rsidRPr="006C30BE" w:rsidRDefault="00A43EF5" w:rsidP="002E5A9A">
            <w:pPr>
              <w:spacing w:line="276" w:lineRule="auto"/>
              <w:jc w:val="both"/>
              <w:rPr>
                <w:rFonts w:eastAsia="Calibri"/>
                <w:sz w:val="20"/>
                <w:lang w:val="fr-CA"/>
              </w:rPr>
            </w:pPr>
            <w:r w:rsidRPr="006C30BE">
              <w:rPr>
                <w:rFonts w:eastAsia="Calibri"/>
                <w:sz w:val="20"/>
                <w:lang w:val="fr-CA"/>
              </w:rPr>
              <w:t>29 janvier 2015</w:t>
            </w:r>
          </w:p>
          <w:p w:rsidR="00A43EF5" w:rsidRPr="006C30BE" w:rsidRDefault="00A43EF5" w:rsidP="002E5A9A">
            <w:pPr>
              <w:spacing w:line="276" w:lineRule="auto"/>
              <w:jc w:val="both"/>
              <w:rPr>
                <w:rFonts w:eastAsia="Calibri"/>
                <w:sz w:val="20"/>
                <w:lang w:val="fr-CA"/>
              </w:rPr>
            </w:pPr>
            <w:r w:rsidRPr="006C30BE">
              <w:rPr>
                <w:rFonts w:eastAsia="Calibri"/>
                <w:sz w:val="20"/>
                <w:lang w:val="fr-CA"/>
              </w:rPr>
              <w:t>Cour d’appel de l’Ontario</w:t>
            </w:r>
          </w:p>
          <w:p w:rsidR="00A43EF5" w:rsidRPr="006C30BE" w:rsidRDefault="00A43EF5" w:rsidP="002E5A9A">
            <w:pPr>
              <w:spacing w:line="276" w:lineRule="auto"/>
              <w:jc w:val="both"/>
              <w:rPr>
                <w:rFonts w:eastAsia="Calibri"/>
                <w:sz w:val="20"/>
                <w:lang w:val="fr-CA"/>
              </w:rPr>
            </w:pPr>
            <w:r w:rsidRPr="006C30BE">
              <w:rPr>
                <w:rFonts w:eastAsia="Calibri"/>
                <w:sz w:val="20"/>
                <w:lang w:val="fr-CA"/>
              </w:rPr>
              <w:t>(Juges Laskin, Sharpe et Simmons)</w:t>
            </w:r>
          </w:p>
          <w:p w:rsidR="00A43EF5" w:rsidRPr="006C30BE" w:rsidRDefault="00EB0985" w:rsidP="002E5A9A">
            <w:pPr>
              <w:spacing w:line="276" w:lineRule="auto"/>
              <w:jc w:val="both"/>
              <w:rPr>
                <w:rFonts w:eastAsia="Calibri"/>
                <w:sz w:val="20"/>
                <w:lang w:val="fr-CA"/>
              </w:rPr>
            </w:pPr>
            <w:hyperlink r:id="rId27" w:history="1">
              <w:r w:rsidR="00A43EF5" w:rsidRPr="00424A9D">
                <w:rPr>
                  <w:rFonts w:eastAsia="Calibri"/>
                  <w:color w:val="0000FF" w:themeColor="hyperlink"/>
                  <w:sz w:val="20"/>
                  <w:u w:val="single"/>
                  <w:lang w:val="fr-CA"/>
                </w:rPr>
                <w:t>2015 ONCA 55</w:t>
              </w:r>
            </w:hyperlink>
          </w:p>
          <w:p w:rsidR="00A43EF5" w:rsidRPr="006C30BE" w:rsidRDefault="00A43EF5" w:rsidP="002E5A9A">
            <w:pPr>
              <w:spacing w:line="276" w:lineRule="auto"/>
              <w:jc w:val="both"/>
              <w:rPr>
                <w:rFonts w:eastAsia="Calibri"/>
                <w:sz w:val="20"/>
              </w:rPr>
            </w:pPr>
            <w:r w:rsidRPr="006C30BE">
              <w:rPr>
                <w:rFonts w:eastAsia="Calibri"/>
                <w:sz w:val="20"/>
              </w:rPr>
              <w:t>N</w:t>
            </w:r>
            <w:r w:rsidRPr="006C30BE">
              <w:rPr>
                <w:rFonts w:eastAsia="Calibri"/>
                <w:sz w:val="20"/>
                <w:vertAlign w:val="superscript"/>
              </w:rPr>
              <w:t>o</w:t>
            </w:r>
            <w:r w:rsidRPr="006C30BE">
              <w:rPr>
                <w:rFonts w:eastAsia="Calibri"/>
                <w:sz w:val="20"/>
              </w:rPr>
              <w:t xml:space="preserve"> du greffe : C58338</w:t>
            </w:r>
          </w:p>
          <w:p w:rsidR="00A43EF5" w:rsidRPr="006C30BE" w:rsidRDefault="00A43EF5" w:rsidP="002E5A9A">
            <w:pPr>
              <w:spacing w:line="276" w:lineRule="auto"/>
              <w:jc w:val="both"/>
              <w:rPr>
                <w:rFonts w:eastAsia="Calibri"/>
                <w:sz w:val="20"/>
              </w:rPr>
            </w:pPr>
          </w:p>
        </w:tc>
        <w:tc>
          <w:tcPr>
            <w:tcW w:w="243" w:type="pct"/>
          </w:tcPr>
          <w:p w:rsidR="00A43EF5" w:rsidRPr="006C30BE" w:rsidRDefault="00A43EF5" w:rsidP="002E5A9A">
            <w:pPr>
              <w:spacing w:line="276" w:lineRule="auto"/>
              <w:jc w:val="both"/>
              <w:rPr>
                <w:rFonts w:eastAsia="Calibri"/>
                <w:sz w:val="20"/>
              </w:rPr>
            </w:pPr>
          </w:p>
        </w:tc>
        <w:tc>
          <w:tcPr>
            <w:tcW w:w="2330" w:type="pct"/>
          </w:tcPr>
          <w:p w:rsidR="00A43EF5" w:rsidRPr="006C30BE" w:rsidRDefault="00A43EF5" w:rsidP="002E5A9A">
            <w:pPr>
              <w:spacing w:line="276" w:lineRule="auto"/>
              <w:jc w:val="both"/>
              <w:rPr>
                <w:rFonts w:eastAsia="Calibri"/>
                <w:sz w:val="20"/>
                <w:lang w:val="fr-CA"/>
              </w:rPr>
            </w:pPr>
            <w:r w:rsidRPr="006C30BE">
              <w:rPr>
                <w:rFonts w:eastAsia="Calibri"/>
                <w:sz w:val="20"/>
                <w:lang w:val="fr-CA"/>
              </w:rPr>
              <w:t>Rejet de l’appel.</w:t>
            </w:r>
          </w:p>
          <w:p w:rsidR="00A43EF5" w:rsidRPr="006C30BE" w:rsidRDefault="00A43EF5" w:rsidP="002E5A9A">
            <w:pPr>
              <w:spacing w:line="276" w:lineRule="auto"/>
              <w:jc w:val="both"/>
              <w:rPr>
                <w:rFonts w:eastAsia="Calibri"/>
                <w:sz w:val="20"/>
                <w:lang w:val="fr-CA"/>
              </w:rPr>
            </w:pPr>
          </w:p>
        </w:tc>
      </w:tr>
      <w:tr w:rsidR="00A43EF5" w:rsidRPr="00EB0985" w:rsidTr="002E5A9A">
        <w:tc>
          <w:tcPr>
            <w:tcW w:w="2427" w:type="pct"/>
            <w:hideMark/>
          </w:tcPr>
          <w:p w:rsidR="00A43EF5" w:rsidRPr="006C30BE" w:rsidRDefault="00A43EF5" w:rsidP="002E5A9A">
            <w:pPr>
              <w:spacing w:line="276" w:lineRule="auto"/>
              <w:jc w:val="both"/>
              <w:rPr>
                <w:rFonts w:eastAsia="Calibri"/>
                <w:sz w:val="20"/>
                <w:lang w:val="fr-CA"/>
              </w:rPr>
            </w:pPr>
            <w:r w:rsidRPr="006C30BE">
              <w:rPr>
                <w:rFonts w:eastAsia="Calibri"/>
                <w:sz w:val="20"/>
                <w:lang w:val="fr-CA"/>
              </w:rPr>
              <w:t>30 mars 2015</w:t>
            </w:r>
          </w:p>
          <w:p w:rsidR="00A43EF5" w:rsidRPr="006C30BE" w:rsidRDefault="00A43EF5" w:rsidP="002E5A9A">
            <w:pPr>
              <w:spacing w:line="276" w:lineRule="auto"/>
              <w:jc w:val="both"/>
              <w:rPr>
                <w:rFonts w:eastAsia="Calibri"/>
                <w:sz w:val="20"/>
                <w:lang w:val="fr-CA"/>
              </w:rPr>
            </w:pPr>
            <w:r w:rsidRPr="006C30BE">
              <w:rPr>
                <w:rFonts w:eastAsia="Calibri"/>
                <w:sz w:val="20"/>
                <w:lang w:val="fr-CA"/>
              </w:rPr>
              <w:t>Cour suprême du Canada</w:t>
            </w:r>
          </w:p>
        </w:tc>
        <w:tc>
          <w:tcPr>
            <w:tcW w:w="243" w:type="pct"/>
          </w:tcPr>
          <w:p w:rsidR="00A43EF5" w:rsidRPr="006C30BE" w:rsidRDefault="00A43EF5" w:rsidP="002E5A9A">
            <w:pPr>
              <w:spacing w:line="276" w:lineRule="auto"/>
              <w:jc w:val="both"/>
              <w:rPr>
                <w:rFonts w:eastAsia="Calibri"/>
                <w:sz w:val="20"/>
                <w:lang w:val="fr-CA"/>
              </w:rPr>
            </w:pPr>
          </w:p>
        </w:tc>
        <w:tc>
          <w:tcPr>
            <w:tcW w:w="2330" w:type="pct"/>
          </w:tcPr>
          <w:p w:rsidR="00A43EF5" w:rsidRPr="006C30BE" w:rsidRDefault="00A43EF5" w:rsidP="002E5A9A">
            <w:pPr>
              <w:spacing w:line="276" w:lineRule="auto"/>
              <w:jc w:val="both"/>
              <w:rPr>
                <w:rFonts w:eastAsia="Calibri"/>
                <w:sz w:val="20"/>
                <w:lang w:val="fr-CA"/>
              </w:rPr>
            </w:pPr>
            <w:r w:rsidRPr="006C30BE">
              <w:rPr>
                <w:rFonts w:eastAsia="Calibri"/>
                <w:sz w:val="20"/>
                <w:lang w:val="fr-CA"/>
              </w:rPr>
              <w:t>Dépôt de la demande d’autorisation d’appel.</w:t>
            </w:r>
          </w:p>
          <w:p w:rsidR="00A43EF5" w:rsidRPr="006C30BE" w:rsidRDefault="00A43EF5" w:rsidP="002E5A9A">
            <w:pPr>
              <w:spacing w:line="276" w:lineRule="auto"/>
              <w:jc w:val="both"/>
              <w:rPr>
                <w:rFonts w:eastAsia="Calibri"/>
                <w:sz w:val="20"/>
                <w:lang w:val="fr-CA"/>
              </w:rPr>
            </w:pPr>
          </w:p>
        </w:tc>
      </w:tr>
    </w:tbl>
    <w:p w:rsidR="00A43EF5" w:rsidRPr="00A030C5" w:rsidRDefault="00A43EF5" w:rsidP="00A43EF5">
      <w:pPr>
        <w:rPr>
          <w:sz w:val="20"/>
          <w:szCs w:val="20"/>
          <w:lang w:val="fr-CA"/>
        </w:rPr>
      </w:pPr>
    </w:p>
    <w:p w:rsidR="00A43EF5" w:rsidRDefault="00EB0985" w:rsidP="00A43EF5">
      <w:pPr>
        <w:rPr>
          <w:sz w:val="20"/>
          <w:szCs w:val="20"/>
        </w:rPr>
      </w:pPr>
      <w:r>
        <w:rPr>
          <w:sz w:val="20"/>
          <w:szCs w:val="20"/>
          <w:lang w:val="fr-CA"/>
        </w:rPr>
        <w:pict>
          <v:rect id="_x0000_i1049" style="width:2in;height:1pt" o:hrpct="0" o:hralign="center" o:hrstd="t" o:hrnoshade="t" o:hr="t" fillcolor="black [3213]" stroked="f"/>
        </w:pict>
      </w:r>
    </w:p>
    <w:p w:rsidR="00A43EF5" w:rsidRPr="00A43EF5" w:rsidRDefault="00A43EF5" w:rsidP="00A43EF5">
      <w:pPr>
        <w:rPr>
          <w:rFonts w:cs="Times New Roman"/>
          <w:sz w:val="20"/>
          <w:szCs w:val="20"/>
          <w:lang w:val="fr-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43EF5" w:rsidRPr="00A43EF5" w:rsidTr="002E5A9A">
        <w:trPr>
          <w:cantSplit/>
        </w:trPr>
        <w:tc>
          <w:tcPr>
            <w:tcW w:w="1458" w:type="dxa"/>
          </w:tcPr>
          <w:p w:rsidR="00A43EF5" w:rsidRPr="00A43EF5" w:rsidRDefault="00A43EF5" w:rsidP="00A43EF5">
            <w:pPr>
              <w:rPr>
                <w:rFonts w:cs="Times New Roman"/>
                <w:sz w:val="20"/>
                <w:szCs w:val="20"/>
              </w:rPr>
            </w:pPr>
            <w:r w:rsidRPr="00A43EF5">
              <w:rPr>
                <w:rFonts w:cs="Times New Roman"/>
                <w:b/>
                <w:sz w:val="20"/>
                <w:szCs w:val="20"/>
                <w:lang w:val="fr-CA"/>
              </w:rPr>
              <w:t>36434</w:t>
            </w:r>
          </w:p>
          <w:p w:rsidR="00A43EF5" w:rsidRPr="00A43EF5" w:rsidRDefault="00A43EF5" w:rsidP="00A43EF5">
            <w:pPr>
              <w:rPr>
                <w:rFonts w:cs="Times New Roman"/>
                <w:b/>
                <w:sz w:val="20"/>
                <w:szCs w:val="20"/>
                <w:lang w:val="fr-CA"/>
              </w:rPr>
            </w:pPr>
          </w:p>
        </w:tc>
        <w:tc>
          <w:tcPr>
            <w:tcW w:w="8118" w:type="dxa"/>
          </w:tcPr>
          <w:p w:rsidR="00A43EF5" w:rsidRPr="00A43EF5" w:rsidRDefault="00A43EF5" w:rsidP="00A43EF5">
            <w:pPr>
              <w:rPr>
                <w:rFonts w:cs="Times New Roman"/>
                <w:sz w:val="20"/>
                <w:szCs w:val="20"/>
              </w:rPr>
            </w:pPr>
            <w:r w:rsidRPr="00A43EF5">
              <w:rPr>
                <w:rFonts w:cs="Times New Roman"/>
                <w:b/>
                <w:sz w:val="20"/>
                <w:szCs w:val="20"/>
                <w:u w:val="single"/>
                <w:lang w:val="en-US"/>
              </w:rPr>
              <w:t>Susan Steel v. Coast Capital Savings Credit Union</w:t>
            </w:r>
            <w:r w:rsidRPr="00A43EF5">
              <w:rPr>
                <w:rFonts w:cs="Times New Roman"/>
                <w:sz w:val="20"/>
                <w:szCs w:val="20"/>
              </w:rPr>
              <w:t xml:space="preserve"> (B.C.) (Civil) (By Leave)</w:t>
            </w:r>
          </w:p>
          <w:p w:rsidR="00A43EF5" w:rsidRPr="00A43EF5" w:rsidRDefault="00A43EF5" w:rsidP="00A43EF5">
            <w:pPr>
              <w:rPr>
                <w:rFonts w:cs="Times New Roman"/>
                <w:sz w:val="20"/>
                <w:szCs w:val="20"/>
              </w:rPr>
            </w:pPr>
          </w:p>
        </w:tc>
      </w:tr>
      <w:tr w:rsidR="00A43EF5" w:rsidRPr="00A43EF5" w:rsidTr="002E5A9A">
        <w:trPr>
          <w:cantSplit/>
        </w:trPr>
        <w:tc>
          <w:tcPr>
            <w:tcW w:w="1458" w:type="dxa"/>
          </w:tcPr>
          <w:p w:rsidR="00A43EF5" w:rsidRPr="00A43EF5" w:rsidRDefault="00A43EF5" w:rsidP="00A43EF5">
            <w:pPr>
              <w:rPr>
                <w:rFonts w:cs="Times New Roman"/>
                <w:sz w:val="20"/>
                <w:szCs w:val="20"/>
              </w:rPr>
            </w:pPr>
            <w:r w:rsidRPr="00A43EF5">
              <w:rPr>
                <w:rFonts w:cs="Times New Roman"/>
                <w:sz w:val="20"/>
                <w:szCs w:val="20"/>
              </w:rPr>
              <w:t>Coram :</w:t>
            </w:r>
          </w:p>
        </w:tc>
        <w:tc>
          <w:tcPr>
            <w:tcW w:w="8118" w:type="dxa"/>
          </w:tcPr>
          <w:p w:rsidR="00A43EF5" w:rsidRPr="00A43EF5" w:rsidRDefault="00A43EF5" w:rsidP="00A43EF5">
            <w:pPr>
              <w:rPr>
                <w:rFonts w:cs="Times New Roman"/>
                <w:sz w:val="20"/>
                <w:szCs w:val="20"/>
              </w:rPr>
            </w:pPr>
            <w:r w:rsidRPr="00A43EF5">
              <w:rPr>
                <w:rFonts w:cs="Times New Roman"/>
                <w:sz w:val="20"/>
                <w:szCs w:val="20"/>
                <w:u w:val="single"/>
                <w:lang w:val="en-US"/>
              </w:rPr>
              <w:t>McLachlin C.J. and Wagner and Gascon JJ.</w:t>
            </w:r>
          </w:p>
          <w:p w:rsidR="00A43EF5" w:rsidRPr="00A43EF5" w:rsidRDefault="00A43EF5" w:rsidP="00A43EF5">
            <w:pPr>
              <w:rPr>
                <w:rFonts w:cs="Times New Roman"/>
                <w:sz w:val="20"/>
                <w:szCs w:val="20"/>
                <w:u w:val="single"/>
              </w:rPr>
            </w:pPr>
          </w:p>
        </w:tc>
      </w:tr>
      <w:tr w:rsidR="00A43EF5" w:rsidRPr="00EB0985" w:rsidTr="002E5A9A">
        <w:trPr>
          <w:cantSplit/>
        </w:trPr>
        <w:tc>
          <w:tcPr>
            <w:tcW w:w="9576" w:type="dxa"/>
            <w:gridSpan w:val="2"/>
          </w:tcPr>
          <w:p w:rsidR="00A43EF5" w:rsidRPr="00A43EF5" w:rsidRDefault="00A43EF5" w:rsidP="00A43EF5">
            <w:pPr>
              <w:ind w:firstLine="720"/>
              <w:jc w:val="both"/>
              <w:rPr>
                <w:rFonts w:cs="Times New Roman"/>
                <w:sz w:val="20"/>
                <w:szCs w:val="20"/>
              </w:rPr>
            </w:pPr>
            <w:r w:rsidRPr="00A43EF5">
              <w:rPr>
                <w:rFonts w:cs="Times New Roman"/>
                <w:sz w:val="20"/>
                <w:szCs w:val="20"/>
              </w:rPr>
              <w:t>The application for leave to appeal from the judgment of the Court of Appeal for British Columbia (Vancouver), Number CA040816, 2015 BCCA 127, dated March 20, 2015, is dismissed with costs.</w:t>
            </w:r>
          </w:p>
          <w:p w:rsidR="00A43EF5" w:rsidRPr="00A43EF5" w:rsidRDefault="00A43EF5" w:rsidP="00A43EF5">
            <w:pPr>
              <w:jc w:val="both"/>
              <w:rPr>
                <w:rFonts w:cs="Times New Roman"/>
                <w:sz w:val="20"/>
                <w:szCs w:val="20"/>
              </w:rPr>
            </w:pPr>
          </w:p>
          <w:p w:rsidR="00A43EF5" w:rsidRPr="00A43EF5" w:rsidRDefault="00A43EF5" w:rsidP="00A43EF5">
            <w:pPr>
              <w:ind w:firstLine="720"/>
              <w:jc w:val="both"/>
              <w:rPr>
                <w:rFonts w:cs="Times New Roman"/>
                <w:sz w:val="20"/>
                <w:szCs w:val="20"/>
                <w:lang w:val="fr-CA"/>
              </w:rPr>
            </w:pPr>
            <w:r w:rsidRPr="00A43EF5">
              <w:rPr>
                <w:rFonts w:cs="Times New Roman"/>
                <w:sz w:val="20"/>
                <w:szCs w:val="20"/>
                <w:lang w:val="fr-CA"/>
              </w:rPr>
              <w:t>La demande d’autorisation d’appel de l’arrêt de la Cour d’appel de la Colombie-Britannique (Vancouver), numéro CA040816, 2015 BCCA 127, daté du 20 mars 2015, est rejetée avec dépens.</w:t>
            </w:r>
          </w:p>
        </w:tc>
      </w:tr>
    </w:tbl>
    <w:p w:rsidR="00A43EF5" w:rsidRPr="0016547E" w:rsidRDefault="00A43EF5" w:rsidP="00A43EF5">
      <w:pPr>
        <w:rPr>
          <w:sz w:val="20"/>
          <w:szCs w:val="20"/>
          <w:lang w:val="fr-CA"/>
        </w:rPr>
      </w:pPr>
    </w:p>
    <w:p w:rsidR="00A43EF5" w:rsidRPr="00A030C5" w:rsidRDefault="00A43EF5">
      <w:pPr>
        <w:rPr>
          <w:sz w:val="20"/>
          <w:szCs w:val="20"/>
          <w:u w:val="single"/>
          <w:lang w:val="fr-CA"/>
        </w:rPr>
      </w:pPr>
      <w:r w:rsidRPr="00A030C5">
        <w:rPr>
          <w:sz w:val="20"/>
          <w:szCs w:val="20"/>
          <w:u w:val="single"/>
          <w:lang w:val="fr-CA"/>
        </w:rPr>
        <w:br w:type="page"/>
      </w:r>
    </w:p>
    <w:p w:rsidR="00A43EF5" w:rsidRPr="001B157C" w:rsidRDefault="00A43EF5" w:rsidP="00A43EF5">
      <w:pPr>
        <w:rPr>
          <w:sz w:val="20"/>
          <w:szCs w:val="20"/>
          <w:u w:val="single"/>
        </w:rPr>
      </w:pPr>
      <w:r w:rsidRPr="001B157C">
        <w:rPr>
          <w:sz w:val="20"/>
          <w:szCs w:val="20"/>
          <w:u w:val="single"/>
        </w:rPr>
        <w:lastRenderedPageBreak/>
        <w:t>CASE SUMMARY</w:t>
      </w:r>
    </w:p>
    <w:p w:rsidR="00A43EF5" w:rsidRDefault="00A43EF5" w:rsidP="00A43EF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43EF5" w:rsidRPr="00424A9D" w:rsidTr="002E5A9A">
        <w:tc>
          <w:tcPr>
            <w:tcW w:w="5000" w:type="pct"/>
            <w:gridSpan w:val="3"/>
          </w:tcPr>
          <w:p w:rsidR="00A43EF5" w:rsidRPr="00424A9D" w:rsidRDefault="00A43EF5" w:rsidP="002E5A9A">
            <w:pPr>
              <w:jc w:val="both"/>
              <w:rPr>
                <w:sz w:val="20"/>
              </w:rPr>
            </w:pPr>
            <w:r w:rsidRPr="00424A9D">
              <w:rPr>
                <w:sz w:val="20"/>
              </w:rPr>
              <w:t xml:space="preserve">Employment law – Unjust dismissal – Whether employee’s alleged breach of employer’s policy on accessing confidential documents constituted just cause for dismissal – Whether the Court of Appeal judgment alters </w:t>
            </w:r>
            <w:r w:rsidRPr="00424A9D">
              <w:rPr>
                <w:i/>
                <w:sz w:val="20"/>
              </w:rPr>
              <w:t>McKinley v. BC Tel</w:t>
            </w:r>
            <w:r w:rsidRPr="00424A9D">
              <w:rPr>
                <w:sz w:val="20"/>
              </w:rPr>
              <w:t>, 2001 SCC 38, [2001] 2 S.C.R. 161 and creates a lower, or truncated, legal standard to establish just cause where the employment involves an industry requiring heightened trust such as financial and banking services – Whether the Judgment raises issues of national or public importance affecting the rights of Canadian employees and employers thereby warranting leave to appeal.</w:t>
            </w:r>
          </w:p>
        </w:tc>
      </w:tr>
      <w:tr w:rsidR="00A43EF5" w:rsidRPr="00424A9D" w:rsidTr="002E5A9A">
        <w:tc>
          <w:tcPr>
            <w:tcW w:w="5000" w:type="pct"/>
            <w:gridSpan w:val="3"/>
          </w:tcPr>
          <w:p w:rsidR="00A43EF5" w:rsidRPr="00424A9D" w:rsidRDefault="00A43EF5" w:rsidP="002E5A9A">
            <w:pPr>
              <w:jc w:val="both"/>
              <w:rPr>
                <w:sz w:val="20"/>
              </w:rPr>
            </w:pPr>
          </w:p>
        </w:tc>
      </w:tr>
      <w:tr w:rsidR="00A43EF5" w:rsidRPr="00424A9D" w:rsidTr="002E5A9A">
        <w:tc>
          <w:tcPr>
            <w:tcW w:w="5000" w:type="pct"/>
            <w:gridSpan w:val="3"/>
          </w:tcPr>
          <w:p w:rsidR="00A43EF5" w:rsidRPr="00424A9D" w:rsidRDefault="00A43EF5" w:rsidP="002E5A9A">
            <w:pPr>
              <w:jc w:val="both"/>
              <w:rPr>
                <w:sz w:val="20"/>
              </w:rPr>
            </w:pPr>
            <w:r w:rsidRPr="00424A9D">
              <w:rPr>
                <w:sz w:val="20"/>
              </w:rPr>
              <w:t>The applicant was a Helpdesk analyst in the IT Department of the respondent. She was dismissed “with cause” after 21 years of employment with the respondent when she was found to have accessed a confidential document in another employee’s personal folder without permission, contrary to company policies and protocol. The document was a spreadsheet designating priorities for the limited employee parking spaces available and contained information such as pay grades and seniority dates. The applicant did not yet have a parking spot and was affected by the list. She claimed that she accessed the document to get information she knew her manager needed, although he did not ask her to get it. The respondent’s termination letter stated that the severity of the breach of trust had led it “to lose faith in your judgment” and “resulted in a serious loss of confidence” in her which had “irreparably damaged the employment relationship”. The applicant claims that while she opened the document without permission, it constituted a single lapse of judgment which did not amount to just cause for dismissal. She brought an action in damages for wrongful dismissal, and a motion for summary judgment. The respondent supported the motion for summary judgment, seeking dismissal of the action.</w:t>
            </w:r>
          </w:p>
          <w:p w:rsidR="00A43EF5" w:rsidRPr="00424A9D" w:rsidRDefault="00A43EF5" w:rsidP="002E5A9A">
            <w:pPr>
              <w:jc w:val="both"/>
              <w:rPr>
                <w:sz w:val="20"/>
              </w:rPr>
            </w:pPr>
          </w:p>
          <w:p w:rsidR="00A43EF5" w:rsidRPr="00424A9D" w:rsidRDefault="00A43EF5" w:rsidP="002E5A9A">
            <w:pPr>
              <w:jc w:val="both"/>
              <w:rPr>
                <w:sz w:val="20"/>
              </w:rPr>
            </w:pPr>
            <w:r w:rsidRPr="00424A9D">
              <w:rPr>
                <w:sz w:val="20"/>
              </w:rPr>
              <w:t>The Supreme Court of British Columbia granted summary judgment and held that the applicant’s conduct constituted cause for dismissal. Her action for wrongful dismissal was dismissed. The Court of Appeal for British Columbia dismissed her appeal, with Donald J.A. dissenting.</w:t>
            </w:r>
          </w:p>
          <w:p w:rsidR="00A43EF5" w:rsidRPr="00424A9D" w:rsidRDefault="00A43EF5" w:rsidP="002E5A9A">
            <w:pPr>
              <w:jc w:val="both"/>
              <w:rPr>
                <w:sz w:val="20"/>
              </w:rPr>
            </w:pPr>
          </w:p>
        </w:tc>
      </w:tr>
      <w:tr w:rsidR="00A43EF5" w:rsidRPr="00424A9D" w:rsidTr="002E5A9A">
        <w:tc>
          <w:tcPr>
            <w:tcW w:w="2427" w:type="pct"/>
          </w:tcPr>
          <w:p w:rsidR="00A43EF5" w:rsidRPr="00424A9D" w:rsidRDefault="00A43EF5" w:rsidP="002E5A9A">
            <w:pPr>
              <w:jc w:val="both"/>
              <w:rPr>
                <w:sz w:val="20"/>
              </w:rPr>
            </w:pPr>
            <w:r w:rsidRPr="00424A9D">
              <w:rPr>
                <w:sz w:val="20"/>
              </w:rPr>
              <w:t>March 27, 2013</w:t>
            </w:r>
          </w:p>
          <w:p w:rsidR="00A43EF5" w:rsidRPr="00424A9D" w:rsidRDefault="00A43EF5" w:rsidP="002E5A9A">
            <w:pPr>
              <w:jc w:val="both"/>
              <w:rPr>
                <w:sz w:val="20"/>
              </w:rPr>
            </w:pPr>
            <w:r w:rsidRPr="00424A9D">
              <w:rPr>
                <w:sz w:val="20"/>
              </w:rPr>
              <w:t>Supreme Court of British Columbia</w:t>
            </w:r>
          </w:p>
          <w:p w:rsidR="00A43EF5" w:rsidRPr="00424A9D" w:rsidRDefault="00A43EF5" w:rsidP="002E5A9A">
            <w:pPr>
              <w:jc w:val="both"/>
              <w:rPr>
                <w:sz w:val="20"/>
              </w:rPr>
            </w:pPr>
            <w:r w:rsidRPr="00424A9D">
              <w:rPr>
                <w:sz w:val="20"/>
              </w:rPr>
              <w:t>(Ross J.)</w:t>
            </w:r>
          </w:p>
          <w:p w:rsidR="00A43EF5" w:rsidRPr="00424A9D" w:rsidRDefault="00EB0985" w:rsidP="002E5A9A">
            <w:pPr>
              <w:jc w:val="both"/>
              <w:rPr>
                <w:sz w:val="20"/>
              </w:rPr>
            </w:pPr>
            <w:hyperlink r:id="rId28" w:history="1">
              <w:r w:rsidR="00A43EF5" w:rsidRPr="00424A9D">
                <w:rPr>
                  <w:color w:val="0000FF" w:themeColor="hyperlink"/>
                  <w:sz w:val="20"/>
                  <w:u w:val="single"/>
                </w:rPr>
                <w:t>2013 BCSC 527</w:t>
              </w:r>
            </w:hyperlink>
          </w:p>
          <w:p w:rsidR="00A43EF5" w:rsidRPr="00424A9D" w:rsidRDefault="00A43EF5" w:rsidP="002E5A9A">
            <w:pPr>
              <w:jc w:val="both"/>
              <w:rPr>
                <w:sz w:val="20"/>
              </w:rPr>
            </w:pPr>
          </w:p>
        </w:tc>
        <w:tc>
          <w:tcPr>
            <w:tcW w:w="243" w:type="pct"/>
          </w:tcPr>
          <w:p w:rsidR="00A43EF5" w:rsidRPr="00424A9D" w:rsidRDefault="00A43EF5" w:rsidP="002E5A9A">
            <w:pPr>
              <w:jc w:val="both"/>
              <w:rPr>
                <w:sz w:val="20"/>
              </w:rPr>
            </w:pPr>
          </w:p>
        </w:tc>
        <w:tc>
          <w:tcPr>
            <w:tcW w:w="2330" w:type="pct"/>
          </w:tcPr>
          <w:p w:rsidR="00A43EF5" w:rsidRPr="00424A9D" w:rsidRDefault="00A43EF5" w:rsidP="002E5A9A">
            <w:pPr>
              <w:jc w:val="both"/>
              <w:rPr>
                <w:sz w:val="20"/>
              </w:rPr>
            </w:pPr>
            <w:r w:rsidRPr="00424A9D">
              <w:rPr>
                <w:sz w:val="20"/>
              </w:rPr>
              <w:t>Motion for summary judgment granted; applicant’s action in damages for dismissal without cause, dismissed</w:t>
            </w:r>
          </w:p>
          <w:p w:rsidR="00A43EF5" w:rsidRPr="00424A9D" w:rsidRDefault="00A43EF5" w:rsidP="002E5A9A">
            <w:pPr>
              <w:jc w:val="both"/>
              <w:rPr>
                <w:sz w:val="20"/>
              </w:rPr>
            </w:pPr>
          </w:p>
        </w:tc>
      </w:tr>
      <w:tr w:rsidR="00A43EF5" w:rsidRPr="00424A9D" w:rsidTr="002E5A9A">
        <w:tc>
          <w:tcPr>
            <w:tcW w:w="2427" w:type="pct"/>
          </w:tcPr>
          <w:p w:rsidR="00A43EF5" w:rsidRPr="00424A9D" w:rsidRDefault="00A43EF5" w:rsidP="002E5A9A">
            <w:pPr>
              <w:jc w:val="both"/>
              <w:rPr>
                <w:sz w:val="20"/>
              </w:rPr>
            </w:pPr>
            <w:r w:rsidRPr="00424A9D">
              <w:rPr>
                <w:sz w:val="20"/>
              </w:rPr>
              <w:t>March 20, 2015</w:t>
            </w:r>
          </w:p>
          <w:p w:rsidR="00A43EF5" w:rsidRPr="00424A9D" w:rsidRDefault="00A43EF5" w:rsidP="002E5A9A">
            <w:pPr>
              <w:jc w:val="both"/>
              <w:rPr>
                <w:sz w:val="20"/>
              </w:rPr>
            </w:pPr>
            <w:r w:rsidRPr="00424A9D">
              <w:rPr>
                <w:sz w:val="20"/>
              </w:rPr>
              <w:t xml:space="preserve">Court of Appeal for British Columbia </w:t>
            </w:r>
          </w:p>
          <w:p w:rsidR="00A43EF5" w:rsidRPr="00424A9D" w:rsidRDefault="00A43EF5" w:rsidP="002E5A9A">
            <w:pPr>
              <w:jc w:val="both"/>
              <w:rPr>
                <w:sz w:val="20"/>
              </w:rPr>
            </w:pPr>
            <w:r w:rsidRPr="00424A9D">
              <w:rPr>
                <w:sz w:val="20"/>
              </w:rPr>
              <w:t>(Vancouver)</w:t>
            </w:r>
          </w:p>
          <w:p w:rsidR="00A43EF5" w:rsidRPr="00424A9D" w:rsidRDefault="00A43EF5" w:rsidP="002E5A9A">
            <w:pPr>
              <w:jc w:val="both"/>
              <w:rPr>
                <w:sz w:val="20"/>
              </w:rPr>
            </w:pPr>
            <w:r w:rsidRPr="00424A9D">
              <w:rPr>
                <w:sz w:val="20"/>
              </w:rPr>
              <w:t>(Donald (dissenting), Harris and Goepel JJ.A.)</w:t>
            </w:r>
          </w:p>
          <w:p w:rsidR="00A43EF5" w:rsidRPr="00424A9D" w:rsidRDefault="00EB0985" w:rsidP="002E5A9A">
            <w:pPr>
              <w:jc w:val="both"/>
              <w:rPr>
                <w:sz w:val="20"/>
              </w:rPr>
            </w:pPr>
            <w:hyperlink r:id="rId29" w:history="1">
              <w:r w:rsidR="00A43EF5" w:rsidRPr="00424A9D">
                <w:rPr>
                  <w:color w:val="0000FF" w:themeColor="hyperlink"/>
                  <w:sz w:val="20"/>
                  <w:u w:val="single"/>
                </w:rPr>
                <w:t>2015 BCCA 127</w:t>
              </w:r>
            </w:hyperlink>
            <w:r w:rsidR="00A43EF5" w:rsidRPr="00424A9D">
              <w:rPr>
                <w:sz w:val="20"/>
              </w:rPr>
              <w:t>; CA040816</w:t>
            </w:r>
          </w:p>
          <w:p w:rsidR="00A43EF5" w:rsidRPr="00424A9D" w:rsidRDefault="00A43EF5" w:rsidP="002E5A9A">
            <w:pPr>
              <w:jc w:val="both"/>
              <w:rPr>
                <w:sz w:val="20"/>
              </w:rPr>
            </w:pPr>
          </w:p>
        </w:tc>
        <w:tc>
          <w:tcPr>
            <w:tcW w:w="243" w:type="pct"/>
          </w:tcPr>
          <w:p w:rsidR="00A43EF5" w:rsidRPr="00424A9D" w:rsidRDefault="00A43EF5" w:rsidP="002E5A9A">
            <w:pPr>
              <w:jc w:val="both"/>
              <w:rPr>
                <w:sz w:val="20"/>
              </w:rPr>
            </w:pPr>
          </w:p>
        </w:tc>
        <w:tc>
          <w:tcPr>
            <w:tcW w:w="2330" w:type="pct"/>
          </w:tcPr>
          <w:p w:rsidR="00A43EF5" w:rsidRPr="00424A9D" w:rsidRDefault="00A43EF5" w:rsidP="002E5A9A">
            <w:pPr>
              <w:jc w:val="both"/>
              <w:rPr>
                <w:sz w:val="20"/>
              </w:rPr>
            </w:pPr>
            <w:r w:rsidRPr="00424A9D">
              <w:rPr>
                <w:sz w:val="20"/>
              </w:rPr>
              <w:t>Appeal dismissed</w:t>
            </w:r>
          </w:p>
          <w:p w:rsidR="00A43EF5" w:rsidRPr="00424A9D" w:rsidRDefault="00A43EF5" w:rsidP="002E5A9A">
            <w:pPr>
              <w:jc w:val="both"/>
              <w:rPr>
                <w:sz w:val="20"/>
              </w:rPr>
            </w:pPr>
          </w:p>
        </w:tc>
      </w:tr>
      <w:tr w:rsidR="00A43EF5" w:rsidRPr="00424A9D" w:rsidTr="002E5A9A">
        <w:tc>
          <w:tcPr>
            <w:tcW w:w="2427" w:type="pct"/>
          </w:tcPr>
          <w:p w:rsidR="00A43EF5" w:rsidRPr="00424A9D" w:rsidRDefault="00A43EF5" w:rsidP="002E5A9A">
            <w:pPr>
              <w:jc w:val="both"/>
              <w:rPr>
                <w:sz w:val="20"/>
              </w:rPr>
            </w:pPr>
            <w:r w:rsidRPr="00424A9D">
              <w:rPr>
                <w:sz w:val="20"/>
              </w:rPr>
              <w:t>May 15, 2015</w:t>
            </w:r>
          </w:p>
          <w:p w:rsidR="00A43EF5" w:rsidRPr="00424A9D" w:rsidRDefault="00A43EF5" w:rsidP="002E5A9A">
            <w:pPr>
              <w:jc w:val="both"/>
              <w:rPr>
                <w:sz w:val="20"/>
              </w:rPr>
            </w:pPr>
            <w:r w:rsidRPr="00424A9D">
              <w:rPr>
                <w:sz w:val="20"/>
              </w:rPr>
              <w:t>Supreme Court of Canada</w:t>
            </w:r>
          </w:p>
        </w:tc>
        <w:tc>
          <w:tcPr>
            <w:tcW w:w="243" w:type="pct"/>
          </w:tcPr>
          <w:p w:rsidR="00A43EF5" w:rsidRPr="00424A9D" w:rsidRDefault="00A43EF5" w:rsidP="002E5A9A">
            <w:pPr>
              <w:jc w:val="both"/>
              <w:rPr>
                <w:sz w:val="20"/>
              </w:rPr>
            </w:pPr>
          </w:p>
        </w:tc>
        <w:tc>
          <w:tcPr>
            <w:tcW w:w="2330" w:type="pct"/>
          </w:tcPr>
          <w:p w:rsidR="00A43EF5" w:rsidRPr="00424A9D" w:rsidRDefault="00A43EF5" w:rsidP="002E5A9A">
            <w:pPr>
              <w:jc w:val="both"/>
              <w:rPr>
                <w:sz w:val="20"/>
              </w:rPr>
            </w:pPr>
            <w:r w:rsidRPr="00424A9D">
              <w:rPr>
                <w:sz w:val="20"/>
              </w:rPr>
              <w:t>Application for leave to appeal filed</w:t>
            </w:r>
          </w:p>
        </w:tc>
      </w:tr>
    </w:tbl>
    <w:p w:rsidR="00A43EF5" w:rsidRDefault="00A43EF5" w:rsidP="00A43EF5">
      <w:pPr>
        <w:jc w:val="both"/>
        <w:rPr>
          <w:sz w:val="20"/>
        </w:rPr>
      </w:pPr>
    </w:p>
    <w:p w:rsidR="00A43EF5" w:rsidRPr="00C50A5C" w:rsidRDefault="00EB0985" w:rsidP="00A43EF5">
      <w:pPr>
        <w:rPr>
          <w:sz w:val="20"/>
          <w:szCs w:val="20"/>
        </w:rPr>
      </w:pPr>
      <w:r>
        <w:rPr>
          <w:sz w:val="20"/>
          <w:szCs w:val="20"/>
          <w:lang w:val="fr-CA"/>
        </w:rPr>
        <w:pict>
          <v:rect id="_x0000_i1050" style="width:2in;height:1pt" o:hrpct="0" o:hralign="center" o:hrstd="t" o:hrnoshade="t" o:hr="t" fillcolor="black [3213]" stroked="f"/>
        </w:pict>
      </w:r>
    </w:p>
    <w:p w:rsidR="00A43EF5" w:rsidRDefault="00A43EF5" w:rsidP="00A43EF5">
      <w:pPr>
        <w:rPr>
          <w:sz w:val="20"/>
          <w:szCs w:val="20"/>
        </w:rPr>
      </w:pPr>
    </w:p>
    <w:p w:rsidR="00A43EF5" w:rsidRPr="001B157C" w:rsidRDefault="00A43EF5" w:rsidP="00A43EF5">
      <w:pPr>
        <w:rPr>
          <w:sz w:val="20"/>
          <w:szCs w:val="20"/>
          <w:u w:val="single"/>
          <w:lang w:val="fr-CA"/>
        </w:rPr>
      </w:pPr>
      <w:r w:rsidRPr="001B157C">
        <w:rPr>
          <w:sz w:val="20"/>
          <w:szCs w:val="20"/>
          <w:u w:val="single"/>
          <w:lang w:val="fr-CA"/>
        </w:rPr>
        <w:t>RÉSUMÉ DE L’AFFAIRE</w:t>
      </w:r>
    </w:p>
    <w:p w:rsidR="00A43EF5" w:rsidRDefault="00A43EF5" w:rsidP="00A43EF5">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A43EF5" w:rsidRPr="00EB0985" w:rsidTr="002E5A9A">
        <w:tc>
          <w:tcPr>
            <w:tcW w:w="5000" w:type="pct"/>
            <w:gridSpan w:val="3"/>
          </w:tcPr>
          <w:p w:rsidR="00A43EF5" w:rsidRPr="00424A9D" w:rsidRDefault="00A43EF5" w:rsidP="002E5A9A">
            <w:pPr>
              <w:spacing w:line="276" w:lineRule="auto"/>
              <w:jc w:val="both"/>
              <w:rPr>
                <w:rFonts w:eastAsia="Calibri"/>
                <w:sz w:val="20"/>
                <w:lang w:val="fr-CA"/>
              </w:rPr>
            </w:pPr>
            <w:r w:rsidRPr="00424A9D">
              <w:rPr>
                <w:rFonts w:eastAsia="Calibri"/>
                <w:sz w:val="20"/>
                <w:lang w:val="fr-CA"/>
              </w:rPr>
              <w:t xml:space="preserve">Droit de l’emploi – Congédiement injustifié – Le manquement reproché à l’employée à la politique de l’employeur sur l’accès aux documents confidentiels constituait-il un motif valable de congédiement? – L’arrêt de la Cour d’appel écarte-t-il l’arrêt </w:t>
            </w:r>
            <w:r w:rsidRPr="00424A9D">
              <w:rPr>
                <w:rFonts w:eastAsia="Calibri"/>
                <w:i/>
                <w:sz w:val="20"/>
                <w:lang w:val="fr-CA"/>
              </w:rPr>
              <w:t>McKinley c. BC Tel</w:t>
            </w:r>
            <w:r w:rsidRPr="00424A9D">
              <w:rPr>
                <w:rFonts w:eastAsia="Calibri"/>
                <w:sz w:val="20"/>
                <w:lang w:val="fr-CA"/>
              </w:rPr>
              <w:t xml:space="preserve">, 2001 CSC 38, [2001] 2 R.C.S. 161 et crée-t-il une norme juridique moins exigeante ou tronquée pour établir un motif valable lorsque l’emploi est exercé dans un secteur où il faut un degré de confiance plus élevé, par exemple dans le secteur des services financiers et bancaires? – L’arrêt soulève-t-il des questions d’importance nationale ou publique ayant une incidence sur les droits des employés et des employeurs  </w:t>
            </w:r>
            <w:r w:rsidRPr="00424A9D">
              <w:rPr>
                <w:rFonts w:eastAsia="Calibri"/>
                <w:sz w:val="20"/>
                <w:lang w:val="fr-CA"/>
              </w:rPr>
              <w:lastRenderedPageBreak/>
              <w:t>canadiens, si bien qu’il est justifié d’accorder l’autorisation d’appel?</w:t>
            </w:r>
          </w:p>
        </w:tc>
      </w:tr>
      <w:tr w:rsidR="00A43EF5" w:rsidRPr="00EB0985" w:rsidTr="002E5A9A">
        <w:tc>
          <w:tcPr>
            <w:tcW w:w="5000" w:type="pct"/>
            <w:gridSpan w:val="3"/>
          </w:tcPr>
          <w:p w:rsidR="00A43EF5" w:rsidRPr="00424A9D" w:rsidRDefault="00A43EF5" w:rsidP="002E5A9A">
            <w:pPr>
              <w:spacing w:line="276" w:lineRule="auto"/>
              <w:jc w:val="both"/>
              <w:rPr>
                <w:rFonts w:eastAsia="Calibri"/>
                <w:sz w:val="20"/>
                <w:lang w:val="fr-CA"/>
              </w:rPr>
            </w:pPr>
          </w:p>
        </w:tc>
      </w:tr>
      <w:tr w:rsidR="00A43EF5" w:rsidRPr="00EB0985" w:rsidTr="002E5A9A">
        <w:tc>
          <w:tcPr>
            <w:tcW w:w="5000" w:type="pct"/>
            <w:gridSpan w:val="3"/>
          </w:tcPr>
          <w:p w:rsidR="00A43EF5" w:rsidRPr="00424A9D" w:rsidRDefault="00A43EF5" w:rsidP="002E5A9A">
            <w:pPr>
              <w:spacing w:line="276" w:lineRule="auto"/>
              <w:jc w:val="both"/>
              <w:rPr>
                <w:rFonts w:eastAsia="Calibri"/>
                <w:sz w:val="20"/>
                <w:lang w:val="fr-CA"/>
              </w:rPr>
            </w:pPr>
            <w:r w:rsidRPr="00424A9D">
              <w:rPr>
                <w:rFonts w:eastAsia="Calibri"/>
                <w:sz w:val="20"/>
                <w:lang w:val="fr-CA"/>
              </w:rPr>
              <w:t>La demanderesse était analyste du dépannage informatique au service de TI de l’intimée. Elle a été congédiée [</w:t>
            </w:r>
            <w:r w:rsidRPr="00424A9D">
              <w:rPr>
                <w:rFonts w:eastAsia="Calibri"/>
                <w:smallCaps/>
                <w:sz w:val="20"/>
                <w:lang w:val="fr-CA"/>
              </w:rPr>
              <w:t>traduction</w:t>
            </w:r>
            <w:r w:rsidRPr="00424A9D">
              <w:rPr>
                <w:rFonts w:eastAsia="Calibri"/>
                <w:sz w:val="20"/>
                <w:lang w:val="fr-CA"/>
              </w:rPr>
              <w:t>] « pour un motif valable » après vingt-et-un ans comme employée de l’intimée lorsqu’on a découvert qu’elle avait accédé à un document confidentiel dans le dossier personnel d’une autre employée sans permission, contrairement aux politiques et au protocole de la compagnie.  Le document était une feuille de calcul désignant les priorités relatives aux espaces de stationnement limités réservés aux employés et renfermait des renseignements comme les échelons de rémunération et les années d’ancienneté. La demanderesse n’avait pas encore d’espace de stationnement et était concernée par la liste. Selon ses dires, elle avait accédé au document pour obtenir des renseignements dont elle savait que son gestionnaire avait besoin, bien que ce dernier ne lui ait pas demandé de les obtenir. Dans sa lettre de congédiement adressée à la demanderesse, l’intimée a affirmé que la gravité de l’abus de confiance lui avait [</w:t>
            </w:r>
            <w:r w:rsidRPr="00424A9D">
              <w:rPr>
                <w:rFonts w:eastAsia="Calibri"/>
                <w:smallCaps/>
                <w:sz w:val="20"/>
                <w:lang w:val="fr-CA"/>
              </w:rPr>
              <w:t>traduction</w:t>
            </w:r>
            <w:r w:rsidRPr="00424A9D">
              <w:rPr>
                <w:rFonts w:eastAsia="Calibri"/>
                <w:sz w:val="20"/>
                <w:lang w:val="fr-CA"/>
              </w:rPr>
              <w:t>] « fait perdre confiance [dans le] jugement [de la demanderesse] » et [</w:t>
            </w:r>
            <w:r w:rsidRPr="00424A9D">
              <w:rPr>
                <w:rFonts w:eastAsia="Calibri"/>
                <w:smallCaps/>
                <w:sz w:val="20"/>
                <w:lang w:val="fr-CA"/>
              </w:rPr>
              <w:t>traduction</w:t>
            </w:r>
            <w:r w:rsidRPr="00424A9D">
              <w:rPr>
                <w:rFonts w:eastAsia="Calibri"/>
                <w:sz w:val="20"/>
                <w:lang w:val="fr-CA"/>
              </w:rPr>
              <w:t>] « avait sérieusement ébranlé sa confiance » en elle, ce qui avait « irréparablement endommagé la relation d’emploi ». La demanderesse prétend que même si elle a ouvert le document sans permission, il s’agissait d’une faute de jugement isolée qui n’équivalait pas à un motif valable de congédiement. Elle a intenté une action en dommages-intérêts pour congédiement injustifié et une requête en jugement sommaire. L’intimée a appuyé la requête en jugement sommaire, sollicitant le rejet de l’action.</w:t>
            </w:r>
          </w:p>
          <w:p w:rsidR="00A43EF5" w:rsidRPr="00424A9D" w:rsidRDefault="00A43EF5" w:rsidP="002E5A9A">
            <w:pPr>
              <w:spacing w:line="276" w:lineRule="auto"/>
              <w:jc w:val="both"/>
              <w:rPr>
                <w:rFonts w:eastAsia="Calibri"/>
                <w:sz w:val="20"/>
                <w:lang w:val="fr-CA"/>
              </w:rPr>
            </w:pPr>
          </w:p>
          <w:p w:rsidR="00A43EF5" w:rsidRPr="00424A9D" w:rsidRDefault="00A43EF5" w:rsidP="002E5A9A">
            <w:pPr>
              <w:spacing w:line="276" w:lineRule="auto"/>
              <w:jc w:val="both"/>
              <w:rPr>
                <w:rFonts w:eastAsia="Calibri"/>
                <w:sz w:val="20"/>
                <w:lang w:val="fr-CA"/>
              </w:rPr>
            </w:pPr>
            <w:r w:rsidRPr="00424A9D">
              <w:rPr>
                <w:rFonts w:eastAsia="Calibri"/>
                <w:sz w:val="20"/>
                <w:lang w:val="fr-CA"/>
              </w:rPr>
              <w:t>La Cour suprême de la Colombie-Britannique a prononcé un jugement sommaire et a statué que la conduite de la demanderesse constituait un motif de congédiement. Son action en congédiement injustifié a été rejetée. La Cour d’appel de la Colombie-Britannique a rejeté son appel, le juge Donald étant dissident.</w:t>
            </w:r>
          </w:p>
          <w:p w:rsidR="00A43EF5" w:rsidRPr="00424A9D" w:rsidRDefault="00A43EF5" w:rsidP="002E5A9A">
            <w:pPr>
              <w:spacing w:line="276" w:lineRule="auto"/>
              <w:jc w:val="both"/>
              <w:rPr>
                <w:rFonts w:eastAsia="Calibri"/>
                <w:sz w:val="20"/>
                <w:lang w:val="fr-CA"/>
              </w:rPr>
            </w:pPr>
          </w:p>
        </w:tc>
      </w:tr>
      <w:tr w:rsidR="00A43EF5" w:rsidRPr="00EB0985" w:rsidTr="002E5A9A">
        <w:tc>
          <w:tcPr>
            <w:tcW w:w="2427"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27 mars 2013</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Cour suprême de la Colombie-Britannique</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(Juge Ross)</w:t>
            </w:r>
          </w:p>
          <w:p w:rsidR="00A43EF5" w:rsidRPr="00424A9D" w:rsidRDefault="00EB0985" w:rsidP="002E5A9A">
            <w:pPr>
              <w:spacing w:line="276" w:lineRule="auto"/>
              <w:jc w:val="both"/>
              <w:rPr>
                <w:rFonts w:eastAsia="Calibri"/>
                <w:sz w:val="20"/>
                <w:lang w:val="fr-CA"/>
              </w:rPr>
            </w:pPr>
            <w:hyperlink r:id="rId30" w:history="1">
              <w:r w:rsidR="00A43EF5" w:rsidRPr="00424A9D">
                <w:rPr>
                  <w:rFonts w:eastAsia="Calibri"/>
                  <w:color w:val="0000FF" w:themeColor="hyperlink"/>
                  <w:sz w:val="20"/>
                  <w:u w:val="single"/>
                  <w:lang w:val="fr-CA"/>
                </w:rPr>
                <w:t>2013 BCSC 527</w:t>
              </w:r>
            </w:hyperlink>
          </w:p>
          <w:p w:rsidR="00A43EF5" w:rsidRPr="00424A9D" w:rsidRDefault="00A43EF5" w:rsidP="002E5A9A">
            <w:pPr>
              <w:spacing w:line="276" w:lineRule="auto"/>
              <w:jc w:val="both"/>
              <w:rPr>
                <w:rFonts w:eastAsia="Calibri"/>
                <w:sz w:val="20"/>
                <w:lang w:val="fr-CA"/>
              </w:rPr>
            </w:pPr>
          </w:p>
        </w:tc>
        <w:tc>
          <w:tcPr>
            <w:tcW w:w="243" w:type="pct"/>
          </w:tcPr>
          <w:p w:rsidR="00A43EF5" w:rsidRPr="00424A9D" w:rsidRDefault="00A43EF5" w:rsidP="002E5A9A">
            <w:pPr>
              <w:spacing w:line="276" w:lineRule="auto"/>
              <w:jc w:val="both"/>
              <w:rPr>
                <w:rFonts w:eastAsia="Calibri"/>
                <w:sz w:val="20"/>
                <w:lang w:val="fr-CA"/>
              </w:rPr>
            </w:pPr>
          </w:p>
        </w:tc>
        <w:tc>
          <w:tcPr>
            <w:tcW w:w="2330"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Jugement sommaire prononcé sur requête; rejet de l’action en dommages-intérêts de la demanderesse pour congédiement injustifié</w:t>
            </w:r>
          </w:p>
          <w:p w:rsidR="00A43EF5" w:rsidRPr="00424A9D" w:rsidRDefault="00A43EF5" w:rsidP="002E5A9A">
            <w:pPr>
              <w:spacing w:line="276" w:lineRule="auto"/>
              <w:jc w:val="both"/>
              <w:rPr>
                <w:rFonts w:eastAsia="Calibri"/>
                <w:sz w:val="20"/>
                <w:lang w:val="fr-CA"/>
              </w:rPr>
            </w:pPr>
          </w:p>
        </w:tc>
      </w:tr>
      <w:tr w:rsidR="00A43EF5" w:rsidRPr="00424A9D" w:rsidTr="002E5A9A">
        <w:tc>
          <w:tcPr>
            <w:tcW w:w="2427"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20 mars 2015</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Cour d’appel de la Colombie-Britannique</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(Vancouver)</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(Juges Donald (dissident), Harris et Goepel)</w:t>
            </w:r>
          </w:p>
          <w:p w:rsidR="00A43EF5" w:rsidRPr="00424A9D" w:rsidRDefault="00EB0985" w:rsidP="002E5A9A">
            <w:pPr>
              <w:spacing w:line="276" w:lineRule="auto"/>
              <w:jc w:val="both"/>
              <w:rPr>
                <w:rFonts w:eastAsia="Calibri"/>
                <w:sz w:val="20"/>
                <w:lang w:val="fr-CA"/>
              </w:rPr>
            </w:pPr>
            <w:hyperlink r:id="rId31" w:history="1">
              <w:r w:rsidR="00A43EF5" w:rsidRPr="00424A9D">
                <w:rPr>
                  <w:rFonts w:eastAsia="Calibri"/>
                  <w:color w:val="0000FF" w:themeColor="hyperlink"/>
                  <w:sz w:val="20"/>
                  <w:u w:val="single"/>
                  <w:lang w:val="fr-CA"/>
                </w:rPr>
                <w:t>2015 BCCA 127</w:t>
              </w:r>
            </w:hyperlink>
            <w:r w:rsidR="00A43EF5" w:rsidRPr="00424A9D">
              <w:rPr>
                <w:rFonts w:eastAsia="Calibri"/>
                <w:sz w:val="20"/>
                <w:lang w:val="fr-CA"/>
              </w:rPr>
              <w:t>; CA040816</w:t>
            </w:r>
          </w:p>
          <w:p w:rsidR="00A43EF5" w:rsidRPr="00424A9D" w:rsidRDefault="00A43EF5" w:rsidP="002E5A9A">
            <w:pPr>
              <w:spacing w:line="276" w:lineRule="auto"/>
              <w:jc w:val="both"/>
              <w:rPr>
                <w:rFonts w:eastAsia="Calibri"/>
                <w:sz w:val="20"/>
                <w:lang w:val="fr-CA"/>
              </w:rPr>
            </w:pPr>
          </w:p>
        </w:tc>
        <w:tc>
          <w:tcPr>
            <w:tcW w:w="243" w:type="pct"/>
          </w:tcPr>
          <w:p w:rsidR="00A43EF5" w:rsidRPr="00424A9D" w:rsidRDefault="00A43EF5" w:rsidP="002E5A9A">
            <w:pPr>
              <w:spacing w:line="276" w:lineRule="auto"/>
              <w:jc w:val="both"/>
              <w:rPr>
                <w:rFonts w:eastAsia="Calibri"/>
                <w:sz w:val="20"/>
                <w:lang w:val="fr-CA"/>
              </w:rPr>
            </w:pPr>
          </w:p>
        </w:tc>
        <w:tc>
          <w:tcPr>
            <w:tcW w:w="2330"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Rejet de l’appel</w:t>
            </w:r>
          </w:p>
          <w:p w:rsidR="00A43EF5" w:rsidRPr="00424A9D" w:rsidRDefault="00A43EF5" w:rsidP="002E5A9A">
            <w:pPr>
              <w:spacing w:line="276" w:lineRule="auto"/>
              <w:jc w:val="both"/>
              <w:rPr>
                <w:rFonts w:eastAsia="Calibri"/>
                <w:sz w:val="20"/>
                <w:lang w:val="fr-CA"/>
              </w:rPr>
            </w:pPr>
          </w:p>
        </w:tc>
      </w:tr>
      <w:tr w:rsidR="00A43EF5" w:rsidRPr="00EB0985" w:rsidTr="002E5A9A">
        <w:tc>
          <w:tcPr>
            <w:tcW w:w="2427" w:type="pct"/>
            <w:hideMark/>
          </w:tcPr>
          <w:p w:rsidR="00A43EF5" w:rsidRPr="00424A9D" w:rsidRDefault="00A43EF5" w:rsidP="002E5A9A">
            <w:pPr>
              <w:spacing w:line="276" w:lineRule="auto"/>
              <w:jc w:val="both"/>
              <w:rPr>
                <w:rFonts w:eastAsia="Calibri"/>
                <w:sz w:val="20"/>
                <w:lang w:val="fr-CA"/>
              </w:rPr>
            </w:pPr>
            <w:r w:rsidRPr="00424A9D">
              <w:rPr>
                <w:rFonts w:eastAsia="Calibri"/>
                <w:sz w:val="20"/>
                <w:lang w:val="fr-CA"/>
              </w:rPr>
              <w:t>15 mai 2015</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Cour suprême du Canada</w:t>
            </w:r>
          </w:p>
        </w:tc>
        <w:tc>
          <w:tcPr>
            <w:tcW w:w="243" w:type="pct"/>
          </w:tcPr>
          <w:p w:rsidR="00A43EF5" w:rsidRPr="00424A9D" w:rsidRDefault="00A43EF5" w:rsidP="002E5A9A">
            <w:pPr>
              <w:spacing w:line="276" w:lineRule="auto"/>
              <w:jc w:val="both"/>
              <w:rPr>
                <w:rFonts w:eastAsia="Calibri"/>
                <w:sz w:val="20"/>
                <w:lang w:val="fr-CA"/>
              </w:rPr>
            </w:pPr>
          </w:p>
        </w:tc>
        <w:tc>
          <w:tcPr>
            <w:tcW w:w="2330" w:type="pct"/>
            <w:hideMark/>
          </w:tcPr>
          <w:p w:rsidR="00A43EF5" w:rsidRPr="00424A9D" w:rsidRDefault="00A43EF5" w:rsidP="002E5A9A">
            <w:pPr>
              <w:spacing w:line="276" w:lineRule="auto"/>
              <w:jc w:val="both"/>
              <w:rPr>
                <w:rFonts w:eastAsia="Calibri"/>
                <w:sz w:val="20"/>
                <w:lang w:val="fr-CA"/>
              </w:rPr>
            </w:pPr>
            <w:r w:rsidRPr="00424A9D">
              <w:rPr>
                <w:rFonts w:eastAsia="Calibri"/>
                <w:sz w:val="20"/>
                <w:lang w:val="fr-CA"/>
              </w:rPr>
              <w:t>Dépôt de la demande d’autorisation d’appel</w:t>
            </w:r>
          </w:p>
        </w:tc>
      </w:tr>
    </w:tbl>
    <w:p w:rsidR="00A43EF5" w:rsidRPr="00A43EF5" w:rsidRDefault="00A43EF5" w:rsidP="00A43EF5">
      <w:pPr>
        <w:rPr>
          <w:sz w:val="20"/>
          <w:szCs w:val="20"/>
          <w:lang w:val="fr-CA"/>
        </w:rPr>
      </w:pPr>
    </w:p>
    <w:p w:rsidR="00A43EF5" w:rsidRDefault="00EB0985" w:rsidP="00A43EF5">
      <w:pPr>
        <w:rPr>
          <w:sz w:val="20"/>
          <w:szCs w:val="20"/>
        </w:rPr>
      </w:pPr>
      <w:r>
        <w:rPr>
          <w:sz w:val="20"/>
          <w:szCs w:val="20"/>
          <w:lang w:val="fr-CA"/>
        </w:rPr>
        <w:pict>
          <v:rect id="_x0000_i1051" style="width:2in;height:1pt" o:hrpct="0" o:hralign="center" o:hrstd="t" o:hrnoshade="t" o:hr="t" fillcolor="black [3213]" stroked="f"/>
        </w:pict>
      </w:r>
    </w:p>
    <w:p w:rsidR="00A43EF5" w:rsidRPr="00A43EF5" w:rsidRDefault="00A43EF5" w:rsidP="00A43EF5">
      <w:pPr>
        <w:rPr>
          <w:rFonts w:cs="Times New Roman"/>
          <w:sz w:val="20"/>
          <w:szCs w:val="20"/>
          <w:lang w:val="fr-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43EF5" w:rsidRPr="00EB0985" w:rsidTr="002E5A9A">
        <w:trPr>
          <w:cantSplit/>
        </w:trPr>
        <w:tc>
          <w:tcPr>
            <w:tcW w:w="1458" w:type="dxa"/>
          </w:tcPr>
          <w:p w:rsidR="00A43EF5" w:rsidRPr="00A43EF5" w:rsidRDefault="00A43EF5" w:rsidP="00A43EF5">
            <w:pPr>
              <w:rPr>
                <w:rFonts w:cs="Times New Roman"/>
                <w:sz w:val="20"/>
                <w:szCs w:val="20"/>
              </w:rPr>
            </w:pPr>
            <w:r w:rsidRPr="00A43EF5">
              <w:rPr>
                <w:rFonts w:cs="Times New Roman"/>
                <w:b/>
                <w:sz w:val="20"/>
                <w:szCs w:val="20"/>
                <w:lang w:val="fr-CA"/>
              </w:rPr>
              <w:t>36443</w:t>
            </w:r>
          </w:p>
          <w:p w:rsidR="00A43EF5" w:rsidRPr="00A43EF5" w:rsidRDefault="00A43EF5" w:rsidP="00A43EF5">
            <w:pPr>
              <w:rPr>
                <w:rFonts w:cs="Times New Roman"/>
                <w:b/>
                <w:sz w:val="20"/>
                <w:szCs w:val="20"/>
                <w:lang w:val="fr-CA"/>
              </w:rPr>
            </w:pPr>
          </w:p>
        </w:tc>
        <w:tc>
          <w:tcPr>
            <w:tcW w:w="8118" w:type="dxa"/>
          </w:tcPr>
          <w:p w:rsidR="00A43EF5" w:rsidRPr="00A43EF5" w:rsidRDefault="00A43EF5" w:rsidP="00A43EF5">
            <w:pPr>
              <w:rPr>
                <w:rFonts w:cs="Times New Roman"/>
                <w:sz w:val="20"/>
                <w:szCs w:val="20"/>
                <w:lang w:val="fr-CA"/>
              </w:rPr>
            </w:pPr>
            <w:r w:rsidRPr="00A43EF5">
              <w:rPr>
                <w:rFonts w:cs="Times New Roman"/>
                <w:b/>
                <w:sz w:val="20"/>
                <w:szCs w:val="20"/>
                <w:u w:val="single"/>
                <w:lang w:val="fr-CA"/>
              </w:rPr>
              <w:t>Serge Faucher c. Directeur des poursuites criminelles et pénales</w:t>
            </w:r>
            <w:r w:rsidRPr="00A43EF5">
              <w:rPr>
                <w:rFonts w:cs="Times New Roman"/>
                <w:sz w:val="20"/>
                <w:szCs w:val="20"/>
                <w:lang w:val="fr-CA"/>
              </w:rPr>
              <w:t xml:space="preserve"> (Qc) (Criminelle) (Autorisation)</w:t>
            </w:r>
          </w:p>
          <w:p w:rsidR="00A43EF5" w:rsidRPr="00A43EF5" w:rsidRDefault="00A43EF5" w:rsidP="00A43EF5">
            <w:pPr>
              <w:rPr>
                <w:rFonts w:cs="Times New Roman"/>
                <w:sz w:val="20"/>
                <w:szCs w:val="20"/>
                <w:lang w:val="fr-CA"/>
              </w:rPr>
            </w:pPr>
          </w:p>
        </w:tc>
      </w:tr>
      <w:tr w:rsidR="00A43EF5" w:rsidRPr="00EB0985" w:rsidTr="002E5A9A">
        <w:trPr>
          <w:cantSplit/>
        </w:trPr>
        <w:tc>
          <w:tcPr>
            <w:tcW w:w="1458" w:type="dxa"/>
          </w:tcPr>
          <w:p w:rsidR="00A43EF5" w:rsidRPr="00A43EF5" w:rsidRDefault="00A43EF5" w:rsidP="00A43EF5">
            <w:pPr>
              <w:rPr>
                <w:rFonts w:cs="Times New Roman"/>
                <w:sz w:val="20"/>
                <w:szCs w:val="20"/>
              </w:rPr>
            </w:pPr>
            <w:r w:rsidRPr="00A43EF5">
              <w:rPr>
                <w:rFonts w:cs="Times New Roman"/>
                <w:sz w:val="20"/>
                <w:szCs w:val="20"/>
              </w:rPr>
              <w:t>Coram :</w:t>
            </w:r>
          </w:p>
        </w:tc>
        <w:tc>
          <w:tcPr>
            <w:tcW w:w="8118" w:type="dxa"/>
          </w:tcPr>
          <w:p w:rsidR="00A43EF5" w:rsidRPr="00A43EF5" w:rsidRDefault="00A43EF5" w:rsidP="00A43EF5">
            <w:pPr>
              <w:rPr>
                <w:rFonts w:cs="Times New Roman"/>
                <w:sz w:val="20"/>
                <w:szCs w:val="20"/>
                <w:lang w:val="fr-CA"/>
              </w:rPr>
            </w:pPr>
            <w:r w:rsidRPr="00A43EF5">
              <w:rPr>
                <w:rFonts w:cs="Times New Roman"/>
                <w:sz w:val="20"/>
                <w:szCs w:val="20"/>
                <w:u w:val="single"/>
                <w:lang w:val="fr-CA"/>
              </w:rPr>
              <w:t>La juge en chef McLachlin et les juges Wagner et Gascon</w:t>
            </w:r>
          </w:p>
          <w:p w:rsidR="00A43EF5" w:rsidRPr="00A43EF5" w:rsidRDefault="00A43EF5" w:rsidP="00A43EF5">
            <w:pPr>
              <w:rPr>
                <w:rFonts w:cs="Times New Roman"/>
                <w:sz w:val="20"/>
                <w:szCs w:val="20"/>
                <w:u w:val="single"/>
                <w:lang w:val="fr-CA"/>
              </w:rPr>
            </w:pPr>
          </w:p>
        </w:tc>
      </w:tr>
      <w:tr w:rsidR="00A43EF5" w:rsidRPr="00A43EF5" w:rsidTr="002E5A9A">
        <w:trPr>
          <w:cantSplit/>
        </w:trPr>
        <w:tc>
          <w:tcPr>
            <w:tcW w:w="9576" w:type="dxa"/>
            <w:gridSpan w:val="2"/>
          </w:tcPr>
          <w:p w:rsidR="00A43EF5" w:rsidRPr="00A43EF5" w:rsidRDefault="00A43EF5" w:rsidP="00A43EF5">
            <w:pPr>
              <w:ind w:firstLine="720"/>
              <w:jc w:val="both"/>
              <w:rPr>
                <w:rFonts w:cs="Times New Roman"/>
                <w:sz w:val="20"/>
                <w:szCs w:val="20"/>
                <w:lang w:val="fr-CA"/>
              </w:rPr>
            </w:pPr>
            <w:r w:rsidRPr="00A43EF5">
              <w:rPr>
                <w:rFonts w:cs="Times New Roman"/>
                <w:sz w:val="20"/>
                <w:szCs w:val="20"/>
                <w:lang w:val="fr-CA"/>
              </w:rPr>
              <w:lastRenderedPageBreak/>
              <w:t>La requête en nomination d’un procureur est rejetée.  La demande d’autorisation d’appel de l’arrêt de la Cour d’appel du Québec (Québec), numéro 200-10-003119-158, daté du 19 mars 2015, est rejetée.</w:t>
            </w:r>
          </w:p>
          <w:p w:rsidR="00A43EF5" w:rsidRPr="00A43EF5" w:rsidRDefault="00A43EF5" w:rsidP="00A43EF5">
            <w:pPr>
              <w:jc w:val="both"/>
              <w:rPr>
                <w:rFonts w:cs="Times New Roman"/>
                <w:sz w:val="20"/>
                <w:szCs w:val="20"/>
                <w:lang w:val="fr-CA"/>
              </w:rPr>
            </w:pPr>
          </w:p>
          <w:p w:rsidR="00A43EF5" w:rsidRPr="00A43EF5" w:rsidRDefault="00A43EF5" w:rsidP="00A43EF5">
            <w:pPr>
              <w:ind w:firstLine="720"/>
              <w:jc w:val="both"/>
              <w:rPr>
                <w:rFonts w:cs="Times New Roman"/>
                <w:sz w:val="20"/>
                <w:szCs w:val="20"/>
              </w:rPr>
            </w:pPr>
            <w:r w:rsidRPr="00A43EF5">
              <w:rPr>
                <w:rFonts w:cs="Times New Roman"/>
                <w:sz w:val="20"/>
                <w:szCs w:val="20"/>
              </w:rPr>
              <w:t>The motion to appoint counsel is dismissed. The application for leave to appeal from the judgment of the Court of Appeal of Quebec (Québec), Number 200-10-003119-158, dated March 19, 2015, is dismissed.</w:t>
            </w:r>
          </w:p>
        </w:tc>
      </w:tr>
    </w:tbl>
    <w:p w:rsidR="00A43EF5" w:rsidRPr="00A030C5" w:rsidRDefault="00A43EF5" w:rsidP="00A43EF5">
      <w:pPr>
        <w:rPr>
          <w:sz w:val="20"/>
          <w:szCs w:val="20"/>
          <w:lang w:val="en-US"/>
        </w:rPr>
      </w:pPr>
    </w:p>
    <w:p w:rsidR="00A43EF5" w:rsidRPr="001B157C" w:rsidRDefault="00A43EF5" w:rsidP="00A43EF5">
      <w:pPr>
        <w:rPr>
          <w:sz w:val="20"/>
          <w:szCs w:val="20"/>
          <w:u w:val="single"/>
        </w:rPr>
      </w:pPr>
      <w:r w:rsidRPr="001B157C">
        <w:rPr>
          <w:sz w:val="20"/>
          <w:szCs w:val="20"/>
          <w:u w:val="single"/>
        </w:rPr>
        <w:t>CASE SUMMARY</w:t>
      </w:r>
    </w:p>
    <w:p w:rsidR="00A43EF5" w:rsidRDefault="00A43EF5" w:rsidP="00A43EF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43EF5" w:rsidRPr="00424A9D" w:rsidTr="002E5A9A">
        <w:tc>
          <w:tcPr>
            <w:tcW w:w="5000" w:type="pct"/>
            <w:gridSpan w:val="3"/>
          </w:tcPr>
          <w:p w:rsidR="00A43EF5" w:rsidRPr="00424A9D" w:rsidRDefault="00A43EF5" w:rsidP="002E5A9A">
            <w:pPr>
              <w:jc w:val="both"/>
              <w:rPr>
                <w:smallCaps/>
                <w:sz w:val="20"/>
              </w:rPr>
            </w:pPr>
            <w:r w:rsidRPr="00424A9D">
              <w:rPr>
                <w:smallCaps/>
                <w:sz w:val="20"/>
              </w:rPr>
              <w:t>(Publication Ban in Case) (Court file contains information that is not available for inspection by the public)</w:t>
            </w:r>
          </w:p>
          <w:p w:rsidR="00A43EF5" w:rsidRPr="00424A9D" w:rsidRDefault="00A43EF5" w:rsidP="002E5A9A">
            <w:pPr>
              <w:jc w:val="both"/>
              <w:rPr>
                <w:sz w:val="20"/>
              </w:rPr>
            </w:pPr>
          </w:p>
          <w:p w:rsidR="00A43EF5" w:rsidRPr="00424A9D" w:rsidRDefault="00A43EF5" w:rsidP="002E5A9A">
            <w:pPr>
              <w:jc w:val="both"/>
              <w:rPr>
                <w:sz w:val="20"/>
              </w:rPr>
            </w:pPr>
            <w:r w:rsidRPr="00424A9D">
              <w:rPr>
                <w:sz w:val="20"/>
              </w:rPr>
              <w:t>Criminal law – Private informations – Appeals – Extensions of time – Whether Court of Appeal erred in dismissing applicant’s motion for extension of time.</w:t>
            </w:r>
          </w:p>
        </w:tc>
      </w:tr>
      <w:tr w:rsidR="00A43EF5" w:rsidRPr="00424A9D" w:rsidTr="002E5A9A">
        <w:tc>
          <w:tcPr>
            <w:tcW w:w="5000" w:type="pct"/>
            <w:gridSpan w:val="3"/>
          </w:tcPr>
          <w:p w:rsidR="00A43EF5" w:rsidRPr="00424A9D" w:rsidRDefault="00A43EF5" w:rsidP="002E5A9A">
            <w:pPr>
              <w:jc w:val="both"/>
              <w:rPr>
                <w:sz w:val="20"/>
              </w:rPr>
            </w:pPr>
          </w:p>
        </w:tc>
      </w:tr>
      <w:tr w:rsidR="00A43EF5" w:rsidRPr="00424A9D" w:rsidTr="002E5A9A">
        <w:tc>
          <w:tcPr>
            <w:tcW w:w="5000" w:type="pct"/>
            <w:gridSpan w:val="3"/>
          </w:tcPr>
          <w:p w:rsidR="00A43EF5" w:rsidRPr="00424A9D" w:rsidRDefault="00A43EF5" w:rsidP="002E5A9A">
            <w:pPr>
              <w:jc w:val="both"/>
              <w:rPr>
                <w:sz w:val="20"/>
              </w:rPr>
            </w:pPr>
            <w:r w:rsidRPr="00424A9D">
              <w:rPr>
                <w:sz w:val="20"/>
              </w:rPr>
              <w:t xml:space="preserve">In 2014, the Court of Québec dismissed several private complaints filed by the applicant Mr. Faucher against three lawyers, one Superior Court judge and three Court of Appeal judges who had all played a part in a medical malpractice suit brought by Mr. Faucher against a chiropractor. Mr. Faucher had alleged that the lawyers had made and used a false document and had worked together to mislead the court. He had also alleged that the Superior Court judge had used the false document. Mr. Faucher then filed a motion for </w:t>
            </w:r>
            <w:r w:rsidRPr="00424A9D">
              <w:rPr>
                <w:i/>
                <w:sz w:val="20"/>
              </w:rPr>
              <w:t>certiorari</w:t>
            </w:r>
            <w:r w:rsidRPr="00424A9D">
              <w:rPr>
                <w:sz w:val="20"/>
              </w:rPr>
              <w:t xml:space="preserve">, which the Superior Court dismissed, noting that the proceeding was more like a motion for </w:t>
            </w:r>
            <w:r w:rsidRPr="00424A9D">
              <w:rPr>
                <w:i/>
                <w:sz w:val="20"/>
              </w:rPr>
              <w:t>mandamus</w:t>
            </w:r>
            <w:r w:rsidRPr="00424A9D">
              <w:rPr>
                <w:sz w:val="20"/>
              </w:rPr>
              <w:t>. The Court of Appeal dismissed Mr. Faucher’s motion for an extension of time to appeal that decision. In the Court’s opinion, [</w:t>
            </w:r>
            <w:r w:rsidRPr="00424A9D">
              <w:rPr>
                <w:smallCaps/>
                <w:sz w:val="20"/>
              </w:rPr>
              <w:t>translation</w:t>
            </w:r>
            <w:r w:rsidRPr="00424A9D">
              <w:rPr>
                <w:sz w:val="20"/>
              </w:rPr>
              <w:t>] “the proceedings and the oral submissions [of Mr. Faucher] raise[d] no serious ground of appeal that could be heard by a three</w:t>
            </w:r>
            <w:r w:rsidRPr="00424A9D">
              <w:rPr>
                <w:sz w:val="20"/>
              </w:rPr>
              <w:noBreakHyphen/>
              <w:t>judge panel”. The Court also found that the ends of justice did not require that the motion for an extension of time be allowed.</w:t>
            </w:r>
          </w:p>
          <w:p w:rsidR="00A43EF5" w:rsidRPr="00424A9D" w:rsidRDefault="00A43EF5" w:rsidP="002E5A9A">
            <w:pPr>
              <w:jc w:val="both"/>
              <w:rPr>
                <w:sz w:val="20"/>
              </w:rPr>
            </w:pPr>
          </w:p>
        </w:tc>
      </w:tr>
      <w:tr w:rsidR="00A43EF5" w:rsidRPr="00424A9D" w:rsidTr="002E5A9A">
        <w:tc>
          <w:tcPr>
            <w:tcW w:w="2427" w:type="pct"/>
          </w:tcPr>
          <w:p w:rsidR="00A43EF5" w:rsidRPr="00424A9D" w:rsidRDefault="00A43EF5" w:rsidP="002E5A9A">
            <w:pPr>
              <w:jc w:val="both"/>
              <w:rPr>
                <w:sz w:val="20"/>
              </w:rPr>
            </w:pPr>
            <w:r w:rsidRPr="00424A9D">
              <w:rPr>
                <w:sz w:val="20"/>
              </w:rPr>
              <w:t>July 4, 2014</w:t>
            </w:r>
          </w:p>
          <w:p w:rsidR="00A43EF5" w:rsidRPr="00424A9D" w:rsidRDefault="00A43EF5" w:rsidP="002E5A9A">
            <w:pPr>
              <w:jc w:val="both"/>
              <w:rPr>
                <w:sz w:val="20"/>
              </w:rPr>
            </w:pPr>
            <w:r w:rsidRPr="00424A9D">
              <w:rPr>
                <w:sz w:val="20"/>
              </w:rPr>
              <w:t>Court of Québec</w:t>
            </w:r>
          </w:p>
          <w:p w:rsidR="00A43EF5" w:rsidRPr="00424A9D" w:rsidRDefault="00A43EF5" w:rsidP="002E5A9A">
            <w:pPr>
              <w:jc w:val="both"/>
              <w:rPr>
                <w:sz w:val="20"/>
              </w:rPr>
            </w:pPr>
            <w:r w:rsidRPr="00424A9D">
              <w:rPr>
                <w:sz w:val="20"/>
              </w:rPr>
              <w:t>(Judge Roy)</w:t>
            </w:r>
          </w:p>
          <w:p w:rsidR="00A43EF5" w:rsidRPr="00424A9D" w:rsidRDefault="00A43EF5" w:rsidP="002E5A9A">
            <w:pPr>
              <w:jc w:val="both"/>
              <w:rPr>
                <w:sz w:val="20"/>
              </w:rPr>
            </w:pPr>
          </w:p>
        </w:tc>
        <w:tc>
          <w:tcPr>
            <w:tcW w:w="243" w:type="pct"/>
          </w:tcPr>
          <w:p w:rsidR="00A43EF5" w:rsidRPr="00424A9D" w:rsidRDefault="00A43EF5" w:rsidP="002E5A9A">
            <w:pPr>
              <w:jc w:val="both"/>
              <w:rPr>
                <w:sz w:val="20"/>
              </w:rPr>
            </w:pPr>
          </w:p>
        </w:tc>
        <w:tc>
          <w:tcPr>
            <w:tcW w:w="2330" w:type="pct"/>
          </w:tcPr>
          <w:p w:rsidR="00A43EF5" w:rsidRPr="00424A9D" w:rsidRDefault="00A43EF5" w:rsidP="002E5A9A">
            <w:pPr>
              <w:jc w:val="both"/>
              <w:rPr>
                <w:sz w:val="20"/>
              </w:rPr>
            </w:pPr>
            <w:r w:rsidRPr="00424A9D">
              <w:rPr>
                <w:sz w:val="20"/>
              </w:rPr>
              <w:t>Private complaints dismissed</w:t>
            </w:r>
          </w:p>
          <w:p w:rsidR="00A43EF5" w:rsidRPr="00424A9D" w:rsidRDefault="00A43EF5" w:rsidP="002E5A9A">
            <w:pPr>
              <w:jc w:val="both"/>
              <w:rPr>
                <w:sz w:val="20"/>
              </w:rPr>
            </w:pPr>
          </w:p>
          <w:p w:rsidR="00A43EF5" w:rsidRPr="00424A9D" w:rsidRDefault="00A43EF5" w:rsidP="002E5A9A">
            <w:pPr>
              <w:jc w:val="both"/>
              <w:rPr>
                <w:sz w:val="20"/>
              </w:rPr>
            </w:pPr>
          </w:p>
          <w:p w:rsidR="00A43EF5" w:rsidRPr="00424A9D" w:rsidRDefault="00A43EF5" w:rsidP="002E5A9A">
            <w:pPr>
              <w:jc w:val="both"/>
              <w:rPr>
                <w:sz w:val="20"/>
              </w:rPr>
            </w:pPr>
          </w:p>
        </w:tc>
      </w:tr>
      <w:tr w:rsidR="00A43EF5" w:rsidRPr="00424A9D" w:rsidTr="002E5A9A">
        <w:tc>
          <w:tcPr>
            <w:tcW w:w="2427" w:type="pct"/>
          </w:tcPr>
          <w:p w:rsidR="00A43EF5" w:rsidRPr="00424A9D" w:rsidRDefault="00A43EF5" w:rsidP="002E5A9A">
            <w:pPr>
              <w:jc w:val="both"/>
              <w:rPr>
                <w:sz w:val="20"/>
              </w:rPr>
            </w:pPr>
            <w:r w:rsidRPr="00424A9D">
              <w:rPr>
                <w:sz w:val="20"/>
              </w:rPr>
              <w:t>January 27, 2015</w:t>
            </w:r>
          </w:p>
          <w:p w:rsidR="00A43EF5" w:rsidRPr="00424A9D" w:rsidRDefault="00A43EF5" w:rsidP="002E5A9A">
            <w:pPr>
              <w:jc w:val="both"/>
              <w:rPr>
                <w:sz w:val="20"/>
              </w:rPr>
            </w:pPr>
            <w:r w:rsidRPr="00424A9D">
              <w:rPr>
                <w:sz w:val="20"/>
              </w:rPr>
              <w:t>Quebec Superior Court</w:t>
            </w:r>
          </w:p>
          <w:p w:rsidR="00A43EF5" w:rsidRPr="00424A9D" w:rsidRDefault="00A43EF5" w:rsidP="002E5A9A">
            <w:pPr>
              <w:jc w:val="both"/>
              <w:rPr>
                <w:sz w:val="20"/>
              </w:rPr>
            </w:pPr>
            <w:r w:rsidRPr="00424A9D">
              <w:rPr>
                <w:sz w:val="20"/>
              </w:rPr>
              <w:t>(De Blois J.)</w:t>
            </w:r>
          </w:p>
          <w:p w:rsidR="00A43EF5" w:rsidRPr="00424A9D" w:rsidRDefault="00A43EF5" w:rsidP="002E5A9A">
            <w:pPr>
              <w:jc w:val="both"/>
              <w:rPr>
                <w:sz w:val="20"/>
              </w:rPr>
            </w:pPr>
          </w:p>
        </w:tc>
        <w:tc>
          <w:tcPr>
            <w:tcW w:w="243" w:type="pct"/>
          </w:tcPr>
          <w:p w:rsidR="00A43EF5" w:rsidRPr="00424A9D" w:rsidRDefault="00A43EF5" w:rsidP="002E5A9A">
            <w:pPr>
              <w:jc w:val="both"/>
              <w:rPr>
                <w:sz w:val="20"/>
              </w:rPr>
            </w:pPr>
          </w:p>
        </w:tc>
        <w:tc>
          <w:tcPr>
            <w:tcW w:w="2330" w:type="pct"/>
          </w:tcPr>
          <w:p w:rsidR="00A43EF5" w:rsidRPr="00424A9D" w:rsidRDefault="00A43EF5" w:rsidP="002E5A9A">
            <w:pPr>
              <w:jc w:val="both"/>
              <w:rPr>
                <w:sz w:val="20"/>
              </w:rPr>
            </w:pPr>
            <w:r w:rsidRPr="00424A9D">
              <w:rPr>
                <w:sz w:val="20"/>
              </w:rPr>
              <w:t xml:space="preserve">Motion for </w:t>
            </w:r>
            <w:r w:rsidRPr="00424A9D">
              <w:rPr>
                <w:i/>
                <w:sz w:val="20"/>
              </w:rPr>
              <w:t>mandamus</w:t>
            </w:r>
            <w:r w:rsidRPr="00424A9D">
              <w:rPr>
                <w:sz w:val="20"/>
              </w:rPr>
              <w:t xml:space="preserve"> dismissed</w:t>
            </w:r>
          </w:p>
          <w:p w:rsidR="00A43EF5" w:rsidRPr="00424A9D" w:rsidRDefault="00A43EF5" w:rsidP="002E5A9A">
            <w:pPr>
              <w:jc w:val="both"/>
              <w:rPr>
                <w:sz w:val="20"/>
              </w:rPr>
            </w:pPr>
          </w:p>
        </w:tc>
      </w:tr>
      <w:tr w:rsidR="00A43EF5" w:rsidRPr="00424A9D" w:rsidTr="002E5A9A">
        <w:tc>
          <w:tcPr>
            <w:tcW w:w="2427" w:type="pct"/>
          </w:tcPr>
          <w:p w:rsidR="00A43EF5" w:rsidRPr="00424A9D" w:rsidRDefault="00A43EF5" w:rsidP="002E5A9A">
            <w:pPr>
              <w:jc w:val="both"/>
              <w:rPr>
                <w:sz w:val="20"/>
              </w:rPr>
            </w:pPr>
            <w:r w:rsidRPr="00424A9D">
              <w:rPr>
                <w:sz w:val="20"/>
              </w:rPr>
              <w:t>March 19, 2015</w:t>
            </w:r>
          </w:p>
          <w:p w:rsidR="00A43EF5" w:rsidRPr="00424A9D" w:rsidRDefault="00A43EF5" w:rsidP="002E5A9A">
            <w:pPr>
              <w:jc w:val="both"/>
              <w:rPr>
                <w:sz w:val="20"/>
              </w:rPr>
            </w:pPr>
            <w:r w:rsidRPr="00424A9D">
              <w:rPr>
                <w:sz w:val="20"/>
              </w:rPr>
              <w:t>Quebec Court of Appeal (Québec)</w:t>
            </w:r>
          </w:p>
          <w:p w:rsidR="00A43EF5" w:rsidRPr="00424A9D" w:rsidRDefault="00A43EF5" w:rsidP="002E5A9A">
            <w:pPr>
              <w:jc w:val="both"/>
              <w:rPr>
                <w:sz w:val="20"/>
              </w:rPr>
            </w:pPr>
            <w:r w:rsidRPr="00424A9D">
              <w:rPr>
                <w:sz w:val="20"/>
              </w:rPr>
              <w:t>(Gagnon J.A.)</w:t>
            </w:r>
          </w:p>
          <w:p w:rsidR="00A43EF5" w:rsidRPr="00424A9D" w:rsidRDefault="00A43EF5" w:rsidP="002E5A9A">
            <w:pPr>
              <w:jc w:val="both"/>
              <w:rPr>
                <w:sz w:val="20"/>
              </w:rPr>
            </w:pPr>
          </w:p>
        </w:tc>
        <w:tc>
          <w:tcPr>
            <w:tcW w:w="243" w:type="pct"/>
          </w:tcPr>
          <w:p w:rsidR="00A43EF5" w:rsidRPr="00424A9D" w:rsidRDefault="00A43EF5" w:rsidP="002E5A9A">
            <w:pPr>
              <w:jc w:val="both"/>
              <w:rPr>
                <w:sz w:val="20"/>
              </w:rPr>
            </w:pPr>
          </w:p>
        </w:tc>
        <w:tc>
          <w:tcPr>
            <w:tcW w:w="2330" w:type="pct"/>
          </w:tcPr>
          <w:p w:rsidR="00A43EF5" w:rsidRPr="00424A9D" w:rsidRDefault="00A43EF5" w:rsidP="002E5A9A">
            <w:pPr>
              <w:jc w:val="both"/>
              <w:rPr>
                <w:sz w:val="20"/>
              </w:rPr>
            </w:pPr>
            <w:r w:rsidRPr="00424A9D">
              <w:rPr>
                <w:sz w:val="20"/>
              </w:rPr>
              <w:t>Motion for extension of time dismissed</w:t>
            </w:r>
          </w:p>
          <w:p w:rsidR="00A43EF5" w:rsidRPr="00424A9D" w:rsidRDefault="00A43EF5" w:rsidP="002E5A9A">
            <w:pPr>
              <w:jc w:val="both"/>
              <w:rPr>
                <w:sz w:val="20"/>
              </w:rPr>
            </w:pPr>
          </w:p>
        </w:tc>
      </w:tr>
      <w:tr w:rsidR="00A43EF5" w:rsidRPr="00424A9D" w:rsidTr="002E5A9A">
        <w:tc>
          <w:tcPr>
            <w:tcW w:w="2427" w:type="pct"/>
          </w:tcPr>
          <w:p w:rsidR="00A43EF5" w:rsidRPr="00424A9D" w:rsidRDefault="00A43EF5" w:rsidP="002E5A9A">
            <w:pPr>
              <w:jc w:val="both"/>
              <w:rPr>
                <w:sz w:val="20"/>
              </w:rPr>
            </w:pPr>
            <w:r w:rsidRPr="00424A9D">
              <w:rPr>
                <w:sz w:val="20"/>
              </w:rPr>
              <w:t>May 19, 2015</w:t>
            </w:r>
          </w:p>
          <w:p w:rsidR="00A43EF5" w:rsidRPr="00424A9D" w:rsidRDefault="00A43EF5" w:rsidP="002E5A9A">
            <w:pPr>
              <w:jc w:val="both"/>
              <w:rPr>
                <w:sz w:val="20"/>
              </w:rPr>
            </w:pPr>
            <w:r w:rsidRPr="00424A9D">
              <w:rPr>
                <w:sz w:val="20"/>
              </w:rPr>
              <w:t>Supreme Court of Canada</w:t>
            </w:r>
          </w:p>
          <w:p w:rsidR="00A43EF5" w:rsidRPr="00424A9D" w:rsidRDefault="00A43EF5" w:rsidP="002E5A9A">
            <w:pPr>
              <w:jc w:val="both"/>
              <w:rPr>
                <w:sz w:val="20"/>
              </w:rPr>
            </w:pPr>
          </w:p>
        </w:tc>
        <w:tc>
          <w:tcPr>
            <w:tcW w:w="243" w:type="pct"/>
          </w:tcPr>
          <w:p w:rsidR="00A43EF5" w:rsidRPr="00424A9D" w:rsidRDefault="00A43EF5" w:rsidP="002E5A9A">
            <w:pPr>
              <w:jc w:val="both"/>
              <w:rPr>
                <w:sz w:val="20"/>
              </w:rPr>
            </w:pPr>
          </w:p>
        </w:tc>
        <w:tc>
          <w:tcPr>
            <w:tcW w:w="2330" w:type="pct"/>
          </w:tcPr>
          <w:p w:rsidR="00A43EF5" w:rsidRPr="00424A9D" w:rsidRDefault="00A43EF5" w:rsidP="002E5A9A">
            <w:pPr>
              <w:jc w:val="both"/>
              <w:rPr>
                <w:sz w:val="20"/>
              </w:rPr>
            </w:pPr>
            <w:r w:rsidRPr="00424A9D">
              <w:rPr>
                <w:sz w:val="20"/>
              </w:rPr>
              <w:t>Application for leave to appeal filed</w:t>
            </w:r>
          </w:p>
          <w:p w:rsidR="00A43EF5" w:rsidRPr="00424A9D" w:rsidRDefault="00A43EF5" w:rsidP="002E5A9A">
            <w:pPr>
              <w:jc w:val="both"/>
              <w:rPr>
                <w:sz w:val="20"/>
              </w:rPr>
            </w:pPr>
          </w:p>
        </w:tc>
      </w:tr>
      <w:tr w:rsidR="00A43EF5" w:rsidRPr="00424A9D" w:rsidTr="002E5A9A">
        <w:tc>
          <w:tcPr>
            <w:tcW w:w="2427" w:type="pct"/>
          </w:tcPr>
          <w:p w:rsidR="00A43EF5" w:rsidRPr="00424A9D" w:rsidRDefault="00A43EF5" w:rsidP="002E5A9A">
            <w:pPr>
              <w:jc w:val="both"/>
              <w:rPr>
                <w:sz w:val="20"/>
              </w:rPr>
            </w:pPr>
            <w:r w:rsidRPr="00424A9D">
              <w:rPr>
                <w:sz w:val="20"/>
              </w:rPr>
              <w:t>June 19, 2015</w:t>
            </w:r>
          </w:p>
          <w:p w:rsidR="00A43EF5" w:rsidRPr="00424A9D" w:rsidRDefault="00A43EF5" w:rsidP="002E5A9A">
            <w:pPr>
              <w:jc w:val="both"/>
              <w:rPr>
                <w:sz w:val="20"/>
              </w:rPr>
            </w:pPr>
            <w:r w:rsidRPr="00424A9D">
              <w:rPr>
                <w:sz w:val="20"/>
              </w:rPr>
              <w:t>Supreme Court of Canada</w:t>
            </w:r>
          </w:p>
        </w:tc>
        <w:tc>
          <w:tcPr>
            <w:tcW w:w="243" w:type="pct"/>
          </w:tcPr>
          <w:p w:rsidR="00A43EF5" w:rsidRPr="00424A9D" w:rsidRDefault="00A43EF5" w:rsidP="002E5A9A">
            <w:pPr>
              <w:jc w:val="both"/>
              <w:rPr>
                <w:sz w:val="20"/>
              </w:rPr>
            </w:pPr>
          </w:p>
        </w:tc>
        <w:tc>
          <w:tcPr>
            <w:tcW w:w="2330" w:type="pct"/>
          </w:tcPr>
          <w:p w:rsidR="00A43EF5" w:rsidRPr="00424A9D" w:rsidRDefault="00A43EF5" w:rsidP="002E5A9A">
            <w:pPr>
              <w:jc w:val="both"/>
              <w:rPr>
                <w:sz w:val="20"/>
              </w:rPr>
            </w:pPr>
            <w:r w:rsidRPr="00424A9D">
              <w:rPr>
                <w:sz w:val="20"/>
              </w:rPr>
              <w:t>Motion to appoint counsel filed</w:t>
            </w:r>
          </w:p>
          <w:p w:rsidR="00A43EF5" w:rsidRPr="00424A9D" w:rsidRDefault="00A43EF5" w:rsidP="002E5A9A">
            <w:pPr>
              <w:jc w:val="both"/>
              <w:rPr>
                <w:sz w:val="20"/>
              </w:rPr>
            </w:pPr>
          </w:p>
        </w:tc>
      </w:tr>
    </w:tbl>
    <w:p w:rsidR="00A43EF5" w:rsidRDefault="00A43EF5" w:rsidP="00A43EF5">
      <w:pPr>
        <w:rPr>
          <w:sz w:val="20"/>
          <w:szCs w:val="20"/>
        </w:rPr>
      </w:pPr>
    </w:p>
    <w:p w:rsidR="00A43EF5" w:rsidRPr="00C50A5C" w:rsidRDefault="00EB0985" w:rsidP="00A43EF5">
      <w:pPr>
        <w:rPr>
          <w:sz w:val="20"/>
          <w:szCs w:val="20"/>
        </w:rPr>
      </w:pPr>
      <w:r>
        <w:rPr>
          <w:sz w:val="20"/>
          <w:szCs w:val="20"/>
          <w:lang w:val="fr-CA"/>
        </w:rPr>
        <w:pict>
          <v:rect id="_x0000_i1052" style="width:2in;height:1pt" o:hrpct="0" o:hralign="center" o:hrstd="t" o:hrnoshade="t" o:hr="t" fillcolor="black [3213]" stroked="f"/>
        </w:pict>
      </w:r>
    </w:p>
    <w:p w:rsidR="00A43EF5" w:rsidRDefault="00A43EF5" w:rsidP="00A43EF5">
      <w:pPr>
        <w:rPr>
          <w:sz w:val="20"/>
          <w:szCs w:val="20"/>
        </w:rPr>
      </w:pPr>
    </w:p>
    <w:p w:rsidR="00A43EF5" w:rsidRPr="001B157C" w:rsidRDefault="00A43EF5" w:rsidP="00A43EF5">
      <w:pPr>
        <w:rPr>
          <w:sz w:val="20"/>
          <w:szCs w:val="20"/>
          <w:u w:val="single"/>
          <w:lang w:val="fr-CA"/>
        </w:rPr>
      </w:pPr>
      <w:r w:rsidRPr="001B157C">
        <w:rPr>
          <w:sz w:val="20"/>
          <w:szCs w:val="20"/>
          <w:u w:val="single"/>
          <w:lang w:val="fr-CA"/>
        </w:rPr>
        <w:t>RÉSUMÉ DE L’AFFAIRE</w:t>
      </w:r>
    </w:p>
    <w:p w:rsidR="00A43EF5" w:rsidRDefault="00A43EF5" w:rsidP="00A43EF5">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A43EF5" w:rsidRPr="00EB0985" w:rsidTr="002E5A9A">
        <w:tc>
          <w:tcPr>
            <w:tcW w:w="5000" w:type="pct"/>
            <w:gridSpan w:val="3"/>
          </w:tcPr>
          <w:p w:rsidR="00A43EF5" w:rsidRPr="00424A9D" w:rsidRDefault="00A43EF5" w:rsidP="002E5A9A">
            <w:pPr>
              <w:spacing w:line="276" w:lineRule="auto"/>
              <w:jc w:val="both"/>
              <w:rPr>
                <w:rFonts w:eastAsia="Calibri"/>
                <w:smallCaps/>
                <w:sz w:val="20"/>
                <w:lang w:val="fr-CA"/>
              </w:rPr>
            </w:pPr>
            <w:r w:rsidRPr="00424A9D">
              <w:rPr>
                <w:rFonts w:eastAsia="Calibri"/>
                <w:smallCaps/>
                <w:sz w:val="20"/>
                <w:lang w:val="fr-CA"/>
              </w:rPr>
              <w:t>(Ordonnance de non-publication dans le dossier) (Le dossier de la Cour renferme des données que le public n’est pas autorisé à consulter)</w:t>
            </w:r>
          </w:p>
          <w:p w:rsidR="00A43EF5" w:rsidRPr="00424A9D" w:rsidRDefault="00A43EF5" w:rsidP="002E5A9A">
            <w:pPr>
              <w:spacing w:line="276" w:lineRule="auto"/>
              <w:jc w:val="both"/>
              <w:rPr>
                <w:rFonts w:eastAsia="Calibri"/>
                <w:sz w:val="20"/>
                <w:lang w:val="fr-CA"/>
              </w:rPr>
            </w:pPr>
          </w:p>
          <w:p w:rsidR="00A43EF5" w:rsidRPr="00424A9D" w:rsidRDefault="00A43EF5" w:rsidP="002E5A9A">
            <w:pPr>
              <w:spacing w:line="276" w:lineRule="auto"/>
              <w:jc w:val="both"/>
              <w:rPr>
                <w:rFonts w:eastAsia="Calibri"/>
                <w:sz w:val="20"/>
                <w:lang w:val="fr-CA"/>
              </w:rPr>
            </w:pPr>
            <w:r w:rsidRPr="00424A9D">
              <w:rPr>
                <w:rFonts w:eastAsia="Calibri"/>
                <w:sz w:val="20"/>
                <w:lang w:val="fr-CA"/>
              </w:rPr>
              <w:lastRenderedPageBreak/>
              <w:t>Droit criminel – Dénonciations privées – Appels – Prorogations de délai – La Cour d’appel a-t-elle fait erreur en rejetant la requête du demandeur en prorogation de délai?</w:t>
            </w:r>
          </w:p>
        </w:tc>
      </w:tr>
      <w:tr w:rsidR="00A43EF5" w:rsidRPr="00EB0985" w:rsidTr="002E5A9A">
        <w:tc>
          <w:tcPr>
            <w:tcW w:w="5000" w:type="pct"/>
            <w:gridSpan w:val="3"/>
          </w:tcPr>
          <w:p w:rsidR="00A43EF5" w:rsidRPr="00424A9D" w:rsidRDefault="00A43EF5" w:rsidP="002E5A9A">
            <w:pPr>
              <w:spacing w:line="276" w:lineRule="auto"/>
              <w:jc w:val="both"/>
              <w:rPr>
                <w:rFonts w:eastAsia="Calibri"/>
                <w:sz w:val="20"/>
                <w:lang w:val="fr-CA"/>
              </w:rPr>
            </w:pPr>
          </w:p>
        </w:tc>
      </w:tr>
      <w:tr w:rsidR="00A43EF5" w:rsidRPr="00EB0985" w:rsidTr="002E5A9A">
        <w:tc>
          <w:tcPr>
            <w:tcW w:w="5000" w:type="pct"/>
            <w:gridSpan w:val="3"/>
          </w:tcPr>
          <w:p w:rsidR="00A43EF5" w:rsidRPr="00424A9D" w:rsidRDefault="00A43EF5" w:rsidP="002E5A9A">
            <w:pPr>
              <w:spacing w:line="276" w:lineRule="auto"/>
              <w:jc w:val="both"/>
              <w:rPr>
                <w:rFonts w:eastAsia="Calibri"/>
                <w:sz w:val="20"/>
                <w:lang w:val="fr-CA"/>
              </w:rPr>
            </w:pPr>
            <w:r w:rsidRPr="00424A9D">
              <w:rPr>
                <w:rFonts w:eastAsia="Calibri"/>
                <w:sz w:val="20"/>
                <w:lang w:val="fr-CA"/>
              </w:rPr>
              <w:t xml:space="preserve">En 2014, la Cour du Québec a rejeté plusieurs plaintes privées déposées par M. Faucher, demandeur, à l’encontre de trois avocats, un juge de la Cour supérieure et trois juges de la Cour d’appel qui sont tous intervenus dans le cadre d’une poursuite en responsabilité médicale intentée par ce premier contre un chiropraticien. Monsieur Faucher avait allégué que les avocats avaient fabriqué et utilisé un faux et qu’ils s’étaient concertés dans le but d’induire le tribunal en erreur. Il avait également reproché au juge de la Cour supérieure d’avoir utilisé ce faux. Monsieur Faucher a ensuite déposé une requête en </w:t>
            </w:r>
            <w:r w:rsidRPr="00424A9D">
              <w:rPr>
                <w:rFonts w:eastAsia="Calibri"/>
                <w:i/>
                <w:sz w:val="20"/>
                <w:lang w:val="fr-CA"/>
              </w:rPr>
              <w:t>certiorari</w:t>
            </w:r>
            <w:r w:rsidRPr="00424A9D">
              <w:rPr>
                <w:rFonts w:eastAsia="Calibri"/>
                <w:sz w:val="20"/>
                <w:lang w:val="fr-CA"/>
              </w:rPr>
              <w:t xml:space="preserve"> que la Cour supérieure a rejetée, notant que la procédure s’apparentait plus à une requête en </w:t>
            </w:r>
            <w:r w:rsidRPr="00424A9D">
              <w:rPr>
                <w:rFonts w:eastAsia="Calibri"/>
                <w:i/>
                <w:sz w:val="20"/>
                <w:lang w:val="fr-CA"/>
              </w:rPr>
              <w:t>mandamus</w:t>
            </w:r>
            <w:r w:rsidRPr="00424A9D">
              <w:rPr>
                <w:rFonts w:eastAsia="Calibri"/>
                <w:sz w:val="20"/>
                <w:lang w:val="fr-CA"/>
              </w:rPr>
              <w:t>. La Cour d’appel a rejeté la requête de M. Faucher en prorogation de délai pour appeler de cette décision. De l’avis de la Cour, « les procédures ainsi que les observations verbales [de M. Faucher] n’abord[aient] aucun motif d’appel sérieux susceptible d’être entendu par une formation de trois juges ». La Cour a également conclu que les fins de la justice ne requéraient pas que la requête en prorogation de délai soit accordée.</w:t>
            </w:r>
          </w:p>
          <w:p w:rsidR="00A43EF5" w:rsidRPr="00424A9D" w:rsidRDefault="00A43EF5" w:rsidP="002E5A9A">
            <w:pPr>
              <w:spacing w:line="276" w:lineRule="auto"/>
              <w:jc w:val="both"/>
              <w:rPr>
                <w:rFonts w:eastAsia="Calibri"/>
                <w:sz w:val="20"/>
                <w:lang w:val="fr-CA"/>
              </w:rPr>
            </w:pPr>
          </w:p>
        </w:tc>
      </w:tr>
      <w:tr w:rsidR="00A43EF5" w:rsidRPr="00424A9D" w:rsidTr="002E5A9A">
        <w:tc>
          <w:tcPr>
            <w:tcW w:w="2427"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Le 4 juillet 2014</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Cour du Québec</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(La juge Roy)</w:t>
            </w:r>
          </w:p>
          <w:p w:rsidR="00A43EF5" w:rsidRPr="00424A9D" w:rsidRDefault="00A43EF5" w:rsidP="002E5A9A">
            <w:pPr>
              <w:spacing w:line="276" w:lineRule="auto"/>
              <w:jc w:val="both"/>
              <w:rPr>
                <w:rFonts w:eastAsia="Calibri"/>
                <w:sz w:val="20"/>
                <w:lang w:val="fr-CA"/>
              </w:rPr>
            </w:pPr>
          </w:p>
        </w:tc>
        <w:tc>
          <w:tcPr>
            <w:tcW w:w="243" w:type="pct"/>
          </w:tcPr>
          <w:p w:rsidR="00A43EF5" w:rsidRPr="00424A9D" w:rsidRDefault="00A43EF5" w:rsidP="002E5A9A">
            <w:pPr>
              <w:spacing w:line="276" w:lineRule="auto"/>
              <w:jc w:val="both"/>
              <w:rPr>
                <w:rFonts w:eastAsia="Calibri"/>
                <w:sz w:val="20"/>
                <w:lang w:val="fr-CA"/>
              </w:rPr>
            </w:pPr>
          </w:p>
        </w:tc>
        <w:tc>
          <w:tcPr>
            <w:tcW w:w="2330"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Plaintes privées rejetées</w:t>
            </w:r>
          </w:p>
          <w:p w:rsidR="00A43EF5" w:rsidRPr="00424A9D" w:rsidRDefault="00A43EF5" w:rsidP="002E5A9A">
            <w:pPr>
              <w:spacing w:line="276" w:lineRule="auto"/>
              <w:jc w:val="both"/>
              <w:rPr>
                <w:rFonts w:eastAsia="Calibri"/>
                <w:sz w:val="20"/>
                <w:lang w:val="fr-CA"/>
              </w:rPr>
            </w:pPr>
          </w:p>
          <w:p w:rsidR="00A43EF5" w:rsidRPr="00424A9D" w:rsidRDefault="00A43EF5" w:rsidP="002E5A9A">
            <w:pPr>
              <w:spacing w:line="276" w:lineRule="auto"/>
              <w:jc w:val="both"/>
              <w:rPr>
                <w:rFonts w:eastAsia="Calibri"/>
                <w:sz w:val="20"/>
                <w:lang w:val="fr-CA"/>
              </w:rPr>
            </w:pPr>
          </w:p>
          <w:p w:rsidR="00A43EF5" w:rsidRPr="00424A9D" w:rsidRDefault="00A43EF5" w:rsidP="002E5A9A">
            <w:pPr>
              <w:spacing w:line="276" w:lineRule="auto"/>
              <w:jc w:val="both"/>
              <w:rPr>
                <w:rFonts w:eastAsia="Calibri"/>
                <w:sz w:val="20"/>
                <w:lang w:val="fr-CA"/>
              </w:rPr>
            </w:pPr>
          </w:p>
        </w:tc>
      </w:tr>
      <w:tr w:rsidR="00A43EF5" w:rsidRPr="00424A9D" w:rsidTr="002E5A9A">
        <w:tc>
          <w:tcPr>
            <w:tcW w:w="2427"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Le 27 janvier 2015</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Cour supérieure du Québec</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(Le juge De Blois)</w:t>
            </w:r>
          </w:p>
          <w:p w:rsidR="00A43EF5" w:rsidRPr="00424A9D" w:rsidRDefault="00A43EF5" w:rsidP="002E5A9A">
            <w:pPr>
              <w:spacing w:line="276" w:lineRule="auto"/>
              <w:jc w:val="both"/>
              <w:rPr>
                <w:rFonts w:eastAsia="Calibri"/>
                <w:sz w:val="20"/>
                <w:lang w:val="fr-CA"/>
              </w:rPr>
            </w:pPr>
          </w:p>
        </w:tc>
        <w:tc>
          <w:tcPr>
            <w:tcW w:w="243" w:type="pct"/>
          </w:tcPr>
          <w:p w:rsidR="00A43EF5" w:rsidRPr="00424A9D" w:rsidRDefault="00A43EF5" w:rsidP="002E5A9A">
            <w:pPr>
              <w:spacing w:line="276" w:lineRule="auto"/>
              <w:jc w:val="both"/>
              <w:rPr>
                <w:rFonts w:eastAsia="Calibri"/>
                <w:sz w:val="20"/>
                <w:lang w:val="fr-FR"/>
              </w:rPr>
            </w:pPr>
          </w:p>
        </w:tc>
        <w:tc>
          <w:tcPr>
            <w:tcW w:w="2330"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 xml:space="preserve">Requête en </w:t>
            </w:r>
            <w:r w:rsidRPr="00424A9D">
              <w:rPr>
                <w:rFonts w:eastAsia="Calibri"/>
                <w:i/>
                <w:sz w:val="20"/>
                <w:lang w:val="fr-CA"/>
              </w:rPr>
              <w:t>mandamus</w:t>
            </w:r>
            <w:r w:rsidRPr="00424A9D">
              <w:rPr>
                <w:rFonts w:eastAsia="Calibri"/>
                <w:sz w:val="20"/>
                <w:lang w:val="fr-CA"/>
              </w:rPr>
              <w:t xml:space="preserve"> rejetée</w:t>
            </w:r>
          </w:p>
          <w:p w:rsidR="00A43EF5" w:rsidRPr="00424A9D" w:rsidRDefault="00A43EF5" w:rsidP="002E5A9A">
            <w:pPr>
              <w:spacing w:line="276" w:lineRule="auto"/>
              <w:jc w:val="both"/>
              <w:rPr>
                <w:rFonts w:eastAsia="Calibri"/>
                <w:sz w:val="20"/>
                <w:lang w:val="fr-CA"/>
              </w:rPr>
            </w:pPr>
          </w:p>
        </w:tc>
      </w:tr>
      <w:tr w:rsidR="00A43EF5" w:rsidRPr="00EB0985" w:rsidTr="002E5A9A">
        <w:tc>
          <w:tcPr>
            <w:tcW w:w="2427"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Le 19 mars 2015</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Cour d’appel du Québec (Québec)</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(Le juge Gagnon)</w:t>
            </w:r>
          </w:p>
          <w:p w:rsidR="00A43EF5" w:rsidRPr="00424A9D" w:rsidRDefault="00A43EF5" w:rsidP="002E5A9A">
            <w:pPr>
              <w:spacing w:line="276" w:lineRule="auto"/>
              <w:jc w:val="both"/>
              <w:rPr>
                <w:rFonts w:eastAsia="Calibri"/>
                <w:sz w:val="20"/>
              </w:rPr>
            </w:pPr>
          </w:p>
        </w:tc>
        <w:tc>
          <w:tcPr>
            <w:tcW w:w="243" w:type="pct"/>
          </w:tcPr>
          <w:p w:rsidR="00A43EF5" w:rsidRPr="00424A9D" w:rsidRDefault="00A43EF5" w:rsidP="002E5A9A">
            <w:pPr>
              <w:spacing w:line="276" w:lineRule="auto"/>
              <w:jc w:val="both"/>
              <w:rPr>
                <w:rFonts w:eastAsia="Calibri"/>
                <w:sz w:val="20"/>
              </w:rPr>
            </w:pPr>
          </w:p>
        </w:tc>
        <w:tc>
          <w:tcPr>
            <w:tcW w:w="2330"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Requête en prorogation de délai rejetée</w:t>
            </w:r>
          </w:p>
          <w:p w:rsidR="00A43EF5" w:rsidRPr="00424A9D" w:rsidRDefault="00A43EF5" w:rsidP="002E5A9A">
            <w:pPr>
              <w:spacing w:line="276" w:lineRule="auto"/>
              <w:jc w:val="both"/>
              <w:rPr>
                <w:rFonts w:eastAsia="Calibri"/>
                <w:sz w:val="20"/>
                <w:lang w:val="fr-CA"/>
              </w:rPr>
            </w:pPr>
          </w:p>
        </w:tc>
      </w:tr>
      <w:tr w:rsidR="00A43EF5" w:rsidRPr="00424A9D" w:rsidTr="002E5A9A">
        <w:tc>
          <w:tcPr>
            <w:tcW w:w="2427"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Le 19 mai 2015</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Cour suprême du Canada</w:t>
            </w:r>
          </w:p>
          <w:p w:rsidR="00A43EF5" w:rsidRPr="00424A9D" w:rsidRDefault="00A43EF5" w:rsidP="002E5A9A">
            <w:pPr>
              <w:spacing w:line="276" w:lineRule="auto"/>
              <w:jc w:val="both"/>
              <w:rPr>
                <w:rFonts w:eastAsia="Calibri"/>
                <w:sz w:val="20"/>
                <w:lang w:val="fr-CA"/>
              </w:rPr>
            </w:pPr>
          </w:p>
        </w:tc>
        <w:tc>
          <w:tcPr>
            <w:tcW w:w="243" w:type="pct"/>
          </w:tcPr>
          <w:p w:rsidR="00A43EF5" w:rsidRPr="00424A9D" w:rsidRDefault="00A43EF5" w:rsidP="002E5A9A">
            <w:pPr>
              <w:spacing w:line="276" w:lineRule="auto"/>
              <w:jc w:val="both"/>
              <w:rPr>
                <w:rFonts w:eastAsia="Calibri"/>
                <w:sz w:val="20"/>
                <w:lang w:val="fr-CA"/>
              </w:rPr>
            </w:pPr>
          </w:p>
        </w:tc>
        <w:tc>
          <w:tcPr>
            <w:tcW w:w="2330"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Demande d’autorisation d’appel déposée</w:t>
            </w:r>
          </w:p>
          <w:p w:rsidR="00A43EF5" w:rsidRPr="00424A9D" w:rsidRDefault="00A43EF5" w:rsidP="002E5A9A">
            <w:pPr>
              <w:spacing w:line="276" w:lineRule="auto"/>
              <w:jc w:val="both"/>
              <w:rPr>
                <w:rFonts w:eastAsia="Calibri"/>
                <w:sz w:val="20"/>
                <w:lang w:val="fr-CA"/>
              </w:rPr>
            </w:pPr>
          </w:p>
        </w:tc>
      </w:tr>
      <w:tr w:rsidR="00A43EF5" w:rsidRPr="00EB0985" w:rsidTr="002E5A9A">
        <w:tc>
          <w:tcPr>
            <w:tcW w:w="2427" w:type="pct"/>
            <w:hideMark/>
          </w:tcPr>
          <w:p w:rsidR="00A43EF5" w:rsidRPr="00424A9D" w:rsidRDefault="00A43EF5" w:rsidP="002E5A9A">
            <w:pPr>
              <w:spacing w:line="276" w:lineRule="auto"/>
              <w:jc w:val="both"/>
              <w:rPr>
                <w:rFonts w:eastAsia="Calibri"/>
                <w:sz w:val="20"/>
                <w:lang w:val="fr-CA"/>
              </w:rPr>
            </w:pPr>
            <w:r w:rsidRPr="00424A9D">
              <w:rPr>
                <w:rFonts w:eastAsia="Calibri"/>
                <w:sz w:val="20"/>
                <w:lang w:val="fr-CA"/>
              </w:rPr>
              <w:t>Le 19 juin 2015</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Cour suprême du Canada</w:t>
            </w:r>
          </w:p>
        </w:tc>
        <w:tc>
          <w:tcPr>
            <w:tcW w:w="243" w:type="pct"/>
          </w:tcPr>
          <w:p w:rsidR="00A43EF5" w:rsidRPr="00424A9D" w:rsidRDefault="00A43EF5" w:rsidP="002E5A9A">
            <w:pPr>
              <w:spacing w:line="276" w:lineRule="auto"/>
              <w:jc w:val="both"/>
              <w:rPr>
                <w:rFonts w:eastAsia="Calibri"/>
                <w:sz w:val="20"/>
                <w:lang w:val="fr-CA"/>
              </w:rPr>
            </w:pPr>
          </w:p>
        </w:tc>
        <w:tc>
          <w:tcPr>
            <w:tcW w:w="2330"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Requête en nomination d’un procureur déposée</w:t>
            </w:r>
          </w:p>
          <w:p w:rsidR="00A43EF5" w:rsidRPr="00424A9D" w:rsidRDefault="00A43EF5" w:rsidP="002E5A9A">
            <w:pPr>
              <w:spacing w:line="276" w:lineRule="auto"/>
              <w:jc w:val="both"/>
              <w:rPr>
                <w:rFonts w:eastAsia="Calibri"/>
                <w:sz w:val="20"/>
                <w:lang w:val="fr-CA"/>
              </w:rPr>
            </w:pPr>
          </w:p>
        </w:tc>
      </w:tr>
    </w:tbl>
    <w:p w:rsidR="00A43EF5" w:rsidRPr="00A43EF5" w:rsidRDefault="00A43EF5" w:rsidP="00A43EF5">
      <w:pPr>
        <w:rPr>
          <w:sz w:val="20"/>
          <w:szCs w:val="20"/>
          <w:lang w:val="fr-CA"/>
        </w:rPr>
      </w:pPr>
    </w:p>
    <w:p w:rsidR="00A43EF5" w:rsidRDefault="00EB0985" w:rsidP="00A43EF5">
      <w:pPr>
        <w:rPr>
          <w:sz w:val="20"/>
          <w:szCs w:val="20"/>
        </w:rPr>
      </w:pPr>
      <w:r>
        <w:rPr>
          <w:sz w:val="20"/>
          <w:szCs w:val="20"/>
          <w:lang w:val="fr-CA"/>
        </w:rPr>
        <w:pict>
          <v:rect id="_x0000_i1053" style="width:2in;height:1pt" o:hrpct="0" o:hralign="center" o:hrstd="t" o:hrnoshade="t" o:hr="t" fillcolor="black [3213]" stroked="f"/>
        </w:pict>
      </w:r>
    </w:p>
    <w:p w:rsidR="00A43EF5" w:rsidRPr="00A43EF5" w:rsidRDefault="00A43EF5" w:rsidP="00A43EF5">
      <w:pPr>
        <w:rPr>
          <w:rFonts w:cs="Times New Roman"/>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43EF5" w:rsidRPr="00BA4921" w:rsidTr="002E5A9A">
        <w:trPr>
          <w:cantSplit/>
        </w:trPr>
        <w:tc>
          <w:tcPr>
            <w:tcW w:w="1458" w:type="dxa"/>
          </w:tcPr>
          <w:p w:rsidR="00A43EF5" w:rsidRPr="00A43EF5" w:rsidRDefault="00A43EF5" w:rsidP="00A43EF5">
            <w:pPr>
              <w:rPr>
                <w:rFonts w:cs="Times New Roman"/>
                <w:sz w:val="20"/>
                <w:szCs w:val="20"/>
              </w:rPr>
            </w:pPr>
            <w:r w:rsidRPr="00A43EF5">
              <w:rPr>
                <w:rFonts w:cs="Times New Roman"/>
                <w:b/>
                <w:sz w:val="20"/>
                <w:szCs w:val="20"/>
                <w:lang w:val="fr-CA"/>
              </w:rPr>
              <w:t>36453</w:t>
            </w:r>
          </w:p>
          <w:p w:rsidR="00A43EF5" w:rsidRPr="00A43EF5" w:rsidRDefault="00A43EF5" w:rsidP="00A43EF5">
            <w:pPr>
              <w:rPr>
                <w:rFonts w:cs="Times New Roman"/>
                <w:b/>
                <w:sz w:val="20"/>
                <w:szCs w:val="20"/>
                <w:lang w:val="fr-CA"/>
              </w:rPr>
            </w:pPr>
          </w:p>
        </w:tc>
        <w:tc>
          <w:tcPr>
            <w:tcW w:w="8118" w:type="dxa"/>
          </w:tcPr>
          <w:p w:rsidR="00A43EF5" w:rsidRPr="00BA4921" w:rsidRDefault="00A43EF5" w:rsidP="00A43EF5">
            <w:pPr>
              <w:rPr>
                <w:rFonts w:cs="Times New Roman"/>
                <w:sz w:val="20"/>
                <w:szCs w:val="20"/>
                <w:lang w:val="fr-CA"/>
              </w:rPr>
            </w:pPr>
            <w:r w:rsidRPr="00A43EF5">
              <w:rPr>
                <w:rFonts w:cs="Times New Roman"/>
                <w:b/>
                <w:sz w:val="20"/>
                <w:szCs w:val="20"/>
                <w:u w:val="single"/>
                <w:lang w:val="fr-CA"/>
              </w:rPr>
              <w:t>Roch Guimont c. RNC Média inc. (CHOI-FM 98,1)</w:t>
            </w:r>
            <w:r w:rsidR="00BA4921">
              <w:rPr>
                <w:rFonts w:cs="Times New Roman"/>
                <w:b/>
                <w:sz w:val="20"/>
                <w:szCs w:val="20"/>
                <w:u w:val="single"/>
                <w:lang w:val="fr-CA"/>
              </w:rPr>
              <w:t xml:space="preserve"> et</w:t>
            </w:r>
            <w:r w:rsidRPr="00A43EF5">
              <w:rPr>
                <w:rFonts w:cs="Times New Roman"/>
                <w:b/>
                <w:sz w:val="20"/>
                <w:szCs w:val="20"/>
                <w:u w:val="single"/>
                <w:lang w:val="fr-CA"/>
              </w:rPr>
              <w:t xml:space="preserve"> Cogeco Diffusion inc. (CJMF-FM 93)</w:t>
            </w:r>
            <w:r w:rsidRPr="00BA4921">
              <w:rPr>
                <w:rFonts w:cs="Times New Roman"/>
                <w:sz w:val="20"/>
                <w:szCs w:val="20"/>
                <w:lang w:val="fr-CA"/>
              </w:rPr>
              <w:t xml:space="preserve"> (Qc) (Civile) (Autorisation)</w:t>
            </w:r>
          </w:p>
          <w:p w:rsidR="00A43EF5" w:rsidRPr="00BA4921" w:rsidRDefault="00A43EF5" w:rsidP="00A43EF5">
            <w:pPr>
              <w:rPr>
                <w:rFonts w:cs="Times New Roman"/>
                <w:sz w:val="20"/>
                <w:szCs w:val="20"/>
                <w:lang w:val="fr-CA"/>
              </w:rPr>
            </w:pPr>
          </w:p>
        </w:tc>
      </w:tr>
      <w:tr w:rsidR="00A43EF5" w:rsidRPr="00EB0985" w:rsidTr="002E5A9A">
        <w:trPr>
          <w:cantSplit/>
        </w:trPr>
        <w:tc>
          <w:tcPr>
            <w:tcW w:w="1458" w:type="dxa"/>
          </w:tcPr>
          <w:p w:rsidR="00A43EF5" w:rsidRPr="00A43EF5" w:rsidRDefault="00A43EF5" w:rsidP="00A43EF5">
            <w:pPr>
              <w:rPr>
                <w:rFonts w:cs="Times New Roman"/>
                <w:sz w:val="20"/>
                <w:szCs w:val="20"/>
              </w:rPr>
            </w:pPr>
            <w:r w:rsidRPr="00A43EF5">
              <w:rPr>
                <w:rFonts w:cs="Times New Roman"/>
                <w:sz w:val="20"/>
                <w:szCs w:val="20"/>
              </w:rPr>
              <w:t>Coram :</w:t>
            </w:r>
          </w:p>
        </w:tc>
        <w:tc>
          <w:tcPr>
            <w:tcW w:w="8118" w:type="dxa"/>
          </w:tcPr>
          <w:p w:rsidR="00A43EF5" w:rsidRPr="00A43EF5" w:rsidRDefault="00A43EF5" w:rsidP="00A43EF5">
            <w:pPr>
              <w:rPr>
                <w:rFonts w:cs="Times New Roman"/>
                <w:sz w:val="20"/>
                <w:szCs w:val="20"/>
                <w:lang w:val="fr-CA"/>
              </w:rPr>
            </w:pPr>
            <w:r w:rsidRPr="00A43EF5">
              <w:rPr>
                <w:rFonts w:cs="Times New Roman"/>
                <w:sz w:val="20"/>
                <w:szCs w:val="20"/>
                <w:u w:val="single"/>
                <w:lang w:val="fr-CA"/>
              </w:rPr>
              <w:t>La juge en chef McLachlin et les juges Wagner et Gascon</w:t>
            </w:r>
          </w:p>
          <w:p w:rsidR="00A43EF5" w:rsidRPr="00A43EF5" w:rsidRDefault="00A43EF5" w:rsidP="00A43EF5">
            <w:pPr>
              <w:rPr>
                <w:rFonts w:cs="Times New Roman"/>
                <w:sz w:val="20"/>
                <w:szCs w:val="20"/>
                <w:u w:val="single"/>
                <w:lang w:val="fr-CA"/>
              </w:rPr>
            </w:pPr>
          </w:p>
        </w:tc>
      </w:tr>
      <w:tr w:rsidR="00A43EF5" w:rsidRPr="00A43EF5" w:rsidTr="002E5A9A">
        <w:trPr>
          <w:cantSplit/>
        </w:trPr>
        <w:tc>
          <w:tcPr>
            <w:tcW w:w="9576" w:type="dxa"/>
            <w:gridSpan w:val="2"/>
          </w:tcPr>
          <w:p w:rsidR="00A43EF5" w:rsidRPr="00A43EF5" w:rsidRDefault="00A43EF5" w:rsidP="00A43EF5">
            <w:pPr>
              <w:ind w:firstLine="720"/>
              <w:jc w:val="both"/>
              <w:rPr>
                <w:rFonts w:cs="Times New Roman"/>
                <w:sz w:val="20"/>
                <w:szCs w:val="20"/>
                <w:lang w:val="fr-CA"/>
              </w:rPr>
            </w:pPr>
            <w:r w:rsidRPr="00A43EF5">
              <w:rPr>
                <w:rFonts w:cs="Times New Roman"/>
                <w:sz w:val="20"/>
                <w:szCs w:val="20"/>
                <w:lang w:val="fr-CA"/>
              </w:rPr>
              <w:t>La demande d’autorisation d’appel de l’arrêt de la Cour d’appel du Québec (Québec), numéro 200-09-008170-133, 2015 QCCA 569, daté du 27 mars 2015, est rejetée.</w:t>
            </w:r>
          </w:p>
          <w:p w:rsidR="00A43EF5" w:rsidRPr="00A43EF5" w:rsidRDefault="00A43EF5" w:rsidP="00A43EF5">
            <w:pPr>
              <w:jc w:val="both"/>
              <w:rPr>
                <w:rFonts w:cs="Times New Roman"/>
                <w:sz w:val="20"/>
                <w:szCs w:val="20"/>
                <w:lang w:val="fr-CA"/>
              </w:rPr>
            </w:pPr>
          </w:p>
          <w:p w:rsidR="00A43EF5" w:rsidRPr="00A43EF5" w:rsidRDefault="00A43EF5" w:rsidP="00A43EF5">
            <w:pPr>
              <w:ind w:firstLine="720"/>
              <w:jc w:val="both"/>
              <w:rPr>
                <w:rFonts w:cs="Times New Roman"/>
                <w:sz w:val="20"/>
                <w:szCs w:val="20"/>
              </w:rPr>
            </w:pPr>
            <w:r w:rsidRPr="00A43EF5">
              <w:rPr>
                <w:rFonts w:cs="Times New Roman"/>
                <w:sz w:val="20"/>
                <w:szCs w:val="20"/>
              </w:rPr>
              <w:t>The application for leave to appeal from the judgment of the Court of Appeal of Quebec (Québec), Number 200-09-008170-133, 2015 QCCA 569, dated March 27, 2015, is dismissed.</w:t>
            </w:r>
          </w:p>
        </w:tc>
      </w:tr>
    </w:tbl>
    <w:p w:rsidR="00A43EF5" w:rsidRPr="00A030C5" w:rsidRDefault="00A43EF5" w:rsidP="00A43EF5">
      <w:pPr>
        <w:rPr>
          <w:sz w:val="20"/>
          <w:szCs w:val="20"/>
          <w:lang w:val="en-US"/>
        </w:rPr>
      </w:pPr>
    </w:p>
    <w:p w:rsidR="00A43EF5" w:rsidRPr="001B157C" w:rsidRDefault="00A43EF5" w:rsidP="00A43EF5">
      <w:pPr>
        <w:rPr>
          <w:sz w:val="20"/>
          <w:szCs w:val="20"/>
          <w:u w:val="single"/>
        </w:rPr>
      </w:pPr>
      <w:r w:rsidRPr="001B157C">
        <w:rPr>
          <w:sz w:val="20"/>
          <w:szCs w:val="20"/>
          <w:u w:val="single"/>
        </w:rPr>
        <w:lastRenderedPageBreak/>
        <w:t>CASE SUMMARY</w:t>
      </w:r>
    </w:p>
    <w:p w:rsidR="00A43EF5" w:rsidRDefault="00A43EF5" w:rsidP="00A43EF5">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A43EF5" w:rsidRPr="00424A9D" w:rsidTr="002E5A9A">
        <w:tc>
          <w:tcPr>
            <w:tcW w:w="5000" w:type="pct"/>
            <w:gridSpan w:val="3"/>
          </w:tcPr>
          <w:p w:rsidR="00A43EF5" w:rsidRPr="00424A9D" w:rsidRDefault="00A43EF5" w:rsidP="002E5A9A">
            <w:pPr>
              <w:spacing w:line="276" w:lineRule="auto"/>
              <w:jc w:val="both"/>
              <w:rPr>
                <w:rFonts w:eastAsia="Calibri"/>
                <w:sz w:val="20"/>
              </w:rPr>
            </w:pPr>
            <w:r w:rsidRPr="00424A9D">
              <w:rPr>
                <w:rFonts w:eastAsia="Calibri"/>
                <w:sz w:val="20"/>
              </w:rPr>
              <w:t>Appeals – Defamation – Damage to reputation – Whether applicant raising issue of law – Whether issue is of public importance.</w:t>
            </w:r>
          </w:p>
        </w:tc>
      </w:tr>
      <w:tr w:rsidR="00A43EF5" w:rsidRPr="00424A9D" w:rsidTr="002E5A9A">
        <w:tc>
          <w:tcPr>
            <w:tcW w:w="5000" w:type="pct"/>
            <w:gridSpan w:val="3"/>
          </w:tcPr>
          <w:p w:rsidR="00A43EF5" w:rsidRPr="00424A9D" w:rsidRDefault="00A43EF5" w:rsidP="002E5A9A">
            <w:pPr>
              <w:spacing w:line="276" w:lineRule="auto"/>
              <w:jc w:val="both"/>
              <w:rPr>
                <w:rFonts w:eastAsia="Calibri"/>
                <w:sz w:val="20"/>
              </w:rPr>
            </w:pPr>
          </w:p>
        </w:tc>
      </w:tr>
      <w:tr w:rsidR="00A43EF5" w:rsidRPr="00424A9D" w:rsidTr="002E5A9A">
        <w:tc>
          <w:tcPr>
            <w:tcW w:w="5000" w:type="pct"/>
            <w:gridSpan w:val="3"/>
          </w:tcPr>
          <w:p w:rsidR="00A43EF5" w:rsidRPr="00424A9D" w:rsidRDefault="00A43EF5" w:rsidP="002E5A9A">
            <w:pPr>
              <w:spacing w:line="276" w:lineRule="auto"/>
              <w:jc w:val="both"/>
              <w:rPr>
                <w:rFonts w:eastAsia="Calibri"/>
                <w:sz w:val="20"/>
              </w:rPr>
            </w:pPr>
            <w:r w:rsidRPr="00424A9D">
              <w:rPr>
                <w:rFonts w:eastAsia="Calibri"/>
                <w:sz w:val="20"/>
              </w:rPr>
              <w:t>The applicant was arrested in December 2008 by the Groupe d’intervention tactique of the Service de police de Québec and charged with uttering death threats, possession of a prohibited weapon and careless storage of a firearm. The arrest arose out of comments made by the applicant to a bartender and the fact that he had shown him the weapon, bulletproof vests and equipment of that nature in his possession. There was intensive media coverage of the applicant’s arrest on the radio and in local newspapers.</w:t>
            </w:r>
          </w:p>
          <w:p w:rsidR="00A43EF5" w:rsidRPr="00424A9D" w:rsidRDefault="00A43EF5" w:rsidP="002E5A9A">
            <w:pPr>
              <w:spacing w:line="276" w:lineRule="auto"/>
              <w:jc w:val="both"/>
              <w:rPr>
                <w:rFonts w:eastAsia="Calibri"/>
                <w:sz w:val="20"/>
              </w:rPr>
            </w:pPr>
          </w:p>
          <w:p w:rsidR="00A43EF5" w:rsidRPr="00424A9D" w:rsidRDefault="00A43EF5" w:rsidP="002E5A9A">
            <w:pPr>
              <w:spacing w:line="276" w:lineRule="auto"/>
              <w:jc w:val="both"/>
              <w:rPr>
                <w:rFonts w:eastAsia="Calibri"/>
                <w:sz w:val="20"/>
              </w:rPr>
            </w:pPr>
            <w:r w:rsidRPr="00424A9D">
              <w:rPr>
                <w:rFonts w:eastAsia="Calibri"/>
                <w:sz w:val="20"/>
              </w:rPr>
              <w:t xml:space="preserve">In June 2009, the applicant filed a motion to institute proceedings against the respondents, two radio stations, to claim damages for defamation and damage to reputation. In his motion, he alleged, </w:t>
            </w:r>
            <w:r w:rsidRPr="00424A9D">
              <w:rPr>
                <w:rFonts w:eastAsia="Calibri"/>
                <w:i/>
                <w:sz w:val="20"/>
              </w:rPr>
              <w:t>inter alia</w:t>
            </w:r>
            <w:r w:rsidRPr="00424A9D">
              <w:rPr>
                <w:rFonts w:eastAsia="Calibri"/>
                <w:sz w:val="20"/>
              </w:rPr>
              <w:t>, that the respondents had presented him to the Québec population as a dangerous criminal and had distorted the information to suggest that he was an individual known to the police with an extensive criminal history. In May 2013, the Quebec Superior Court dismissed the applicant’s motion to institute proceedings. The Court of Appeal later dismissed his appeal.</w:t>
            </w:r>
          </w:p>
          <w:p w:rsidR="00A43EF5" w:rsidRPr="00424A9D" w:rsidRDefault="00A43EF5" w:rsidP="002E5A9A">
            <w:pPr>
              <w:spacing w:line="276" w:lineRule="auto"/>
              <w:jc w:val="both"/>
              <w:rPr>
                <w:rFonts w:eastAsia="Calibri"/>
                <w:sz w:val="20"/>
              </w:rPr>
            </w:pPr>
          </w:p>
        </w:tc>
      </w:tr>
      <w:tr w:rsidR="00A43EF5" w:rsidRPr="00424A9D" w:rsidTr="002E5A9A">
        <w:tc>
          <w:tcPr>
            <w:tcW w:w="2427" w:type="pct"/>
          </w:tcPr>
          <w:p w:rsidR="00A43EF5" w:rsidRPr="00424A9D" w:rsidRDefault="00A43EF5" w:rsidP="002E5A9A">
            <w:pPr>
              <w:spacing w:line="276" w:lineRule="auto"/>
              <w:jc w:val="both"/>
              <w:rPr>
                <w:rFonts w:eastAsia="Calibri"/>
                <w:sz w:val="20"/>
              </w:rPr>
            </w:pPr>
            <w:r w:rsidRPr="00424A9D">
              <w:rPr>
                <w:rFonts w:eastAsia="Calibri"/>
                <w:sz w:val="20"/>
              </w:rPr>
              <w:t>August 16, 2013</w:t>
            </w:r>
          </w:p>
          <w:p w:rsidR="00A43EF5" w:rsidRPr="00424A9D" w:rsidRDefault="00A43EF5" w:rsidP="002E5A9A">
            <w:pPr>
              <w:spacing w:line="276" w:lineRule="auto"/>
              <w:jc w:val="both"/>
              <w:rPr>
                <w:rFonts w:eastAsia="Calibri"/>
                <w:sz w:val="20"/>
              </w:rPr>
            </w:pPr>
            <w:r w:rsidRPr="00424A9D">
              <w:rPr>
                <w:rFonts w:eastAsia="Calibri"/>
                <w:sz w:val="20"/>
              </w:rPr>
              <w:t>Quebec Superior Court</w:t>
            </w:r>
          </w:p>
          <w:p w:rsidR="00A43EF5" w:rsidRPr="00424A9D" w:rsidRDefault="00A43EF5" w:rsidP="002E5A9A">
            <w:pPr>
              <w:spacing w:line="276" w:lineRule="auto"/>
              <w:jc w:val="both"/>
              <w:rPr>
                <w:rFonts w:eastAsia="Calibri"/>
                <w:sz w:val="20"/>
              </w:rPr>
            </w:pPr>
            <w:r w:rsidRPr="00424A9D">
              <w:rPr>
                <w:rFonts w:eastAsia="Calibri"/>
                <w:sz w:val="20"/>
              </w:rPr>
              <w:t>(Blanchet J.)</w:t>
            </w:r>
          </w:p>
          <w:p w:rsidR="00A43EF5" w:rsidRPr="00424A9D" w:rsidRDefault="00EB0985" w:rsidP="002E5A9A">
            <w:pPr>
              <w:spacing w:line="276" w:lineRule="auto"/>
              <w:jc w:val="both"/>
              <w:rPr>
                <w:rFonts w:eastAsia="Calibri"/>
                <w:sz w:val="20"/>
              </w:rPr>
            </w:pPr>
            <w:hyperlink r:id="rId32" w:history="1">
              <w:r w:rsidR="00A43EF5" w:rsidRPr="00424A9D">
                <w:rPr>
                  <w:rFonts w:eastAsia="Calibri"/>
                  <w:color w:val="0000FF" w:themeColor="hyperlink"/>
                  <w:sz w:val="20"/>
                  <w:u w:val="single"/>
                </w:rPr>
                <w:t>2013 QCCS 4132</w:t>
              </w:r>
            </w:hyperlink>
          </w:p>
          <w:p w:rsidR="00A43EF5" w:rsidRPr="00424A9D" w:rsidRDefault="00A43EF5" w:rsidP="002E5A9A">
            <w:pPr>
              <w:spacing w:line="276" w:lineRule="auto"/>
              <w:jc w:val="both"/>
              <w:rPr>
                <w:rFonts w:eastAsia="Calibri"/>
                <w:sz w:val="20"/>
              </w:rPr>
            </w:pPr>
          </w:p>
        </w:tc>
        <w:tc>
          <w:tcPr>
            <w:tcW w:w="243" w:type="pct"/>
          </w:tcPr>
          <w:p w:rsidR="00A43EF5" w:rsidRPr="00424A9D" w:rsidRDefault="00A43EF5" w:rsidP="002E5A9A">
            <w:pPr>
              <w:spacing w:line="276" w:lineRule="auto"/>
              <w:jc w:val="both"/>
              <w:rPr>
                <w:rFonts w:eastAsia="Calibri"/>
                <w:sz w:val="20"/>
              </w:rPr>
            </w:pPr>
          </w:p>
        </w:tc>
        <w:tc>
          <w:tcPr>
            <w:tcW w:w="2330" w:type="pct"/>
          </w:tcPr>
          <w:p w:rsidR="00A43EF5" w:rsidRPr="00424A9D" w:rsidRDefault="00A43EF5" w:rsidP="002E5A9A">
            <w:pPr>
              <w:spacing w:line="276" w:lineRule="auto"/>
              <w:jc w:val="both"/>
              <w:rPr>
                <w:rFonts w:eastAsia="Calibri"/>
                <w:sz w:val="20"/>
              </w:rPr>
            </w:pPr>
            <w:r w:rsidRPr="00424A9D">
              <w:rPr>
                <w:rFonts w:eastAsia="Calibri"/>
                <w:sz w:val="20"/>
              </w:rPr>
              <w:t>Applicant’s motion to institute proceedings dismissed</w:t>
            </w:r>
          </w:p>
          <w:p w:rsidR="00A43EF5" w:rsidRPr="00424A9D" w:rsidRDefault="00A43EF5" w:rsidP="002E5A9A">
            <w:pPr>
              <w:spacing w:line="276" w:lineRule="auto"/>
              <w:jc w:val="both"/>
              <w:rPr>
                <w:rFonts w:eastAsia="Calibri"/>
                <w:sz w:val="20"/>
              </w:rPr>
            </w:pPr>
          </w:p>
        </w:tc>
      </w:tr>
      <w:tr w:rsidR="00A43EF5" w:rsidRPr="00424A9D" w:rsidTr="002E5A9A">
        <w:tc>
          <w:tcPr>
            <w:tcW w:w="2427" w:type="pct"/>
          </w:tcPr>
          <w:p w:rsidR="00A43EF5" w:rsidRPr="00424A9D" w:rsidRDefault="00A43EF5" w:rsidP="002E5A9A">
            <w:pPr>
              <w:spacing w:line="276" w:lineRule="auto"/>
              <w:jc w:val="both"/>
              <w:rPr>
                <w:rFonts w:eastAsia="Calibri"/>
                <w:sz w:val="20"/>
              </w:rPr>
            </w:pPr>
            <w:r w:rsidRPr="00424A9D">
              <w:rPr>
                <w:rFonts w:eastAsia="Calibri"/>
                <w:sz w:val="20"/>
              </w:rPr>
              <w:t>March 27, 2015</w:t>
            </w:r>
          </w:p>
          <w:p w:rsidR="00A43EF5" w:rsidRPr="00424A9D" w:rsidRDefault="00A43EF5" w:rsidP="002E5A9A">
            <w:pPr>
              <w:spacing w:line="276" w:lineRule="auto"/>
              <w:jc w:val="both"/>
              <w:rPr>
                <w:rFonts w:eastAsia="Calibri"/>
                <w:sz w:val="20"/>
              </w:rPr>
            </w:pPr>
            <w:r w:rsidRPr="00424A9D">
              <w:rPr>
                <w:rFonts w:eastAsia="Calibri"/>
                <w:sz w:val="20"/>
              </w:rPr>
              <w:t>Quebec Court of Appeal (Québec)</w:t>
            </w:r>
          </w:p>
          <w:p w:rsidR="00A43EF5" w:rsidRPr="00424A9D" w:rsidRDefault="00A43EF5" w:rsidP="002E5A9A">
            <w:pPr>
              <w:spacing w:line="276" w:lineRule="auto"/>
              <w:jc w:val="both"/>
              <w:rPr>
                <w:rFonts w:eastAsia="Calibri"/>
                <w:sz w:val="20"/>
              </w:rPr>
            </w:pPr>
            <w:r w:rsidRPr="00424A9D">
              <w:rPr>
                <w:rFonts w:eastAsia="Calibri"/>
                <w:sz w:val="20"/>
              </w:rPr>
              <w:t>(Thibault, Bélanger and Gagnon JJ.A.)</w:t>
            </w:r>
          </w:p>
          <w:p w:rsidR="00A43EF5" w:rsidRPr="00424A9D" w:rsidRDefault="00EB0985" w:rsidP="002E5A9A">
            <w:pPr>
              <w:spacing w:line="276" w:lineRule="auto"/>
              <w:jc w:val="both"/>
              <w:rPr>
                <w:rFonts w:eastAsia="Calibri"/>
                <w:sz w:val="20"/>
              </w:rPr>
            </w:pPr>
            <w:hyperlink r:id="rId33" w:history="1">
              <w:r w:rsidR="00A43EF5" w:rsidRPr="00424A9D">
                <w:rPr>
                  <w:rFonts w:eastAsia="Calibri"/>
                  <w:color w:val="0000FF" w:themeColor="hyperlink"/>
                  <w:sz w:val="20"/>
                  <w:u w:val="single"/>
                </w:rPr>
                <w:t>2015 QCCA 569</w:t>
              </w:r>
            </w:hyperlink>
          </w:p>
          <w:p w:rsidR="00A43EF5" w:rsidRPr="00424A9D" w:rsidRDefault="00A43EF5" w:rsidP="002E5A9A">
            <w:pPr>
              <w:spacing w:line="276" w:lineRule="auto"/>
              <w:jc w:val="both"/>
              <w:rPr>
                <w:rFonts w:eastAsia="Calibri"/>
                <w:sz w:val="20"/>
              </w:rPr>
            </w:pPr>
          </w:p>
        </w:tc>
        <w:tc>
          <w:tcPr>
            <w:tcW w:w="243" w:type="pct"/>
          </w:tcPr>
          <w:p w:rsidR="00A43EF5" w:rsidRPr="00424A9D" w:rsidRDefault="00A43EF5" w:rsidP="002E5A9A">
            <w:pPr>
              <w:spacing w:line="276" w:lineRule="auto"/>
              <w:jc w:val="both"/>
              <w:rPr>
                <w:rFonts w:eastAsia="Calibri"/>
                <w:sz w:val="20"/>
              </w:rPr>
            </w:pPr>
          </w:p>
        </w:tc>
        <w:tc>
          <w:tcPr>
            <w:tcW w:w="2330" w:type="pct"/>
          </w:tcPr>
          <w:p w:rsidR="00A43EF5" w:rsidRPr="00424A9D" w:rsidRDefault="00A43EF5" w:rsidP="002E5A9A">
            <w:pPr>
              <w:spacing w:line="276" w:lineRule="auto"/>
              <w:jc w:val="both"/>
              <w:rPr>
                <w:rFonts w:eastAsia="Calibri"/>
                <w:sz w:val="20"/>
              </w:rPr>
            </w:pPr>
            <w:r w:rsidRPr="00424A9D">
              <w:rPr>
                <w:rFonts w:eastAsia="Calibri"/>
                <w:sz w:val="20"/>
              </w:rPr>
              <w:t>Appeal dismissed</w:t>
            </w:r>
          </w:p>
          <w:p w:rsidR="00A43EF5" w:rsidRPr="00424A9D" w:rsidRDefault="00A43EF5" w:rsidP="002E5A9A">
            <w:pPr>
              <w:spacing w:line="276" w:lineRule="auto"/>
              <w:jc w:val="both"/>
              <w:rPr>
                <w:rFonts w:eastAsia="Calibri"/>
                <w:sz w:val="20"/>
              </w:rPr>
            </w:pPr>
          </w:p>
        </w:tc>
      </w:tr>
      <w:tr w:rsidR="00A43EF5" w:rsidRPr="00424A9D" w:rsidTr="002E5A9A">
        <w:tc>
          <w:tcPr>
            <w:tcW w:w="2427" w:type="pct"/>
          </w:tcPr>
          <w:p w:rsidR="00A43EF5" w:rsidRPr="00424A9D" w:rsidRDefault="00A43EF5" w:rsidP="002E5A9A">
            <w:pPr>
              <w:spacing w:line="276" w:lineRule="auto"/>
              <w:jc w:val="both"/>
              <w:rPr>
                <w:rFonts w:eastAsia="Calibri"/>
                <w:sz w:val="20"/>
              </w:rPr>
            </w:pPr>
            <w:r w:rsidRPr="00424A9D">
              <w:rPr>
                <w:rFonts w:eastAsia="Calibri"/>
                <w:sz w:val="20"/>
              </w:rPr>
              <w:t>May 25, 2015</w:t>
            </w:r>
          </w:p>
          <w:p w:rsidR="00A43EF5" w:rsidRPr="00424A9D" w:rsidRDefault="00A43EF5" w:rsidP="00A43EF5">
            <w:pPr>
              <w:spacing w:line="276" w:lineRule="auto"/>
              <w:jc w:val="both"/>
              <w:rPr>
                <w:rFonts w:eastAsia="Calibri"/>
                <w:sz w:val="20"/>
              </w:rPr>
            </w:pPr>
            <w:r w:rsidRPr="00424A9D">
              <w:rPr>
                <w:rFonts w:eastAsia="Calibri"/>
                <w:sz w:val="20"/>
              </w:rPr>
              <w:t>Supreme Court of Canada</w:t>
            </w:r>
          </w:p>
        </w:tc>
        <w:tc>
          <w:tcPr>
            <w:tcW w:w="243" w:type="pct"/>
          </w:tcPr>
          <w:p w:rsidR="00A43EF5" w:rsidRPr="00424A9D" w:rsidRDefault="00A43EF5" w:rsidP="002E5A9A">
            <w:pPr>
              <w:spacing w:line="276" w:lineRule="auto"/>
              <w:jc w:val="both"/>
              <w:rPr>
                <w:rFonts w:eastAsia="Calibri"/>
                <w:sz w:val="20"/>
              </w:rPr>
            </w:pPr>
          </w:p>
        </w:tc>
        <w:tc>
          <w:tcPr>
            <w:tcW w:w="2330" w:type="pct"/>
          </w:tcPr>
          <w:p w:rsidR="00A43EF5" w:rsidRPr="00424A9D" w:rsidRDefault="00A43EF5" w:rsidP="002E5A9A">
            <w:pPr>
              <w:spacing w:line="276" w:lineRule="auto"/>
              <w:jc w:val="both"/>
              <w:rPr>
                <w:rFonts w:eastAsia="Calibri"/>
                <w:sz w:val="20"/>
              </w:rPr>
            </w:pPr>
            <w:r w:rsidRPr="00424A9D">
              <w:rPr>
                <w:rFonts w:eastAsia="Calibri"/>
                <w:sz w:val="20"/>
              </w:rPr>
              <w:t>Application for leave to appeal filed</w:t>
            </w:r>
          </w:p>
          <w:p w:rsidR="00A43EF5" w:rsidRPr="00424A9D" w:rsidRDefault="00A43EF5" w:rsidP="002E5A9A">
            <w:pPr>
              <w:spacing w:line="276" w:lineRule="auto"/>
              <w:jc w:val="both"/>
              <w:rPr>
                <w:rFonts w:eastAsia="Calibri"/>
                <w:sz w:val="20"/>
              </w:rPr>
            </w:pPr>
          </w:p>
        </w:tc>
      </w:tr>
    </w:tbl>
    <w:p w:rsidR="00A43EF5" w:rsidRPr="00A43EF5" w:rsidRDefault="00A43EF5" w:rsidP="00A43EF5">
      <w:pPr>
        <w:rPr>
          <w:rFonts w:cs="Times New Roman"/>
          <w:sz w:val="20"/>
          <w:szCs w:val="20"/>
        </w:rPr>
      </w:pPr>
    </w:p>
    <w:p w:rsidR="00A43EF5" w:rsidRPr="00C50A5C" w:rsidRDefault="00EB0985" w:rsidP="00A43EF5">
      <w:pPr>
        <w:rPr>
          <w:sz w:val="20"/>
          <w:szCs w:val="20"/>
        </w:rPr>
      </w:pPr>
      <w:r>
        <w:rPr>
          <w:sz w:val="20"/>
          <w:szCs w:val="20"/>
          <w:lang w:val="fr-CA"/>
        </w:rPr>
        <w:pict>
          <v:rect id="_x0000_i1054" style="width:2in;height:1pt" o:hrpct="0" o:hralign="center" o:hrstd="t" o:hrnoshade="t" o:hr="t" fillcolor="black [3213]" stroked="f"/>
        </w:pict>
      </w:r>
    </w:p>
    <w:p w:rsidR="00A43EF5" w:rsidRDefault="00A43EF5" w:rsidP="00A43EF5">
      <w:pPr>
        <w:rPr>
          <w:sz w:val="20"/>
          <w:szCs w:val="20"/>
        </w:rPr>
      </w:pPr>
    </w:p>
    <w:p w:rsidR="00A43EF5" w:rsidRPr="001B157C" w:rsidRDefault="00A43EF5" w:rsidP="00A43EF5">
      <w:pPr>
        <w:rPr>
          <w:sz w:val="20"/>
          <w:szCs w:val="20"/>
          <w:u w:val="single"/>
          <w:lang w:val="fr-CA"/>
        </w:rPr>
      </w:pPr>
      <w:r w:rsidRPr="001B157C">
        <w:rPr>
          <w:sz w:val="20"/>
          <w:szCs w:val="20"/>
          <w:u w:val="single"/>
          <w:lang w:val="fr-CA"/>
        </w:rPr>
        <w:t>RÉSUMÉ DE L’AFFAIRE</w:t>
      </w:r>
    </w:p>
    <w:p w:rsidR="00A43EF5" w:rsidRDefault="00A43EF5" w:rsidP="00A43EF5">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A43EF5" w:rsidRPr="00EB0985" w:rsidTr="002E5A9A">
        <w:tc>
          <w:tcPr>
            <w:tcW w:w="5000" w:type="pct"/>
            <w:gridSpan w:val="3"/>
          </w:tcPr>
          <w:p w:rsidR="00A43EF5" w:rsidRPr="00424A9D" w:rsidRDefault="00A43EF5" w:rsidP="002E5A9A">
            <w:pPr>
              <w:spacing w:line="276" w:lineRule="auto"/>
              <w:jc w:val="both"/>
              <w:rPr>
                <w:rFonts w:eastAsia="Calibri"/>
                <w:sz w:val="20"/>
                <w:lang w:val="fr-CA"/>
              </w:rPr>
            </w:pPr>
            <w:r w:rsidRPr="00424A9D">
              <w:rPr>
                <w:rFonts w:eastAsia="Calibri"/>
                <w:sz w:val="20"/>
                <w:lang w:val="fr-CA"/>
              </w:rPr>
              <w:t>Appels – Diffamation – Atteinte à la réputation – Le demandeur soulève-t-il une question juridique? – Cette question est-elle d’importance pour le public?</w:t>
            </w:r>
          </w:p>
        </w:tc>
      </w:tr>
      <w:tr w:rsidR="00A43EF5" w:rsidRPr="00EB0985" w:rsidTr="002E5A9A">
        <w:tc>
          <w:tcPr>
            <w:tcW w:w="5000" w:type="pct"/>
            <w:gridSpan w:val="3"/>
          </w:tcPr>
          <w:p w:rsidR="00A43EF5" w:rsidRPr="00424A9D" w:rsidRDefault="00A43EF5" w:rsidP="002E5A9A">
            <w:pPr>
              <w:spacing w:line="276" w:lineRule="auto"/>
              <w:jc w:val="both"/>
              <w:rPr>
                <w:rFonts w:eastAsia="Calibri"/>
                <w:sz w:val="20"/>
                <w:lang w:val="fr-CA"/>
              </w:rPr>
            </w:pPr>
          </w:p>
        </w:tc>
      </w:tr>
      <w:tr w:rsidR="00A43EF5" w:rsidRPr="00EB0985" w:rsidTr="002E5A9A">
        <w:tc>
          <w:tcPr>
            <w:tcW w:w="5000" w:type="pct"/>
            <w:gridSpan w:val="3"/>
          </w:tcPr>
          <w:p w:rsidR="00A43EF5" w:rsidRPr="00424A9D" w:rsidRDefault="00A43EF5" w:rsidP="002E5A9A">
            <w:pPr>
              <w:spacing w:line="276" w:lineRule="auto"/>
              <w:jc w:val="both"/>
              <w:rPr>
                <w:rFonts w:eastAsia="Calibri"/>
                <w:sz w:val="20"/>
                <w:lang w:val="fr-CA"/>
              </w:rPr>
            </w:pPr>
            <w:r w:rsidRPr="00424A9D">
              <w:rPr>
                <w:rFonts w:eastAsia="Calibri"/>
                <w:sz w:val="20"/>
                <w:lang w:val="fr-CA"/>
              </w:rPr>
              <w:t>Le demandeur a été arrêté en décembre 2008 par le Groupe d’intervention tactique du Service de police de Québec et accusé d’avoir proféré des menaces de mort, de possession d’une arme prohibée et d’entreposage négligent d’une arme à feu. Cette arrestation faisait suite à des propos tenus par le demandeur à un barman et à la démonstration qu’il lui avait faite de l’arme, des vestes pare-balles et de l’équipement de cette nature qu’il possédait. L’arrestation du demandeur a donné lieu à une couverture médiatique intensive, à la radio et dans les journaux locaux.</w:t>
            </w:r>
          </w:p>
          <w:p w:rsidR="00A43EF5" w:rsidRPr="00424A9D" w:rsidRDefault="00A43EF5" w:rsidP="002E5A9A">
            <w:pPr>
              <w:spacing w:line="276" w:lineRule="auto"/>
              <w:jc w:val="both"/>
              <w:rPr>
                <w:rFonts w:eastAsia="Calibri"/>
                <w:sz w:val="20"/>
                <w:lang w:val="fr-CA"/>
              </w:rPr>
            </w:pPr>
          </w:p>
          <w:p w:rsidR="00A43EF5" w:rsidRPr="00424A9D" w:rsidRDefault="00A43EF5" w:rsidP="002E5A9A">
            <w:pPr>
              <w:spacing w:line="276" w:lineRule="auto"/>
              <w:jc w:val="both"/>
              <w:rPr>
                <w:rFonts w:eastAsia="Calibri"/>
                <w:sz w:val="20"/>
                <w:lang w:val="fr-CA"/>
              </w:rPr>
            </w:pPr>
            <w:r w:rsidRPr="00424A9D">
              <w:rPr>
                <w:rFonts w:eastAsia="Calibri"/>
                <w:sz w:val="20"/>
                <w:lang w:val="fr-CA"/>
              </w:rPr>
              <w:t xml:space="preserve">En juin 2009, le demandeur a déposé une requête introductive d’instance contre les intimées, deux stations de radio, réclamant des dommages-intérêts pour diffamation et atteinte à la réputation. Dans sa requête, il alléguait, entre autres, </w:t>
            </w:r>
            <w:r w:rsidRPr="00424A9D">
              <w:rPr>
                <w:rFonts w:eastAsia="Calibri"/>
                <w:sz w:val="20"/>
                <w:lang w:val="fr-CA"/>
              </w:rPr>
              <w:lastRenderedPageBreak/>
              <w:t>que les intimées l’avaient présenté à la population de Québec comme un criminel dangereux et avaient déformé l’information de manière à laisser entendre qu’il était un individu connu des milieux policiers et ayant un lourd passé criminel. En mai 2013, la Cour supérieure du Québec a rejeté la requête introductive d’instance du demandeur. La Cour d’appel a ensuite rejeté l’appel de ce dernier.</w:t>
            </w:r>
          </w:p>
          <w:p w:rsidR="00A43EF5" w:rsidRPr="00424A9D" w:rsidRDefault="00A43EF5" w:rsidP="002E5A9A">
            <w:pPr>
              <w:spacing w:line="276" w:lineRule="auto"/>
              <w:jc w:val="both"/>
              <w:rPr>
                <w:rFonts w:eastAsia="Calibri"/>
                <w:sz w:val="20"/>
                <w:lang w:val="fr-CA"/>
              </w:rPr>
            </w:pPr>
          </w:p>
        </w:tc>
      </w:tr>
      <w:tr w:rsidR="00A43EF5" w:rsidRPr="00EB0985" w:rsidTr="002E5A9A">
        <w:tc>
          <w:tcPr>
            <w:tcW w:w="2427"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lastRenderedPageBreak/>
              <w:t>Le 16 août 2013</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Cour supérieure du Québec</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(Le juge Blanchet)</w:t>
            </w:r>
          </w:p>
          <w:p w:rsidR="00A43EF5" w:rsidRPr="00424A9D" w:rsidRDefault="00EB0985" w:rsidP="002E5A9A">
            <w:pPr>
              <w:spacing w:line="276" w:lineRule="auto"/>
              <w:jc w:val="both"/>
              <w:rPr>
                <w:rFonts w:eastAsia="Calibri"/>
                <w:sz w:val="20"/>
                <w:lang w:val="fr-CA"/>
              </w:rPr>
            </w:pPr>
            <w:hyperlink r:id="rId34" w:history="1">
              <w:r w:rsidR="00A43EF5" w:rsidRPr="00424A9D">
                <w:rPr>
                  <w:rFonts w:eastAsia="Calibri"/>
                  <w:color w:val="0000FF" w:themeColor="hyperlink"/>
                  <w:sz w:val="20"/>
                  <w:u w:val="single"/>
                  <w:lang w:val="fr-CA"/>
                </w:rPr>
                <w:t>2013 QCCS 4132</w:t>
              </w:r>
            </w:hyperlink>
          </w:p>
          <w:p w:rsidR="00A43EF5" w:rsidRPr="00424A9D" w:rsidRDefault="00A43EF5" w:rsidP="002E5A9A">
            <w:pPr>
              <w:spacing w:line="276" w:lineRule="auto"/>
              <w:jc w:val="both"/>
              <w:rPr>
                <w:rFonts w:eastAsia="Calibri"/>
                <w:sz w:val="20"/>
                <w:lang w:val="fr-CA"/>
              </w:rPr>
            </w:pPr>
          </w:p>
        </w:tc>
        <w:tc>
          <w:tcPr>
            <w:tcW w:w="243" w:type="pct"/>
          </w:tcPr>
          <w:p w:rsidR="00A43EF5" w:rsidRPr="00424A9D" w:rsidRDefault="00A43EF5" w:rsidP="002E5A9A">
            <w:pPr>
              <w:spacing w:line="276" w:lineRule="auto"/>
              <w:jc w:val="both"/>
              <w:rPr>
                <w:rFonts w:eastAsia="Calibri"/>
                <w:sz w:val="20"/>
                <w:lang w:val="fr-CA"/>
              </w:rPr>
            </w:pPr>
          </w:p>
        </w:tc>
        <w:tc>
          <w:tcPr>
            <w:tcW w:w="2330"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Requête introductive d’instance du demandeur rejetée</w:t>
            </w:r>
          </w:p>
          <w:p w:rsidR="00A43EF5" w:rsidRPr="00424A9D" w:rsidRDefault="00A43EF5" w:rsidP="002E5A9A">
            <w:pPr>
              <w:spacing w:line="276" w:lineRule="auto"/>
              <w:jc w:val="both"/>
              <w:rPr>
                <w:rFonts w:eastAsia="Calibri"/>
                <w:sz w:val="20"/>
                <w:lang w:val="fr-CA"/>
              </w:rPr>
            </w:pPr>
          </w:p>
        </w:tc>
      </w:tr>
      <w:tr w:rsidR="00A43EF5" w:rsidRPr="00424A9D" w:rsidTr="002E5A9A">
        <w:tc>
          <w:tcPr>
            <w:tcW w:w="2427"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Le 27 mars 2015</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Cour d’appel du Québec (Québec)</w:t>
            </w:r>
          </w:p>
          <w:p w:rsidR="00A43EF5" w:rsidRPr="00424A9D" w:rsidRDefault="00A43EF5" w:rsidP="002E5A9A">
            <w:pPr>
              <w:spacing w:line="276" w:lineRule="auto"/>
              <w:jc w:val="both"/>
              <w:rPr>
                <w:rFonts w:eastAsia="Calibri"/>
                <w:sz w:val="20"/>
                <w:lang w:val="fr-CA"/>
              </w:rPr>
            </w:pPr>
            <w:r w:rsidRPr="00424A9D">
              <w:rPr>
                <w:rFonts w:eastAsia="Calibri"/>
                <w:sz w:val="20"/>
                <w:lang w:val="fr-CA"/>
              </w:rPr>
              <w:t>(Les juges Thibault, Bélanger et Gagnon)</w:t>
            </w:r>
          </w:p>
          <w:p w:rsidR="00A43EF5" w:rsidRPr="00424A9D" w:rsidRDefault="00EB0985" w:rsidP="002E5A9A">
            <w:pPr>
              <w:spacing w:line="276" w:lineRule="auto"/>
              <w:jc w:val="both"/>
              <w:rPr>
                <w:rFonts w:eastAsia="Calibri"/>
                <w:sz w:val="20"/>
                <w:lang w:val="fr-CA"/>
              </w:rPr>
            </w:pPr>
            <w:hyperlink r:id="rId35" w:history="1">
              <w:r w:rsidR="00A43EF5" w:rsidRPr="00424A9D">
                <w:rPr>
                  <w:rFonts w:eastAsia="Calibri"/>
                  <w:color w:val="0000FF" w:themeColor="hyperlink"/>
                  <w:sz w:val="20"/>
                  <w:u w:val="single"/>
                  <w:lang w:val="fr-CA"/>
                </w:rPr>
                <w:t>2015 QCCA 569</w:t>
              </w:r>
            </w:hyperlink>
          </w:p>
          <w:p w:rsidR="00A43EF5" w:rsidRPr="00424A9D" w:rsidRDefault="00A43EF5" w:rsidP="002E5A9A">
            <w:pPr>
              <w:spacing w:line="276" w:lineRule="auto"/>
              <w:jc w:val="both"/>
              <w:rPr>
                <w:rFonts w:eastAsia="Calibri"/>
                <w:sz w:val="20"/>
                <w:lang w:val="fr-CA"/>
              </w:rPr>
            </w:pPr>
          </w:p>
        </w:tc>
        <w:tc>
          <w:tcPr>
            <w:tcW w:w="243" w:type="pct"/>
          </w:tcPr>
          <w:p w:rsidR="00A43EF5" w:rsidRPr="00424A9D" w:rsidRDefault="00A43EF5" w:rsidP="002E5A9A">
            <w:pPr>
              <w:spacing w:line="276" w:lineRule="auto"/>
              <w:jc w:val="both"/>
              <w:rPr>
                <w:rFonts w:eastAsia="Calibri"/>
                <w:sz w:val="20"/>
                <w:lang w:val="fr-CA"/>
              </w:rPr>
            </w:pPr>
          </w:p>
        </w:tc>
        <w:tc>
          <w:tcPr>
            <w:tcW w:w="2330"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Appel rejeté</w:t>
            </w:r>
          </w:p>
          <w:p w:rsidR="00A43EF5" w:rsidRPr="00424A9D" w:rsidRDefault="00A43EF5" w:rsidP="002E5A9A">
            <w:pPr>
              <w:spacing w:line="276" w:lineRule="auto"/>
              <w:jc w:val="both"/>
              <w:rPr>
                <w:rFonts w:eastAsia="Calibri"/>
                <w:sz w:val="20"/>
                <w:lang w:val="fr-CA"/>
              </w:rPr>
            </w:pPr>
          </w:p>
        </w:tc>
      </w:tr>
      <w:tr w:rsidR="00A43EF5" w:rsidRPr="00424A9D" w:rsidTr="002E5A9A">
        <w:tc>
          <w:tcPr>
            <w:tcW w:w="2427"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Le 25 mai 2015</w:t>
            </w:r>
          </w:p>
          <w:p w:rsidR="00A43EF5" w:rsidRPr="00424A9D" w:rsidRDefault="00A43EF5" w:rsidP="00A43EF5">
            <w:pPr>
              <w:spacing w:line="276" w:lineRule="auto"/>
              <w:jc w:val="both"/>
              <w:rPr>
                <w:rFonts w:eastAsia="Calibri"/>
                <w:sz w:val="20"/>
                <w:lang w:val="fr-CA"/>
              </w:rPr>
            </w:pPr>
            <w:r w:rsidRPr="00424A9D">
              <w:rPr>
                <w:rFonts w:eastAsia="Calibri"/>
                <w:sz w:val="20"/>
                <w:lang w:val="fr-CA"/>
              </w:rPr>
              <w:t>Cour suprême du Canada</w:t>
            </w:r>
          </w:p>
        </w:tc>
        <w:tc>
          <w:tcPr>
            <w:tcW w:w="243" w:type="pct"/>
          </w:tcPr>
          <w:p w:rsidR="00A43EF5" w:rsidRPr="00424A9D" w:rsidRDefault="00A43EF5" w:rsidP="002E5A9A">
            <w:pPr>
              <w:spacing w:line="276" w:lineRule="auto"/>
              <w:jc w:val="both"/>
              <w:rPr>
                <w:rFonts w:eastAsia="Calibri"/>
                <w:sz w:val="20"/>
                <w:lang w:val="fr-CA"/>
              </w:rPr>
            </w:pPr>
          </w:p>
        </w:tc>
        <w:tc>
          <w:tcPr>
            <w:tcW w:w="2330" w:type="pct"/>
          </w:tcPr>
          <w:p w:rsidR="00A43EF5" w:rsidRPr="00424A9D" w:rsidRDefault="00A43EF5" w:rsidP="002E5A9A">
            <w:pPr>
              <w:spacing w:line="276" w:lineRule="auto"/>
              <w:jc w:val="both"/>
              <w:rPr>
                <w:rFonts w:eastAsia="Calibri"/>
                <w:sz w:val="20"/>
                <w:lang w:val="fr-CA"/>
              </w:rPr>
            </w:pPr>
            <w:r w:rsidRPr="00424A9D">
              <w:rPr>
                <w:rFonts w:eastAsia="Calibri"/>
                <w:sz w:val="20"/>
                <w:lang w:val="fr-CA"/>
              </w:rPr>
              <w:t>Demande d’autorisation d’appel déposée</w:t>
            </w:r>
          </w:p>
          <w:p w:rsidR="00A43EF5" w:rsidRPr="00424A9D" w:rsidRDefault="00A43EF5" w:rsidP="002E5A9A">
            <w:pPr>
              <w:spacing w:line="276" w:lineRule="auto"/>
              <w:jc w:val="both"/>
              <w:rPr>
                <w:rFonts w:eastAsia="Calibri"/>
                <w:sz w:val="20"/>
                <w:lang w:val="fr-CA"/>
              </w:rPr>
            </w:pPr>
          </w:p>
        </w:tc>
      </w:tr>
    </w:tbl>
    <w:p w:rsidR="00A43EF5" w:rsidRPr="00A43EF5" w:rsidRDefault="00A43EF5" w:rsidP="00A43EF5">
      <w:pPr>
        <w:tabs>
          <w:tab w:val="left" w:pos="3120"/>
        </w:tabs>
        <w:rPr>
          <w:rFonts w:cs="Times New Roman"/>
          <w:sz w:val="20"/>
          <w:szCs w:val="20"/>
        </w:rPr>
      </w:pPr>
    </w:p>
    <w:p w:rsidR="00A43EF5" w:rsidRDefault="00EB0985" w:rsidP="00A43EF5">
      <w:pPr>
        <w:rPr>
          <w:sz w:val="20"/>
          <w:szCs w:val="20"/>
        </w:rPr>
      </w:pPr>
      <w:r>
        <w:rPr>
          <w:sz w:val="20"/>
          <w:szCs w:val="20"/>
          <w:lang w:val="fr-CA"/>
        </w:rPr>
        <w:pict>
          <v:rect id="_x0000_i1055" style="width:2in;height:1pt" o:hrpct="0" o:hralign="center" o:hrstd="t" o:hrnoshade="t" o:hr="t" fillcolor="black [3213]" stroked="f"/>
        </w:pict>
      </w:r>
    </w:p>
    <w:p w:rsidR="00A43EF5" w:rsidRDefault="00A43EF5" w:rsidP="00A43EF5">
      <w:pPr>
        <w:rPr>
          <w:sz w:val="20"/>
          <w:szCs w:val="20"/>
        </w:rPr>
      </w:pPr>
    </w:p>
    <w:p w:rsidR="00A43EF5" w:rsidRPr="00A43EF5" w:rsidRDefault="00A43EF5" w:rsidP="000E2959">
      <w:pPr>
        <w:rPr>
          <w:rFonts w:cs="Times New Roman"/>
          <w:sz w:val="20"/>
          <w:szCs w:val="20"/>
        </w:rPr>
      </w:pPr>
    </w:p>
    <w:p w:rsidR="00A43EF5" w:rsidRPr="00A43EF5" w:rsidRDefault="00A43EF5" w:rsidP="000E2959">
      <w:pPr>
        <w:rPr>
          <w:rFonts w:cs="Times New Roman"/>
          <w:sz w:val="20"/>
          <w:szCs w:val="20"/>
        </w:rPr>
      </w:pPr>
    </w:p>
    <w:p w:rsidR="00A43EF5" w:rsidRPr="00A43EF5" w:rsidRDefault="00A43EF5" w:rsidP="000E2959">
      <w:pPr>
        <w:rPr>
          <w:rFonts w:cs="Times New Roman"/>
          <w:sz w:val="20"/>
          <w:szCs w:val="20"/>
        </w:rPr>
      </w:pPr>
    </w:p>
    <w:p w:rsidR="00A43EF5" w:rsidRDefault="00A43EF5" w:rsidP="000E2959">
      <w:pPr>
        <w:rPr>
          <w:sz w:val="20"/>
          <w:szCs w:val="20"/>
        </w:rPr>
      </w:pPr>
    </w:p>
    <w:p w:rsidR="00A43EF5" w:rsidRDefault="00A43EF5" w:rsidP="000E2959">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A030C5" w:rsidRPr="00A030C5" w:rsidRDefault="00A030C5" w:rsidP="00A030C5">
      <w:pPr>
        <w:tabs>
          <w:tab w:val="left" w:pos="-1440"/>
          <w:tab w:val="left" w:pos="-720"/>
        </w:tabs>
        <w:jc w:val="both"/>
        <w:rPr>
          <w:rFonts w:eastAsia="Times New Roman" w:cs="Times New Roman"/>
          <w:sz w:val="20"/>
          <w:szCs w:val="20"/>
          <w:lang w:val="fr-CA" w:eastAsia="en-CA"/>
        </w:rPr>
      </w:pPr>
      <w:r w:rsidRPr="00A030C5">
        <w:rPr>
          <w:rFonts w:eastAsia="Times New Roman" w:cs="Times New Roman"/>
          <w:sz w:val="20"/>
          <w:szCs w:val="20"/>
          <w:lang w:val="fr-CA" w:eastAsia="en-CA"/>
        </w:rPr>
        <w:t>10.09.2015</w:t>
      </w:r>
    </w:p>
    <w:p w:rsidR="00A030C5" w:rsidRPr="00A030C5" w:rsidRDefault="00A030C5" w:rsidP="00A030C5">
      <w:pPr>
        <w:tabs>
          <w:tab w:val="left" w:pos="-1440"/>
          <w:tab w:val="left" w:pos="-720"/>
        </w:tabs>
        <w:jc w:val="both"/>
        <w:rPr>
          <w:rFonts w:eastAsia="Times New Roman" w:cs="Times New Roman"/>
          <w:sz w:val="20"/>
          <w:szCs w:val="20"/>
          <w:lang w:val="fr-CA" w:eastAsia="en-CA"/>
        </w:rPr>
      </w:pPr>
    </w:p>
    <w:p w:rsidR="00A030C5" w:rsidRPr="00A030C5" w:rsidRDefault="00A030C5" w:rsidP="00A030C5">
      <w:pPr>
        <w:tabs>
          <w:tab w:val="left" w:pos="-1440"/>
          <w:tab w:val="left" w:pos="-720"/>
        </w:tabs>
        <w:jc w:val="both"/>
        <w:rPr>
          <w:rFonts w:eastAsia="Times New Roman" w:cs="Times New Roman"/>
          <w:sz w:val="20"/>
          <w:szCs w:val="20"/>
          <w:lang w:val="fr-CA" w:eastAsia="en-CA"/>
        </w:rPr>
      </w:pPr>
      <w:r w:rsidRPr="00A030C5">
        <w:rPr>
          <w:rFonts w:eastAsia="Times New Roman" w:cs="Times New Roman"/>
          <w:sz w:val="20"/>
          <w:szCs w:val="20"/>
          <w:lang w:val="fr-CA" w:eastAsia="en-CA"/>
        </w:rPr>
        <w:t>Before / Devant :   GASCON J. / LE JUGE GASCON</w:t>
      </w:r>
    </w:p>
    <w:p w:rsidR="00A030C5" w:rsidRPr="00A030C5" w:rsidRDefault="00A030C5" w:rsidP="00A030C5">
      <w:pPr>
        <w:jc w:val="both"/>
        <w:rPr>
          <w:rFonts w:eastAsia="Times New Roman" w:cs="Times New Roman"/>
          <w:sz w:val="20"/>
          <w:szCs w:val="20"/>
          <w:lang w:val="fr-CA" w:eastAsia="en-CA"/>
        </w:rPr>
      </w:pP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8"/>
        <w:gridCol w:w="2943"/>
        <w:gridCol w:w="1153"/>
        <w:gridCol w:w="4273"/>
      </w:tblGrid>
      <w:tr w:rsidR="00A030C5" w:rsidRPr="00EB0985" w:rsidTr="002E5A9A">
        <w:tc>
          <w:tcPr>
            <w:tcW w:w="4301" w:type="dxa"/>
            <w:gridSpan w:val="2"/>
          </w:tcPr>
          <w:p w:rsidR="00A030C5" w:rsidRPr="00A030C5" w:rsidRDefault="00A030C5" w:rsidP="00A030C5">
            <w:pPr>
              <w:jc w:val="both"/>
              <w:rPr>
                <w:b/>
              </w:rPr>
            </w:pPr>
            <w:r w:rsidRPr="00A030C5">
              <w:rPr>
                <w:b/>
                <w:lang w:val="en-US"/>
              </w:rPr>
              <w:t xml:space="preserve">Order on interventions with respect to oral argument </w:t>
            </w:r>
            <w:r w:rsidRPr="00A030C5">
              <w:rPr>
                <w:b/>
                <w:lang w:val="en-US"/>
              </w:rPr>
              <w:fldChar w:fldCharType="begin"/>
            </w:r>
            <w:r w:rsidRPr="00A030C5">
              <w:rPr>
                <w:b/>
              </w:rPr>
              <w:instrText xml:space="preserve"> SEQ CHAPTER \h \r 1</w:instrText>
            </w:r>
            <w:r w:rsidRPr="00A030C5">
              <w:rPr>
                <w:b/>
                <w:lang w:val="en-US"/>
              </w:rPr>
              <w:fldChar w:fldCharType="end"/>
            </w:r>
          </w:p>
        </w:tc>
        <w:tc>
          <w:tcPr>
            <w:tcW w:w="1153" w:type="dxa"/>
          </w:tcPr>
          <w:p w:rsidR="00A030C5" w:rsidRPr="00A030C5" w:rsidRDefault="00A030C5" w:rsidP="00A030C5"/>
          <w:p w:rsidR="00A030C5" w:rsidRPr="00A030C5" w:rsidRDefault="00A030C5" w:rsidP="00A030C5"/>
          <w:p w:rsidR="00A030C5" w:rsidRPr="00A030C5" w:rsidRDefault="00A030C5" w:rsidP="00A030C5"/>
        </w:tc>
        <w:tc>
          <w:tcPr>
            <w:tcW w:w="4273" w:type="dxa"/>
          </w:tcPr>
          <w:p w:rsidR="00A030C5" w:rsidRPr="00A030C5" w:rsidRDefault="00A030C5" w:rsidP="00A030C5">
            <w:pPr>
              <w:jc w:val="both"/>
              <w:rPr>
                <w:b/>
                <w:lang w:val="fr-CA"/>
              </w:rPr>
            </w:pPr>
            <w:r w:rsidRPr="00A030C5">
              <w:rPr>
                <w:b/>
                <w:lang w:val="fr-CA"/>
              </w:rPr>
              <w:t>Ordonnance relative à la présentation d’une plaidoirie orale par les intervenants</w:t>
            </w:r>
            <w:r w:rsidRPr="00A030C5">
              <w:rPr>
                <w:b/>
                <w:lang w:val="en-US"/>
              </w:rPr>
              <w:fldChar w:fldCharType="begin"/>
            </w:r>
            <w:r w:rsidRPr="00A030C5">
              <w:rPr>
                <w:b/>
                <w:lang w:val="fr-CA"/>
              </w:rPr>
              <w:instrText xml:space="preserve"> SEQ CHAPTER \h \r 1</w:instrText>
            </w:r>
            <w:r w:rsidRPr="00A030C5">
              <w:rPr>
                <w:b/>
                <w:lang w:val="en-US"/>
              </w:rPr>
              <w:fldChar w:fldCharType="end"/>
            </w:r>
          </w:p>
        </w:tc>
      </w:tr>
      <w:tr w:rsidR="00A030C5" w:rsidRPr="00A030C5" w:rsidTr="002E5A9A">
        <w:trPr>
          <w:trHeight w:val="576"/>
        </w:trPr>
        <w:tc>
          <w:tcPr>
            <w:tcW w:w="1358" w:type="dxa"/>
          </w:tcPr>
          <w:p w:rsidR="00A030C5" w:rsidRPr="00A030C5" w:rsidRDefault="00A030C5" w:rsidP="00A030C5">
            <w:r w:rsidRPr="00A030C5">
              <w:t>RE:</w:t>
            </w:r>
          </w:p>
        </w:tc>
        <w:tc>
          <w:tcPr>
            <w:tcW w:w="2943" w:type="dxa"/>
          </w:tcPr>
          <w:p w:rsidR="00A030C5" w:rsidRPr="00A030C5" w:rsidRDefault="00A030C5" w:rsidP="00A030C5">
            <w:r w:rsidRPr="00A030C5">
              <w:t>Attorney General for Saskatchewan;</w:t>
            </w:r>
          </w:p>
        </w:tc>
        <w:tc>
          <w:tcPr>
            <w:tcW w:w="1153" w:type="dxa"/>
          </w:tcPr>
          <w:p w:rsidR="00A030C5" w:rsidRPr="00A030C5" w:rsidRDefault="00A030C5" w:rsidP="00A030C5"/>
        </w:tc>
        <w:tc>
          <w:tcPr>
            <w:tcW w:w="4273" w:type="dxa"/>
          </w:tcPr>
          <w:p w:rsidR="00A030C5" w:rsidRPr="00A030C5" w:rsidRDefault="00A030C5" w:rsidP="00A030C5"/>
        </w:tc>
      </w:tr>
      <w:tr w:rsidR="00A030C5" w:rsidRPr="00A030C5" w:rsidTr="002E5A9A">
        <w:trPr>
          <w:trHeight w:val="360"/>
        </w:trPr>
        <w:tc>
          <w:tcPr>
            <w:tcW w:w="1358" w:type="dxa"/>
          </w:tcPr>
          <w:p w:rsidR="00A030C5" w:rsidRPr="00A030C5" w:rsidRDefault="00A030C5" w:rsidP="00A030C5"/>
        </w:tc>
        <w:tc>
          <w:tcPr>
            <w:tcW w:w="2943" w:type="dxa"/>
          </w:tcPr>
          <w:p w:rsidR="00A030C5" w:rsidRPr="00A030C5" w:rsidRDefault="00A030C5" w:rsidP="00A030C5">
            <w:r w:rsidRPr="00A030C5">
              <w:rPr>
                <w:lang w:val="en-US"/>
              </w:rPr>
              <w:t>Attorney General of Alberta;</w:t>
            </w:r>
          </w:p>
        </w:tc>
        <w:tc>
          <w:tcPr>
            <w:tcW w:w="1153" w:type="dxa"/>
          </w:tcPr>
          <w:p w:rsidR="00A030C5" w:rsidRPr="00A030C5" w:rsidRDefault="00A030C5" w:rsidP="00A030C5"/>
        </w:tc>
        <w:tc>
          <w:tcPr>
            <w:tcW w:w="4273" w:type="dxa"/>
          </w:tcPr>
          <w:p w:rsidR="00A030C5" w:rsidRPr="00A030C5" w:rsidRDefault="00A030C5" w:rsidP="00A030C5"/>
        </w:tc>
      </w:tr>
      <w:tr w:rsidR="00A030C5" w:rsidRPr="00A030C5" w:rsidTr="002E5A9A">
        <w:trPr>
          <w:trHeight w:val="1008"/>
        </w:trPr>
        <w:tc>
          <w:tcPr>
            <w:tcW w:w="1358" w:type="dxa"/>
          </w:tcPr>
          <w:p w:rsidR="00A030C5" w:rsidRPr="00A030C5" w:rsidRDefault="00A030C5" w:rsidP="00A030C5"/>
        </w:tc>
        <w:tc>
          <w:tcPr>
            <w:tcW w:w="2943" w:type="dxa"/>
          </w:tcPr>
          <w:p w:rsidR="00A030C5" w:rsidRPr="00A030C5" w:rsidRDefault="00A030C5" w:rsidP="00A030C5">
            <w:pPr>
              <w:rPr>
                <w:lang w:val="en-US"/>
              </w:rPr>
            </w:pPr>
            <w:r w:rsidRPr="00A030C5">
              <w:t>Native Council of Nova Scotia, New Brunswick Aboriginal Peoples Council and Native Council of Prince Edward Island;</w:t>
            </w:r>
          </w:p>
        </w:tc>
        <w:tc>
          <w:tcPr>
            <w:tcW w:w="1153" w:type="dxa"/>
          </w:tcPr>
          <w:p w:rsidR="00A030C5" w:rsidRPr="00A030C5" w:rsidRDefault="00A030C5" w:rsidP="00A030C5"/>
        </w:tc>
        <w:tc>
          <w:tcPr>
            <w:tcW w:w="4273" w:type="dxa"/>
          </w:tcPr>
          <w:p w:rsidR="00A030C5" w:rsidRPr="00A030C5" w:rsidRDefault="00A030C5" w:rsidP="00A030C5"/>
        </w:tc>
      </w:tr>
      <w:tr w:rsidR="00A030C5" w:rsidRPr="00A030C5" w:rsidTr="002E5A9A">
        <w:trPr>
          <w:trHeight w:val="576"/>
        </w:trPr>
        <w:tc>
          <w:tcPr>
            <w:tcW w:w="1358" w:type="dxa"/>
          </w:tcPr>
          <w:p w:rsidR="00A030C5" w:rsidRPr="00A030C5" w:rsidRDefault="00A030C5" w:rsidP="00A030C5"/>
        </w:tc>
        <w:tc>
          <w:tcPr>
            <w:tcW w:w="2943" w:type="dxa"/>
          </w:tcPr>
          <w:p w:rsidR="00A030C5" w:rsidRPr="00A030C5" w:rsidRDefault="00A030C5" w:rsidP="00A030C5">
            <w:r w:rsidRPr="00A030C5">
              <w:t xml:space="preserve">Métis Settlements General Council; </w:t>
            </w:r>
          </w:p>
        </w:tc>
        <w:tc>
          <w:tcPr>
            <w:tcW w:w="1153" w:type="dxa"/>
          </w:tcPr>
          <w:p w:rsidR="00A030C5" w:rsidRPr="00A030C5" w:rsidRDefault="00A030C5" w:rsidP="00A030C5"/>
        </w:tc>
        <w:tc>
          <w:tcPr>
            <w:tcW w:w="4273" w:type="dxa"/>
          </w:tcPr>
          <w:p w:rsidR="00A030C5" w:rsidRPr="00A030C5" w:rsidRDefault="00A030C5" w:rsidP="00A030C5"/>
        </w:tc>
      </w:tr>
      <w:tr w:rsidR="00A030C5" w:rsidRPr="00A030C5" w:rsidTr="002E5A9A">
        <w:trPr>
          <w:trHeight w:val="360"/>
        </w:trPr>
        <w:tc>
          <w:tcPr>
            <w:tcW w:w="1358" w:type="dxa"/>
          </w:tcPr>
          <w:p w:rsidR="00A030C5" w:rsidRPr="00A030C5" w:rsidRDefault="00A030C5" w:rsidP="00A030C5"/>
        </w:tc>
        <w:tc>
          <w:tcPr>
            <w:tcW w:w="2943" w:type="dxa"/>
          </w:tcPr>
          <w:p w:rsidR="00A030C5" w:rsidRPr="00A030C5" w:rsidRDefault="00A030C5" w:rsidP="00A030C5">
            <w:r w:rsidRPr="00A030C5">
              <w:t xml:space="preserve">Te'mexw Treaty Association; </w:t>
            </w:r>
          </w:p>
        </w:tc>
        <w:tc>
          <w:tcPr>
            <w:tcW w:w="1153" w:type="dxa"/>
          </w:tcPr>
          <w:p w:rsidR="00A030C5" w:rsidRPr="00A030C5" w:rsidRDefault="00A030C5" w:rsidP="00A030C5"/>
        </w:tc>
        <w:tc>
          <w:tcPr>
            <w:tcW w:w="4273" w:type="dxa"/>
          </w:tcPr>
          <w:p w:rsidR="00A030C5" w:rsidRPr="00A030C5" w:rsidRDefault="00A030C5" w:rsidP="00A030C5"/>
        </w:tc>
      </w:tr>
      <w:tr w:rsidR="00A030C5" w:rsidRPr="00A030C5" w:rsidTr="002E5A9A">
        <w:trPr>
          <w:trHeight w:val="360"/>
        </w:trPr>
        <w:tc>
          <w:tcPr>
            <w:tcW w:w="1358" w:type="dxa"/>
          </w:tcPr>
          <w:p w:rsidR="00A030C5" w:rsidRPr="00A030C5" w:rsidRDefault="00A030C5" w:rsidP="00A030C5"/>
        </w:tc>
        <w:tc>
          <w:tcPr>
            <w:tcW w:w="2943" w:type="dxa"/>
          </w:tcPr>
          <w:p w:rsidR="00A030C5" w:rsidRPr="00A030C5" w:rsidRDefault="00A030C5" w:rsidP="00A030C5">
            <w:r w:rsidRPr="00A030C5">
              <w:t>Métis Federation of Canada;</w:t>
            </w:r>
          </w:p>
        </w:tc>
        <w:tc>
          <w:tcPr>
            <w:tcW w:w="1153" w:type="dxa"/>
          </w:tcPr>
          <w:p w:rsidR="00A030C5" w:rsidRPr="00A030C5" w:rsidRDefault="00A030C5" w:rsidP="00A030C5"/>
        </w:tc>
        <w:tc>
          <w:tcPr>
            <w:tcW w:w="4273" w:type="dxa"/>
          </w:tcPr>
          <w:p w:rsidR="00A030C5" w:rsidRPr="00A030C5" w:rsidRDefault="00A030C5" w:rsidP="00A030C5"/>
        </w:tc>
      </w:tr>
      <w:tr w:rsidR="00A030C5" w:rsidRPr="00A030C5" w:rsidTr="002E5A9A">
        <w:trPr>
          <w:trHeight w:val="360"/>
        </w:trPr>
        <w:tc>
          <w:tcPr>
            <w:tcW w:w="1358" w:type="dxa"/>
          </w:tcPr>
          <w:p w:rsidR="00A030C5" w:rsidRPr="00A030C5" w:rsidRDefault="00A030C5" w:rsidP="00A030C5"/>
        </w:tc>
        <w:tc>
          <w:tcPr>
            <w:tcW w:w="2943" w:type="dxa"/>
          </w:tcPr>
          <w:p w:rsidR="00A030C5" w:rsidRPr="00A030C5" w:rsidRDefault="00A030C5" w:rsidP="00A030C5">
            <w:r w:rsidRPr="00A030C5">
              <w:t>Aseniwuche Winewak Nation;</w:t>
            </w:r>
          </w:p>
        </w:tc>
        <w:tc>
          <w:tcPr>
            <w:tcW w:w="1153" w:type="dxa"/>
          </w:tcPr>
          <w:p w:rsidR="00A030C5" w:rsidRPr="00A030C5" w:rsidRDefault="00A030C5" w:rsidP="00A030C5"/>
        </w:tc>
        <w:tc>
          <w:tcPr>
            <w:tcW w:w="4273" w:type="dxa"/>
          </w:tcPr>
          <w:p w:rsidR="00A030C5" w:rsidRPr="00A030C5" w:rsidRDefault="00A030C5" w:rsidP="00A030C5"/>
        </w:tc>
      </w:tr>
      <w:tr w:rsidR="00A030C5" w:rsidRPr="00A030C5" w:rsidTr="002E5A9A">
        <w:trPr>
          <w:trHeight w:val="360"/>
        </w:trPr>
        <w:tc>
          <w:tcPr>
            <w:tcW w:w="1358" w:type="dxa"/>
          </w:tcPr>
          <w:p w:rsidR="00A030C5" w:rsidRPr="00A030C5" w:rsidRDefault="00A030C5" w:rsidP="00A030C5"/>
        </w:tc>
        <w:tc>
          <w:tcPr>
            <w:tcW w:w="2943" w:type="dxa"/>
          </w:tcPr>
          <w:p w:rsidR="00A030C5" w:rsidRPr="00A030C5" w:rsidRDefault="00A030C5" w:rsidP="00A030C5">
            <w:r w:rsidRPr="00A030C5">
              <w:t>Chiefs of Ontario;</w:t>
            </w:r>
          </w:p>
        </w:tc>
        <w:tc>
          <w:tcPr>
            <w:tcW w:w="1153" w:type="dxa"/>
          </w:tcPr>
          <w:p w:rsidR="00A030C5" w:rsidRPr="00A030C5" w:rsidRDefault="00A030C5" w:rsidP="00A030C5"/>
        </w:tc>
        <w:tc>
          <w:tcPr>
            <w:tcW w:w="4273" w:type="dxa"/>
          </w:tcPr>
          <w:p w:rsidR="00A030C5" w:rsidRPr="00A030C5" w:rsidRDefault="00A030C5" w:rsidP="00A030C5"/>
        </w:tc>
      </w:tr>
      <w:tr w:rsidR="00A030C5" w:rsidRPr="00A030C5" w:rsidTr="002E5A9A">
        <w:trPr>
          <w:trHeight w:val="360"/>
        </w:trPr>
        <w:tc>
          <w:tcPr>
            <w:tcW w:w="1358" w:type="dxa"/>
          </w:tcPr>
          <w:p w:rsidR="00A030C5" w:rsidRPr="00A030C5" w:rsidRDefault="00A030C5" w:rsidP="00A030C5"/>
        </w:tc>
        <w:tc>
          <w:tcPr>
            <w:tcW w:w="2943" w:type="dxa"/>
          </w:tcPr>
          <w:p w:rsidR="00A030C5" w:rsidRPr="00A030C5" w:rsidRDefault="00A030C5" w:rsidP="00A030C5">
            <w:r w:rsidRPr="00A030C5">
              <w:t>Gift Lake Métis Settlement;</w:t>
            </w:r>
          </w:p>
        </w:tc>
        <w:tc>
          <w:tcPr>
            <w:tcW w:w="1153" w:type="dxa"/>
          </w:tcPr>
          <w:p w:rsidR="00A030C5" w:rsidRPr="00A030C5" w:rsidRDefault="00A030C5" w:rsidP="00A030C5"/>
        </w:tc>
        <w:tc>
          <w:tcPr>
            <w:tcW w:w="4273" w:type="dxa"/>
          </w:tcPr>
          <w:p w:rsidR="00A030C5" w:rsidRPr="00A030C5" w:rsidRDefault="00A030C5" w:rsidP="00A030C5"/>
        </w:tc>
      </w:tr>
      <w:tr w:rsidR="00A030C5" w:rsidRPr="00A030C5" w:rsidTr="002E5A9A">
        <w:trPr>
          <w:trHeight w:val="360"/>
        </w:trPr>
        <w:tc>
          <w:tcPr>
            <w:tcW w:w="1358" w:type="dxa"/>
          </w:tcPr>
          <w:p w:rsidR="00A030C5" w:rsidRPr="00A030C5" w:rsidRDefault="00A030C5" w:rsidP="00A030C5"/>
        </w:tc>
        <w:tc>
          <w:tcPr>
            <w:tcW w:w="2943" w:type="dxa"/>
          </w:tcPr>
          <w:p w:rsidR="00A030C5" w:rsidRPr="00A030C5" w:rsidRDefault="00A030C5" w:rsidP="00A030C5">
            <w:r w:rsidRPr="00A030C5">
              <w:t>Native Alliance of Quebec;</w:t>
            </w:r>
          </w:p>
        </w:tc>
        <w:tc>
          <w:tcPr>
            <w:tcW w:w="1153" w:type="dxa"/>
          </w:tcPr>
          <w:p w:rsidR="00A030C5" w:rsidRPr="00A030C5" w:rsidRDefault="00A030C5" w:rsidP="00A030C5"/>
        </w:tc>
        <w:tc>
          <w:tcPr>
            <w:tcW w:w="4273" w:type="dxa"/>
          </w:tcPr>
          <w:p w:rsidR="00A030C5" w:rsidRPr="00A030C5" w:rsidRDefault="00A030C5" w:rsidP="00A030C5"/>
        </w:tc>
      </w:tr>
      <w:tr w:rsidR="00A030C5" w:rsidRPr="00A030C5" w:rsidTr="002E5A9A">
        <w:trPr>
          <w:trHeight w:val="360"/>
        </w:trPr>
        <w:tc>
          <w:tcPr>
            <w:tcW w:w="1358" w:type="dxa"/>
          </w:tcPr>
          <w:p w:rsidR="00A030C5" w:rsidRPr="00A030C5" w:rsidRDefault="00A030C5" w:rsidP="00A030C5"/>
        </w:tc>
        <w:tc>
          <w:tcPr>
            <w:tcW w:w="2943" w:type="dxa"/>
          </w:tcPr>
          <w:p w:rsidR="00A030C5" w:rsidRPr="00A030C5" w:rsidRDefault="00A030C5" w:rsidP="00A030C5">
            <w:r w:rsidRPr="00A030C5">
              <w:t>Assembly of First Nations;</w:t>
            </w:r>
          </w:p>
        </w:tc>
        <w:tc>
          <w:tcPr>
            <w:tcW w:w="1153" w:type="dxa"/>
          </w:tcPr>
          <w:p w:rsidR="00A030C5" w:rsidRPr="00A030C5" w:rsidRDefault="00A030C5" w:rsidP="00A030C5"/>
        </w:tc>
        <w:tc>
          <w:tcPr>
            <w:tcW w:w="4273" w:type="dxa"/>
          </w:tcPr>
          <w:p w:rsidR="00A030C5" w:rsidRPr="00A030C5" w:rsidRDefault="00A030C5" w:rsidP="00A030C5"/>
        </w:tc>
      </w:tr>
      <w:tr w:rsidR="00A030C5" w:rsidRPr="00A030C5" w:rsidTr="002E5A9A">
        <w:trPr>
          <w:trHeight w:val="360"/>
        </w:trPr>
        <w:tc>
          <w:tcPr>
            <w:tcW w:w="1358" w:type="dxa"/>
          </w:tcPr>
          <w:p w:rsidR="00A030C5" w:rsidRPr="00A030C5" w:rsidRDefault="00A030C5" w:rsidP="00A030C5"/>
        </w:tc>
        <w:tc>
          <w:tcPr>
            <w:tcW w:w="2943" w:type="dxa"/>
          </w:tcPr>
          <w:p w:rsidR="00A030C5" w:rsidRPr="00A030C5" w:rsidRDefault="00A030C5" w:rsidP="00A030C5">
            <w:r w:rsidRPr="00A030C5">
              <w:t>Métis National Council;</w:t>
            </w:r>
          </w:p>
        </w:tc>
        <w:tc>
          <w:tcPr>
            <w:tcW w:w="1153" w:type="dxa"/>
          </w:tcPr>
          <w:p w:rsidR="00A030C5" w:rsidRPr="00A030C5" w:rsidRDefault="00A030C5" w:rsidP="00A030C5"/>
        </w:tc>
        <w:tc>
          <w:tcPr>
            <w:tcW w:w="4273" w:type="dxa"/>
          </w:tcPr>
          <w:p w:rsidR="00A030C5" w:rsidRPr="00A030C5" w:rsidRDefault="00A030C5" w:rsidP="00A030C5"/>
        </w:tc>
      </w:tr>
      <w:tr w:rsidR="00A030C5" w:rsidRPr="00A030C5" w:rsidTr="002E5A9A">
        <w:tc>
          <w:tcPr>
            <w:tcW w:w="1358" w:type="dxa"/>
          </w:tcPr>
          <w:p w:rsidR="00A030C5" w:rsidRPr="00A030C5" w:rsidRDefault="00A030C5" w:rsidP="00A030C5"/>
        </w:tc>
        <w:tc>
          <w:tcPr>
            <w:tcW w:w="2943" w:type="dxa"/>
          </w:tcPr>
          <w:p w:rsidR="00A030C5" w:rsidRPr="00A030C5" w:rsidRDefault="00A030C5" w:rsidP="00A030C5"/>
        </w:tc>
        <w:tc>
          <w:tcPr>
            <w:tcW w:w="1153" w:type="dxa"/>
          </w:tcPr>
          <w:p w:rsidR="00A030C5" w:rsidRPr="00A030C5" w:rsidRDefault="00A030C5" w:rsidP="00A030C5"/>
        </w:tc>
        <w:tc>
          <w:tcPr>
            <w:tcW w:w="4273" w:type="dxa"/>
          </w:tcPr>
          <w:p w:rsidR="00A030C5" w:rsidRPr="00A030C5" w:rsidRDefault="00A030C5" w:rsidP="00A030C5"/>
        </w:tc>
      </w:tr>
      <w:tr w:rsidR="00A030C5" w:rsidRPr="00A030C5" w:rsidTr="002E5A9A">
        <w:tc>
          <w:tcPr>
            <w:tcW w:w="1358" w:type="dxa"/>
          </w:tcPr>
          <w:p w:rsidR="00A030C5" w:rsidRPr="00A030C5" w:rsidRDefault="00A030C5" w:rsidP="00A030C5">
            <w:r w:rsidRPr="00A030C5">
              <w:t>IN / DANS :</w:t>
            </w:r>
          </w:p>
        </w:tc>
        <w:tc>
          <w:tcPr>
            <w:tcW w:w="2943" w:type="dxa"/>
          </w:tcPr>
          <w:p w:rsidR="00A030C5" w:rsidRPr="00A030C5" w:rsidRDefault="00A030C5" w:rsidP="00A030C5">
            <w:pPr>
              <w:tabs>
                <w:tab w:val="left" w:pos="-1440"/>
                <w:tab w:val="left" w:pos="-720"/>
              </w:tabs>
              <w:jc w:val="both"/>
              <w:rPr>
                <w:lang w:val="en-US"/>
              </w:rPr>
            </w:pPr>
            <w:r w:rsidRPr="00A030C5">
              <w:rPr>
                <w:lang w:val="en-US"/>
              </w:rPr>
              <w:t>Harry Daniels et al.</w:t>
            </w:r>
          </w:p>
          <w:p w:rsidR="00A030C5" w:rsidRPr="00A030C5" w:rsidRDefault="00A030C5" w:rsidP="00A030C5">
            <w:pPr>
              <w:tabs>
                <w:tab w:val="left" w:pos="-1440"/>
                <w:tab w:val="left" w:pos="-720"/>
              </w:tabs>
              <w:jc w:val="both"/>
              <w:rPr>
                <w:lang w:val="en-US"/>
              </w:rPr>
            </w:pPr>
          </w:p>
          <w:p w:rsidR="00A030C5" w:rsidRPr="00A030C5" w:rsidRDefault="00A030C5" w:rsidP="00A030C5">
            <w:pPr>
              <w:tabs>
                <w:tab w:val="left" w:pos="-1440"/>
                <w:tab w:val="left" w:pos="-720"/>
              </w:tabs>
              <w:jc w:val="both"/>
              <w:rPr>
                <w:lang w:val="en-US"/>
              </w:rPr>
            </w:pPr>
            <w:r w:rsidRPr="00A030C5">
              <w:rPr>
                <w:lang w:val="en-US"/>
              </w:rPr>
              <w:tab/>
              <w:t>v. (35945)</w:t>
            </w:r>
          </w:p>
          <w:p w:rsidR="00A030C5" w:rsidRPr="00A030C5" w:rsidRDefault="00A030C5" w:rsidP="00A030C5">
            <w:pPr>
              <w:tabs>
                <w:tab w:val="left" w:pos="-1440"/>
                <w:tab w:val="left" w:pos="-720"/>
              </w:tabs>
              <w:jc w:val="both"/>
              <w:rPr>
                <w:lang w:val="en-US"/>
              </w:rPr>
            </w:pPr>
          </w:p>
          <w:p w:rsidR="00A030C5" w:rsidRPr="00A030C5" w:rsidRDefault="00A030C5" w:rsidP="00A030C5">
            <w:r w:rsidRPr="00A030C5">
              <w:rPr>
                <w:lang w:val="en-US"/>
              </w:rPr>
              <w:t>Her Majesty the Queen as represented by The Minister of Indian Affairs and Northern Development et al. (F.C.)</w:t>
            </w:r>
          </w:p>
        </w:tc>
        <w:tc>
          <w:tcPr>
            <w:tcW w:w="1153" w:type="dxa"/>
          </w:tcPr>
          <w:p w:rsidR="00A030C5" w:rsidRPr="00A030C5" w:rsidRDefault="00A030C5" w:rsidP="00A030C5"/>
        </w:tc>
        <w:tc>
          <w:tcPr>
            <w:tcW w:w="4273" w:type="dxa"/>
          </w:tcPr>
          <w:p w:rsidR="00A030C5" w:rsidRPr="00A030C5" w:rsidRDefault="00A030C5" w:rsidP="00A030C5"/>
        </w:tc>
      </w:tr>
    </w:tbl>
    <w:p w:rsidR="00A030C5" w:rsidRPr="00A030C5" w:rsidRDefault="00A030C5" w:rsidP="00A030C5">
      <w:pPr>
        <w:tabs>
          <w:tab w:val="left" w:pos="-1440"/>
          <w:tab w:val="left" w:pos="-720"/>
        </w:tabs>
        <w:jc w:val="both"/>
        <w:rPr>
          <w:rFonts w:eastAsia="Times New Roman" w:cs="Times New Roman"/>
          <w:sz w:val="20"/>
          <w:szCs w:val="20"/>
          <w:lang w:val="fr-CA" w:eastAsia="en-CA"/>
        </w:rPr>
      </w:pPr>
    </w:p>
    <w:p w:rsidR="00A030C5" w:rsidRPr="00A030C5" w:rsidRDefault="00A030C5" w:rsidP="00A03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A030C5">
        <w:rPr>
          <w:rFonts w:eastAsiaTheme="minorEastAsia" w:cs="Times New Roman"/>
          <w:b/>
          <w:sz w:val="20"/>
          <w:szCs w:val="20"/>
          <w:lang w:val="en-US"/>
        </w:rPr>
        <w:t>FURTHER TO THE ORDER</w:t>
      </w:r>
      <w:r w:rsidRPr="00A030C5">
        <w:rPr>
          <w:rFonts w:eastAsiaTheme="minorEastAsia" w:cs="Times New Roman"/>
          <w:sz w:val="20"/>
          <w:szCs w:val="20"/>
          <w:lang w:val="en-US"/>
        </w:rPr>
        <w:t xml:space="preserve"> dated June 1, 2015, granting leave to intervene to the Attorney General for Saskatchewan, the Attorney General of Alberta, the Native Council of Nova Scotia, the New Brunswick Aboriginal Peoples Council and the Native Council of Prince Edward Island (joint), the Metis Settlements General Council, the Te’mexw Treaty Association, the Métis Federation of Canada, the Aseniwuche Winewak Nation, the Chiefs of Ontario, the Gift Lake Métis Settlement, the</w:t>
      </w:r>
      <w:r w:rsidRPr="00A030C5">
        <w:rPr>
          <w:rFonts w:eastAsiaTheme="minorEastAsia" w:cs="Times New Roman"/>
          <w:sz w:val="20"/>
          <w:szCs w:val="20"/>
        </w:rPr>
        <w:t xml:space="preserve"> Native Alliance of Quebec, </w:t>
      </w:r>
      <w:r w:rsidRPr="00A030C5">
        <w:rPr>
          <w:rFonts w:eastAsiaTheme="minorEastAsia" w:cs="Times New Roman"/>
          <w:sz w:val="20"/>
          <w:szCs w:val="20"/>
          <w:lang w:val="en-US"/>
        </w:rPr>
        <w:t>the Assembly of First Nations and the Métis National Council;</w:t>
      </w:r>
    </w:p>
    <w:p w:rsidR="00A030C5" w:rsidRPr="00A030C5" w:rsidRDefault="00A030C5" w:rsidP="00A03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A030C5" w:rsidRPr="00A030C5" w:rsidRDefault="00A030C5" w:rsidP="00A03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r w:rsidRPr="00A030C5">
        <w:rPr>
          <w:rFonts w:eastAsiaTheme="minorEastAsia" w:cs="Times New Roman"/>
          <w:b/>
          <w:bCs/>
          <w:sz w:val="20"/>
          <w:szCs w:val="20"/>
          <w:lang w:val="en-US"/>
        </w:rPr>
        <w:t xml:space="preserve">IT IS HEREBY FURTHER ORDERED THAT: </w:t>
      </w:r>
    </w:p>
    <w:p w:rsidR="00A030C5" w:rsidRPr="00A030C5" w:rsidRDefault="00A030C5" w:rsidP="00A03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p>
    <w:p w:rsidR="00A030C5" w:rsidRPr="00A030C5" w:rsidRDefault="00A030C5" w:rsidP="00A030C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cs="Times New Roman"/>
          <w:sz w:val="20"/>
          <w:szCs w:val="20"/>
          <w:lang w:val="en-US"/>
        </w:rPr>
      </w:pPr>
      <w:r w:rsidRPr="00A030C5">
        <w:rPr>
          <w:rFonts w:eastAsiaTheme="minorEastAsia" w:cs="Times New Roman"/>
          <w:sz w:val="20"/>
          <w:szCs w:val="20"/>
          <w:lang w:val="en-US"/>
        </w:rPr>
        <w:t>The Attorney General for Saskatchewan, the Attorney General of Alberta and the Assembly of First Nations are each granted permission to present oral argument not exceeding ten (10) minutes at the hearing of the appeal.</w:t>
      </w:r>
    </w:p>
    <w:p w:rsidR="00A030C5" w:rsidRPr="00A030C5" w:rsidRDefault="00A030C5" w:rsidP="00A03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360"/>
        <w:jc w:val="both"/>
        <w:rPr>
          <w:rFonts w:eastAsiaTheme="minorEastAsia" w:cs="Times New Roman"/>
          <w:sz w:val="20"/>
          <w:szCs w:val="20"/>
          <w:lang w:val="en-US"/>
        </w:rPr>
      </w:pPr>
    </w:p>
    <w:p w:rsidR="00A030C5" w:rsidRPr="00A030C5" w:rsidRDefault="00A030C5" w:rsidP="00A030C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cs="Times New Roman"/>
          <w:sz w:val="20"/>
          <w:szCs w:val="20"/>
          <w:lang w:val="en-US"/>
        </w:rPr>
      </w:pPr>
      <w:r w:rsidRPr="00A030C5">
        <w:rPr>
          <w:rFonts w:eastAsiaTheme="minorEastAsia" w:cs="Times New Roman"/>
          <w:sz w:val="20"/>
          <w:szCs w:val="20"/>
          <w:lang w:val="en-US"/>
        </w:rPr>
        <w:t xml:space="preserve">The Metis Settlements General Council, the Aseniwuche Winewak Nation, the Métis Federation of Canada, </w:t>
      </w:r>
      <w:r w:rsidRPr="00A030C5">
        <w:rPr>
          <w:rFonts w:eastAsiaTheme="minorEastAsia" w:cs="Times New Roman"/>
          <w:sz w:val="20"/>
          <w:szCs w:val="20"/>
          <w:lang w:val="en-US"/>
        </w:rPr>
        <w:lastRenderedPageBreak/>
        <w:t>the Gift Lake Métis Settlement and the Métis National Council are each granted permission to present oral argument not exceeding five (5) minutes at the hearing of the appeal.</w:t>
      </w:r>
    </w:p>
    <w:p w:rsidR="00A030C5" w:rsidRPr="00A030C5" w:rsidRDefault="00A030C5" w:rsidP="00A03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720"/>
        <w:contextualSpacing/>
        <w:jc w:val="both"/>
        <w:rPr>
          <w:rFonts w:eastAsiaTheme="minorEastAsia" w:cs="Times New Roman"/>
          <w:sz w:val="20"/>
          <w:szCs w:val="20"/>
          <w:lang w:val="en-US"/>
        </w:rPr>
      </w:pPr>
    </w:p>
    <w:p w:rsidR="00A030C5" w:rsidRPr="00A030C5" w:rsidRDefault="00A030C5" w:rsidP="00A030C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A030C5">
        <w:rPr>
          <w:rFonts w:eastAsiaTheme="minorEastAsia" w:cs="Times New Roman"/>
          <w:sz w:val="20"/>
          <w:szCs w:val="20"/>
          <w:lang w:val="en-US"/>
        </w:rPr>
        <w:t>The factums of the Native Council of Nova Scotia, the New Brunswick Aboriginal Peoples Council and the Native Council of Prince Edward Island (joint), the Te’mexw Treaty Association, the Chiefs of Ontario and the</w:t>
      </w:r>
      <w:r w:rsidRPr="00A030C5">
        <w:rPr>
          <w:rFonts w:eastAsiaTheme="minorEastAsia" w:cs="Times New Roman"/>
          <w:sz w:val="20"/>
          <w:szCs w:val="20"/>
        </w:rPr>
        <w:t xml:space="preserve"> Native Alliance of Quebec </w:t>
      </w:r>
      <w:r w:rsidRPr="00A030C5">
        <w:rPr>
          <w:rFonts w:eastAsiaTheme="minorEastAsia" w:cs="Times New Roman"/>
          <w:sz w:val="20"/>
          <w:szCs w:val="20"/>
          <w:lang w:val="en-US"/>
        </w:rPr>
        <w:t>will be considered without the need for oral argument.</w:t>
      </w:r>
    </w:p>
    <w:p w:rsidR="00A030C5" w:rsidRPr="00A030C5" w:rsidRDefault="00A030C5" w:rsidP="00A030C5">
      <w:pPr>
        <w:autoSpaceDE w:val="0"/>
        <w:autoSpaceDN w:val="0"/>
        <w:adjustRightInd w:val="0"/>
        <w:rPr>
          <w:rFonts w:eastAsiaTheme="minorEastAsia" w:cs="Times New Roman"/>
          <w:sz w:val="20"/>
          <w:szCs w:val="20"/>
          <w:lang w:val="en-US"/>
        </w:rPr>
      </w:pPr>
    </w:p>
    <w:p w:rsidR="00A030C5" w:rsidRPr="00A030C5" w:rsidRDefault="00A030C5" w:rsidP="00A030C5">
      <w:pPr>
        <w:autoSpaceDE w:val="0"/>
        <w:autoSpaceDN w:val="0"/>
        <w:adjustRightInd w:val="0"/>
        <w:rPr>
          <w:rFonts w:eastAsiaTheme="minorEastAsia" w:cs="Times New Roman"/>
          <w:sz w:val="20"/>
          <w:szCs w:val="20"/>
          <w:lang w:val="en-US"/>
        </w:rPr>
      </w:pPr>
    </w:p>
    <w:p w:rsidR="00A030C5" w:rsidRPr="00A030C5" w:rsidRDefault="00A030C5" w:rsidP="00A030C5">
      <w:pPr>
        <w:autoSpaceDE w:val="0"/>
        <w:autoSpaceDN w:val="0"/>
        <w:adjustRightInd w:val="0"/>
        <w:rPr>
          <w:rFonts w:eastAsiaTheme="minorEastAsia" w:cs="Times New Roman"/>
          <w:sz w:val="20"/>
          <w:szCs w:val="20"/>
          <w:lang w:val="en-US"/>
        </w:rPr>
      </w:pPr>
    </w:p>
    <w:p w:rsidR="00A030C5" w:rsidRPr="00A030C5" w:rsidRDefault="00A030C5" w:rsidP="00A03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FR"/>
        </w:rPr>
      </w:pPr>
      <w:r w:rsidRPr="00A030C5">
        <w:rPr>
          <w:rFonts w:eastAsiaTheme="minorEastAsia" w:cs="Times New Roman"/>
          <w:b/>
          <w:sz w:val="20"/>
          <w:szCs w:val="20"/>
          <w:lang w:val="fr-CA"/>
        </w:rPr>
        <w:t>À LA SUITE DE L’ORDONNANCE</w:t>
      </w:r>
      <w:r w:rsidRPr="00A030C5">
        <w:rPr>
          <w:rFonts w:eastAsiaTheme="minorEastAsia" w:cs="Times New Roman"/>
          <w:sz w:val="20"/>
          <w:szCs w:val="20"/>
          <w:lang w:val="fr-CA"/>
        </w:rPr>
        <w:t xml:space="preserve"> datée du 1 juin 2015</w:t>
      </w:r>
      <w:r w:rsidRPr="00A030C5">
        <w:rPr>
          <w:rFonts w:eastAsiaTheme="minorEastAsia" w:cs="Times New Roman"/>
          <w:sz w:val="20"/>
          <w:szCs w:val="20"/>
          <w:lang w:val="fr-FR"/>
        </w:rPr>
        <w:t>, autorisant</w:t>
      </w:r>
      <w:r w:rsidRPr="00A030C5">
        <w:rPr>
          <w:rFonts w:eastAsiaTheme="minorEastAsia" w:cs="Times New Roman"/>
          <w:sz w:val="20"/>
          <w:szCs w:val="20"/>
          <w:lang w:val="fr-CA"/>
        </w:rPr>
        <w:t xml:space="preserve"> </w:t>
      </w:r>
      <w:r w:rsidRPr="00A030C5">
        <w:rPr>
          <w:rFonts w:eastAsiaTheme="minorEastAsia" w:cs="Times New Roman"/>
          <w:bCs/>
          <w:sz w:val="20"/>
          <w:szCs w:val="20"/>
          <w:lang w:val="fr-CA"/>
        </w:rPr>
        <w:t>le Procureur général de la Saskatchewan, le Procureur général de l’Alberta, le Native Council of Nova Scotia, le New Brunswick Aboriginal Peoples Council et le Native Council of Prince Edward Island (conjointe), le Metis Settlements General Council, le Te’mexw Treaty Association, la Fédération Métisse du Canada, le Aseniwuche Winewak Nation, les Chiefs of Ontario, le Gift Lake Métis Settlement, l’Alliance autochtone du Québec, l’Assemblée des premières nations et le Ralliement national des Métis</w:t>
      </w:r>
      <w:r w:rsidRPr="00A030C5">
        <w:rPr>
          <w:rFonts w:eastAsiaTheme="minorEastAsia" w:cs="Times New Roman"/>
          <w:sz w:val="20"/>
          <w:szCs w:val="20"/>
          <w:lang w:val="fr-FR"/>
        </w:rPr>
        <w:t xml:space="preserve"> à intervenir;</w:t>
      </w:r>
    </w:p>
    <w:p w:rsidR="00A030C5" w:rsidRPr="00A030C5" w:rsidRDefault="00A030C5" w:rsidP="00A03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FR"/>
        </w:rPr>
      </w:pPr>
    </w:p>
    <w:p w:rsidR="00A030C5" w:rsidRPr="00A030C5" w:rsidRDefault="00A030C5" w:rsidP="00A03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fr-CA"/>
        </w:rPr>
      </w:pPr>
      <w:r w:rsidRPr="00A030C5">
        <w:rPr>
          <w:rFonts w:eastAsiaTheme="minorEastAsia" w:cs="Times New Roman"/>
          <w:b/>
          <w:bCs/>
          <w:sz w:val="20"/>
          <w:szCs w:val="20"/>
          <w:lang w:val="fr-CA"/>
        </w:rPr>
        <w:t xml:space="preserve">IL EST EN OUTRE ORDONNÉ QUE : </w:t>
      </w:r>
    </w:p>
    <w:p w:rsidR="00A030C5" w:rsidRPr="00A030C5" w:rsidRDefault="00A030C5" w:rsidP="00A03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fr-CA"/>
        </w:rPr>
      </w:pPr>
    </w:p>
    <w:p w:rsidR="00A030C5" w:rsidRPr="00A030C5" w:rsidRDefault="00A030C5" w:rsidP="00A030C5">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cs="Times New Roman"/>
          <w:sz w:val="20"/>
          <w:szCs w:val="20"/>
          <w:lang w:val="fr-CA"/>
        </w:rPr>
      </w:pPr>
      <w:r w:rsidRPr="00A030C5">
        <w:rPr>
          <w:rFonts w:eastAsiaTheme="minorEastAsia" w:cs="Times New Roman"/>
          <w:bCs/>
          <w:sz w:val="20"/>
          <w:szCs w:val="20"/>
          <w:lang w:val="fr-CA"/>
        </w:rPr>
        <w:t xml:space="preserve">Le Procureur général de la Saskatchewan, le Procureur général de l’Alberta et l’Assemblée des premières nations </w:t>
      </w:r>
      <w:r w:rsidRPr="00A030C5">
        <w:rPr>
          <w:rFonts w:eastAsiaTheme="minorEastAsia" w:cs="Times New Roman"/>
          <w:sz w:val="20"/>
          <w:szCs w:val="20"/>
          <w:lang w:val="fr-CA"/>
        </w:rPr>
        <w:t>auront chacun le droit de présenter une plaidoirie orale d’au plus dix (10) minutes lors de l’audition de l’appel.</w:t>
      </w:r>
    </w:p>
    <w:p w:rsidR="00A030C5" w:rsidRPr="00A030C5" w:rsidRDefault="00A030C5" w:rsidP="00A03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360"/>
        <w:jc w:val="both"/>
        <w:rPr>
          <w:rFonts w:eastAsiaTheme="minorEastAsia" w:cs="Times New Roman"/>
          <w:sz w:val="20"/>
          <w:szCs w:val="20"/>
          <w:lang w:val="fr-CA"/>
        </w:rPr>
      </w:pPr>
    </w:p>
    <w:p w:rsidR="00A030C5" w:rsidRPr="00A030C5" w:rsidRDefault="00A030C5" w:rsidP="00A030C5">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cs="Times New Roman"/>
          <w:sz w:val="20"/>
          <w:szCs w:val="20"/>
          <w:lang w:val="fr-CA"/>
        </w:rPr>
      </w:pPr>
      <w:r w:rsidRPr="00A030C5">
        <w:rPr>
          <w:rFonts w:eastAsiaTheme="minorEastAsia" w:cs="Times New Roman"/>
          <w:bCs/>
          <w:sz w:val="20"/>
          <w:szCs w:val="20"/>
          <w:lang w:val="fr-CA"/>
        </w:rPr>
        <w:t>Le Metis Settlements General Council,</w:t>
      </w:r>
      <w:r w:rsidRPr="00A030C5">
        <w:rPr>
          <w:rFonts w:eastAsiaTheme="minorEastAsia" w:cs="Times New Roman"/>
          <w:sz w:val="20"/>
          <w:szCs w:val="20"/>
          <w:lang w:val="fr-CA"/>
        </w:rPr>
        <w:t xml:space="preserve"> </w:t>
      </w:r>
      <w:r w:rsidRPr="00A030C5">
        <w:rPr>
          <w:rFonts w:eastAsiaTheme="minorEastAsia" w:cs="Times New Roman"/>
          <w:bCs/>
          <w:sz w:val="20"/>
          <w:szCs w:val="20"/>
          <w:lang w:val="fr-CA"/>
        </w:rPr>
        <w:t>l’Aseniwuche Winewak Nation, la Fédération Métisse du Canada, le Gift Lake Métis Settlement et le Ralliement national des Métis</w:t>
      </w:r>
      <w:r w:rsidRPr="00A030C5">
        <w:rPr>
          <w:rFonts w:eastAsiaTheme="minorEastAsia" w:cs="Times New Roman"/>
          <w:sz w:val="20"/>
          <w:szCs w:val="20"/>
          <w:lang w:val="fr-CA"/>
        </w:rPr>
        <w:t xml:space="preserve"> auront chacun le droit de présenter une plaidoirie orale d’au plus cinq (5) minutes lors de l’audition de l’appel.</w:t>
      </w:r>
    </w:p>
    <w:p w:rsidR="00A030C5" w:rsidRPr="00A030C5" w:rsidRDefault="00A030C5" w:rsidP="00A03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720"/>
        <w:contextualSpacing/>
        <w:jc w:val="both"/>
        <w:rPr>
          <w:rFonts w:eastAsiaTheme="minorEastAsia" w:cs="Times New Roman"/>
          <w:sz w:val="20"/>
          <w:szCs w:val="20"/>
          <w:lang w:val="fr-CA"/>
        </w:rPr>
      </w:pPr>
    </w:p>
    <w:p w:rsidR="00A030C5" w:rsidRDefault="00A030C5" w:rsidP="00A030C5">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cs="Times New Roman"/>
          <w:sz w:val="20"/>
          <w:szCs w:val="20"/>
          <w:lang w:val="fr-CA"/>
        </w:rPr>
      </w:pPr>
      <w:r w:rsidRPr="00A030C5">
        <w:rPr>
          <w:rFonts w:eastAsiaTheme="minorEastAsia" w:cs="Times New Roman"/>
          <w:sz w:val="20"/>
          <w:szCs w:val="20"/>
          <w:lang w:val="fr-CA"/>
        </w:rPr>
        <w:t>Les mémoires du</w:t>
      </w:r>
      <w:r w:rsidRPr="00A030C5">
        <w:rPr>
          <w:rFonts w:eastAsiaTheme="minorEastAsia" w:cs="Times New Roman"/>
          <w:bCs/>
          <w:sz w:val="20"/>
          <w:szCs w:val="20"/>
          <w:lang w:val="fr-CA"/>
        </w:rPr>
        <w:t xml:space="preserve"> Native Council of Nova Scotia, du New Brunswick Aboriginal Peoples Council et du Native Council of Prince Edward Island (conjointe), de la Te’mexw Treaty Association, des Chiefs of Ontario et de l’Alliance autochtone du Québec </w:t>
      </w:r>
      <w:r w:rsidRPr="00A030C5">
        <w:rPr>
          <w:rFonts w:eastAsiaTheme="minorEastAsia" w:cs="Times New Roman"/>
          <w:sz w:val="20"/>
          <w:szCs w:val="20"/>
          <w:lang w:val="fr-CA"/>
        </w:rPr>
        <w:t xml:space="preserve">seront examinés sans qu’il soit nécessaire que ces intervenantes présentent des plaidoiries orales. </w:t>
      </w:r>
    </w:p>
    <w:p w:rsidR="00A030C5" w:rsidRDefault="00A030C5" w:rsidP="00A030C5">
      <w:pPr>
        <w:pStyle w:val="ListParagraph"/>
        <w:rPr>
          <w:rFonts w:eastAsiaTheme="minorEastAsia" w:cs="Times New Roman"/>
          <w:sz w:val="20"/>
          <w:szCs w:val="20"/>
          <w:lang w:val="fr-CA"/>
        </w:rPr>
      </w:pPr>
    </w:p>
    <w:p w:rsidR="00CA2DEA" w:rsidRPr="006E5D7C" w:rsidRDefault="00EB0985"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A030C5"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A23EB5" w:rsidTr="005F1ED8">
        <w:trPr>
          <w:cantSplit/>
        </w:trPr>
        <w:tc>
          <w:tcPr>
            <w:tcW w:w="2206" w:type="pct"/>
            <w:tcMar>
              <w:left w:w="0" w:type="dxa"/>
              <w:right w:w="0" w:type="dxa"/>
            </w:tcMar>
          </w:tcPr>
          <w:p w:rsidR="0086340B" w:rsidRPr="00A030C5" w:rsidRDefault="00A23EB5" w:rsidP="005F1ED8">
            <w:pPr>
              <w:rPr>
                <w:sz w:val="20"/>
                <w:szCs w:val="20"/>
                <w:lang w:val="en-US"/>
              </w:rPr>
            </w:pPr>
            <w:r w:rsidRPr="00A030C5">
              <w:rPr>
                <w:sz w:val="20"/>
                <w:szCs w:val="20"/>
                <w:lang w:val="en-US"/>
              </w:rPr>
              <w:t>28</w:t>
            </w:r>
            <w:r w:rsidR="0086340B" w:rsidRPr="00A030C5">
              <w:rPr>
                <w:sz w:val="20"/>
                <w:szCs w:val="20"/>
                <w:lang w:val="en-US"/>
              </w:rPr>
              <w:t>.</w:t>
            </w:r>
            <w:r w:rsidRPr="00A030C5">
              <w:rPr>
                <w:sz w:val="20"/>
                <w:szCs w:val="20"/>
                <w:lang w:val="en-US"/>
              </w:rPr>
              <w:t>08</w:t>
            </w:r>
            <w:r w:rsidR="0086340B" w:rsidRPr="00A030C5">
              <w:rPr>
                <w:sz w:val="20"/>
                <w:szCs w:val="20"/>
                <w:lang w:val="en-US"/>
              </w:rPr>
              <w:t>.201</w:t>
            </w:r>
            <w:r w:rsidRPr="00A030C5">
              <w:rPr>
                <w:sz w:val="20"/>
                <w:szCs w:val="20"/>
                <w:lang w:val="en-US"/>
              </w:rPr>
              <w:t>5</w:t>
            </w:r>
          </w:p>
          <w:p w:rsidR="0086340B" w:rsidRPr="00A030C5" w:rsidRDefault="0086340B" w:rsidP="005F1ED8">
            <w:pPr>
              <w:rPr>
                <w:sz w:val="20"/>
                <w:szCs w:val="20"/>
                <w:lang w:val="en-US"/>
              </w:rPr>
            </w:pPr>
          </w:p>
          <w:p w:rsidR="0086340B" w:rsidRDefault="00A23EB5" w:rsidP="005F1ED8">
            <w:pPr>
              <w:rPr>
                <w:b/>
                <w:sz w:val="20"/>
                <w:szCs w:val="20"/>
                <w:lang w:val="en-US"/>
              </w:rPr>
            </w:pPr>
            <w:r w:rsidRPr="00A030C5">
              <w:rPr>
                <w:b/>
                <w:sz w:val="20"/>
                <w:szCs w:val="20"/>
                <w:lang w:val="en-US"/>
              </w:rPr>
              <w:t>Her Majesty the Queen</w:t>
            </w:r>
          </w:p>
          <w:p w:rsidR="00A030C5" w:rsidRPr="00A030C5" w:rsidRDefault="00A030C5" w:rsidP="005F1ED8">
            <w:pPr>
              <w:rPr>
                <w:b/>
                <w:sz w:val="20"/>
                <w:szCs w:val="20"/>
                <w:lang w:val="en-US"/>
              </w:rPr>
            </w:pPr>
          </w:p>
          <w:p w:rsidR="0086340B" w:rsidRPr="00A030C5" w:rsidRDefault="0086340B" w:rsidP="005F1ED8">
            <w:pPr>
              <w:rPr>
                <w:b/>
                <w:sz w:val="20"/>
                <w:szCs w:val="20"/>
                <w:lang w:val="en-US"/>
              </w:rPr>
            </w:pPr>
            <w:r w:rsidRPr="00A030C5">
              <w:rPr>
                <w:b/>
                <w:sz w:val="20"/>
                <w:szCs w:val="20"/>
                <w:lang w:val="en-US"/>
              </w:rPr>
              <w:tab/>
              <w:t>v. (35492)</w:t>
            </w:r>
          </w:p>
          <w:p w:rsidR="0086340B" w:rsidRPr="00A030C5" w:rsidRDefault="0086340B" w:rsidP="005F1ED8">
            <w:pPr>
              <w:rPr>
                <w:b/>
                <w:sz w:val="20"/>
                <w:szCs w:val="20"/>
                <w:lang w:val="en-US"/>
              </w:rPr>
            </w:pPr>
          </w:p>
          <w:p w:rsidR="0086340B" w:rsidRPr="00A030C5" w:rsidRDefault="00A23EB5" w:rsidP="005F1ED8">
            <w:pPr>
              <w:rPr>
                <w:b/>
                <w:sz w:val="20"/>
                <w:szCs w:val="20"/>
                <w:lang w:val="en-US"/>
              </w:rPr>
            </w:pPr>
            <w:r w:rsidRPr="00A030C5">
              <w:rPr>
                <w:b/>
                <w:sz w:val="20"/>
                <w:szCs w:val="20"/>
                <w:lang w:val="en-US"/>
              </w:rPr>
              <w:t>M.K.B.</w:t>
            </w:r>
            <w:r w:rsidR="0086340B" w:rsidRPr="00A030C5">
              <w:rPr>
                <w:b/>
                <w:sz w:val="20"/>
                <w:szCs w:val="20"/>
                <w:lang w:val="en-US"/>
              </w:rPr>
              <w:t xml:space="preserve"> (</w:t>
            </w:r>
            <w:r w:rsidRPr="00A030C5">
              <w:rPr>
                <w:b/>
                <w:sz w:val="20"/>
                <w:szCs w:val="20"/>
                <w:lang w:val="en-US"/>
              </w:rPr>
              <w:t>Alta</w:t>
            </w:r>
            <w:r w:rsidR="0086340B" w:rsidRPr="00A030C5">
              <w:rPr>
                <w:b/>
                <w:sz w:val="20"/>
                <w:szCs w:val="20"/>
                <w:lang w:val="en-US"/>
              </w:rPr>
              <w:t>.)</w:t>
            </w:r>
          </w:p>
          <w:p w:rsidR="0086340B" w:rsidRPr="00A030C5" w:rsidRDefault="0086340B" w:rsidP="005F1ED8">
            <w:pPr>
              <w:rPr>
                <w:sz w:val="20"/>
                <w:szCs w:val="20"/>
                <w:lang w:val="en-US"/>
              </w:rPr>
            </w:pPr>
          </w:p>
          <w:p w:rsidR="0086340B" w:rsidRPr="00A030C5" w:rsidRDefault="0086340B" w:rsidP="005F1ED8">
            <w:pPr>
              <w:rPr>
                <w:sz w:val="20"/>
                <w:szCs w:val="20"/>
                <w:lang w:val="en-US"/>
              </w:rPr>
            </w:pPr>
            <w:r w:rsidRPr="00A030C5">
              <w:rPr>
                <w:sz w:val="20"/>
                <w:szCs w:val="20"/>
                <w:lang w:val="en-US"/>
              </w:rPr>
              <w:t>(</w:t>
            </w:r>
            <w:r w:rsidR="00A23EB5" w:rsidRPr="00A030C5">
              <w:rPr>
                <w:sz w:val="20"/>
                <w:szCs w:val="20"/>
                <w:lang w:val="en-US"/>
              </w:rPr>
              <w:t>As of Right</w:t>
            </w:r>
            <w:r w:rsidRPr="00A030C5">
              <w:rPr>
                <w:sz w:val="20"/>
                <w:szCs w:val="20"/>
                <w:lang w:val="en-US"/>
              </w:rPr>
              <w:t>)</w:t>
            </w:r>
          </w:p>
          <w:p w:rsidR="0086340B" w:rsidRPr="00A030C5" w:rsidRDefault="0086340B" w:rsidP="005F1ED8">
            <w:pPr>
              <w:rPr>
                <w:sz w:val="20"/>
                <w:szCs w:val="20"/>
                <w:lang w:val="en-US"/>
              </w:rPr>
            </w:pPr>
          </w:p>
          <w:p w:rsidR="0086340B" w:rsidRPr="003B3977" w:rsidRDefault="00EB0985" w:rsidP="005F1ED8">
            <w:pPr>
              <w:rPr>
                <w:sz w:val="20"/>
                <w:szCs w:val="20"/>
                <w:lang w:val="fr-CA"/>
              </w:rPr>
            </w:pPr>
            <w:r>
              <w:rPr>
                <w:sz w:val="20"/>
                <w:szCs w:val="20"/>
                <w:lang w:val="fr-CA"/>
              </w:rPr>
              <w:pict>
                <v:rect id="_x0000_i1061" style="width:106.1pt;height:1pt" o:hrpct="500" o:hralign="center" o:hrstd="t" o:hrnoshade="t" o:hr="t" fillcolor="black [3213]" stroked="f"/>
              </w:pict>
            </w:r>
          </w:p>
        </w:tc>
        <w:tc>
          <w:tcPr>
            <w:tcW w:w="588" w:type="pct"/>
          </w:tcPr>
          <w:p w:rsidR="0086340B" w:rsidRPr="00A23EB5" w:rsidRDefault="0086340B" w:rsidP="005F1ED8">
            <w:pPr>
              <w:jc w:val="center"/>
              <w:rPr>
                <w:sz w:val="20"/>
                <w:szCs w:val="20"/>
                <w:lang w:val="fr-CA"/>
              </w:rPr>
            </w:pPr>
          </w:p>
          <w:p w:rsidR="0086340B" w:rsidRPr="00A23EB5" w:rsidRDefault="0086340B" w:rsidP="005F1ED8">
            <w:pPr>
              <w:jc w:val="center"/>
              <w:rPr>
                <w:sz w:val="20"/>
                <w:szCs w:val="20"/>
                <w:lang w:val="fr-CA"/>
              </w:rPr>
            </w:pPr>
          </w:p>
          <w:p w:rsidR="0086340B" w:rsidRPr="00A23EB5" w:rsidRDefault="0086340B" w:rsidP="005F1ED8">
            <w:pPr>
              <w:jc w:val="center"/>
              <w:rPr>
                <w:sz w:val="20"/>
                <w:szCs w:val="20"/>
                <w:lang w:val="fr-CA"/>
              </w:rPr>
            </w:pPr>
          </w:p>
          <w:p w:rsidR="0086340B" w:rsidRPr="00A23EB5" w:rsidRDefault="0086340B" w:rsidP="005F1ED8">
            <w:pPr>
              <w:jc w:val="center"/>
              <w:rPr>
                <w:sz w:val="20"/>
                <w:szCs w:val="20"/>
                <w:lang w:val="fr-CA"/>
              </w:rPr>
            </w:pPr>
          </w:p>
          <w:p w:rsidR="0086340B" w:rsidRPr="00A23EB5" w:rsidRDefault="0086340B" w:rsidP="005F1ED8">
            <w:pPr>
              <w:jc w:val="center"/>
              <w:rPr>
                <w:sz w:val="20"/>
                <w:szCs w:val="20"/>
                <w:lang w:val="fr-CA"/>
              </w:rPr>
            </w:pPr>
          </w:p>
          <w:p w:rsidR="0086340B" w:rsidRPr="00A23EB5" w:rsidRDefault="0086340B" w:rsidP="005F1ED8">
            <w:pPr>
              <w:jc w:val="center"/>
              <w:rPr>
                <w:sz w:val="20"/>
                <w:szCs w:val="20"/>
                <w:lang w:val="fr-CA"/>
              </w:rPr>
            </w:pPr>
          </w:p>
          <w:p w:rsidR="0086340B" w:rsidRPr="00A23EB5" w:rsidRDefault="0086340B" w:rsidP="005F1ED8">
            <w:pPr>
              <w:jc w:val="center"/>
              <w:rPr>
                <w:sz w:val="20"/>
                <w:szCs w:val="20"/>
                <w:lang w:val="fr-CA"/>
              </w:rPr>
            </w:pPr>
          </w:p>
          <w:p w:rsidR="0086340B" w:rsidRPr="00A23EB5" w:rsidRDefault="0086340B" w:rsidP="005F1ED8">
            <w:pPr>
              <w:jc w:val="center"/>
              <w:rPr>
                <w:sz w:val="20"/>
                <w:szCs w:val="20"/>
                <w:lang w:val="fr-CA"/>
              </w:rPr>
            </w:pPr>
          </w:p>
          <w:p w:rsidR="0086340B" w:rsidRPr="00A23EB5" w:rsidRDefault="0086340B" w:rsidP="005F1ED8">
            <w:pPr>
              <w:jc w:val="center"/>
              <w:rPr>
                <w:sz w:val="20"/>
                <w:szCs w:val="20"/>
                <w:lang w:val="fr-CA"/>
              </w:rPr>
            </w:pPr>
          </w:p>
          <w:p w:rsidR="0086340B" w:rsidRPr="00A23EB5" w:rsidRDefault="0086340B" w:rsidP="005F1ED8">
            <w:pPr>
              <w:jc w:val="center"/>
              <w:rPr>
                <w:sz w:val="20"/>
                <w:szCs w:val="20"/>
                <w:lang w:val="fr-CA"/>
              </w:rPr>
            </w:pPr>
          </w:p>
          <w:p w:rsidR="0086340B" w:rsidRPr="00A23EB5" w:rsidRDefault="0086340B" w:rsidP="005F1ED8">
            <w:pPr>
              <w:jc w:val="center"/>
              <w:rPr>
                <w:sz w:val="20"/>
                <w:szCs w:val="20"/>
                <w:lang w:val="fr-CA"/>
              </w:rPr>
            </w:pPr>
          </w:p>
          <w:p w:rsidR="0086340B" w:rsidRPr="00A23EB5" w:rsidRDefault="0086340B" w:rsidP="005F1ED8">
            <w:pPr>
              <w:jc w:val="center"/>
              <w:rPr>
                <w:sz w:val="20"/>
                <w:szCs w:val="20"/>
                <w:lang w:val="fr-CA"/>
              </w:rPr>
            </w:pPr>
          </w:p>
          <w:p w:rsidR="0086340B" w:rsidRPr="00A23EB5" w:rsidRDefault="0086340B" w:rsidP="005F1ED8">
            <w:pPr>
              <w:jc w:val="center"/>
              <w:rPr>
                <w:sz w:val="20"/>
                <w:szCs w:val="20"/>
                <w:lang w:val="fr-CA"/>
              </w:rPr>
            </w:pPr>
          </w:p>
        </w:tc>
        <w:tc>
          <w:tcPr>
            <w:tcW w:w="2206" w:type="pct"/>
          </w:tcPr>
          <w:p w:rsidR="0086340B" w:rsidRPr="00A23EB5" w:rsidRDefault="0086340B" w:rsidP="005F1ED8">
            <w:pPr>
              <w:rPr>
                <w:sz w:val="20"/>
                <w:szCs w:val="20"/>
                <w:lang w:val="fr-CA"/>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A030C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A030C5" w:rsidRDefault="003050C3" w:rsidP="0052229C">
      <w:pPr>
        <w:rPr>
          <w:b/>
          <w:sz w:val="20"/>
          <w:szCs w:val="20"/>
          <w:lang w:val="en-US"/>
        </w:rPr>
      </w:pPr>
      <w:r w:rsidRPr="00A030C5">
        <w:rPr>
          <w:b/>
          <w:sz w:val="20"/>
          <w:szCs w:val="20"/>
          <w:lang w:val="en-US"/>
        </w:rPr>
        <w:t>SEPTEMBER</w:t>
      </w:r>
      <w:r w:rsidR="0052229C" w:rsidRPr="00A030C5">
        <w:rPr>
          <w:b/>
          <w:sz w:val="20"/>
          <w:szCs w:val="20"/>
          <w:lang w:val="en-US"/>
        </w:rPr>
        <w:t xml:space="preserve"> 1</w:t>
      </w:r>
      <w:r w:rsidRPr="00A030C5">
        <w:rPr>
          <w:b/>
          <w:sz w:val="20"/>
          <w:szCs w:val="20"/>
          <w:lang w:val="en-US"/>
        </w:rPr>
        <w:t>8</w:t>
      </w:r>
      <w:r w:rsidR="0052229C" w:rsidRPr="00A030C5">
        <w:rPr>
          <w:b/>
          <w:sz w:val="20"/>
          <w:szCs w:val="20"/>
          <w:lang w:val="en-US"/>
        </w:rPr>
        <w:t>, 201</w:t>
      </w:r>
      <w:r w:rsidRPr="00A030C5">
        <w:rPr>
          <w:b/>
          <w:sz w:val="20"/>
          <w:szCs w:val="20"/>
          <w:lang w:val="en-US"/>
        </w:rPr>
        <w:t>5 / LE 18 SEPTEMBRE 2015</w:t>
      </w:r>
    </w:p>
    <w:p w:rsidR="0052229C" w:rsidRPr="00A030C5" w:rsidRDefault="0052229C" w:rsidP="0052229C">
      <w:pPr>
        <w:rPr>
          <w:sz w:val="20"/>
          <w:szCs w:val="20"/>
          <w:lang w:val="en-US"/>
        </w:rPr>
      </w:pPr>
    </w:p>
    <w:p w:rsidR="0052229C" w:rsidRPr="00A030C5" w:rsidRDefault="000E27A5" w:rsidP="0052229C">
      <w:pPr>
        <w:ind w:left="1440" w:hanging="1440"/>
        <w:jc w:val="both"/>
        <w:rPr>
          <w:sz w:val="20"/>
          <w:lang w:val="en-US"/>
        </w:rPr>
      </w:pPr>
      <w:r w:rsidRPr="00202C5F">
        <w:rPr>
          <w:b/>
          <w:sz w:val="20"/>
        </w:rPr>
        <w:fldChar w:fldCharType="begin"/>
      </w:r>
      <w:r w:rsidR="0052229C" w:rsidRPr="003050C3">
        <w:rPr>
          <w:b/>
          <w:sz w:val="20"/>
          <w:lang w:val="en-US"/>
        </w:rPr>
        <w:instrText xml:space="preserve"> SEQ CHAPTER \h \r 1</w:instrText>
      </w:r>
      <w:r w:rsidRPr="00202C5F">
        <w:rPr>
          <w:b/>
          <w:sz w:val="20"/>
        </w:rPr>
        <w:fldChar w:fldCharType="end"/>
      </w:r>
      <w:r w:rsidR="0052229C" w:rsidRPr="003050C3">
        <w:rPr>
          <w:b/>
          <w:sz w:val="20"/>
          <w:lang w:val="en-US"/>
        </w:rPr>
        <w:t>3</w:t>
      </w:r>
      <w:r w:rsidR="003050C3" w:rsidRPr="003050C3">
        <w:rPr>
          <w:b/>
          <w:sz w:val="20"/>
          <w:lang w:val="en-US"/>
        </w:rPr>
        <w:t>5777</w:t>
      </w:r>
      <w:r w:rsidR="0052229C" w:rsidRPr="003050C3">
        <w:rPr>
          <w:sz w:val="20"/>
          <w:lang w:val="en-US"/>
        </w:rPr>
        <w:tab/>
      </w:r>
      <w:r w:rsidR="003050C3" w:rsidRPr="003050C3">
        <w:rPr>
          <w:b/>
          <w:sz w:val="20"/>
          <w:u w:val="single"/>
          <w:lang w:val="en-US"/>
        </w:rPr>
        <w:t>Stuart Olson Dominion Construction Ltd., formerly known as Dominion Construction Company Inc. v</w:t>
      </w:r>
      <w:r w:rsidR="0052229C" w:rsidRPr="003050C3">
        <w:rPr>
          <w:b/>
          <w:sz w:val="20"/>
          <w:u w:val="single"/>
          <w:lang w:val="en-US"/>
        </w:rPr>
        <w:t xml:space="preserve">. </w:t>
      </w:r>
      <w:r w:rsidR="003050C3" w:rsidRPr="003050C3">
        <w:rPr>
          <w:b/>
          <w:sz w:val="20"/>
          <w:u w:val="single"/>
          <w:lang w:val="en-US"/>
        </w:rPr>
        <w:t>Structal Heavy Steel, a division of Canam Group Inc.</w:t>
      </w:r>
      <w:r w:rsidR="0052229C" w:rsidRPr="003050C3">
        <w:rPr>
          <w:b/>
          <w:sz w:val="20"/>
          <w:lang w:val="en-US"/>
        </w:rPr>
        <w:t xml:space="preserve"> </w:t>
      </w:r>
      <w:r w:rsidR="0052229C" w:rsidRPr="00A030C5">
        <w:rPr>
          <w:iCs/>
          <w:sz w:val="20"/>
          <w:lang w:val="en-US"/>
        </w:rPr>
        <w:t>(</w:t>
      </w:r>
      <w:r w:rsidR="003050C3" w:rsidRPr="00A030C5">
        <w:rPr>
          <w:iCs/>
          <w:sz w:val="20"/>
          <w:lang w:val="en-US"/>
        </w:rPr>
        <w:t>Man.</w:t>
      </w:r>
      <w:r w:rsidR="0052229C" w:rsidRPr="00A030C5">
        <w:rPr>
          <w:iCs/>
          <w:sz w:val="20"/>
          <w:lang w:val="en-US"/>
        </w:rPr>
        <w:t>)</w:t>
      </w:r>
    </w:p>
    <w:p w:rsidR="0052229C" w:rsidRPr="00A030C5"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A030C5">
        <w:rPr>
          <w:b/>
          <w:sz w:val="20"/>
          <w:lang w:val="en-US"/>
        </w:rPr>
        <w:t>201</w:t>
      </w:r>
      <w:r w:rsidR="003050C3" w:rsidRPr="00A030C5">
        <w:rPr>
          <w:b/>
          <w:sz w:val="20"/>
          <w:lang w:val="en-US"/>
        </w:rPr>
        <w:t>5</w:t>
      </w:r>
      <w:r w:rsidRPr="00A030C5">
        <w:rPr>
          <w:b/>
          <w:sz w:val="20"/>
          <w:lang w:val="en-US"/>
        </w:rPr>
        <w:t xml:space="preserve"> SCC </w:t>
      </w:r>
      <w:r w:rsidR="003050C3" w:rsidRPr="00A030C5">
        <w:rPr>
          <w:b/>
          <w:sz w:val="20"/>
          <w:lang w:val="en-US"/>
        </w:rPr>
        <w:t>43</w:t>
      </w:r>
      <w:r w:rsidRPr="00A030C5">
        <w:rPr>
          <w:b/>
          <w:sz w:val="20"/>
          <w:lang w:val="en-US"/>
        </w:rPr>
        <w:t xml:space="preserve"> / 201</w:t>
      </w:r>
      <w:r w:rsidR="003050C3" w:rsidRPr="00A030C5">
        <w:rPr>
          <w:b/>
          <w:sz w:val="20"/>
          <w:lang w:val="en-US"/>
        </w:rPr>
        <w:t>5</w:t>
      </w:r>
      <w:r w:rsidRPr="00A030C5">
        <w:rPr>
          <w:b/>
          <w:sz w:val="20"/>
          <w:lang w:val="en-US"/>
        </w:rPr>
        <w:t xml:space="preserve"> CSC </w:t>
      </w:r>
      <w:r w:rsidR="003050C3" w:rsidRPr="00A030C5">
        <w:rPr>
          <w:b/>
          <w:sz w:val="20"/>
          <w:lang w:val="en-US"/>
        </w:rPr>
        <w:t>43</w:t>
      </w:r>
    </w:p>
    <w:p w:rsidR="0052229C" w:rsidRPr="00A030C5"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2229C" w:rsidRPr="003050C3" w:rsidRDefault="0052229C" w:rsidP="0052229C">
      <w:pPr>
        <w:ind w:left="1440" w:hanging="1440"/>
        <w:rPr>
          <w:sz w:val="20"/>
          <w:u w:val="single"/>
          <w:lang w:val="en-US"/>
        </w:rPr>
      </w:pPr>
      <w:r w:rsidRPr="003050C3">
        <w:rPr>
          <w:sz w:val="20"/>
          <w:lang w:val="en-US"/>
        </w:rPr>
        <w:t>Coram:</w:t>
      </w:r>
      <w:r w:rsidRPr="003050C3">
        <w:rPr>
          <w:sz w:val="20"/>
          <w:lang w:val="en-US"/>
        </w:rPr>
        <w:tab/>
      </w:r>
      <w:r w:rsidR="003050C3" w:rsidRPr="003050C3">
        <w:rPr>
          <w:sz w:val="20"/>
          <w:u w:val="single"/>
          <w:lang w:val="en-US"/>
        </w:rPr>
        <w:t>McLachlin C.J. and Rothstein, Cromwell, Moldaver, Wagner, Gascon and Côté JJ.</w:t>
      </w:r>
      <w:r w:rsidRPr="003050C3">
        <w:rPr>
          <w:sz w:val="20"/>
          <w:u w:val="single"/>
          <w:lang w:val="en-US"/>
        </w:rPr>
        <w:t xml:space="preserve"> </w:t>
      </w:r>
    </w:p>
    <w:p w:rsidR="0052229C" w:rsidRPr="003050C3" w:rsidRDefault="0052229C" w:rsidP="003050C3">
      <w:pPr>
        <w:ind w:left="1440" w:hanging="1440"/>
        <w:jc w:val="both"/>
        <w:rPr>
          <w:sz w:val="20"/>
          <w:szCs w:val="20"/>
          <w:u w:val="single"/>
          <w:lang w:val="en-US"/>
        </w:rPr>
      </w:pPr>
      <w:r w:rsidRPr="003050C3">
        <w:rPr>
          <w:sz w:val="20"/>
          <w:u w:val="single"/>
          <w:lang w:val="en-US"/>
        </w:rPr>
        <w:t xml:space="preserve"> </w:t>
      </w:r>
    </w:p>
    <w:p w:rsidR="003050C3" w:rsidRDefault="003050C3" w:rsidP="003050C3">
      <w:pPr>
        <w:jc w:val="both"/>
        <w:rPr>
          <w:sz w:val="20"/>
          <w:szCs w:val="20"/>
        </w:rPr>
      </w:pPr>
      <w:r w:rsidRPr="003050C3">
        <w:rPr>
          <w:sz w:val="20"/>
          <w:szCs w:val="20"/>
        </w:rPr>
        <w:t xml:space="preserve">The appeal from the judgment </w:t>
      </w:r>
      <w:bookmarkStart w:id="2" w:name="BM_1_"/>
      <w:bookmarkEnd w:id="2"/>
      <w:r w:rsidRPr="003050C3">
        <w:rPr>
          <w:sz w:val="20"/>
          <w:szCs w:val="20"/>
        </w:rPr>
        <w:t>of the Court of Appeal of Manitoba, Number AI 13-30-07942, 2014 MBCA 8, dated January 22, 2014, heard on January 19, 2015, is dismissed with costs.</w:t>
      </w:r>
    </w:p>
    <w:p w:rsidR="003050C3" w:rsidRPr="003050C3" w:rsidRDefault="003050C3" w:rsidP="003050C3">
      <w:pPr>
        <w:jc w:val="both"/>
        <w:rPr>
          <w:sz w:val="20"/>
          <w:szCs w:val="20"/>
        </w:rPr>
      </w:pPr>
    </w:p>
    <w:p w:rsidR="003050C3" w:rsidRPr="003050C3" w:rsidRDefault="003050C3" w:rsidP="003050C3">
      <w:pPr>
        <w:jc w:val="both"/>
        <w:rPr>
          <w:sz w:val="20"/>
          <w:szCs w:val="20"/>
          <w:lang w:val="fr-CA"/>
        </w:rPr>
      </w:pPr>
      <w:r w:rsidRPr="003050C3">
        <w:rPr>
          <w:sz w:val="20"/>
          <w:szCs w:val="20"/>
          <w:lang w:val="fr-CA"/>
        </w:rPr>
        <w:t>L’appel interjeté contre l’arrêt de la Cour d’appel du Manitoba, numéro AI 13-30-07942, 2014 MBCA 8, en date du 22 janvier 2014, entendu le 19 janvier 2015, est rejeté avec dépens.</w:t>
      </w:r>
    </w:p>
    <w:p w:rsidR="003050C3" w:rsidRDefault="003050C3" w:rsidP="0052229C">
      <w:pPr>
        <w:jc w:val="both"/>
        <w:rPr>
          <w:rFonts w:eastAsia="Calibri"/>
          <w:sz w:val="20"/>
          <w:lang w:val="fr-CA"/>
        </w:rPr>
      </w:pPr>
    </w:p>
    <w:p w:rsidR="0052229C" w:rsidRPr="003B3977" w:rsidRDefault="00EB0985" w:rsidP="0052229C">
      <w:pPr>
        <w:spacing w:line="0" w:lineRule="atLeast"/>
        <w:rPr>
          <w:sz w:val="20"/>
          <w:szCs w:val="20"/>
        </w:rPr>
      </w:pPr>
      <w:r>
        <w:rPr>
          <w:b/>
          <w:sz w:val="20"/>
          <w:szCs w:val="20"/>
        </w:rPr>
        <w:pict>
          <v:rect id="_x0000_i1064"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A030C5" w:rsidRDefault="00A030C5" w:rsidP="00A030C5">
      <w:pPr>
        <w:jc w:val="both"/>
        <w:rPr>
          <w:sz w:val="20"/>
          <w:szCs w:val="20"/>
          <w:lang w:val="en-US"/>
        </w:rPr>
      </w:pPr>
      <w:r w:rsidRPr="00A030C5">
        <w:rPr>
          <w:rFonts w:eastAsia="Calibri"/>
          <w:i/>
          <w:sz w:val="20"/>
          <w:szCs w:val="20"/>
        </w:rPr>
        <w:t xml:space="preserve">Stuart Olson Dominion Construction Ltd., </w:t>
      </w:r>
      <w:r w:rsidRPr="00A030C5">
        <w:rPr>
          <w:rFonts w:eastAsia="Calibri"/>
          <w:i/>
          <w:sz w:val="20"/>
          <w:szCs w:val="20"/>
          <w:lang w:val="en-US"/>
        </w:rPr>
        <w:t>formerly known as Dominion Construction Company Inc.</w:t>
      </w:r>
      <w:r>
        <w:rPr>
          <w:rFonts w:eastAsia="Calibri"/>
          <w:i/>
          <w:sz w:val="20"/>
          <w:szCs w:val="20"/>
          <w:lang w:val="en-US"/>
        </w:rPr>
        <w:t xml:space="preserve"> v</w:t>
      </w:r>
      <w:r w:rsidR="0052229C" w:rsidRPr="00A030C5">
        <w:rPr>
          <w:rFonts w:eastAsia="Calibri"/>
          <w:i/>
          <w:sz w:val="20"/>
          <w:szCs w:val="20"/>
          <w:lang w:val="en-US"/>
        </w:rPr>
        <w:t xml:space="preserve">. </w:t>
      </w:r>
      <w:r w:rsidRPr="00A030C5">
        <w:rPr>
          <w:rFonts w:eastAsia="Calibri"/>
          <w:i/>
          <w:sz w:val="20"/>
          <w:szCs w:val="20"/>
          <w:lang w:val="en-US"/>
        </w:rPr>
        <w:t>Structal Heavy Steel, a division of Canam Group Inc.</w:t>
      </w:r>
      <w:r w:rsidR="0052229C" w:rsidRPr="00A030C5">
        <w:rPr>
          <w:sz w:val="20"/>
          <w:szCs w:val="20"/>
          <w:lang w:val="en-US"/>
        </w:rPr>
        <w:t xml:space="preserve"> (</w:t>
      </w:r>
      <w:r>
        <w:rPr>
          <w:sz w:val="20"/>
          <w:szCs w:val="20"/>
          <w:lang w:val="en-US"/>
        </w:rPr>
        <w:t>Man.</w:t>
      </w:r>
      <w:r w:rsidR="0052229C" w:rsidRPr="00A030C5">
        <w:rPr>
          <w:sz w:val="20"/>
          <w:szCs w:val="20"/>
          <w:lang w:val="en-US"/>
        </w:rPr>
        <w:t>) (</w:t>
      </w:r>
      <w:hyperlink r:id="rId60" w:history="1">
        <w:r w:rsidR="0052229C" w:rsidRPr="00A030C5">
          <w:rPr>
            <w:rStyle w:val="Hyperlink"/>
            <w:sz w:val="20"/>
            <w:szCs w:val="20"/>
            <w:lang w:val="en-US"/>
          </w:rPr>
          <w:t>3</w:t>
        </w:r>
        <w:r>
          <w:rPr>
            <w:rStyle w:val="Hyperlink"/>
            <w:sz w:val="20"/>
            <w:szCs w:val="20"/>
            <w:lang w:val="en-US"/>
          </w:rPr>
          <w:t>5777</w:t>
        </w:r>
      </w:hyperlink>
      <w:r w:rsidR="0052229C" w:rsidRPr="00A030C5">
        <w:rPr>
          <w:sz w:val="20"/>
          <w:szCs w:val="20"/>
          <w:lang w:val="en-US"/>
        </w:rPr>
        <w:t>)</w:t>
      </w:r>
    </w:p>
    <w:p w:rsidR="00A030C5" w:rsidRPr="00A030C5" w:rsidRDefault="0052229C" w:rsidP="00A030C5">
      <w:pPr>
        <w:jc w:val="both"/>
        <w:rPr>
          <w:rFonts w:eastAsia="Times New Roman" w:cs="Times New Roman"/>
          <w:b/>
          <w:szCs w:val="20"/>
          <w:lang w:eastAsia="en-CA"/>
        </w:rPr>
      </w:pPr>
      <w:r w:rsidRPr="005A1E5C">
        <w:rPr>
          <w:b/>
          <w:sz w:val="20"/>
          <w:szCs w:val="20"/>
        </w:rPr>
        <w:t xml:space="preserve">Indexed as:  </w:t>
      </w:r>
      <w:r w:rsidR="00A030C5" w:rsidRPr="00A030C5">
        <w:rPr>
          <w:rStyle w:val="SCCAppellantForIndexChar"/>
          <w:rFonts w:eastAsiaTheme="minorHAnsi"/>
          <w:sz w:val="20"/>
          <w:lang w:val="en-CA"/>
        </w:rPr>
        <w:t xml:space="preserve">Stuart Olson Dominion Construction Ltd. </w:t>
      </w:r>
      <w:r w:rsidR="00A030C5" w:rsidRPr="00A030C5">
        <w:rPr>
          <w:rStyle w:val="SCCAppellantForIndexChar"/>
          <w:rFonts w:eastAsiaTheme="minorHAnsi"/>
          <w:i/>
          <w:sz w:val="20"/>
          <w:lang w:val="en-CA"/>
        </w:rPr>
        <w:t>v.</w:t>
      </w:r>
      <w:r w:rsidR="00A030C5" w:rsidRPr="00A030C5">
        <w:rPr>
          <w:rStyle w:val="SCCAppellantForIndexChar"/>
          <w:rFonts w:eastAsiaTheme="minorHAnsi"/>
          <w:sz w:val="20"/>
          <w:lang w:val="en-CA"/>
        </w:rPr>
        <w:t xml:space="preserve"> Structal Heavy Steel</w:t>
      </w:r>
    </w:p>
    <w:p w:rsidR="0052229C" w:rsidRPr="00A030C5" w:rsidRDefault="0052229C" w:rsidP="0052229C">
      <w:pPr>
        <w:pStyle w:val="SCCSystemYear"/>
        <w:jc w:val="both"/>
        <w:rPr>
          <w:sz w:val="20"/>
        </w:rPr>
      </w:pPr>
      <w:r w:rsidRPr="00A030C5">
        <w:rPr>
          <w:sz w:val="20"/>
        </w:rPr>
        <w:t>Neutral citation:  201</w:t>
      </w:r>
      <w:r w:rsidR="00020DC3" w:rsidRPr="00A030C5">
        <w:rPr>
          <w:sz w:val="20"/>
        </w:rPr>
        <w:t>5</w:t>
      </w:r>
      <w:r w:rsidRPr="00A030C5">
        <w:rPr>
          <w:sz w:val="20"/>
        </w:rPr>
        <w:t xml:space="preserve"> SCC </w:t>
      </w:r>
      <w:r w:rsidR="00A030C5" w:rsidRPr="00A030C5">
        <w:rPr>
          <w:sz w:val="20"/>
        </w:rPr>
        <w:t>43</w:t>
      </w:r>
      <w:r w:rsidRPr="00A030C5">
        <w:rPr>
          <w:sz w:val="20"/>
        </w:rPr>
        <w:t xml:space="preserve"> / Référence neutre : 201</w:t>
      </w:r>
      <w:r w:rsidR="00020DC3" w:rsidRPr="00A030C5">
        <w:rPr>
          <w:sz w:val="20"/>
        </w:rPr>
        <w:t>5</w:t>
      </w:r>
      <w:r w:rsidRPr="00A030C5">
        <w:rPr>
          <w:sz w:val="20"/>
        </w:rPr>
        <w:t xml:space="preserve"> CSC </w:t>
      </w:r>
      <w:r w:rsidR="00A030C5">
        <w:rPr>
          <w:sz w:val="20"/>
        </w:rPr>
        <w:t>43</w:t>
      </w:r>
    </w:p>
    <w:p w:rsidR="0052229C" w:rsidRPr="00A030C5" w:rsidRDefault="0052229C" w:rsidP="0052229C">
      <w:pPr>
        <w:rPr>
          <w:rFonts w:cs="Times New Roman"/>
          <w:sz w:val="20"/>
          <w:szCs w:val="20"/>
          <w:lang w:val="fr-CA"/>
        </w:rPr>
      </w:pPr>
      <w:r w:rsidRPr="00A030C5">
        <w:rPr>
          <w:rFonts w:cs="Times New Roman"/>
          <w:sz w:val="20"/>
          <w:szCs w:val="20"/>
          <w:lang w:val="fr-CA"/>
        </w:rPr>
        <w:t xml:space="preserve">Hearing:  </w:t>
      </w:r>
      <w:r w:rsidR="00A030C5" w:rsidRPr="00A030C5">
        <w:rPr>
          <w:rFonts w:cs="Times New Roman"/>
          <w:sz w:val="20"/>
          <w:szCs w:val="20"/>
          <w:lang w:val="fr-CA"/>
        </w:rPr>
        <w:t>January 19,</w:t>
      </w:r>
      <w:r w:rsidRPr="00A030C5">
        <w:rPr>
          <w:rFonts w:cs="Times New Roman"/>
          <w:sz w:val="20"/>
          <w:szCs w:val="20"/>
          <w:lang w:val="fr-CA"/>
        </w:rPr>
        <w:t xml:space="preserve"> 201</w:t>
      </w:r>
      <w:r w:rsidR="00A030C5" w:rsidRPr="00A030C5">
        <w:rPr>
          <w:rFonts w:cs="Times New Roman"/>
          <w:sz w:val="20"/>
          <w:szCs w:val="20"/>
          <w:lang w:val="fr-CA"/>
        </w:rPr>
        <w:t>5</w:t>
      </w:r>
      <w:r w:rsidRPr="00A030C5">
        <w:rPr>
          <w:rFonts w:cs="Times New Roman"/>
          <w:sz w:val="20"/>
          <w:szCs w:val="20"/>
          <w:lang w:val="fr-CA"/>
        </w:rPr>
        <w:t xml:space="preserve"> / Judgment:  </w:t>
      </w:r>
      <w:r w:rsidR="00A030C5" w:rsidRPr="00A030C5">
        <w:rPr>
          <w:rFonts w:cs="Times New Roman"/>
          <w:sz w:val="20"/>
          <w:szCs w:val="20"/>
          <w:lang w:val="fr-CA"/>
        </w:rPr>
        <w:t>September</w:t>
      </w:r>
      <w:r w:rsidRPr="00A030C5">
        <w:rPr>
          <w:rFonts w:cs="Times New Roman"/>
          <w:sz w:val="20"/>
          <w:szCs w:val="20"/>
          <w:lang w:val="fr-CA"/>
        </w:rPr>
        <w:t xml:space="preserve"> 1</w:t>
      </w:r>
      <w:r w:rsidR="00A030C5" w:rsidRPr="00A030C5">
        <w:rPr>
          <w:rFonts w:cs="Times New Roman"/>
          <w:sz w:val="20"/>
          <w:szCs w:val="20"/>
          <w:lang w:val="fr-CA"/>
        </w:rPr>
        <w:t>8</w:t>
      </w:r>
      <w:r w:rsidRPr="00A030C5">
        <w:rPr>
          <w:rFonts w:cs="Times New Roman"/>
          <w:sz w:val="20"/>
          <w:szCs w:val="20"/>
          <w:lang w:val="fr-CA"/>
        </w:rPr>
        <w:t>, 201</w:t>
      </w:r>
      <w:r w:rsidR="00020DC3" w:rsidRPr="00A030C5">
        <w:rPr>
          <w:rFonts w:cs="Times New Roman"/>
          <w:sz w:val="20"/>
          <w:szCs w:val="20"/>
          <w:lang w:val="fr-CA"/>
        </w:rPr>
        <w:t>5</w:t>
      </w:r>
    </w:p>
    <w:p w:rsidR="0052229C" w:rsidRPr="003B3977" w:rsidRDefault="0052229C" w:rsidP="0052229C">
      <w:pPr>
        <w:rPr>
          <w:rFonts w:cs="Times New Roman"/>
          <w:sz w:val="20"/>
          <w:szCs w:val="20"/>
          <w:lang w:val="fr-CA"/>
        </w:rPr>
      </w:pPr>
      <w:r w:rsidRPr="00A030C5">
        <w:rPr>
          <w:rFonts w:cs="Times New Roman"/>
          <w:sz w:val="20"/>
          <w:szCs w:val="20"/>
          <w:lang w:val="fr-CA"/>
        </w:rPr>
        <w:t xml:space="preserve">Audition : </w:t>
      </w:r>
      <w:r w:rsidRPr="003B3977">
        <w:rPr>
          <w:rFonts w:cs="Times New Roman"/>
          <w:sz w:val="20"/>
          <w:szCs w:val="20"/>
          <w:lang w:val="fr-CA"/>
        </w:rPr>
        <w:t xml:space="preserve">Le </w:t>
      </w:r>
      <w:r w:rsidR="00A030C5">
        <w:rPr>
          <w:rFonts w:cs="Times New Roman"/>
          <w:sz w:val="20"/>
          <w:szCs w:val="20"/>
          <w:lang w:val="fr-CA"/>
        </w:rPr>
        <w:t xml:space="preserve">19 janvier </w:t>
      </w:r>
      <w:r w:rsidRPr="003B3977">
        <w:rPr>
          <w:rFonts w:cs="Times New Roman"/>
          <w:sz w:val="20"/>
          <w:szCs w:val="20"/>
          <w:lang w:val="fr-CA"/>
        </w:rPr>
        <w:t>201</w:t>
      </w:r>
      <w:r w:rsidR="00A030C5">
        <w:rPr>
          <w:rFonts w:cs="Times New Roman"/>
          <w:sz w:val="20"/>
          <w:szCs w:val="20"/>
          <w:lang w:val="fr-CA"/>
        </w:rPr>
        <w:t>5</w:t>
      </w:r>
      <w:r w:rsidRPr="003B3977">
        <w:rPr>
          <w:rFonts w:cs="Times New Roman"/>
          <w:sz w:val="20"/>
          <w:szCs w:val="20"/>
          <w:lang w:val="fr-CA"/>
        </w:rPr>
        <w:t xml:space="preserve"> / Jugement : Le </w:t>
      </w:r>
      <w:r>
        <w:rPr>
          <w:rFonts w:cs="Times New Roman"/>
          <w:sz w:val="20"/>
          <w:szCs w:val="20"/>
          <w:lang w:val="fr-CA"/>
        </w:rPr>
        <w:t>1</w:t>
      </w:r>
      <w:r w:rsidR="00A030C5">
        <w:rPr>
          <w:rFonts w:cs="Times New Roman"/>
          <w:sz w:val="20"/>
          <w:szCs w:val="20"/>
          <w:lang w:val="fr-CA"/>
        </w:rPr>
        <w:t>8</w:t>
      </w:r>
      <w:r>
        <w:rPr>
          <w:rFonts w:cs="Times New Roman"/>
          <w:sz w:val="20"/>
          <w:szCs w:val="20"/>
          <w:lang w:val="fr-CA"/>
        </w:rPr>
        <w:t xml:space="preserve"> </w:t>
      </w:r>
      <w:r w:rsidR="00A030C5">
        <w:rPr>
          <w:rFonts w:cs="Times New Roman"/>
          <w:sz w:val="20"/>
          <w:szCs w:val="20"/>
          <w:lang w:val="fr-CA"/>
        </w:rPr>
        <w:t xml:space="preserve">septembre </w:t>
      </w:r>
      <w:r w:rsidRPr="003B3977">
        <w:rPr>
          <w:rFonts w:cs="Times New Roman"/>
          <w:sz w:val="20"/>
          <w:szCs w:val="20"/>
          <w:lang w:val="fr-CA"/>
        </w:rPr>
        <w:t>201</w:t>
      </w:r>
      <w:r w:rsidR="00020DC3">
        <w:rPr>
          <w:rFonts w:cs="Times New Roman"/>
          <w:sz w:val="20"/>
          <w:szCs w:val="20"/>
          <w:lang w:val="fr-CA"/>
        </w:rPr>
        <w:t>5</w:t>
      </w:r>
    </w:p>
    <w:p w:rsidR="005C6840" w:rsidRPr="003B3977" w:rsidRDefault="00EB0985" w:rsidP="005C6840">
      <w:pPr>
        <w:rPr>
          <w:rFonts w:cs="Times New Roman"/>
          <w:sz w:val="20"/>
          <w:szCs w:val="20"/>
          <w:lang w:val="fr-CA"/>
        </w:rPr>
      </w:pPr>
      <w:r>
        <w:rPr>
          <w:rFonts w:cs="Times New Roman"/>
          <w:i/>
          <w:sz w:val="20"/>
          <w:szCs w:val="20"/>
        </w:rPr>
        <w:pict>
          <v:rect id="_x0000_i1067"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2229C" w:rsidRPr="00A030C5" w:rsidRDefault="00A030C5" w:rsidP="0052229C">
      <w:pPr>
        <w:jc w:val="both"/>
        <w:rPr>
          <w:sz w:val="20"/>
          <w:szCs w:val="20"/>
          <w:lang w:val="en-US"/>
        </w:rPr>
      </w:pPr>
      <w:r w:rsidRPr="00A030C5">
        <w:rPr>
          <w:sz w:val="20"/>
          <w:szCs w:val="20"/>
          <w:lang w:val="en-US"/>
        </w:rPr>
        <w:t>Present: McLachlin C.J. and Rothstein, Cromwell, Moldaver, Wagner, Gascon and Côté JJ.</w:t>
      </w:r>
    </w:p>
    <w:p w:rsidR="0052229C" w:rsidRPr="00A030C5" w:rsidRDefault="0052229C" w:rsidP="00A030C5">
      <w:pPr>
        <w:jc w:val="both"/>
        <w:rPr>
          <w:smallCaps/>
          <w:sz w:val="20"/>
          <w:szCs w:val="20"/>
          <w:lang w:val="en-US"/>
        </w:rPr>
      </w:pPr>
    </w:p>
    <w:p w:rsidR="00A030C5" w:rsidRDefault="00A030C5" w:rsidP="00A030C5">
      <w:pPr>
        <w:pStyle w:val="SCCNormalDoubleSpacing"/>
        <w:spacing w:line="240" w:lineRule="auto"/>
        <w:rPr>
          <w:sz w:val="20"/>
        </w:rPr>
      </w:pPr>
      <w:r w:rsidRPr="00A030C5">
        <w:rPr>
          <w:sz w:val="20"/>
        </w:rPr>
        <w:tab/>
      </w:r>
      <w:r w:rsidRPr="00A030C5">
        <w:rPr>
          <w:i/>
          <w:sz w:val="20"/>
        </w:rPr>
        <w:t>Liens — Trusts — Relationship between lien and trust provisions in provincial legislation — By filing lien bond in court in order to vacate builder’s lien, has contractor satisfied its trust obligations with respect to subcontractors who have registered liens against land upon which construction work was being done? — The Builders’ Liens Act</w:t>
      </w:r>
      <w:r w:rsidRPr="00A030C5">
        <w:rPr>
          <w:sz w:val="20"/>
        </w:rPr>
        <w:t>, C.C.S.M. c. B91, ss. 4(1), 4(3), 55(2), 66.</w:t>
      </w:r>
    </w:p>
    <w:p w:rsidR="00A030C5" w:rsidRPr="00A030C5" w:rsidRDefault="00A030C5" w:rsidP="00A030C5">
      <w:pPr>
        <w:pStyle w:val="SCCNormalDoubleSpacing"/>
        <w:spacing w:line="240" w:lineRule="auto"/>
        <w:rPr>
          <w:sz w:val="20"/>
        </w:rPr>
      </w:pPr>
    </w:p>
    <w:p w:rsidR="00A030C5" w:rsidRDefault="00A030C5" w:rsidP="00A030C5">
      <w:pPr>
        <w:pStyle w:val="SCCNormalDoubleSpacing"/>
        <w:spacing w:line="240" w:lineRule="auto"/>
        <w:rPr>
          <w:sz w:val="20"/>
        </w:rPr>
      </w:pPr>
      <w:r w:rsidRPr="00A030C5">
        <w:rPr>
          <w:sz w:val="20"/>
        </w:rPr>
        <w:tab/>
        <w:t xml:space="preserve">D was the general contractor and S was its subcontractor in respect of structural steel work for a construction project. S filed a builder’s lien against the property upon which the construction work was being done. After filing a lien bond in the full amount of S’s lien claim, D brought an application in the Court of Queen’s Bench seeking a declaration that it had satisfied its trust obligations. S then filed its own motion requiring full payment of its past-due invoices, without deduction or set-off, upon D receiving the funds from the owner. The motion judge held that the security in the form of the lien bond extinguished the trust obligations of D pursuant to the Manitoba </w:t>
      </w:r>
      <w:r w:rsidRPr="00A030C5">
        <w:rPr>
          <w:i/>
          <w:sz w:val="20"/>
        </w:rPr>
        <w:t>Builders’ Liens Act</w:t>
      </w:r>
      <w:r w:rsidRPr="00A030C5">
        <w:rPr>
          <w:sz w:val="20"/>
        </w:rPr>
        <w:t>. The Court of Appeal overturned this holding and concluded that under the Act, subcontractors have two separate and distinct rights beyond the common law right to sue for breach of contract: the right to the statutory trust and the right to file a lien claim against the property.</w:t>
      </w:r>
    </w:p>
    <w:p w:rsidR="00A030C5" w:rsidRPr="00A030C5" w:rsidRDefault="00A030C5" w:rsidP="00A030C5">
      <w:pPr>
        <w:pStyle w:val="SCCNormalDoubleSpacing"/>
        <w:spacing w:line="240" w:lineRule="auto"/>
        <w:rPr>
          <w:sz w:val="20"/>
        </w:rPr>
      </w:pPr>
    </w:p>
    <w:p w:rsidR="00A030C5" w:rsidRDefault="00A030C5" w:rsidP="00A030C5">
      <w:pPr>
        <w:pStyle w:val="SCCNormalDoubleSpacing"/>
        <w:spacing w:line="240" w:lineRule="auto"/>
        <w:rPr>
          <w:sz w:val="20"/>
        </w:rPr>
      </w:pPr>
      <w:r w:rsidRPr="00A030C5">
        <w:rPr>
          <w:sz w:val="20"/>
        </w:rPr>
        <w:tab/>
      </w:r>
      <w:r w:rsidRPr="00A030C5">
        <w:rPr>
          <w:rStyle w:val="QuoteChar"/>
          <w:sz w:val="20"/>
        </w:rPr>
        <w:t>Held:</w:t>
      </w:r>
      <w:r w:rsidRPr="00A030C5">
        <w:rPr>
          <w:sz w:val="20"/>
        </w:rPr>
        <w:t xml:space="preserve"> The appeal should be dismissed.</w:t>
      </w:r>
    </w:p>
    <w:p w:rsidR="00A030C5" w:rsidRPr="00A030C5" w:rsidRDefault="00A030C5" w:rsidP="00A030C5">
      <w:pPr>
        <w:pStyle w:val="SCCNormalDoubleSpacing"/>
        <w:spacing w:line="240" w:lineRule="auto"/>
        <w:rPr>
          <w:sz w:val="20"/>
        </w:rPr>
      </w:pPr>
    </w:p>
    <w:p w:rsidR="00A030C5" w:rsidRDefault="00A030C5" w:rsidP="00A030C5">
      <w:pPr>
        <w:pStyle w:val="SCCNormalDoubleSpacing"/>
        <w:spacing w:line="240" w:lineRule="auto"/>
        <w:rPr>
          <w:sz w:val="20"/>
        </w:rPr>
      </w:pPr>
      <w:r w:rsidRPr="00A030C5">
        <w:rPr>
          <w:sz w:val="20"/>
        </w:rPr>
        <w:tab/>
        <w:t xml:space="preserve">Ensuring payment of contractors and subcontractors and encouraging liquidity in the flow of funds to them are both significant preoccupations in the construction industry. Construction liens and statutory trusts are statutory remedies which are found in provincial legislation to protect those who provide services or materials to a construction project. The Manitoba </w:t>
      </w:r>
      <w:r w:rsidRPr="00A030C5">
        <w:rPr>
          <w:i/>
          <w:sz w:val="20"/>
        </w:rPr>
        <w:t>Builders’ Liens Act</w:t>
      </w:r>
      <w:r w:rsidRPr="00A030C5">
        <w:rPr>
          <w:sz w:val="20"/>
        </w:rPr>
        <w:t xml:space="preserve"> is silent as to how these two statutory remedies interact. The text and context of the provisions, as well as the history of the Act, reveal that the trust and lien provisions are two separate remedies that exist independently and may be pursued concurrently under s. 66 of the Act. </w:t>
      </w:r>
    </w:p>
    <w:p w:rsidR="00A030C5" w:rsidRPr="00A030C5" w:rsidRDefault="00A030C5" w:rsidP="00A030C5">
      <w:pPr>
        <w:pStyle w:val="SCCNormalDoubleSpacing"/>
        <w:spacing w:line="240" w:lineRule="auto"/>
        <w:rPr>
          <w:sz w:val="20"/>
        </w:rPr>
      </w:pPr>
    </w:p>
    <w:p w:rsidR="00A030C5" w:rsidRDefault="00A030C5" w:rsidP="00A030C5">
      <w:pPr>
        <w:pStyle w:val="SCCNormalDoubleSpacing"/>
        <w:spacing w:line="240" w:lineRule="auto"/>
        <w:rPr>
          <w:sz w:val="20"/>
        </w:rPr>
      </w:pPr>
      <w:r w:rsidRPr="00A030C5">
        <w:rPr>
          <w:sz w:val="20"/>
        </w:rPr>
        <w:tab/>
        <w:t xml:space="preserve">The purpose of a lien is to create a charge against the land in favour of contractors, suppliers and workers who can prove their claims. The purpose of the statutory trust is to help assure that money payable by owners, contractors and subcontractors flows in a manner which is in accord with the contractual rights of those engaged in a building project and that it is not diverted out of the proper pipeline. Finding that a trust claim is extinguished by filing a lien bond would undermine this purpose. A lien bond merely secures a contractor’s or subcontractor’s lien claim rather than satisfying it through payment and it does not extinguish the owner’s or contractor’s obligations under the statutory trust. The filing of a lien bond has no effect on the existence and application of the trust remedy. This conclusion is consistent with s. 4(3) of the Act, which provides that the contractor is barred from diverting trust funds for its own use until all subcontractors “have been paid all amounts owing to them”. </w:t>
      </w:r>
    </w:p>
    <w:p w:rsidR="00A030C5" w:rsidRPr="00A030C5" w:rsidRDefault="00A030C5" w:rsidP="00A030C5">
      <w:pPr>
        <w:pStyle w:val="SCCNormalDoubleSpacing"/>
        <w:spacing w:line="240" w:lineRule="auto"/>
        <w:rPr>
          <w:sz w:val="20"/>
        </w:rPr>
      </w:pPr>
    </w:p>
    <w:p w:rsidR="00A030C5" w:rsidRDefault="00A030C5" w:rsidP="00A030C5">
      <w:pPr>
        <w:pStyle w:val="SCCNormalDoubleSpacing"/>
        <w:spacing w:line="240" w:lineRule="auto"/>
        <w:rPr>
          <w:sz w:val="20"/>
        </w:rPr>
      </w:pPr>
      <w:r w:rsidRPr="00A030C5">
        <w:rPr>
          <w:sz w:val="20"/>
        </w:rPr>
        <w:tab/>
        <w:t>There will never be a requirement for the owner, contractor, or subcontractor to pay the funds at issue to the claimant twice. To the extent that the lien and trust claims are for the same work, services, or materials, payment under the trust will eliminate the equivalent amount payable to satisfy the lien claim. In the present case, S acknowledges that, had D paid the trust monies into court, there could have been a reduction in the amount of the lien bond by an amount equivalent to the monies paid into court. D chose to provide security by way of a lien bond rather than payment of funds into court. It is true that it paid premiums for that bond which are not recoverable, but that is simply the cost of the security which it chose to provide. S will not receive double payment.</w:t>
      </w:r>
    </w:p>
    <w:p w:rsidR="00A030C5" w:rsidRPr="00A030C5" w:rsidRDefault="00A030C5" w:rsidP="00A030C5">
      <w:pPr>
        <w:pStyle w:val="SCCNormalDoubleSpacing"/>
        <w:spacing w:line="240" w:lineRule="auto"/>
        <w:rPr>
          <w:sz w:val="20"/>
        </w:rPr>
      </w:pPr>
    </w:p>
    <w:p w:rsidR="00A030C5" w:rsidRDefault="00A030C5" w:rsidP="00A030C5">
      <w:pPr>
        <w:tabs>
          <w:tab w:val="left" w:pos="1168"/>
        </w:tabs>
        <w:jc w:val="both"/>
        <w:rPr>
          <w:rFonts w:eastAsia="Times New Roman" w:cs="Times New Roman"/>
          <w:sz w:val="20"/>
          <w:szCs w:val="20"/>
          <w:lang w:eastAsia="en-CA"/>
        </w:rPr>
      </w:pPr>
      <w:r w:rsidRPr="00A030C5">
        <w:rPr>
          <w:rFonts w:eastAsia="Times New Roman" w:cs="Times New Roman"/>
          <w:sz w:val="20"/>
          <w:szCs w:val="20"/>
          <w:lang w:eastAsia="en-CA"/>
        </w:rPr>
        <w:lastRenderedPageBreak/>
        <w:tab/>
        <w:t>APPEAL from a judgment of the Manitoba Court of Appeal (MacInnes, Beard and Monnin JJ.A.), 2014 MBCA 8, 303 Man. R. (2d) 122, 29 C.L.R. (4th) 173, [2014] 4 W.W.R. 444, 600 W.A.C. 122, [2014] M.J. No. 14 (QL), 2014 CarswellMan 20 (WL Can.), setting aside in part a decision of Schulman J., 2013 MBQB 48, 289 Man. R. (2d) 194, [2013] 7 W.W.R. 359, [2013] M.J. No. 71 (QL), 2013 CarswellMan 81 (WL Can.). Appeal dismissed.</w:t>
      </w:r>
    </w:p>
    <w:p w:rsidR="00A030C5" w:rsidRPr="00A030C5" w:rsidRDefault="00A030C5" w:rsidP="00A030C5">
      <w:pPr>
        <w:tabs>
          <w:tab w:val="left" w:pos="1168"/>
        </w:tabs>
        <w:jc w:val="both"/>
        <w:rPr>
          <w:rFonts w:eastAsia="Times New Roman" w:cs="Times New Roman"/>
          <w:sz w:val="20"/>
          <w:szCs w:val="20"/>
          <w:lang w:eastAsia="en-CA"/>
        </w:rPr>
      </w:pPr>
    </w:p>
    <w:p w:rsidR="00A030C5" w:rsidRPr="00A030C5" w:rsidRDefault="00A030C5" w:rsidP="00A030C5">
      <w:pPr>
        <w:tabs>
          <w:tab w:val="left" w:pos="1168"/>
        </w:tabs>
        <w:jc w:val="both"/>
        <w:rPr>
          <w:rFonts w:eastAsia="Times New Roman" w:cs="Times New Roman"/>
          <w:i/>
          <w:sz w:val="20"/>
          <w:szCs w:val="20"/>
          <w:lang w:eastAsia="en-CA"/>
        </w:rPr>
      </w:pPr>
      <w:r w:rsidRPr="00A030C5">
        <w:rPr>
          <w:rFonts w:eastAsia="Times New Roman" w:cs="Times New Roman"/>
          <w:sz w:val="20"/>
          <w:szCs w:val="20"/>
          <w:lang w:eastAsia="en-CA"/>
        </w:rPr>
        <w:tab/>
      </w:r>
      <w:r w:rsidRPr="00A030C5">
        <w:rPr>
          <w:rFonts w:eastAsia="Times New Roman" w:cs="Times New Roman"/>
          <w:i/>
          <w:sz w:val="20"/>
          <w:szCs w:val="20"/>
          <w:lang w:eastAsia="en-CA"/>
        </w:rPr>
        <w:t>Dave Hill, Derek Olson and Michael Weinstein, for the appellant.</w:t>
      </w:r>
    </w:p>
    <w:p w:rsidR="00A030C5" w:rsidRPr="00A030C5" w:rsidRDefault="00A030C5" w:rsidP="00A030C5">
      <w:pPr>
        <w:tabs>
          <w:tab w:val="left" w:pos="1168"/>
        </w:tabs>
        <w:jc w:val="both"/>
        <w:rPr>
          <w:rFonts w:eastAsia="Times New Roman" w:cs="Times New Roman"/>
          <w:i/>
          <w:sz w:val="20"/>
          <w:szCs w:val="20"/>
          <w:lang w:eastAsia="en-CA"/>
        </w:rPr>
      </w:pPr>
    </w:p>
    <w:p w:rsidR="00A030C5" w:rsidRPr="00A030C5" w:rsidRDefault="00A030C5" w:rsidP="00A030C5">
      <w:pPr>
        <w:tabs>
          <w:tab w:val="left" w:pos="1168"/>
        </w:tabs>
        <w:jc w:val="both"/>
        <w:rPr>
          <w:rFonts w:eastAsia="Times New Roman" w:cs="Times New Roman"/>
          <w:i/>
          <w:sz w:val="20"/>
          <w:szCs w:val="20"/>
          <w:lang w:eastAsia="en-CA"/>
        </w:rPr>
      </w:pPr>
      <w:r w:rsidRPr="00A030C5">
        <w:rPr>
          <w:rFonts w:eastAsia="Times New Roman" w:cs="Times New Roman"/>
          <w:i/>
          <w:sz w:val="20"/>
          <w:szCs w:val="20"/>
          <w:lang w:eastAsia="en-CA"/>
        </w:rPr>
        <w:tab/>
        <w:t>Kevin T. Williams and Kyla A. Pedersen, for the respondent.</w:t>
      </w:r>
    </w:p>
    <w:p w:rsidR="00A030C5" w:rsidRPr="00A030C5" w:rsidRDefault="00A030C5" w:rsidP="00A030C5">
      <w:pPr>
        <w:tabs>
          <w:tab w:val="left" w:pos="1168"/>
        </w:tabs>
        <w:jc w:val="both"/>
        <w:rPr>
          <w:rFonts w:eastAsia="Times New Roman" w:cs="Times New Roman"/>
          <w:i/>
          <w:sz w:val="20"/>
          <w:szCs w:val="20"/>
          <w:lang w:eastAsia="en-CA"/>
        </w:rPr>
      </w:pPr>
    </w:p>
    <w:p w:rsidR="00A030C5" w:rsidRPr="00A030C5" w:rsidRDefault="00A030C5" w:rsidP="00A030C5">
      <w:pPr>
        <w:tabs>
          <w:tab w:val="left" w:pos="1168"/>
        </w:tabs>
        <w:jc w:val="both"/>
        <w:rPr>
          <w:rFonts w:eastAsia="Times New Roman" w:cs="Times New Roman"/>
          <w:i/>
          <w:sz w:val="20"/>
          <w:szCs w:val="20"/>
          <w:lang w:eastAsia="en-CA"/>
        </w:rPr>
      </w:pPr>
      <w:r w:rsidRPr="00A030C5">
        <w:rPr>
          <w:rFonts w:eastAsia="Times New Roman" w:cs="Times New Roman"/>
          <w:i/>
          <w:sz w:val="20"/>
          <w:szCs w:val="20"/>
          <w:lang w:eastAsia="en-CA"/>
        </w:rPr>
        <w:tab/>
        <w:t>Solicitors for the appellant: Hill Sokalski Walsh Trippier, Winnipeg.</w:t>
      </w:r>
    </w:p>
    <w:p w:rsidR="00A030C5" w:rsidRPr="00A030C5" w:rsidRDefault="00A030C5" w:rsidP="00A030C5">
      <w:pPr>
        <w:tabs>
          <w:tab w:val="left" w:pos="1168"/>
        </w:tabs>
        <w:jc w:val="both"/>
        <w:rPr>
          <w:rFonts w:eastAsia="Times New Roman" w:cs="Times New Roman"/>
          <w:i/>
          <w:sz w:val="20"/>
          <w:szCs w:val="20"/>
          <w:lang w:eastAsia="en-CA"/>
        </w:rPr>
      </w:pPr>
    </w:p>
    <w:p w:rsidR="00A030C5" w:rsidRPr="00A030C5" w:rsidRDefault="00A030C5" w:rsidP="00A030C5">
      <w:pPr>
        <w:tabs>
          <w:tab w:val="left" w:pos="1168"/>
        </w:tabs>
        <w:jc w:val="both"/>
        <w:rPr>
          <w:i/>
          <w:smallCaps/>
          <w:sz w:val="20"/>
          <w:szCs w:val="20"/>
          <w:lang w:val="en-US"/>
        </w:rPr>
      </w:pPr>
      <w:r w:rsidRPr="00A030C5">
        <w:rPr>
          <w:rFonts w:eastAsia="Times New Roman" w:cs="Times New Roman"/>
          <w:i/>
          <w:sz w:val="20"/>
          <w:szCs w:val="20"/>
          <w:lang w:eastAsia="en-CA"/>
        </w:rPr>
        <w:tab/>
        <w:t>Solicitors for the respondent: Taylor McCaffrey, Winnipeg.</w:t>
      </w:r>
    </w:p>
    <w:p w:rsidR="0052229C" w:rsidRPr="00A030C5" w:rsidRDefault="0052229C" w:rsidP="0052229C">
      <w:pPr>
        <w:rPr>
          <w:rFonts w:cs="Times New Roman"/>
          <w:sz w:val="20"/>
          <w:szCs w:val="20"/>
          <w:lang w:val="fr-CA"/>
        </w:rPr>
      </w:pPr>
      <w:r w:rsidRPr="00A030C5">
        <w:rPr>
          <w:rFonts w:cs="Times New Roman"/>
          <w:sz w:val="20"/>
          <w:szCs w:val="20"/>
          <w:lang w:val="fr-CA"/>
        </w:rPr>
        <w:t>________________________</w:t>
      </w:r>
    </w:p>
    <w:p w:rsidR="0052229C" w:rsidRPr="00A030C5" w:rsidRDefault="0052229C" w:rsidP="0052229C">
      <w:pPr>
        <w:rPr>
          <w:rFonts w:cs="Times New Roman"/>
          <w:sz w:val="20"/>
          <w:szCs w:val="20"/>
          <w:lang w:val="fr-CA"/>
        </w:rPr>
      </w:pPr>
    </w:p>
    <w:p w:rsidR="0052229C" w:rsidRPr="00A030C5" w:rsidRDefault="00A030C5" w:rsidP="00A030C5">
      <w:pPr>
        <w:pStyle w:val="SCCLowerCourtNameLowercase"/>
        <w:spacing w:line="240" w:lineRule="auto"/>
        <w:rPr>
          <w:rFonts w:eastAsiaTheme="minorHAnsi" w:cstheme="minorBidi"/>
          <w:smallCaps w:val="0"/>
          <w:sz w:val="20"/>
          <w:lang w:val="fr-CA" w:eastAsia="en-US"/>
        </w:rPr>
      </w:pPr>
      <w:r w:rsidRPr="00A030C5">
        <w:rPr>
          <w:rFonts w:eastAsiaTheme="minorHAnsi" w:cstheme="minorBidi"/>
          <w:smallCaps w:val="0"/>
          <w:sz w:val="20"/>
          <w:lang w:val="fr-CA" w:eastAsia="en-US"/>
        </w:rPr>
        <w:t>Présents : La juge en chef McLachlin et les juges Rothstein, Cromwell, Moldaver, Wagner, Gascon et Côté.</w:t>
      </w:r>
    </w:p>
    <w:p w:rsidR="00A030C5" w:rsidRPr="00A030C5" w:rsidRDefault="00A030C5" w:rsidP="00A030C5">
      <w:pPr>
        <w:pStyle w:val="SCCNormalDoubleSpacing"/>
        <w:spacing w:line="240" w:lineRule="auto"/>
        <w:rPr>
          <w:sz w:val="20"/>
          <w:lang w:val="fr-CA" w:eastAsia="en-US"/>
        </w:rPr>
      </w:pPr>
    </w:p>
    <w:p w:rsidR="00A030C5" w:rsidRDefault="00A030C5" w:rsidP="00A030C5">
      <w:pPr>
        <w:pStyle w:val="SCCNormalDoubleSpacing"/>
        <w:spacing w:line="240" w:lineRule="auto"/>
        <w:rPr>
          <w:sz w:val="20"/>
          <w:lang w:val="fr-CA"/>
        </w:rPr>
      </w:pPr>
      <w:r w:rsidRPr="00A030C5">
        <w:rPr>
          <w:sz w:val="20"/>
          <w:lang w:val="fr-CA"/>
        </w:rPr>
        <w:tab/>
      </w:r>
      <w:r w:rsidRPr="00A030C5">
        <w:rPr>
          <w:i/>
          <w:sz w:val="20"/>
          <w:lang w:val="fr-CA"/>
        </w:rPr>
        <w:t>Privilèges — Fiducies — Rapport entre les dispositions relatives aux privilèges et celles relatives aux obligations fiduciaires dans une loi provinciale — Est</w:t>
      </w:r>
      <w:r w:rsidRPr="00A030C5">
        <w:rPr>
          <w:i/>
          <w:sz w:val="20"/>
          <w:lang w:val="fr-CA"/>
        </w:rPr>
        <w:noBreakHyphen/>
        <w:t>ce que l’entrepreneur qui a déposé un cautionnement au tribunal afin d’annuler le privilège d’un constructeur s’est acquitté de ses obligations fiduciaires envers les sous</w:t>
      </w:r>
      <w:r w:rsidRPr="00A030C5">
        <w:rPr>
          <w:i/>
          <w:sz w:val="20"/>
          <w:lang w:val="fr-CA"/>
        </w:rPr>
        <w:noBreakHyphen/>
        <w:t>traitants qui ont enregistré des privilèges à l’égard du bien</w:t>
      </w:r>
      <w:r w:rsidRPr="00A030C5">
        <w:rPr>
          <w:i/>
          <w:sz w:val="20"/>
          <w:lang w:val="fr-CA"/>
        </w:rPr>
        <w:noBreakHyphen/>
        <w:t>fonds ayant fait l’objet de travaux de construction? — Loi sur le privilège du constructeur</w:t>
      </w:r>
      <w:r w:rsidRPr="00A030C5">
        <w:rPr>
          <w:sz w:val="20"/>
          <w:lang w:val="fr-CA"/>
        </w:rPr>
        <w:t>, C.P.L.M. c. B91, art. 4(1), 4(3), 55(2), 66.</w:t>
      </w:r>
    </w:p>
    <w:p w:rsidR="00A030C5" w:rsidRPr="00A030C5" w:rsidRDefault="00A030C5" w:rsidP="00A030C5">
      <w:pPr>
        <w:pStyle w:val="SCCNormalDoubleSpacing"/>
        <w:spacing w:line="240" w:lineRule="auto"/>
        <w:rPr>
          <w:sz w:val="20"/>
          <w:lang w:val="fr-CA"/>
        </w:rPr>
      </w:pPr>
    </w:p>
    <w:p w:rsidR="00A030C5" w:rsidRDefault="00A030C5" w:rsidP="00A030C5">
      <w:pPr>
        <w:pStyle w:val="SCCNormalDoubleSpacing"/>
        <w:spacing w:line="240" w:lineRule="auto"/>
        <w:rPr>
          <w:sz w:val="20"/>
          <w:lang w:val="fr-CA"/>
        </w:rPr>
      </w:pPr>
      <w:r w:rsidRPr="00A030C5">
        <w:rPr>
          <w:sz w:val="20"/>
          <w:lang w:val="fr-CA"/>
        </w:rPr>
        <w:tab/>
        <w:t xml:space="preserve">D était l’entrepreneur général chargé d’un projet de construction et S agissait comme sous-traitant de D à l’égard des structures métalliques requises par ce projet. S a enregistré un privilège du constructeur visant la propriété faisant l’objet des travaux de construction. Après avoir déposé un cautionnement correspondant au montant intégral de la réclamation de privilège de S, D a demandé à la Cour du Banc de la Reine du Manitoba un jugement déclarant qu’elle avait rempli ses obligations fiduciaires. S a ensuite déposé sa propre requête et exigé le paiement intégral de ses factures en souffrance, sur réception par D des fonds de la propriétaire, sans qu’il soit procédé à quelque déduction ou compensation. Le juge des requêtes a statué que le dépôt du cautionnement tenant lieu du privilège avait éteint les obligations fiduciaires auxquelles D était tenue en vertu de la </w:t>
      </w:r>
      <w:r w:rsidRPr="00A030C5">
        <w:rPr>
          <w:i/>
          <w:sz w:val="20"/>
          <w:lang w:val="fr-CA"/>
        </w:rPr>
        <w:t>Loi sur le privilège du constructeur</w:t>
      </w:r>
      <w:r w:rsidRPr="00A030C5">
        <w:rPr>
          <w:sz w:val="20"/>
          <w:lang w:val="fr-CA"/>
        </w:rPr>
        <w:t xml:space="preserve"> du Manitoba. La Cour d’appel a infirmé cette conclusion et jugé que la Loi confère aux sous</w:t>
      </w:r>
      <w:r w:rsidRPr="00A030C5">
        <w:rPr>
          <w:sz w:val="20"/>
          <w:lang w:val="fr-CA"/>
        </w:rPr>
        <w:noBreakHyphen/>
        <w:t>traitants deux droits distincts, en plus de celui que leur reconnaît la common law d’intenter des poursuites pour rupture de contrat : le droit découlant de la fiducie légale et celui de déposer une réclamation de privilège visant la propriété.</w:t>
      </w:r>
    </w:p>
    <w:p w:rsidR="00A030C5" w:rsidRPr="00A030C5" w:rsidRDefault="00A030C5" w:rsidP="00A030C5">
      <w:pPr>
        <w:pStyle w:val="SCCNormalDoubleSpacing"/>
        <w:spacing w:line="240" w:lineRule="auto"/>
        <w:rPr>
          <w:sz w:val="20"/>
          <w:lang w:val="fr-CA"/>
        </w:rPr>
      </w:pPr>
    </w:p>
    <w:p w:rsidR="00A030C5" w:rsidRDefault="00A030C5" w:rsidP="00A030C5">
      <w:pPr>
        <w:pStyle w:val="SCCNormalDoubleSpacing"/>
        <w:spacing w:line="240" w:lineRule="auto"/>
        <w:rPr>
          <w:sz w:val="20"/>
          <w:lang w:val="fr-CA"/>
        </w:rPr>
      </w:pPr>
      <w:r w:rsidRPr="00A030C5">
        <w:rPr>
          <w:sz w:val="20"/>
          <w:lang w:val="fr-CA"/>
        </w:rPr>
        <w:tab/>
      </w:r>
      <w:r w:rsidRPr="00A030C5">
        <w:rPr>
          <w:rStyle w:val="QuoteChar"/>
          <w:sz w:val="20"/>
          <w:lang w:val="fr-CA"/>
        </w:rPr>
        <w:t>Arrêt</w:t>
      </w:r>
      <w:r w:rsidRPr="00A030C5">
        <w:rPr>
          <w:sz w:val="20"/>
          <w:lang w:val="fr-CA"/>
        </w:rPr>
        <w:t> : Le pourvoi est rejeté.</w:t>
      </w:r>
    </w:p>
    <w:p w:rsidR="00A030C5" w:rsidRPr="00A030C5" w:rsidRDefault="00A030C5" w:rsidP="00A030C5">
      <w:pPr>
        <w:pStyle w:val="SCCNormalDoubleSpacing"/>
        <w:spacing w:line="240" w:lineRule="auto"/>
        <w:rPr>
          <w:sz w:val="20"/>
          <w:lang w:val="fr-CA"/>
        </w:rPr>
      </w:pPr>
    </w:p>
    <w:p w:rsidR="00A030C5" w:rsidRDefault="00A030C5" w:rsidP="00A030C5">
      <w:pPr>
        <w:pStyle w:val="SCCNormalDoubleSpacing"/>
        <w:spacing w:line="240" w:lineRule="auto"/>
        <w:rPr>
          <w:sz w:val="20"/>
          <w:lang w:val="fr-CA"/>
        </w:rPr>
      </w:pPr>
      <w:r w:rsidRPr="00A030C5">
        <w:rPr>
          <w:sz w:val="20"/>
          <w:lang w:val="fr-CA"/>
        </w:rPr>
        <w:tab/>
        <w:t>Assurer le paiement des entrepreneurs et des sous</w:t>
      </w:r>
      <w:r w:rsidRPr="00A030C5">
        <w:rPr>
          <w:sz w:val="20"/>
          <w:lang w:val="fr-CA"/>
        </w:rPr>
        <w:noBreakHyphen/>
        <w:t xml:space="preserve">traitants et faciliter le flux régulier des fonds qui leur sont destinés constituent deux préoccupations importantes dans l’industrie de la construction. Les privilèges de la construction et les fiducies légales sont des recours d’origine législative prévus par les lois provinciales afin de protéger ceux qui fournissent des services ou des matériaux dans le cadre d’un projet de construction. La </w:t>
      </w:r>
      <w:r w:rsidRPr="00A030C5">
        <w:rPr>
          <w:i/>
          <w:sz w:val="20"/>
          <w:lang w:val="fr-CA"/>
        </w:rPr>
        <w:t>Loi sur le privilège du constructeur</w:t>
      </w:r>
      <w:r w:rsidRPr="00A030C5">
        <w:rPr>
          <w:sz w:val="20"/>
          <w:lang w:val="fr-CA"/>
        </w:rPr>
        <w:t xml:space="preserve"> du Manitoba est muette sur l’interaction entre ces deux recours d’origine législative. Le texte et le contexte des dispositions pertinentes, ainsi que l’historique de la Loi, révèlent que les dispositions relatives aux obligations fiduciaires et celles relatives aux privilèges créent deux recours distincts qui existent indépendamment l’un de l’autre et qui, suivant l’art. 66 de la Loi, peuvent être exercés simultanément. </w:t>
      </w:r>
    </w:p>
    <w:p w:rsidR="00A030C5" w:rsidRPr="00A030C5" w:rsidRDefault="00A030C5" w:rsidP="00A030C5">
      <w:pPr>
        <w:pStyle w:val="SCCNormalDoubleSpacing"/>
        <w:spacing w:line="240" w:lineRule="auto"/>
        <w:rPr>
          <w:sz w:val="20"/>
          <w:lang w:val="fr-CA"/>
        </w:rPr>
      </w:pPr>
    </w:p>
    <w:p w:rsidR="00A030C5" w:rsidRDefault="00A030C5" w:rsidP="00A030C5">
      <w:pPr>
        <w:pStyle w:val="SCCNormalDoubleSpacing"/>
        <w:spacing w:line="240" w:lineRule="auto"/>
        <w:rPr>
          <w:sz w:val="20"/>
          <w:lang w:val="fr-CA"/>
        </w:rPr>
      </w:pPr>
      <w:r w:rsidRPr="00A030C5">
        <w:rPr>
          <w:sz w:val="20"/>
          <w:lang w:val="fr-CA"/>
        </w:rPr>
        <w:tab/>
        <w:t>L’objet d’un privilège consiste à grever un bien</w:t>
      </w:r>
      <w:r w:rsidRPr="00A030C5">
        <w:rPr>
          <w:sz w:val="20"/>
          <w:lang w:val="fr-CA"/>
        </w:rPr>
        <w:noBreakHyphen/>
        <w:t>fonds de charges en faveur des entrepreneurs, fournisseurs et ouvriers qui sont en mesure de prouver le bien</w:t>
      </w:r>
      <w:r w:rsidRPr="00A030C5">
        <w:rPr>
          <w:sz w:val="20"/>
          <w:lang w:val="fr-CA"/>
        </w:rPr>
        <w:noBreakHyphen/>
        <w:t>fondé de leurs réclamations. La fiducie légale vise pour sa part à assurer le flux régulier des sommes payables par les propriétaires, les entrepreneurs et les sous</w:t>
      </w:r>
      <w:r w:rsidRPr="00A030C5">
        <w:rPr>
          <w:sz w:val="20"/>
          <w:lang w:val="fr-CA"/>
        </w:rPr>
        <w:noBreakHyphen/>
        <w:t>traitants conformément aux droits contractuels des participants à un projet de construction, et à faire en sorte que ces sommes ne soient pas détournées de la filière appropriée. Conclure qu’une réclamation fondée sur des obligations fiduciaires est éteinte par le dépôt d’un cautionnement tenant lieu d’un privilège irait à l’encontre de cet objectif. Un cautionnement tenant lieu de privilège protège simplement la réclamation de privilège d’un entrepreneur ou d’un sous</w:t>
      </w:r>
      <w:r w:rsidRPr="00A030C5">
        <w:rPr>
          <w:sz w:val="20"/>
          <w:lang w:val="fr-CA"/>
        </w:rPr>
        <w:noBreakHyphen/>
        <w:t xml:space="preserve">traitant et ne constitue pas le paiement de cette réclamation, et il n’a pas pour effet d’éteindre les obligations qu’impose la fiducie légale au propriétaire ou à l’entrepreneur. Le dépôt d’un cautionnement tenant lieu d’un privilège n’a aucun effet sur l’existence et l’application du recours fondé sur des obligations fiduciaires. Cette conclusion est conforme au par. 4(3) de la Loi, </w:t>
      </w:r>
      <w:r w:rsidRPr="00A030C5">
        <w:rPr>
          <w:sz w:val="20"/>
          <w:lang w:val="fr-CA"/>
        </w:rPr>
        <w:lastRenderedPageBreak/>
        <w:t>lequel interdit à l’entrepreneur d’affecter des fonds détenus en fiducie à son usage personnel tant qu’il n’a pas « payé à tous les sous</w:t>
      </w:r>
      <w:r w:rsidRPr="00A030C5">
        <w:rPr>
          <w:sz w:val="20"/>
          <w:lang w:val="fr-CA"/>
        </w:rPr>
        <w:noBreakHyphen/>
        <w:t xml:space="preserve">traitants [. . .] tous les montants qui leur sont dus ». </w:t>
      </w:r>
    </w:p>
    <w:p w:rsidR="00A030C5" w:rsidRPr="00A030C5" w:rsidRDefault="00A030C5" w:rsidP="00A030C5">
      <w:pPr>
        <w:pStyle w:val="SCCNormalDoubleSpacing"/>
        <w:spacing w:line="240" w:lineRule="auto"/>
        <w:rPr>
          <w:sz w:val="20"/>
          <w:lang w:val="fr-CA"/>
        </w:rPr>
      </w:pPr>
    </w:p>
    <w:p w:rsidR="00A030C5" w:rsidRDefault="00A030C5" w:rsidP="00A030C5">
      <w:pPr>
        <w:pStyle w:val="SCCNormalDoubleSpacing"/>
        <w:spacing w:line="240" w:lineRule="auto"/>
        <w:rPr>
          <w:sz w:val="20"/>
          <w:lang w:val="fr-CA"/>
        </w:rPr>
      </w:pPr>
      <w:r w:rsidRPr="00A030C5">
        <w:rPr>
          <w:sz w:val="20"/>
          <w:lang w:val="fr-CA"/>
        </w:rPr>
        <w:tab/>
        <w:t>Les propriétaires, entrepreneurs ou sous</w:t>
      </w:r>
      <w:r w:rsidRPr="00A030C5">
        <w:rPr>
          <w:sz w:val="20"/>
          <w:lang w:val="fr-CA"/>
        </w:rPr>
        <w:noBreakHyphen/>
        <w:t>traitants ne sont jamais tenus de verser deux fois des fonds litigieux au réclamant. Dans la mesure où une réclamation fondée sur un privilège et une réclamation basée sur des obligations fiduciaires se rapportent aux mêmes travaux, services ou matériaux, un paiement effectué au titre des obligations fiduciaires réduira d’une somme équivalente le montant payable pour acquitter la réclamation de privilège. En l’espèce, S reconnaît que, si D avait déposé les fonds en fiducie au tribunal, le cautionnement tenant lieu de privilège aurait pu être réduit d’une somme équivalente à ces fonds. D a choisi de fournir une garantie au moyen d’un cautionnement tenant lieu de privilège plutôt qu’en déposant des fonds au tribunal. Il est vrai que l’entreprise a payé à l’égard de ce cautionnement des primes qui ne sont pas recouvrables, mais il s’agit là simplement du coût de la garantie qu’elle a choisi de fournir. S ne sera pas payée en double.</w:t>
      </w:r>
    </w:p>
    <w:p w:rsidR="00A030C5" w:rsidRPr="00A030C5" w:rsidRDefault="00A030C5" w:rsidP="00A030C5">
      <w:pPr>
        <w:pStyle w:val="SCCNormalDoubleSpacing"/>
        <w:spacing w:line="240" w:lineRule="auto"/>
        <w:rPr>
          <w:sz w:val="20"/>
          <w:lang w:val="fr-CA"/>
        </w:rPr>
      </w:pPr>
    </w:p>
    <w:p w:rsidR="00A030C5" w:rsidRDefault="00A030C5" w:rsidP="00A030C5">
      <w:pPr>
        <w:tabs>
          <w:tab w:val="left" w:pos="1168"/>
        </w:tabs>
        <w:jc w:val="both"/>
        <w:rPr>
          <w:rFonts w:eastAsia="Times New Roman" w:cs="Times New Roman"/>
          <w:sz w:val="20"/>
          <w:szCs w:val="20"/>
          <w:lang w:val="fr-CA" w:eastAsia="en-CA"/>
        </w:rPr>
      </w:pPr>
      <w:r w:rsidRPr="00A030C5">
        <w:rPr>
          <w:rFonts w:eastAsia="Times New Roman" w:cs="Times New Roman"/>
          <w:sz w:val="20"/>
          <w:szCs w:val="20"/>
          <w:lang w:val="en-US" w:eastAsia="en-CA"/>
        </w:rPr>
        <w:tab/>
      </w:r>
      <w:r w:rsidRPr="00A030C5">
        <w:rPr>
          <w:rFonts w:eastAsia="Times New Roman" w:cs="Times New Roman"/>
          <w:sz w:val="20"/>
          <w:szCs w:val="20"/>
          <w:lang w:val="fr-CA" w:eastAsia="en-CA"/>
        </w:rPr>
        <w:t>POURVOI contre un arrêt de la Cour d’appel du Manitoba (les juges MacInnes, Beard et Monnin), 2014 MBCA 8, 303 Man. R. (2d) 122, 29 C.L.R. (4th) 173, [2014] 4 W.W.R. 444, 600 W.A.C. 122, [2014] M.J. No. 14 (QL), 2014 CarswellMan 20 (WL Can.), qui a infirmé en partie une décision du juge Schulman, 2013 MBQB 48, 289 Man. R. (2d) 194, [2013] 7 W.W.R. 359, [2013] M.J. No. 71 (QL), 2013 CarswellMan 81 (WL Can.). Pourvoi rejeté.</w:t>
      </w:r>
    </w:p>
    <w:p w:rsidR="00A030C5" w:rsidRPr="00A030C5" w:rsidRDefault="00A030C5" w:rsidP="00A030C5">
      <w:pPr>
        <w:tabs>
          <w:tab w:val="left" w:pos="1168"/>
        </w:tabs>
        <w:jc w:val="both"/>
        <w:rPr>
          <w:rFonts w:eastAsia="Times New Roman" w:cs="Times New Roman"/>
          <w:sz w:val="20"/>
          <w:szCs w:val="20"/>
          <w:lang w:val="fr-CA" w:eastAsia="en-CA"/>
        </w:rPr>
      </w:pPr>
    </w:p>
    <w:p w:rsidR="00A030C5" w:rsidRDefault="00A030C5" w:rsidP="00A030C5">
      <w:pPr>
        <w:tabs>
          <w:tab w:val="left" w:pos="1168"/>
        </w:tabs>
        <w:jc w:val="both"/>
        <w:outlineLvl w:val="0"/>
        <w:rPr>
          <w:rFonts w:eastAsia="Times New Roman" w:cs="Times New Roman"/>
          <w:sz w:val="20"/>
          <w:szCs w:val="20"/>
          <w:lang w:val="fr-CA" w:eastAsia="en-CA"/>
        </w:rPr>
      </w:pPr>
      <w:r w:rsidRPr="00A030C5">
        <w:rPr>
          <w:rFonts w:eastAsia="Times New Roman" w:cs="Times New Roman"/>
          <w:sz w:val="20"/>
          <w:szCs w:val="20"/>
          <w:lang w:val="fr-CA" w:eastAsia="en-CA"/>
        </w:rPr>
        <w:tab/>
      </w:r>
      <w:r w:rsidRPr="00A030C5">
        <w:rPr>
          <w:rFonts w:eastAsia="Times New Roman" w:cs="Times New Roman"/>
          <w:i/>
          <w:sz w:val="20"/>
          <w:szCs w:val="20"/>
          <w:lang w:val="fr-CA" w:eastAsia="en-CA"/>
        </w:rPr>
        <w:t>Dave Hill</w:t>
      </w:r>
      <w:r w:rsidRPr="00A030C5">
        <w:rPr>
          <w:rFonts w:eastAsia="Times New Roman" w:cs="Times New Roman"/>
          <w:sz w:val="20"/>
          <w:szCs w:val="20"/>
          <w:lang w:val="fr-CA" w:eastAsia="en-CA"/>
        </w:rPr>
        <w:t xml:space="preserve">, </w:t>
      </w:r>
      <w:r w:rsidRPr="00A030C5">
        <w:rPr>
          <w:rFonts w:eastAsia="Times New Roman" w:cs="Times New Roman"/>
          <w:i/>
          <w:sz w:val="20"/>
          <w:szCs w:val="20"/>
          <w:lang w:val="fr-CA" w:eastAsia="en-CA"/>
        </w:rPr>
        <w:t>Derek Olson</w:t>
      </w:r>
      <w:r w:rsidRPr="00A030C5">
        <w:rPr>
          <w:rFonts w:eastAsia="Times New Roman" w:cs="Times New Roman"/>
          <w:sz w:val="20"/>
          <w:szCs w:val="20"/>
          <w:lang w:val="fr-CA" w:eastAsia="en-CA"/>
        </w:rPr>
        <w:t xml:space="preserve"> et </w:t>
      </w:r>
      <w:r w:rsidRPr="00A030C5">
        <w:rPr>
          <w:rFonts w:eastAsia="Times New Roman" w:cs="Times New Roman"/>
          <w:i/>
          <w:sz w:val="20"/>
          <w:szCs w:val="20"/>
          <w:lang w:val="fr-CA" w:eastAsia="en-CA"/>
        </w:rPr>
        <w:t>Michael Weinstein</w:t>
      </w:r>
      <w:r w:rsidRPr="00A030C5">
        <w:rPr>
          <w:rFonts w:eastAsia="Times New Roman" w:cs="Times New Roman"/>
          <w:sz w:val="20"/>
          <w:szCs w:val="20"/>
          <w:lang w:val="fr-CA" w:eastAsia="en-CA"/>
        </w:rPr>
        <w:t>, pour l’appelante.</w:t>
      </w:r>
    </w:p>
    <w:p w:rsidR="00A030C5" w:rsidRPr="00A030C5" w:rsidRDefault="00A030C5" w:rsidP="00A030C5">
      <w:pPr>
        <w:tabs>
          <w:tab w:val="left" w:pos="1168"/>
        </w:tabs>
        <w:jc w:val="both"/>
        <w:outlineLvl w:val="0"/>
        <w:rPr>
          <w:rFonts w:eastAsia="Times New Roman" w:cs="Times New Roman"/>
          <w:sz w:val="20"/>
          <w:szCs w:val="20"/>
          <w:lang w:val="fr-CA" w:eastAsia="en-CA"/>
        </w:rPr>
      </w:pPr>
    </w:p>
    <w:p w:rsidR="00A030C5" w:rsidRDefault="00A030C5" w:rsidP="00A030C5">
      <w:pPr>
        <w:tabs>
          <w:tab w:val="left" w:pos="1168"/>
        </w:tabs>
        <w:jc w:val="both"/>
        <w:rPr>
          <w:rFonts w:eastAsia="Times New Roman" w:cs="Times New Roman"/>
          <w:sz w:val="20"/>
          <w:szCs w:val="20"/>
          <w:lang w:val="fr-CA" w:eastAsia="en-CA"/>
        </w:rPr>
      </w:pPr>
      <w:r w:rsidRPr="00A030C5">
        <w:rPr>
          <w:rFonts w:eastAsia="Times New Roman" w:cs="Times New Roman"/>
          <w:sz w:val="20"/>
          <w:szCs w:val="20"/>
          <w:lang w:val="fr-CA" w:eastAsia="en-CA"/>
        </w:rPr>
        <w:tab/>
      </w:r>
      <w:r w:rsidRPr="00A030C5">
        <w:rPr>
          <w:rFonts w:eastAsia="Times New Roman" w:cs="Times New Roman"/>
          <w:i/>
          <w:sz w:val="20"/>
          <w:szCs w:val="20"/>
          <w:lang w:val="fr-CA" w:eastAsia="en-CA"/>
        </w:rPr>
        <w:t>Kevin T. Williams</w:t>
      </w:r>
      <w:r w:rsidRPr="00A030C5">
        <w:rPr>
          <w:rFonts w:eastAsia="Times New Roman" w:cs="Times New Roman"/>
          <w:sz w:val="20"/>
          <w:szCs w:val="20"/>
          <w:lang w:val="fr-CA" w:eastAsia="en-CA"/>
        </w:rPr>
        <w:t xml:space="preserve"> et </w:t>
      </w:r>
      <w:r w:rsidRPr="00A030C5">
        <w:rPr>
          <w:rFonts w:eastAsia="Times New Roman" w:cs="Times New Roman"/>
          <w:i/>
          <w:sz w:val="20"/>
          <w:szCs w:val="20"/>
          <w:lang w:val="fr-CA" w:eastAsia="en-CA"/>
        </w:rPr>
        <w:t>Kyla A. Pedersen</w:t>
      </w:r>
      <w:r w:rsidRPr="00A030C5">
        <w:rPr>
          <w:rFonts w:eastAsia="Times New Roman" w:cs="Times New Roman"/>
          <w:sz w:val="20"/>
          <w:szCs w:val="20"/>
          <w:lang w:val="fr-CA" w:eastAsia="en-CA"/>
        </w:rPr>
        <w:t>, pour l’intimée.</w:t>
      </w:r>
    </w:p>
    <w:p w:rsidR="00A030C5" w:rsidRPr="00A030C5" w:rsidRDefault="00A030C5" w:rsidP="00A030C5">
      <w:pPr>
        <w:tabs>
          <w:tab w:val="left" w:pos="1168"/>
        </w:tabs>
        <w:jc w:val="both"/>
        <w:rPr>
          <w:rFonts w:eastAsia="Times New Roman" w:cs="Times New Roman"/>
          <w:sz w:val="20"/>
          <w:szCs w:val="20"/>
          <w:lang w:val="fr-CA" w:eastAsia="en-CA"/>
        </w:rPr>
      </w:pPr>
    </w:p>
    <w:p w:rsidR="00A030C5" w:rsidRDefault="00A030C5" w:rsidP="00A030C5">
      <w:pPr>
        <w:tabs>
          <w:tab w:val="left" w:pos="1168"/>
        </w:tabs>
        <w:jc w:val="both"/>
        <w:rPr>
          <w:rFonts w:eastAsia="Times New Roman" w:cs="Times New Roman"/>
          <w:i/>
          <w:sz w:val="20"/>
          <w:szCs w:val="20"/>
          <w:lang w:val="fr-CA" w:eastAsia="en-CA"/>
        </w:rPr>
      </w:pPr>
      <w:r w:rsidRPr="00A030C5">
        <w:rPr>
          <w:rFonts w:eastAsia="Times New Roman" w:cs="Times New Roman"/>
          <w:i/>
          <w:sz w:val="20"/>
          <w:szCs w:val="20"/>
          <w:lang w:val="fr-CA" w:eastAsia="en-CA"/>
        </w:rPr>
        <w:tab/>
        <w:t>Procureurs de l’appelante : Hill Sokalski Walsh Trippier, Winnipeg.</w:t>
      </w:r>
    </w:p>
    <w:p w:rsidR="00A030C5" w:rsidRPr="00A030C5" w:rsidRDefault="00A030C5" w:rsidP="00A030C5">
      <w:pPr>
        <w:tabs>
          <w:tab w:val="left" w:pos="1168"/>
        </w:tabs>
        <w:jc w:val="both"/>
        <w:rPr>
          <w:rFonts w:eastAsia="Times New Roman" w:cs="Times New Roman"/>
          <w:i/>
          <w:sz w:val="20"/>
          <w:szCs w:val="20"/>
          <w:lang w:val="fr-CA" w:eastAsia="en-CA"/>
        </w:rPr>
      </w:pPr>
    </w:p>
    <w:p w:rsidR="00A030C5" w:rsidRPr="00A030C5" w:rsidRDefault="00A030C5" w:rsidP="00A030C5">
      <w:pPr>
        <w:tabs>
          <w:tab w:val="left" w:pos="1168"/>
        </w:tabs>
        <w:jc w:val="both"/>
        <w:rPr>
          <w:rFonts w:eastAsia="Times New Roman" w:cs="Times New Roman"/>
          <w:i/>
          <w:sz w:val="20"/>
          <w:szCs w:val="20"/>
          <w:lang w:val="fr-CA" w:eastAsia="en-CA"/>
        </w:rPr>
      </w:pPr>
      <w:r w:rsidRPr="00A030C5">
        <w:rPr>
          <w:sz w:val="20"/>
          <w:szCs w:val="20"/>
          <w:lang w:val="fr-CA"/>
        </w:rPr>
        <w:tab/>
      </w:r>
      <w:r w:rsidRPr="00A030C5">
        <w:rPr>
          <w:rFonts w:eastAsia="Times New Roman" w:cs="Times New Roman"/>
          <w:i/>
          <w:sz w:val="20"/>
          <w:szCs w:val="20"/>
          <w:lang w:val="fr-CA" w:eastAsia="en-CA"/>
        </w:rPr>
        <w:t>Procureurs de l’intimée : Taylor McCaffrey, Winnipeg.</w:t>
      </w:r>
    </w:p>
    <w:p w:rsidR="003B3977" w:rsidRPr="0052229C" w:rsidRDefault="003B3977" w:rsidP="005C6840">
      <w:pPr>
        <w:rPr>
          <w:rFonts w:cs="Times New Roman"/>
          <w:sz w:val="20"/>
          <w:szCs w:val="20"/>
        </w:rPr>
      </w:pPr>
    </w:p>
    <w:p w:rsidR="005C6840" w:rsidRDefault="00EB0985" w:rsidP="005C6840">
      <w:pPr>
        <w:rPr>
          <w:lang w:val="fr-CA"/>
        </w:rPr>
      </w:pPr>
      <w:r>
        <w:rPr>
          <w:rFonts w:cs="Times New Roman"/>
          <w:sz w:val="20"/>
          <w:szCs w:val="20"/>
          <w:lang w:val="fr-CA"/>
        </w:rPr>
        <w:pict>
          <v:rect id="_x0000_i1068" style="width:144.3pt;height:1pt" o:hrpct="300" o:hralign="center" o:hrstd="t" o:hrnoshade="t" o:hr="t" fillcolor="black [3213]" stroked="f"/>
        </w:pict>
      </w:r>
    </w:p>
    <w:p w:rsidR="00902E51" w:rsidRDefault="00902E51"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576" w:footer="960" w:gutter="0"/>
          <w:cols w:space="720"/>
          <w:titlePg/>
          <w:docGrid w:linePitch="272"/>
        </w:sectPr>
      </w:pPr>
    </w:p>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9C4E1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C4E1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9C4E1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C4E1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9C4E1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C4E1B">
            <w:pPr>
              <w:widowControl w:val="0"/>
              <w:jc w:val="center"/>
              <w:rPr>
                <w:rFonts w:ascii="Arial" w:hAnsi="Arial"/>
                <w:sz w:val="14"/>
              </w:rPr>
            </w:pPr>
            <w:r w:rsidRPr="002E0C7E">
              <w:rPr>
                <w:rFonts w:ascii="Arial" w:hAnsi="Arial"/>
                <w:b/>
                <w:sz w:val="14"/>
              </w:rPr>
              <w:t>DECEMBER - DÉCEMBRE</w:t>
            </w:r>
          </w:p>
        </w:tc>
      </w:tr>
      <w:tr w:rsidR="008902B1" w:rsidRPr="002E0C7E" w:rsidTr="009C4E1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S</w:t>
            </w:r>
          </w:p>
          <w:p w:rsidR="008902B1" w:rsidRPr="002E0C7E" w:rsidRDefault="008902B1" w:rsidP="009C4E1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M</w:t>
            </w:r>
          </w:p>
          <w:p w:rsidR="008902B1" w:rsidRPr="002E0C7E" w:rsidRDefault="008902B1" w:rsidP="009C4E1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W</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F</w:t>
            </w:r>
          </w:p>
          <w:p w:rsidR="008902B1" w:rsidRPr="002E0C7E" w:rsidRDefault="008902B1" w:rsidP="009C4E1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S</w:t>
            </w:r>
          </w:p>
          <w:p w:rsidR="008902B1" w:rsidRPr="002E0C7E" w:rsidRDefault="008902B1" w:rsidP="009C4E1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S</w:t>
            </w:r>
          </w:p>
          <w:p w:rsidR="008902B1" w:rsidRPr="002E0C7E" w:rsidRDefault="008902B1" w:rsidP="009C4E1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M</w:t>
            </w:r>
          </w:p>
          <w:p w:rsidR="008902B1" w:rsidRPr="002E0C7E" w:rsidRDefault="008902B1" w:rsidP="009C4E1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W</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F</w:t>
            </w:r>
          </w:p>
          <w:p w:rsidR="008902B1" w:rsidRPr="002E0C7E" w:rsidRDefault="008902B1" w:rsidP="009C4E1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S</w:t>
            </w:r>
          </w:p>
          <w:p w:rsidR="008902B1" w:rsidRPr="002E0C7E" w:rsidRDefault="008902B1" w:rsidP="009C4E1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S</w:t>
            </w:r>
          </w:p>
          <w:p w:rsidR="008902B1" w:rsidRPr="002E0C7E" w:rsidRDefault="008902B1" w:rsidP="009C4E1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M</w:t>
            </w:r>
          </w:p>
          <w:p w:rsidR="008902B1" w:rsidRPr="002E0C7E" w:rsidRDefault="008902B1" w:rsidP="009C4E1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W</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F</w:t>
            </w:r>
          </w:p>
          <w:p w:rsidR="008902B1" w:rsidRPr="002E0C7E" w:rsidRDefault="008902B1" w:rsidP="009C4E1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S</w:t>
            </w:r>
          </w:p>
          <w:p w:rsidR="008902B1" w:rsidRPr="002E0C7E" w:rsidRDefault="008902B1" w:rsidP="009C4E1B">
            <w:pPr>
              <w:widowControl w:val="0"/>
              <w:jc w:val="center"/>
              <w:rPr>
                <w:rFonts w:ascii="Arial" w:hAnsi="Arial"/>
                <w:sz w:val="14"/>
              </w:rPr>
            </w:pPr>
            <w:r w:rsidRPr="002E0C7E">
              <w:rPr>
                <w:rFonts w:ascii="Arial" w:hAnsi="Arial"/>
                <w:sz w:val="14"/>
              </w:rPr>
              <w:t>S</w:t>
            </w:r>
          </w:p>
        </w:tc>
      </w:tr>
      <w:tr w:rsidR="008902B1" w:rsidRPr="002E0C7E" w:rsidTr="009C4E1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b/>
                <w:sz w:val="14"/>
              </w:rPr>
              <w:t>M</w:t>
            </w:r>
          </w:p>
          <w:p w:rsidR="008902B1" w:rsidRPr="002E0C7E" w:rsidRDefault="008902B1" w:rsidP="009C4E1B">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5</w:t>
            </w:r>
          </w:p>
        </w:tc>
      </w:tr>
      <w:tr w:rsidR="008902B1" w:rsidRPr="002E0C7E" w:rsidTr="009C4E1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9C4E1B">
            <w:pPr>
              <w:widowControl w:val="0"/>
              <w:jc w:val="center"/>
              <w:rPr>
                <w:rFonts w:ascii="Arial" w:hAnsi="Arial"/>
                <w:b/>
                <w:sz w:val="14"/>
              </w:rPr>
            </w:pPr>
            <w:r>
              <w:rPr>
                <w:rFonts w:ascii="Arial" w:hAnsi="Arial"/>
                <w:b/>
                <w:sz w:val="14"/>
              </w:rPr>
              <w:t>M</w:t>
            </w:r>
          </w:p>
          <w:p w:rsidR="008902B1" w:rsidRPr="002E0C7E" w:rsidRDefault="008902B1" w:rsidP="009C4E1B">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9C4E1B">
            <w:pPr>
              <w:widowControl w:val="0"/>
              <w:jc w:val="center"/>
              <w:rPr>
                <w:rFonts w:ascii="Arial" w:hAnsi="Arial"/>
                <w:b/>
                <w:sz w:val="14"/>
              </w:rPr>
            </w:pPr>
          </w:p>
          <w:p w:rsidR="008902B1" w:rsidRPr="002E0C7E" w:rsidRDefault="008902B1" w:rsidP="009C4E1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9C4E1B">
            <w:pPr>
              <w:widowControl w:val="0"/>
              <w:jc w:val="center"/>
              <w:rPr>
                <w:rFonts w:ascii="Arial" w:hAnsi="Arial"/>
                <w:b/>
                <w:sz w:val="14"/>
              </w:rPr>
            </w:pPr>
            <w:r w:rsidRPr="002A4724">
              <w:rPr>
                <w:rFonts w:ascii="Arial" w:hAnsi="Arial"/>
                <w:b/>
                <w:sz w:val="14"/>
              </w:rPr>
              <w:t>H</w:t>
            </w:r>
          </w:p>
          <w:p w:rsidR="008902B1" w:rsidRPr="002E0C7E" w:rsidRDefault="008902B1" w:rsidP="009C4E1B">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12</w:t>
            </w:r>
          </w:p>
        </w:tc>
      </w:tr>
      <w:tr w:rsidR="008902B1" w:rsidRPr="002E0C7E" w:rsidTr="009C4E1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9C4E1B">
            <w:pPr>
              <w:widowControl w:val="0"/>
              <w:jc w:val="center"/>
              <w:rPr>
                <w:rFonts w:ascii="Arial" w:hAnsi="Arial"/>
                <w:b/>
                <w:sz w:val="14"/>
              </w:rPr>
            </w:pPr>
            <w:r>
              <w:rPr>
                <w:rFonts w:ascii="Arial" w:hAnsi="Arial"/>
                <w:b/>
                <w:sz w:val="14"/>
              </w:rPr>
              <w:t>H</w:t>
            </w: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9C4E1B">
            <w:pPr>
              <w:widowControl w:val="0"/>
              <w:jc w:val="center"/>
              <w:rPr>
                <w:rFonts w:ascii="Arial" w:hAnsi="Arial"/>
                <w:b/>
                <w:sz w:val="14"/>
              </w:rPr>
            </w:pPr>
          </w:p>
          <w:p w:rsidR="008902B1" w:rsidRPr="002E0C7E" w:rsidRDefault="008902B1" w:rsidP="009C4E1B">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19</w:t>
            </w:r>
          </w:p>
        </w:tc>
      </w:tr>
      <w:tr w:rsidR="008902B1" w:rsidRPr="002E0C7E" w:rsidTr="009C4E1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9C4E1B">
            <w:pPr>
              <w:widowControl w:val="0"/>
              <w:jc w:val="center"/>
              <w:rPr>
                <w:rFonts w:ascii="Arial" w:hAnsi="Arial"/>
                <w:b/>
                <w:sz w:val="14"/>
              </w:rPr>
            </w:pPr>
          </w:p>
          <w:p w:rsidR="008902B1" w:rsidRPr="002E0C7E" w:rsidRDefault="008902B1" w:rsidP="009C4E1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9C4E1B">
            <w:pPr>
              <w:widowControl w:val="0"/>
              <w:jc w:val="center"/>
              <w:rPr>
                <w:rFonts w:ascii="Arial" w:hAnsi="Arial"/>
                <w:b/>
                <w:sz w:val="14"/>
              </w:rPr>
            </w:pPr>
          </w:p>
          <w:p w:rsidR="008902B1" w:rsidRPr="002E0C7E" w:rsidRDefault="008902B1" w:rsidP="009C4E1B">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9C4E1B">
            <w:pPr>
              <w:widowControl w:val="0"/>
              <w:jc w:val="center"/>
              <w:rPr>
                <w:rFonts w:ascii="Arial" w:hAnsi="Arial"/>
                <w:b/>
                <w:sz w:val="14"/>
              </w:rPr>
            </w:pPr>
            <w:r>
              <w:rPr>
                <w:rFonts w:ascii="Arial" w:hAnsi="Arial"/>
                <w:b/>
                <w:sz w:val="14"/>
              </w:rPr>
              <w:t>H</w:t>
            </w:r>
          </w:p>
          <w:p w:rsidR="008902B1" w:rsidRPr="002E0C7E" w:rsidRDefault="008902B1" w:rsidP="009C4E1B">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9C4E1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9C4E1B">
            <w:pPr>
              <w:widowControl w:val="0"/>
              <w:jc w:val="center"/>
              <w:rPr>
                <w:rFonts w:ascii="Arial" w:hAnsi="Arial"/>
                <w:b/>
                <w:sz w:val="14"/>
              </w:rPr>
            </w:pPr>
            <w:r w:rsidRPr="002A4724">
              <w:rPr>
                <w:rFonts w:ascii="Arial" w:hAnsi="Arial"/>
                <w:b/>
                <w:sz w:val="14"/>
              </w:rPr>
              <w:t>M</w:t>
            </w:r>
          </w:p>
          <w:p w:rsidR="008902B1" w:rsidRPr="002E0C7E" w:rsidRDefault="008902B1" w:rsidP="009C4E1B">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9C4E1B">
            <w:pPr>
              <w:widowControl w:val="0"/>
              <w:jc w:val="center"/>
              <w:rPr>
                <w:rFonts w:ascii="Arial" w:hAnsi="Arial"/>
                <w:b/>
                <w:sz w:val="14"/>
              </w:rPr>
            </w:pPr>
            <w:r>
              <w:rPr>
                <w:rFonts w:ascii="Arial" w:hAnsi="Arial"/>
                <w:b/>
                <w:sz w:val="14"/>
              </w:rPr>
              <w:t>H</w:t>
            </w:r>
          </w:p>
          <w:p w:rsidR="008902B1" w:rsidRPr="002E0C7E" w:rsidRDefault="008902B1" w:rsidP="009C4E1B">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9C4E1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C4E1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9C4E1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C4E1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9C4E1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C4E1B">
            <w:pPr>
              <w:widowControl w:val="0"/>
              <w:jc w:val="center"/>
              <w:rPr>
                <w:rFonts w:ascii="Arial" w:hAnsi="Arial"/>
                <w:sz w:val="14"/>
              </w:rPr>
            </w:pPr>
            <w:r w:rsidRPr="002E0C7E">
              <w:rPr>
                <w:rFonts w:ascii="Arial" w:hAnsi="Arial"/>
                <w:b/>
                <w:sz w:val="14"/>
              </w:rPr>
              <w:t>MARCH - MARS</w:t>
            </w:r>
          </w:p>
        </w:tc>
      </w:tr>
      <w:tr w:rsidR="008902B1" w:rsidRPr="002E0C7E" w:rsidTr="009C4E1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S</w:t>
            </w:r>
          </w:p>
          <w:p w:rsidR="008902B1" w:rsidRPr="002E0C7E" w:rsidRDefault="008902B1" w:rsidP="009C4E1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M</w:t>
            </w:r>
          </w:p>
          <w:p w:rsidR="008902B1" w:rsidRPr="002E0C7E" w:rsidRDefault="008902B1" w:rsidP="009C4E1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W</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F</w:t>
            </w:r>
          </w:p>
          <w:p w:rsidR="008902B1" w:rsidRPr="002E0C7E" w:rsidRDefault="008902B1" w:rsidP="009C4E1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S</w:t>
            </w:r>
          </w:p>
          <w:p w:rsidR="008902B1" w:rsidRPr="002E0C7E" w:rsidRDefault="008902B1" w:rsidP="009C4E1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S</w:t>
            </w:r>
          </w:p>
          <w:p w:rsidR="008902B1" w:rsidRPr="002E0C7E" w:rsidRDefault="008902B1" w:rsidP="009C4E1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M</w:t>
            </w:r>
          </w:p>
          <w:p w:rsidR="008902B1" w:rsidRPr="002E0C7E" w:rsidRDefault="008902B1" w:rsidP="009C4E1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W</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F</w:t>
            </w:r>
          </w:p>
          <w:p w:rsidR="008902B1" w:rsidRPr="002E0C7E" w:rsidRDefault="008902B1" w:rsidP="009C4E1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S</w:t>
            </w:r>
          </w:p>
          <w:p w:rsidR="008902B1" w:rsidRPr="002E0C7E" w:rsidRDefault="008902B1" w:rsidP="009C4E1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S</w:t>
            </w:r>
          </w:p>
          <w:p w:rsidR="008902B1" w:rsidRPr="002E0C7E" w:rsidRDefault="008902B1" w:rsidP="009C4E1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M</w:t>
            </w:r>
          </w:p>
          <w:p w:rsidR="008902B1" w:rsidRPr="002E0C7E" w:rsidRDefault="008902B1" w:rsidP="009C4E1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W</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F</w:t>
            </w:r>
          </w:p>
          <w:p w:rsidR="008902B1" w:rsidRPr="002E0C7E" w:rsidRDefault="008902B1" w:rsidP="009C4E1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S</w:t>
            </w:r>
          </w:p>
          <w:p w:rsidR="008902B1" w:rsidRPr="002E0C7E" w:rsidRDefault="008902B1" w:rsidP="009C4E1B">
            <w:pPr>
              <w:widowControl w:val="0"/>
              <w:jc w:val="center"/>
              <w:rPr>
                <w:rFonts w:ascii="Arial" w:hAnsi="Arial"/>
                <w:sz w:val="14"/>
              </w:rPr>
            </w:pPr>
            <w:r w:rsidRPr="002E0C7E">
              <w:rPr>
                <w:rFonts w:ascii="Arial" w:hAnsi="Arial"/>
                <w:sz w:val="14"/>
              </w:rPr>
              <w:t>S</w:t>
            </w:r>
          </w:p>
        </w:tc>
      </w:tr>
      <w:tr w:rsidR="008902B1" w:rsidRPr="002E0C7E" w:rsidTr="009C4E1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9C4E1B">
            <w:pPr>
              <w:widowControl w:val="0"/>
              <w:jc w:val="center"/>
              <w:rPr>
                <w:rFonts w:ascii="Arial" w:hAnsi="Arial"/>
                <w:b/>
                <w:sz w:val="14"/>
              </w:rPr>
            </w:pPr>
          </w:p>
          <w:p w:rsidR="008902B1" w:rsidRPr="002E0C7E" w:rsidRDefault="008902B1" w:rsidP="009C4E1B">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9C4E1B">
            <w:pPr>
              <w:widowControl w:val="0"/>
              <w:jc w:val="center"/>
              <w:rPr>
                <w:rFonts w:ascii="Arial" w:hAnsi="Arial"/>
                <w:b/>
                <w:sz w:val="14"/>
              </w:rPr>
            </w:pPr>
          </w:p>
          <w:p w:rsidR="008902B1" w:rsidRPr="002E0C7E" w:rsidRDefault="008902B1" w:rsidP="009C4E1B">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9C4E1B">
            <w:pPr>
              <w:widowControl w:val="0"/>
              <w:jc w:val="center"/>
              <w:rPr>
                <w:rFonts w:ascii="Arial" w:hAnsi="Arial"/>
                <w:b/>
                <w:sz w:val="14"/>
              </w:rPr>
            </w:pPr>
          </w:p>
          <w:p w:rsidR="008902B1" w:rsidRPr="002E0C7E" w:rsidRDefault="008902B1" w:rsidP="009C4E1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9C4E1B">
            <w:pPr>
              <w:widowControl w:val="0"/>
              <w:jc w:val="center"/>
              <w:rPr>
                <w:rFonts w:ascii="Arial" w:hAnsi="Arial"/>
                <w:b/>
                <w:sz w:val="14"/>
              </w:rPr>
            </w:pPr>
            <w:r w:rsidRPr="00CD2D42">
              <w:rPr>
                <w:rFonts w:ascii="Arial" w:hAnsi="Arial"/>
                <w:b/>
                <w:sz w:val="14"/>
              </w:rPr>
              <w:t>H</w:t>
            </w:r>
          </w:p>
          <w:p w:rsidR="008902B1" w:rsidRPr="002E0C7E" w:rsidRDefault="008902B1" w:rsidP="009C4E1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5</w:t>
            </w:r>
          </w:p>
        </w:tc>
      </w:tr>
      <w:tr w:rsidR="008902B1" w:rsidRPr="002E0C7E" w:rsidTr="009C4E1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12</w:t>
            </w:r>
          </w:p>
        </w:tc>
      </w:tr>
      <w:tr w:rsidR="008902B1" w:rsidRPr="002E0C7E" w:rsidTr="009C4E1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9C4E1B">
            <w:pPr>
              <w:widowControl w:val="0"/>
              <w:jc w:val="center"/>
              <w:rPr>
                <w:rFonts w:ascii="Arial" w:hAnsi="Arial"/>
                <w:b/>
                <w:sz w:val="14"/>
              </w:rPr>
            </w:pPr>
            <w:r>
              <w:rPr>
                <w:rFonts w:ascii="Arial" w:hAnsi="Arial"/>
                <w:b/>
                <w:sz w:val="14"/>
              </w:rPr>
              <w:t>M</w:t>
            </w: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9C4E1B">
            <w:pPr>
              <w:widowControl w:val="0"/>
              <w:jc w:val="center"/>
              <w:rPr>
                <w:rFonts w:ascii="Arial" w:hAnsi="Arial"/>
                <w:b/>
                <w:sz w:val="14"/>
              </w:rPr>
            </w:pPr>
            <w:r>
              <w:rPr>
                <w:rFonts w:ascii="Arial" w:hAnsi="Arial"/>
                <w:b/>
                <w:sz w:val="14"/>
              </w:rPr>
              <w:t>M</w:t>
            </w: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9C4E1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9C4E1B">
            <w:pPr>
              <w:widowControl w:val="0"/>
              <w:jc w:val="center"/>
              <w:rPr>
                <w:rFonts w:ascii="Arial" w:hAnsi="Arial"/>
                <w:b/>
                <w:sz w:val="14"/>
              </w:rPr>
            </w:pPr>
            <w:r>
              <w:rPr>
                <w:rFonts w:ascii="Arial" w:hAnsi="Arial"/>
                <w:b/>
                <w:sz w:val="14"/>
              </w:rPr>
              <w:t>M</w:t>
            </w:r>
          </w:p>
          <w:p w:rsidR="008902B1" w:rsidRPr="002E0C7E" w:rsidRDefault="008902B1" w:rsidP="009C4E1B">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9C4E1B">
            <w:pPr>
              <w:widowControl w:val="0"/>
              <w:jc w:val="center"/>
              <w:rPr>
                <w:rFonts w:ascii="Arial" w:hAnsi="Arial"/>
                <w:b/>
                <w:sz w:val="14"/>
              </w:rPr>
            </w:pPr>
            <w:r>
              <w:rPr>
                <w:rFonts w:ascii="Arial" w:hAnsi="Arial"/>
                <w:b/>
                <w:sz w:val="14"/>
              </w:rPr>
              <w:t>H</w:t>
            </w: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9C4E1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9C4E1B">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9C4E1B">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9C4E1B">
            <w:pPr>
              <w:widowControl w:val="0"/>
              <w:jc w:val="center"/>
              <w:rPr>
                <w:rFonts w:ascii="Arial" w:hAnsi="Arial"/>
                <w:b/>
                <w:sz w:val="14"/>
              </w:rPr>
            </w:pPr>
            <w:r>
              <w:rPr>
                <w:rFonts w:ascii="Arial" w:hAnsi="Arial"/>
                <w:b/>
                <w:sz w:val="14"/>
              </w:rPr>
              <w:t>H</w:t>
            </w:r>
          </w:p>
          <w:p w:rsidR="008902B1" w:rsidRPr="002E0C7E" w:rsidRDefault="008902B1" w:rsidP="009C4E1B">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9C4E1B">
            <w:pPr>
              <w:widowControl w:val="0"/>
              <w:jc w:val="center"/>
              <w:rPr>
                <w:rFonts w:ascii="Arial" w:hAnsi="Arial"/>
                <w:b/>
                <w:sz w:val="14"/>
              </w:rPr>
            </w:pPr>
          </w:p>
          <w:p w:rsidR="008902B1" w:rsidRPr="002E0C7E" w:rsidRDefault="008902B1" w:rsidP="009C4E1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9C4E1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C4E1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9C4E1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C4E1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9C4E1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C4E1B">
            <w:pPr>
              <w:widowControl w:val="0"/>
              <w:jc w:val="center"/>
              <w:rPr>
                <w:rFonts w:ascii="Arial" w:hAnsi="Arial"/>
                <w:sz w:val="14"/>
              </w:rPr>
            </w:pPr>
            <w:r w:rsidRPr="002E0C7E">
              <w:rPr>
                <w:rFonts w:ascii="Arial" w:hAnsi="Arial"/>
                <w:b/>
                <w:sz w:val="14"/>
              </w:rPr>
              <w:t>JUNE - JUIN</w:t>
            </w:r>
          </w:p>
        </w:tc>
      </w:tr>
      <w:tr w:rsidR="008902B1" w:rsidRPr="002E0C7E" w:rsidTr="009C4E1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S</w:t>
            </w:r>
          </w:p>
          <w:p w:rsidR="008902B1" w:rsidRPr="002E0C7E" w:rsidRDefault="008902B1" w:rsidP="009C4E1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M</w:t>
            </w:r>
          </w:p>
          <w:p w:rsidR="008902B1" w:rsidRPr="002E0C7E" w:rsidRDefault="008902B1" w:rsidP="009C4E1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W</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F</w:t>
            </w:r>
          </w:p>
          <w:p w:rsidR="008902B1" w:rsidRPr="002E0C7E" w:rsidRDefault="008902B1" w:rsidP="009C4E1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S</w:t>
            </w:r>
          </w:p>
          <w:p w:rsidR="008902B1" w:rsidRPr="002E0C7E" w:rsidRDefault="008902B1" w:rsidP="009C4E1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S</w:t>
            </w:r>
          </w:p>
          <w:p w:rsidR="008902B1" w:rsidRPr="002E0C7E" w:rsidRDefault="008902B1" w:rsidP="009C4E1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M</w:t>
            </w:r>
          </w:p>
          <w:p w:rsidR="008902B1" w:rsidRPr="002E0C7E" w:rsidRDefault="008902B1" w:rsidP="009C4E1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W</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F</w:t>
            </w:r>
          </w:p>
          <w:p w:rsidR="008902B1" w:rsidRPr="002E0C7E" w:rsidRDefault="008902B1" w:rsidP="009C4E1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S</w:t>
            </w:r>
          </w:p>
          <w:p w:rsidR="008902B1" w:rsidRPr="002E0C7E" w:rsidRDefault="008902B1" w:rsidP="009C4E1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S</w:t>
            </w:r>
          </w:p>
          <w:p w:rsidR="008902B1" w:rsidRPr="002E0C7E" w:rsidRDefault="008902B1" w:rsidP="009C4E1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M</w:t>
            </w:r>
          </w:p>
          <w:p w:rsidR="008902B1" w:rsidRPr="002E0C7E" w:rsidRDefault="008902B1" w:rsidP="009C4E1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W</w:t>
            </w:r>
          </w:p>
          <w:p w:rsidR="008902B1" w:rsidRPr="002E0C7E" w:rsidRDefault="008902B1" w:rsidP="009C4E1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T</w:t>
            </w:r>
          </w:p>
          <w:p w:rsidR="008902B1" w:rsidRPr="002E0C7E" w:rsidRDefault="008902B1" w:rsidP="009C4E1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sidRPr="002E0C7E">
              <w:rPr>
                <w:rFonts w:ascii="Arial" w:hAnsi="Arial"/>
                <w:sz w:val="14"/>
              </w:rPr>
              <w:t>F</w:t>
            </w:r>
          </w:p>
          <w:p w:rsidR="008902B1" w:rsidRPr="002E0C7E" w:rsidRDefault="008902B1" w:rsidP="009C4E1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r>
              <w:rPr>
                <w:rFonts w:ascii="Arial" w:hAnsi="Arial"/>
                <w:sz w:val="14"/>
              </w:rPr>
              <w:t>S</w:t>
            </w:r>
          </w:p>
          <w:p w:rsidR="008902B1" w:rsidRPr="002E0C7E" w:rsidRDefault="008902B1" w:rsidP="009C4E1B">
            <w:pPr>
              <w:widowControl w:val="0"/>
              <w:jc w:val="center"/>
              <w:rPr>
                <w:rFonts w:ascii="Arial" w:hAnsi="Arial"/>
                <w:sz w:val="14"/>
              </w:rPr>
            </w:pPr>
            <w:r>
              <w:rPr>
                <w:rFonts w:ascii="Arial" w:hAnsi="Arial"/>
                <w:sz w:val="14"/>
              </w:rPr>
              <w:t>S</w:t>
            </w:r>
          </w:p>
        </w:tc>
      </w:tr>
      <w:tr w:rsidR="008902B1" w:rsidRPr="002E0C7E" w:rsidTr="009C4E1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b/>
                <w:sz w:val="14"/>
              </w:rPr>
            </w:pPr>
          </w:p>
          <w:p w:rsidR="008902B1" w:rsidRPr="002E0C7E" w:rsidRDefault="008902B1" w:rsidP="009C4E1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4</w:t>
            </w:r>
          </w:p>
        </w:tc>
      </w:tr>
      <w:tr w:rsidR="008902B1" w:rsidRPr="002E0C7E" w:rsidTr="009C4E1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11</w:t>
            </w:r>
          </w:p>
        </w:tc>
      </w:tr>
      <w:tr w:rsidR="008902B1" w:rsidRPr="002E0C7E" w:rsidTr="009C4E1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9C4E1B">
            <w:pPr>
              <w:widowControl w:val="0"/>
              <w:jc w:val="center"/>
              <w:rPr>
                <w:rFonts w:ascii="Arial" w:hAnsi="Arial"/>
                <w:b/>
                <w:sz w:val="14"/>
              </w:rPr>
            </w:pPr>
          </w:p>
          <w:p w:rsidR="008902B1" w:rsidRPr="002E0C7E" w:rsidRDefault="008902B1" w:rsidP="009C4E1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9C4E1B">
            <w:pPr>
              <w:widowControl w:val="0"/>
              <w:jc w:val="center"/>
              <w:rPr>
                <w:rFonts w:ascii="Arial" w:hAnsi="Arial"/>
                <w:b/>
                <w:sz w:val="14"/>
              </w:rPr>
            </w:pPr>
            <w:r w:rsidRPr="002453E3">
              <w:rPr>
                <w:rFonts w:ascii="Arial" w:hAnsi="Arial"/>
                <w:b/>
                <w:sz w:val="14"/>
              </w:rPr>
              <w:t>M</w:t>
            </w: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9C4E1B">
            <w:pPr>
              <w:widowControl w:val="0"/>
              <w:jc w:val="center"/>
              <w:rPr>
                <w:rFonts w:ascii="Arial" w:hAnsi="Arial"/>
                <w:b/>
                <w:sz w:val="14"/>
              </w:rPr>
            </w:pPr>
            <w:r>
              <w:rPr>
                <w:rFonts w:ascii="Arial" w:hAnsi="Arial"/>
                <w:b/>
                <w:sz w:val="14"/>
              </w:rPr>
              <w:t>M</w:t>
            </w: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18</w:t>
            </w:r>
          </w:p>
        </w:tc>
      </w:tr>
      <w:tr w:rsidR="008902B1" w:rsidRPr="002E0C7E" w:rsidTr="009C4E1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9C4E1B">
            <w:pPr>
              <w:widowControl w:val="0"/>
              <w:jc w:val="center"/>
              <w:rPr>
                <w:rFonts w:ascii="Arial" w:hAnsi="Arial"/>
                <w:b/>
                <w:sz w:val="14"/>
              </w:rPr>
            </w:pPr>
            <w:r w:rsidRPr="0049680E">
              <w:rPr>
                <w:rFonts w:ascii="Arial" w:hAnsi="Arial"/>
                <w:b/>
                <w:sz w:val="14"/>
              </w:rPr>
              <w:t>M</w:t>
            </w:r>
          </w:p>
          <w:p w:rsidR="008902B1" w:rsidRPr="002E0C7E" w:rsidRDefault="008902B1" w:rsidP="009C4E1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9C4E1B">
            <w:pPr>
              <w:widowControl w:val="0"/>
              <w:jc w:val="center"/>
              <w:rPr>
                <w:rFonts w:ascii="Arial" w:hAnsi="Arial"/>
                <w:b/>
                <w:sz w:val="14"/>
              </w:rPr>
            </w:pPr>
            <w:r>
              <w:rPr>
                <w:rFonts w:ascii="Arial" w:hAnsi="Arial"/>
                <w:b/>
                <w:sz w:val="14"/>
              </w:rPr>
              <w:t>H</w:t>
            </w:r>
          </w:p>
          <w:p w:rsidR="008902B1" w:rsidRPr="002E0C7E" w:rsidRDefault="008902B1" w:rsidP="009C4E1B">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9C4E1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C4E1B">
            <w:pPr>
              <w:widowControl w:val="0"/>
              <w:jc w:val="center"/>
              <w:rPr>
                <w:rFonts w:ascii="Arial" w:hAnsi="Arial"/>
                <w:sz w:val="14"/>
              </w:rPr>
            </w:pPr>
          </w:p>
          <w:p w:rsidR="008902B1" w:rsidRPr="002E0C7E" w:rsidRDefault="008902B1" w:rsidP="009C4E1B">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9C4E1B">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9C4E1B">
            <w:pPr>
              <w:widowControl w:val="0"/>
              <w:rPr>
                <w:rFonts w:ascii="Arial" w:hAnsi="Arial"/>
                <w:sz w:val="16"/>
              </w:rPr>
            </w:pPr>
            <w:r w:rsidRPr="002E0C7E">
              <w:rPr>
                <w:rFonts w:ascii="Arial" w:hAnsi="Arial"/>
                <w:sz w:val="16"/>
              </w:rPr>
              <w:t>Sittings of the court:</w:t>
            </w:r>
          </w:p>
          <w:p w:rsidR="008902B1" w:rsidRPr="002E0C7E" w:rsidRDefault="008902B1" w:rsidP="009C4E1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9C4E1B">
            <w:pPr>
              <w:widowControl w:val="0"/>
              <w:rPr>
                <w:rFonts w:ascii="Arial" w:hAnsi="Arial"/>
                <w:sz w:val="16"/>
              </w:rPr>
            </w:pPr>
          </w:p>
          <w:p w:rsidR="008902B1" w:rsidRPr="002E0C7E" w:rsidRDefault="008902B1" w:rsidP="009C4E1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9C4E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9C4E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9C4E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9C4E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902B1" w:rsidRPr="002E0C7E" w:rsidRDefault="008902B1" w:rsidP="009C4E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9C4E1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9C4E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9C4E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9C4E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9C4E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9C4E1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9C4E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9C4E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9C4E1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9C4E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7"/>
      <w:footerReference w:type="default" r:id="rId6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A9A" w:rsidRDefault="002E5A9A" w:rsidP="00A87207">
      <w:r>
        <w:separator/>
      </w:r>
    </w:p>
  </w:endnote>
  <w:endnote w:type="continuationSeparator" w:id="0">
    <w:p w:rsidR="002E5A9A" w:rsidRDefault="002E5A9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3F" w:rsidRDefault="00CC793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EB0985">
    <w:pPr>
      <w:pStyle w:val="Footer"/>
      <w:rPr>
        <w:lang w:val="fr-CA"/>
      </w:rPr>
    </w:pPr>
    <w:r>
      <w:rPr>
        <w:lang w:val="fr-CA"/>
      </w:rPr>
      <w:pict>
        <v:rect id="_x0000_i1057" style="width:480.95pt;height:1pt" o:hralign="center" o:hrstd="t" o:hrnoshade="t" o:hr="t" fillcolor="black [3213]" stroked="f"/>
      </w:pict>
    </w:r>
  </w:p>
  <w:p w:rsidR="002E5A9A" w:rsidRDefault="002E5A9A" w:rsidP="00245129">
    <w:pPr>
      <w:tabs>
        <w:tab w:val="center" w:pos="4680"/>
      </w:tabs>
    </w:pPr>
    <w:r>
      <w:tab/>
    </w:r>
    <w:r w:rsidRPr="0009648D">
      <w:t xml:space="preserve">- </w:t>
    </w:r>
    <w:r>
      <w:fldChar w:fldCharType="begin"/>
    </w:r>
    <w:r>
      <w:instrText xml:space="preserve"> PAGE   \* MERGEFORMAT </w:instrText>
    </w:r>
    <w:r>
      <w:fldChar w:fldCharType="separate"/>
    </w:r>
    <w:r w:rsidR="00EB0985">
      <w:rPr>
        <w:noProof/>
      </w:rPr>
      <w:t>1323</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E5A9A"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E5A9A" w:rsidRDefault="002E5A9A">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EB0985" w:rsidP="00755F22">
    <w:pPr>
      <w:tabs>
        <w:tab w:val="left" w:pos="-1440"/>
        <w:tab w:val="left" w:pos="-720"/>
      </w:tabs>
    </w:pPr>
    <w:r>
      <w:pict>
        <v:rect id="_x0000_i1059" style="width:480.95pt;height:1pt" o:hralign="center" o:hrstd="t" o:hrnoshade="t" o:hr="t" fillcolor="black [3213]" stroked="f"/>
      </w:pict>
    </w:r>
  </w:p>
  <w:p w:rsidR="002E5A9A" w:rsidRDefault="002E5A9A" w:rsidP="00EB2B90">
    <w:pPr>
      <w:tabs>
        <w:tab w:val="center" w:pos="4680"/>
      </w:tabs>
    </w:pPr>
    <w:r>
      <w:tab/>
      <w:t xml:space="preserve">- </w:t>
    </w:r>
    <w:r>
      <w:fldChar w:fldCharType="begin"/>
    </w:r>
    <w:r>
      <w:instrText xml:space="preserve"> PAGE   \* MERGEFORMAT </w:instrText>
    </w:r>
    <w:r>
      <w:fldChar w:fldCharType="separate"/>
    </w:r>
    <w:r w:rsidR="00EB0985">
      <w:rPr>
        <w:noProof/>
      </w:rPr>
      <w:t>1332</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EB0985" w:rsidP="00EB2B90">
    <w:pPr>
      <w:tabs>
        <w:tab w:val="center" w:pos="4680"/>
      </w:tabs>
    </w:pPr>
    <w:r>
      <w:pict>
        <v:rect id="_x0000_i1060" style="width:480.95pt;height:1pt" o:hralign="center" o:hrstd="t" o:hrnoshade="t" o:hr="t" fillcolor="black [3213]" stroked="f"/>
      </w:pict>
    </w:r>
  </w:p>
  <w:p w:rsidR="002E5A9A" w:rsidRPr="0031432F" w:rsidRDefault="002E5A9A" w:rsidP="00EB2B90">
    <w:pPr>
      <w:tabs>
        <w:tab w:val="center" w:pos="4680"/>
      </w:tabs>
    </w:pPr>
    <w:r>
      <w:tab/>
      <w:t xml:space="preserve">- </w:t>
    </w:r>
    <w:r>
      <w:fldChar w:fldCharType="begin"/>
    </w:r>
    <w:r>
      <w:instrText xml:space="preserve"> PAGE   \* MERGEFORMAT </w:instrText>
    </w:r>
    <w:r>
      <w:fldChar w:fldCharType="separate"/>
    </w:r>
    <w:r w:rsidR="00EB0985">
      <w:rPr>
        <w:noProof/>
      </w:rPr>
      <w:t>1331</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E5A9A"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E5A9A" w:rsidRDefault="002E5A9A">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EB09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2E5A9A" w:rsidRDefault="002E5A9A"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EB0985">
    <w:pPr>
      <w:pStyle w:val="Footer"/>
      <w:rPr>
        <w:lang w:val="fr-CA"/>
      </w:rPr>
    </w:pPr>
    <w:r>
      <w:rPr>
        <w:lang w:val="fr-CA"/>
      </w:rPr>
      <w:pict>
        <v:rect id="_x0000_i1063" style="width:480.95pt;height:1pt" o:hralign="center" o:hrstd="t" o:hrnoshade="t" o:hr="t" fillcolor="black [3213]" stroked="f"/>
      </w:pict>
    </w:r>
  </w:p>
  <w:p w:rsidR="002E5A9A" w:rsidRDefault="002E5A9A" w:rsidP="00EB2B90">
    <w:pPr>
      <w:tabs>
        <w:tab w:val="center" w:pos="4680"/>
      </w:tabs>
    </w:pPr>
    <w:r>
      <w:tab/>
      <w:t xml:space="preserve">- </w:t>
    </w:r>
    <w:r>
      <w:fldChar w:fldCharType="begin"/>
    </w:r>
    <w:r>
      <w:instrText xml:space="preserve"> PAGE   \* MERGEFORMAT </w:instrText>
    </w:r>
    <w:r>
      <w:fldChar w:fldCharType="separate"/>
    </w:r>
    <w:r w:rsidR="00EB0985">
      <w:rPr>
        <w:noProof/>
      </w:rPr>
      <w:t>1333</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E5A9A"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E5A9A" w:rsidRDefault="002E5A9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EB0985" w:rsidP="00732DB7">
    <w:r>
      <w:pict>
        <v:rect id="_x0000_i1065" style="width:480.95pt;height:1pt" o:hralign="center" o:hrstd="t" o:hrnoshade="t" o:hr="t" fillcolor="black" stroked="f"/>
      </w:pict>
    </w:r>
  </w:p>
  <w:p w:rsidR="002E5A9A" w:rsidRDefault="002E5A9A">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EB0985">
    <w:pPr>
      <w:pStyle w:val="Footer"/>
    </w:pPr>
    <w:r>
      <w:pict>
        <v:rect id="_x0000_i1066" style="width:480.95pt;height:1pt" o:hralign="center" o:hrstd="t" o:hrnoshade="t" o:hr="t" fillcolor="black [3213]" stroked="f"/>
      </w:pict>
    </w:r>
  </w:p>
  <w:p w:rsidR="002E5A9A" w:rsidRPr="003C2C0F" w:rsidRDefault="002E5A9A" w:rsidP="00697C62">
    <w:pPr>
      <w:tabs>
        <w:tab w:val="center" w:pos="4680"/>
      </w:tabs>
    </w:pPr>
    <w:r>
      <w:tab/>
      <w:t xml:space="preserve">- </w:t>
    </w:r>
    <w:r>
      <w:fldChar w:fldCharType="begin"/>
    </w:r>
    <w:r>
      <w:instrText xml:space="preserve"> PAGE   \* MERGEFORMAT </w:instrText>
    </w:r>
    <w:r>
      <w:fldChar w:fldCharType="separate"/>
    </w:r>
    <w:r w:rsidR="00EB0985">
      <w:rPr>
        <w:noProof/>
      </w:rPr>
      <w:t>1334</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3F" w:rsidRDefault="00CC793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E5A9A"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E5A9A" w:rsidRDefault="002E5A9A">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E5A9A" w:rsidRDefault="00EB09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9" style="width:480.95pt;height:1pt" o:hralign="center" o:hrstd="t" o:hrnoshade="t" o:hr="t" fillcolor="black [3213]" stroked="f"/>
      </w:pict>
    </w:r>
  </w:p>
  <w:p w:rsidR="002E5A9A" w:rsidRDefault="002E5A9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B0985">
      <w:rPr>
        <w:noProof/>
        <w:szCs w:val="24"/>
      </w:rPr>
      <w:t>1337</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EB0985" w:rsidP="00782AE4">
    <w:pPr>
      <w:tabs>
        <w:tab w:val="center" w:pos="4680"/>
      </w:tabs>
    </w:pPr>
    <w:r>
      <w:pict>
        <v:rect id="_x0000_i1070" style="width:480.95pt;height:1pt" o:hralign="center" o:hrstd="t" o:hrnoshade="t" o:hr="t" fillcolor="black [3213]" stroked="f"/>
      </w:pict>
    </w:r>
  </w:p>
  <w:p w:rsidR="002E5A9A" w:rsidRDefault="002E5A9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B0985">
      <w:rPr>
        <w:noProof/>
        <w:szCs w:val="24"/>
      </w:rPr>
      <w:t>1335</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Pr="00924065" w:rsidRDefault="002E5A9A"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3F" w:rsidRDefault="00CC79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EB0985" w:rsidP="00A87207">
    <w:pPr>
      <w:pStyle w:val="Footer"/>
    </w:pPr>
    <w:r>
      <w:pict>
        <v:rect id="_x0000_i1043" style="width:480.95pt;height:1pt" o:hralign="center" o:hrstd="t" o:hrnoshade="t" o:hr="t" fillcolor="black [3213]" stroked="f"/>
      </w:pict>
    </w:r>
  </w:p>
  <w:p w:rsidR="002E5A9A" w:rsidRPr="00B7374B" w:rsidRDefault="002E5A9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B0985">
      <w:rPr>
        <w:noProof/>
        <w:szCs w:val="24"/>
      </w:rPr>
      <w:t>1320</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EB0985" w:rsidP="00755F22">
    <w:pPr>
      <w:tabs>
        <w:tab w:val="left" w:pos="-1440"/>
        <w:tab w:val="left" w:pos="-720"/>
      </w:tabs>
    </w:pPr>
    <w:r>
      <w:pict>
        <v:rect id="_x0000_i1044" style="width:480.95pt;height:1pt" o:hralign="center" o:hrstd="t" o:hrnoshade="t" o:hr="t" fillcolor="black [3213]" stroked="f"/>
      </w:pict>
    </w:r>
  </w:p>
  <w:p w:rsidR="002E5A9A" w:rsidRPr="00954D22" w:rsidRDefault="002E5A9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B0985">
      <w:rPr>
        <w:noProof/>
        <w:szCs w:val="24"/>
      </w:rPr>
      <w:t>1319</w:t>
    </w:r>
    <w:r>
      <w:rPr>
        <w:szCs w:val="24"/>
      </w:rPr>
      <w:fldChar w:fldCharType="end"/>
    </w:r>
    <w:r w:rsidRPr="00954D22">
      <w:rPr>
        <w:szCs w:val="24"/>
      </w:rPr>
      <w:t xml:space="preserve"> -</w:t>
    </w:r>
  </w:p>
  <w:p w:rsidR="002E5A9A" w:rsidRDefault="002E5A9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EB0985" w:rsidP="00A87207">
    <w:pPr>
      <w:pStyle w:val="Footer"/>
    </w:pPr>
    <w:r>
      <w:pict>
        <v:rect id="_x0000_i1046" style="width:480.95pt;height:1pt" o:hralign="center" o:hrstd="t" o:hrnoshade="t" o:hr="t" fillcolor="black [3213]" stroked="f"/>
      </w:pict>
    </w:r>
  </w:p>
  <w:p w:rsidR="002E5A9A" w:rsidRPr="00B7374B" w:rsidRDefault="002E5A9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1323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EB098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7" style="width:480.95pt;height:1pt" o:hralign="center" o:hrstd="t" o:hrnoshade="t" o:hr="t" fillcolor="black [3213]" stroked="f"/>
      </w:pict>
    </w:r>
  </w:p>
  <w:p w:rsidR="002E5A9A" w:rsidRPr="00954D22" w:rsidRDefault="002E5A9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B0985">
      <w:rPr>
        <w:noProof/>
        <w:szCs w:val="24"/>
      </w:rPr>
      <w:t>1322</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E5A9A"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E5A9A" w:rsidRDefault="002E5A9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EB09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6" style="width:480.95pt;height:1pt" o:hralign="center" o:hrstd="t" o:hrnoshade="t" o:hr="t" fillcolor="black [3213]" stroked="f"/>
      </w:pict>
    </w:r>
  </w:p>
  <w:p w:rsidR="002E5A9A" w:rsidRPr="0009648D" w:rsidRDefault="002E5A9A" w:rsidP="00ED7E83">
    <w:pPr>
      <w:tabs>
        <w:tab w:val="center" w:pos="4680"/>
      </w:tabs>
    </w:pPr>
    <w:r>
      <w:tab/>
    </w:r>
    <w:r w:rsidRPr="0009648D">
      <w:t xml:space="preserve">- </w:t>
    </w:r>
    <w:r>
      <w:fldChar w:fldCharType="begin"/>
    </w:r>
    <w:r>
      <w:instrText xml:space="preserve"> PAGE   \* MERGEFORMAT </w:instrText>
    </w:r>
    <w:r>
      <w:fldChar w:fldCharType="separate"/>
    </w:r>
    <w:r w:rsidR="00EB0985">
      <w:rPr>
        <w:noProof/>
      </w:rPr>
      <w:t>1330</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A9A" w:rsidRDefault="002E5A9A" w:rsidP="00A87207">
      <w:r>
        <w:separator/>
      </w:r>
    </w:p>
  </w:footnote>
  <w:footnote w:type="continuationSeparator" w:id="0">
    <w:p w:rsidR="002E5A9A" w:rsidRDefault="002E5A9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3F" w:rsidRDefault="00CC79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2E5A9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E5A9A">
      <w:tc>
        <w:tcPr>
          <w:tcW w:w="4230" w:type="dxa"/>
          <w:tcMar>
            <w:left w:w="0" w:type="dxa"/>
            <w:right w:w="0" w:type="dxa"/>
          </w:tcMar>
        </w:tcPr>
        <w:p w:rsidR="002E5A9A" w:rsidRDefault="002E5A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E5A9A" w:rsidRDefault="002E5A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E5A9A" w:rsidRDefault="002E5A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E5A9A">
      <w:trPr>
        <w:gridAfter w:val="2"/>
        <w:wAfter w:w="5250" w:type="dxa"/>
      </w:trPr>
      <w:tc>
        <w:tcPr>
          <w:tcW w:w="4230" w:type="dxa"/>
          <w:tcMar>
            <w:left w:w="0" w:type="dxa"/>
            <w:right w:w="0" w:type="dxa"/>
          </w:tcMar>
        </w:tcPr>
        <w:p w:rsidR="002E5A9A"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E5A9A"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E5A9A" w:rsidRPr="00755F22" w:rsidTr="00245129">
      <w:tc>
        <w:tcPr>
          <w:tcW w:w="4230" w:type="dxa"/>
          <w:tcMar>
            <w:left w:w="0" w:type="dxa"/>
            <w:right w:w="0" w:type="dxa"/>
          </w:tcMar>
        </w:tcPr>
        <w:p w:rsidR="002E5A9A" w:rsidRPr="00755F22" w:rsidRDefault="002E5A9A" w:rsidP="00831CA9">
          <w:pPr>
            <w:keepNext/>
            <w:keepLines/>
            <w:rPr>
              <w:sz w:val="20"/>
              <w:szCs w:val="20"/>
            </w:rPr>
          </w:pPr>
          <w:r w:rsidRPr="00755F22">
            <w:rPr>
              <w:sz w:val="20"/>
              <w:szCs w:val="20"/>
            </w:rPr>
            <w:t>MOTIONS</w:t>
          </w:r>
        </w:p>
      </w:tc>
      <w:tc>
        <w:tcPr>
          <w:tcW w:w="1170" w:type="dxa"/>
          <w:tcMar>
            <w:left w:w="0" w:type="dxa"/>
            <w:right w:w="0" w:type="dxa"/>
          </w:tcMar>
        </w:tcPr>
        <w:p w:rsidR="002E5A9A" w:rsidRPr="00755F22" w:rsidRDefault="002E5A9A" w:rsidP="00831CA9">
          <w:pPr>
            <w:keepLines/>
            <w:jc w:val="center"/>
            <w:rPr>
              <w:sz w:val="20"/>
              <w:szCs w:val="20"/>
            </w:rPr>
          </w:pPr>
        </w:p>
        <w:p w:rsidR="002E5A9A" w:rsidRPr="00755F22" w:rsidRDefault="002E5A9A" w:rsidP="00831CA9">
          <w:pPr>
            <w:keepLines/>
            <w:tabs>
              <w:tab w:val="left" w:pos="-1440"/>
              <w:tab w:val="left" w:pos="-720"/>
            </w:tabs>
            <w:jc w:val="center"/>
            <w:rPr>
              <w:sz w:val="20"/>
              <w:szCs w:val="20"/>
            </w:rPr>
          </w:pPr>
        </w:p>
      </w:tc>
      <w:tc>
        <w:tcPr>
          <w:tcW w:w="4080" w:type="dxa"/>
          <w:tcMar>
            <w:left w:w="0" w:type="dxa"/>
            <w:right w:w="0" w:type="dxa"/>
          </w:tcMar>
        </w:tcPr>
        <w:p w:rsidR="002E5A9A" w:rsidRPr="00BA6468" w:rsidRDefault="002E5A9A" w:rsidP="00BA6468">
          <w:pPr>
            <w:keepLines/>
            <w:rPr>
              <w:sz w:val="20"/>
              <w:szCs w:val="20"/>
              <w:lang w:val="fr-CA"/>
            </w:rPr>
          </w:pPr>
          <w:r w:rsidRPr="00BA6468">
            <w:rPr>
              <w:sz w:val="20"/>
              <w:szCs w:val="20"/>
              <w:lang w:val="fr-CA"/>
            </w:rPr>
            <w:t>REQUÊTES</w:t>
          </w:r>
        </w:p>
      </w:tc>
    </w:tr>
  </w:tbl>
  <w:p w:rsidR="002E5A9A" w:rsidRDefault="002E5A9A"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2E5A9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E5A9A" w:rsidRPr="00A030C5">
      <w:tc>
        <w:tcPr>
          <w:tcW w:w="4200" w:type="dxa"/>
          <w:tcMar>
            <w:left w:w="0" w:type="dxa"/>
            <w:right w:w="0" w:type="dxa"/>
          </w:tcMar>
        </w:tcPr>
        <w:p w:rsidR="002E5A9A" w:rsidRDefault="002E5A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E5A9A" w:rsidRDefault="002E5A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E5A9A" w:rsidRPr="00B01A03" w:rsidRDefault="002E5A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E5A9A" w:rsidRPr="00B01A03"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E5A9A" w:rsidRPr="00B01A03"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E5A9A" w:rsidRPr="00A030C5" w:rsidTr="00245129">
      <w:tc>
        <w:tcPr>
          <w:tcW w:w="4200" w:type="dxa"/>
          <w:tcMar>
            <w:left w:w="0" w:type="dxa"/>
            <w:right w:w="0" w:type="dxa"/>
          </w:tcMar>
        </w:tcPr>
        <w:p w:rsidR="002E5A9A" w:rsidRPr="00F40249" w:rsidRDefault="002E5A9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E5A9A" w:rsidRDefault="002E5A9A" w:rsidP="00102926">
          <w:pPr>
            <w:keepNext/>
            <w:keepLines/>
            <w:tabs>
              <w:tab w:val="left" w:pos="-1440"/>
              <w:tab w:val="left" w:pos="-720"/>
            </w:tabs>
            <w:jc w:val="center"/>
            <w:rPr>
              <w:sz w:val="20"/>
              <w:szCs w:val="20"/>
            </w:rPr>
          </w:pPr>
        </w:p>
        <w:p w:rsidR="002E5A9A" w:rsidRDefault="002E5A9A" w:rsidP="00102926">
          <w:pPr>
            <w:keepNext/>
            <w:keepLines/>
            <w:tabs>
              <w:tab w:val="left" w:pos="-1440"/>
              <w:tab w:val="left" w:pos="-720"/>
            </w:tabs>
            <w:jc w:val="center"/>
            <w:rPr>
              <w:sz w:val="20"/>
              <w:szCs w:val="20"/>
            </w:rPr>
          </w:pPr>
        </w:p>
        <w:p w:rsidR="002E5A9A" w:rsidRPr="00F40249" w:rsidRDefault="002E5A9A" w:rsidP="00102926">
          <w:pPr>
            <w:keepNext/>
            <w:keepLines/>
            <w:tabs>
              <w:tab w:val="left" w:pos="-1440"/>
              <w:tab w:val="left" w:pos="-720"/>
            </w:tabs>
            <w:jc w:val="center"/>
            <w:rPr>
              <w:sz w:val="20"/>
              <w:szCs w:val="20"/>
            </w:rPr>
          </w:pPr>
        </w:p>
      </w:tc>
      <w:tc>
        <w:tcPr>
          <w:tcW w:w="4230" w:type="dxa"/>
          <w:tcMar>
            <w:left w:w="0" w:type="dxa"/>
            <w:right w:w="0" w:type="dxa"/>
          </w:tcMar>
        </w:tcPr>
        <w:p w:rsidR="002E5A9A" w:rsidRPr="00F40249" w:rsidRDefault="002E5A9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E5A9A" w:rsidRPr="00B01A03" w:rsidRDefault="002E5A9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2E5A9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E5A9A" w:rsidRPr="00A030C5">
      <w:tc>
        <w:tcPr>
          <w:tcW w:w="4200" w:type="dxa"/>
          <w:tcMar>
            <w:left w:w="0" w:type="dxa"/>
            <w:right w:w="0" w:type="dxa"/>
          </w:tcMar>
        </w:tcPr>
        <w:p w:rsidR="002E5A9A" w:rsidRDefault="002E5A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2E5A9A" w:rsidRDefault="002E5A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2E5A9A" w:rsidRDefault="002E5A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2E5A9A" w:rsidRPr="003C2C0F" w:rsidRDefault="002E5A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2E5A9A" w:rsidRPr="003C2C0F"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2E5A9A" w:rsidRPr="003C2C0F"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5A9A" w:rsidRPr="00A030C5" w:rsidTr="00245129">
      <w:tc>
        <w:tcPr>
          <w:tcW w:w="4200" w:type="dxa"/>
          <w:tcMar>
            <w:left w:w="0" w:type="dxa"/>
            <w:right w:w="0" w:type="dxa"/>
          </w:tcMar>
        </w:tcPr>
        <w:p w:rsidR="002E5A9A" w:rsidRPr="00FF6EEC" w:rsidRDefault="002E5A9A" w:rsidP="00FF6EEC">
          <w:pPr>
            <w:rPr>
              <w:sz w:val="20"/>
              <w:szCs w:val="20"/>
            </w:rPr>
          </w:pPr>
          <w:r w:rsidRPr="00FF6EEC">
            <w:rPr>
              <w:sz w:val="20"/>
              <w:szCs w:val="20"/>
            </w:rPr>
            <w:t>PRONOUNCEMENTS OF APPEALS RESERVED</w:t>
          </w:r>
        </w:p>
      </w:tc>
      <w:tc>
        <w:tcPr>
          <w:tcW w:w="1200" w:type="dxa"/>
          <w:tcMar>
            <w:left w:w="0" w:type="dxa"/>
            <w:right w:w="0" w:type="dxa"/>
          </w:tcMar>
        </w:tcPr>
        <w:p w:rsidR="002E5A9A" w:rsidRPr="00FF6EEC" w:rsidRDefault="002E5A9A" w:rsidP="00FF6EEC">
          <w:pPr>
            <w:jc w:val="center"/>
            <w:rPr>
              <w:sz w:val="20"/>
              <w:szCs w:val="20"/>
            </w:rPr>
          </w:pPr>
        </w:p>
        <w:p w:rsidR="002E5A9A" w:rsidRPr="00FF6EEC" w:rsidRDefault="002E5A9A" w:rsidP="00FF6EEC">
          <w:pPr>
            <w:jc w:val="center"/>
            <w:rPr>
              <w:sz w:val="20"/>
              <w:szCs w:val="20"/>
            </w:rPr>
          </w:pPr>
        </w:p>
        <w:p w:rsidR="002E5A9A" w:rsidRPr="00FF6EEC" w:rsidRDefault="002E5A9A" w:rsidP="00FF6EEC">
          <w:pPr>
            <w:jc w:val="center"/>
            <w:rPr>
              <w:sz w:val="20"/>
              <w:szCs w:val="20"/>
            </w:rPr>
          </w:pPr>
        </w:p>
      </w:tc>
      <w:tc>
        <w:tcPr>
          <w:tcW w:w="4080" w:type="dxa"/>
          <w:tcMar>
            <w:left w:w="0" w:type="dxa"/>
            <w:right w:w="0" w:type="dxa"/>
          </w:tcMar>
        </w:tcPr>
        <w:p w:rsidR="002E5A9A" w:rsidRPr="00FF6EEC" w:rsidRDefault="002E5A9A" w:rsidP="00FF6EEC">
          <w:pPr>
            <w:rPr>
              <w:sz w:val="20"/>
              <w:szCs w:val="20"/>
              <w:lang w:val="fr-CA"/>
            </w:rPr>
          </w:pPr>
          <w:r w:rsidRPr="00FF6EEC">
            <w:rPr>
              <w:sz w:val="20"/>
              <w:szCs w:val="20"/>
              <w:lang w:val="fr-CA"/>
            </w:rPr>
            <w:t>JUGEMENTS RENDUS SUR LES APPELS EN DÉLIBÉRÉ</w:t>
          </w:r>
        </w:p>
      </w:tc>
    </w:tr>
  </w:tbl>
  <w:p w:rsidR="002E5A9A" w:rsidRPr="003C2C0F" w:rsidRDefault="002E5A9A"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2E5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3F" w:rsidRDefault="00CC793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E5A9A">
      <w:tc>
        <w:tcPr>
          <w:tcW w:w="4230" w:type="dxa"/>
          <w:tcMar>
            <w:left w:w="0" w:type="dxa"/>
            <w:right w:w="0" w:type="dxa"/>
          </w:tcMar>
        </w:tcPr>
        <w:p w:rsidR="002E5A9A" w:rsidRDefault="002E5A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E5A9A" w:rsidRDefault="002E5A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E5A9A" w:rsidRDefault="002E5A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E5A9A" w:rsidRDefault="002E5A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E5A9A" w:rsidRDefault="002E5A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E5A9A" w:rsidRDefault="002E5A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E5A9A"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E5A9A"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E5A9A" w:rsidRPr="00782AE4" w:rsidTr="00245129">
      <w:tc>
        <w:tcPr>
          <w:tcW w:w="4230" w:type="dxa"/>
          <w:tcMar>
            <w:left w:w="0" w:type="dxa"/>
            <w:right w:w="0" w:type="dxa"/>
          </w:tcMar>
        </w:tcPr>
        <w:p w:rsidR="002E5A9A" w:rsidRPr="00782AE4" w:rsidRDefault="002E5A9A" w:rsidP="00102926">
          <w:pPr>
            <w:keepNext/>
            <w:keepLines/>
            <w:tabs>
              <w:tab w:val="left" w:pos="-1440"/>
              <w:tab w:val="left" w:pos="-720"/>
            </w:tabs>
            <w:rPr>
              <w:sz w:val="20"/>
              <w:szCs w:val="20"/>
            </w:rPr>
          </w:pPr>
          <w:r w:rsidRPr="00782AE4">
            <w:rPr>
              <w:sz w:val="20"/>
              <w:szCs w:val="20"/>
            </w:rPr>
            <w:t xml:space="preserve">HEADNOTES OF RECENT </w:t>
          </w:r>
        </w:p>
        <w:p w:rsidR="002E5A9A" w:rsidRPr="00782AE4" w:rsidRDefault="002E5A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E5A9A" w:rsidRDefault="002E5A9A" w:rsidP="00102926">
          <w:pPr>
            <w:keepNext/>
            <w:keepLines/>
            <w:tabs>
              <w:tab w:val="left" w:pos="-1440"/>
              <w:tab w:val="left" w:pos="-720"/>
            </w:tabs>
            <w:jc w:val="center"/>
            <w:rPr>
              <w:sz w:val="20"/>
              <w:szCs w:val="20"/>
            </w:rPr>
          </w:pPr>
        </w:p>
        <w:p w:rsidR="002E5A9A" w:rsidRDefault="002E5A9A" w:rsidP="00102926">
          <w:pPr>
            <w:keepNext/>
            <w:keepLines/>
            <w:tabs>
              <w:tab w:val="left" w:pos="-1440"/>
              <w:tab w:val="left" w:pos="-720"/>
            </w:tabs>
            <w:jc w:val="center"/>
            <w:rPr>
              <w:sz w:val="20"/>
              <w:szCs w:val="20"/>
            </w:rPr>
          </w:pPr>
        </w:p>
        <w:p w:rsidR="002E5A9A" w:rsidRPr="00782AE4" w:rsidRDefault="002E5A9A" w:rsidP="00102926">
          <w:pPr>
            <w:keepNext/>
            <w:keepLines/>
            <w:tabs>
              <w:tab w:val="left" w:pos="-1440"/>
              <w:tab w:val="left" w:pos="-720"/>
            </w:tabs>
            <w:jc w:val="center"/>
            <w:rPr>
              <w:sz w:val="20"/>
              <w:szCs w:val="20"/>
            </w:rPr>
          </w:pPr>
        </w:p>
      </w:tc>
      <w:tc>
        <w:tcPr>
          <w:tcW w:w="4080" w:type="dxa"/>
          <w:tcMar>
            <w:left w:w="0" w:type="dxa"/>
            <w:right w:w="0" w:type="dxa"/>
          </w:tcMar>
        </w:tcPr>
        <w:p w:rsidR="002E5A9A" w:rsidRPr="00102926" w:rsidRDefault="002E5A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E5A9A" w:rsidRPr="00782AE4" w:rsidRDefault="002E5A9A" w:rsidP="00102926">
          <w:pPr>
            <w:keepLines/>
            <w:tabs>
              <w:tab w:val="left" w:pos="-1440"/>
              <w:tab w:val="left" w:pos="-720"/>
            </w:tabs>
            <w:rPr>
              <w:sz w:val="20"/>
              <w:szCs w:val="20"/>
            </w:rPr>
          </w:pPr>
          <w:r w:rsidRPr="00102926">
            <w:rPr>
              <w:sz w:val="20"/>
              <w:szCs w:val="20"/>
              <w:lang w:val="fr-CA"/>
            </w:rPr>
            <w:t>RÉCENTS</w:t>
          </w:r>
        </w:p>
      </w:tc>
    </w:tr>
  </w:tbl>
  <w:p w:rsidR="002E5A9A" w:rsidRDefault="002E5A9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2E5A9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2E5A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3F" w:rsidRDefault="00CC79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E5A9A" w:rsidRPr="0044776A" w:rsidTr="00245129">
      <w:tc>
        <w:tcPr>
          <w:tcW w:w="4290" w:type="dxa"/>
          <w:tcMar>
            <w:left w:w="0" w:type="dxa"/>
            <w:right w:w="0" w:type="dxa"/>
          </w:tcMar>
        </w:tcPr>
        <w:p w:rsidR="002E5A9A" w:rsidRPr="0044776A" w:rsidRDefault="002E5A9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E5A9A" w:rsidRPr="0044776A" w:rsidRDefault="002E5A9A" w:rsidP="002E2327">
          <w:pPr>
            <w:keepNext/>
            <w:keepLines/>
            <w:tabs>
              <w:tab w:val="left" w:pos="-1440"/>
              <w:tab w:val="left" w:pos="-720"/>
            </w:tabs>
            <w:jc w:val="center"/>
            <w:rPr>
              <w:sz w:val="20"/>
              <w:szCs w:val="20"/>
            </w:rPr>
          </w:pPr>
        </w:p>
        <w:p w:rsidR="002E5A9A" w:rsidRPr="0044776A" w:rsidRDefault="002E5A9A" w:rsidP="002E2327">
          <w:pPr>
            <w:keepNext/>
            <w:keepLines/>
            <w:tabs>
              <w:tab w:val="left" w:pos="-1440"/>
              <w:tab w:val="left" w:pos="-720"/>
            </w:tabs>
            <w:jc w:val="center"/>
            <w:rPr>
              <w:sz w:val="20"/>
              <w:szCs w:val="20"/>
            </w:rPr>
          </w:pPr>
        </w:p>
        <w:p w:rsidR="002E5A9A" w:rsidRPr="0044776A" w:rsidRDefault="002E5A9A" w:rsidP="002E2327">
          <w:pPr>
            <w:keepNext/>
            <w:keepLines/>
            <w:tabs>
              <w:tab w:val="left" w:pos="-1440"/>
              <w:tab w:val="left" w:pos="-720"/>
            </w:tabs>
            <w:jc w:val="center"/>
            <w:rPr>
              <w:sz w:val="20"/>
              <w:szCs w:val="20"/>
            </w:rPr>
          </w:pPr>
        </w:p>
      </w:tc>
      <w:tc>
        <w:tcPr>
          <w:tcW w:w="4320" w:type="dxa"/>
          <w:tcMar>
            <w:left w:w="0" w:type="dxa"/>
            <w:right w:w="0" w:type="dxa"/>
          </w:tcMar>
        </w:tcPr>
        <w:p w:rsidR="002E5A9A" w:rsidRPr="0044776A" w:rsidRDefault="002E5A9A" w:rsidP="002E2327">
          <w:pPr>
            <w:keepLines/>
            <w:rPr>
              <w:sz w:val="20"/>
              <w:szCs w:val="20"/>
              <w:lang w:val="fr-CA"/>
            </w:rPr>
          </w:pPr>
          <w:r w:rsidRPr="0044776A">
            <w:rPr>
              <w:sz w:val="20"/>
              <w:szCs w:val="20"/>
              <w:lang w:val="fr-CA"/>
            </w:rPr>
            <w:t>DEMANDES D'AUTORISATION D'APPEL DÉPOSÉES</w:t>
          </w:r>
        </w:p>
      </w:tc>
    </w:tr>
  </w:tbl>
  <w:p w:rsidR="002E5A9A" w:rsidRDefault="002E5A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2E5A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5A9A" w:rsidRPr="00A030C5" w:rsidTr="00245129">
      <w:tc>
        <w:tcPr>
          <w:tcW w:w="4200" w:type="dxa"/>
          <w:tcMar>
            <w:left w:w="0" w:type="dxa"/>
            <w:right w:w="0" w:type="dxa"/>
          </w:tcMar>
        </w:tcPr>
        <w:p w:rsidR="002E5A9A" w:rsidRPr="0044776A" w:rsidRDefault="002E5A9A" w:rsidP="0044776A">
          <w:pPr>
            <w:keepNext/>
            <w:keepLines/>
            <w:widowControl w:val="0"/>
            <w:rPr>
              <w:sz w:val="20"/>
              <w:szCs w:val="20"/>
            </w:rPr>
          </w:pPr>
          <w:r>
            <w:rPr>
              <w:sz w:val="20"/>
              <w:szCs w:val="20"/>
            </w:rPr>
            <w:t>APPLICATIONS FOR LEAVE</w:t>
          </w:r>
        </w:p>
        <w:p w:rsidR="002E5A9A" w:rsidRPr="0044776A" w:rsidRDefault="002E5A9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E5A9A" w:rsidRPr="0044776A" w:rsidRDefault="002E5A9A" w:rsidP="0044776A">
          <w:pPr>
            <w:keepNext/>
            <w:keepLines/>
            <w:widowControl w:val="0"/>
            <w:jc w:val="center"/>
            <w:rPr>
              <w:sz w:val="20"/>
              <w:szCs w:val="20"/>
            </w:rPr>
          </w:pPr>
        </w:p>
        <w:p w:rsidR="002E5A9A" w:rsidRPr="0044776A" w:rsidRDefault="002E5A9A" w:rsidP="0044776A">
          <w:pPr>
            <w:keepNext/>
            <w:keepLines/>
            <w:widowControl w:val="0"/>
            <w:jc w:val="center"/>
            <w:rPr>
              <w:sz w:val="20"/>
              <w:szCs w:val="20"/>
            </w:rPr>
          </w:pPr>
        </w:p>
        <w:p w:rsidR="002E5A9A" w:rsidRPr="0044776A" w:rsidRDefault="002E5A9A" w:rsidP="0044776A">
          <w:pPr>
            <w:keepNext/>
            <w:keepLines/>
            <w:widowControl w:val="0"/>
            <w:jc w:val="center"/>
            <w:rPr>
              <w:sz w:val="20"/>
              <w:szCs w:val="20"/>
            </w:rPr>
          </w:pPr>
        </w:p>
      </w:tc>
      <w:tc>
        <w:tcPr>
          <w:tcW w:w="4080" w:type="dxa"/>
          <w:tcMar>
            <w:left w:w="0" w:type="dxa"/>
            <w:right w:w="0" w:type="dxa"/>
          </w:tcMar>
        </w:tcPr>
        <w:p w:rsidR="002E5A9A" w:rsidRPr="0044776A" w:rsidRDefault="002E5A9A" w:rsidP="0044776A">
          <w:pPr>
            <w:keepLines/>
            <w:widowControl w:val="0"/>
            <w:rPr>
              <w:sz w:val="20"/>
              <w:szCs w:val="20"/>
              <w:lang w:val="fr-CA"/>
            </w:rPr>
          </w:pPr>
          <w:r w:rsidRPr="0044776A">
            <w:rPr>
              <w:sz w:val="20"/>
              <w:szCs w:val="20"/>
              <w:lang w:val="fr-CA"/>
            </w:rPr>
            <w:t>DEMANDES SOUMISES À LA COUR DEPUIS LA DERNIÈRE PARUTION</w:t>
          </w:r>
        </w:p>
        <w:p w:rsidR="002E5A9A" w:rsidRPr="0044776A" w:rsidRDefault="002E5A9A" w:rsidP="0044776A">
          <w:pPr>
            <w:widowControl w:val="0"/>
            <w:rPr>
              <w:sz w:val="20"/>
              <w:szCs w:val="20"/>
              <w:lang w:val="fr-CA"/>
            </w:rPr>
          </w:pPr>
        </w:p>
      </w:tc>
    </w:tr>
  </w:tbl>
  <w:p w:rsidR="002E5A9A" w:rsidRPr="002E2327" w:rsidRDefault="002E5A9A">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9A" w:rsidRDefault="002E5A9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E5A9A" w:rsidRPr="00A030C5">
      <w:tc>
        <w:tcPr>
          <w:tcW w:w="4200" w:type="dxa"/>
          <w:tcMar>
            <w:left w:w="0" w:type="dxa"/>
            <w:right w:w="0" w:type="dxa"/>
          </w:tcMar>
        </w:tcPr>
        <w:p w:rsidR="002E5A9A" w:rsidRDefault="002E5A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E5A9A" w:rsidRDefault="002E5A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E5A9A" w:rsidRDefault="002E5A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E5A9A" w:rsidRPr="00FF6BA5" w:rsidRDefault="002E5A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E5A9A" w:rsidRPr="00FF6BA5"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E5A9A" w:rsidRPr="00FF6BA5"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E5A9A" w:rsidRPr="00FF6BA5" w:rsidRDefault="002E5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5A9A" w:rsidRPr="00A030C5" w:rsidTr="00245129">
      <w:tc>
        <w:tcPr>
          <w:tcW w:w="4200" w:type="dxa"/>
          <w:tcMar>
            <w:left w:w="0" w:type="dxa"/>
            <w:right w:w="0" w:type="dxa"/>
          </w:tcMar>
        </w:tcPr>
        <w:p w:rsidR="002E5A9A" w:rsidRPr="00755F22" w:rsidRDefault="002E5A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2E5A9A" w:rsidRPr="00755F22" w:rsidRDefault="002E5A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2E5A9A" w:rsidRPr="00755F22" w:rsidRDefault="002E5A9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E5A9A" w:rsidRPr="00755F22" w:rsidRDefault="002E5A9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E5A9A" w:rsidRPr="00755F22" w:rsidRDefault="002E5A9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E5A9A" w:rsidRPr="00755F22" w:rsidRDefault="002E5A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2E5A9A" w:rsidRPr="00FF6BA5" w:rsidRDefault="002E5A9A"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A0FA17C4"/>
    <w:lvl w:ilvl="0" w:tplc="09B0E884">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9579A0"/>
    <w:multiLevelType w:val="hybridMultilevel"/>
    <w:tmpl w:val="8FDEE0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45064F"/>
    <w:multiLevelType w:val="hybridMultilevel"/>
    <w:tmpl w:val="4B08EE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78863"/>
  </w:hdrShapeDefaults>
  <w:footnotePr>
    <w:footnote w:id="-1"/>
    <w:footnote w:id="0"/>
  </w:footnotePr>
  <w:endnotePr>
    <w:endnote w:id="-1"/>
    <w:endnote w:id="0"/>
  </w:endnotePr>
  <w:compat>
    <w:compatSetting w:name="compatibilityMode" w:uri="http://schemas.microsoft.com/office/word" w:val="12"/>
  </w:compat>
  <w:rsids>
    <w:rsidRoot w:val="00002704"/>
    <w:rsid w:val="00002704"/>
    <w:rsid w:val="000127C6"/>
    <w:rsid w:val="00020DC3"/>
    <w:rsid w:val="0003223B"/>
    <w:rsid w:val="00032504"/>
    <w:rsid w:val="000327B2"/>
    <w:rsid w:val="0004528B"/>
    <w:rsid w:val="00055D79"/>
    <w:rsid w:val="00064FB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64E6D"/>
    <w:rsid w:val="00183454"/>
    <w:rsid w:val="001B157C"/>
    <w:rsid w:val="001B4006"/>
    <w:rsid w:val="001B5C23"/>
    <w:rsid w:val="001D0D5F"/>
    <w:rsid w:val="001D6B8C"/>
    <w:rsid w:val="001F1F83"/>
    <w:rsid w:val="001F40DF"/>
    <w:rsid w:val="001F6B2D"/>
    <w:rsid w:val="002021A9"/>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B516C"/>
    <w:rsid w:val="002D72EB"/>
    <w:rsid w:val="002E2327"/>
    <w:rsid w:val="002E2DF2"/>
    <w:rsid w:val="002E3583"/>
    <w:rsid w:val="002E4309"/>
    <w:rsid w:val="002E5576"/>
    <w:rsid w:val="002E5A9A"/>
    <w:rsid w:val="003050C3"/>
    <w:rsid w:val="00331B52"/>
    <w:rsid w:val="003359D3"/>
    <w:rsid w:val="00355967"/>
    <w:rsid w:val="00382C47"/>
    <w:rsid w:val="00384384"/>
    <w:rsid w:val="003866AE"/>
    <w:rsid w:val="003B3977"/>
    <w:rsid w:val="003C38EF"/>
    <w:rsid w:val="003E1D4C"/>
    <w:rsid w:val="004137A0"/>
    <w:rsid w:val="00422D9A"/>
    <w:rsid w:val="00432989"/>
    <w:rsid w:val="00440E24"/>
    <w:rsid w:val="0044776A"/>
    <w:rsid w:val="00460AFC"/>
    <w:rsid w:val="00466997"/>
    <w:rsid w:val="0047020C"/>
    <w:rsid w:val="0047471F"/>
    <w:rsid w:val="004B195E"/>
    <w:rsid w:val="004B66B4"/>
    <w:rsid w:val="004B7F60"/>
    <w:rsid w:val="004C1AAC"/>
    <w:rsid w:val="004E1E0A"/>
    <w:rsid w:val="004F090E"/>
    <w:rsid w:val="00501F3C"/>
    <w:rsid w:val="0052229C"/>
    <w:rsid w:val="00527CC7"/>
    <w:rsid w:val="00536DA2"/>
    <w:rsid w:val="00567E6F"/>
    <w:rsid w:val="00571CA4"/>
    <w:rsid w:val="00582136"/>
    <w:rsid w:val="00586F9A"/>
    <w:rsid w:val="005C6840"/>
    <w:rsid w:val="005F1ED8"/>
    <w:rsid w:val="005F263E"/>
    <w:rsid w:val="00600252"/>
    <w:rsid w:val="00612A40"/>
    <w:rsid w:val="0062714A"/>
    <w:rsid w:val="00675479"/>
    <w:rsid w:val="00680709"/>
    <w:rsid w:val="00681351"/>
    <w:rsid w:val="00681F61"/>
    <w:rsid w:val="00696BF9"/>
    <w:rsid w:val="00697C62"/>
    <w:rsid w:val="006A329B"/>
    <w:rsid w:val="006A7EB8"/>
    <w:rsid w:val="006B6926"/>
    <w:rsid w:val="006C3F47"/>
    <w:rsid w:val="006C5F7A"/>
    <w:rsid w:val="006E06AF"/>
    <w:rsid w:val="006F350F"/>
    <w:rsid w:val="00732DB7"/>
    <w:rsid w:val="0074238B"/>
    <w:rsid w:val="00745EF7"/>
    <w:rsid w:val="00747E13"/>
    <w:rsid w:val="00755F22"/>
    <w:rsid w:val="00766E4A"/>
    <w:rsid w:val="007727AF"/>
    <w:rsid w:val="007820CE"/>
    <w:rsid w:val="00782AE4"/>
    <w:rsid w:val="00796D32"/>
    <w:rsid w:val="0079724F"/>
    <w:rsid w:val="007A3EAE"/>
    <w:rsid w:val="007C04FC"/>
    <w:rsid w:val="007C3DB0"/>
    <w:rsid w:val="007C47C2"/>
    <w:rsid w:val="007D3E0F"/>
    <w:rsid w:val="007E4282"/>
    <w:rsid w:val="007F387B"/>
    <w:rsid w:val="00802863"/>
    <w:rsid w:val="008112A9"/>
    <w:rsid w:val="00815B3C"/>
    <w:rsid w:val="0081610A"/>
    <w:rsid w:val="0082783A"/>
    <w:rsid w:val="00831CA9"/>
    <w:rsid w:val="00850E1F"/>
    <w:rsid w:val="0085476B"/>
    <w:rsid w:val="0086340B"/>
    <w:rsid w:val="008902B1"/>
    <w:rsid w:val="00890FEB"/>
    <w:rsid w:val="00895E7E"/>
    <w:rsid w:val="008A220B"/>
    <w:rsid w:val="008A5C1A"/>
    <w:rsid w:val="008A6415"/>
    <w:rsid w:val="008D292F"/>
    <w:rsid w:val="008E03DC"/>
    <w:rsid w:val="00902E51"/>
    <w:rsid w:val="00916C68"/>
    <w:rsid w:val="00924065"/>
    <w:rsid w:val="00930D68"/>
    <w:rsid w:val="00932DB4"/>
    <w:rsid w:val="00941A4B"/>
    <w:rsid w:val="00946242"/>
    <w:rsid w:val="0095096B"/>
    <w:rsid w:val="00970CD3"/>
    <w:rsid w:val="009723FA"/>
    <w:rsid w:val="00984546"/>
    <w:rsid w:val="00996510"/>
    <w:rsid w:val="009C4E1B"/>
    <w:rsid w:val="009D1F15"/>
    <w:rsid w:val="009D555E"/>
    <w:rsid w:val="009F3024"/>
    <w:rsid w:val="009F39BA"/>
    <w:rsid w:val="00A030C5"/>
    <w:rsid w:val="00A0355E"/>
    <w:rsid w:val="00A23EB5"/>
    <w:rsid w:val="00A375D1"/>
    <w:rsid w:val="00A43EF5"/>
    <w:rsid w:val="00A51D10"/>
    <w:rsid w:val="00A52A83"/>
    <w:rsid w:val="00A6552C"/>
    <w:rsid w:val="00A67CAC"/>
    <w:rsid w:val="00A87207"/>
    <w:rsid w:val="00A935AA"/>
    <w:rsid w:val="00A956D3"/>
    <w:rsid w:val="00AB2201"/>
    <w:rsid w:val="00AD1D34"/>
    <w:rsid w:val="00AD3259"/>
    <w:rsid w:val="00AF1715"/>
    <w:rsid w:val="00AF3904"/>
    <w:rsid w:val="00B010C0"/>
    <w:rsid w:val="00B4740D"/>
    <w:rsid w:val="00B61629"/>
    <w:rsid w:val="00B7374B"/>
    <w:rsid w:val="00B90DC0"/>
    <w:rsid w:val="00BA116A"/>
    <w:rsid w:val="00BA4921"/>
    <w:rsid w:val="00BA5582"/>
    <w:rsid w:val="00BA6468"/>
    <w:rsid w:val="00BB1D44"/>
    <w:rsid w:val="00BD06DA"/>
    <w:rsid w:val="00BD4217"/>
    <w:rsid w:val="00BF25F3"/>
    <w:rsid w:val="00C1697B"/>
    <w:rsid w:val="00C21644"/>
    <w:rsid w:val="00C21CB5"/>
    <w:rsid w:val="00C46376"/>
    <w:rsid w:val="00C50A5C"/>
    <w:rsid w:val="00C50FDF"/>
    <w:rsid w:val="00C63381"/>
    <w:rsid w:val="00C73D06"/>
    <w:rsid w:val="00C73E1B"/>
    <w:rsid w:val="00C759B4"/>
    <w:rsid w:val="00C77713"/>
    <w:rsid w:val="00C85BB7"/>
    <w:rsid w:val="00CA2DEA"/>
    <w:rsid w:val="00CB3520"/>
    <w:rsid w:val="00CB43D5"/>
    <w:rsid w:val="00CC4D84"/>
    <w:rsid w:val="00CC793F"/>
    <w:rsid w:val="00CD56E6"/>
    <w:rsid w:val="00CE198A"/>
    <w:rsid w:val="00CF08C8"/>
    <w:rsid w:val="00D004FC"/>
    <w:rsid w:val="00D60C39"/>
    <w:rsid w:val="00D64901"/>
    <w:rsid w:val="00D76BDF"/>
    <w:rsid w:val="00D818B6"/>
    <w:rsid w:val="00D862C1"/>
    <w:rsid w:val="00D93B50"/>
    <w:rsid w:val="00D94028"/>
    <w:rsid w:val="00D94670"/>
    <w:rsid w:val="00DA46F6"/>
    <w:rsid w:val="00DD0B49"/>
    <w:rsid w:val="00DE0502"/>
    <w:rsid w:val="00DE349D"/>
    <w:rsid w:val="00E06DFA"/>
    <w:rsid w:val="00E20A0A"/>
    <w:rsid w:val="00E240C2"/>
    <w:rsid w:val="00E25A85"/>
    <w:rsid w:val="00E356C7"/>
    <w:rsid w:val="00E41A5A"/>
    <w:rsid w:val="00E45FE4"/>
    <w:rsid w:val="00E512ED"/>
    <w:rsid w:val="00E64FA7"/>
    <w:rsid w:val="00E770CB"/>
    <w:rsid w:val="00E903A1"/>
    <w:rsid w:val="00E940EB"/>
    <w:rsid w:val="00E9703F"/>
    <w:rsid w:val="00EB0985"/>
    <w:rsid w:val="00EB2B90"/>
    <w:rsid w:val="00ED7E83"/>
    <w:rsid w:val="00EE091F"/>
    <w:rsid w:val="00EF1D28"/>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88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A23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EB5"/>
    <w:rPr>
      <w:rFonts w:ascii="Segoe UI" w:hAnsi="Segoe UI" w:cs="Segoe UI"/>
      <w:sz w:val="18"/>
      <w:szCs w:val="18"/>
      <w:lang w:val="en-CA"/>
    </w:rPr>
  </w:style>
  <w:style w:type="table" w:customStyle="1" w:styleId="TableGrid2">
    <w:name w:val="Table Grid2"/>
    <w:basedOn w:val="TableNormal"/>
    <w:next w:val="TableGrid"/>
    <w:uiPriority w:val="59"/>
    <w:rsid w:val="00A43EF5"/>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A030C5"/>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SubfileSeparator">
    <w:name w:val="SCC.Lsoc.SubfileSeparator"/>
    <w:basedOn w:val="Normal"/>
    <w:next w:val="Normal"/>
    <w:link w:val="SCCLsocSubfileSeparatorChar"/>
    <w:rsid w:val="00A030C5"/>
    <w:pPr>
      <w:spacing w:after="720"/>
    </w:pPr>
    <w:rPr>
      <w:rFonts w:eastAsia="Times New Roman" w:cs="Times New Roman"/>
      <w:szCs w:val="20"/>
      <w:lang w:eastAsia="en-CA"/>
    </w:rPr>
  </w:style>
  <w:style w:type="character" w:customStyle="1" w:styleId="SCCLsocSubfileSeparatorChar">
    <w:name w:val="SCC.Lsoc.SubfileSeparator Char"/>
    <w:basedOn w:val="DefaultParagraphFont"/>
    <w:link w:val="SCCLsocSubfileSeparator"/>
    <w:rsid w:val="00A030C5"/>
    <w:rPr>
      <w:rFonts w:eastAsia="Times New Roman" w:cs="Times New Roman"/>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on/onsc/doc/2014/2014onsc237/2014onsc237.html?autocompleteStr=2014%20ONSC%20237&amp;autocompletePos=1" TargetMode="Externa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yperlink" Target="http://www.canlii.org/fr/qc/qccs/doc/2013/2013qccs4132/2013qccs4132.html" TargetMode="External"/><Relationship Id="rId42" Type="http://schemas.openxmlformats.org/officeDocument/2006/relationships/header" Target="header11.xml"/><Relationship Id="rId47" Type="http://schemas.openxmlformats.org/officeDocument/2006/relationships/footer" Target="footer13.xml"/><Relationship Id="rId50" Type="http://schemas.openxmlformats.org/officeDocument/2006/relationships/footer" Target="footer14.xml"/><Relationship Id="rId55" Type="http://schemas.openxmlformats.org/officeDocument/2006/relationships/header" Target="header18.xml"/><Relationship Id="rId63" Type="http://schemas.openxmlformats.org/officeDocument/2006/relationships/footer" Target="footer20.xml"/><Relationship Id="rId68" Type="http://schemas.openxmlformats.org/officeDocument/2006/relationships/footer" Target="footer2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bc/bcca/doc/2015/2015bcca127/2015bcca127.html?autocompleteStr=2015%20BCCA%20127&amp;autocompletePos=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anlii.org/en/on/onsc/doc/2014/2014onsc237/2014onsc237.html?autocompleteStr=2014%20ONSC%20237&amp;autocompletePos=1" TargetMode="External"/><Relationship Id="rId32" Type="http://schemas.openxmlformats.org/officeDocument/2006/relationships/hyperlink" Target="http://www.canlii.org/fr/qc/qccs/doc/2013/2013qccs4132/2013qccs4132.html" TargetMode="Externa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header" Target="header19.xml"/><Relationship Id="rId66"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bc/bcsc/doc/2013/2013bcsc527/2013bcsc527.html" TargetMode="External"/><Relationship Id="rId36" Type="http://schemas.openxmlformats.org/officeDocument/2006/relationships/header" Target="header8.xml"/><Relationship Id="rId49" Type="http://schemas.openxmlformats.org/officeDocument/2006/relationships/header" Target="header15.xml"/><Relationship Id="rId57" Type="http://schemas.openxmlformats.org/officeDocument/2006/relationships/footer" Target="footer18.xml"/><Relationship Id="rId61"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anlii.org/en/bc/bcca/doc/2015/2015bcca127/2015bcca127.html?autocompleteStr=2015%20BCCA%20127&amp;autocompletePos=1" TargetMode="External"/><Relationship Id="rId44" Type="http://schemas.openxmlformats.org/officeDocument/2006/relationships/footer" Target="footer11.xml"/><Relationship Id="rId52" Type="http://schemas.openxmlformats.org/officeDocument/2006/relationships/header" Target="header16.xml"/><Relationship Id="rId60" Type="http://schemas.openxmlformats.org/officeDocument/2006/relationships/hyperlink" Target="http://www.scc-csc.ca/case-dossier/info/sum-som-eng.aspx?cas=35777" TargetMode="External"/><Relationship Id="rId65"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on/onca/doc/2015/2015onca55/2015onca55.html?autocompleteStr=2015%20ONCA%2055&amp;autocompletePos=1" TargetMode="External"/><Relationship Id="rId30" Type="http://schemas.openxmlformats.org/officeDocument/2006/relationships/hyperlink" Target="http://www.canlii.org/en/bc/bcsc/doc/2013/2013bcsc527/2013bcsc527.html" TargetMode="External"/><Relationship Id="rId35" Type="http://schemas.openxmlformats.org/officeDocument/2006/relationships/hyperlink" Target="http://www.canlii.org/fr/qc/qcca/doc/2015/2015qcca569/2015qcca569.html" TargetMode="External"/><Relationship Id="rId43" Type="http://schemas.openxmlformats.org/officeDocument/2006/relationships/header" Target="header12.xml"/><Relationship Id="rId48" Type="http://schemas.openxmlformats.org/officeDocument/2006/relationships/header" Target="header14.xml"/><Relationship Id="rId56" Type="http://schemas.openxmlformats.org/officeDocument/2006/relationships/footer" Target="footer17.xml"/><Relationship Id="rId64" Type="http://schemas.openxmlformats.org/officeDocument/2006/relationships/footer" Target="footer21.xml"/><Relationship Id="rId69"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footer" Target="footer15.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on/onca/doc/2015/2015onca55/2015onca55.html?autocompleteStr=2015%20ONCA%2055&amp;autocompletePos=1" TargetMode="External"/><Relationship Id="rId33" Type="http://schemas.openxmlformats.org/officeDocument/2006/relationships/hyperlink" Target="http://www.canlii.org/fr/qc/qcca/doc/2015/2015qcca569/2015qcca569.html" TargetMode="External"/><Relationship Id="rId38" Type="http://schemas.openxmlformats.org/officeDocument/2006/relationships/footer" Target="footer8.xml"/><Relationship Id="rId46" Type="http://schemas.openxmlformats.org/officeDocument/2006/relationships/header" Target="header13.xml"/><Relationship Id="rId59" Type="http://schemas.openxmlformats.org/officeDocument/2006/relationships/footer" Target="footer19.xml"/><Relationship Id="rId67" Type="http://schemas.openxmlformats.org/officeDocument/2006/relationships/header" Target="header23.xml"/><Relationship Id="rId20" Type="http://schemas.openxmlformats.org/officeDocument/2006/relationships/header" Target="header6.xml"/><Relationship Id="rId41" Type="http://schemas.openxmlformats.org/officeDocument/2006/relationships/footer" Target="footer10.xml"/><Relationship Id="rId54" Type="http://schemas.openxmlformats.org/officeDocument/2006/relationships/header" Target="header17.xml"/><Relationship Id="rId62" Type="http://schemas.openxmlformats.org/officeDocument/2006/relationships/header" Target="header21.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6749</Words>
  <Characters>38474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2015-09-11T17:02:00Z</dcterms:created>
  <dcterms:modified xsi:type="dcterms:W3CDTF">2015-11-26T21:47:00Z</dcterms:modified>
</cp:coreProperties>
</file>