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F186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F186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F186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F186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F186C"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F186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F186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3F186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3F186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090BF3" w:rsidP="00F0068D">
      <w:pPr>
        <w:pBdr>
          <w:bottom w:val="single" w:sz="6" w:space="1" w:color="auto"/>
        </w:pBdr>
        <w:tabs>
          <w:tab w:val="center" w:pos="4680"/>
          <w:tab w:val="right" w:pos="9360"/>
        </w:tabs>
        <w:rPr>
          <w:lang w:val="fr-CA"/>
        </w:rPr>
      </w:pPr>
      <w:proofErr w:type="spellStart"/>
      <w:r>
        <w:rPr>
          <w:lang w:val="fr-CA"/>
        </w:rPr>
        <w:t>November</w:t>
      </w:r>
      <w:proofErr w:type="spellEnd"/>
      <w:r w:rsidR="00440E24" w:rsidRPr="00675479">
        <w:rPr>
          <w:lang w:val="fr-CA"/>
        </w:rPr>
        <w:t xml:space="preserve"> </w:t>
      </w:r>
      <w:r>
        <w:rPr>
          <w:lang w:val="fr-CA"/>
        </w:rPr>
        <w:t>6</w:t>
      </w:r>
      <w:r w:rsidR="00440E24" w:rsidRPr="00675479">
        <w:rPr>
          <w:lang w:val="fr-CA"/>
        </w:rPr>
        <w:t>, 201</w:t>
      </w:r>
      <w:r w:rsidR="00020DC3">
        <w:rPr>
          <w:lang w:val="fr-CA"/>
        </w:rPr>
        <w:t>5</w:t>
      </w:r>
      <w:r w:rsidR="00F0068D" w:rsidRPr="00675479">
        <w:rPr>
          <w:lang w:val="fr-CA"/>
        </w:rPr>
        <w:tab/>
        <w:t>1</w:t>
      </w:r>
      <w:r>
        <w:rPr>
          <w:lang w:val="fr-CA"/>
        </w:rPr>
        <w:t>600</w:t>
      </w:r>
      <w:r w:rsidR="00F0068D" w:rsidRPr="00675479">
        <w:rPr>
          <w:lang w:val="fr-CA"/>
        </w:rPr>
        <w:t xml:space="preserve"> - </w:t>
      </w:r>
      <w:r w:rsidR="006A3A34">
        <w:rPr>
          <w:lang w:val="fr-CA"/>
        </w:rPr>
        <w:t>164</w:t>
      </w:r>
      <w:r w:rsidR="007A2980">
        <w:rPr>
          <w:lang w:val="fr-CA"/>
        </w:rPr>
        <w:t>1</w:t>
      </w:r>
      <w:r w:rsidR="00440E24" w:rsidRPr="00675479">
        <w:rPr>
          <w:lang w:val="fr-CA"/>
        </w:rPr>
        <w:tab/>
      </w:r>
      <w:r w:rsidR="00440E24" w:rsidRPr="002E2327">
        <w:rPr>
          <w:lang w:val="fr-CA"/>
        </w:rPr>
        <w:t>Le</w:t>
      </w:r>
      <w:r w:rsidR="00C73D06">
        <w:rPr>
          <w:lang w:val="fr-CA"/>
        </w:rPr>
        <w:t xml:space="preserve"> </w:t>
      </w:r>
      <w:r>
        <w:rPr>
          <w:lang w:val="fr-CA"/>
        </w:rPr>
        <w:t>6</w:t>
      </w:r>
      <w:r w:rsidR="00C73D06">
        <w:rPr>
          <w:lang w:val="fr-CA"/>
        </w:rPr>
        <w:t xml:space="preserve"> </w:t>
      </w:r>
      <w:r>
        <w:rPr>
          <w:lang w:val="fr-CA"/>
        </w:rPr>
        <w:t>novembre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xml:space="preserve">© </w:t>
      </w:r>
      <w:proofErr w:type="spellStart"/>
      <w:r w:rsidRPr="00020DC3">
        <w:rPr>
          <w:sz w:val="18"/>
          <w:szCs w:val="18"/>
        </w:rPr>
        <w:t>Cour</w:t>
      </w:r>
      <w:proofErr w:type="spellEnd"/>
      <w:r w:rsidRPr="00020DC3">
        <w:rPr>
          <w:sz w:val="18"/>
          <w:szCs w:val="18"/>
        </w:rPr>
        <w:t xml:space="preserve"> </w:t>
      </w:r>
      <w:proofErr w:type="spellStart"/>
      <w:r w:rsidRPr="00020DC3">
        <w:rPr>
          <w:sz w:val="18"/>
          <w:szCs w:val="18"/>
        </w:rPr>
        <w:t>suprême</w:t>
      </w:r>
      <w:proofErr w:type="spellEnd"/>
      <w:r w:rsidRPr="00020DC3">
        <w:rPr>
          <w:sz w:val="18"/>
          <w:szCs w:val="18"/>
        </w:rPr>
        <w:t xml:space="preserv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95096B" w:rsidP="00FF62D7">
            <w:pPr>
              <w:tabs>
                <w:tab w:val="right" w:pos="9360"/>
              </w:tabs>
              <w:rPr>
                <w:rFonts w:cs="Times New Roman"/>
                <w:sz w:val="20"/>
                <w:szCs w:val="20"/>
              </w:rPr>
            </w:pPr>
            <w:r w:rsidRPr="002E2327">
              <w:rPr>
                <w:rFonts w:cs="Times New Roman"/>
                <w:sz w:val="20"/>
                <w:szCs w:val="20"/>
              </w:rPr>
              <w:t>Appeals heard since last issue and disposition</w:t>
            </w:r>
          </w:p>
        </w:tc>
        <w:tc>
          <w:tcPr>
            <w:tcW w:w="1980" w:type="dxa"/>
          </w:tcPr>
          <w:p w:rsidR="0095096B" w:rsidRPr="002E2327" w:rsidRDefault="001D59AD" w:rsidP="0095096B">
            <w:pPr>
              <w:jc w:val="center"/>
              <w:rPr>
                <w:rFonts w:cs="Times New Roman"/>
                <w:sz w:val="20"/>
                <w:szCs w:val="20"/>
              </w:rPr>
            </w:pPr>
            <w:r>
              <w:rPr>
                <w:rFonts w:cs="Times New Roman"/>
                <w:sz w:val="20"/>
                <w:szCs w:val="20"/>
              </w:rPr>
              <w:t xml:space="preserve">1600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sidR="003764C0">
              <w:rPr>
                <w:rFonts w:cs="Times New Roman"/>
                <w:sz w:val="20"/>
                <w:szCs w:val="20"/>
              </w:rPr>
              <w:t xml:space="preserve"> 1602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764C0" w:rsidP="0095096B">
            <w:pPr>
              <w:jc w:val="center"/>
              <w:rPr>
                <w:rFonts w:cs="Times New Roman"/>
                <w:sz w:val="20"/>
                <w:szCs w:val="20"/>
              </w:rPr>
            </w:pPr>
            <w:r>
              <w:rPr>
                <w:rFonts w:cs="Times New Roman"/>
                <w:sz w:val="20"/>
                <w:szCs w:val="20"/>
              </w:rPr>
              <w:t>1603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764C0" w:rsidP="0095096B">
            <w:pPr>
              <w:jc w:val="center"/>
              <w:rPr>
                <w:rFonts w:cs="Times New Roman"/>
                <w:sz w:val="20"/>
                <w:szCs w:val="20"/>
              </w:rPr>
            </w:pPr>
            <w:r>
              <w:rPr>
                <w:rFonts w:cs="Times New Roman"/>
                <w:sz w:val="20"/>
                <w:szCs w:val="20"/>
              </w:rPr>
              <w:t xml:space="preserve">1604 </w:t>
            </w:r>
            <w:r w:rsidR="0095096B" w:rsidRPr="002E2327">
              <w:rPr>
                <w:rFonts w:cs="Times New Roman"/>
                <w:sz w:val="20"/>
                <w:szCs w:val="20"/>
              </w:rPr>
              <w:t>-</w:t>
            </w:r>
            <w:r>
              <w:rPr>
                <w:rFonts w:cs="Times New Roman"/>
                <w:sz w:val="20"/>
                <w:szCs w:val="20"/>
              </w:rPr>
              <w:t xml:space="preserve"> 1632</w:t>
            </w:r>
          </w:p>
          <w:p w:rsidR="0095096B" w:rsidRPr="002E2327" w:rsidRDefault="0095096B" w:rsidP="0095096B">
            <w:pPr>
              <w:jc w:val="center"/>
              <w:rPr>
                <w:rFonts w:cs="Times New Roman"/>
                <w:sz w:val="20"/>
                <w:szCs w:val="20"/>
              </w:rPr>
            </w:pPr>
          </w:p>
          <w:p w:rsidR="003764C0" w:rsidRDefault="003764C0" w:rsidP="0095096B">
            <w:pPr>
              <w:jc w:val="center"/>
              <w:rPr>
                <w:rFonts w:cs="Times New Roman"/>
                <w:sz w:val="20"/>
                <w:szCs w:val="20"/>
              </w:rPr>
            </w:pPr>
          </w:p>
          <w:p w:rsidR="0095096B" w:rsidRPr="002E2327" w:rsidRDefault="00FF62D7" w:rsidP="0095096B">
            <w:pPr>
              <w:jc w:val="center"/>
              <w:rPr>
                <w:rFonts w:cs="Times New Roman"/>
                <w:sz w:val="20"/>
                <w:szCs w:val="20"/>
              </w:rPr>
            </w:pPr>
            <w:r>
              <w:rPr>
                <w:rFonts w:cs="Times New Roman"/>
                <w:sz w:val="20"/>
                <w:szCs w:val="20"/>
              </w:rPr>
              <w:t xml:space="preserve">1633 </w:t>
            </w:r>
            <w:r w:rsidR="0095096B" w:rsidRPr="002E2327">
              <w:rPr>
                <w:rFonts w:cs="Times New Roman"/>
                <w:sz w:val="20"/>
                <w:szCs w:val="20"/>
              </w:rPr>
              <w:t>-</w:t>
            </w:r>
            <w:r>
              <w:rPr>
                <w:rFonts w:cs="Times New Roman"/>
                <w:sz w:val="20"/>
                <w:szCs w:val="20"/>
              </w:rPr>
              <w:t xml:space="preserve"> 1638</w:t>
            </w:r>
          </w:p>
          <w:p w:rsidR="0095096B" w:rsidRPr="002E2327" w:rsidRDefault="0095096B" w:rsidP="0095096B">
            <w:pPr>
              <w:jc w:val="center"/>
              <w:rPr>
                <w:rFonts w:cs="Times New Roman"/>
                <w:sz w:val="20"/>
                <w:szCs w:val="20"/>
              </w:rPr>
            </w:pPr>
          </w:p>
          <w:p w:rsidR="0095096B" w:rsidRPr="002E2327" w:rsidRDefault="00FF62D7" w:rsidP="0095096B">
            <w:pPr>
              <w:jc w:val="center"/>
              <w:rPr>
                <w:rFonts w:cs="Times New Roman"/>
                <w:sz w:val="20"/>
                <w:szCs w:val="20"/>
              </w:rPr>
            </w:pPr>
            <w:r>
              <w:rPr>
                <w:rFonts w:cs="Times New Roman"/>
                <w:sz w:val="20"/>
                <w:szCs w:val="20"/>
              </w:rPr>
              <w:t>1639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F62D7" w:rsidP="0095096B">
            <w:pPr>
              <w:jc w:val="center"/>
              <w:rPr>
                <w:rFonts w:cs="Times New Roman"/>
                <w:sz w:val="20"/>
                <w:szCs w:val="20"/>
              </w:rPr>
            </w:pPr>
            <w:r>
              <w:rPr>
                <w:rFonts w:cs="Times New Roman"/>
                <w:sz w:val="20"/>
                <w:szCs w:val="20"/>
              </w:rPr>
              <w:t xml:space="preserve">1640 </w:t>
            </w:r>
            <w:r w:rsidR="0095096B" w:rsidRPr="002E2327">
              <w:rPr>
                <w:rFonts w:cs="Times New Roman"/>
                <w:sz w:val="20"/>
                <w:szCs w:val="20"/>
              </w:rPr>
              <w:t>-</w:t>
            </w:r>
            <w:r>
              <w:rPr>
                <w:rFonts w:cs="Times New Roman"/>
                <w:sz w:val="20"/>
                <w:szCs w:val="20"/>
              </w:rPr>
              <w:t xml:space="preserve"> 164</w:t>
            </w:r>
            <w:r w:rsidR="00DC1D28">
              <w:rPr>
                <w:rFonts w:cs="Times New Roman"/>
                <w:sz w:val="20"/>
                <w:szCs w:val="20"/>
              </w:rPr>
              <w:t>1</w:t>
            </w:r>
          </w:p>
          <w:p w:rsidR="00A87207" w:rsidRDefault="00A87207" w:rsidP="00FF62D7">
            <w:pPr>
              <w:tabs>
                <w:tab w:val="right" w:pos="9360"/>
              </w:tabs>
              <w:jc w:val="center"/>
              <w:rPr>
                <w:rFonts w:cs="Times New Roman"/>
                <w:sz w:val="20"/>
                <w:szCs w:val="20"/>
              </w:rPr>
            </w:pPr>
          </w:p>
          <w:p w:rsidR="00FF62D7" w:rsidRPr="002E2327" w:rsidRDefault="00FF62D7" w:rsidP="00FF62D7">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A87207" w:rsidRPr="002E2327" w:rsidRDefault="0095096B" w:rsidP="00FF62D7">
            <w:pPr>
              <w:rPr>
                <w:rFonts w:cs="Times New Roman"/>
                <w:sz w:val="20"/>
                <w:szCs w:val="20"/>
                <w:lang w:val="fr-CA"/>
              </w:rPr>
            </w:pPr>
            <w:r w:rsidRPr="002E2327">
              <w:rPr>
                <w:rFonts w:cs="Times New Roman"/>
                <w:sz w:val="20"/>
                <w:szCs w:val="20"/>
                <w:lang w:val="fr-CA"/>
              </w:rPr>
              <w:t>parution et résultat</w:t>
            </w: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3F186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8C5206">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pgNumType w:start="160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F186C" w:rsidTr="003B3977">
        <w:tc>
          <w:tcPr>
            <w:tcW w:w="4320" w:type="dxa"/>
            <w:shd w:val="clear" w:color="auto" w:fill="auto"/>
          </w:tcPr>
          <w:p w:rsidR="00C21644" w:rsidRPr="00A935AA" w:rsidRDefault="00C21644" w:rsidP="005F1ED8">
            <w:pPr>
              <w:rPr>
                <w:b/>
                <w:sz w:val="20"/>
                <w:szCs w:val="20"/>
              </w:rPr>
            </w:pPr>
            <w:proofErr w:type="spellStart"/>
            <w:r>
              <w:rPr>
                <w:b/>
                <w:sz w:val="20"/>
                <w:szCs w:val="20"/>
              </w:rPr>
              <w:t>S</w:t>
            </w:r>
            <w:r w:rsidR="009F22F4">
              <w:rPr>
                <w:b/>
                <w:sz w:val="20"/>
                <w:szCs w:val="20"/>
              </w:rPr>
              <w:t>aulteau</w:t>
            </w:r>
            <w:proofErr w:type="spellEnd"/>
            <w:r w:rsidR="009F22F4">
              <w:rPr>
                <w:b/>
                <w:sz w:val="20"/>
                <w:szCs w:val="20"/>
              </w:rPr>
              <w:t xml:space="preserve"> First Nations</w:t>
            </w:r>
          </w:p>
          <w:p w:rsidR="00C21644" w:rsidRPr="00A935AA" w:rsidRDefault="00C21644" w:rsidP="005F1ED8">
            <w:pPr>
              <w:tabs>
                <w:tab w:val="left" w:pos="-1440"/>
                <w:tab w:val="left" w:pos="-720"/>
              </w:tabs>
              <w:rPr>
                <w:sz w:val="20"/>
                <w:szCs w:val="20"/>
              </w:rPr>
            </w:pPr>
            <w:r w:rsidRPr="00A935AA">
              <w:rPr>
                <w:sz w:val="20"/>
                <w:szCs w:val="20"/>
              </w:rPr>
              <w:tab/>
            </w:r>
            <w:r w:rsidR="0020769E">
              <w:rPr>
                <w:sz w:val="20"/>
                <w:szCs w:val="20"/>
              </w:rPr>
              <w:t>James</w:t>
            </w:r>
            <w:r>
              <w:rPr>
                <w:sz w:val="20"/>
                <w:szCs w:val="20"/>
              </w:rPr>
              <w:t xml:space="preserve"> </w:t>
            </w:r>
            <w:r w:rsidR="0020769E">
              <w:rPr>
                <w:sz w:val="20"/>
                <w:szCs w:val="20"/>
              </w:rPr>
              <w:t>Hickling</w:t>
            </w:r>
          </w:p>
          <w:p w:rsidR="00C21644" w:rsidRPr="00CC21E6" w:rsidRDefault="00C21644" w:rsidP="005F1ED8">
            <w:pPr>
              <w:tabs>
                <w:tab w:val="left" w:pos="-1440"/>
                <w:tab w:val="left" w:pos="-720"/>
              </w:tabs>
              <w:rPr>
                <w:sz w:val="20"/>
                <w:szCs w:val="20"/>
                <w:lang w:val="en-US"/>
              </w:rPr>
            </w:pPr>
            <w:r w:rsidRPr="00A935AA">
              <w:rPr>
                <w:sz w:val="20"/>
                <w:szCs w:val="20"/>
              </w:rPr>
              <w:tab/>
            </w:r>
            <w:r w:rsidR="0020769E">
              <w:rPr>
                <w:sz w:val="20"/>
                <w:szCs w:val="20"/>
              </w:rPr>
              <w:t>Donovan &amp; Company</w:t>
            </w:r>
          </w:p>
          <w:p w:rsidR="00C21644" w:rsidRPr="00CC21E6" w:rsidRDefault="00C21644" w:rsidP="005F1ED8">
            <w:pPr>
              <w:tabs>
                <w:tab w:val="left" w:pos="-1440"/>
                <w:tab w:val="left" w:pos="-720"/>
              </w:tabs>
              <w:rPr>
                <w:sz w:val="20"/>
                <w:szCs w:val="20"/>
                <w:lang w:val="en-US"/>
              </w:rPr>
            </w:pPr>
          </w:p>
          <w:p w:rsidR="00C21644" w:rsidRPr="00CC21E6" w:rsidRDefault="00C21644" w:rsidP="005F1ED8">
            <w:pPr>
              <w:tabs>
                <w:tab w:val="left" w:pos="-1440"/>
                <w:tab w:val="left" w:pos="-720"/>
              </w:tabs>
              <w:rPr>
                <w:sz w:val="20"/>
                <w:szCs w:val="20"/>
                <w:lang w:val="en-US"/>
              </w:rPr>
            </w:pPr>
            <w:r w:rsidRPr="00CC21E6">
              <w:rPr>
                <w:sz w:val="20"/>
                <w:szCs w:val="20"/>
                <w:lang w:val="en-US"/>
              </w:rPr>
              <w:tab/>
              <w:t>v. (36</w:t>
            </w:r>
            <w:r w:rsidR="009F22F4" w:rsidRPr="00CC21E6">
              <w:rPr>
                <w:sz w:val="20"/>
                <w:szCs w:val="20"/>
                <w:lang w:val="en-US"/>
              </w:rPr>
              <w:t>677</w:t>
            </w:r>
            <w:r w:rsidRPr="00CC21E6">
              <w:rPr>
                <w:sz w:val="20"/>
                <w:szCs w:val="20"/>
                <w:lang w:val="en-US"/>
              </w:rPr>
              <w:t>)</w:t>
            </w:r>
          </w:p>
          <w:p w:rsidR="00C21644" w:rsidRPr="00CC21E6" w:rsidRDefault="00C21644" w:rsidP="005F1ED8">
            <w:pPr>
              <w:tabs>
                <w:tab w:val="left" w:pos="-1440"/>
                <w:tab w:val="left" w:pos="-720"/>
              </w:tabs>
              <w:rPr>
                <w:sz w:val="20"/>
                <w:szCs w:val="20"/>
                <w:lang w:val="en-US"/>
              </w:rPr>
            </w:pPr>
          </w:p>
          <w:p w:rsidR="00C21644" w:rsidRPr="00A935AA" w:rsidRDefault="009F22F4" w:rsidP="005F1ED8">
            <w:pPr>
              <w:tabs>
                <w:tab w:val="left" w:pos="-1440"/>
                <w:tab w:val="left" w:pos="-720"/>
              </w:tabs>
              <w:rPr>
                <w:b/>
                <w:sz w:val="20"/>
                <w:szCs w:val="20"/>
              </w:rPr>
            </w:pPr>
            <w:r w:rsidRPr="00CC21E6">
              <w:rPr>
                <w:b/>
                <w:sz w:val="20"/>
                <w:szCs w:val="20"/>
                <w:lang w:val="en-US"/>
              </w:rPr>
              <w:t>A</w:t>
            </w:r>
            <w:r w:rsidR="00F9443D" w:rsidRPr="00CC21E6">
              <w:rPr>
                <w:b/>
                <w:sz w:val="20"/>
                <w:szCs w:val="20"/>
                <w:lang w:val="en-US"/>
              </w:rPr>
              <w:t xml:space="preserve">ttorney </w:t>
            </w:r>
            <w:r w:rsidRPr="00CC21E6">
              <w:rPr>
                <w:b/>
                <w:sz w:val="20"/>
                <w:szCs w:val="20"/>
                <w:lang w:val="en-US"/>
              </w:rPr>
              <w:t>G</w:t>
            </w:r>
            <w:r w:rsidR="00F9443D" w:rsidRPr="00CC21E6">
              <w:rPr>
                <w:b/>
                <w:sz w:val="20"/>
                <w:szCs w:val="20"/>
                <w:lang w:val="en-US"/>
              </w:rPr>
              <w:t>eneral</w:t>
            </w:r>
            <w:r w:rsidRPr="00CC21E6">
              <w:rPr>
                <w:b/>
                <w:sz w:val="20"/>
                <w:szCs w:val="20"/>
                <w:lang w:val="en-US"/>
              </w:rPr>
              <w:t xml:space="preserve"> of Canada et al.</w:t>
            </w:r>
            <w:r w:rsidR="00C21644" w:rsidRPr="00CC21E6">
              <w:rPr>
                <w:sz w:val="20"/>
                <w:szCs w:val="20"/>
                <w:lang w:val="en-US"/>
              </w:rPr>
              <w:t xml:space="preserve">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A12270">
              <w:rPr>
                <w:sz w:val="20"/>
                <w:szCs w:val="20"/>
              </w:rPr>
              <w:t>Kenneth A. Manning</w:t>
            </w:r>
          </w:p>
          <w:p w:rsidR="00C21644" w:rsidRPr="00A935AA" w:rsidRDefault="00C21644" w:rsidP="005F1ED8">
            <w:pPr>
              <w:tabs>
                <w:tab w:val="left" w:pos="-1440"/>
                <w:tab w:val="left" w:pos="-720"/>
              </w:tabs>
              <w:rPr>
                <w:sz w:val="20"/>
                <w:szCs w:val="20"/>
              </w:rPr>
            </w:pPr>
            <w:r w:rsidRPr="00A935AA">
              <w:rPr>
                <w:sz w:val="20"/>
                <w:szCs w:val="20"/>
              </w:rPr>
              <w:tab/>
            </w:r>
            <w:r w:rsidR="00A12270">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A12270">
              <w:rPr>
                <w:sz w:val="20"/>
                <w:szCs w:val="20"/>
              </w:rPr>
              <w:t>13</w:t>
            </w:r>
            <w:r w:rsidRPr="00A935AA">
              <w:rPr>
                <w:sz w:val="20"/>
                <w:szCs w:val="20"/>
              </w:rPr>
              <w:t>.</w:t>
            </w:r>
            <w:r>
              <w:rPr>
                <w:sz w:val="20"/>
                <w:szCs w:val="20"/>
              </w:rPr>
              <w:t>1</w:t>
            </w:r>
            <w:r w:rsidR="00A12270">
              <w:rPr>
                <w:sz w:val="20"/>
                <w:szCs w:val="20"/>
              </w:rPr>
              <w:t>0</w:t>
            </w:r>
            <w:r w:rsidRPr="00A935AA">
              <w:rPr>
                <w:sz w:val="20"/>
                <w:szCs w:val="20"/>
              </w:rPr>
              <w:t>.201</w:t>
            </w:r>
            <w:r w:rsidR="00A12270">
              <w:rPr>
                <w:sz w:val="20"/>
                <w:szCs w:val="20"/>
              </w:rPr>
              <w:t>5</w:t>
            </w:r>
          </w:p>
          <w:p w:rsidR="00C21644" w:rsidRPr="00A935AA" w:rsidRDefault="00C232E1"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821C0F" w:rsidP="005F1ED8">
            <w:pPr>
              <w:keepNext/>
              <w:keepLines/>
              <w:tabs>
                <w:tab w:val="left" w:pos="-1440"/>
                <w:tab w:val="left" w:pos="-720"/>
              </w:tabs>
              <w:rPr>
                <w:b/>
                <w:sz w:val="20"/>
                <w:szCs w:val="20"/>
                <w:lang w:val="fr-CA"/>
              </w:rPr>
            </w:pPr>
            <w:r>
              <w:rPr>
                <w:b/>
                <w:sz w:val="20"/>
                <w:szCs w:val="20"/>
                <w:lang w:val="fr-CA"/>
              </w:rPr>
              <w:t>Ville de Québec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3D5223">
              <w:rPr>
                <w:sz w:val="20"/>
                <w:szCs w:val="20"/>
                <w:lang w:val="fr-CA"/>
              </w:rPr>
              <w:t>Benoît Lussier</w:t>
            </w:r>
          </w:p>
          <w:p w:rsidR="00C21644" w:rsidRPr="00806A5B" w:rsidRDefault="003D5223" w:rsidP="005F1ED8">
            <w:pPr>
              <w:keepNext/>
              <w:keepLines/>
              <w:tabs>
                <w:tab w:val="left" w:pos="-1440"/>
                <w:tab w:val="left" w:pos="-720"/>
              </w:tabs>
              <w:rPr>
                <w:sz w:val="20"/>
                <w:szCs w:val="20"/>
                <w:lang w:val="fr-CA"/>
              </w:rPr>
            </w:pPr>
            <w:r>
              <w:rPr>
                <w:sz w:val="20"/>
                <w:szCs w:val="20"/>
                <w:lang w:val="fr-CA"/>
              </w:rPr>
              <w:tab/>
            </w:r>
            <w:proofErr w:type="spellStart"/>
            <w:r>
              <w:rPr>
                <w:sz w:val="20"/>
                <w:szCs w:val="20"/>
                <w:lang w:val="fr-CA"/>
              </w:rPr>
              <w:t>Giasson</w:t>
            </w:r>
            <w:proofErr w:type="spellEnd"/>
            <w:r>
              <w:rPr>
                <w:sz w:val="20"/>
                <w:szCs w:val="20"/>
                <w:lang w:val="fr-CA"/>
              </w:rPr>
              <w:t xml:space="preserve"> et Associés</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t>c. (36</w:t>
            </w:r>
            <w:r w:rsidR="00821C0F">
              <w:rPr>
                <w:sz w:val="20"/>
                <w:szCs w:val="20"/>
                <w:lang w:val="fr-CA"/>
              </w:rPr>
              <w:t>691</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821C0F" w:rsidP="005F1ED8">
            <w:pPr>
              <w:keepNext/>
              <w:keepLines/>
              <w:tabs>
                <w:tab w:val="left" w:pos="-1440"/>
                <w:tab w:val="left" w:pos="-720"/>
              </w:tabs>
              <w:rPr>
                <w:b/>
                <w:sz w:val="20"/>
                <w:szCs w:val="20"/>
                <w:lang w:val="fr-CA"/>
              </w:rPr>
            </w:pPr>
            <w:r>
              <w:rPr>
                <w:b/>
                <w:sz w:val="20"/>
                <w:szCs w:val="20"/>
                <w:lang w:val="fr-CA"/>
              </w:rPr>
              <w:t>Équipements É.M.U. Ltée et autres</w:t>
            </w:r>
            <w:r w:rsidR="00C21644" w:rsidRPr="00806A5B">
              <w:rPr>
                <w:b/>
                <w:sz w:val="20"/>
                <w:szCs w:val="20"/>
                <w:lang w:val="fr-CA"/>
              </w:rPr>
              <w:t xml:space="preserve"> (</w:t>
            </w:r>
            <w:proofErr w:type="spellStart"/>
            <w:r w:rsidR="00C21644" w:rsidRPr="00806A5B">
              <w:rPr>
                <w:b/>
                <w:sz w:val="20"/>
                <w:szCs w:val="20"/>
                <w:lang w:val="fr-CA"/>
              </w:rPr>
              <w:t>Qc</w:t>
            </w:r>
            <w:proofErr w:type="spellEnd"/>
            <w:r w:rsidR="00C21644" w:rsidRPr="00806A5B">
              <w:rPr>
                <w:b/>
                <w:sz w:val="20"/>
                <w:szCs w:val="20"/>
                <w:lang w:val="fr-CA"/>
              </w:rPr>
              <w:t>)</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E631AD">
              <w:rPr>
                <w:sz w:val="20"/>
                <w:szCs w:val="20"/>
                <w:lang w:val="fr-CA"/>
              </w:rPr>
              <w:t xml:space="preserve">Pierre </w:t>
            </w:r>
            <w:proofErr w:type="spellStart"/>
            <w:r w:rsidR="00E631AD">
              <w:rPr>
                <w:sz w:val="20"/>
                <w:szCs w:val="20"/>
                <w:lang w:val="fr-CA"/>
              </w:rPr>
              <w:t>Gourdeau</w:t>
            </w:r>
            <w:proofErr w:type="spellEnd"/>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E631AD">
              <w:rPr>
                <w:sz w:val="20"/>
                <w:szCs w:val="20"/>
                <w:lang w:val="fr-CA"/>
              </w:rPr>
              <w:t xml:space="preserve">Carter </w:t>
            </w:r>
            <w:proofErr w:type="spellStart"/>
            <w:r w:rsidR="00E631AD">
              <w:rPr>
                <w:sz w:val="20"/>
                <w:szCs w:val="20"/>
                <w:lang w:val="fr-CA"/>
              </w:rPr>
              <w:t>Gourdeau</w:t>
            </w:r>
            <w:proofErr w:type="spellEnd"/>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821C0F">
            <w:pPr>
              <w:rPr>
                <w:sz w:val="20"/>
                <w:szCs w:val="20"/>
                <w:lang w:val="fr-CA"/>
              </w:rPr>
            </w:pPr>
            <w:r w:rsidRPr="00806A5B">
              <w:rPr>
                <w:sz w:val="20"/>
                <w:szCs w:val="20"/>
                <w:lang w:val="fr-CA"/>
              </w:rPr>
              <w:t>DATE DE PRODUCTION: 1</w:t>
            </w:r>
            <w:r w:rsidR="00821C0F">
              <w:rPr>
                <w:sz w:val="20"/>
                <w:szCs w:val="20"/>
                <w:lang w:val="fr-CA"/>
              </w:rPr>
              <w:t>5</w:t>
            </w:r>
            <w:r w:rsidRPr="00806A5B">
              <w:rPr>
                <w:sz w:val="20"/>
                <w:szCs w:val="20"/>
                <w:lang w:val="fr-CA"/>
              </w:rPr>
              <w:t>.</w:t>
            </w:r>
            <w:r w:rsidR="00821C0F">
              <w:rPr>
                <w:sz w:val="20"/>
                <w:szCs w:val="20"/>
                <w:lang w:val="fr-CA"/>
              </w:rPr>
              <w:t>1</w:t>
            </w:r>
            <w:r w:rsidRPr="00806A5B">
              <w:rPr>
                <w:sz w:val="20"/>
                <w:szCs w:val="20"/>
                <w:lang w:val="fr-CA"/>
              </w:rPr>
              <w:t>0.201</w:t>
            </w:r>
            <w:r w:rsidR="00821C0F">
              <w:rPr>
                <w:sz w:val="20"/>
                <w:szCs w:val="20"/>
                <w:lang w:val="fr-CA"/>
              </w:rPr>
              <w:t>5</w:t>
            </w:r>
            <w:r w:rsidR="00C232E1">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CC21E6" w:rsidRDefault="000A3868" w:rsidP="003B3977">
            <w:pPr>
              <w:rPr>
                <w:b/>
                <w:sz w:val="20"/>
                <w:szCs w:val="20"/>
                <w:lang w:val="en-US"/>
              </w:rPr>
            </w:pPr>
            <w:r w:rsidRPr="00CC21E6">
              <w:rPr>
                <w:b/>
                <w:sz w:val="20"/>
                <w:szCs w:val="20"/>
                <w:lang w:val="en-US"/>
              </w:rPr>
              <w:t>W.E.M.</w:t>
            </w:r>
          </w:p>
          <w:p w:rsidR="00C21644" w:rsidRPr="00CC21E6" w:rsidRDefault="00C21644" w:rsidP="003B3977">
            <w:pPr>
              <w:tabs>
                <w:tab w:val="left" w:pos="-1440"/>
                <w:tab w:val="left" w:pos="-720"/>
              </w:tabs>
              <w:rPr>
                <w:sz w:val="20"/>
                <w:szCs w:val="20"/>
                <w:lang w:val="en-US"/>
              </w:rPr>
            </w:pPr>
            <w:r w:rsidRPr="00CC21E6">
              <w:rPr>
                <w:sz w:val="20"/>
                <w:szCs w:val="20"/>
                <w:lang w:val="en-US"/>
              </w:rPr>
              <w:tab/>
            </w:r>
            <w:r w:rsidR="007063BD" w:rsidRPr="00CC21E6">
              <w:rPr>
                <w:sz w:val="20"/>
                <w:szCs w:val="20"/>
                <w:lang w:val="en-US"/>
              </w:rPr>
              <w:t xml:space="preserve">Jennifer </w:t>
            </w:r>
            <w:proofErr w:type="spellStart"/>
            <w:r w:rsidR="007063BD" w:rsidRPr="00CC21E6">
              <w:rPr>
                <w:sz w:val="20"/>
                <w:szCs w:val="20"/>
                <w:lang w:val="en-US"/>
              </w:rPr>
              <w:t>Ruttan</w:t>
            </w:r>
            <w:proofErr w:type="spellEnd"/>
          </w:p>
          <w:p w:rsidR="00C21644" w:rsidRPr="00CC21E6" w:rsidRDefault="00C21644" w:rsidP="003B3977">
            <w:pPr>
              <w:tabs>
                <w:tab w:val="left" w:pos="-1440"/>
                <w:tab w:val="left" w:pos="-720"/>
              </w:tabs>
              <w:rPr>
                <w:sz w:val="20"/>
                <w:szCs w:val="20"/>
                <w:lang w:val="en-US"/>
              </w:rPr>
            </w:pPr>
            <w:r w:rsidRPr="00CC21E6">
              <w:rPr>
                <w:sz w:val="20"/>
                <w:szCs w:val="20"/>
                <w:lang w:val="en-US"/>
              </w:rPr>
              <w:tab/>
            </w:r>
            <w:proofErr w:type="spellStart"/>
            <w:r w:rsidR="007063BD" w:rsidRPr="00CC21E6">
              <w:rPr>
                <w:sz w:val="20"/>
                <w:szCs w:val="20"/>
                <w:lang w:val="en-US"/>
              </w:rPr>
              <w:t>Ruttan</w:t>
            </w:r>
            <w:proofErr w:type="spellEnd"/>
            <w:r w:rsidR="007063BD" w:rsidRPr="00CC21E6">
              <w:rPr>
                <w:sz w:val="20"/>
                <w:szCs w:val="20"/>
                <w:lang w:val="en-US"/>
              </w:rPr>
              <w:t xml:space="preserve"> Bates</w:t>
            </w:r>
          </w:p>
          <w:p w:rsidR="00C21644" w:rsidRPr="00CC21E6" w:rsidRDefault="00C21644" w:rsidP="003B3977">
            <w:pPr>
              <w:tabs>
                <w:tab w:val="left" w:pos="-1440"/>
                <w:tab w:val="left" w:pos="-720"/>
              </w:tabs>
              <w:rPr>
                <w:sz w:val="20"/>
                <w:szCs w:val="20"/>
                <w:lang w:val="en-US"/>
              </w:rPr>
            </w:pPr>
          </w:p>
          <w:p w:rsidR="00C21644" w:rsidRPr="00A935AA" w:rsidRDefault="00C21644" w:rsidP="003B3977">
            <w:pPr>
              <w:tabs>
                <w:tab w:val="left" w:pos="-1440"/>
                <w:tab w:val="left" w:pos="-720"/>
              </w:tabs>
              <w:rPr>
                <w:sz w:val="20"/>
                <w:szCs w:val="20"/>
              </w:rPr>
            </w:pPr>
            <w:r w:rsidRPr="00CC21E6">
              <w:rPr>
                <w:sz w:val="20"/>
                <w:szCs w:val="20"/>
                <w:lang w:val="en-US"/>
              </w:rPr>
              <w:tab/>
            </w:r>
            <w:r w:rsidRPr="00A935AA">
              <w:rPr>
                <w:sz w:val="20"/>
                <w:szCs w:val="20"/>
              </w:rPr>
              <w:t>v. (3</w:t>
            </w:r>
            <w:r w:rsidR="000A3868">
              <w:rPr>
                <w:sz w:val="20"/>
                <w:szCs w:val="20"/>
              </w:rPr>
              <w:t>6680</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0A3868" w:rsidP="003B3977">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F9443D">
              <w:rPr>
                <w:b/>
                <w:sz w:val="20"/>
                <w:szCs w:val="20"/>
              </w:rPr>
              <w:t>Alta</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7063BD">
              <w:rPr>
                <w:sz w:val="20"/>
                <w:szCs w:val="20"/>
              </w:rPr>
              <w:t>Brian Graff</w:t>
            </w:r>
          </w:p>
          <w:p w:rsidR="00C21644" w:rsidRPr="00A935AA" w:rsidRDefault="00C21644" w:rsidP="003B3977">
            <w:pPr>
              <w:tabs>
                <w:tab w:val="left" w:pos="-1440"/>
                <w:tab w:val="left" w:pos="-720"/>
              </w:tabs>
              <w:rPr>
                <w:sz w:val="20"/>
                <w:szCs w:val="20"/>
              </w:rPr>
            </w:pPr>
            <w:r w:rsidRPr="00A935AA">
              <w:rPr>
                <w:sz w:val="20"/>
                <w:szCs w:val="20"/>
              </w:rPr>
              <w:tab/>
            </w:r>
            <w:r w:rsidR="007063BD">
              <w:rPr>
                <w:sz w:val="20"/>
                <w:szCs w:val="20"/>
              </w:rPr>
              <w:t>A.G. of Alberta</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0A3868">
              <w:rPr>
                <w:sz w:val="20"/>
                <w:szCs w:val="20"/>
              </w:rPr>
              <w:t>15</w:t>
            </w:r>
            <w:r w:rsidRPr="00A935AA">
              <w:rPr>
                <w:sz w:val="20"/>
                <w:szCs w:val="20"/>
              </w:rPr>
              <w:t>.</w:t>
            </w:r>
            <w:r w:rsidR="000A3868">
              <w:rPr>
                <w:sz w:val="20"/>
                <w:szCs w:val="20"/>
              </w:rPr>
              <w:t>1</w:t>
            </w:r>
            <w:r w:rsidRPr="00A935AA">
              <w:rPr>
                <w:sz w:val="20"/>
                <w:szCs w:val="20"/>
              </w:rPr>
              <w:t>0.201</w:t>
            </w:r>
            <w:r w:rsidR="000A3868">
              <w:rPr>
                <w:sz w:val="20"/>
                <w:szCs w:val="20"/>
              </w:rPr>
              <w:t>5</w:t>
            </w:r>
          </w:p>
          <w:p w:rsidR="00C21644" w:rsidRPr="00A935AA" w:rsidRDefault="00C232E1"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C21E6" w:rsidRDefault="00A57063" w:rsidP="003B3977">
            <w:pPr>
              <w:keepNext/>
              <w:keepLines/>
              <w:tabs>
                <w:tab w:val="left" w:pos="-1440"/>
                <w:tab w:val="left" w:pos="-720"/>
              </w:tabs>
              <w:rPr>
                <w:b/>
                <w:sz w:val="20"/>
                <w:szCs w:val="20"/>
                <w:lang w:val="en-US"/>
              </w:rPr>
            </w:pPr>
            <w:r w:rsidRPr="00CC21E6">
              <w:rPr>
                <w:b/>
                <w:sz w:val="20"/>
                <w:szCs w:val="20"/>
                <w:lang w:val="en-US"/>
              </w:rPr>
              <w:t xml:space="preserve">Ross </w:t>
            </w:r>
            <w:proofErr w:type="spellStart"/>
            <w:r w:rsidRPr="00CC21E6">
              <w:rPr>
                <w:b/>
                <w:sz w:val="20"/>
                <w:szCs w:val="20"/>
                <w:lang w:val="en-US"/>
              </w:rPr>
              <w:t>Gulkison</w:t>
            </w:r>
            <w:proofErr w:type="spellEnd"/>
          </w:p>
          <w:p w:rsidR="00C21644" w:rsidRPr="00CC21E6" w:rsidRDefault="00C21644" w:rsidP="003B3977">
            <w:pPr>
              <w:keepNext/>
              <w:keepLines/>
              <w:tabs>
                <w:tab w:val="left" w:pos="-1440"/>
                <w:tab w:val="left" w:pos="-720"/>
              </w:tabs>
              <w:rPr>
                <w:sz w:val="20"/>
                <w:szCs w:val="20"/>
                <w:lang w:val="en-US"/>
              </w:rPr>
            </w:pPr>
            <w:r w:rsidRPr="00CC21E6">
              <w:rPr>
                <w:sz w:val="20"/>
                <w:szCs w:val="20"/>
                <w:lang w:val="en-US"/>
              </w:rPr>
              <w:tab/>
            </w:r>
            <w:r w:rsidR="00A57063" w:rsidRPr="00CC21E6">
              <w:rPr>
                <w:sz w:val="20"/>
                <w:szCs w:val="20"/>
                <w:lang w:val="en-US"/>
              </w:rPr>
              <w:t>Car</w:t>
            </w:r>
            <w:r w:rsidR="00C22405" w:rsidRPr="00CC21E6">
              <w:rPr>
                <w:sz w:val="20"/>
                <w:szCs w:val="20"/>
                <w:lang w:val="en-US"/>
              </w:rPr>
              <w:t>e</w:t>
            </w:r>
            <w:r w:rsidR="00A57063" w:rsidRPr="00CC21E6">
              <w:rPr>
                <w:sz w:val="20"/>
                <w:szCs w:val="20"/>
                <w:lang w:val="en-US"/>
              </w:rPr>
              <w:t xml:space="preserve">y D. </w:t>
            </w:r>
            <w:proofErr w:type="spellStart"/>
            <w:r w:rsidR="00A57063" w:rsidRPr="00CC21E6">
              <w:rPr>
                <w:sz w:val="20"/>
                <w:szCs w:val="20"/>
                <w:lang w:val="en-US"/>
              </w:rPr>
              <w:t>Veinotte</w:t>
            </w:r>
            <w:proofErr w:type="spellEnd"/>
          </w:p>
          <w:p w:rsidR="00C21644" w:rsidRPr="00A935AA" w:rsidRDefault="00C21644" w:rsidP="003B3977">
            <w:pPr>
              <w:keepNext/>
              <w:keepLines/>
              <w:tabs>
                <w:tab w:val="left" w:pos="-1440"/>
                <w:tab w:val="left" w:pos="-720"/>
              </w:tabs>
              <w:rPr>
                <w:sz w:val="20"/>
                <w:szCs w:val="20"/>
              </w:rPr>
            </w:pPr>
            <w:r w:rsidRPr="00CC21E6">
              <w:rPr>
                <w:sz w:val="20"/>
                <w:szCs w:val="20"/>
                <w:lang w:val="en-US"/>
              </w:rPr>
              <w:tab/>
            </w:r>
            <w:r w:rsidR="00A57063" w:rsidRPr="00CC21E6">
              <w:rPr>
                <w:sz w:val="20"/>
                <w:szCs w:val="20"/>
                <w:lang w:val="en-US"/>
              </w:rPr>
              <w:t xml:space="preserve">Taylor, </w:t>
            </w:r>
            <w:proofErr w:type="spellStart"/>
            <w:r w:rsidR="00A57063" w:rsidRPr="00CC21E6">
              <w:rPr>
                <w:sz w:val="20"/>
                <w:szCs w:val="20"/>
                <w:lang w:val="en-US"/>
              </w:rPr>
              <w:t>Veinotte</w:t>
            </w:r>
            <w:proofErr w:type="spellEnd"/>
            <w:r w:rsidR="00A57063" w:rsidRPr="00CC21E6">
              <w:rPr>
                <w:sz w:val="20"/>
                <w:szCs w:val="20"/>
                <w:lang w:val="en-US"/>
              </w:rPr>
              <w:t>, Sullivan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A57063">
              <w:rPr>
                <w:sz w:val="20"/>
                <w:szCs w:val="20"/>
              </w:rPr>
              <w:t>6681</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A57063" w:rsidP="003B3977">
            <w:pPr>
              <w:keepNext/>
              <w:keepLines/>
              <w:tabs>
                <w:tab w:val="left" w:pos="-1440"/>
                <w:tab w:val="left" w:pos="-720"/>
              </w:tabs>
              <w:rPr>
                <w:b/>
                <w:sz w:val="20"/>
                <w:szCs w:val="20"/>
              </w:rPr>
            </w:pPr>
            <w:r>
              <w:rPr>
                <w:b/>
                <w:sz w:val="20"/>
                <w:szCs w:val="20"/>
              </w:rPr>
              <w:t xml:space="preserve">Vancouver Police Board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A57063">
              <w:rPr>
                <w:sz w:val="20"/>
                <w:szCs w:val="20"/>
              </w:rPr>
              <w:t>Bruce T. Quayle</w:t>
            </w:r>
          </w:p>
          <w:p w:rsidR="00C21644" w:rsidRPr="00A935AA" w:rsidRDefault="00C21644" w:rsidP="003B3977">
            <w:pPr>
              <w:keepNext/>
              <w:keepLines/>
              <w:tabs>
                <w:tab w:val="left" w:pos="-1440"/>
                <w:tab w:val="left" w:pos="-720"/>
              </w:tabs>
              <w:rPr>
                <w:sz w:val="20"/>
                <w:szCs w:val="20"/>
              </w:rPr>
            </w:pPr>
            <w:r w:rsidRPr="00A935AA">
              <w:rPr>
                <w:sz w:val="20"/>
                <w:szCs w:val="20"/>
              </w:rPr>
              <w:tab/>
            </w:r>
            <w:r w:rsidR="00A57063">
              <w:rPr>
                <w:sz w:val="20"/>
                <w:szCs w:val="20"/>
              </w:rPr>
              <w:t>City of Vancouver</w:t>
            </w:r>
          </w:p>
          <w:p w:rsidR="00C21644" w:rsidRPr="00A935AA" w:rsidRDefault="00C21644" w:rsidP="003B3977">
            <w:pPr>
              <w:keepNext/>
              <w:keepLines/>
              <w:tabs>
                <w:tab w:val="left" w:pos="-1440"/>
                <w:tab w:val="left" w:pos="-720"/>
              </w:tabs>
              <w:rPr>
                <w:sz w:val="20"/>
                <w:szCs w:val="20"/>
              </w:rPr>
            </w:pPr>
          </w:p>
          <w:p w:rsidR="00C21644" w:rsidRPr="00A935AA" w:rsidRDefault="00C21644" w:rsidP="00A57063">
            <w:pPr>
              <w:rPr>
                <w:sz w:val="20"/>
                <w:szCs w:val="20"/>
              </w:rPr>
            </w:pPr>
            <w:r w:rsidRPr="00A935AA">
              <w:rPr>
                <w:sz w:val="20"/>
                <w:szCs w:val="20"/>
              </w:rPr>
              <w:t xml:space="preserve">FILING DATE: </w:t>
            </w:r>
            <w:r w:rsidR="00A57063">
              <w:rPr>
                <w:sz w:val="20"/>
                <w:szCs w:val="20"/>
              </w:rPr>
              <w:t>16</w:t>
            </w:r>
            <w:r w:rsidRPr="00A935AA">
              <w:rPr>
                <w:sz w:val="20"/>
                <w:szCs w:val="20"/>
              </w:rPr>
              <w:t>.</w:t>
            </w:r>
            <w:r w:rsidR="00A57063">
              <w:rPr>
                <w:sz w:val="20"/>
                <w:szCs w:val="20"/>
              </w:rPr>
              <w:t>1</w:t>
            </w:r>
            <w:r w:rsidRPr="00A935AA">
              <w:rPr>
                <w:sz w:val="20"/>
                <w:szCs w:val="20"/>
              </w:rPr>
              <w:t>0.201</w:t>
            </w:r>
            <w:r w:rsidR="00A57063">
              <w:rPr>
                <w:sz w:val="20"/>
                <w:szCs w:val="20"/>
              </w:rPr>
              <w:t>5</w:t>
            </w:r>
            <w:r w:rsidR="00C232E1">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757EFC" w:rsidP="005F1ED8">
            <w:pPr>
              <w:rPr>
                <w:b/>
                <w:sz w:val="20"/>
                <w:szCs w:val="20"/>
              </w:rPr>
            </w:pPr>
            <w:r>
              <w:rPr>
                <w:b/>
                <w:sz w:val="20"/>
                <w:szCs w:val="20"/>
              </w:rPr>
              <w:t>Hamlet of Clyde River et al.</w:t>
            </w:r>
          </w:p>
          <w:p w:rsidR="00C21644" w:rsidRPr="00A935AA" w:rsidRDefault="00C21644" w:rsidP="005F1ED8">
            <w:pPr>
              <w:tabs>
                <w:tab w:val="left" w:pos="-1440"/>
                <w:tab w:val="left" w:pos="-720"/>
              </w:tabs>
              <w:rPr>
                <w:sz w:val="20"/>
                <w:szCs w:val="20"/>
              </w:rPr>
            </w:pPr>
            <w:r w:rsidRPr="00A935AA">
              <w:rPr>
                <w:sz w:val="20"/>
                <w:szCs w:val="20"/>
              </w:rPr>
              <w:tab/>
            </w:r>
            <w:r w:rsidR="00757EFC">
              <w:rPr>
                <w:sz w:val="20"/>
                <w:szCs w:val="20"/>
              </w:rPr>
              <w:t>Nader R. Hasan</w:t>
            </w:r>
          </w:p>
          <w:p w:rsidR="00C21644" w:rsidRPr="00A935AA" w:rsidRDefault="00C21644" w:rsidP="005F1ED8">
            <w:pPr>
              <w:tabs>
                <w:tab w:val="left" w:pos="-1440"/>
                <w:tab w:val="left" w:pos="-720"/>
              </w:tabs>
              <w:rPr>
                <w:sz w:val="20"/>
                <w:szCs w:val="20"/>
              </w:rPr>
            </w:pPr>
            <w:r w:rsidRPr="00A935AA">
              <w:rPr>
                <w:sz w:val="20"/>
                <w:szCs w:val="20"/>
              </w:rPr>
              <w:tab/>
            </w:r>
            <w:proofErr w:type="spellStart"/>
            <w:r w:rsidR="00757EFC">
              <w:rPr>
                <w:sz w:val="20"/>
                <w:szCs w:val="20"/>
              </w:rPr>
              <w:t>Stockwoods</w:t>
            </w:r>
            <w:proofErr w:type="spellEnd"/>
            <w:r w:rsidR="00757EFC">
              <w:rPr>
                <w:sz w:val="20"/>
                <w:szCs w:val="20"/>
              </w:rPr>
              <w:t xml:space="preserve">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757EFC">
              <w:rPr>
                <w:sz w:val="20"/>
                <w:szCs w:val="20"/>
              </w:rPr>
              <w:t>6692</w:t>
            </w:r>
            <w:r w:rsidRPr="00A935AA">
              <w:rPr>
                <w:sz w:val="20"/>
                <w:szCs w:val="20"/>
              </w:rPr>
              <w:t>)</w:t>
            </w:r>
          </w:p>
          <w:p w:rsidR="00C21644" w:rsidRPr="00A935AA" w:rsidRDefault="00C21644" w:rsidP="005F1ED8">
            <w:pPr>
              <w:tabs>
                <w:tab w:val="left" w:pos="-1440"/>
                <w:tab w:val="left" w:pos="-720"/>
              </w:tabs>
              <w:rPr>
                <w:sz w:val="20"/>
                <w:szCs w:val="20"/>
              </w:rPr>
            </w:pPr>
          </w:p>
          <w:p w:rsidR="00C21644" w:rsidRPr="00CC21E6" w:rsidRDefault="00757EFC" w:rsidP="005F1ED8">
            <w:pPr>
              <w:tabs>
                <w:tab w:val="left" w:pos="-1440"/>
                <w:tab w:val="left" w:pos="-720"/>
              </w:tabs>
              <w:rPr>
                <w:b/>
                <w:sz w:val="20"/>
                <w:szCs w:val="20"/>
                <w:lang w:val="fr-CA"/>
              </w:rPr>
            </w:pPr>
            <w:r>
              <w:rPr>
                <w:b/>
                <w:sz w:val="20"/>
                <w:szCs w:val="20"/>
              </w:rPr>
              <w:t xml:space="preserve">Petroleum Geo-Services </w:t>
            </w:r>
            <w:r w:rsidRPr="00156EC4">
              <w:rPr>
                <w:b/>
                <w:sz w:val="20"/>
                <w:szCs w:val="20"/>
              </w:rPr>
              <w:t>I</w:t>
            </w:r>
            <w:r w:rsidR="00F9443D">
              <w:rPr>
                <w:b/>
                <w:sz w:val="20"/>
                <w:szCs w:val="20"/>
              </w:rPr>
              <w:t>nc</w:t>
            </w:r>
            <w:r w:rsidRPr="00156EC4">
              <w:rPr>
                <w:b/>
                <w:sz w:val="20"/>
                <w:szCs w:val="20"/>
              </w:rPr>
              <w:t>.</w:t>
            </w:r>
            <w:r>
              <w:rPr>
                <w:b/>
                <w:sz w:val="20"/>
                <w:szCs w:val="20"/>
              </w:rPr>
              <w:t xml:space="preserve"> </w:t>
            </w:r>
            <w:r w:rsidRPr="00CC21E6">
              <w:rPr>
                <w:b/>
                <w:sz w:val="20"/>
                <w:szCs w:val="20"/>
                <w:lang w:val="fr-CA"/>
              </w:rPr>
              <w:t xml:space="preserve">(PGS) et al. </w:t>
            </w:r>
            <w:r w:rsidR="00C21644" w:rsidRPr="00CC21E6">
              <w:rPr>
                <w:b/>
                <w:sz w:val="20"/>
                <w:szCs w:val="20"/>
                <w:lang w:val="fr-CA"/>
              </w:rPr>
              <w:t>(</w:t>
            </w:r>
            <w:r w:rsidRPr="00CC21E6">
              <w:rPr>
                <w:b/>
                <w:sz w:val="20"/>
                <w:szCs w:val="20"/>
                <w:lang w:val="fr-CA"/>
              </w:rPr>
              <w:t>F.C</w:t>
            </w:r>
            <w:r w:rsidR="00C21644" w:rsidRPr="00CC21E6">
              <w:rPr>
                <w:b/>
                <w:sz w:val="20"/>
                <w:szCs w:val="20"/>
                <w:lang w:val="fr-CA"/>
              </w:rPr>
              <w:t>.)</w:t>
            </w:r>
          </w:p>
          <w:p w:rsidR="00C21644" w:rsidRPr="00CC21E6" w:rsidRDefault="00C21644" w:rsidP="005F1ED8">
            <w:pPr>
              <w:tabs>
                <w:tab w:val="left" w:pos="-1440"/>
                <w:tab w:val="left" w:pos="-720"/>
              </w:tabs>
              <w:rPr>
                <w:sz w:val="20"/>
                <w:szCs w:val="20"/>
                <w:lang w:val="fr-CA"/>
              </w:rPr>
            </w:pPr>
            <w:r w:rsidRPr="00CC21E6">
              <w:rPr>
                <w:sz w:val="20"/>
                <w:szCs w:val="20"/>
                <w:lang w:val="fr-CA"/>
              </w:rPr>
              <w:tab/>
            </w:r>
            <w:r w:rsidR="00757EFC" w:rsidRPr="00CC21E6">
              <w:rPr>
                <w:sz w:val="20"/>
                <w:szCs w:val="20"/>
                <w:lang w:val="fr-CA"/>
              </w:rPr>
              <w:t>Nancy G. Rubin</w:t>
            </w:r>
          </w:p>
          <w:p w:rsidR="00C21644" w:rsidRPr="00A935AA" w:rsidRDefault="00C21644" w:rsidP="005F1ED8">
            <w:pPr>
              <w:tabs>
                <w:tab w:val="left" w:pos="-1440"/>
                <w:tab w:val="left" w:pos="-720"/>
              </w:tabs>
              <w:rPr>
                <w:sz w:val="20"/>
                <w:szCs w:val="20"/>
              </w:rPr>
            </w:pPr>
            <w:r w:rsidRPr="00CC21E6">
              <w:rPr>
                <w:sz w:val="20"/>
                <w:szCs w:val="20"/>
                <w:lang w:val="fr-CA"/>
              </w:rPr>
              <w:tab/>
            </w:r>
            <w:r w:rsidR="00757EFC">
              <w:rPr>
                <w:sz w:val="20"/>
                <w:szCs w:val="20"/>
              </w:rPr>
              <w:t xml:space="preserve">Stewart </w:t>
            </w:r>
            <w:proofErr w:type="spellStart"/>
            <w:r w:rsidR="00757EFC">
              <w:rPr>
                <w:sz w:val="20"/>
                <w:szCs w:val="20"/>
              </w:rPr>
              <w:t>McKelvey</w:t>
            </w:r>
            <w:proofErr w:type="spellEnd"/>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757EFC">
              <w:rPr>
                <w:sz w:val="20"/>
                <w:szCs w:val="20"/>
              </w:rPr>
              <w:t>16</w:t>
            </w:r>
            <w:r w:rsidRPr="00A935AA">
              <w:rPr>
                <w:sz w:val="20"/>
                <w:szCs w:val="20"/>
              </w:rPr>
              <w:t>.</w:t>
            </w:r>
            <w:r w:rsidR="00757EFC">
              <w:rPr>
                <w:sz w:val="20"/>
                <w:szCs w:val="20"/>
              </w:rPr>
              <w:t>1</w:t>
            </w:r>
            <w:r w:rsidRPr="00A935AA">
              <w:rPr>
                <w:sz w:val="20"/>
                <w:szCs w:val="20"/>
              </w:rPr>
              <w:t>0.201</w:t>
            </w:r>
            <w:r w:rsidR="00757EFC">
              <w:rPr>
                <w:sz w:val="20"/>
                <w:szCs w:val="20"/>
              </w:rPr>
              <w:t>5</w:t>
            </w:r>
          </w:p>
          <w:p w:rsidR="00C21644" w:rsidRPr="00A935AA" w:rsidRDefault="00C232E1"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C21E6" w:rsidRDefault="00E93865" w:rsidP="005F1ED8">
            <w:pPr>
              <w:rPr>
                <w:b/>
                <w:sz w:val="20"/>
                <w:szCs w:val="20"/>
                <w:lang w:val="fr-CA"/>
              </w:rPr>
            </w:pPr>
            <w:proofErr w:type="spellStart"/>
            <w:r w:rsidRPr="00CC21E6">
              <w:rPr>
                <w:b/>
                <w:sz w:val="20"/>
                <w:szCs w:val="20"/>
                <w:lang w:val="fr-CA"/>
              </w:rPr>
              <w:t>Merck</w:t>
            </w:r>
            <w:proofErr w:type="spellEnd"/>
            <w:r w:rsidRPr="00CC21E6">
              <w:rPr>
                <w:b/>
                <w:sz w:val="20"/>
                <w:szCs w:val="20"/>
                <w:lang w:val="fr-CA"/>
              </w:rPr>
              <w:t xml:space="preserve"> </w:t>
            </w:r>
            <w:proofErr w:type="spellStart"/>
            <w:r w:rsidRPr="00CC21E6">
              <w:rPr>
                <w:b/>
                <w:sz w:val="20"/>
                <w:szCs w:val="20"/>
                <w:lang w:val="fr-CA"/>
              </w:rPr>
              <w:t>Frosst</w:t>
            </w:r>
            <w:proofErr w:type="spellEnd"/>
            <w:r w:rsidRPr="00CC21E6">
              <w:rPr>
                <w:b/>
                <w:sz w:val="20"/>
                <w:szCs w:val="20"/>
                <w:lang w:val="fr-CA"/>
              </w:rPr>
              <w:t xml:space="preserve"> Canada Ltd. et al.</w:t>
            </w:r>
          </w:p>
          <w:p w:rsidR="00C21644" w:rsidRPr="00CC21E6" w:rsidRDefault="00C21644" w:rsidP="005F1ED8">
            <w:pPr>
              <w:tabs>
                <w:tab w:val="left" w:pos="-1440"/>
                <w:tab w:val="left" w:pos="-720"/>
              </w:tabs>
              <w:rPr>
                <w:sz w:val="20"/>
                <w:szCs w:val="20"/>
                <w:lang w:val="fr-CA"/>
              </w:rPr>
            </w:pPr>
            <w:r w:rsidRPr="00CC21E6">
              <w:rPr>
                <w:sz w:val="20"/>
                <w:szCs w:val="20"/>
                <w:lang w:val="fr-CA"/>
              </w:rPr>
              <w:tab/>
            </w:r>
            <w:r w:rsidR="00E93865" w:rsidRPr="00CC21E6">
              <w:rPr>
                <w:sz w:val="20"/>
                <w:szCs w:val="20"/>
                <w:lang w:val="fr-CA"/>
              </w:rPr>
              <w:t xml:space="preserve">Neil </w:t>
            </w:r>
            <w:proofErr w:type="spellStart"/>
            <w:r w:rsidR="00E93865" w:rsidRPr="00CC21E6">
              <w:rPr>
                <w:sz w:val="20"/>
                <w:szCs w:val="20"/>
                <w:lang w:val="fr-CA"/>
              </w:rPr>
              <w:t>Finkelstein</w:t>
            </w:r>
            <w:proofErr w:type="spellEnd"/>
          </w:p>
          <w:p w:rsidR="00C21644" w:rsidRPr="00CC21E6" w:rsidRDefault="00C21644" w:rsidP="005F1ED8">
            <w:pPr>
              <w:tabs>
                <w:tab w:val="left" w:pos="-1440"/>
                <w:tab w:val="left" w:pos="-720"/>
              </w:tabs>
              <w:rPr>
                <w:sz w:val="20"/>
                <w:szCs w:val="20"/>
                <w:lang w:val="fr-CA"/>
              </w:rPr>
            </w:pPr>
            <w:r w:rsidRPr="00CC21E6">
              <w:rPr>
                <w:sz w:val="20"/>
                <w:szCs w:val="20"/>
                <w:lang w:val="fr-CA"/>
              </w:rPr>
              <w:tab/>
            </w:r>
            <w:r w:rsidR="00E93865" w:rsidRPr="00CC21E6">
              <w:rPr>
                <w:sz w:val="20"/>
                <w:szCs w:val="20"/>
                <w:lang w:val="fr-CA"/>
              </w:rPr>
              <w:t xml:space="preserve">McCarthy </w:t>
            </w:r>
            <w:proofErr w:type="spellStart"/>
            <w:r w:rsidR="00E93865" w:rsidRPr="00CC21E6">
              <w:rPr>
                <w:sz w:val="20"/>
                <w:szCs w:val="20"/>
                <w:lang w:val="fr-CA"/>
              </w:rPr>
              <w:t>Tétrault</w:t>
            </w:r>
            <w:proofErr w:type="spellEnd"/>
            <w:r w:rsidR="00E93865" w:rsidRPr="00CC21E6">
              <w:rPr>
                <w:sz w:val="20"/>
                <w:szCs w:val="20"/>
                <w:lang w:val="fr-CA"/>
              </w:rPr>
              <w:t xml:space="preserve"> LLP</w:t>
            </w:r>
          </w:p>
          <w:p w:rsidR="00C21644" w:rsidRPr="00CC21E6" w:rsidRDefault="00C21644" w:rsidP="005F1ED8">
            <w:pPr>
              <w:tabs>
                <w:tab w:val="left" w:pos="-1440"/>
                <w:tab w:val="left" w:pos="-720"/>
              </w:tabs>
              <w:rPr>
                <w:sz w:val="20"/>
                <w:szCs w:val="20"/>
                <w:lang w:val="fr-CA"/>
              </w:rPr>
            </w:pPr>
          </w:p>
          <w:p w:rsidR="00C21644" w:rsidRPr="00CC21E6" w:rsidRDefault="00C21644" w:rsidP="005F1ED8">
            <w:pPr>
              <w:tabs>
                <w:tab w:val="left" w:pos="-1440"/>
                <w:tab w:val="left" w:pos="-720"/>
              </w:tabs>
              <w:rPr>
                <w:sz w:val="20"/>
                <w:szCs w:val="20"/>
                <w:lang w:val="fr-CA"/>
              </w:rPr>
            </w:pPr>
            <w:r w:rsidRPr="00CC21E6">
              <w:rPr>
                <w:sz w:val="20"/>
                <w:szCs w:val="20"/>
                <w:lang w:val="fr-CA"/>
              </w:rPr>
              <w:tab/>
              <w:t>v. (3</w:t>
            </w:r>
            <w:r w:rsidR="00E93865" w:rsidRPr="00CC21E6">
              <w:rPr>
                <w:sz w:val="20"/>
                <w:szCs w:val="20"/>
                <w:lang w:val="fr-CA"/>
              </w:rPr>
              <w:t>6668</w:t>
            </w:r>
            <w:r w:rsidRPr="00CC21E6">
              <w:rPr>
                <w:sz w:val="20"/>
                <w:szCs w:val="20"/>
                <w:lang w:val="fr-CA"/>
              </w:rPr>
              <w:t>)</w:t>
            </w:r>
          </w:p>
          <w:p w:rsidR="00C21644" w:rsidRPr="00CC21E6" w:rsidRDefault="00C21644" w:rsidP="005F1ED8">
            <w:pPr>
              <w:tabs>
                <w:tab w:val="left" w:pos="-1440"/>
                <w:tab w:val="left" w:pos="-720"/>
              </w:tabs>
              <w:rPr>
                <w:sz w:val="20"/>
                <w:szCs w:val="20"/>
                <w:lang w:val="fr-CA"/>
              </w:rPr>
            </w:pPr>
          </w:p>
          <w:p w:rsidR="00C21644" w:rsidRPr="00A935AA" w:rsidRDefault="00E93865" w:rsidP="005F1ED8">
            <w:pPr>
              <w:tabs>
                <w:tab w:val="left" w:pos="-1440"/>
                <w:tab w:val="left" w:pos="-720"/>
              </w:tabs>
              <w:rPr>
                <w:b/>
                <w:sz w:val="20"/>
                <w:szCs w:val="20"/>
              </w:rPr>
            </w:pPr>
            <w:r>
              <w:rPr>
                <w:b/>
                <w:sz w:val="20"/>
                <w:szCs w:val="20"/>
              </w:rPr>
              <w:t xml:space="preserve">Michael Miller </w:t>
            </w:r>
            <w:r w:rsidR="00C21644" w:rsidRPr="00A935AA">
              <w:rPr>
                <w:b/>
                <w:sz w:val="20"/>
                <w:szCs w:val="20"/>
              </w:rPr>
              <w:t>(</w:t>
            </w:r>
            <w:r w:rsidR="00F9443D">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93865">
              <w:rPr>
                <w:sz w:val="20"/>
                <w:szCs w:val="20"/>
              </w:rPr>
              <w:t>David A. Klein</w:t>
            </w:r>
          </w:p>
          <w:p w:rsidR="00C21644" w:rsidRPr="00A935AA" w:rsidRDefault="00C21644" w:rsidP="005F1ED8">
            <w:pPr>
              <w:tabs>
                <w:tab w:val="left" w:pos="-1440"/>
                <w:tab w:val="left" w:pos="-720"/>
              </w:tabs>
              <w:rPr>
                <w:sz w:val="20"/>
                <w:szCs w:val="20"/>
              </w:rPr>
            </w:pPr>
            <w:r w:rsidRPr="00A935AA">
              <w:rPr>
                <w:sz w:val="20"/>
                <w:szCs w:val="20"/>
              </w:rPr>
              <w:tab/>
            </w:r>
            <w:r w:rsidR="00E93865">
              <w:rPr>
                <w:sz w:val="20"/>
                <w:szCs w:val="20"/>
              </w:rPr>
              <w:t>Klein Lawyers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E93865">
              <w:rPr>
                <w:sz w:val="20"/>
                <w:szCs w:val="20"/>
              </w:rPr>
              <w:t>2</w:t>
            </w:r>
            <w:r w:rsidRPr="00A935AA">
              <w:rPr>
                <w:sz w:val="20"/>
                <w:szCs w:val="20"/>
              </w:rPr>
              <w:t>.</w:t>
            </w:r>
            <w:r w:rsidR="00E93865">
              <w:rPr>
                <w:sz w:val="20"/>
                <w:szCs w:val="20"/>
              </w:rPr>
              <w:t>1</w:t>
            </w:r>
            <w:r w:rsidRPr="00A935AA">
              <w:rPr>
                <w:sz w:val="20"/>
                <w:szCs w:val="20"/>
              </w:rPr>
              <w:t>0.201</w:t>
            </w:r>
            <w:r w:rsidR="00E93865">
              <w:rPr>
                <w:sz w:val="20"/>
                <w:szCs w:val="20"/>
              </w:rPr>
              <w:t>5</w:t>
            </w:r>
          </w:p>
          <w:p w:rsidR="00C21644" w:rsidRPr="00A935AA" w:rsidRDefault="00C232E1"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8F4A40" w:rsidP="005F1ED8">
            <w:pPr>
              <w:rPr>
                <w:b/>
                <w:sz w:val="20"/>
                <w:szCs w:val="20"/>
              </w:rPr>
            </w:pPr>
            <w:r>
              <w:rPr>
                <w:b/>
                <w:sz w:val="20"/>
                <w:szCs w:val="20"/>
              </w:rPr>
              <w:t>Campbell Ernest Crichton</w:t>
            </w:r>
          </w:p>
          <w:p w:rsidR="00C21644" w:rsidRPr="00A935AA" w:rsidRDefault="00C21644" w:rsidP="005F1ED8">
            <w:pPr>
              <w:tabs>
                <w:tab w:val="left" w:pos="-1440"/>
                <w:tab w:val="left" w:pos="-720"/>
              </w:tabs>
              <w:rPr>
                <w:sz w:val="20"/>
                <w:szCs w:val="20"/>
              </w:rPr>
            </w:pPr>
            <w:r w:rsidRPr="00A935AA">
              <w:rPr>
                <w:sz w:val="20"/>
                <w:szCs w:val="20"/>
              </w:rPr>
              <w:tab/>
            </w:r>
            <w:r w:rsidR="008F4A40">
              <w:rPr>
                <w:sz w:val="20"/>
                <w:szCs w:val="20"/>
              </w:rPr>
              <w:t xml:space="preserve">Michelle </w:t>
            </w:r>
            <w:proofErr w:type="spellStart"/>
            <w:r w:rsidR="008F4A40">
              <w:rPr>
                <w:sz w:val="20"/>
                <w:szCs w:val="20"/>
              </w:rPr>
              <w:t>Daneliuk</w:t>
            </w:r>
            <w:proofErr w:type="spellEnd"/>
          </w:p>
          <w:p w:rsidR="00C21644" w:rsidRPr="00A935AA" w:rsidRDefault="00C21644" w:rsidP="005F1ED8">
            <w:pPr>
              <w:tabs>
                <w:tab w:val="left" w:pos="-1440"/>
                <w:tab w:val="left" w:pos="-720"/>
              </w:tabs>
              <w:rPr>
                <w:sz w:val="20"/>
                <w:szCs w:val="20"/>
              </w:rPr>
            </w:pPr>
            <w:r w:rsidRPr="00A935AA">
              <w:rPr>
                <w:sz w:val="20"/>
                <w:szCs w:val="20"/>
              </w:rPr>
              <w:tab/>
            </w:r>
            <w:r w:rsidR="008F4A40">
              <w:rPr>
                <w:sz w:val="20"/>
                <w:szCs w:val="20"/>
              </w:rPr>
              <w:t xml:space="preserve">The Law Office of Michelle </w:t>
            </w:r>
            <w:proofErr w:type="spellStart"/>
            <w:r w:rsidR="008F4A40">
              <w:rPr>
                <w:sz w:val="20"/>
                <w:szCs w:val="20"/>
              </w:rPr>
              <w:t>Daneliuk</w:t>
            </w:r>
            <w:proofErr w:type="spellEnd"/>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8F4A40">
              <w:rPr>
                <w:sz w:val="20"/>
                <w:szCs w:val="20"/>
              </w:rPr>
              <w:t>6690</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8F4A40"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8F4A40">
              <w:rPr>
                <w:sz w:val="20"/>
                <w:szCs w:val="20"/>
              </w:rPr>
              <w:t>Eva L. Ross</w:t>
            </w:r>
          </w:p>
          <w:p w:rsidR="00C21644" w:rsidRPr="00A935AA" w:rsidRDefault="00C21644" w:rsidP="005F1ED8">
            <w:pPr>
              <w:tabs>
                <w:tab w:val="left" w:pos="-1440"/>
                <w:tab w:val="left" w:pos="-720"/>
              </w:tabs>
              <w:rPr>
                <w:sz w:val="20"/>
                <w:szCs w:val="20"/>
              </w:rPr>
            </w:pPr>
            <w:r w:rsidRPr="00A935AA">
              <w:rPr>
                <w:sz w:val="20"/>
                <w:szCs w:val="20"/>
              </w:rPr>
              <w:tab/>
            </w:r>
            <w:r w:rsidR="008F4A40">
              <w:rPr>
                <w:sz w:val="20"/>
                <w:szCs w:val="20"/>
              </w:rPr>
              <w:t>A.G. of B</w:t>
            </w:r>
            <w:r w:rsidR="00C5718E">
              <w:rPr>
                <w:sz w:val="20"/>
                <w:szCs w:val="20"/>
              </w:rPr>
              <w:t xml:space="preserve">ritish </w:t>
            </w:r>
            <w:r w:rsidR="008F4A40">
              <w:rPr>
                <w:sz w:val="20"/>
                <w:szCs w:val="20"/>
              </w:rPr>
              <w:t>C</w:t>
            </w:r>
            <w:r w:rsidR="00C5718E">
              <w:rPr>
                <w:sz w:val="20"/>
                <w:szCs w:val="20"/>
              </w:rPr>
              <w:t>olumbia</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8F4A40">
              <w:rPr>
                <w:sz w:val="20"/>
                <w:szCs w:val="20"/>
              </w:rPr>
              <w:t>16</w:t>
            </w:r>
            <w:r w:rsidRPr="00A935AA">
              <w:rPr>
                <w:sz w:val="20"/>
                <w:szCs w:val="20"/>
              </w:rPr>
              <w:t>.</w:t>
            </w:r>
            <w:r w:rsidR="008F4A40">
              <w:rPr>
                <w:sz w:val="20"/>
                <w:szCs w:val="20"/>
              </w:rPr>
              <w:t>1</w:t>
            </w:r>
            <w:r w:rsidRPr="00A935AA">
              <w:rPr>
                <w:sz w:val="20"/>
                <w:szCs w:val="20"/>
              </w:rPr>
              <w:t>0.201</w:t>
            </w:r>
            <w:r w:rsidR="008F4A40">
              <w:rPr>
                <w:sz w:val="20"/>
                <w:szCs w:val="20"/>
              </w:rPr>
              <w:t>5</w:t>
            </w:r>
          </w:p>
          <w:p w:rsidR="00C21644" w:rsidRPr="00A935AA" w:rsidRDefault="00C232E1"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CC21E6" w:rsidRDefault="00522080" w:rsidP="005F1ED8">
            <w:pPr>
              <w:rPr>
                <w:b/>
                <w:sz w:val="20"/>
                <w:szCs w:val="20"/>
                <w:lang w:val="fr-CA"/>
              </w:rPr>
            </w:pPr>
            <w:r w:rsidRPr="00CC21E6">
              <w:rPr>
                <w:b/>
                <w:sz w:val="20"/>
                <w:szCs w:val="20"/>
                <w:lang w:val="fr-CA"/>
              </w:rPr>
              <w:t xml:space="preserve">Dennis L. </w:t>
            </w:r>
            <w:proofErr w:type="spellStart"/>
            <w:r w:rsidRPr="00CC21E6">
              <w:rPr>
                <w:b/>
                <w:sz w:val="20"/>
                <w:szCs w:val="20"/>
                <w:lang w:val="fr-CA"/>
              </w:rPr>
              <w:t>Modry</w:t>
            </w:r>
            <w:proofErr w:type="spellEnd"/>
            <w:r w:rsidRPr="00CC21E6">
              <w:rPr>
                <w:b/>
                <w:sz w:val="20"/>
                <w:szCs w:val="20"/>
                <w:lang w:val="fr-CA"/>
              </w:rPr>
              <w:t xml:space="preserve"> et al.</w:t>
            </w:r>
          </w:p>
          <w:p w:rsidR="00C21644" w:rsidRPr="00A935AA" w:rsidRDefault="00C21644" w:rsidP="005F1ED8">
            <w:pPr>
              <w:tabs>
                <w:tab w:val="left" w:pos="-1440"/>
                <w:tab w:val="left" w:pos="-720"/>
              </w:tabs>
              <w:rPr>
                <w:sz w:val="20"/>
                <w:szCs w:val="20"/>
              </w:rPr>
            </w:pPr>
            <w:r w:rsidRPr="00CC21E6">
              <w:rPr>
                <w:sz w:val="20"/>
                <w:szCs w:val="20"/>
                <w:lang w:val="fr-CA"/>
              </w:rPr>
              <w:tab/>
            </w:r>
            <w:r w:rsidR="00F31881">
              <w:rPr>
                <w:sz w:val="20"/>
                <w:szCs w:val="20"/>
              </w:rPr>
              <w:t>Harold W. Veale, Q.C.</w:t>
            </w:r>
          </w:p>
          <w:p w:rsidR="00C21644" w:rsidRPr="00A935AA" w:rsidRDefault="00C21644" w:rsidP="005F1ED8">
            <w:pPr>
              <w:tabs>
                <w:tab w:val="left" w:pos="-1440"/>
                <w:tab w:val="left" w:pos="-720"/>
              </w:tabs>
              <w:rPr>
                <w:sz w:val="20"/>
                <w:szCs w:val="20"/>
              </w:rPr>
            </w:pPr>
            <w:r w:rsidRPr="00A935AA">
              <w:rPr>
                <w:sz w:val="20"/>
                <w:szCs w:val="20"/>
              </w:rPr>
              <w:tab/>
            </w:r>
            <w:r w:rsidR="00F31881">
              <w:rPr>
                <w:sz w:val="20"/>
                <w:szCs w:val="20"/>
              </w:rPr>
              <w:t>Ogilvie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522080">
              <w:rPr>
                <w:sz w:val="20"/>
                <w:szCs w:val="20"/>
              </w:rPr>
              <w:t>6694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522080" w:rsidP="005F1ED8">
            <w:pPr>
              <w:tabs>
                <w:tab w:val="left" w:pos="-1440"/>
                <w:tab w:val="left" w:pos="-720"/>
              </w:tabs>
              <w:rPr>
                <w:b/>
                <w:sz w:val="20"/>
                <w:szCs w:val="20"/>
              </w:rPr>
            </w:pPr>
            <w:r>
              <w:rPr>
                <w:b/>
                <w:sz w:val="20"/>
                <w:szCs w:val="20"/>
              </w:rPr>
              <w:t xml:space="preserve">Alberta Health Services et al. </w:t>
            </w:r>
            <w:r w:rsidR="00C21644" w:rsidRPr="00A935AA">
              <w:rPr>
                <w:b/>
                <w:sz w:val="20"/>
                <w:szCs w:val="20"/>
              </w:rPr>
              <w:t>(</w:t>
            </w:r>
            <w:r>
              <w:rPr>
                <w:b/>
                <w:sz w:val="20"/>
                <w:szCs w:val="20"/>
              </w:rPr>
              <w:t>Alta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F31881">
              <w:rPr>
                <w:sz w:val="20"/>
                <w:szCs w:val="20"/>
              </w:rPr>
              <w:t xml:space="preserve">P. Jonathan </w:t>
            </w:r>
            <w:proofErr w:type="spellStart"/>
            <w:r w:rsidR="00F31881">
              <w:rPr>
                <w:sz w:val="20"/>
                <w:szCs w:val="20"/>
              </w:rPr>
              <w:t>Faulds</w:t>
            </w:r>
            <w:proofErr w:type="spellEnd"/>
            <w:r w:rsidR="00F31881">
              <w:rPr>
                <w:sz w:val="20"/>
                <w:szCs w:val="20"/>
              </w:rPr>
              <w:t>, Q.C.</w:t>
            </w:r>
          </w:p>
          <w:p w:rsidR="00C21644" w:rsidRPr="00A935AA" w:rsidRDefault="00C21644" w:rsidP="005F1ED8">
            <w:pPr>
              <w:tabs>
                <w:tab w:val="left" w:pos="-1440"/>
                <w:tab w:val="left" w:pos="-720"/>
              </w:tabs>
              <w:rPr>
                <w:sz w:val="20"/>
                <w:szCs w:val="20"/>
              </w:rPr>
            </w:pPr>
            <w:r w:rsidRPr="00A935AA">
              <w:rPr>
                <w:sz w:val="20"/>
                <w:szCs w:val="20"/>
              </w:rPr>
              <w:tab/>
            </w:r>
            <w:r w:rsidR="00F31881">
              <w:rPr>
                <w:sz w:val="20"/>
                <w:szCs w:val="20"/>
              </w:rPr>
              <w:t>Field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522080">
              <w:rPr>
                <w:sz w:val="20"/>
                <w:szCs w:val="20"/>
              </w:rPr>
              <w:t>0</w:t>
            </w:r>
            <w:r w:rsidRPr="00A935AA">
              <w:rPr>
                <w:sz w:val="20"/>
                <w:szCs w:val="20"/>
              </w:rPr>
              <w:t>.</w:t>
            </w:r>
            <w:r w:rsidR="00522080">
              <w:rPr>
                <w:sz w:val="20"/>
                <w:szCs w:val="20"/>
              </w:rPr>
              <w:t>1</w:t>
            </w:r>
            <w:r w:rsidRPr="00A935AA">
              <w:rPr>
                <w:sz w:val="20"/>
                <w:szCs w:val="20"/>
              </w:rPr>
              <w:t>0.201</w:t>
            </w:r>
            <w:r w:rsidR="00522080">
              <w:rPr>
                <w:sz w:val="20"/>
                <w:szCs w:val="20"/>
              </w:rPr>
              <w:t>5</w:t>
            </w:r>
          </w:p>
          <w:p w:rsidR="00C21644" w:rsidRPr="00A935AA" w:rsidRDefault="00C232E1" w:rsidP="005F1ED8">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CC21E6" w:rsidRDefault="00D217AC" w:rsidP="005F1ED8">
            <w:pPr>
              <w:rPr>
                <w:b/>
                <w:sz w:val="20"/>
                <w:szCs w:val="20"/>
                <w:lang w:val="fr-CA"/>
              </w:rPr>
            </w:pPr>
            <w:r w:rsidRPr="00CC21E6">
              <w:rPr>
                <w:b/>
                <w:sz w:val="20"/>
                <w:szCs w:val="20"/>
                <w:lang w:val="fr-CA"/>
              </w:rPr>
              <w:lastRenderedPageBreak/>
              <w:t>A.G.</w:t>
            </w:r>
          </w:p>
          <w:p w:rsidR="00C21644" w:rsidRPr="00CC21E6" w:rsidRDefault="00C21644" w:rsidP="005F1ED8">
            <w:pPr>
              <w:tabs>
                <w:tab w:val="left" w:pos="-1440"/>
                <w:tab w:val="left" w:pos="-720"/>
              </w:tabs>
              <w:rPr>
                <w:sz w:val="20"/>
                <w:szCs w:val="20"/>
                <w:lang w:val="fr-CA"/>
              </w:rPr>
            </w:pPr>
          </w:p>
          <w:p w:rsidR="00C21644" w:rsidRPr="00CC21E6" w:rsidRDefault="00C21644" w:rsidP="005F1ED8">
            <w:pPr>
              <w:tabs>
                <w:tab w:val="left" w:pos="-1440"/>
                <w:tab w:val="left" w:pos="-720"/>
              </w:tabs>
              <w:rPr>
                <w:sz w:val="20"/>
                <w:szCs w:val="20"/>
                <w:lang w:val="fr-CA"/>
              </w:rPr>
            </w:pPr>
            <w:r w:rsidRPr="00CC21E6">
              <w:rPr>
                <w:sz w:val="20"/>
                <w:szCs w:val="20"/>
                <w:lang w:val="fr-CA"/>
              </w:rPr>
              <w:tab/>
            </w:r>
            <w:r w:rsidR="00D217AC" w:rsidRPr="00CC21E6">
              <w:rPr>
                <w:sz w:val="20"/>
                <w:szCs w:val="20"/>
                <w:lang w:val="fr-CA"/>
              </w:rPr>
              <w:t>c</w:t>
            </w:r>
            <w:r w:rsidRPr="00CC21E6">
              <w:rPr>
                <w:sz w:val="20"/>
                <w:szCs w:val="20"/>
                <w:lang w:val="fr-CA"/>
              </w:rPr>
              <w:t>. (3</w:t>
            </w:r>
            <w:r w:rsidR="00D217AC" w:rsidRPr="00CC21E6">
              <w:rPr>
                <w:sz w:val="20"/>
                <w:szCs w:val="20"/>
                <w:lang w:val="fr-CA"/>
              </w:rPr>
              <w:t>6659</w:t>
            </w:r>
            <w:r w:rsidRPr="00CC21E6">
              <w:rPr>
                <w:sz w:val="20"/>
                <w:szCs w:val="20"/>
                <w:lang w:val="fr-CA"/>
              </w:rPr>
              <w:t>)</w:t>
            </w:r>
          </w:p>
          <w:p w:rsidR="00C21644" w:rsidRPr="00CC21E6" w:rsidRDefault="00C21644" w:rsidP="005F1ED8">
            <w:pPr>
              <w:tabs>
                <w:tab w:val="left" w:pos="-1440"/>
                <w:tab w:val="left" w:pos="-720"/>
              </w:tabs>
              <w:rPr>
                <w:sz w:val="20"/>
                <w:szCs w:val="20"/>
                <w:lang w:val="fr-CA"/>
              </w:rPr>
            </w:pPr>
          </w:p>
          <w:p w:rsidR="00C21644" w:rsidRPr="00CC21E6" w:rsidRDefault="00D217AC" w:rsidP="005F1ED8">
            <w:pPr>
              <w:tabs>
                <w:tab w:val="left" w:pos="-1440"/>
                <w:tab w:val="left" w:pos="-720"/>
              </w:tabs>
              <w:rPr>
                <w:b/>
                <w:sz w:val="20"/>
                <w:szCs w:val="20"/>
                <w:lang w:val="fr-CA"/>
              </w:rPr>
            </w:pPr>
            <w:r w:rsidRPr="00CC21E6">
              <w:rPr>
                <w:b/>
                <w:sz w:val="20"/>
                <w:szCs w:val="20"/>
                <w:lang w:val="fr-CA"/>
              </w:rPr>
              <w:t xml:space="preserve">Curateur public du Québec, ès qualités </w:t>
            </w:r>
            <w:r w:rsidR="00C21644" w:rsidRPr="00CC21E6">
              <w:rPr>
                <w:b/>
                <w:sz w:val="20"/>
                <w:szCs w:val="20"/>
                <w:lang w:val="fr-CA"/>
              </w:rPr>
              <w:t>(</w:t>
            </w:r>
            <w:proofErr w:type="spellStart"/>
            <w:r w:rsidRPr="00CC21E6">
              <w:rPr>
                <w:b/>
                <w:sz w:val="20"/>
                <w:szCs w:val="20"/>
                <w:lang w:val="fr-CA"/>
              </w:rPr>
              <w:t>Qc</w:t>
            </w:r>
            <w:proofErr w:type="spellEnd"/>
            <w:r w:rsidR="00C21644" w:rsidRPr="00CC21E6">
              <w:rPr>
                <w:b/>
                <w:sz w:val="20"/>
                <w:szCs w:val="20"/>
                <w:lang w:val="fr-CA"/>
              </w:rPr>
              <w:t>)</w:t>
            </w:r>
          </w:p>
          <w:p w:rsidR="00C21644" w:rsidRPr="00CC21E6" w:rsidRDefault="00C21644" w:rsidP="005F1ED8">
            <w:pPr>
              <w:tabs>
                <w:tab w:val="left" w:pos="-1440"/>
                <w:tab w:val="left" w:pos="-720"/>
              </w:tabs>
              <w:rPr>
                <w:sz w:val="20"/>
                <w:szCs w:val="20"/>
                <w:lang w:val="fr-CA"/>
              </w:rPr>
            </w:pPr>
            <w:r w:rsidRPr="00CC21E6">
              <w:rPr>
                <w:sz w:val="20"/>
                <w:szCs w:val="20"/>
                <w:lang w:val="fr-CA"/>
              </w:rPr>
              <w:tab/>
            </w:r>
            <w:r w:rsidR="000B455F" w:rsidRPr="00CC21E6">
              <w:rPr>
                <w:sz w:val="20"/>
                <w:szCs w:val="20"/>
                <w:lang w:val="fr-CA"/>
              </w:rPr>
              <w:t>François Dupin</w:t>
            </w:r>
          </w:p>
          <w:p w:rsidR="00C21644" w:rsidRPr="00CC21E6" w:rsidRDefault="00C21644" w:rsidP="005F1ED8">
            <w:pPr>
              <w:tabs>
                <w:tab w:val="left" w:pos="-1440"/>
                <w:tab w:val="left" w:pos="-720"/>
              </w:tabs>
              <w:rPr>
                <w:sz w:val="20"/>
                <w:szCs w:val="20"/>
                <w:lang w:val="fr-CA"/>
              </w:rPr>
            </w:pPr>
            <w:r w:rsidRPr="00CC21E6">
              <w:rPr>
                <w:sz w:val="20"/>
                <w:szCs w:val="20"/>
                <w:lang w:val="fr-CA"/>
              </w:rPr>
              <w:tab/>
            </w:r>
            <w:r w:rsidR="000B455F" w:rsidRPr="00CC21E6">
              <w:rPr>
                <w:sz w:val="20"/>
                <w:szCs w:val="20"/>
                <w:lang w:val="fr-CA"/>
              </w:rPr>
              <w:t>Filion &amp; Associés</w:t>
            </w:r>
          </w:p>
          <w:p w:rsidR="00C21644" w:rsidRPr="00CC21E6" w:rsidRDefault="00C21644" w:rsidP="005F1ED8">
            <w:pPr>
              <w:tabs>
                <w:tab w:val="left" w:pos="-1440"/>
                <w:tab w:val="left" w:pos="-720"/>
              </w:tabs>
              <w:rPr>
                <w:sz w:val="20"/>
                <w:szCs w:val="20"/>
                <w:lang w:val="fr-CA"/>
              </w:rPr>
            </w:pPr>
          </w:p>
          <w:p w:rsidR="00C21644" w:rsidRPr="00CC21E6" w:rsidRDefault="00C5718E" w:rsidP="005F1ED8">
            <w:pPr>
              <w:rPr>
                <w:sz w:val="20"/>
                <w:szCs w:val="20"/>
                <w:lang w:val="fr-CA"/>
              </w:rPr>
            </w:pPr>
            <w:r w:rsidRPr="00CC21E6">
              <w:rPr>
                <w:sz w:val="20"/>
                <w:szCs w:val="20"/>
                <w:lang w:val="fr-CA"/>
              </w:rPr>
              <w:t>DATE DE</w:t>
            </w:r>
            <w:r w:rsidR="00C21644" w:rsidRPr="00CC21E6">
              <w:rPr>
                <w:sz w:val="20"/>
                <w:szCs w:val="20"/>
                <w:lang w:val="fr-CA"/>
              </w:rPr>
              <w:t xml:space="preserve"> </w:t>
            </w:r>
            <w:r w:rsidRPr="00CC21E6">
              <w:rPr>
                <w:sz w:val="20"/>
                <w:szCs w:val="20"/>
                <w:lang w:val="fr-CA"/>
              </w:rPr>
              <w:t>PRODUCTION:</w:t>
            </w:r>
            <w:r w:rsidR="00C21644" w:rsidRPr="00CC21E6">
              <w:rPr>
                <w:sz w:val="20"/>
                <w:szCs w:val="20"/>
                <w:lang w:val="fr-CA"/>
              </w:rPr>
              <w:t xml:space="preserve"> 2</w:t>
            </w:r>
            <w:r w:rsidR="00D217AC" w:rsidRPr="00CC21E6">
              <w:rPr>
                <w:sz w:val="20"/>
                <w:szCs w:val="20"/>
                <w:lang w:val="fr-CA"/>
              </w:rPr>
              <w:t>9</w:t>
            </w:r>
            <w:r w:rsidR="00C21644" w:rsidRPr="00CC21E6">
              <w:rPr>
                <w:sz w:val="20"/>
                <w:szCs w:val="20"/>
                <w:lang w:val="fr-CA"/>
              </w:rPr>
              <w:t>.0</w:t>
            </w:r>
            <w:r w:rsidR="00D217AC" w:rsidRPr="00CC21E6">
              <w:rPr>
                <w:sz w:val="20"/>
                <w:szCs w:val="20"/>
                <w:lang w:val="fr-CA"/>
              </w:rPr>
              <w:t>9</w:t>
            </w:r>
            <w:r w:rsidR="00C21644" w:rsidRPr="00CC21E6">
              <w:rPr>
                <w:sz w:val="20"/>
                <w:szCs w:val="20"/>
                <w:lang w:val="fr-CA"/>
              </w:rPr>
              <w:t>.201</w:t>
            </w:r>
            <w:r w:rsidR="00D217AC" w:rsidRPr="00CC21E6">
              <w:rPr>
                <w:sz w:val="20"/>
                <w:szCs w:val="20"/>
                <w:lang w:val="fr-CA"/>
              </w:rPr>
              <w:t>5</w:t>
            </w:r>
          </w:p>
          <w:p w:rsidR="00C21644" w:rsidRPr="00A935AA" w:rsidRDefault="00C232E1"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3765E5" w:rsidRPr="00A935AA" w:rsidRDefault="008B19E4" w:rsidP="003765E5">
            <w:pPr>
              <w:rPr>
                <w:b/>
                <w:sz w:val="20"/>
                <w:szCs w:val="20"/>
              </w:rPr>
            </w:pPr>
            <w:r>
              <w:rPr>
                <w:b/>
                <w:sz w:val="20"/>
                <w:szCs w:val="20"/>
              </w:rPr>
              <w:t>6517633 Canada Ltd.</w:t>
            </w:r>
          </w:p>
          <w:p w:rsidR="003765E5" w:rsidRPr="00A935AA" w:rsidRDefault="003765E5" w:rsidP="003765E5">
            <w:pPr>
              <w:tabs>
                <w:tab w:val="left" w:pos="-1440"/>
                <w:tab w:val="left" w:pos="-720"/>
              </w:tabs>
              <w:rPr>
                <w:sz w:val="20"/>
                <w:szCs w:val="20"/>
              </w:rPr>
            </w:pPr>
          </w:p>
          <w:p w:rsidR="003765E5" w:rsidRPr="00A935AA" w:rsidRDefault="003765E5" w:rsidP="003765E5">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669</w:t>
            </w:r>
            <w:r w:rsidR="008B19E4">
              <w:rPr>
                <w:sz w:val="20"/>
                <w:szCs w:val="20"/>
              </w:rPr>
              <w:t>5</w:t>
            </w:r>
            <w:r w:rsidRPr="00A935AA">
              <w:rPr>
                <w:sz w:val="20"/>
                <w:szCs w:val="20"/>
              </w:rPr>
              <w:t>)</w:t>
            </w:r>
          </w:p>
          <w:p w:rsidR="003765E5" w:rsidRPr="00A935AA" w:rsidRDefault="003765E5" w:rsidP="003765E5">
            <w:pPr>
              <w:tabs>
                <w:tab w:val="left" w:pos="-1440"/>
                <w:tab w:val="left" w:pos="-720"/>
              </w:tabs>
              <w:rPr>
                <w:sz w:val="20"/>
                <w:szCs w:val="20"/>
              </w:rPr>
            </w:pPr>
          </w:p>
          <w:p w:rsidR="003765E5" w:rsidRPr="00A935AA" w:rsidRDefault="008B19E4" w:rsidP="003765E5">
            <w:pPr>
              <w:tabs>
                <w:tab w:val="left" w:pos="-1440"/>
                <w:tab w:val="left" w:pos="-720"/>
              </w:tabs>
              <w:rPr>
                <w:b/>
                <w:sz w:val="20"/>
                <w:szCs w:val="20"/>
              </w:rPr>
            </w:pPr>
            <w:r>
              <w:rPr>
                <w:b/>
                <w:sz w:val="20"/>
                <w:szCs w:val="20"/>
              </w:rPr>
              <w:t>Knudsen and Sons Muddy View Ranch Ltd.</w:t>
            </w:r>
            <w:r w:rsidR="003765E5">
              <w:rPr>
                <w:b/>
                <w:sz w:val="20"/>
                <w:szCs w:val="20"/>
              </w:rPr>
              <w:t xml:space="preserve"> </w:t>
            </w:r>
            <w:r w:rsidR="003765E5" w:rsidRPr="00A935AA">
              <w:rPr>
                <w:b/>
                <w:sz w:val="20"/>
                <w:szCs w:val="20"/>
              </w:rPr>
              <w:t>(</w:t>
            </w:r>
            <w:r>
              <w:rPr>
                <w:b/>
                <w:sz w:val="20"/>
                <w:szCs w:val="20"/>
              </w:rPr>
              <w:t>Sask</w:t>
            </w:r>
            <w:r w:rsidR="003765E5">
              <w:rPr>
                <w:b/>
                <w:sz w:val="20"/>
                <w:szCs w:val="20"/>
              </w:rPr>
              <w:t>.</w:t>
            </w:r>
            <w:r w:rsidR="003765E5" w:rsidRPr="00A935AA">
              <w:rPr>
                <w:b/>
                <w:sz w:val="20"/>
                <w:szCs w:val="20"/>
              </w:rPr>
              <w:t>)</w:t>
            </w:r>
          </w:p>
          <w:p w:rsidR="003765E5" w:rsidRPr="00A935AA" w:rsidRDefault="003765E5" w:rsidP="003765E5">
            <w:pPr>
              <w:tabs>
                <w:tab w:val="left" w:pos="-1440"/>
                <w:tab w:val="left" w:pos="-720"/>
              </w:tabs>
              <w:rPr>
                <w:sz w:val="20"/>
                <w:szCs w:val="20"/>
              </w:rPr>
            </w:pPr>
          </w:p>
          <w:p w:rsidR="003765E5" w:rsidRPr="00A935AA" w:rsidRDefault="003765E5" w:rsidP="003765E5">
            <w:pPr>
              <w:rPr>
                <w:sz w:val="20"/>
                <w:szCs w:val="20"/>
              </w:rPr>
            </w:pPr>
            <w:r w:rsidRPr="00A935AA">
              <w:rPr>
                <w:sz w:val="20"/>
                <w:szCs w:val="20"/>
              </w:rPr>
              <w:t>FILING DATE: 2</w:t>
            </w:r>
            <w:r w:rsidR="008B19E4">
              <w:rPr>
                <w:sz w:val="20"/>
                <w:szCs w:val="20"/>
              </w:rPr>
              <w:t>3</w:t>
            </w:r>
            <w:r w:rsidRPr="00A935AA">
              <w:rPr>
                <w:sz w:val="20"/>
                <w:szCs w:val="20"/>
              </w:rPr>
              <w:t>.0</w:t>
            </w:r>
            <w:r>
              <w:rPr>
                <w:sz w:val="20"/>
                <w:szCs w:val="20"/>
              </w:rPr>
              <w:t>9</w:t>
            </w:r>
            <w:r w:rsidRPr="00A935AA">
              <w:rPr>
                <w:sz w:val="20"/>
                <w:szCs w:val="20"/>
              </w:rPr>
              <w:t>.201</w:t>
            </w:r>
            <w:r>
              <w:rPr>
                <w:sz w:val="20"/>
                <w:szCs w:val="20"/>
              </w:rPr>
              <w:t>5</w:t>
            </w:r>
          </w:p>
          <w:p w:rsidR="00C21644" w:rsidRPr="00A935AA" w:rsidRDefault="00C232E1" w:rsidP="003765E5">
            <w:pPr>
              <w:rPr>
                <w:sz w:val="20"/>
                <w:szCs w:val="20"/>
              </w:rPr>
            </w:pPr>
            <w:r>
              <w:rPr>
                <w:sz w:val="20"/>
                <w:szCs w:val="20"/>
                <w:lang w:val="fr-CA"/>
              </w:rPr>
              <w:pict>
                <v:rect id="_x0000_i1034" style="width:108pt;height:1pt" o:hrpct="0" o:hralign="center" o:hrstd="t" o:hrnoshade="t" o:hr="t" fillcolor="black [3213]" stroked="f"/>
              </w:pict>
            </w:r>
          </w:p>
        </w:tc>
      </w:tr>
      <w:tr w:rsidR="006E7BB0" w:rsidRPr="00A935AA" w:rsidTr="003B3977">
        <w:trPr>
          <w:cantSplit/>
        </w:trPr>
        <w:tc>
          <w:tcPr>
            <w:tcW w:w="4320" w:type="dxa"/>
            <w:shd w:val="clear" w:color="auto" w:fill="auto"/>
          </w:tcPr>
          <w:p w:rsidR="003765E5" w:rsidRPr="00CC21E6" w:rsidRDefault="008B19E4" w:rsidP="003765E5">
            <w:pPr>
              <w:rPr>
                <w:b/>
                <w:sz w:val="20"/>
                <w:szCs w:val="20"/>
                <w:lang w:val="fr-CA"/>
              </w:rPr>
            </w:pPr>
            <w:r w:rsidRPr="00CC21E6">
              <w:rPr>
                <w:b/>
                <w:sz w:val="20"/>
                <w:szCs w:val="20"/>
                <w:lang w:val="fr-CA"/>
              </w:rPr>
              <w:t>A</w:t>
            </w:r>
            <w:r w:rsidR="00C232E1">
              <w:rPr>
                <w:b/>
                <w:sz w:val="20"/>
                <w:szCs w:val="20"/>
                <w:lang w:val="fr-CA"/>
              </w:rPr>
              <w:t>.</w:t>
            </w:r>
            <w:r w:rsidRPr="00CC21E6">
              <w:rPr>
                <w:b/>
                <w:sz w:val="20"/>
                <w:szCs w:val="20"/>
                <w:lang w:val="fr-CA"/>
              </w:rPr>
              <w:t>N</w:t>
            </w:r>
            <w:r w:rsidR="00C232E1">
              <w:rPr>
                <w:b/>
                <w:sz w:val="20"/>
                <w:szCs w:val="20"/>
                <w:lang w:val="fr-CA"/>
              </w:rPr>
              <w:t>.</w:t>
            </w:r>
            <w:bookmarkStart w:id="0" w:name="_GoBack"/>
            <w:bookmarkEnd w:id="0"/>
          </w:p>
          <w:p w:rsidR="003765E5" w:rsidRPr="00CC21E6" w:rsidRDefault="003765E5" w:rsidP="003765E5">
            <w:pPr>
              <w:tabs>
                <w:tab w:val="left" w:pos="-1440"/>
                <w:tab w:val="left" w:pos="-720"/>
              </w:tabs>
              <w:rPr>
                <w:sz w:val="20"/>
                <w:szCs w:val="20"/>
                <w:lang w:val="fr-CA"/>
              </w:rPr>
            </w:pPr>
            <w:r w:rsidRPr="00CC21E6">
              <w:rPr>
                <w:sz w:val="20"/>
                <w:szCs w:val="20"/>
                <w:lang w:val="fr-CA"/>
              </w:rPr>
              <w:tab/>
            </w:r>
            <w:r w:rsidR="008B19E4" w:rsidRPr="00CC21E6">
              <w:rPr>
                <w:sz w:val="20"/>
                <w:szCs w:val="20"/>
                <w:lang w:val="fr-CA"/>
              </w:rPr>
              <w:t xml:space="preserve">Diego </w:t>
            </w:r>
            <w:proofErr w:type="spellStart"/>
            <w:r w:rsidR="008B19E4" w:rsidRPr="00CC21E6">
              <w:rPr>
                <w:sz w:val="20"/>
                <w:szCs w:val="20"/>
                <w:lang w:val="fr-CA"/>
              </w:rPr>
              <w:t>Gramajo</w:t>
            </w:r>
            <w:proofErr w:type="spellEnd"/>
          </w:p>
          <w:p w:rsidR="003765E5" w:rsidRPr="00CC21E6" w:rsidRDefault="003765E5" w:rsidP="003765E5">
            <w:pPr>
              <w:tabs>
                <w:tab w:val="left" w:pos="-1440"/>
                <w:tab w:val="left" w:pos="-720"/>
              </w:tabs>
              <w:rPr>
                <w:sz w:val="20"/>
                <w:szCs w:val="20"/>
                <w:lang w:val="fr-CA"/>
              </w:rPr>
            </w:pPr>
          </w:p>
          <w:p w:rsidR="003765E5" w:rsidRPr="00CC21E6" w:rsidRDefault="003765E5" w:rsidP="003765E5">
            <w:pPr>
              <w:tabs>
                <w:tab w:val="left" w:pos="-1440"/>
                <w:tab w:val="left" w:pos="-720"/>
              </w:tabs>
              <w:rPr>
                <w:sz w:val="20"/>
                <w:szCs w:val="20"/>
                <w:lang w:val="fr-CA"/>
              </w:rPr>
            </w:pPr>
            <w:r w:rsidRPr="00CC21E6">
              <w:rPr>
                <w:sz w:val="20"/>
                <w:szCs w:val="20"/>
                <w:lang w:val="fr-CA"/>
              </w:rPr>
              <w:tab/>
            </w:r>
            <w:r w:rsidR="008B19E4" w:rsidRPr="00CC21E6">
              <w:rPr>
                <w:sz w:val="20"/>
                <w:szCs w:val="20"/>
                <w:lang w:val="fr-CA"/>
              </w:rPr>
              <w:t>c</w:t>
            </w:r>
            <w:r w:rsidRPr="00CC21E6">
              <w:rPr>
                <w:sz w:val="20"/>
                <w:szCs w:val="20"/>
                <w:lang w:val="fr-CA"/>
              </w:rPr>
              <w:t>. (366</w:t>
            </w:r>
            <w:r w:rsidR="008B19E4" w:rsidRPr="00CC21E6">
              <w:rPr>
                <w:sz w:val="20"/>
                <w:szCs w:val="20"/>
                <w:lang w:val="fr-CA"/>
              </w:rPr>
              <w:t>67</w:t>
            </w:r>
            <w:r w:rsidRPr="00CC21E6">
              <w:rPr>
                <w:sz w:val="20"/>
                <w:szCs w:val="20"/>
                <w:lang w:val="fr-CA"/>
              </w:rPr>
              <w:t>)</w:t>
            </w:r>
          </w:p>
          <w:p w:rsidR="003765E5" w:rsidRPr="00CC21E6" w:rsidRDefault="003765E5" w:rsidP="003765E5">
            <w:pPr>
              <w:tabs>
                <w:tab w:val="left" w:pos="-1440"/>
                <w:tab w:val="left" w:pos="-720"/>
              </w:tabs>
              <w:rPr>
                <w:sz w:val="20"/>
                <w:szCs w:val="20"/>
                <w:lang w:val="fr-CA"/>
              </w:rPr>
            </w:pPr>
          </w:p>
          <w:p w:rsidR="003765E5" w:rsidRPr="00CC21E6" w:rsidRDefault="008B19E4" w:rsidP="003765E5">
            <w:pPr>
              <w:tabs>
                <w:tab w:val="left" w:pos="-1440"/>
                <w:tab w:val="left" w:pos="-720"/>
              </w:tabs>
              <w:rPr>
                <w:b/>
                <w:sz w:val="20"/>
                <w:szCs w:val="20"/>
                <w:lang w:val="fr-CA"/>
              </w:rPr>
            </w:pPr>
            <w:r w:rsidRPr="00CC21E6">
              <w:rPr>
                <w:b/>
                <w:sz w:val="20"/>
                <w:szCs w:val="20"/>
                <w:lang w:val="fr-CA"/>
              </w:rPr>
              <w:t xml:space="preserve">Sa Majesté la Reine </w:t>
            </w:r>
            <w:r w:rsidR="003765E5" w:rsidRPr="00CC21E6">
              <w:rPr>
                <w:b/>
                <w:sz w:val="20"/>
                <w:szCs w:val="20"/>
                <w:lang w:val="fr-CA"/>
              </w:rPr>
              <w:t>(</w:t>
            </w:r>
            <w:proofErr w:type="spellStart"/>
            <w:r w:rsidR="00A20376" w:rsidRPr="00CC21E6">
              <w:rPr>
                <w:b/>
                <w:sz w:val="20"/>
                <w:szCs w:val="20"/>
                <w:lang w:val="fr-CA"/>
              </w:rPr>
              <w:t>Qc</w:t>
            </w:r>
            <w:proofErr w:type="spellEnd"/>
            <w:r w:rsidR="003765E5" w:rsidRPr="00CC21E6">
              <w:rPr>
                <w:b/>
                <w:sz w:val="20"/>
                <w:szCs w:val="20"/>
                <w:lang w:val="fr-CA"/>
              </w:rPr>
              <w:t>)</w:t>
            </w:r>
          </w:p>
          <w:p w:rsidR="003765E5" w:rsidRPr="00CC21E6" w:rsidRDefault="003765E5" w:rsidP="003765E5">
            <w:pPr>
              <w:tabs>
                <w:tab w:val="left" w:pos="-1440"/>
                <w:tab w:val="left" w:pos="-720"/>
              </w:tabs>
              <w:rPr>
                <w:sz w:val="20"/>
                <w:szCs w:val="20"/>
                <w:lang w:val="fr-CA"/>
              </w:rPr>
            </w:pPr>
            <w:r w:rsidRPr="00CC21E6">
              <w:rPr>
                <w:sz w:val="20"/>
                <w:szCs w:val="20"/>
                <w:lang w:val="fr-CA"/>
              </w:rPr>
              <w:tab/>
            </w:r>
            <w:r w:rsidR="008B19E4" w:rsidRPr="00CC21E6">
              <w:rPr>
                <w:sz w:val="20"/>
                <w:szCs w:val="20"/>
                <w:lang w:val="fr-CA"/>
              </w:rPr>
              <w:t>Daniel Royer</w:t>
            </w:r>
          </w:p>
          <w:p w:rsidR="003765E5" w:rsidRPr="00CC21E6" w:rsidRDefault="003765E5" w:rsidP="003765E5">
            <w:pPr>
              <w:tabs>
                <w:tab w:val="left" w:pos="-1440"/>
                <w:tab w:val="left" w:pos="-720"/>
              </w:tabs>
              <w:rPr>
                <w:sz w:val="20"/>
                <w:szCs w:val="20"/>
                <w:lang w:val="fr-CA"/>
              </w:rPr>
            </w:pPr>
            <w:r w:rsidRPr="00CC21E6">
              <w:rPr>
                <w:sz w:val="20"/>
                <w:szCs w:val="20"/>
                <w:lang w:val="fr-CA"/>
              </w:rPr>
              <w:tab/>
            </w:r>
            <w:r w:rsidR="008B19E4" w:rsidRPr="00CC21E6">
              <w:rPr>
                <w:sz w:val="20"/>
                <w:szCs w:val="20"/>
                <w:lang w:val="fr-CA"/>
              </w:rPr>
              <w:t xml:space="preserve">Directeur des poursuites criminelles et </w:t>
            </w:r>
            <w:r w:rsidR="008B19E4" w:rsidRPr="00CC21E6">
              <w:rPr>
                <w:sz w:val="20"/>
                <w:szCs w:val="20"/>
                <w:lang w:val="fr-CA"/>
              </w:rPr>
              <w:tab/>
              <w:t>pénales du Québec</w:t>
            </w:r>
          </w:p>
          <w:p w:rsidR="003765E5" w:rsidRPr="00CC21E6" w:rsidRDefault="003765E5" w:rsidP="003765E5">
            <w:pPr>
              <w:tabs>
                <w:tab w:val="left" w:pos="-1440"/>
                <w:tab w:val="left" w:pos="-720"/>
              </w:tabs>
              <w:rPr>
                <w:sz w:val="20"/>
                <w:szCs w:val="20"/>
                <w:lang w:val="fr-CA"/>
              </w:rPr>
            </w:pPr>
          </w:p>
          <w:p w:rsidR="003765E5" w:rsidRPr="00A935AA" w:rsidRDefault="008B19E4" w:rsidP="003765E5">
            <w:pPr>
              <w:rPr>
                <w:sz w:val="20"/>
                <w:szCs w:val="20"/>
              </w:rPr>
            </w:pPr>
            <w:r>
              <w:rPr>
                <w:sz w:val="20"/>
                <w:szCs w:val="20"/>
              </w:rPr>
              <w:t xml:space="preserve">DATE DE </w:t>
            </w:r>
            <w:r w:rsidRPr="00A20376">
              <w:rPr>
                <w:sz w:val="20"/>
                <w:szCs w:val="20"/>
              </w:rPr>
              <w:t>PRODUCTION</w:t>
            </w:r>
            <w:r w:rsidR="003765E5" w:rsidRPr="00A20376">
              <w:rPr>
                <w:sz w:val="20"/>
                <w:szCs w:val="20"/>
              </w:rPr>
              <w:t>:</w:t>
            </w:r>
            <w:r w:rsidR="003765E5" w:rsidRPr="00A935AA">
              <w:rPr>
                <w:sz w:val="20"/>
                <w:szCs w:val="20"/>
              </w:rPr>
              <w:t xml:space="preserve"> </w:t>
            </w:r>
            <w:r>
              <w:rPr>
                <w:sz w:val="20"/>
                <w:szCs w:val="20"/>
              </w:rPr>
              <w:t>0</w:t>
            </w:r>
            <w:r w:rsidR="002D637C">
              <w:rPr>
                <w:sz w:val="20"/>
                <w:szCs w:val="20"/>
              </w:rPr>
              <w:t>2</w:t>
            </w:r>
            <w:r w:rsidR="003765E5" w:rsidRPr="00A935AA">
              <w:rPr>
                <w:sz w:val="20"/>
                <w:szCs w:val="20"/>
              </w:rPr>
              <w:t>.</w:t>
            </w:r>
            <w:r>
              <w:rPr>
                <w:sz w:val="20"/>
                <w:szCs w:val="20"/>
              </w:rPr>
              <w:t>1</w:t>
            </w:r>
            <w:r w:rsidR="003765E5" w:rsidRPr="00A935AA">
              <w:rPr>
                <w:sz w:val="20"/>
                <w:szCs w:val="20"/>
              </w:rPr>
              <w:t>0.201</w:t>
            </w:r>
            <w:r w:rsidR="003765E5">
              <w:rPr>
                <w:sz w:val="20"/>
                <w:szCs w:val="20"/>
              </w:rPr>
              <w:t>5</w:t>
            </w:r>
          </w:p>
          <w:p w:rsidR="006E7BB0" w:rsidRDefault="00C232E1" w:rsidP="003765E5">
            <w:pPr>
              <w:rPr>
                <w:b/>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3765E5" w:rsidRDefault="003765E5"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Default="006E7BB0" w:rsidP="00242AEE">
            <w:pPr>
              <w:jc w:val="center"/>
              <w:rPr>
                <w:sz w:val="20"/>
                <w:szCs w:val="20"/>
              </w:rPr>
            </w:pPr>
          </w:p>
          <w:p w:rsidR="006E7BB0" w:rsidRPr="00A935AA" w:rsidRDefault="006E7BB0" w:rsidP="00242AEE">
            <w:pPr>
              <w:jc w:val="center"/>
              <w:rPr>
                <w:sz w:val="20"/>
                <w:szCs w:val="20"/>
              </w:rPr>
            </w:pPr>
          </w:p>
        </w:tc>
        <w:tc>
          <w:tcPr>
            <w:tcW w:w="4320" w:type="dxa"/>
            <w:shd w:val="clear" w:color="auto" w:fill="auto"/>
          </w:tcPr>
          <w:p w:rsidR="003765E5" w:rsidRPr="00A935AA" w:rsidRDefault="00EA70D2" w:rsidP="003765E5">
            <w:pPr>
              <w:rPr>
                <w:b/>
                <w:sz w:val="20"/>
                <w:szCs w:val="20"/>
              </w:rPr>
            </w:pPr>
            <w:r>
              <w:rPr>
                <w:b/>
                <w:sz w:val="20"/>
                <w:szCs w:val="20"/>
              </w:rPr>
              <w:t>Canadian Arab Federation (CAF)</w:t>
            </w:r>
          </w:p>
          <w:p w:rsidR="003765E5" w:rsidRDefault="003765E5" w:rsidP="003765E5">
            <w:pPr>
              <w:tabs>
                <w:tab w:val="left" w:pos="-1440"/>
                <w:tab w:val="left" w:pos="-720"/>
              </w:tabs>
              <w:rPr>
                <w:sz w:val="20"/>
                <w:szCs w:val="20"/>
              </w:rPr>
            </w:pPr>
            <w:r w:rsidRPr="00A935AA">
              <w:rPr>
                <w:sz w:val="20"/>
                <w:szCs w:val="20"/>
              </w:rPr>
              <w:tab/>
            </w:r>
            <w:r w:rsidR="00EA70D2">
              <w:rPr>
                <w:sz w:val="20"/>
                <w:szCs w:val="20"/>
              </w:rPr>
              <w:t>Barbara Jackman</w:t>
            </w:r>
          </w:p>
          <w:p w:rsidR="003765E5" w:rsidRPr="00A935AA" w:rsidRDefault="003765E5" w:rsidP="003765E5">
            <w:pPr>
              <w:tabs>
                <w:tab w:val="left" w:pos="-1440"/>
                <w:tab w:val="left" w:pos="-720"/>
              </w:tabs>
              <w:rPr>
                <w:sz w:val="20"/>
                <w:szCs w:val="20"/>
              </w:rPr>
            </w:pPr>
            <w:r w:rsidRPr="00A935AA">
              <w:rPr>
                <w:sz w:val="20"/>
                <w:szCs w:val="20"/>
              </w:rPr>
              <w:tab/>
            </w:r>
            <w:r w:rsidR="00EA70D2">
              <w:rPr>
                <w:sz w:val="20"/>
                <w:szCs w:val="20"/>
              </w:rPr>
              <w:t xml:space="preserve">Jackman </w:t>
            </w:r>
            <w:proofErr w:type="spellStart"/>
            <w:r w:rsidR="00EA70D2">
              <w:rPr>
                <w:sz w:val="20"/>
                <w:szCs w:val="20"/>
              </w:rPr>
              <w:t>Nazami</w:t>
            </w:r>
            <w:proofErr w:type="spellEnd"/>
            <w:r w:rsidR="00EA70D2">
              <w:rPr>
                <w:sz w:val="20"/>
                <w:szCs w:val="20"/>
              </w:rPr>
              <w:t xml:space="preserve"> &amp; Associates</w:t>
            </w:r>
          </w:p>
          <w:p w:rsidR="003765E5" w:rsidRPr="00A935AA" w:rsidRDefault="003765E5" w:rsidP="003765E5">
            <w:pPr>
              <w:tabs>
                <w:tab w:val="left" w:pos="-1440"/>
                <w:tab w:val="left" w:pos="-720"/>
              </w:tabs>
              <w:rPr>
                <w:sz w:val="20"/>
                <w:szCs w:val="20"/>
              </w:rPr>
            </w:pPr>
          </w:p>
          <w:p w:rsidR="003765E5" w:rsidRPr="00A935AA" w:rsidRDefault="003765E5" w:rsidP="003765E5">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66</w:t>
            </w:r>
            <w:r w:rsidR="00EA70D2">
              <w:rPr>
                <w:sz w:val="20"/>
                <w:szCs w:val="20"/>
              </w:rPr>
              <w:t>78</w:t>
            </w:r>
            <w:r w:rsidRPr="00A935AA">
              <w:rPr>
                <w:sz w:val="20"/>
                <w:szCs w:val="20"/>
              </w:rPr>
              <w:t>)</w:t>
            </w:r>
          </w:p>
          <w:p w:rsidR="003765E5" w:rsidRPr="00A935AA" w:rsidRDefault="003765E5" w:rsidP="003765E5">
            <w:pPr>
              <w:tabs>
                <w:tab w:val="left" w:pos="-1440"/>
                <w:tab w:val="left" w:pos="-720"/>
              </w:tabs>
              <w:rPr>
                <w:sz w:val="20"/>
                <w:szCs w:val="20"/>
              </w:rPr>
            </w:pPr>
          </w:p>
          <w:p w:rsidR="003765E5" w:rsidRPr="00A935AA" w:rsidRDefault="00EA70D2" w:rsidP="003765E5">
            <w:pPr>
              <w:tabs>
                <w:tab w:val="left" w:pos="-1440"/>
                <w:tab w:val="left" w:pos="-720"/>
              </w:tabs>
              <w:rPr>
                <w:b/>
                <w:sz w:val="20"/>
                <w:szCs w:val="20"/>
              </w:rPr>
            </w:pPr>
            <w:r>
              <w:rPr>
                <w:b/>
                <w:sz w:val="20"/>
                <w:szCs w:val="20"/>
              </w:rPr>
              <w:t>Minister of Citizenship and Immigration</w:t>
            </w:r>
            <w:r w:rsidR="003765E5">
              <w:rPr>
                <w:b/>
                <w:sz w:val="20"/>
                <w:szCs w:val="20"/>
              </w:rPr>
              <w:t xml:space="preserve"> </w:t>
            </w:r>
            <w:r w:rsidR="003765E5" w:rsidRPr="00A935AA">
              <w:rPr>
                <w:b/>
                <w:sz w:val="20"/>
                <w:szCs w:val="20"/>
              </w:rPr>
              <w:t>(</w:t>
            </w:r>
            <w:r>
              <w:rPr>
                <w:b/>
                <w:sz w:val="20"/>
                <w:szCs w:val="20"/>
              </w:rPr>
              <w:t>F.C</w:t>
            </w:r>
            <w:r w:rsidR="003765E5">
              <w:rPr>
                <w:b/>
                <w:sz w:val="20"/>
                <w:szCs w:val="20"/>
              </w:rPr>
              <w:t>.</w:t>
            </w:r>
            <w:r w:rsidR="003765E5" w:rsidRPr="00A935AA">
              <w:rPr>
                <w:b/>
                <w:sz w:val="20"/>
                <w:szCs w:val="20"/>
              </w:rPr>
              <w:t>)</w:t>
            </w:r>
          </w:p>
          <w:p w:rsidR="003765E5" w:rsidRPr="00A935AA" w:rsidRDefault="003765E5" w:rsidP="003765E5">
            <w:pPr>
              <w:tabs>
                <w:tab w:val="left" w:pos="-1440"/>
                <w:tab w:val="left" w:pos="-720"/>
              </w:tabs>
              <w:rPr>
                <w:sz w:val="20"/>
                <w:szCs w:val="20"/>
              </w:rPr>
            </w:pPr>
            <w:r w:rsidRPr="00A935AA">
              <w:rPr>
                <w:sz w:val="20"/>
                <w:szCs w:val="20"/>
              </w:rPr>
              <w:tab/>
            </w:r>
            <w:r w:rsidR="00EA70D2">
              <w:rPr>
                <w:sz w:val="20"/>
                <w:szCs w:val="20"/>
              </w:rPr>
              <w:t>Mary Matthews</w:t>
            </w:r>
          </w:p>
          <w:p w:rsidR="003765E5" w:rsidRPr="00A935AA" w:rsidRDefault="003765E5" w:rsidP="003765E5">
            <w:pPr>
              <w:tabs>
                <w:tab w:val="left" w:pos="-1440"/>
                <w:tab w:val="left" w:pos="-720"/>
              </w:tabs>
              <w:rPr>
                <w:sz w:val="20"/>
                <w:szCs w:val="20"/>
              </w:rPr>
            </w:pPr>
            <w:r w:rsidRPr="00A935AA">
              <w:rPr>
                <w:sz w:val="20"/>
                <w:szCs w:val="20"/>
              </w:rPr>
              <w:tab/>
            </w:r>
            <w:r w:rsidR="00EA70D2">
              <w:rPr>
                <w:sz w:val="20"/>
                <w:szCs w:val="20"/>
              </w:rPr>
              <w:t>A.G. of Canada</w:t>
            </w:r>
          </w:p>
          <w:p w:rsidR="003765E5" w:rsidRPr="00A935AA" w:rsidRDefault="003765E5" w:rsidP="003765E5">
            <w:pPr>
              <w:tabs>
                <w:tab w:val="left" w:pos="-1440"/>
                <w:tab w:val="left" w:pos="-720"/>
              </w:tabs>
              <w:rPr>
                <w:sz w:val="20"/>
                <w:szCs w:val="20"/>
              </w:rPr>
            </w:pPr>
          </w:p>
          <w:p w:rsidR="003765E5" w:rsidRPr="00A935AA" w:rsidRDefault="003765E5" w:rsidP="003765E5">
            <w:pPr>
              <w:rPr>
                <w:sz w:val="20"/>
                <w:szCs w:val="20"/>
              </w:rPr>
            </w:pPr>
            <w:r w:rsidRPr="00A935AA">
              <w:rPr>
                <w:sz w:val="20"/>
                <w:szCs w:val="20"/>
              </w:rPr>
              <w:t xml:space="preserve">FILING DATE: </w:t>
            </w:r>
            <w:r w:rsidR="00EA70D2">
              <w:rPr>
                <w:sz w:val="20"/>
                <w:szCs w:val="20"/>
              </w:rPr>
              <w:t>14</w:t>
            </w:r>
            <w:r w:rsidRPr="00A935AA">
              <w:rPr>
                <w:sz w:val="20"/>
                <w:szCs w:val="20"/>
              </w:rPr>
              <w:t>.</w:t>
            </w:r>
            <w:r w:rsidR="00EA70D2">
              <w:rPr>
                <w:sz w:val="20"/>
                <w:szCs w:val="20"/>
              </w:rPr>
              <w:t>1</w:t>
            </w:r>
            <w:r w:rsidRPr="00A935AA">
              <w:rPr>
                <w:sz w:val="20"/>
                <w:szCs w:val="20"/>
              </w:rPr>
              <w:t>0.201</w:t>
            </w:r>
            <w:r>
              <w:rPr>
                <w:sz w:val="20"/>
                <w:szCs w:val="20"/>
              </w:rPr>
              <w:t>5</w:t>
            </w:r>
          </w:p>
          <w:p w:rsidR="006E7BB0" w:rsidRPr="00A935AA" w:rsidRDefault="00C232E1" w:rsidP="003765E5">
            <w:pPr>
              <w:rPr>
                <w:sz w:val="20"/>
                <w:szCs w:val="20"/>
              </w:rPr>
            </w:pPr>
            <w:r>
              <w:rPr>
                <w:sz w:val="20"/>
                <w:szCs w:val="20"/>
                <w:lang w:val="fr-CA"/>
              </w:rPr>
              <w:pict>
                <v:rect id="_x0000_i1036" style="width:108pt;height:1pt" o:hrpct="0" o:hralign="center" o:hrstd="t" o:hrnoshade="t" o:hr="t" fillcolor="black [3213]" stroked="f"/>
              </w:pict>
            </w:r>
          </w:p>
        </w:tc>
      </w:tr>
      <w:tr w:rsidR="003765E5" w:rsidRPr="00A935AA" w:rsidTr="003B3977">
        <w:trPr>
          <w:cantSplit/>
        </w:trPr>
        <w:tc>
          <w:tcPr>
            <w:tcW w:w="4320" w:type="dxa"/>
            <w:shd w:val="clear" w:color="auto" w:fill="auto"/>
          </w:tcPr>
          <w:p w:rsidR="00533506" w:rsidRPr="00A935AA" w:rsidRDefault="00533506" w:rsidP="00533506">
            <w:pPr>
              <w:rPr>
                <w:b/>
                <w:sz w:val="20"/>
                <w:szCs w:val="20"/>
              </w:rPr>
            </w:pPr>
            <w:proofErr w:type="spellStart"/>
            <w:r>
              <w:rPr>
                <w:b/>
                <w:sz w:val="20"/>
                <w:szCs w:val="20"/>
              </w:rPr>
              <w:t>Michèle</w:t>
            </w:r>
            <w:proofErr w:type="spellEnd"/>
            <w:r>
              <w:rPr>
                <w:b/>
                <w:sz w:val="20"/>
                <w:szCs w:val="20"/>
              </w:rPr>
              <w:t xml:space="preserve"> Bergeron</w:t>
            </w:r>
          </w:p>
          <w:p w:rsidR="00533506" w:rsidRDefault="00533506" w:rsidP="00533506">
            <w:pPr>
              <w:tabs>
                <w:tab w:val="left" w:pos="-1440"/>
                <w:tab w:val="left" w:pos="-720"/>
              </w:tabs>
              <w:rPr>
                <w:sz w:val="20"/>
                <w:szCs w:val="20"/>
              </w:rPr>
            </w:pPr>
            <w:r w:rsidRPr="00A935AA">
              <w:rPr>
                <w:sz w:val="20"/>
                <w:szCs w:val="20"/>
              </w:rPr>
              <w:tab/>
            </w:r>
            <w:r>
              <w:rPr>
                <w:sz w:val="20"/>
                <w:szCs w:val="20"/>
              </w:rPr>
              <w:t xml:space="preserve">David </w:t>
            </w:r>
            <w:proofErr w:type="spellStart"/>
            <w:r>
              <w:rPr>
                <w:sz w:val="20"/>
                <w:szCs w:val="20"/>
              </w:rPr>
              <w:t>Yazbeck</w:t>
            </w:r>
            <w:proofErr w:type="spellEnd"/>
          </w:p>
          <w:p w:rsidR="00533506" w:rsidRPr="00A935AA" w:rsidRDefault="00533506" w:rsidP="00533506">
            <w:pPr>
              <w:tabs>
                <w:tab w:val="left" w:pos="-1440"/>
                <w:tab w:val="left" w:pos="-720"/>
              </w:tabs>
              <w:rPr>
                <w:sz w:val="20"/>
                <w:szCs w:val="20"/>
              </w:rPr>
            </w:pPr>
            <w:r w:rsidRPr="00A935AA">
              <w:rPr>
                <w:sz w:val="20"/>
                <w:szCs w:val="20"/>
              </w:rPr>
              <w:tab/>
            </w:r>
            <w:r>
              <w:rPr>
                <w:sz w:val="20"/>
                <w:szCs w:val="20"/>
              </w:rPr>
              <w:t xml:space="preserve">Raven, Cameron, Ballantyne &amp; </w:t>
            </w:r>
            <w:proofErr w:type="spellStart"/>
            <w:r>
              <w:rPr>
                <w:sz w:val="20"/>
                <w:szCs w:val="20"/>
              </w:rPr>
              <w:t>Yazbeck</w:t>
            </w:r>
            <w:proofErr w:type="spellEnd"/>
            <w:r>
              <w:rPr>
                <w:sz w:val="20"/>
                <w:szCs w:val="20"/>
              </w:rPr>
              <w:t xml:space="preserve"> </w:t>
            </w:r>
            <w:r w:rsidRPr="00A935AA">
              <w:rPr>
                <w:sz w:val="20"/>
                <w:szCs w:val="20"/>
              </w:rPr>
              <w:tab/>
            </w:r>
            <w:r>
              <w:rPr>
                <w:sz w:val="20"/>
                <w:szCs w:val="20"/>
              </w:rPr>
              <w:t>LLP</w:t>
            </w:r>
          </w:p>
          <w:p w:rsidR="00533506" w:rsidRPr="00A935AA" w:rsidRDefault="00533506" w:rsidP="00533506">
            <w:pPr>
              <w:tabs>
                <w:tab w:val="left" w:pos="-1440"/>
                <w:tab w:val="left" w:pos="-720"/>
              </w:tabs>
              <w:rPr>
                <w:sz w:val="20"/>
                <w:szCs w:val="20"/>
              </w:rPr>
            </w:pPr>
          </w:p>
          <w:p w:rsidR="00533506" w:rsidRPr="00A935AA" w:rsidRDefault="00533506" w:rsidP="00533506">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6701</w:t>
            </w:r>
            <w:r w:rsidRPr="00A935AA">
              <w:rPr>
                <w:sz w:val="20"/>
                <w:szCs w:val="20"/>
              </w:rPr>
              <w:t>)</w:t>
            </w:r>
          </w:p>
          <w:p w:rsidR="00533506" w:rsidRPr="00A935AA" w:rsidRDefault="00533506" w:rsidP="00533506">
            <w:pPr>
              <w:tabs>
                <w:tab w:val="left" w:pos="-1440"/>
                <w:tab w:val="left" w:pos="-720"/>
              </w:tabs>
              <w:rPr>
                <w:sz w:val="20"/>
                <w:szCs w:val="20"/>
              </w:rPr>
            </w:pPr>
          </w:p>
          <w:p w:rsidR="00533506" w:rsidRPr="00A935AA" w:rsidRDefault="00533506" w:rsidP="00533506">
            <w:pPr>
              <w:tabs>
                <w:tab w:val="left" w:pos="-1440"/>
                <w:tab w:val="left" w:pos="-720"/>
              </w:tabs>
              <w:rPr>
                <w:b/>
                <w:sz w:val="20"/>
                <w:szCs w:val="20"/>
              </w:rPr>
            </w:pPr>
            <w:r>
              <w:rPr>
                <w:b/>
                <w:sz w:val="20"/>
                <w:szCs w:val="20"/>
              </w:rPr>
              <w:t>A</w:t>
            </w:r>
            <w:r w:rsidR="00B74196">
              <w:rPr>
                <w:b/>
                <w:sz w:val="20"/>
                <w:szCs w:val="20"/>
              </w:rPr>
              <w:t xml:space="preserve">ttorney </w:t>
            </w:r>
            <w:r>
              <w:rPr>
                <w:b/>
                <w:sz w:val="20"/>
                <w:szCs w:val="20"/>
              </w:rPr>
              <w:t>G</w:t>
            </w:r>
            <w:r w:rsidR="00B74196">
              <w:rPr>
                <w:b/>
                <w:sz w:val="20"/>
                <w:szCs w:val="20"/>
              </w:rPr>
              <w:t>eneral</w:t>
            </w:r>
            <w:r>
              <w:rPr>
                <w:b/>
                <w:sz w:val="20"/>
                <w:szCs w:val="20"/>
              </w:rPr>
              <w:t xml:space="preserve"> of Canada </w:t>
            </w:r>
            <w:r w:rsidRPr="00A935AA">
              <w:rPr>
                <w:b/>
                <w:sz w:val="20"/>
                <w:szCs w:val="20"/>
              </w:rPr>
              <w:t>(</w:t>
            </w:r>
            <w:r>
              <w:rPr>
                <w:b/>
                <w:sz w:val="20"/>
                <w:szCs w:val="20"/>
              </w:rPr>
              <w:t>F.C.</w:t>
            </w:r>
            <w:r w:rsidRPr="00A935AA">
              <w:rPr>
                <w:b/>
                <w:sz w:val="20"/>
                <w:szCs w:val="20"/>
              </w:rPr>
              <w:t>)</w:t>
            </w:r>
          </w:p>
          <w:p w:rsidR="00533506" w:rsidRPr="00A935AA" w:rsidRDefault="00533506" w:rsidP="00533506">
            <w:pPr>
              <w:tabs>
                <w:tab w:val="left" w:pos="-1440"/>
                <w:tab w:val="left" w:pos="-720"/>
              </w:tabs>
              <w:rPr>
                <w:sz w:val="20"/>
                <w:szCs w:val="20"/>
              </w:rPr>
            </w:pPr>
            <w:r w:rsidRPr="00A935AA">
              <w:rPr>
                <w:sz w:val="20"/>
                <w:szCs w:val="20"/>
              </w:rPr>
              <w:tab/>
            </w:r>
            <w:r>
              <w:rPr>
                <w:sz w:val="20"/>
                <w:szCs w:val="20"/>
              </w:rPr>
              <w:t xml:space="preserve">Anne </w:t>
            </w:r>
            <w:proofErr w:type="spellStart"/>
            <w:r>
              <w:rPr>
                <w:sz w:val="20"/>
                <w:szCs w:val="20"/>
              </w:rPr>
              <w:t>McConville</w:t>
            </w:r>
            <w:proofErr w:type="spellEnd"/>
          </w:p>
          <w:p w:rsidR="00533506" w:rsidRPr="00A935AA" w:rsidRDefault="00533506" w:rsidP="00533506">
            <w:pPr>
              <w:tabs>
                <w:tab w:val="left" w:pos="-1440"/>
                <w:tab w:val="left" w:pos="-720"/>
              </w:tabs>
              <w:rPr>
                <w:sz w:val="20"/>
                <w:szCs w:val="20"/>
              </w:rPr>
            </w:pPr>
            <w:r w:rsidRPr="00A935AA">
              <w:rPr>
                <w:sz w:val="20"/>
                <w:szCs w:val="20"/>
              </w:rPr>
              <w:tab/>
            </w:r>
            <w:r>
              <w:rPr>
                <w:sz w:val="20"/>
                <w:szCs w:val="20"/>
              </w:rPr>
              <w:t>A.G. of Canada</w:t>
            </w:r>
          </w:p>
          <w:p w:rsidR="00533506" w:rsidRPr="00A935AA" w:rsidRDefault="00533506" w:rsidP="00533506">
            <w:pPr>
              <w:tabs>
                <w:tab w:val="left" w:pos="-1440"/>
                <w:tab w:val="left" w:pos="-720"/>
              </w:tabs>
              <w:rPr>
                <w:sz w:val="20"/>
                <w:szCs w:val="20"/>
              </w:rPr>
            </w:pPr>
          </w:p>
          <w:p w:rsidR="00533506" w:rsidRPr="00A935AA" w:rsidRDefault="00533506" w:rsidP="00533506">
            <w:pPr>
              <w:rPr>
                <w:sz w:val="20"/>
                <w:szCs w:val="20"/>
              </w:rPr>
            </w:pPr>
            <w:r w:rsidRPr="00A935AA">
              <w:rPr>
                <w:sz w:val="20"/>
                <w:szCs w:val="20"/>
              </w:rPr>
              <w:t>FILING DATE: 2</w:t>
            </w:r>
            <w:r>
              <w:rPr>
                <w:sz w:val="20"/>
                <w:szCs w:val="20"/>
              </w:rPr>
              <w:t>6</w:t>
            </w:r>
            <w:r w:rsidRPr="00A935AA">
              <w:rPr>
                <w:sz w:val="20"/>
                <w:szCs w:val="20"/>
              </w:rPr>
              <w:t>.</w:t>
            </w:r>
            <w:r>
              <w:rPr>
                <w:sz w:val="20"/>
                <w:szCs w:val="20"/>
              </w:rPr>
              <w:t>1</w:t>
            </w:r>
            <w:r w:rsidRPr="00A935AA">
              <w:rPr>
                <w:sz w:val="20"/>
                <w:szCs w:val="20"/>
              </w:rPr>
              <w:t>0.201</w:t>
            </w:r>
            <w:r>
              <w:rPr>
                <w:sz w:val="20"/>
                <w:szCs w:val="20"/>
              </w:rPr>
              <w:t>5</w:t>
            </w:r>
          </w:p>
          <w:p w:rsidR="003765E5" w:rsidRPr="00A935AA" w:rsidRDefault="00C232E1" w:rsidP="00533506">
            <w:pPr>
              <w:rPr>
                <w:b/>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3765E5" w:rsidRDefault="003765E5"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tc>
        <w:tc>
          <w:tcPr>
            <w:tcW w:w="4320" w:type="dxa"/>
            <w:shd w:val="clear" w:color="auto" w:fill="auto"/>
          </w:tcPr>
          <w:p w:rsidR="003765E5" w:rsidRPr="00A935AA" w:rsidRDefault="00110C8D" w:rsidP="003765E5">
            <w:pPr>
              <w:rPr>
                <w:b/>
                <w:sz w:val="20"/>
                <w:szCs w:val="20"/>
              </w:rPr>
            </w:pPr>
            <w:r>
              <w:rPr>
                <w:b/>
                <w:sz w:val="20"/>
                <w:szCs w:val="20"/>
              </w:rPr>
              <w:t xml:space="preserve">Luciano </w:t>
            </w:r>
            <w:proofErr w:type="spellStart"/>
            <w:r>
              <w:rPr>
                <w:b/>
                <w:sz w:val="20"/>
                <w:szCs w:val="20"/>
              </w:rPr>
              <w:t>Branco</w:t>
            </w:r>
            <w:proofErr w:type="spellEnd"/>
          </w:p>
          <w:p w:rsidR="003765E5" w:rsidRDefault="003765E5" w:rsidP="003765E5">
            <w:pPr>
              <w:tabs>
                <w:tab w:val="left" w:pos="-1440"/>
                <w:tab w:val="left" w:pos="-720"/>
              </w:tabs>
              <w:rPr>
                <w:sz w:val="20"/>
                <w:szCs w:val="20"/>
              </w:rPr>
            </w:pPr>
            <w:r w:rsidRPr="00A935AA">
              <w:rPr>
                <w:sz w:val="20"/>
                <w:szCs w:val="20"/>
              </w:rPr>
              <w:tab/>
            </w:r>
            <w:r w:rsidR="00110C8D">
              <w:rPr>
                <w:sz w:val="20"/>
                <w:szCs w:val="20"/>
              </w:rPr>
              <w:t>Christopher I.R. Morrison</w:t>
            </w:r>
          </w:p>
          <w:p w:rsidR="003765E5" w:rsidRPr="00A935AA" w:rsidRDefault="003765E5" w:rsidP="003765E5">
            <w:pPr>
              <w:tabs>
                <w:tab w:val="left" w:pos="-1440"/>
                <w:tab w:val="left" w:pos="-720"/>
              </w:tabs>
              <w:rPr>
                <w:sz w:val="20"/>
                <w:szCs w:val="20"/>
              </w:rPr>
            </w:pPr>
            <w:r w:rsidRPr="00A935AA">
              <w:rPr>
                <w:sz w:val="20"/>
                <w:szCs w:val="20"/>
              </w:rPr>
              <w:tab/>
            </w:r>
            <w:r w:rsidR="00110C8D">
              <w:rPr>
                <w:sz w:val="20"/>
                <w:szCs w:val="20"/>
              </w:rPr>
              <w:t>Will Davidson LLP</w:t>
            </w:r>
          </w:p>
          <w:p w:rsidR="003765E5" w:rsidRPr="00A935AA" w:rsidRDefault="003765E5" w:rsidP="003765E5">
            <w:pPr>
              <w:tabs>
                <w:tab w:val="left" w:pos="-1440"/>
                <w:tab w:val="left" w:pos="-720"/>
              </w:tabs>
              <w:rPr>
                <w:sz w:val="20"/>
                <w:szCs w:val="20"/>
              </w:rPr>
            </w:pPr>
          </w:p>
          <w:p w:rsidR="003765E5" w:rsidRPr="00A935AA" w:rsidRDefault="003765E5" w:rsidP="003765E5">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669</w:t>
            </w:r>
            <w:r w:rsidR="00110C8D">
              <w:rPr>
                <w:sz w:val="20"/>
                <w:szCs w:val="20"/>
              </w:rPr>
              <w:t>6</w:t>
            </w:r>
            <w:r w:rsidRPr="00A935AA">
              <w:rPr>
                <w:sz w:val="20"/>
                <w:szCs w:val="20"/>
              </w:rPr>
              <w:t>)</w:t>
            </w:r>
          </w:p>
          <w:p w:rsidR="003765E5" w:rsidRPr="00A935AA" w:rsidRDefault="003765E5" w:rsidP="003765E5">
            <w:pPr>
              <w:tabs>
                <w:tab w:val="left" w:pos="-1440"/>
                <w:tab w:val="left" w:pos="-720"/>
              </w:tabs>
              <w:rPr>
                <w:sz w:val="20"/>
                <w:szCs w:val="20"/>
              </w:rPr>
            </w:pPr>
          </w:p>
          <w:p w:rsidR="003765E5" w:rsidRPr="00CC21E6" w:rsidRDefault="00110C8D" w:rsidP="003765E5">
            <w:pPr>
              <w:tabs>
                <w:tab w:val="left" w:pos="-1440"/>
                <w:tab w:val="left" w:pos="-720"/>
              </w:tabs>
              <w:rPr>
                <w:b/>
                <w:sz w:val="20"/>
                <w:szCs w:val="20"/>
                <w:lang w:val="fr-CA"/>
              </w:rPr>
            </w:pPr>
            <w:r>
              <w:rPr>
                <w:b/>
                <w:sz w:val="20"/>
                <w:szCs w:val="20"/>
              </w:rPr>
              <w:t>Zurich Life Insurance Company Limited et al.</w:t>
            </w:r>
            <w:r w:rsidR="003765E5">
              <w:rPr>
                <w:b/>
                <w:sz w:val="20"/>
                <w:szCs w:val="20"/>
              </w:rPr>
              <w:t xml:space="preserve"> </w:t>
            </w:r>
            <w:r w:rsidR="003765E5" w:rsidRPr="00CC21E6">
              <w:rPr>
                <w:b/>
                <w:sz w:val="20"/>
                <w:szCs w:val="20"/>
                <w:lang w:val="fr-CA"/>
              </w:rPr>
              <w:t>(</w:t>
            </w:r>
            <w:proofErr w:type="spellStart"/>
            <w:r w:rsidRPr="00CC21E6">
              <w:rPr>
                <w:b/>
                <w:sz w:val="20"/>
                <w:szCs w:val="20"/>
                <w:lang w:val="fr-CA"/>
              </w:rPr>
              <w:t>Sask</w:t>
            </w:r>
            <w:proofErr w:type="spellEnd"/>
            <w:r w:rsidR="003765E5" w:rsidRPr="00CC21E6">
              <w:rPr>
                <w:b/>
                <w:sz w:val="20"/>
                <w:szCs w:val="20"/>
                <w:lang w:val="fr-CA"/>
              </w:rPr>
              <w:t>.)</w:t>
            </w:r>
          </w:p>
          <w:p w:rsidR="003765E5" w:rsidRPr="00CC21E6" w:rsidRDefault="003765E5" w:rsidP="003765E5">
            <w:pPr>
              <w:tabs>
                <w:tab w:val="left" w:pos="-1440"/>
                <w:tab w:val="left" w:pos="-720"/>
              </w:tabs>
              <w:rPr>
                <w:sz w:val="20"/>
                <w:szCs w:val="20"/>
                <w:lang w:val="fr-CA"/>
              </w:rPr>
            </w:pPr>
            <w:r w:rsidRPr="00CC21E6">
              <w:rPr>
                <w:sz w:val="20"/>
                <w:szCs w:val="20"/>
                <w:lang w:val="fr-CA"/>
              </w:rPr>
              <w:tab/>
            </w:r>
            <w:r w:rsidR="00110C8D" w:rsidRPr="00CC21E6">
              <w:rPr>
                <w:sz w:val="20"/>
                <w:szCs w:val="20"/>
                <w:lang w:val="fr-CA"/>
              </w:rPr>
              <w:t xml:space="preserve">Robert W. </w:t>
            </w:r>
            <w:proofErr w:type="spellStart"/>
            <w:r w:rsidR="00110C8D" w:rsidRPr="00CC21E6">
              <w:rPr>
                <w:sz w:val="20"/>
                <w:szCs w:val="20"/>
                <w:lang w:val="fr-CA"/>
              </w:rPr>
              <w:t>Leurer</w:t>
            </w:r>
            <w:proofErr w:type="spellEnd"/>
            <w:r w:rsidR="00110C8D" w:rsidRPr="00CC21E6">
              <w:rPr>
                <w:sz w:val="20"/>
                <w:szCs w:val="20"/>
                <w:lang w:val="fr-CA"/>
              </w:rPr>
              <w:t>, Q.C.</w:t>
            </w:r>
          </w:p>
          <w:p w:rsidR="003765E5" w:rsidRPr="00A935AA" w:rsidRDefault="003765E5" w:rsidP="003765E5">
            <w:pPr>
              <w:tabs>
                <w:tab w:val="left" w:pos="-1440"/>
                <w:tab w:val="left" w:pos="-720"/>
              </w:tabs>
              <w:rPr>
                <w:sz w:val="20"/>
                <w:szCs w:val="20"/>
              </w:rPr>
            </w:pPr>
            <w:r w:rsidRPr="00CC21E6">
              <w:rPr>
                <w:sz w:val="20"/>
                <w:szCs w:val="20"/>
                <w:lang w:val="fr-CA"/>
              </w:rPr>
              <w:tab/>
            </w:r>
            <w:r w:rsidR="00110C8D">
              <w:rPr>
                <w:sz w:val="20"/>
                <w:szCs w:val="20"/>
              </w:rPr>
              <w:t xml:space="preserve">MacPherson Leslie &amp; </w:t>
            </w:r>
            <w:proofErr w:type="spellStart"/>
            <w:r w:rsidR="00110C8D">
              <w:rPr>
                <w:sz w:val="20"/>
                <w:szCs w:val="20"/>
              </w:rPr>
              <w:t>Tyerman</w:t>
            </w:r>
            <w:proofErr w:type="spellEnd"/>
            <w:r w:rsidR="00110C8D">
              <w:rPr>
                <w:sz w:val="20"/>
                <w:szCs w:val="20"/>
              </w:rPr>
              <w:t xml:space="preserve"> LLP</w:t>
            </w:r>
          </w:p>
          <w:p w:rsidR="003765E5" w:rsidRPr="00A935AA" w:rsidRDefault="003765E5" w:rsidP="003765E5">
            <w:pPr>
              <w:tabs>
                <w:tab w:val="left" w:pos="-1440"/>
                <w:tab w:val="left" w:pos="-720"/>
              </w:tabs>
              <w:rPr>
                <w:sz w:val="20"/>
                <w:szCs w:val="20"/>
              </w:rPr>
            </w:pPr>
          </w:p>
          <w:p w:rsidR="003765E5" w:rsidRPr="00A935AA" w:rsidRDefault="003765E5" w:rsidP="003765E5">
            <w:pPr>
              <w:rPr>
                <w:sz w:val="20"/>
                <w:szCs w:val="20"/>
              </w:rPr>
            </w:pPr>
            <w:r w:rsidRPr="00A935AA">
              <w:rPr>
                <w:sz w:val="20"/>
                <w:szCs w:val="20"/>
              </w:rPr>
              <w:t>FILING DATE: 2</w:t>
            </w:r>
            <w:r w:rsidR="00110C8D">
              <w:rPr>
                <w:sz w:val="20"/>
                <w:szCs w:val="20"/>
              </w:rPr>
              <w:t>2</w:t>
            </w:r>
            <w:r w:rsidRPr="00A935AA">
              <w:rPr>
                <w:sz w:val="20"/>
                <w:szCs w:val="20"/>
              </w:rPr>
              <w:t>.</w:t>
            </w:r>
            <w:r w:rsidR="00110C8D">
              <w:rPr>
                <w:sz w:val="20"/>
                <w:szCs w:val="20"/>
              </w:rPr>
              <w:t>1</w:t>
            </w:r>
            <w:r w:rsidRPr="00A935AA">
              <w:rPr>
                <w:sz w:val="20"/>
                <w:szCs w:val="20"/>
              </w:rPr>
              <w:t>0.201</w:t>
            </w:r>
            <w:r>
              <w:rPr>
                <w:sz w:val="20"/>
                <w:szCs w:val="20"/>
              </w:rPr>
              <w:t>5</w:t>
            </w:r>
          </w:p>
          <w:p w:rsidR="003765E5" w:rsidRPr="00A935AA" w:rsidRDefault="00C232E1" w:rsidP="003765E5">
            <w:pPr>
              <w:rPr>
                <w:b/>
                <w:sz w:val="20"/>
                <w:szCs w:val="20"/>
              </w:rPr>
            </w:pPr>
            <w:r>
              <w:rPr>
                <w:sz w:val="20"/>
                <w:szCs w:val="20"/>
                <w:lang w:val="fr-CA"/>
              </w:rPr>
              <w:pict>
                <v:rect id="_x0000_i1038" style="width:108pt;height:1pt" o:hrpct="0" o:hralign="center" o:hrstd="t" o:hrnoshade="t" o:hr="t" fillcolor="black [3213]" stroked="f"/>
              </w:pict>
            </w:r>
          </w:p>
        </w:tc>
      </w:tr>
      <w:tr w:rsidR="003765E5" w:rsidRPr="00A935AA" w:rsidTr="003B3977">
        <w:trPr>
          <w:cantSplit/>
        </w:trPr>
        <w:tc>
          <w:tcPr>
            <w:tcW w:w="4320" w:type="dxa"/>
            <w:shd w:val="clear" w:color="auto" w:fill="auto"/>
          </w:tcPr>
          <w:p w:rsidR="003765E5" w:rsidRPr="00A935AA" w:rsidRDefault="00110C8D" w:rsidP="003765E5">
            <w:pPr>
              <w:rPr>
                <w:b/>
                <w:sz w:val="20"/>
                <w:szCs w:val="20"/>
              </w:rPr>
            </w:pPr>
            <w:r>
              <w:rPr>
                <w:b/>
                <w:sz w:val="20"/>
                <w:szCs w:val="20"/>
              </w:rPr>
              <w:t>Claude Hebron</w:t>
            </w:r>
          </w:p>
          <w:p w:rsidR="003765E5" w:rsidRDefault="003765E5" w:rsidP="003765E5">
            <w:pPr>
              <w:tabs>
                <w:tab w:val="left" w:pos="-1440"/>
                <w:tab w:val="left" w:pos="-720"/>
              </w:tabs>
              <w:rPr>
                <w:sz w:val="20"/>
                <w:szCs w:val="20"/>
              </w:rPr>
            </w:pPr>
            <w:r w:rsidRPr="00A935AA">
              <w:rPr>
                <w:sz w:val="20"/>
                <w:szCs w:val="20"/>
              </w:rPr>
              <w:tab/>
            </w:r>
            <w:r w:rsidR="00CC66F1">
              <w:rPr>
                <w:sz w:val="20"/>
                <w:szCs w:val="20"/>
              </w:rPr>
              <w:t xml:space="preserve">Colin </w:t>
            </w:r>
            <w:proofErr w:type="spellStart"/>
            <w:r w:rsidR="00CC66F1">
              <w:rPr>
                <w:sz w:val="20"/>
                <w:szCs w:val="20"/>
              </w:rPr>
              <w:t>Gusikoski</w:t>
            </w:r>
            <w:proofErr w:type="spellEnd"/>
          </w:p>
          <w:p w:rsidR="003765E5" w:rsidRPr="00A935AA" w:rsidRDefault="003765E5" w:rsidP="003765E5">
            <w:pPr>
              <w:tabs>
                <w:tab w:val="left" w:pos="-1440"/>
                <w:tab w:val="left" w:pos="-720"/>
              </w:tabs>
              <w:rPr>
                <w:sz w:val="20"/>
                <w:szCs w:val="20"/>
              </w:rPr>
            </w:pPr>
            <w:r w:rsidRPr="00A935AA">
              <w:rPr>
                <w:sz w:val="20"/>
                <w:szCs w:val="20"/>
              </w:rPr>
              <w:tab/>
            </w:r>
            <w:r w:rsidR="00CC66F1">
              <w:rPr>
                <w:sz w:val="20"/>
                <w:szCs w:val="20"/>
              </w:rPr>
              <w:t>Victory Square Law Office</w:t>
            </w:r>
          </w:p>
          <w:p w:rsidR="003765E5" w:rsidRPr="00A935AA" w:rsidRDefault="003765E5" w:rsidP="003765E5">
            <w:pPr>
              <w:tabs>
                <w:tab w:val="left" w:pos="-1440"/>
                <w:tab w:val="left" w:pos="-720"/>
              </w:tabs>
              <w:rPr>
                <w:sz w:val="20"/>
                <w:szCs w:val="20"/>
              </w:rPr>
            </w:pPr>
          </w:p>
          <w:p w:rsidR="003765E5" w:rsidRPr="00A935AA" w:rsidRDefault="003765E5" w:rsidP="003765E5">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669</w:t>
            </w:r>
            <w:r w:rsidR="00110C8D">
              <w:rPr>
                <w:sz w:val="20"/>
                <w:szCs w:val="20"/>
              </w:rPr>
              <w:t>7</w:t>
            </w:r>
            <w:r w:rsidRPr="00A935AA">
              <w:rPr>
                <w:sz w:val="20"/>
                <w:szCs w:val="20"/>
              </w:rPr>
              <w:t>)</w:t>
            </w:r>
          </w:p>
          <w:p w:rsidR="003765E5" w:rsidRPr="00A935AA" w:rsidRDefault="003765E5" w:rsidP="003765E5">
            <w:pPr>
              <w:tabs>
                <w:tab w:val="left" w:pos="-1440"/>
                <w:tab w:val="left" w:pos="-720"/>
              </w:tabs>
              <w:rPr>
                <w:sz w:val="20"/>
                <w:szCs w:val="20"/>
              </w:rPr>
            </w:pPr>
          </w:p>
          <w:p w:rsidR="003765E5" w:rsidRPr="00A935AA" w:rsidRDefault="00110C8D" w:rsidP="003765E5">
            <w:pPr>
              <w:tabs>
                <w:tab w:val="left" w:pos="-1440"/>
                <w:tab w:val="left" w:pos="-720"/>
              </w:tabs>
              <w:rPr>
                <w:b/>
                <w:sz w:val="20"/>
                <w:szCs w:val="20"/>
              </w:rPr>
            </w:pPr>
            <w:r>
              <w:rPr>
                <w:b/>
                <w:sz w:val="20"/>
                <w:szCs w:val="20"/>
              </w:rPr>
              <w:t>University of Saskatchewan</w:t>
            </w:r>
            <w:r w:rsidR="00CC66F1">
              <w:rPr>
                <w:b/>
                <w:sz w:val="20"/>
                <w:szCs w:val="20"/>
              </w:rPr>
              <w:t xml:space="preserve"> et al.</w:t>
            </w:r>
            <w:r w:rsidR="003765E5">
              <w:rPr>
                <w:b/>
                <w:sz w:val="20"/>
                <w:szCs w:val="20"/>
              </w:rPr>
              <w:t xml:space="preserve"> </w:t>
            </w:r>
            <w:r w:rsidR="003765E5" w:rsidRPr="00A935AA">
              <w:rPr>
                <w:b/>
                <w:sz w:val="20"/>
                <w:szCs w:val="20"/>
              </w:rPr>
              <w:t>(</w:t>
            </w:r>
            <w:r w:rsidR="00CC66F1">
              <w:rPr>
                <w:b/>
                <w:sz w:val="20"/>
                <w:szCs w:val="20"/>
              </w:rPr>
              <w:t>Sask</w:t>
            </w:r>
            <w:r w:rsidR="003765E5">
              <w:rPr>
                <w:b/>
                <w:sz w:val="20"/>
                <w:szCs w:val="20"/>
              </w:rPr>
              <w:t>.</w:t>
            </w:r>
            <w:r w:rsidR="003765E5" w:rsidRPr="00A935AA">
              <w:rPr>
                <w:b/>
                <w:sz w:val="20"/>
                <w:szCs w:val="20"/>
              </w:rPr>
              <w:t>)</w:t>
            </w:r>
          </w:p>
          <w:p w:rsidR="003765E5" w:rsidRPr="00A935AA" w:rsidRDefault="003765E5" w:rsidP="003765E5">
            <w:pPr>
              <w:tabs>
                <w:tab w:val="left" w:pos="-1440"/>
                <w:tab w:val="left" w:pos="-720"/>
              </w:tabs>
              <w:rPr>
                <w:sz w:val="20"/>
                <w:szCs w:val="20"/>
              </w:rPr>
            </w:pPr>
            <w:r w:rsidRPr="00A935AA">
              <w:rPr>
                <w:sz w:val="20"/>
                <w:szCs w:val="20"/>
              </w:rPr>
              <w:tab/>
            </w:r>
            <w:r w:rsidR="00CC66F1">
              <w:rPr>
                <w:sz w:val="20"/>
                <w:szCs w:val="20"/>
              </w:rPr>
              <w:t>Catherine A. Sloan</w:t>
            </w:r>
          </w:p>
          <w:p w:rsidR="003765E5" w:rsidRPr="00A935AA" w:rsidRDefault="003765E5" w:rsidP="003765E5">
            <w:pPr>
              <w:tabs>
                <w:tab w:val="left" w:pos="-1440"/>
                <w:tab w:val="left" w:pos="-720"/>
              </w:tabs>
              <w:rPr>
                <w:sz w:val="20"/>
                <w:szCs w:val="20"/>
              </w:rPr>
            </w:pPr>
            <w:r w:rsidRPr="00A935AA">
              <w:rPr>
                <w:sz w:val="20"/>
                <w:szCs w:val="20"/>
              </w:rPr>
              <w:tab/>
            </w:r>
            <w:proofErr w:type="spellStart"/>
            <w:r w:rsidR="00CC66F1">
              <w:rPr>
                <w:sz w:val="20"/>
                <w:szCs w:val="20"/>
              </w:rPr>
              <w:t>McKercher</w:t>
            </w:r>
            <w:proofErr w:type="spellEnd"/>
            <w:r w:rsidR="00CC66F1">
              <w:rPr>
                <w:sz w:val="20"/>
                <w:szCs w:val="20"/>
              </w:rPr>
              <w:t xml:space="preserve"> LLP</w:t>
            </w:r>
          </w:p>
          <w:p w:rsidR="003765E5" w:rsidRPr="00A935AA" w:rsidRDefault="003765E5" w:rsidP="003765E5">
            <w:pPr>
              <w:tabs>
                <w:tab w:val="left" w:pos="-1440"/>
                <w:tab w:val="left" w:pos="-720"/>
              </w:tabs>
              <w:rPr>
                <w:sz w:val="20"/>
                <w:szCs w:val="20"/>
              </w:rPr>
            </w:pPr>
          </w:p>
          <w:p w:rsidR="003765E5" w:rsidRPr="00A935AA" w:rsidRDefault="003765E5" w:rsidP="003765E5">
            <w:pPr>
              <w:rPr>
                <w:sz w:val="20"/>
                <w:szCs w:val="20"/>
              </w:rPr>
            </w:pPr>
            <w:r w:rsidRPr="00A935AA">
              <w:rPr>
                <w:sz w:val="20"/>
                <w:szCs w:val="20"/>
              </w:rPr>
              <w:t>FILING DATE: 2</w:t>
            </w:r>
            <w:r w:rsidR="00CC66F1">
              <w:rPr>
                <w:sz w:val="20"/>
                <w:szCs w:val="20"/>
              </w:rPr>
              <w:t>3</w:t>
            </w:r>
            <w:r w:rsidRPr="00A935AA">
              <w:rPr>
                <w:sz w:val="20"/>
                <w:szCs w:val="20"/>
              </w:rPr>
              <w:t>.</w:t>
            </w:r>
            <w:r w:rsidR="00CC66F1">
              <w:rPr>
                <w:sz w:val="20"/>
                <w:szCs w:val="20"/>
              </w:rPr>
              <w:t>1</w:t>
            </w:r>
            <w:r w:rsidRPr="00A935AA">
              <w:rPr>
                <w:sz w:val="20"/>
                <w:szCs w:val="20"/>
              </w:rPr>
              <w:t>0.201</w:t>
            </w:r>
            <w:r>
              <w:rPr>
                <w:sz w:val="20"/>
                <w:szCs w:val="20"/>
              </w:rPr>
              <w:t>5</w:t>
            </w:r>
          </w:p>
          <w:p w:rsidR="003765E5" w:rsidRPr="00A935AA" w:rsidRDefault="00C232E1" w:rsidP="003765E5">
            <w:pPr>
              <w:rPr>
                <w:b/>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3765E5" w:rsidRDefault="003765E5"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tc>
        <w:tc>
          <w:tcPr>
            <w:tcW w:w="4320" w:type="dxa"/>
            <w:shd w:val="clear" w:color="auto" w:fill="auto"/>
          </w:tcPr>
          <w:p w:rsidR="003765E5" w:rsidRPr="00A935AA" w:rsidRDefault="00CF48B8" w:rsidP="003765E5">
            <w:pPr>
              <w:rPr>
                <w:b/>
                <w:sz w:val="20"/>
                <w:szCs w:val="20"/>
              </w:rPr>
            </w:pPr>
            <w:r>
              <w:rPr>
                <w:b/>
                <w:sz w:val="20"/>
                <w:szCs w:val="20"/>
              </w:rPr>
              <w:t>The Cash House Inc.</w:t>
            </w:r>
          </w:p>
          <w:p w:rsidR="003765E5" w:rsidRDefault="003765E5" w:rsidP="003765E5">
            <w:pPr>
              <w:tabs>
                <w:tab w:val="left" w:pos="-1440"/>
                <w:tab w:val="left" w:pos="-720"/>
              </w:tabs>
              <w:rPr>
                <w:sz w:val="20"/>
                <w:szCs w:val="20"/>
              </w:rPr>
            </w:pPr>
            <w:r w:rsidRPr="00A935AA">
              <w:rPr>
                <w:sz w:val="20"/>
                <w:szCs w:val="20"/>
              </w:rPr>
              <w:tab/>
            </w:r>
            <w:r w:rsidR="00CF48B8">
              <w:rPr>
                <w:sz w:val="20"/>
                <w:szCs w:val="20"/>
              </w:rPr>
              <w:t xml:space="preserve">Mauro </w:t>
            </w:r>
            <w:proofErr w:type="spellStart"/>
            <w:r w:rsidR="00CF48B8">
              <w:rPr>
                <w:sz w:val="20"/>
                <w:szCs w:val="20"/>
              </w:rPr>
              <w:t>Marchioni</w:t>
            </w:r>
            <w:proofErr w:type="spellEnd"/>
          </w:p>
          <w:p w:rsidR="003765E5" w:rsidRPr="00A935AA" w:rsidRDefault="003765E5" w:rsidP="003765E5">
            <w:pPr>
              <w:tabs>
                <w:tab w:val="left" w:pos="-1440"/>
                <w:tab w:val="left" w:pos="-720"/>
              </w:tabs>
              <w:rPr>
                <w:sz w:val="20"/>
                <w:szCs w:val="20"/>
              </w:rPr>
            </w:pPr>
            <w:r w:rsidRPr="00A935AA">
              <w:rPr>
                <w:sz w:val="20"/>
                <w:szCs w:val="20"/>
              </w:rPr>
              <w:tab/>
            </w:r>
            <w:r w:rsidR="00CF48B8">
              <w:rPr>
                <w:sz w:val="20"/>
                <w:szCs w:val="20"/>
              </w:rPr>
              <w:t>March Law Barristers and Solicitors</w:t>
            </w:r>
          </w:p>
          <w:p w:rsidR="003765E5" w:rsidRPr="00A935AA" w:rsidRDefault="003765E5" w:rsidP="003765E5">
            <w:pPr>
              <w:tabs>
                <w:tab w:val="left" w:pos="-1440"/>
                <w:tab w:val="left" w:pos="-720"/>
              </w:tabs>
              <w:rPr>
                <w:sz w:val="20"/>
                <w:szCs w:val="20"/>
              </w:rPr>
            </w:pPr>
          </w:p>
          <w:p w:rsidR="003765E5" w:rsidRPr="00A935AA" w:rsidRDefault="003765E5" w:rsidP="003765E5">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66</w:t>
            </w:r>
            <w:r w:rsidR="00CF48B8">
              <w:rPr>
                <w:sz w:val="20"/>
                <w:szCs w:val="20"/>
              </w:rPr>
              <w:t>9</w:t>
            </w:r>
            <w:r>
              <w:rPr>
                <w:sz w:val="20"/>
                <w:szCs w:val="20"/>
              </w:rPr>
              <w:t>9</w:t>
            </w:r>
            <w:r w:rsidRPr="00A935AA">
              <w:rPr>
                <w:sz w:val="20"/>
                <w:szCs w:val="20"/>
              </w:rPr>
              <w:t>)</w:t>
            </w:r>
          </w:p>
          <w:p w:rsidR="003765E5" w:rsidRPr="00A935AA" w:rsidRDefault="003765E5" w:rsidP="003765E5">
            <w:pPr>
              <w:tabs>
                <w:tab w:val="left" w:pos="-1440"/>
                <w:tab w:val="left" w:pos="-720"/>
              </w:tabs>
              <w:rPr>
                <w:sz w:val="20"/>
                <w:szCs w:val="20"/>
              </w:rPr>
            </w:pPr>
          </w:p>
          <w:p w:rsidR="003765E5" w:rsidRPr="00CC21E6" w:rsidRDefault="00CF48B8" w:rsidP="003765E5">
            <w:pPr>
              <w:tabs>
                <w:tab w:val="left" w:pos="-1440"/>
                <w:tab w:val="left" w:pos="-720"/>
              </w:tabs>
              <w:rPr>
                <w:b/>
                <w:sz w:val="20"/>
                <w:szCs w:val="20"/>
                <w:lang w:val="fr-CA"/>
              </w:rPr>
            </w:pPr>
            <w:r w:rsidRPr="00CC21E6">
              <w:rPr>
                <w:b/>
                <w:sz w:val="20"/>
                <w:szCs w:val="20"/>
                <w:lang w:val="fr-CA"/>
              </w:rPr>
              <w:t xml:space="preserve">Andrew </w:t>
            </w:r>
            <w:proofErr w:type="spellStart"/>
            <w:r w:rsidRPr="00CC21E6">
              <w:rPr>
                <w:b/>
                <w:sz w:val="20"/>
                <w:szCs w:val="20"/>
                <w:lang w:val="fr-CA"/>
              </w:rPr>
              <w:t>Mantella</w:t>
            </w:r>
            <w:proofErr w:type="spellEnd"/>
            <w:r w:rsidRPr="00CC21E6">
              <w:rPr>
                <w:b/>
                <w:sz w:val="20"/>
                <w:szCs w:val="20"/>
                <w:lang w:val="fr-CA"/>
              </w:rPr>
              <w:t xml:space="preserve"> et al.</w:t>
            </w:r>
            <w:r w:rsidR="003765E5" w:rsidRPr="00CC21E6">
              <w:rPr>
                <w:b/>
                <w:sz w:val="20"/>
                <w:szCs w:val="20"/>
                <w:lang w:val="fr-CA"/>
              </w:rPr>
              <w:t xml:space="preserve"> (Ont.)</w:t>
            </w:r>
          </w:p>
          <w:p w:rsidR="003765E5" w:rsidRPr="00A935AA" w:rsidRDefault="003765E5" w:rsidP="003765E5">
            <w:pPr>
              <w:tabs>
                <w:tab w:val="left" w:pos="-1440"/>
                <w:tab w:val="left" w:pos="-720"/>
              </w:tabs>
              <w:rPr>
                <w:sz w:val="20"/>
                <w:szCs w:val="20"/>
              </w:rPr>
            </w:pPr>
            <w:r w:rsidRPr="00CC21E6">
              <w:rPr>
                <w:sz w:val="20"/>
                <w:szCs w:val="20"/>
                <w:lang w:val="fr-CA"/>
              </w:rPr>
              <w:tab/>
            </w:r>
            <w:r w:rsidR="00CF48B8">
              <w:rPr>
                <w:sz w:val="20"/>
                <w:szCs w:val="20"/>
              </w:rPr>
              <w:t xml:space="preserve">R. Leigh </w:t>
            </w:r>
            <w:proofErr w:type="spellStart"/>
            <w:r w:rsidR="00CF48B8">
              <w:rPr>
                <w:sz w:val="20"/>
                <w:szCs w:val="20"/>
              </w:rPr>
              <w:t>Youd</w:t>
            </w:r>
            <w:proofErr w:type="spellEnd"/>
          </w:p>
          <w:p w:rsidR="003765E5" w:rsidRPr="00A935AA" w:rsidRDefault="003765E5" w:rsidP="003765E5">
            <w:pPr>
              <w:tabs>
                <w:tab w:val="left" w:pos="-1440"/>
                <w:tab w:val="left" w:pos="-720"/>
              </w:tabs>
              <w:rPr>
                <w:sz w:val="20"/>
                <w:szCs w:val="20"/>
              </w:rPr>
            </w:pPr>
            <w:r w:rsidRPr="00A935AA">
              <w:rPr>
                <w:sz w:val="20"/>
                <w:szCs w:val="20"/>
              </w:rPr>
              <w:tab/>
            </w:r>
            <w:proofErr w:type="spellStart"/>
            <w:r w:rsidR="00CF48B8">
              <w:rPr>
                <w:sz w:val="20"/>
                <w:szCs w:val="20"/>
              </w:rPr>
              <w:t>Berkow</w:t>
            </w:r>
            <w:proofErr w:type="spellEnd"/>
            <w:r w:rsidR="00CF48B8">
              <w:rPr>
                <w:sz w:val="20"/>
                <w:szCs w:val="20"/>
              </w:rPr>
              <w:t>, Cohen LLP</w:t>
            </w:r>
          </w:p>
          <w:p w:rsidR="003765E5" w:rsidRPr="00A935AA" w:rsidRDefault="003765E5" w:rsidP="003765E5">
            <w:pPr>
              <w:tabs>
                <w:tab w:val="left" w:pos="-1440"/>
                <w:tab w:val="left" w:pos="-720"/>
              </w:tabs>
              <w:rPr>
                <w:sz w:val="20"/>
                <w:szCs w:val="20"/>
              </w:rPr>
            </w:pPr>
          </w:p>
          <w:p w:rsidR="003765E5" w:rsidRPr="00A935AA" w:rsidRDefault="003765E5" w:rsidP="003765E5">
            <w:pPr>
              <w:rPr>
                <w:sz w:val="20"/>
                <w:szCs w:val="20"/>
              </w:rPr>
            </w:pPr>
            <w:r w:rsidRPr="00A935AA">
              <w:rPr>
                <w:sz w:val="20"/>
                <w:szCs w:val="20"/>
              </w:rPr>
              <w:t>FILING DATE: 2</w:t>
            </w:r>
            <w:r w:rsidR="00CF48B8">
              <w:rPr>
                <w:sz w:val="20"/>
                <w:szCs w:val="20"/>
              </w:rPr>
              <w:t>6</w:t>
            </w:r>
            <w:r w:rsidRPr="00A935AA">
              <w:rPr>
                <w:sz w:val="20"/>
                <w:szCs w:val="20"/>
              </w:rPr>
              <w:t>.</w:t>
            </w:r>
            <w:r w:rsidR="00CF48B8">
              <w:rPr>
                <w:sz w:val="20"/>
                <w:szCs w:val="20"/>
              </w:rPr>
              <w:t>1</w:t>
            </w:r>
            <w:r w:rsidRPr="00A935AA">
              <w:rPr>
                <w:sz w:val="20"/>
                <w:szCs w:val="20"/>
              </w:rPr>
              <w:t>0.201</w:t>
            </w:r>
            <w:r>
              <w:rPr>
                <w:sz w:val="20"/>
                <w:szCs w:val="20"/>
              </w:rPr>
              <w:t>5</w:t>
            </w:r>
          </w:p>
          <w:p w:rsidR="003765E5" w:rsidRPr="00A935AA" w:rsidRDefault="00C232E1" w:rsidP="003765E5">
            <w:pPr>
              <w:rPr>
                <w:b/>
                <w:sz w:val="20"/>
                <w:szCs w:val="20"/>
              </w:rPr>
            </w:pPr>
            <w:r>
              <w:rPr>
                <w:sz w:val="20"/>
                <w:szCs w:val="20"/>
                <w:lang w:val="fr-CA"/>
              </w:rPr>
              <w:pict>
                <v:rect id="_x0000_i1040" style="width:108pt;height:1pt" o:hrpct="0" o:hralign="center" o:hrstd="t" o:hrnoshade="t" o:hr="t" fillcolor="black [3213]" stroked="f"/>
              </w:pict>
            </w:r>
          </w:p>
        </w:tc>
      </w:tr>
      <w:tr w:rsidR="003765E5" w:rsidRPr="00A935AA" w:rsidTr="003B3977">
        <w:trPr>
          <w:cantSplit/>
        </w:trPr>
        <w:tc>
          <w:tcPr>
            <w:tcW w:w="4320" w:type="dxa"/>
            <w:shd w:val="clear" w:color="auto" w:fill="auto"/>
          </w:tcPr>
          <w:p w:rsidR="00533506" w:rsidRPr="00A935AA" w:rsidRDefault="00533506" w:rsidP="00533506">
            <w:pPr>
              <w:rPr>
                <w:b/>
                <w:sz w:val="20"/>
                <w:szCs w:val="20"/>
              </w:rPr>
            </w:pPr>
            <w:r>
              <w:rPr>
                <w:b/>
                <w:sz w:val="20"/>
                <w:szCs w:val="20"/>
              </w:rPr>
              <w:lastRenderedPageBreak/>
              <w:t>Andrus Wilson</w:t>
            </w:r>
          </w:p>
          <w:p w:rsidR="00533506" w:rsidRDefault="00533506" w:rsidP="00533506">
            <w:pPr>
              <w:tabs>
                <w:tab w:val="left" w:pos="-1440"/>
                <w:tab w:val="left" w:pos="-720"/>
              </w:tabs>
              <w:rPr>
                <w:sz w:val="20"/>
                <w:szCs w:val="20"/>
              </w:rPr>
            </w:pPr>
            <w:r w:rsidRPr="00A935AA">
              <w:rPr>
                <w:sz w:val="20"/>
                <w:szCs w:val="20"/>
              </w:rPr>
              <w:tab/>
            </w:r>
            <w:r>
              <w:rPr>
                <w:sz w:val="20"/>
                <w:szCs w:val="20"/>
              </w:rPr>
              <w:t>Terrence J. O’Sullivan</w:t>
            </w:r>
          </w:p>
          <w:p w:rsidR="00533506" w:rsidRPr="00A935AA" w:rsidRDefault="00533506" w:rsidP="00533506">
            <w:pPr>
              <w:tabs>
                <w:tab w:val="left" w:pos="-1440"/>
                <w:tab w:val="left" w:pos="-720"/>
              </w:tabs>
              <w:rPr>
                <w:sz w:val="20"/>
                <w:szCs w:val="20"/>
              </w:rPr>
            </w:pPr>
            <w:r w:rsidRPr="00A935AA">
              <w:rPr>
                <w:sz w:val="20"/>
                <w:szCs w:val="20"/>
              </w:rPr>
              <w:tab/>
            </w:r>
            <w:r>
              <w:rPr>
                <w:sz w:val="20"/>
                <w:szCs w:val="20"/>
              </w:rPr>
              <w:t xml:space="preserve">Lax O’Sullivan Scott </w:t>
            </w:r>
            <w:proofErr w:type="spellStart"/>
            <w:r>
              <w:rPr>
                <w:sz w:val="20"/>
                <w:szCs w:val="20"/>
              </w:rPr>
              <w:t>Lisus</w:t>
            </w:r>
            <w:proofErr w:type="spellEnd"/>
            <w:r>
              <w:rPr>
                <w:sz w:val="20"/>
                <w:szCs w:val="20"/>
              </w:rPr>
              <w:t xml:space="preserve"> LLP</w:t>
            </w:r>
          </w:p>
          <w:p w:rsidR="00533506" w:rsidRPr="00A935AA" w:rsidRDefault="00533506" w:rsidP="00533506">
            <w:pPr>
              <w:tabs>
                <w:tab w:val="left" w:pos="-1440"/>
                <w:tab w:val="left" w:pos="-720"/>
              </w:tabs>
              <w:rPr>
                <w:sz w:val="20"/>
                <w:szCs w:val="20"/>
              </w:rPr>
            </w:pPr>
          </w:p>
          <w:p w:rsidR="00533506" w:rsidRPr="00A935AA" w:rsidRDefault="00533506" w:rsidP="00533506">
            <w:pPr>
              <w:tabs>
                <w:tab w:val="left" w:pos="-1440"/>
                <w:tab w:val="left" w:pos="-720"/>
              </w:tabs>
              <w:rPr>
                <w:sz w:val="20"/>
                <w:szCs w:val="20"/>
              </w:rPr>
            </w:pPr>
            <w:r w:rsidRPr="00A935AA">
              <w:rPr>
                <w:sz w:val="20"/>
                <w:szCs w:val="20"/>
              </w:rPr>
              <w:tab/>
            </w:r>
            <w:r>
              <w:rPr>
                <w:sz w:val="20"/>
                <w:szCs w:val="20"/>
              </w:rPr>
              <w:t>v</w:t>
            </w:r>
            <w:r w:rsidRPr="00A935AA">
              <w:rPr>
                <w:sz w:val="20"/>
                <w:szCs w:val="20"/>
              </w:rPr>
              <w:t>. (3</w:t>
            </w:r>
            <w:r>
              <w:rPr>
                <w:sz w:val="20"/>
                <w:szCs w:val="20"/>
              </w:rPr>
              <w:t>6689</w:t>
            </w:r>
            <w:r w:rsidRPr="00A935AA">
              <w:rPr>
                <w:sz w:val="20"/>
                <w:szCs w:val="20"/>
              </w:rPr>
              <w:t>)</w:t>
            </w:r>
          </w:p>
          <w:p w:rsidR="00533506" w:rsidRPr="00A935AA" w:rsidRDefault="00533506" w:rsidP="00533506">
            <w:pPr>
              <w:tabs>
                <w:tab w:val="left" w:pos="-1440"/>
                <w:tab w:val="left" w:pos="-720"/>
              </w:tabs>
              <w:rPr>
                <w:sz w:val="20"/>
                <w:szCs w:val="20"/>
              </w:rPr>
            </w:pPr>
          </w:p>
          <w:p w:rsidR="00533506" w:rsidRPr="00A935AA" w:rsidRDefault="00533506" w:rsidP="00533506">
            <w:pPr>
              <w:tabs>
                <w:tab w:val="left" w:pos="-1440"/>
                <w:tab w:val="left" w:pos="-720"/>
              </w:tabs>
              <w:rPr>
                <w:b/>
                <w:sz w:val="20"/>
                <w:szCs w:val="20"/>
              </w:rPr>
            </w:pPr>
            <w:proofErr w:type="spellStart"/>
            <w:r>
              <w:rPr>
                <w:b/>
                <w:sz w:val="20"/>
                <w:szCs w:val="20"/>
              </w:rPr>
              <w:t>Ramzi</w:t>
            </w:r>
            <w:proofErr w:type="spellEnd"/>
            <w:r>
              <w:rPr>
                <w:b/>
                <w:sz w:val="20"/>
                <w:szCs w:val="20"/>
              </w:rPr>
              <w:t xml:space="preserve"> Mahmoud </w:t>
            </w:r>
            <w:proofErr w:type="spellStart"/>
            <w:r>
              <w:rPr>
                <w:b/>
                <w:sz w:val="20"/>
                <w:szCs w:val="20"/>
              </w:rPr>
              <w:t>Alharayeri</w:t>
            </w:r>
            <w:proofErr w:type="spellEnd"/>
            <w:r>
              <w:rPr>
                <w:b/>
                <w:sz w:val="20"/>
                <w:szCs w:val="20"/>
              </w:rPr>
              <w:t xml:space="preserve"> </w:t>
            </w:r>
            <w:r w:rsidRPr="00A935AA">
              <w:rPr>
                <w:b/>
                <w:sz w:val="20"/>
                <w:szCs w:val="20"/>
              </w:rPr>
              <w:t>(</w:t>
            </w:r>
            <w:r w:rsidR="00B74196">
              <w:rPr>
                <w:b/>
                <w:sz w:val="20"/>
                <w:szCs w:val="20"/>
              </w:rPr>
              <w:t>Que</w:t>
            </w:r>
            <w:r>
              <w:rPr>
                <w:b/>
                <w:sz w:val="20"/>
                <w:szCs w:val="20"/>
              </w:rPr>
              <w:t>.</w:t>
            </w:r>
            <w:r w:rsidRPr="00A935AA">
              <w:rPr>
                <w:b/>
                <w:sz w:val="20"/>
                <w:szCs w:val="20"/>
              </w:rPr>
              <w:t>)</w:t>
            </w:r>
          </w:p>
          <w:p w:rsidR="00533506" w:rsidRPr="00A935AA" w:rsidRDefault="00533506" w:rsidP="00533506">
            <w:pPr>
              <w:tabs>
                <w:tab w:val="left" w:pos="-1440"/>
                <w:tab w:val="left" w:pos="-720"/>
              </w:tabs>
              <w:rPr>
                <w:sz w:val="20"/>
                <w:szCs w:val="20"/>
              </w:rPr>
            </w:pPr>
            <w:r w:rsidRPr="00A935AA">
              <w:rPr>
                <w:sz w:val="20"/>
                <w:szCs w:val="20"/>
              </w:rPr>
              <w:tab/>
            </w:r>
            <w:r>
              <w:rPr>
                <w:sz w:val="20"/>
                <w:szCs w:val="20"/>
              </w:rPr>
              <w:t>Douglas C. Mitchell</w:t>
            </w:r>
          </w:p>
          <w:p w:rsidR="00533506" w:rsidRPr="00A935AA" w:rsidRDefault="00533506" w:rsidP="00533506">
            <w:pPr>
              <w:tabs>
                <w:tab w:val="left" w:pos="-1440"/>
                <w:tab w:val="left" w:pos="-720"/>
              </w:tabs>
              <w:rPr>
                <w:sz w:val="20"/>
                <w:szCs w:val="20"/>
              </w:rPr>
            </w:pPr>
            <w:r w:rsidRPr="00A935AA">
              <w:rPr>
                <w:sz w:val="20"/>
                <w:szCs w:val="20"/>
              </w:rPr>
              <w:tab/>
            </w:r>
            <w:r>
              <w:rPr>
                <w:sz w:val="20"/>
                <w:szCs w:val="20"/>
              </w:rPr>
              <w:t xml:space="preserve">Irving Mitchell </w:t>
            </w:r>
            <w:proofErr w:type="spellStart"/>
            <w:r>
              <w:rPr>
                <w:sz w:val="20"/>
                <w:szCs w:val="20"/>
              </w:rPr>
              <w:t>Kalichman</w:t>
            </w:r>
            <w:proofErr w:type="spellEnd"/>
            <w:r>
              <w:rPr>
                <w:sz w:val="20"/>
                <w:szCs w:val="20"/>
              </w:rPr>
              <w:t xml:space="preserve"> LLP</w:t>
            </w:r>
          </w:p>
          <w:p w:rsidR="00533506" w:rsidRPr="00A935AA" w:rsidRDefault="00533506" w:rsidP="00533506">
            <w:pPr>
              <w:tabs>
                <w:tab w:val="left" w:pos="-1440"/>
                <w:tab w:val="left" w:pos="-720"/>
              </w:tabs>
              <w:rPr>
                <w:sz w:val="20"/>
                <w:szCs w:val="20"/>
              </w:rPr>
            </w:pPr>
          </w:p>
          <w:p w:rsidR="00533506" w:rsidRPr="00A935AA" w:rsidRDefault="00533506" w:rsidP="00533506">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1</w:t>
            </w:r>
            <w:r w:rsidRPr="00A935AA">
              <w:rPr>
                <w:sz w:val="20"/>
                <w:szCs w:val="20"/>
              </w:rPr>
              <w:t>0.201</w:t>
            </w:r>
            <w:r>
              <w:rPr>
                <w:sz w:val="20"/>
                <w:szCs w:val="20"/>
              </w:rPr>
              <w:t>5</w:t>
            </w:r>
          </w:p>
          <w:p w:rsidR="003765E5" w:rsidRPr="00A935AA" w:rsidRDefault="00C232E1" w:rsidP="00533506">
            <w:pPr>
              <w:rPr>
                <w:b/>
                <w:sz w:val="20"/>
                <w:szCs w:val="20"/>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3765E5" w:rsidRDefault="003765E5"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p w:rsidR="00BA158E" w:rsidRDefault="00BA158E" w:rsidP="00242AEE">
            <w:pPr>
              <w:jc w:val="center"/>
              <w:rPr>
                <w:sz w:val="20"/>
                <w:szCs w:val="20"/>
              </w:rPr>
            </w:pPr>
          </w:p>
        </w:tc>
        <w:tc>
          <w:tcPr>
            <w:tcW w:w="4320" w:type="dxa"/>
            <w:shd w:val="clear" w:color="auto" w:fill="auto"/>
          </w:tcPr>
          <w:p w:rsidR="003765E5" w:rsidRPr="00A935AA" w:rsidRDefault="003765E5" w:rsidP="00533506">
            <w:pPr>
              <w:rPr>
                <w:b/>
                <w:sz w:val="20"/>
                <w:szCs w:val="20"/>
              </w:rPr>
            </w:pP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8C5206">
          <w:headerReference w:type="default" r:id="rId16"/>
          <w:footerReference w:type="default" r:id="rId17"/>
          <w:headerReference w:type="first" r:id="rId18"/>
          <w:footerReference w:type="first" r:id="rId19"/>
          <w:pgSz w:w="12240" w:h="15840"/>
          <w:pgMar w:top="720" w:right="965" w:bottom="1080" w:left="1656" w:header="706" w:footer="706" w:gutter="0"/>
          <w:pgNumType w:start="160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F186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F37688" w:rsidP="00CB3520">
      <w:pPr>
        <w:widowControl w:val="0"/>
        <w:rPr>
          <w:b/>
          <w:sz w:val="20"/>
          <w:szCs w:val="20"/>
        </w:rPr>
      </w:pPr>
      <w:r>
        <w:rPr>
          <w:b/>
          <w:sz w:val="20"/>
          <w:szCs w:val="20"/>
        </w:rPr>
        <w:t>NOVEMBER</w:t>
      </w:r>
      <w:r w:rsidR="00CB3520">
        <w:rPr>
          <w:b/>
          <w:sz w:val="20"/>
          <w:szCs w:val="20"/>
        </w:rPr>
        <w:t xml:space="preserve"> 2</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 xml:space="preserve">2 </w:t>
      </w:r>
      <w:r>
        <w:rPr>
          <w:b/>
          <w:sz w:val="20"/>
          <w:szCs w:val="20"/>
        </w:rPr>
        <w:t xml:space="preserve">NOVEMBRE </w:t>
      </w:r>
      <w:r w:rsidR="00CB3520" w:rsidRPr="00C50A5C">
        <w:rPr>
          <w:b/>
          <w:sz w:val="20"/>
          <w:szCs w:val="20"/>
        </w:rPr>
        <w:t>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37688">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37688">
        <w:rPr>
          <w:b/>
          <w:sz w:val="20"/>
          <w:szCs w:val="20"/>
          <w:lang w:val="fr-CA"/>
        </w:rPr>
        <w:t xml:space="preserve">Moldaver </w:t>
      </w:r>
      <w:r w:rsidRPr="00C50A5C">
        <w:rPr>
          <w:b/>
          <w:sz w:val="20"/>
          <w:szCs w:val="20"/>
          <w:lang w:val="fr-CA"/>
        </w:rPr>
        <w:t xml:space="preserve">et </w:t>
      </w:r>
      <w:r w:rsidR="00FA3373">
        <w:rPr>
          <w:b/>
          <w:sz w:val="20"/>
          <w:szCs w:val="20"/>
          <w:lang w:val="fr-CA"/>
        </w:rPr>
        <w:t>Gascon</w:t>
      </w:r>
    </w:p>
    <w:p w:rsidR="00CB3520" w:rsidRPr="00C50A5C" w:rsidRDefault="00CB3520" w:rsidP="00CB3520">
      <w:pPr>
        <w:widowControl w:val="0"/>
        <w:rPr>
          <w:sz w:val="20"/>
          <w:szCs w:val="20"/>
          <w:lang w:val="fr-CA"/>
        </w:rPr>
      </w:pPr>
    </w:p>
    <w:p w:rsidR="00CB3520" w:rsidRPr="00F37688" w:rsidRDefault="00F37688" w:rsidP="00CB3520">
      <w:pPr>
        <w:pStyle w:val="ListParagraph"/>
        <w:widowControl w:val="0"/>
        <w:numPr>
          <w:ilvl w:val="0"/>
          <w:numId w:val="1"/>
        </w:numPr>
        <w:ind w:hanging="720"/>
        <w:jc w:val="both"/>
        <w:rPr>
          <w:sz w:val="20"/>
          <w:szCs w:val="20"/>
        </w:rPr>
      </w:pPr>
      <w:r w:rsidRPr="00CC21E6">
        <w:rPr>
          <w:i/>
          <w:sz w:val="20"/>
          <w:szCs w:val="20"/>
          <w:lang w:val="fr-CA"/>
        </w:rPr>
        <w:t xml:space="preserve">Rahim </w:t>
      </w:r>
      <w:proofErr w:type="spellStart"/>
      <w:r w:rsidRPr="00CC21E6">
        <w:rPr>
          <w:i/>
          <w:sz w:val="20"/>
          <w:szCs w:val="20"/>
          <w:lang w:val="fr-CA"/>
        </w:rPr>
        <w:t>Jivraj</w:t>
      </w:r>
      <w:proofErr w:type="spellEnd"/>
      <w:r w:rsidRPr="00CC21E6">
        <w:rPr>
          <w:i/>
          <w:sz w:val="20"/>
          <w:szCs w:val="20"/>
          <w:lang w:val="fr-CA"/>
        </w:rPr>
        <w:t xml:space="preserve"> </w:t>
      </w:r>
      <w:r w:rsidR="00CB3520" w:rsidRPr="00CC21E6">
        <w:rPr>
          <w:i/>
          <w:sz w:val="20"/>
          <w:szCs w:val="20"/>
          <w:lang w:val="fr-CA"/>
        </w:rPr>
        <w:t xml:space="preserve">v. </w:t>
      </w:r>
      <w:r w:rsidRPr="00F37688">
        <w:rPr>
          <w:i/>
          <w:sz w:val="20"/>
          <w:szCs w:val="20"/>
          <w:lang w:val="fr-CA"/>
        </w:rPr>
        <w:t xml:space="preserve">Bryan G. </w:t>
      </w:r>
      <w:proofErr w:type="spellStart"/>
      <w:r w:rsidRPr="00F37688">
        <w:rPr>
          <w:i/>
          <w:sz w:val="20"/>
          <w:szCs w:val="20"/>
          <w:lang w:val="fr-CA"/>
        </w:rPr>
        <w:t>Baynham</w:t>
      </w:r>
      <w:proofErr w:type="spellEnd"/>
      <w:r w:rsidRPr="00F37688">
        <w:rPr>
          <w:i/>
          <w:sz w:val="20"/>
          <w:szCs w:val="20"/>
          <w:lang w:val="fr-CA"/>
        </w:rPr>
        <w:t>, Q.C. et al.</w:t>
      </w:r>
      <w:r w:rsidRPr="00CC21E6">
        <w:rPr>
          <w:sz w:val="20"/>
          <w:szCs w:val="20"/>
          <w:lang w:val="fr-CA"/>
        </w:rPr>
        <w:t xml:space="preserve"> </w:t>
      </w:r>
      <w:r w:rsidR="00CB3520" w:rsidRPr="00F37688">
        <w:rPr>
          <w:sz w:val="20"/>
          <w:szCs w:val="20"/>
        </w:rPr>
        <w:t>(</w:t>
      </w:r>
      <w:r w:rsidRPr="00F37688">
        <w:rPr>
          <w:sz w:val="20"/>
          <w:szCs w:val="20"/>
        </w:rPr>
        <w:t>B.C.</w:t>
      </w:r>
      <w:r w:rsidR="00CB3520" w:rsidRPr="00F37688">
        <w:rPr>
          <w:sz w:val="20"/>
          <w:szCs w:val="20"/>
        </w:rPr>
        <w:t>) (Ci</w:t>
      </w:r>
      <w:r w:rsidRPr="00F37688">
        <w:rPr>
          <w:sz w:val="20"/>
          <w:szCs w:val="20"/>
        </w:rPr>
        <w:t>vil</w:t>
      </w:r>
      <w:r w:rsidR="00CB3520" w:rsidRPr="00F37688">
        <w:rPr>
          <w:sz w:val="20"/>
          <w:szCs w:val="20"/>
        </w:rPr>
        <w:t>) (By Leave) (3</w:t>
      </w:r>
      <w:r w:rsidRPr="00F37688">
        <w:rPr>
          <w:sz w:val="20"/>
          <w:szCs w:val="20"/>
        </w:rPr>
        <w:t>6531</w:t>
      </w:r>
      <w:r w:rsidR="00CB3520" w:rsidRPr="00F37688">
        <w:rPr>
          <w:sz w:val="20"/>
          <w:szCs w:val="20"/>
        </w:rPr>
        <w:t>)</w:t>
      </w:r>
    </w:p>
    <w:p w:rsidR="00CB3520" w:rsidRPr="00C50A5C" w:rsidRDefault="00CB3520" w:rsidP="00CB3520">
      <w:pPr>
        <w:widowControl w:val="0"/>
        <w:jc w:val="both"/>
        <w:rPr>
          <w:sz w:val="20"/>
          <w:szCs w:val="20"/>
        </w:rPr>
      </w:pPr>
    </w:p>
    <w:p w:rsidR="00CB3520" w:rsidRPr="00C612D0" w:rsidRDefault="00F37688" w:rsidP="00CB3520">
      <w:pPr>
        <w:pStyle w:val="ListParagraph"/>
        <w:widowControl w:val="0"/>
        <w:numPr>
          <w:ilvl w:val="0"/>
          <w:numId w:val="1"/>
        </w:numPr>
        <w:ind w:hanging="720"/>
        <w:jc w:val="both"/>
        <w:rPr>
          <w:sz w:val="20"/>
          <w:szCs w:val="20"/>
        </w:rPr>
      </w:pPr>
      <w:r w:rsidRPr="00F37688">
        <w:rPr>
          <w:i/>
          <w:sz w:val="20"/>
          <w:szCs w:val="20"/>
        </w:rPr>
        <w:t xml:space="preserve">Saskatchewan Democratic Action Party </w:t>
      </w:r>
      <w:r w:rsidR="00CB3520" w:rsidRPr="00F37688">
        <w:rPr>
          <w:i/>
          <w:sz w:val="20"/>
          <w:szCs w:val="20"/>
        </w:rPr>
        <w:t xml:space="preserve">v. </w:t>
      </w:r>
      <w:r w:rsidRPr="00F37688">
        <w:rPr>
          <w:i/>
          <w:sz w:val="20"/>
          <w:szCs w:val="20"/>
        </w:rPr>
        <w:t xml:space="preserve">Saskatchewan Chief Electoral Officer, Michael D. </w:t>
      </w:r>
      <w:proofErr w:type="spellStart"/>
      <w:r w:rsidRPr="00F37688">
        <w:rPr>
          <w:i/>
          <w:sz w:val="20"/>
          <w:szCs w:val="20"/>
        </w:rPr>
        <w:t>Boda</w:t>
      </w:r>
      <w:proofErr w:type="spellEnd"/>
      <w:r w:rsidRPr="009C5D38">
        <w:rPr>
          <w:sz w:val="20"/>
          <w:szCs w:val="20"/>
        </w:rPr>
        <w:t xml:space="preserve"> </w:t>
      </w:r>
      <w:r w:rsidR="00CB3520" w:rsidRPr="009C5D38">
        <w:rPr>
          <w:sz w:val="20"/>
          <w:szCs w:val="20"/>
        </w:rPr>
        <w:t>(</w:t>
      </w:r>
      <w:r>
        <w:rPr>
          <w:sz w:val="20"/>
          <w:szCs w:val="20"/>
        </w:rPr>
        <w:t>S</w:t>
      </w:r>
      <w:r w:rsidR="00CB3520" w:rsidRPr="009C5D38">
        <w:rPr>
          <w:sz w:val="20"/>
          <w:szCs w:val="20"/>
        </w:rPr>
        <w:t>a</w:t>
      </w:r>
      <w:r>
        <w:rPr>
          <w:sz w:val="20"/>
          <w:szCs w:val="20"/>
        </w:rPr>
        <w:t>sk</w:t>
      </w:r>
      <w:r w:rsidR="00CB3520" w:rsidRPr="009C5D38">
        <w:rPr>
          <w:sz w:val="20"/>
          <w:szCs w:val="20"/>
        </w:rPr>
        <w:t>.) (Civil) (By Leave)</w:t>
      </w:r>
      <w:r w:rsidR="00CB3520" w:rsidRPr="00C612D0">
        <w:rPr>
          <w:sz w:val="20"/>
          <w:szCs w:val="20"/>
        </w:rPr>
        <w:t xml:space="preserve"> (3</w:t>
      </w:r>
      <w:r>
        <w:rPr>
          <w:sz w:val="20"/>
          <w:szCs w:val="20"/>
        </w:rPr>
        <w:t>6</w:t>
      </w:r>
      <w:r w:rsidR="00CB3520">
        <w:rPr>
          <w:sz w:val="20"/>
          <w:szCs w:val="20"/>
        </w:rPr>
        <w:t>60</w:t>
      </w:r>
      <w:r>
        <w:rPr>
          <w:sz w:val="20"/>
          <w:szCs w:val="20"/>
        </w:rPr>
        <w:t>4</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F37688" w:rsidP="00CB3520">
      <w:pPr>
        <w:pStyle w:val="ListParagraph"/>
        <w:widowControl w:val="0"/>
        <w:numPr>
          <w:ilvl w:val="0"/>
          <w:numId w:val="1"/>
        </w:numPr>
        <w:ind w:hanging="720"/>
        <w:jc w:val="both"/>
        <w:rPr>
          <w:sz w:val="20"/>
          <w:szCs w:val="20"/>
        </w:rPr>
      </w:pPr>
      <w:r w:rsidRPr="00F37688">
        <w:rPr>
          <w:i/>
          <w:sz w:val="20"/>
          <w:szCs w:val="20"/>
        </w:rPr>
        <w:t xml:space="preserve">Peter A. </w:t>
      </w:r>
      <w:proofErr w:type="spellStart"/>
      <w:r w:rsidRPr="00F37688">
        <w:rPr>
          <w:i/>
          <w:sz w:val="20"/>
          <w:szCs w:val="20"/>
        </w:rPr>
        <w:t>Khaiter</w:t>
      </w:r>
      <w:proofErr w:type="spellEnd"/>
      <w:r w:rsidR="00CB3520" w:rsidRPr="009C5D38">
        <w:rPr>
          <w:i/>
          <w:sz w:val="20"/>
          <w:szCs w:val="20"/>
        </w:rPr>
        <w:t xml:space="preserve"> v. </w:t>
      </w:r>
      <w:r w:rsidRPr="00F37688">
        <w:rPr>
          <w:i/>
          <w:sz w:val="20"/>
          <w:szCs w:val="20"/>
        </w:rPr>
        <w:t>Her Majesty the Queen in Right of Ontario et al.</w:t>
      </w:r>
      <w:r w:rsidR="00CB3520" w:rsidRPr="009C5D38">
        <w:rPr>
          <w:sz w:val="20"/>
          <w:szCs w:val="20"/>
        </w:rPr>
        <w:t xml:space="preserve"> (</w:t>
      </w:r>
      <w:r w:rsidR="000F59E1">
        <w:rPr>
          <w:sz w:val="20"/>
          <w:szCs w:val="20"/>
        </w:rPr>
        <w:t>Ont</w:t>
      </w:r>
      <w:r w:rsidR="00CB3520" w:rsidRPr="009C5D38">
        <w:rPr>
          <w:sz w:val="20"/>
          <w:szCs w:val="20"/>
        </w:rPr>
        <w:t>.) (Civil) (By Leave)</w:t>
      </w:r>
      <w:r w:rsidR="00CB3520" w:rsidRPr="00940CAD">
        <w:rPr>
          <w:sz w:val="20"/>
          <w:szCs w:val="20"/>
        </w:rPr>
        <w:t xml:space="preserve"> (3</w:t>
      </w:r>
      <w:r w:rsidR="00A85A8D">
        <w:rPr>
          <w:sz w:val="20"/>
          <w:szCs w:val="20"/>
        </w:rPr>
        <w:t>6</w:t>
      </w:r>
      <w:r w:rsidR="00CB3520">
        <w:rPr>
          <w:sz w:val="20"/>
          <w:szCs w:val="20"/>
        </w:rPr>
        <w:t>5</w:t>
      </w:r>
      <w:r w:rsidR="00A85A8D">
        <w:rPr>
          <w:sz w:val="20"/>
          <w:szCs w:val="20"/>
        </w:rPr>
        <w:t>76</w:t>
      </w:r>
      <w:r w:rsidR="00CB3520" w:rsidRPr="00940CAD">
        <w:rPr>
          <w:sz w:val="20"/>
          <w:szCs w:val="20"/>
        </w:rPr>
        <w:t>)</w:t>
      </w:r>
    </w:p>
    <w:p w:rsidR="00CB3520" w:rsidRPr="009C5D38" w:rsidRDefault="00CB3520" w:rsidP="00CB3520">
      <w:pPr>
        <w:widowControl w:val="0"/>
        <w:rPr>
          <w:sz w:val="20"/>
          <w:szCs w:val="20"/>
        </w:rPr>
      </w:pPr>
    </w:p>
    <w:p w:rsidR="00CB3520" w:rsidRPr="003F186C" w:rsidRDefault="00CB3520" w:rsidP="00CB3520">
      <w:pPr>
        <w:widowControl w:val="0"/>
        <w:jc w:val="center"/>
        <w:rPr>
          <w:b/>
          <w:sz w:val="20"/>
          <w:szCs w:val="20"/>
          <w:lang w:val="en-US"/>
        </w:rPr>
      </w:pPr>
      <w:r w:rsidRPr="003F186C">
        <w:rPr>
          <w:b/>
          <w:sz w:val="20"/>
          <w:szCs w:val="20"/>
          <w:lang w:val="en-US"/>
        </w:rPr>
        <w:t xml:space="preserve">CORAM: </w:t>
      </w:r>
      <w:r w:rsidR="00FA3373" w:rsidRPr="003F186C">
        <w:rPr>
          <w:b/>
          <w:sz w:val="20"/>
          <w:szCs w:val="20"/>
          <w:lang w:val="en-US"/>
        </w:rPr>
        <w:t>Abella</w:t>
      </w:r>
      <w:r w:rsidRPr="003F186C">
        <w:rPr>
          <w:b/>
          <w:sz w:val="20"/>
          <w:szCs w:val="20"/>
          <w:lang w:val="en-US"/>
        </w:rPr>
        <w:t xml:space="preserve">, Karakatsanis and </w:t>
      </w:r>
      <w:r w:rsidR="00A85A8D" w:rsidRPr="003F186C">
        <w:rPr>
          <w:b/>
          <w:sz w:val="20"/>
          <w:szCs w:val="20"/>
          <w:lang w:val="en-US"/>
        </w:rPr>
        <w:t xml:space="preserve">Brown </w:t>
      </w:r>
      <w:r w:rsidRPr="003F186C">
        <w:rPr>
          <w:b/>
          <w:sz w:val="20"/>
          <w:szCs w:val="20"/>
          <w:lang w:val="en-US"/>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A85A8D">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A85A8D" w:rsidP="00CB3520">
      <w:pPr>
        <w:pStyle w:val="ListParagraph"/>
        <w:widowControl w:val="0"/>
        <w:numPr>
          <w:ilvl w:val="0"/>
          <w:numId w:val="1"/>
        </w:numPr>
        <w:ind w:hanging="720"/>
        <w:jc w:val="both"/>
        <w:rPr>
          <w:sz w:val="20"/>
          <w:szCs w:val="20"/>
          <w:lang w:val="fr-CA"/>
        </w:rPr>
      </w:pPr>
      <w:r w:rsidRPr="003F186C">
        <w:rPr>
          <w:i/>
          <w:sz w:val="20"/>
          <w:szCs w:val="20"/>
          <w:lang w:val="fr-CA"/>
        </w:rPr>
        <w:t>Sa Majesté la Reine</w:t>
      </w:r>
      <w:r w:rsidR="00CB3520" w:rsidRPr="003F186C">
        <w:rPr>
          <w:i/>
          <w:sz w:val="20"/>
          <w:szCs w:val="20"/>
          <w:lang w:val="fr-CA"/>
        </w:rPr>
        <w:t xml:space="preserve"> </w:t>
      </w:r>
      <w:r w:rsidRPr="003F186C">
        <w:rPr>
          <w:i/>
          <w:sz w:val="20"/>
          <w:szCs w:val="20"/>
          <w:lang w:val="fr-CA"/>
        </w:rPr>
        <w:t>c</w:t>
      </w:r>
      <w:r w:rsidR="00CB3520" w:rsidRPr="003F186C">
        <w:rPr>
          <w:i/>
          <w:sz w:val="20"/>
          <w:szCs w:val="20"/>
          <w:lang w:val="fr-CA"/>
        </w:rPr>
        <w:t>.</w:t>
      </w:r>
      <w:r w:rsidRPr="003F186C">
        <w:rPr>
          <w:i/>
          <w:sz w:val="20"/>
          <w:szCs w:val="20"/>
          <w:lang w:val="fr-CA"/>
        </w:rPr>
        <w:t xml:space="preserve"> Alain Perreault</w:t>
      </w:r>
      <w:r w:rsidR="00CB3520" w:rsidRPr="003F186C">
        <w:rPr>
          <w:sz w:val="20"/>
          <w:szCs w:val="20"/>
          <w:lang w:val="fr-CA"/>
        </w:rPr>
        <w:t xml:space="preserve"> (</w:t>
      </w:r>
      <w:r w:rsidRPr="003F186C">
        <w:rPr>
          <w:sz w:val="20"/>
          <w:szCs w:val="20"/>
          <w:lang w:val="fr-CA"/>
        </w:rPr>
        <w:t>Qc</w:t>
      </w:r>
      <w:r w:rsidR="00CB3520" w:rsidRPr="003F186C">
        <w:rPr>
          <w:sz w:val="20"/>
          <w:szCs w:val="20"/>
          <w:lang w:val="fr-CA"/>
        </w:rPr>
        <w:t>) (C</w:t>
      </w:r>
      <w:r w:rsidRPr="003F186C">
        <w:rPr>
          <w:sz w:val="20"/>
          <w:szCs w:val="20"/>
          <w:lang w:val="fr-CA"/>
        </w:rPr>
        <w:t>r</w:t>
      </w:r>
      <w:r w:rsidR="00CB3520" w:rsidRPr="003F186C">
        <w:rPr>
          <w:sz w:val="20"/>
          <w:szCs w:val="20"/>
          <w:lang w:val="fr-CA"/>
        </w:rPr>
        <w:t>i</w:t>
      </w:r>
      <w:r w:rsidRPr="003F186C">
        <w:rPr>
          <w:sz w:val="20"/>
          <w:szCs w:val="20"/>
          <w:lang w:val="fr-CA"/>
        </w:rPr>
        <w:t>m.</w:t>
      </w:r>
      <w:r w:rsidR="00CB3520" w:rsidRPr="003F186C">
        <w:rPr>
          <w:sz w:val="20"/>
          <w:szCs w:val="20"/>
          <w:lang w:val="fr-CA"/>
        </w:rPr>
        <w:t xml:space="preserve">) </w:t>
      </w:r>
      <w:r w:rsidR="00CB3520" w:rsidRPr="009C5D38">
        <w:rPr>
          <w:sz w:val="20"/>
          <w:szCs w:val="20"/>
        </w:rPr>
        <w:t>(</w:t>
      </w:r>
      <w:proofErr w:type="spellStart"/>
      <w:r>
        <w:rPr>
          <w:sz w:val="20"/>
          <w:szCs w:val="20"/>
        </w:rPr>
        <w:t>Autorisation</w:t>
      </w:r>
      <w:proofErr w:type="spellEnd"/>
      <w:r w:rsidR="00CB3520" w:rsidRPr="009C5D38">
        <w:rPr>
          <w:sz w:val="20"/>
          <w:szCs w:val="20"/>
        </w:rPr>
        <w:t>)</w:t>
      </w:r>
      <w:r w:rsidR="00CB3520" w:rsidRPr="00115C9E">
        <w:rPr>
          <w:sz w:val="20"/>
          <w:szCs w:val="20"/>
          <w:lang w:val="fr-CA"/>
        </w:rPr>
        <w:t xml:space="preserve"> (3</w:t>
      </w:r>
      <w:r w:rsidR="00CB3520">
        <w:rPr>
          <w:sz w:val="20"/>
          <w:szCs w:val="20"/>
          <w:lang w:val="fr-CA"/>
        </w:rPr>
        <w:t>64</w:t>
      </w:r>
      <w:r>
        <w:rPr>
          <w:sz w:val="20"/>
          <w:szCs w:val="20"/>
          <w:lang w:val="fr-CA"/>
        </w:rPr>
        <w:t>96</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A85A8D" w:rsidP="00CB3520">
      <w:pPr>
        <w:pStyle w:val="ListParagraph"/>
        <w:widowControl w:val="0"/>
        <w:numPr>
          <w:ilvl w:val="0"/>
          <w:numId w:val="1"/>
        </w:numPr>
        <w:ind w:hanging="720"/>
        <w:jc w:val="both"/>
        <w:rPr>
          <w:sz w:val="20"/>
          <w:szCs w:val="20"/>
        </w:rPr>
      </w:pPr>
      <w:r>
        <w:rPr>
          <w:i/>
          <w:sz w:val="20"/>
          <w:szCs w:val="20"/>
        </w:rPr>
        <w:t>457351</w:t>
      </w:r>
      <w:r w:rsidR="00CB3520" w:rsidRPr="009C5D38">
        <w:rPr>
          <w:i/>
          <w:sz w:val="20"/>
          <w:szCs w:val="20"/>
        </w:rPr>
        <w:t xml:space="preserve"> Ontario Inc.</w:t>
      </w:r>
      <w:r>
        <w:rPr>
          <w:i/>
          <w:sz w:val="20"/>
          <w:szCs w:val="20"/>
        </w:rPr>
        <w:t xml:space="preserve"> et al.</w:t>
      </w:r>
      <w:r w:rsidR="00CB3520" w:rsidRPr="009C5D38">
        <w:rPr>
          <w:i/>
          <w:sz w:val="20"/>
          <w:szCs w:val="20"/>
        </w:rPr>
        <w:t xml:space="preserve"> v.</w:t>
      </w:r>
      <w:r>
        <w:rPr>
          <w:i/>
          <w:sz w:val="20"/>
          <w:szCs w:val="20"/>
        </w:rPr>
        <w:t xml:space="preserve"> Golf North Properties Inc.</w:t>
      </w:r>
      <w:r w:rsidR="00CB3520" w:rsidRPr="009C5D38">
        <w:rPr>
          <w:sz w:val="20"/>
          <w:szCs w:val="20"/>
        </w:rPr>
        <w:t xml:space="preserve"> (Ont.) (Civil) (By Leave) (36</w:t>
      </w:r>
      <w:r>
        <w:rPr>
          <w:sz w:val="20"/>
          <w:szCs w:val="20"/>
        </w:rPr>
        <w:t>626</w:t>
      </w:r>
      <w:r w:rsidR="00CB3520" w:rsidRPr="009C5D38">
        <w:rPr>
          <w:sz w:val="20"/>
          <w:szCs w:val="20"/>
        </w:rPr>
        <w:t>)</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034408">
        <w:rPr>
          <w:b/>
          <w:sz w:val="20"/>
          <w:szCs w:val="20"/>
        </w:rPr>
        <w:t>Cromwell</w:t>
      </w:r>
      <w:r>
        <w:rPr>
          <w:b/>
          <w:sz w:val="20"/>
          <w:szCs w:val="20"/>
        </w:rPr>
        <w:t>,</w:t>
      </w:r>
      <w:r w:rsidRPr="00C50A5C">
        <w:rPr>
          <w:b/>
          <w:sz w:val="20"/>
          <w:szCs w:val="20"/>
        </w:rPr>
        <w:t xml:space="preserve"> </w:t>
      </w:r>
      <w:r w:rsidR="00034408">
        <w:rPr>
          <w:b/>
          <w:sz w:val="20"/>
          <w:szCs w:val="20"/>
        </w:rPr>
        <w:t>Wagner</w:t>
      </w:r>
      <w:r w:rsidR="00FA3373">
        <w:rPr>
          <w:b/>
          <w:sz w:val="20"/>
          <w:szCs w:val="20"/>
        </w:rPr>
        <w:t xml:space="preserve"> </w:t>
      </w:r>
      <w:r w:rsidRPr="00C50A5C">
        <w:rPr>
          <w:b/>
          <w:sz w:val="20"/>
          <w:szCs w:val="20"/>
        </w:rPr>
        <w:t xml:space="preserve">and </w:t>
      </w:r>
      <w:r w:rsidR="00034408">
        <w:rPr>
          <w:b/>
          <w:sz w:val="20"/>
          <w:szCs w:val="20"/>
        </w:rPr>
        <w:t xml:space="preserve">Côté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034408">
        <w:rPr>
          <w:b/>
          <w:sz w:val="20"/>
          <w:szCs w:val="20"/>
          <w:lang w:val="fr-CA"/>
        </w:rPr>
        <w:t>Cromwell</w:t>
      </w:r>
      <w:r w:rsidRPr="00C50A5C">
        <w:rPr>
          <w:b/>
          <w:sz w:val="20"/>
          <w:szCs w:val="20"/>
          <w:lang w:val="fr-CA"/>
        </w:rPr>
        <w:t xml:space="preserve">, </w:t>
      </w:r>
      <w:r w:rsidR="00034408">
        <w:rPr>
          <w:b/>
          <w:sz w:val="20"/>
          <w:szCs w:val="20"/>
          <w:lang w:val="fr-CA"/>
        </w:rPr>
        <w:t>Wagner</w:t>
      </w:r>
      <w:r w:rsidR="00FA3373">
        <w:rPr>
          <w:b/>
          <w:sz w:val="20"/>
          <w:szCs w:val="20"/>
          <w:lang w:val="fr-CA"/>
        </w:rPr>
        <w:t xml:space="preserve"> </w:t>
      </w:r>
      <w:r w:rsidRPr="00C50A5C">
        <w:rPr>
          <w:b/>
          <w:sz w:val="20"/>
          <w:szCs w:val="20"/>
          <w:lang w:val="fr-CA"/>
        </w:rPr>
        <w:t xml:space="preserve">et </w:t>
      </w:r>
      <w:r w:rsidR="00034408">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624A49" w:rsidP="00CB3520">
      <w:pPr>
        <w:pStyle w:val="ListParagraph"/>
        <w:widowControl w:val="0"/>
        <w:numPr>
          <w:ilvl w:val="0"/>
          <w:numId w:val="1"/>
        </w:numPr>
        <w:ind w:hanging="720"/>
        <w:jc w:val="both"/>
        <w:rPr>
          <w:sz w:val="20"/>
          <w:szCs w:val="20"/>
        </w:rPr>
      </w:pPr>
      <w:r w:rsidRPr="00624A49">
        <w:rPr>
          <w:i/>
          <w:sz w:val="20"/>
          <w:szCs w:val="20"/>
        </w:rPr>
        <w:t xml:space="preserve">Peter </w:t>
      </w:r>
      <w:proofErr w:type="spellStart"/>
      <w:r w:rsidRPr="00624A49">
        <w:rPr>
          <w:i/>
          <w:sz w:val="20"/>
          <w:szCs w:val="20"/>
        </w:rPr>
        <w:t>Foustanellas</w:t>
      </w:r>
      <w:proofErr w:type="spellEnd"/>
      <w:r w:rsidRPr="00624A49">
        <w:rPr>
          <w:i/>
          <w:sz w:val="20"/>
          <w:szCs w:val="20"/>
        </w:rPr>
        <w:t xml:space="preserve"> o/a Argos Carpets et al.</w:t>
      </w:r>
      <w:r w:rsidR="00CB3520" w:rsidRPr="009C5D38">
        <w:rPr>
          <w:i/>
          <w:sz w:val="20"/>
          <w:szCs w:val="20"/>
        </w:rPr>
        <w:t xml:space="preserve"> v. </w:t>
      </w:r>
      <w:r w:rsidRPr="00624A49">
        <w:rPr>
          <w:i/>
          <w:sz w:val="20"/>
          <w:szCs w:val="20"/>
        </w:rPr>
        <w:t>Ottawa Community Housing Corporation</w:t>
      </w:r>
      <w:r w:rsidR="00CB3520" w:rsidRPr="009C5D38">
        <w:rPr>
          <w:sz w:val="20"/>
          <w:szCs w:val="20"/>
        </w:rPr>
        <w:t xml:space="preserve"> (</w:t>
      </w:r>
      <w:r>
        <w:rPr>
          <w:sz w:val="20"/>
          <w:szCs w:val="20"/>
        </w:rPr>
        <w:t>Ont</w:t>
      </w:r>
      <w:r w:rsidR="00CB3520" w:rsidRPr="009C5D38">
        <w:rPr>
          <w:sz w:val="20"/>
          <w:szCs w:val="20"/>
        </w:rPr>
        <w:t>.) (Civil) (By Leave)</w:t>
      </w:r>
      <w:r w:rsidR="00CB3520" w:rsidRPr="00115C9E">
        <w:rPr>
          <w:sz w:val="20"/>
          <w:szCs w:val="20"/>
        </w:rPr>
        <w:t xml:space="preserve"> (3</w:t>
      </w:r>
      <w:r>
        <w:rPr>
          <w:sz w:val="20"/>
          <w:szCs w:val="20"/>
        </w:rPr>
        <w:t>6</w:t>
      </w:r>
      <w:r w:rsidR="00CB3520">
        <w:rPr>
          <w:sz w:val="20"/>
          <w:szCs w:val="20"/>
        </w:rPr>
        <w:t>5</w:t>
      </w:r>
      <w:r>
        <w:rPr>
          <w:sz w:val="20"/>
          <w:szCs w:val="20"/>
        </w:rPr>
        <w:t>1</w:t>
      </w:r>
      <w:r w:rsidR="00CB3520">
        <w:rPr>
          <w:sz w:val="20"/>
          <w:szCs w:val="20"/>
        </w:rPr>
        <w:t>5</w:t>
      </w:r>
      <w:r w:rsidR="00CB3520" w:rsidRPr="00115C9E">
        <w:rPr>
          <w:sz w:val="20"/>
          <w:szCs w:val="20"/>
        </w:rPr>
        <w:t>)</w:t>
      </w:r>
    </w:p>
    <w:p w:rsidR="00CB3520" w:rsidRPr="00115C9E" w:rsidRDefault="00CB3520" w:rsidP="00CB3520">
      <w:pPr>
        <w:widowControl w:val="0"/>
        <w:jc w:val="both"/>
        <w:rPr>
          <w:sz w:val="20"/>
          <w:szCs w:val="20"/>
        </w:rPr>
      </w:pPr>
    </w:p>
    <w:p w:rsidR="00CB3520" w:rsidRDefault="00624A49" w:rsidP="00CB3520">
      <w:pPr>
        <w:pStyle w:val="ListParagraph"/>
        <w:widowControl w:val="0"/>
        <w:numPr>
          <w:ilvl w:val="0"/>
          <w:numId w:val="1"/>
        </w:numPr>
        <w:ind w:hanging="720"/>
        <w:jc w:val="both"/>
        <w:rPr>
          <w:sz w:val="20"/>
          <w:szCs w:val="20"/>
        </w:rPr>
      </w:pPr>
      <w:r>
        <w:rPr>
          <w:i/>
          <w:sz w:val="20"/>
          <w:szCs w:val="20"/>
        </w:rPr>
        <w:t>Angela Carbone</w:t>
      </w:r>
      <w:r w:rsidR="00CB3520" w:rsidRPr="009C5D38">
        <w:rPr>
          <w:i/>
          <w:sz w:val="20"/>
          <w:szCs w:val="20"/>
        </w:rPr>
        <w:t xml:space="preserve"> v.</w:t>
      </w:r>
      <w:r>
        <w:rPr>
          <w:i/>
          <w:sz w:val="20"/>
          <w:szCs w:val="20"/>
        </w:rPr>
        <w:t xml:space="preserve"> Peter </w:t>
      </w:r>
      <w:proofErr w:type="spellStart"/>
      <w:r>
        <w:rPr>
          <w:i/>
          <w:sz w:val="20"/>
          <w:szCs w:val="20"/>
        </w:rPr>
        <w:t>Whidden</w:t>
      </w:r>
      <w:proofErr w:type="spellEnd"/>
      <w:r w:rsidR="00CB3520" w:rsidRPr="009C5D38">
        <w:rPr>
          <w:i/>
          <w:sz w:val="20"/>
          <w:szCs w:val="20"/>
        </w:rPr>
        <w:t xml:space="preserve"> et al.</w:t>
      </w:r>
      <w:r w:rsidR="00CB3520" w:rsidRPr="009C5D38">
        <w:rPr>
          <w:sz w:val="20"/>
          <w:szCs w:val="20"/>
        </w:rPr>
        <w:t xml:space="preserve"> (</w:t>
      </w:r>
      <w:r>
        <w:rPr>
          <w:sz w:val="20"/>
          <w:szCs w:val="20"/>
        </w:rPr>
        <w:t>Alta</w:t>
      </w:r>
      <w:r w:rsidR="00CB3520" w:rsidRPr="009C5D38">
        <w:rPr>
          <w:sz w:val="20"/>
          <w:szCs w:val="20"/>
        </w:rPr>
        <w:t>.) (Civil) (By Leave)</w:t>
      </w:r>
      <w:r w:rsidR="00CB3520" w:rsidRPr="00C50A5C">
        <w:rPr>
          <w:sz w:val="20"/>
          <w:szCs w:val="20"/>
        </w:rPr>
        <w:t xml:space="preserve"> (3</w:t>
      </w:r>
      <w:r>
        <w:rPr>
          <w:sz w:val="20"/>
          <w:szCs w:val="20"/>
        </w:rPr>
        <w:t>6</w:t>
      </w:r>
      <w:r w:rsidR="00CB3520">
        <w:rPr>
          <w:sz w:val="20"/>
          <w:szCs w:val="20"/>
        </w:rPr>
        <w:t>5</w:t>
      </w:r>
      <w:r>
        <w:rPr>
          <w:sz w:val="20"/>
          <w:szCs w:val="20"/>
        </w:rPr>
        <w:t>73</w:t>
      </w:r>
      <w:r w:rsidR="00CB3520" w:rsidRPr="00C50A5C">
        <w:rPr>
          <w:sz w:val="20"/>
          <w:szCs w:val="20"/>
        </w:rPr>
        <w:t>)</w:t>
      </w:r>
    </w:p>
    <w:p w:rsidR="00CB3520" w:rsidRPr="009C5D38" w:rsidRDefault="00CB3520" w:rsidP="00CB3520">
      <w:pPr>
        <w:widowControl w:val="0"/>
        <w:rPr>
          <w:i/>
          <w:sz w:val="20"/>
          <w:szCs w:val="20"/>
        </w:rPr>
      </w:pPr>
    </w:p>
    <w:p w:rsidR="002E2327" w:rsidRDefault="00C232E1" w:rsidP="002E2327">
      <w:pPr>
        <w:widowControl w:val="0"/>
        <w:rPr>
          <w:sz w:val="20"/>
          <w:szCs w:val="20"/>
        </w:rPr>
      </w:pPr>
      <w:r>
        <w:rPr>
          <w:sz w:val="20"/>
          <w:szCs w:val="20"/>
        </w:rPr>
        <w:pict>
          <v:rect id="_x0000_i1044" style="width:2in;height:1pt" o:hrpct="0" o:hralign="center" o:hrstd="t" o:hrnoshade="t" o:hr="t" fillcolor="black [3213]" stroked="f"/>
        </w:pict>
      </w:r>
    </w:p>
    <w:p w:rsidR="00D94028" w:rsidRDefault="00D94028" w:rsidP="002E2327">
      <w:pPr>
        <w:widowControl w:val="0"/>
        <w:rPr>
          <w:sz w:val="20"/>
          <w:szCs w:val="20"/>
        </w:rPr>
      </w:pPr>
    </w:p>
    <w:p w:rsidR="00624A49" w:rsidRPr="003F186C" w:rsidRDefault="008F599D" w:rsidP="002E2327">
      <w:pPr>
        <w:widowControl w:val="0"/>
        <w:rPr>
          <w:b/>
          <w:sz w:val="20"/>
          <w:szCs w:val="20"/>
          <w:lang w:val="fr-CA"/>
        </w:rPr>
      </w:pPr>
      <w:r w:rsidRPr="003F186C">
        <w:rPr>
          <w:b/>
          <w:sz w:val="20"/>
          <w:szCs w:val="20"/>
          <w:lang w:val="fr-CA"/>
        </w:rPr>
        <w:t>NOVEMBER 6, 2015 / LE 6 NOVEMBRE 2015</w:t>
      </w:r>
    </w:p>
    <w:p w:rsidR="008F599D" w:rsidRPr="003F186C" w:rsidRDefault="008F599D" w:rsidP="002E2327">
      <w:pPr>
        <w:widowControl w:val="0"/>
        <w:rPr>
          <w:sz w:val="20"/>
          <w:szCs w:val="20"/>
          <w:lang w:val="fr-CA"/>
        </w:rPr>
      </w:pPr>
    </w:p>
    <w:p w:rsidR="008F599D" w:rsidRPr="00002704" w:rsidRDefault="008F599D" w:rsidP="008F599D">
      <w:pPr>
        <w:widowControl w:val="0"/>
        <w:jc w:val="center"/>
        <w:rPr>
          <w:b/>
          <w:sz w:val="20"/>
          <w:szCs w:val="20"/>
          <w:lang w:val="fr-CA"/>
        </w:rPr>
      </w:pPr>
      <w:r w:rsidRPr="00002704">
        <w:rPr>
          <w:b/>
          <w:sz w:val="20"/>
          <w:szCs w:val="20"/>
          <w:lang w:val="fr-CA"/>
        </w:rPr>
        <w:t xml:space="preserve">CORAM: Abella, </w:t>
      </w:r>
      <w:r>
        <w:rPr>
          <w:b/>
          <w:sz w:val="20"/>
          <w:szCs w:val="20"/>
          <w:lang w:val="fr-CA"/>
        </w:rPr>
        <w:t xml:space="preserve">Moldaver, Wagner, Gascon </w:t>
      </w:r>
      <w:r w:rsidRPr="00002704">
        <w:rPr>
          <w:b/>
          <w:sz w:val="20"/>
          <w:szCs w:val="20"/>
          <w:lang w:val="fr-CA"/>
        </w:rPr>
        <w:t xml:space="preserve">and </w:t>
      </w:r>
      <w:r>
        <w:rPr>
          <w:b/>
          <w:sz w:val="20"/>
          <w:szCs w:val="20"/>
          <w:lang w:val="fr-CA"/>
        </w:rPr>
        <w:t xml:space="preserve">Côté </w:t>
      </w:r>
      <w:r w:rsidRPr="00002704">
        <w:rPr>
          <w:b/>
          <w:sz w:val="20"/>
          <w:szCs w:val="20"/>
          <w:lang w:val="fr-CA"/>
        </w:rPr>
        <w:t>JJ.</w:t>
      </w:r>
    </w:p>
    <w:p w:rsidR="008F599D" w:rsidRPr="00C50A5C" w:rsidRDefault="008F599D" w:rsidP="008F599D">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Moldaver, Wagner, Gascon</w:t>
      </w:r>
      <w:r w:rsidRPr="00C50A5C">
        <w:rPr>
          <w:b/>
          <w:sz w:val="20"/>
          <w:szCs w:val="20"/>
          <w:lang w:val="fr-CA"/>
        </w:rPr>
        <w:t xml:space="preserve"> et </w:t>
      </w:r>
      <w:r>
        <w:rPr>
          <w:b/>
          <w:sz w:val="20"/>
          <w:szCs w:val="20"/>
          <w:lang w:val="fr-CA"/>
        </w:rPr>
        <w:t>Côté</w:t>
      </w:r>
    </w:p>
    <w:p w:rsidR="008F599D" w:rsidRPr="003F186C" w:rsidRDefault="008F599D" w:rsidP="008F599D">
      <w:pPr>
        <w:widowControl w:val="0"/>
        <w:jc w:val="both"/>
        <w:rPr>
          <w:sz w:val="20"/>
          <w:szCs w:val="20"/>
          <w:lang w:val="fr-CA"/>
        </w:rPr>
      </w:pPr>
    </w:p>
    <w:p w:rsidR="008F599D" w:rsidRDefault="008F599D" w:rsidP="00E54A4F">
      <w:pPr>
        <w:pStyle w:val="ListParagraph"/>
        <w:widowControl w:val="0"/>
        <w:numPr>
          <w:ilvl w:val="0"/>
          <w:numId w:val="14"/>
        </w:numPr>
        <w:ind w:left="720" w:hanging="720"/>
        <w:jc w:val="both"/>
        <w:rPr>
          <w:sz w:val="20"/>
          <w:szCs w:val="20"/>
        </w:rPr>
      </w:pPr>
      <w:r>
        <w:rPr>
          <w:i/>
          <w:sz w:val="20"/>
          <w:szCs w:val="20"/>
        </w:rPr>
        <w:t>Her Majesty the Queen</w:t>
      </w:r>
      <w:r w:rsidRPr="009C5D38">
        <w:rPr>
          <w:i/>
          <w:sz w:val="20"/>
          <w:szCs w:val="20"/>
        </w:rPr>
        <w:t xml:space="preserve"> v.</w:t>
      </w:r>
      <w:r>
        <w:rPr>
          <w:i/>
          <w:sz w:val="20"/>
          <w:szCs w:val="20"/>
        </w:rPr>
        <w:t xml:space="preserve"> Michael Bruce Newman</w:t>
      </w:r>
      <w:r w:rsidRPr="009C5D38">
        <w:rPr>
          <w:sz w:val="20"/>
          <w:szCs w:val="20"/>
        </w:rPr>
        <w:t xml:space="preserve"> (</w:t>
      </w:r>
      <w:r>
        <w:rPr>
          <w:sz w:val="20"/>
          <w:szCs w:val="20"/>
        </w:rPr>
        <w:t>B.C.</w:t>
      </w:r>
      <w:r w:rsidRPr="009C5D38">
        <w:rPr>
          <w:sz w:val="20"/>
          <w:szCs w:val="20"/>
        </w:rPr>
        <w:t>) (C</w:t>
      </w:r>
      <w:r>
        <w:rPr>
          <w:sz w:val="20"/>
          <w:szCs w:val="20"/>
        </w:rPr>
        <w:t>r</w:t>
      </w:r>
      <w:r w:rsidRPr="009C5D38">
        <w:rPr>
          <w:sz w:val="20"/>
          <w:szCs w:val="20"/>
        </w:rPr>
        <w:t>i</w:t>
      </w:r>
      <w:r>
        <w:rPr>
          <w:sz w:val="20"/>
          <w:szCs w:val="20"/>
        </w:rPr>
        <w:t>m.</w:t>
      </w:r>
      <w:r w:rsidRPr="009C5D38">
        <w:rPr>
          <w:sz w:val="20"/>
          <w:szCs w:val="20"/>
        </w:rPr>
        <w:t>) (</w:t>
      </w:r>
      <w:r>
        <w:rPr>
          <w:sz w:val="20"/>
          <w:szCs w:val="20"/>
        </w:rPr>
        <w:t>As of Right/</w:t>
      </w:r>
      <w:r w:rsidRPr="009C5D38">
        <w:rPr>
          <w:sz w:val="20"/>
          <w:szCs w:val="20"/>
        </w:rPr>
        <w:t>By Leave)</w:t>
      </w:r>
      <w:r w:rsidRPr="00C50A5C">
        <w:rPr>
          <w:sz w:val="20"/>
          <w:szCs w:val="20"/>
        </w:rPr>
        <w:t xml:space="preserve"> (3</w:t>
      </w:r>
      <w:r>
        <w:rPr>
          <w:sz w:val="20"/>
          <w:szCs w:val="20"/>
        </w:rPr>
        <w:t>6524</w:t>
      </w:r>
      <w:r w:rsidRPr="00C50A5C">
        <w:rPr>
          <w:sz w:val="20"/>
          <w:szCs w:val="20"/>
        </w:rPr>
        <w:t>)</w:t>
      </w:r>
    </w:p>
    <w:p w:rsidR="008F599D" w:rsidRDefault="008F599D" w:rsidP="002E2327">
      <w:pPr>
        <w:widowControl w:val="0"/>
        <w:rPr>
          <w:sz w:val="20"/>
          <w:szCs w:val="20"/>
        </w:rPr>
      </w:pPr>
    </w:p>
    <w:p w:rsidR="008F599D" w:rsidRDefault="00C232E1" w:rsidP="002E2327">
      <w:pPr>
        <w:widowControl w:val="0"/>
        <w:rPr>
          <w:sz w:val="20"/>
          <w:szCs w:val="20"/>
        </w:rPr>
      </w:pPr>
      <w:r>
        <w:rPr>
          <w:sz w:val="20"/>
          <w:szCs w:val="20"/>
        </w:rPr>
        <w:pict>
          <v:rect id="_x0000_i1045" style="width:2in;height:1pt" o:hrpct="0" o:hralign="center" o:hrstd="t" o:hrnoshade="t" o:hr="t" fillcolor="black [3213]" stroked="f"/>
        </w:pict>
      </w:r>
    </w:p>
    <w:p w:rsidR="008F599D" w:rsidRDefault="008F599D" w:rsidP="002E2327">
      <w:pPr>
        <w:widowControl w:val="0"/>
        <w:rPr>
          <w:sz w:val="20"/>
          <w:szCs w:val="20"/>
        </w:rPr>
      </w:pPr>
    </w:p>
    <w:p w:rsidR="00624A49" w:rsidRDefault="00624A49" w:rsidP="002E2327">
      <w:pPr>
        <w:widowControl w:val="0"/>
        <w:rPr>
          <w:sz w:val="20"/>
          <w:szCs w:val="20"/>
        </w:rPr>
      </w:pPr>
    </w:p>
    <w:p w:rsidR="00D94028" w:rsidRDefault="00D94028" w:rsidP="002E2327">
      <w:pPr>
        <w:widowControl w:val="0"/>
        <w:rPr>
          <w:sz w:val="20"/>
          <w:szCs w:val="20"/>
        </w:rPr>
      </w:pPr>
    </w:p>
    <w:p w:rsidR="008B7A18" w:rsidRDefault="008B7A1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F186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Default="001D5FFD" w:rsidP="000E2959">
      <w:pPr>
        <w:rPr>
          <w:b/>
          <w:sz w:val="20"/>
          <w:szCs w:val="20"/>
        </w:rPr>
      </w:pPr>
      <w:r>
        <w:rPr>
          <w:b/>
          <w:sz w:val="20"/>
          <w:szCs w:val="20"/>
        </w:rPr>
        <w:t>NOVEMBER</w:t>
      </w:r>
      <w:r w:rsidR="000E2959" w:rsidRPr="00C50A5C">
        <w:rPr>
          <w:b/>
          <w:sz w:val="20"/>
          <w:szCs w:val="20"/>
        </w:rPr>
        <w:t xml:space="preserve"> </w:t>
      </w:r>
      <w:r>
        <w:rPr>
          <w:b/>
          <w:sz w:val="20"/>
          <w:szCs w:val="20"/>
        </w:rPr>
        <w:t>5</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5</w:t>
      </w:r>
      <w:r w:rsidR="000E2959" w:rsidRPr="00C50A5C">
        <w:rPr>
          <w:b/>
          <w:sz w:val="20"/>
          <w:szCs w:val="20"/>
        </w:rPr>
        <w:t xml:space="preserve"> </w:t>
      </w:r>
      <w:r>
        <w:rPr>
          <w:b/>
          <w:sz w:val="20"/>
          <w:szCs w:val="20"/>
        </w:rPr>
        <w:t>NOVEMBRE</w:t>
      </w:r>
      <w:r w:rsidR="000E2959" w:rsidRPr="00C50A5C">
        <w:rPr>
          <w:b/>
          <w:sz w:val="20"/>
          <w:szCs w:val="20"/>
        </w:rPr>
        <w:t xml:space="preserve"> 201</w:t>
      </w:r>
      <w:r w:rsidR="00681F61">
        <w:rPr>
          <w:b/>
          <w:sz w:val="20"/>
          <w:szCs w:val="20"/>
        </w:rPr>
        <w:t>5</w:t>
      </w:r>
    </w:p>
    <w:p w:rsidR="000E2959" w:rsidRPr="00235C9C"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A73D2C"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w:t>
            </w:r>
            <w:r w:rsidR="00E5206E">
              <w:rPr>
                <w:rStyle w:val="SCCFileNumberChar"/>
                <w:sz w:val="20"/>
                <w:szCs w:val="20"/>
              </w:rPr>
              <w:t>5843</w:t>
            </w:r>
          </w:p>
          <w:p w:rsidR="000E2959" w:rsidRPr="00A73D2C" w:rsidRDefault="000E2959" w:rsidP="0004528B">
            <w:pPr>
              <w:rPr>
                <w:b/>
                <w:sz w:val="20"/>
                <w:szCs w:val="20"/>
                <w:lang w:val="fr-CA"/>
              </w:rPr>
            </w:pPr>
          </w:p>
        </w:tc>
        <w:tc>
          <w:tcPr>
            <w:tcW w:w="8118" w:type="dxa"/>
          </w:tcPr>
          <w:p w:rsidR="000E2959" w:rsidRPr="00A73D2C" w:rsidRDefault="00E5206E" w:rsidP="0004528B">
            <w:pPr>
              <w:rPr>
                <w:sz w:val="20"/>
                <w:szCs w:val="20"/>
              </w:rPr>
            </w:pPr>
            <w:r w:rsidRPr="00E5206E">
              <w:rPr>
                <w:rStyle w:val="SCCLsocChar"/>
                <w:sz w:val="20"/>
                <w:szCs w:val="20"/>
                <w:lang w:val="en-CA"/>
              </w:rPr>
              <w:t>Anita Endean, as representative plaintiff v. Her Majesty the Queen in Right of the Province of British Columbia and Attorney General of Canada</w:t>
            </w:r>
            <w:r w:rsidR="000E2959" w:rsidRPr="00A73D2C">
              <w:rPr>
                <w:sz w:val="20"/>
                <w:szCs w:val="20"/>
              </w:rPr>
              <w:t xml:space="preserve"> (</w:t>
            </w:r>
            <w:r>
              <w:rPr>
                <w:sz w:val="20"/>
                <w:szCs w:val="20"/>
              </w:rPr>
              <w:t>B.C.</w:t>
            </w:r>
            <w:r w:rsidR="000E2959" w:rsidRPr="00A73D2C">
              <w:rPr>
                <w:sz w:val="20"/>
                <w:szCs w:val="20"/>
              </w:rPr>
              <w:t>) (Civil) (By Leave)</w:t>
            </w:r>
          </w:p>
          <w:p w:rsidR="000E2959" w:rsidRPr="00A73D2C" w:rsidRDefault="000E2959" w:rsidP="0004528B">
            <w:pPr>
              <w:rPr>
                <w:sz w:val="20"/>
                <w:szCs w:val="20"/>
              </w:rPr>
            </w:pPr>
          </w:p>
        </w:tc>
      </w:tr>
      <w:tr w:rsidR="000E2959" w:rsidRPr="00A73D2C"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Default="005F4F19" w:rsidP="0004528B">
            <w:pPr>
              <w:rPr>
                <w:rStyle w:val="SCCCoramChar"/>
                <w:sz w:val="20"/>
                <w:szCs w:val="20"/>
                <w:lang w:val="en-CA"/>
              </w:rPr>
            </w:pPr>
            <w:r w:rsidRPr="005F4F19">
              <w:rPr>
                <w:rStyle w:val="SCCCoramChar"/>
                <w:sz w:val="20"/>
                <w:szCs w:val="20"/>
                <w:lang w:val="en-CA"/>
              </w:rPr>
              <w:t>McLachlin C.J. and Moldaver and Gascon JJ.</w:t>
            </w:r>
          </w:p>
          <w:p w:rsidR="005F4F19" w:rsidRPr="00A73D2C" w:rsidRDefault="005F4F19" w:rsidP="0004528B">
            <w:pPr>
              <w:rPr>
                <w:sz w:val="20"/>
                <w:szCs w:val="20"/>
                <w:u w:val="single"/>
              </w:rPr>
            </w:pPr>
          </w:p>
        </w:tc>
      </w:tr>
      <w:tr w:rsidR="000E2959" w:rsidRPr="00002704" w:rsidTr="0004528B">
        <w:trPr>
          <w:cantSplit/>
        </w:trPr>
        <w:tc>
          <w:tcPr>
            <w:tcW w:w="9576" w:type="dxa"/>
            <w:gridSpan w:val="2"/>
          </w:tcPr>
          <w:p w:rsidR="005F4F19" w:rsidRPr="003F186C" w:rsidRDefault="005F4F19" w:rsidP="005F4F19">
            <w:pPr>
              <w:pStyle w:val="SCCShortJudgment"/>
              <w:rPr>
                <w:szCs w:val="20"/>
                <w:lang w:val="fr-CA"/>
              </w:rPr>
            </w:pPr>
            <w:r w:rsidRPr="005F4F19">
              <w:rPr>
                <w:szCs w:val="20"/>
              </w:rPr>
              <w:t xml:space="preserve">The motion for an extension of time to serve and file the response of the respondent Her Majesty the Queen in Right of the Province of British Columbia is granted.  The application for leave to appeal from the judgment of the Court of Appeal for British Columbia (Vancouver), Number CA041078, 2014 BCCA 61, dated February 17, 2014, is granted without costs.  The appeal will be heard with Dianna Louise Parsons, et al. v. Her Majesty the Queen in Right of Ontario, et al. </w:t>
            </w:r>
            <w:r w:rsidRPr="003F186C">
              <w:rPr>
                <w:szCs w:val="20"/>
                <w:lang w:val="fr-CA"/>
              </w:rPr>
              <w:t>(36456).</w:t>
            </w:r>
          </w:p>
          <w:p w:rsidR="005F4F19" w:rsidRPr="003F186C" w:rsidRDefault="005F4F19" w:rsidP="005F4F19">
            <w:pPr>
              <w:pStyle w:val="SCCShortJudgment"/>
              <w:ind w:firstLine="0"/>
              <w:rPr>
                <w:szCs w:val="20"/>
                <w:lang w:val="fr-CA"/>
              </w:rPr>
            </w:pPr>
          </w:p>
          <w:p w:rsidR="000E2959" w:rsidRPr="00A73D2C" w:rsidRDefault="005F4F19" w:rsidP="005F4F19">
            <w:pPr>
              <w:pStyle w:val="SCCShortJudgment"/>
              <w:rPr>
                <w:szCs w:val="20"/>
                <w:lang w:val="fr-CA"/>
              </w:rPr>
            </w:pPr>
            <w:r w:rsidRPr="003F186C">
              <w:rPr>
                <w:szCs w:val="20"/>
                <w:lang w:val="fr-CA"/>
              </w:rPr>
              <w:t xml:space="preserve">La requête en prorogation du délai de signification et de dépôt de la réponse de l’intimée Sa Majesté la Reine du chef de la province de la Colombie-Britannique est accueillie.  La demande d’autorisation d’appel de l’arrêt de la Cour d’appel de la Colombie-Britannique (Vancouver), numéro CA041078, 2014 BCCA 61, daté du 17 février 2014, est accueillie sans dépens.  Cet appel sera entendu avec Dianna Louise Parsons, et al. c. Sa Majesté la Reine du chef de l’Ontario, et al. </w:t>
            </w:r>
            <w:r w:rsidRPr="005F4F19">
              <w:rPr>
                <w:szCs w:val="20"/>
              </w:rPr>
              <w:t>(36456).</w:t>
            </w:r>
          </w:p>
        </w:tc>
      </w:tr>
    </w:tbl>
    <w:p w:rsidR="000E2959" w:rsidRPr="0016547E" w:rsidRDefault="000E2959"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Default="006E2A00" w:rsidP="0004528B">
            <w:pPr>
              <w:jc w:val="both"/>
              <w:rPr>
                <w:sz w:val="20"/>
              </w:rPr>
            </w:pPr>
            <w:r w:rsidRPr="007F2DB8">
              <w:rPr>
                <w:sz w:val="20"/>
              </w:rPr>
              <w:t>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a superior court judge of one province has jurisdiction to sit in another Canadian province to hear matters over which that judge has subject matter and personal jurisdiction – Whether, if the jurisdiction exists, it is properly exercised to hold a joint hearing outside the province with other superior court justices who have concurrent and/or overlapping jurisdiction over the administration of a settlement agreement of class actions which covers the entirety of the Canadian federation.</w:t>
            </w:r>
          </w:p>
          <w:p w:rsidR="006E2A00" w:rsidRPr="00E007CB" w:rsidRDefault="006E2A00" w:rsidP="0004528B">
            <w:pPr>
              <w:jc w:val="both"/>
              <w:rPr>
                <w:rFonts w:eastAsia="Calibri"/>
                <w:sz w:val="20"/>
              </w:rPr>
            </w:pPr>
          </w:p>
        </w:tc>
      </w:tr>
      <w:tr w:rsidR="000E2959" w:rsidRPr="00E007CB" w:rsidTr="0004528B">
        <w:tc>
          <w:tcPr>
            <w:tcW w:w="5000" w:type="pct"/>
            <w:gridSpan w:val="3"/>
          </w:tcPr>
          <w:p w:rsidR="006E2A00" w:rsidRPr="007F2DB8" w:rsidRDefault="006E2A00" w:rsidP="006E2A00">
            <w:pPr>
              <w:jc w:val="both"/>
              <w:rPr>
                <w:sz w:val="20"/>
              </w:rPr>
            </w:pPr>
            <w:r w:rsidRPr="007F2DB8">
              <w:rPr>
                <w:sz w:val="20"/>
              </w:rPr>
              <w:t>In the context of a national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9F6E9F" w:rsidRPr="007F2DB8" w:rsidRDefault="009F6E9F" w:rsidP="009F6E9F">
            <w:pPr>
              <w:jc w:val="both"/>
              <w:rPr>
                <w:sz w:val="20"/>
              </w:rPr>
            </w:pPr>
            <w:r w:rsidRPr="007F2DB8">
              <w:rPr>
                <w:sz w:val="20"/>
              </w:rPr>
              <w:t>June 19, 2013</w:t>
            </w:r>
          </w:p>
          <w:p w:rsidR="009F6E9F" w:rsidRPr="007F2DB8" w:rsidRDefault="009F6E9F" w:rsidP="009F6E9F">
            <w:pPr>
              <w:jc w:val="both"/>
              <w:rPr>
                <w:sz w:val="20"/>
              </w:rPr>
            </w:pPr>
            <w:r w:rsidRPr="007F2DB8">
              <w:rPr>
                <w:sz w:val="20"/>
              </w:rPr>
              <w:t>Supreme Court of British Columbia</w:t>
            </w:r>
          </w:p>
          <w:p w:rsidR="009F6E9F" w:rsidRPr="007F2DB8" w:rsidRDefault="009F6E9F" w:rsidP="009F6E9F">
            <w:pPr>
              <w:jc w:val="both"/>
              <w:rPr>
                <w:sz w:val="20"/>
              </w:rPr>
            </w:pPr>
            <w:r w:rsidRPr="007F2DB8">
              <w:rPr>
                <w:sz w:val="20"/>
              </w:rPr>
              <w:t>(Bauman C.J.)</w:t>
            </w:r>
          </w:p>
          <w:p w:rsidR="009F6E9F" w:rsidRPr="007F2DB8" w:rsidRDefault="00C232E1" w:rsidP="009F6E9F">
            <w:pPr>
              <w:jc w:val="both"/>
              <w:rPr>
                <w:sz w:val="20"/>
              </w:rPr>
            </w:pPr>
            <w:hyperlink r:id="rId24" w:history="1">
              <w:r w:rsidR="009F6E9F" w:rsidRPr="007F2DB8">
                <w:rPr>
                  <w:rStyle w:val="Hyperlink"/>
                  <w:sz w:val="20"/>
                </w:rPr>
                <w:t>2013 BCSC 1074</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9F6E9F" w:rsidRPr="007F2DB8" w:rsidRDefault="009F6E9F" w:rsidP="009F6E9F">
            <w:pPr>
              <w:jc w:val="both"/>
              <w:rPr>
                <w:sz w:val="20"/>
              </w:rPr>
            </w:pPr>
            <w:r w:rsidRPr="007F2DB8">
              <w:rPr>
                <w:sz w:val="20"/>
              </w:rPr>
              <w:t>Order on application for directions by class counsel for applicant: a judge of the British Columbia Supreme Court has the discretion to sit with his or her counterparts in another province to hear applications under the 1986-1990 Hepatitis C Settlement Agreement and it is appropriate to hear such an application in a location outside British Columbia alongside the other supervisory judges from Ontario and Quebec</w:t>
            </w:r>
          </w:p>
          <w:p w:rsidR="000E2959" w:rsidRPr="00E007CB" w:rsidRDefault="000E2959" w:rsidP="0004528B">
            <w:pPr>
              <w:jc w:val="both"/>
              <w:rPr>
                <w:rFonts w:eastAsia="Calibri"/>
                <w:sz w:val="20"/>
              </w:rPr>
            </w:pPr>
          </w:p>
        </w:tc>
      </w:tr>
      <w:tr w:rsidR="009F6E9F" w:rsidRPr="00E007CB" w:rsidTr="0004528B">
        <w:trPr>
          <w:cantSplit/>
        </w:trPr>
        <w:tc>
          <w:tcPr>
            <w:tcW w:w="2427" w:type="pct"/>
          </w:tcPr>
          <w:p w:rsidR="009F6E9F" w:rsidRPr="007F2DB8" w:rsidRDefault="009F6E9F" w:rsidP="009F6E9F">
            <w:pPr>
              <w:jc w:val="both"/>
              <w:rPr>
                <w:sz w:val="20"/>
              </w:rPr>
            </w:pPr>
            <w:r w:rsidRPr="007F2DB8">
              <w:rPr>
                <w:sz w:val="20"/>
              </w:rPr>
              <w:lastRenderedPageBreak/>
              <w:t>February 17, 2014</w:t>
            </w:r>
          </w:p>
          <w:p w:rsidR="009F6E9F" w:rsidRPr="007F2DB8" w:rsidRDefault="009F6E9F" w:rsidP="009F6E9F">
            <w:pPr>
              <w:jc w:val="both"/>
              <w:rPr>
                <w:sz w:val="20"/>
              </w:rPr>
            </w:pPr>
            <w:r w:rsidRPr="007F2DB8">
              <w:rPr>
                <w:sz w:val="20"/>
              </w:rPr>
              <w:t xml:space="preserve">Court of Appeal for British Columbia </w:t>
            </w:r>
          </w:p>
          <w:p w:rsidR="009F6E9F" w:rsidRPr="007F2DB8" w:rsidRDefault="009F6E9F" w:rsidP="009F6E9F">
            <w:pPr>
              <w:jc w:val="both"/>
              <w:rPr>
                <w:sz w:val="20"/>
              </w:rPr>
            </w:pPr>
            <w:r w:rsidRPr="007F2DB8">
              <w:rPr>
                <w:sz w:val="20"/>
              </w:rPr>
              <w:t>(Vancouver)</w:t>
            </w:r>
          </w:p>
          <w:p w:rsidR="009F6E9F" w:rsidRPr="007F2DB8" w:rsidRDefault="009F6E9F" w:rsidP="009F6E9F">
            <w:pPr>
              <w:jc w:val="both"/>
              <w:rPr>
                <w:sz w:val="20"/>
              </w:rPr>
            </w:pPr>
            <w:r w:rsidRPr="007F2DB8">
              <w:rPr>
                <w:sz w:val="20"/>
              </w:rPr>
              <w:t xml:space="preserve">(Saunders, </w:t>
            </w:r>
            <w:proofErr w:type="spellStart"/>
            <w:r w:rsidRPr="007F2DB8">
              <w:rPr>
                <w:sz w:val="20"/>
              </w:rPr>
              <w:t>Tysoe</w:t>
            </w:r>
            <w:proofErr w:type="spellEnd"/>
            <w:r w:rsidRPr="007F2DB8">
              <w:rPr>
                <w:sz w:val="20"/>
              </w:rPr>
              <w:t xml:space="preserve"> and </w:t>
            </w:r>
            <w:proofErr w:type="spellStart"/>
            <w:r w:rsidRPr="007F2DB8">
              <w:rPr>
                <w:sz w:val="20"/>
              </w:rPr>
              <w:t>Goepel</w:t>
            </w:r>
            <w:proofErr w:type="spellEnd"/>
            <w:r w:rsidRPr="007F2DB8">
              <w:rPr>
                <w:sz w:val="20"/>
              </w:rPr>
              <w:t xml:space="preserve"> JJ.A.)</w:t>
            </w:r>
          </w:p>
          <w:p w:rsidR="009F6E9F" w:rsidRPr="007F2DB8" w:rsidRDefault="00C232E1" w:rsidP="009F6E9F">
            <w:pPr>
              <w:jc w:val="both"/>
              <w:rPr>
                <w:rStyle w:val="Hyperlink"/>
                <w:sz w:val="20"/>
              </w:rPr>
            </w:pPr>
            <w:hyperlink r:id="rId25" w:history="1">
              <w:r w:rsidR="009F6E9F" w:rsidRPr="007F2DB8">
                <w:rPr>
                  <w:rStyle w:val="Hyperlink"/>
                  <w:sz w:val="20"/>
                </w:rPr>
                <w:t>2014 BCCA 61</w:t>
              </w:r>
            </w:hyperlink>
          </w:p>
          <w:p w:rsidR="009F6E9F" w:rsidRPr="00E007CB" w:rsidRDefault="009F6E9F" w:rsidP="0004528B">
            <w:pPr>
              <w:jc w:val="both"/>
              <w:rPr>
                <w:rFonts w:eastAsia="Calibri"/>
                <w:sz w:val="20"/>
              </w:rPr>
            </w:pPr>
          </w:p>
        </w:tc>
        <w:tc>
          <w:tcPr>
            <w:tcW w:w="243" w:type="pct"/>
          </w:tcPr>
          <w:p w:rsidR="009F6E9F" w:rsidRPr="00E007CB" w:rsidRDefault="009F6E9F" w:rsidP="0004528B">
            <w:pPr>
              <w:jc w:val="both"/>
              <w:rPr>
                <w:rFonts w:eastAsia="Calibri"/>
                <w:sz w:val="20"/>
              </w:rPr>
            </w:pPr>
          </w:p>
        </w:tc>
        <w:tc>
          <w:tcPr>
            <w:tcW w:w="2330" w:type="pct"/>
          </w:tcPr>
          <w:p w:rsidR="009F6E9F" w:rsidRPr="007F2DB8" w:rsidRDefault="009F6E9F" w:rsidP="009F6E9F">
            <w:pPr>
              <w:jc w:val="both"/>
              <w:rPr>
                <w:sz w:val="20"/>
              </w:rPr>
            </w:pPr>
            <w:r w:rsidRPr="007F2DB8">
              <w:rPr>
                <w:sz w:val="20"/>
              </w:rPr>
              <w:t>Appeal allowed: British Columbia judges cannot conduct hearings that take place outside the province</w:t>
            </w:r>
          </w:p>
          <w:p w:rsidR="009F6E9F" w:rsidRPr="009F6E9F" w:rsidRDefault="009F6E9F" w:rsidP="009F6E9F">
            <w:pPr>
              <w:tabs>
                <w:tab w:val="left" w:pos="1182"/>
              </w:tabs>
              <w:rPr>
                <w:rFonts w:eastAsia="Calibri"/>
                <w:sz w:val="20"/>
              </w:rPr>
            </w:pPr>
          </w:p>
        </w:tc>
      </w:tr>
      <w:tr w:rsidR="009F6E9F" w:rsidRPr="00E007CB" w:rsidTr="0004528B">
        <w:trPr>
          <w:cantSplit/>
        </w:trPr>
        <w:tc>
          <w:tcPr>
            <w:tcW w:w="2427" w:type="pct"/>
          </w:tcPr>
          <w:p w:rsidR="009F6E9F" w:rsidRPr="007F2DB8" w:rsidRDefault="009F6E9F" w:rsidP="009F6E9F">
            <w:pPr>
              <w:jc w:val="both"/>
              <w:rPr>
                <w:sz w:val="20"/>
              </w:rPr>
            </w:pPr>
            <w:r w:rsidRPr="007F2DB8">
              <w:rPr>
                <w:sz w:val="20"/>
              </w:rPr>
              <w:t>April 22, 2014</w:t>
            </w:r>
          </w:p>
          <w:p w:rsidR="009F6E9F" w:rsidRPr="00E007CB" w:rsidRDefault="009F6E9F" w:rsidP="009F6E9F">
            <w:pPr>
              <w:jc w:val="both"/>
              <w:rPr>
                <w:rFonts w:eastAsia="Calibri"/>
                <w:sz w:val="20"/>
              </w:rPr>
            </w:pPr>
            <w:r w:rsidRPr="007F2DB8">
              <w:rPr>
                <w:sz w:val="20"/>
              </w:rPr>
              <w:t>Supreme Court of Canada</w:t>
            </w:r>
          </w:p>
        </w:tc>
        <w:tc>
          <w:tcPr>
            <w:tcW w:w="243" w:type="pct"/>
          </w:tcPr>
          <w:p w:rsidR="009F6E9F" w:rsidRPr="00E007CB" w:rsidRDefault="009F6E9F" w:rsidP="0004528B">
            <w:pPr>
              <w:jc w:val="both"/>
              <w:rPr>
                <w:rFonts w:eastAsia="Calibri"/>
                <w:sz w:val="20"/>
              </w:rPr>
            </w:pPr>
          </w:p>
        </w:tc>
        <w:tc>
          <w:tcPr>
            <w:tcW w:w="2330" w:type="pct"/>
          </w:tcPr>
          <w:p w:rsidR="009F6E9F" w:rsidRPr="007F2DB8" w:rsidRDefault="009F6E9F" w:rsidP="009F6E9F">
            <w:pPr>
              <w:jc w:val="both"/>
              <w:rPr>
                <w:sz w:val="20"/>
              </w:rPr>
            </w:pPr>
            <w:r w:rsidRPr="007F2DB8">
              <w:rPr>
                <w:sz w:val="20"/>
              </w:rPr>
              <w:t>Application for leave to appeal filed; Motion for extension of time to serve and file memorandum of argument and book of authorities filed</w:t>
            </w:r>
          </w:p>
          <w:p w:rsidR="009F6E9F" w:rsidRPr="00E007CB" w:rsidRDefault="009F6E9F" w:rsidP="0004528B">
            <w:pPr>
              <w:jc w:val="both"/>
              <w:rPr>
                <w:rFonts w:eastAsia="Calibri"/>
                <w:sz w:val="20"/>
              </w:rPr>
            </w:pPr>
          </w:p>
        </w:tc>
      </w:tr>
      <w:tr w:rsidR="000E2959" w:rsidRPr="00E007CB" w:rsidTr="0004528B">
        <w:trPr>
          <w:cantSplit/>
        </w:trPr>
        <w:tc>
          <w:tcPr>
            <w:tcW w:w="2427" w:type="pct"/>
          </w:tcPr>
          <w:p w:rsidR="009F6E9F" w:rsidRPr="007F2DB8" w:rsidRDefault="009F6E9F" w:rsidP="009F6E9F">
            <w:pPr>
              <w:jc w:val="both"/>
              <w:rPr>
                <w:sz w:val="20"/>
              </w:rPr>
            </w:pPr>
            <w:r w:rsidRPr="007F2DB8">
              <w:rPr>
                <w:sz w:val="20"/>
              </w:rPr>
              <w:t>April 30, 2014</w:t>
            </w:r>
          </w:p>
          <w:p w:rsidR="009F6E9F" w:rsidRPr="007F2DB8" w:rsidRDefault="009F6E9F" w:rsidP="009F6E9F">
            <w:pPr>
              <w:jc w:val="both"/>
              <w:rPr>
                <w:sz w:val="20"/>
              </w:rPr>
            </w:pPr>
            <w:r w:rsidRPr="007F2DB8">
              <w:rPr>
                <w:sz w:val="20"/>
              </w:rPr>
              <w:t>Supreme Court of Canada</w:t>
            </w:r>
          </w:p>
          <w:p w:rsidR="000E2959" w:rsidRPr="00E007CB" w:rsidRDefault="009F6E9F" w:rsidP="009F6E9F">
            <w:pPr>
              <w:jc w:val="both"/>
              <w:rPr>
                <w:rFonts w:eastAsia="Calibri"/>
                <w:sz w:val="20"/>
              </w:rPr>
            </w:pPr>
            <w:r w:rsidRPr="007F2DB8">
              <w:rPr>
                <w:sz w:val="20"/>
              </w:rPr>
              <w:t>(</w:t>
            </w:r>
            <w:proofErr w:type="spellStart"/>
            <w:r w:rsidRPr="007F2DB8">
              <w:rPr>
                <w:sz w:val="20"/>
              </w:rPr>
              <w:t>LeBel</w:t>
            </w:r>
            <w:proofErr w:type="spellEnd"/>
            <w:r w:rsidRPr="007F2DB8">
              <w:rPr>
                <w:sz w:val="20"/>
              </w:rPr>
              <w:t xml:space="preserve"> J.)</w:t>
            </w:r>
          </w:p>
        </w:tc>
        <w:tc>
          <w:tcPr>
            <w:tcW w:w="243" w:type="pct"/>
          </w:tcPr>
          <w:p w:rsidR="000E2959" w:rsidRPr="00E007CB" w:rsidRDefault="000E2959" w:rsidP="0004528B">
            <w:pPr>
              <w:jc w:val="both"/>
              <w:rPr>
                <w:rFonts w:eastAsia="Calibri"/>
                <w:sz w:val="20"/>
              </w:rPr>
            </w:pPr>
          </w:p>
        </w:tc>
        <w:tc>
          <w:tcPr>
            <w:tcW w:w="2330" w:type="pct"/>
          </w:tcPr>
          <w:p w:rsidR="009F6E9F" w:rsidRPr="007F2DB8" w:rsidRDefault="009F6E9F" w:rsidP="009F6E9F">
            <w:pPr>
              <w:jc w:val="both"/>
              <w:rPr>
                <w:sz w:val="20"/>
              </w:rPr>
            </w:pPr>
            <w:r w:rsidRPr="007F2DB8">
              <w:rPr>
                <w:sz w:val="20"/>
              </w:rPr>
              <w:t xml:space="preserve">Motion for extension of time allowed: applicant must file memorandum of argument and book of authorities within 60 days after the Ontario Court of Appeal issues reasons for judgment in </w:t>
            </w:r>
            <w:r w:rsidRPr="007F2DB8">
              <w:rPr>
                <w:i/>
                <w:sz w:val="20"/>
              </w:rPr>
              <w:t>Parsons et al. v. Her Majesty the Queen in Right of Ontario et al.</w:t>
            </w:r>
            <w:r w:rsidRPr="007F2DB8">
              <w:rPr>
                <w:sz w:val="20"/>
              </w:rPr>
              <w:t xml:space="preserve"> (Docket No. C57131)</w:t>
            </w:r>
          </w:p>
          <w:p w:rsidR="000E2959" w:rsidRPr="00E007CB" w:rsidRDefault="000E2959" w:rsidP="0004528B">
            <w:pPr>
              <w:jc w:val="both"/>
              <w:rPr>
                <w:rFonts w:eastAsia="Calibri"/>
                <w:sz w:val="20"/>
              </w:rPr>
            </w:pPr>
          </w:p>
        </w:tc>
      </w:tr>
      <w:tr w:rsidR="009F6E9F" w:rsidRPr="00E007CB" w:rsidTr="0004528B">
        <w:trPr>
          <w:cantSplit/>
        </w:trPr>
        <w:tc>
          <w:tcPr>
            <w:tcW w:w="2427" w:type="pct"/>
          </w:tcPr>
          <w:p w:rsidR="009F6E9F" w:rsidRPr="00E007CB" w:rsidRDefault="009F6E9F" w:rsidP="009F6E9F">
            <w:pPr>
              <w:jc w:val="both"/>
              <w:rPr>
                <w:rFonts w:eastAsia="Calibri"/>
                <w:sz w:val="20"/>
              </w:rPr>
            </w:pPr>
            <w:r>
              <w:rPr>
                <w:rFonts w:eastAsia="Calibri"/>
                <w:sz w:val="20"/>
              </w:rPr>
              <w:t>May 11</w:t>
            </w:r>
            <w:r w:rsidRPr="00E007CB">
              <w:rPr>
                <w:rFonts w:eastAsia="Calibri"/>
                <w:sz w:val="20"/>
              </w:rPr>
              <w:t>, 201</w:t>
            </w:r>
            <w:r>
              <w:rPr>
                <w:rFonts w:eastAsia="Calibri"/>
                <w:sz w:val="20"/>
              </w:rPr>
              <w:t>5</w:t>
            </w:r>
          </w:p>
          <w:p w:rsidR="009F6E9F" w:rsidRPr="00E007CB" w:rsidRDefault="009F6E9F" w:rsidP="009F6E9F">
            <w:pPr>
              <w:jc w:val="both"/>
              <w:rPr>
                <w:rFonts w:eastAsia="Calibri"/>
                <w:sz w:val="20"/>
              </w:rPr>
            </w:pPr>
            <w:r w:rsidRPr="00E007CB">
              <w:rPr>
                <w:rFonts w:eastAsia="Calibri"/>
                <w:sz w:val="20"/>
              </w:rPr>
              <w:t>Supreme Court of Canada</w:t>
            </w:r>
          </w:p>
        </w:tc>
        <w:tc>
          <w:tcPr>
            <w:tcW w:w="243" w:type="pct"/>
          </w:tcPr>
          <w:p w:rsidR="009F6E9F" w:rsidRPr="00E007CB" w:rsidRDefault="009F6E9F" w:rsidP="009F6E9F">
            <w:pPr>
              <w:jc w:val="both"/>
              <w:rPr>
                <w:rFonts w:eastAsia="Calibri"/>
                <w:sz w:val="20"/>
              </w:rPr>
            </w:pPr>
          </w:p>
        </w:tc>
        <w:tc>
          <w:tcPr>
            <w:tcW w:w="2330" w:type="pct"/>
          </w:tcPr>
          <w:p w:rsidR="009F6E9F" w:rsidRPr="007F2DB8" w:rsidRDefault="009F6E9F" w:rsidP="009F6E9F">
            <w:pPr>
              <w:jc w:val="both"/>
              <w:rPr>
                <w:sz w:val="20"/>
              </w:rPr>
            </w:pPr>
            <w:r w:rsidRPr="007F2DB8">
              <w:rPr>
                <w:sz w:val="20"/>
              </w:rPr>
              <w:t>Applicant’s memorandum of argument and book of authorities filed</w:t>
            </w:r>
          </w:p>
        </w:tc>
      </w:tr>
    </w:tbl>
    <w:p w:rsidR="000E2959" w:rsidRDefault="000E2959" w:rsidP="000E2959">
      <w:pPr>
        <w:rPr>
          <w:sz w:val="20"/>
          <w:szCs w:val="20"/>
        </w:rPr>
      </w:pPr>
    </w:p>
    <w:p w:rsidR="000E2959" w:rsidRPr="00C50A5C" w:rsidRDefault="00C232E1" w:rsidP="000E2959">
      <w:pPr>
        <w:rPr>
          <w:sz w:val="20"/>
          <w:szCs w:val="20"/>
        </w:rPr>
      </w:pPr>
      <w:r>
        <w:rPr>
          <w:sz w:val="20"/>
          <w:szCs w:val="20"/>
          <w:lang w:val="fr-CA"/>
        </w:rPr>
        <w:pict>
          <v:rect id="_x0000_i1048" style="width:2in;height:1pt" o:hrpct="0" o:hralign="center" o:hrstd="t" o:hrnoshade="t" o:hr="t" fillcolor="black [3213]" stroked="f"/>
        </w:pict>
      </w:r>
    </w:p>
    <w:p w:rsidR="000E2959" w:rsidRDefault="000E2959" w:rsidP="000E2959">
      <w:pPr>
        <w:rPr>
          <w:sz w:val="20"/>
          <w:szCs w:val="20"/>
        </w:rPr>
      </w:pPr>
    </w:p>
    <w:p w:rsidR="000E2959" w:rsidRPr="001B157C" w:rsidRDefault="000E2959" w:rsidP="000E2959">
      <w:pPr>
        <w:rPr>
          <w:sz w:val="20"/>
          <w:szCs w:val="20"/>
          <w:u w:val="single"/>
          <w:lang w:val="fr-CA"/>
        </w:rPr>
      </w:pPr>
      <w:r w:rsidRPr="001B157C">
        <w:rPr>
          <w:sz w:val="20"/>
          <w:szCs w:val="20"/>
          <w:u w:val="single"/>
          <w:lang w:val="fr-CA"/>
        </w:rPr>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3F186C" w:rsidTr="0004528B">
        <w:tc>
          <w:tcPr>
            <w:tcW w:w="5000" w:type="pct"/>
            <w:gridSpan w:val="3"/>
          </w:tcPr>
          <w:p w:rsidR="000E2959" w:rsidRDefault="00B808DA" w:rsidP="0004528B">
            <w:pPr>
              <w:jc w:val="both"/>
              <w:rPr>
                <w:sz w:val="20"/>
                <w:lang w:val="fr-CA"/>
              </w:rPr>
            </w:pPr>
            <w:r w:rsidRPr="008C43B3">
              <w:rPr>
                <w:sz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Un juge de la cour supérieure d’une province </w:t>
            </w:r>
            <w:proofErr w:type="spellStart"/>
            <w:r w:rsidRPr="008C43B3">
              <w:rPr>
                <w:sz w:val="20"/>
                <w:lang w:val="fr-CA"/>
              </w:rPr>
              <w:t>a-t-il</w:t>
            </w:r>
            <w:proofErr w:type="spellEnd"/>
            <w:r w:rsidRPr="008C43B3">
              <w:rPr>
                <w:sz w:val="20"/>
                <w:lang w:val="fr-CA"/>
              </w:rPr>
              <w:t xml:space="preserve"> compétence pour siéger dans une autre province canadienne et entendre des affaires à l’égard desquelles il a compétence </w:t>
            </w:r>
            <w:r w:rsidRPr="008C43B3">
              <w:rPr>
                <w:i/>
                <w:sz w:val="20"/>
                <w:lang w:val="fr-CA"/>
              </w:rPr>
              <w:t>rationae materiae</w:t>
            </w:r>
            <w:r w:rsidRPr="008C43B3">
              <w:rPr>
                <w:sz w:val="20"/>
                <w:lang w:val="fr-CA"/>
              </w:rPr>
              <w:t xml:space="preserve"> et compétence personnelle? – Si la compétence existe, est-elle exercée à bon droit pour la tenue d’une audience conjointe à l’extérieur de la province avec d’autres juges de cours supérieures dont les compétences sont concurrentes ou se chevauchent à l’égard de l’administration d’une convention de règlement de recours collectifs qui couvre l’ensemble de la fédération canadienne?</w:t>
            </w:r>
          </w:p>
          <w:p w:rsidR="00B808DA" w:rsidRPr="00E007CB" w:rsidRDefault="00B808DA" w:rsidP="0004528B">
            <w:pPr>
              <w:jc w:val="both"/>
              <w:rPr>
                <w:rFonts w:eastAsia="Calibri"/>
                <w:sz w:val="20"/>
                <w:lang w:val="fr-CA"/>
              </w:rPr>
            </w:pPr>
          </w:p>
        </w:tc>
      </w:tr>
      <w:tr w:rsidR="000E2959" w:rsidRPr="003F186C" w:rsidTr="0004528B">
        <w:tc>
          <w:tcPr>
            <w:tcW w:w="5000" w:type="pct"/>
            <w:gridSpan w:val="3"/>
          </w:tcPr>
          <w:p w:rsidR="00B808DA" w:rsidRPr="008C43B3" w:rsidRDefault="00B808DA" w:rsidP="00B808DA">
            <w:pPr>
              <w:jc w:val="both"/>
              <w:rPr>
                <w:sz w:val="20"/>
                <w:lang w:val="fr-CA"/>
              </w:rPr>
            </w:pPr>
            <w:r w:rsidRPr="008C43B3">
              <w:rPr>
                <w:sz w:val="20"/>
                <w:lang w:val="fr-CA"/>
              </w:rPr>
              <w:t>Dans le cadre d’un recours collectif national,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w:t>
            </w:r>
          </w:p>
          <w:p w:rsidR="000E2959" w:rsidRPr="00E007CB" w:rsidRDefault="000E2959" w:rsidP="0004528B">
            <w:pPr>
              <w:jc w:val="both"/>
              <w:rPr>
                <w:sz w:val="20"/>
                <w:lang w:val="fr-CA"/>
              </w:rPr>
            </w:pPr>
          </w:p>
        </w:tc>
      </w:tr>
      <w:tr w:rsidR="000E2959" w:rsidRPr="003F186C" w:rsidTr="0004528B">
        <w:trPr>
          <w:cantSplit/>
        </w:trPr>
        <w:tc>
          <w:tcPr>
            <w:tcW w:w="2427" w:type="pct"/>
          </w:tcPr>
          <w:p w:rsidR="00B808DA" w:rsidRPr="008C43B3" w:rsidRDefault="00B808DA" w:rsidP="00B808DA">
            <w:pPr>
              <w:jc w:val="both"/>
              <w:rPr>
                <w:sz w:val="20"/>
                <w:lang w:val="fr-CA"/>
              </w:rPr>
            </w:pPr>
            <w:r w:rsidRPr="008C43B3">
              <w:rPr>
                <w:sz w:val="20"/>
                <w:lang w:val="fr-CA"/>
              </w:rPr>
              <w:lastRenderedPageBreak/>
              <w:t>19 juin 2013</w:t>
            </w:r>
          </w:p>
          <w:p w:rsidR="00B808DA" w:rsidRPr="008C43B3" w:rsidRDefault="00B808DA" w:rsidP="00B808DA">
            <w:pPr>
              <w:jc w:val="both"/>
              <w:rPr>
                <w:sz w:val="20"/>
                <w:lang w:val="fr-CA"/>
              </w:rPr>
            </w:pPr>
            <w:r w:rsidRPr="008C43B3">
              <w:rPr>
                <w:sz w:val="20"/>
                <w:lang w:val="fr-CA"/>
              </w:rPr>
              <w:t>Cour suprême de la Colombie-Britannique</w:t>
            </w:r>
          </w:p>
          <w:p w:rsidR="00B808DA" w:rsidRPr="008C43B3" w:rsidRDefault="00B808DA" w:rsidP="00B808DA">
            <w:pPr>
              <w:jc w:val="both"/>
              <w:rPr>
                <w:sz w:val="20"/>
                <w:lang w:val="fr-CA"/>
              </w:rPr>
            </w:pPr>
            <w:r w:rsidRPr="008C43B3">
              <w:rPr>
                <w:sz w:val="20"/>
                <w:lang w:val="fr-CA"/>
              </w:rPr>
              <w:t xml:space="preserve">(Juge en chef </w:t>
            </w:r>
            <w:proofErr w:type="spellStart"/>
            <w:r w:rsidRPr="008C43B3">
              <w:rPr>
                <w:sz w:val="20"/>
                <w:lang w:val="fr-CA"/>
              </w:rPr>
              <w:t>Bauman</w:t>
            </w:r>
            <w:proofErr w:type="spellEnd"/>
            <w:r w:rsidRPr="008C43B3">
              <w:rPr>
                <w:sz w:val="20"/>
                <w:lang w:val="fr-CA"/>
              </w:rPr>
              <w:t>)</w:t>
            </w:r>
          </w:p>
          <w:p w:rsidR="00B808DA" w:rsidRPr="008C43B3" w:rsidRDefault="003F186C" w:rsidP="00B808DA">
            <w:pPr>
              <w:jc w:val="both"/>
              <w:rPr>
                <w:sz w:val="20"/>
                <w:lang w:val="fr-CA"/>
              </w:rPr>
            </w:pPr>
            <w:hyperlink r:id="rId26" w:history="1">
              <w:r w:rsidR="00B808DA" w:rsidRPr="008C43B3">
                <w:rPr>
                  <w:rStyle w:val="Hyperlink"/>
                  <w:sz w:val="20"/>
                  <w:lang w:val="fr-CA"/>
                </w:rPr>
                <w:t>2013 BCSC 1074</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B808DA" w:rsidRPr="008C43B3" w:rsidRDefault="00B808DA" w:rsidP="00B808DA">
            <w:pPr>
              <w:jc w:val="both"/>
              <w:rPr>
                <w:sz w:val="20"/>
                <w:lang w:val="fr-CA"/>
              </w:rPr>
            </w:pPr>
            <w:r w:rsidRPr="008C43B3">
              <w:rPr>
                <w:sz w:val="20"/>
                <w:lang w:val="fr-CA"/>
              </w:rPr>
              <w:t>Ordonnance rendue à la suite d’une demande de directives présentée par les avocats des recours collectifs représentant la demanderesse : un juge de la Cour suprême de la Colombie-Britannique a le pouvoir discrétionnaire de siéger avec ses homologues dans une autre province pour entendre des demandes en application de la Convention de règlement relatif à l’Hépatite C 1986-1990 et il est approprié d’entendre une telle demande à l’extérieur de la Colombie-Britannique avec d’autres juges superviseurs de l’Ontario et du Québec</w:t>
            </w:r>
          </w:p>
          <w:p w:rsidR="000E2959" w:rsidRPr="00E007CB" w:rsidRDefault="000E2959" w:rsidP="0004528B">
            <w:pPr>
              <w:jc w:val="both"/>
              <w:rPr>
                <w:rFonts w:eastAsia="Calibri"/>
                <w:sz w:val="20"/>
                <w:lang w:val="fr-CA"/>
              </w:rPr>
            </w:pPr>
          </w:p>
        </w:tc>
      </w:tr>
      <w:tr w:rsidR="000E2959" w:rsidRPr="003F186C" w:rsidTr="0004528B">
        <w:trPr>
          <w:cantSplit/>
        </w:trPr>
        <w:tc>
          <w:tcPr>
            <w:tcW w:w="2427" w:type="pct"/>
          </w:tcPr>
          <w:p w:rsidR="00B808DA" w:rsidRPr="008C43B3" w:rsidRDefault="00B808DA" w:rsidP="00B808DA">
            <w:pPr>
              <w:jc w:val="both"/>
              <w:rPr>
                <w:sz w:val="20"/>
                <w:lang w:val="fr-CA"/>
              </w:rPr>
            </w:pPr>
            <w:r w:rsidRPr="008C43B3">
              <w:rPr>
                <w:sz w:val="20"/>
                <w:lang w:val="fr-CA"/>
              </w:rPr>
              <w:t>17 février 2014</w:t>
            </w:r>
          </w:p>
          <w:p w:rsidR="00B808DA" w:rsidRPr="008C43B3" w:rsidRDefault="00B808DA" w:rsidP="00B808DA">
            <w:pPr>
              <w:jc w:val="both"/>
              <w:rPr>
                <w:sz w:val="20"/>
                <w:lang w:val="fr-CA"/>
              </w:rPr>
            </w:pPr>
            <w:r w:rsidRPr="008C43B3">
              <w:rPr>
                <w:sz w:val="20"/>
                <w:lang w:val="fr-CA"/>
              </w:rPr>
              <w:t>Cour d’appel de la Colombie-Britannique</w:t>
            </w:r>
          </w:p>
          <w:p w:rsidR="00B808DA" w:rsidRPr="008C43B3" w:rsidRDefault="00B808DA" w:rsidP="00B808DA">
            <w:pPr>
              <w:jc w:val="both"/>
              <w:rPr>
                <w:sz w:val="20"/>
                <w:lang w:val="fr-CA"/>
              </w:rPr>
            </w:pPr>
            <w:r w:rsidRPr="008C43B3">
              <w:rPr>
                <w:sz w:val="20"/>
                <w:lang w:val="fr-CA"/>
              </w:rPr>
              <w:t>(Vancouver)</w:t>
            </w:r>
          </w:p>
          <w:p w:rsidR="00B808DA" w:rsidRPr="008C43B3" w:rsidRDefault="00B808DA" w:rsidP="00B808DA">
            <w:pPr>
              <w:jc w:val="both"/>
              <w:rPr>
                <w:sz w:val="20"/>
                <w:lang w:val="fr-CA"/>
              </w:rPr>
            </w:pPr>
            <w:r w:rsidRPr="008C43B3">
              <w:rPr>
                <w:sz w:val="20"/>
                <w:lang w:val="fr-CA"/>
              </w:rPr>
              <w:t xml:space="preserve">(Juges Saunders, </w:t>
            </w:r>
            <w:proofErr w:type="spellStart"/>
            <w:r w:rsidRPr="008C43B3">
              <w:rPr>
                <w:sz w:val="20"/>
                <w:lang w:val="fr-CA"/>
              </w:rPr>
              <w:t>Tysoe</w:t>
            </w:r>
            <w:proofErr w:type="spellEnd"/>
            <w:r w:rsidRPr="008C43B3">
              <w:rPr>
                <w:sz w:val="20"/>
                <w:lang w:val="fr-CA"/>
              </w:rPr>
              <w:t xml:space="preserve"> et </w:t>
            </w:r>
            <w:proofErr w:type="spellStart"/>
            <w:r w:rsidRPr="008C43B3">
              <w:rPr>
                <w:sz w:val="20"/>
                <w:lang w:val="fr-CA"/>
              </w:rPr>
              <w:t>Goepel</w:t>
            </w:r>
            <w:proofErr w:type="spellEnd"/>
            <w:r w:rsidRPr="008C43B3">
              <w:rPr>
                <w:sz w:val="20"/>
                <w:lang w:val="fr-CA"/>
              </w:rPr>
              <w:t>)</w:t>
            </w:r>
          </w:p>
          <w:p w:rsidR="00B808DA" w:rsidRPr="008C43B3" w:rsidRDefault="00C232E1" w:rsidP="00B808DA">
            <w:pPr>
              <w:jc w:val="both"/>
              <w:rPr>
                <w:rStyle w:val="Hyperlink"/>
                <w:sz w:val="20"/>
                <w:lang w:val="fr-CA"/>
              </w:rPr>
            </w:pPr>
            <w:hyperlink r:id="rId27" w:history="1">
              <w:r w:rsidR="00B808DA" w:rsidRPr="008C43B3">
                <w:rPr>
                  <w:rStyle w:val="Hyperlink"/>
                  <w:sz w:val="20"/>
                  <w:lang w:val="fr-CA"/>
                </w:rPr>
                <w:t>2014 BCCA 61</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B808DA" w:rsidRPr="008C43B3" w:rsidRDefault="00B808DA" w:rsidP="00B808DA">
            <w:pPr>
              <w:jc w:val="both"/>
              <w:rPr>
                <w:sz w:val="20"/>
                <w:lang w:val="fr-CA"/>
              </w:rPr>
            </w:pPr>
            <w:r w:rsidRPr="008C43B3">
              <w:rPr>
                <w:sz w:val="20"/>
                <w:lang w:val="fr-CA"/>
              </w:rPr>
              <w:t>Arrêt accueillant l’appel : les juges de la Colombie-Britannique ne peuvent tenir des audiences à  l’extérieur de la province</w:t>
            </w:r>
          </w:p>
          <w:p w:rsidR="000E2959" w:rsidRPr="00E007CB" w:rsidRDefault="000E2959" w:rsidP="0004528B">
            <w:pPr>
              <w:jc w:val="both"/>
              <w:rPr>
                <w:rFonts w:eastAsia="Calibri"/>
                <w:sz w:val="20"/>
                <w:lang w:val="fr-CA"/>
              </w:rPr>
            </w:pPr>
          </w:p>
        </w:tc>
      </w:tr>
      <w:tr w:rsidR="00B808DA" w:rsidRPr="003F186C" w:rsidTr="0004528B">
        <w:trPr>
          <w:cantSplit/>
        </w:trPr>
        <w:tc>
          <w:tcPr>
            <w:tcW w:w="2427" w:type="pct"/>
          </w:tcPr>
          <w:p w:rsidR="00B808DA" w:rsidRPr="008C43B3" w:rsidRDefault="00B808DA" w:rsidP="00B808DA">
            <w:pPr>
              <w:jc w:val="both"/>
              <w:rPr>
                <w:sz w:val="20"/>
                <w:lang w:val="fr-CA"/>
              </w:rPr>
            </w:pPr>
            <w:r w:rsidRPr="008C43B3">
              <w:rPr>
                <w:sz w:val="20"/>
                <w:lang w:val="fr-CA"/>
              </w:rPr>
              <w:t>22 avril 2014</w:t>
            </w:r>
          </w:p>
          <w:p w:rsidR="00B808DA" w:rsidRPr="00E007CB" w:rsidRDefault="00B808DA" w:rsidP="00B808DA">
            <w:pPr>
              <w:tabs>
                <w:tab w:val="left" w:pos="1522"/>
              </w:tabs>
              <w:jc w:val="both"/>
              <w:rPr>
                <w:rFonts w:eastAsia="Calibri"/>
                <w:sz w:val="20"/>
                <w:lang w:val="fr-CA"/>
              </w:rPr>
            </w:pPr>
            <w:r w:rsidRPr="008C43B3">
              <w:rPr>
                <w:sz w:val="20"/>
                <w:lang w:val="fr-CA"/>
              </w:rPr>
              <w:t>Cour suprême du Canada</w:t>
            </w:r>
          </w:p>
        </w:tc>
        <w:tc>
          <w:tcPr>
            <w:tcW w:w="243" w:type="pct"/>
          </w:tcPr>
          <w:p w:rsidR="00B808DA" w:rsidRPr="00E007CB" w:rsidRDefault="00B808DA" w:rsidP="0004528B">
            <w:pPr>
              <w:jc w:val="both"/>
              <w:rPr>
                <w:rFonts w:eastAsia="Calibri"/>
                <w:sz w:val="20"/>
                <w:lang w:val="fr-CA"/>
              </w:rPr>
            </w:pPr>
          </w:p>
        </w:tc>
        <w:tc>
          <w:tcPr>
            <w:tcW w:w="2330" w:type="pct"/>
          </w:tcPr>
          <w:p w:rsidR="00B808DA" w:rsidRPr="008C43B3" w:rsidRDefault="00B808DA" w:rsidP="00B808DA">
            <w:pPr>
              <w:jc w:val="both"/>
              <w:rPr>
                <w:sz w:val="20"/>
                <w:lang w:val="fr-CA"/>
              </w:rPr>
            </w:pPr>
            <w:r w:rsidRPr="008C43B3">
              <w:rPr>
                <w:sz w:val="20"/>
                <w:lang w:val="fr-CA"/>
              </w:rPr>
              <w:t>Dépôt de la demande d’autorisation d’appel; dépôt de la requête en prorogation du délai de signification et de dépôt du mémoire et du recueil de sources</w:t>
            </w:r>
          </w:p>
          <w:p w:rsidR="00B808DA" w:rsidRPr="00E007CB" w:rsidRDefault="00B808DA" w:rsidP="0004528B">
            <w:pPr>
              <w:jc w:val="both"/>
              <w:rPr>
                <w:rFonts w:eastAsia="Calibri"/>
                <w:sz w:val="20"/>
                <w:lang w:val="fr-CA"/>
              </w:rPr>
            </w:pPr>
          </w:p>
        </w:tc>
      </w:tr>
      <w:tr w:rsidR="00B808DA" w:rsidRPr="00002704" w:rsidTr="0004528B">
        <w:trPr>
          <w:cantSplit/>
        </w:trPr>
        <w:tc>
          <w:tcPr>
            <w:tcW w:w="2427" w:type="pct"/>
          </w:tcPr>
          <w:p w:rsidR="00B808DA" w:rsidRPr="008C43B3" w:rsidRDefault="00B808DA" w:rsidP="00B808DA">
            <w:pPr>
              <w:jc w:val="both"/>
              <w:rPr>
                <w:sz w:val="20"/>
                <w:lang w:val="fr-CA"/>
              </w:rPr>
            </w:pPr>
            <w:r w:rsidRPr="008C43B3">
              <w:rPr>
                <w:sz w:val="20"/>
                <w:lang w:val="fr-CA"/>
              </w:rPr>
              <w:t>30 avril 2014</w:t>
            </w:r>
          </w:p>
          <w:p w:rsidR="00B808DA" w:rsidRPr="008C43B3" w:rsidRDefault="00B808DA" w:rsidP="00B808DA">
            <w:pPr>
              <w:jc w:val="both"/>
              <w:rPr>
                <w:sz w:val="20"/>
                <w:lang w:val="fr-CA"/>
              </w:rPr>
            </w:pPr>
            <w:r w:rsidRPr="008C43B3">
              <w:rPr>
                <w:sz w:val="20"/>
                <w:lang w:val="fr-CA"/>
              </w:rPr>
              <w:t>Cour suprême du Canada</w:t>
            </w:r>
          </w:p>
          <w:p w:rsidR="00B808DA" w:rsidRPr="00E007CB" w:rsidRDefault="00B808DA" w:rsidP="00B808DA">
            <w:pPr>
              <w:jc w:val="both"/>
              <w:rPr>
                <w:rFonts w:eastAsia="Calibri"/>
                <w:sz w:val="20"/>
                <w:lang w:val="fr-CA"/>
              </w:rPr>
            </w:pPr>
            <w:r w:rsidRPr="008C43B3">
              <w:rPr>
                <w:sz w:val="20"/>
                <w:lang w:val="fr-CA"/>
              </w:rPr>
              <w:t xml:space="preserve">(Juge </w:t>
            </w:r>
            <w:proofErr w:type="spellStart"/>
            <w:r w:rsidRPr="008C43B3">
              <w:rPr>
                <w:sz w:val="20"/>
                <w:lang w:val="fr-CA"/>
              </w:rPr>
              <w:t>LeBel</w:t>
            </w:r>
            <w:proofErr w:type="spellEnd"/>
            <w:r w:rsidRPr="008C43B3">
              <w:rPr>
                <w:sz w:val="20"/>
                <w:lang w:val="fr-CA"/>
              </w:rPr>
              <w:t>)</w:t>
            </w:r>
          </w:p>
        </w:tc>
        <w:tc>
          <w:tcPr>
            <w:tcW w:w="243" w:type="pct"/>
          </w:tcPr>
          <w:p w:rsidR="00B808DA" w:rsidRPr="00E007CB" w:rsidRDefault="00B808DA" w:rsidP="0004528B">
            <w:pPr>
              <w:jc w:val="both"/>
              <w:rPr>
                <w:rFonts w:eastAsia="Calibri"/>
                <w:sz w:val="20"/>
                <w:lang w:val="fr-CA"/>
              </w:rPr>
            </w:pPr>
          </w:p>
        </w:tc>
        <w:tc>
          <w:tcPr>
            <w:tcW w:w="2330" w:type="pct"/>
          </w:tcPr>
          <w:p w:rsidR="00B808DA" w:rsidRPr="008C43B3" w:rsidRDefault="00B808DA" w:rsidP="00B808DA">
            <w:pPr>
              <w:jc w:val="both"/>
              <w:rPr>
                <w:sz w:val="20"/>
                <w:lang w:val="fr-CA"/>
              </w:rPr>
            </w:pPr>
            <w:r w:rsidRPr="008C43B3">
              <w:rPr>
                <w:sz w:val="20"/>
                <w:lang w:val="fr-CA"/>
              </w:rPr>
              <w:t xml:space="preserve">Décision accueillant la requête en prorogation de délai : la demanderesse doit déposer un mémoire et un recueil de sources dans les soixante jours qui suivent la publication des motifs du jugement de la Cour d’appel de l’Ontario dans l’affaire </w:t>
            </w:r>
            <w:r w:rsidRPr="008C43B3">
              <w:rPr>
                <w:i/>
                <w:sz w:val="20"/>
                <w:lang w:val="fr-CA"/>
              </w:rPr>
              <w:t xml:space="preserve">Parsons et al. v. </w:t>
            </w:r>
            <w:proofErr w:type="spellStart"/>
            <w:r w:rsidRPr="008C43B3">
              <w:rPr>
                <w:i/>
                <w:sz w:val="20"/>
                <w:lang w:val="fr-CA"/>
              </w:rPr>
              <w:t>Her</w:t>
            </w:r>
            <w:proofErr w:type="spellEnd"/>
            <w:r w:rsidRPr="008C43B3">
              <w:rPr>
                <w:i/>
                <w:sz w:val="20"/>
                <w:lang w:val="fr-CA"/>
              </w:rPr>
              <w:t xml:space="preserve"> </w:t>
            </w:r>
            <w:proofErr w:type="spellStart"/>
            <w:r w:rsidRPr="008C43B3">
              <w:rPr>
                <w:i/>
                <w:sz w:val="20"/>
                <w:lang w:val="fr-CA"/>
              </w:rPr>
              <w:t>Majesty</w:t>
            </w:r>
            <w:proofErr w:type="spellEnd"/>
            <w:r w:rsidRPr="008C43B3">
              <w:rPr>
                <w:i/>
                <w:sz w:val="20"/>
                <w:lang w:val="fr-CA"/>
              </w:rPr>
              <w:t xml:space="preserve"> the </w:t>
            </w:r>
            <w:proofErr w:type="spellStart"/>
            <w:r w:rsidRPr="008C43B3">
              <w:rPr>
                <w:i/>
                <w:sz w:val="20"/>
                <w:lang w:val="fr-CA"/>
              </w:rPr>
              <w:t>Queen</w:t>
            </w:r>
            <w:proofErr w:type="spellEnd"/>
            <w:r w:rsidRPr="008C43B3">
              <w:rPr>
                <w:i/>
                <w:sz w:val="20"/>
                <w:lang w:val="fr-CA"/>
              </w:rPr>
              <w:t xml:space="preserve"> in Right of Ontario et al.</w:t>
            </w:r>
            <w:r w:rsidRPr="008C43B3">
              <w:rPr>
                <w:sz w:val="20"/>
                <w:lang w:val="fr-CA"/>
              </w:rPr>
              <w:t xml:space="preserve"> (n</w:t>
            </w:r>
            <w:r w:rsidRPr="008C43B3">
              <w:rPr>
                <w:sz w:val="20"/>
                <w:vertAlign w:val="superscript"/>
                <w:lang w:val="fr-CA"/>
              </w:rPr>
              <w:t>o</w:t>
            </w:r>
            <w:r w:rsidRPr="008C43B3">
              <w:rPr>
                <w:sz w:val="20"/>
                <w:lang w:val="fr-CA"/>
              </w:rPr>
              <w:t xml:space="preserve"> du greffe C57131)</w:t>
            </w:r>
          </w:p>
          <w:p w:rsidR="00B808DA" w:rsidRPr="00E007CB" w:rsidRDefault="00B808DA" w:rsidP="0004528B">
            <w:pPr>
              <w:jc w:val="both"/>
              <w:rPr>
                <w:rFonts w:eastAsia="Calibri"/>
                <w:sz w:val="20"/>
                <w:lang w:val="fr-CA"/>
              </w:rPr>
            </w:pPr>
          </w:p>
        </w:tc>
      </w:tr>
      <w:tr w:rsidR="00B808DA" w:rsidRPr="003F186C" w:rsidTr="0004528B">
        <w:trPr>
          <w:cantSplit/>
        </w:trPr>
        <w:tc>
          <w:tcPr>
            <w:tcW w:w="2427" w:type="pct"/>
          </w:tcPr>
          <w:p w:rsidR="00B808DA" w:rsidRPr="00E007CB" w:rsidRDefault="00B808DA" w:rsidP="00B808DA">
            <w:pPr>
              <w:jc w:val="both"/>
              <w:rPr>
                <w:rFonts w:eastAsia="Calibri"/>
                <w:sz w:val="20"/>
                <w:lang w:val="fr-CA"/>
              </w:rPr>
            </w:pPr>
            <w:r>
              <w:rPr>
                <w:rFonts w:eastAsia="Calibri"/>
                <w:sz w:val="20"/>
                <w:lang w:val="fr-CA"/>
              </w:rPr>
              <w:t>11 mai</w:t>
            </w:r>
            <w:r w:rsidRPr="00E007CB">
              <w:rPr>
                <w:rFonts w:eastAsia="Calibri"/>
                <w:sz w:val="20"/>
                <w:lang w:val="fr-CA"/>
              </w:rPr>
              <w:t xml:space="preserve"> 201</w:t>
            </w:r>
            <w:r>
              <w:rPr>
                <w:rFonts w:eastAsia="Calibri"/>
                <w:sz w:val="20"/>
                <w:lang w:val="fr-CA"/>
              </w:rPr>
              <w:t>5</w:t>
            </w:r>
          </w:p>
          <w:p w:rsidR="00B808DA" w:rsidRPr="00E007CB" w:rsidRDefault="00B808DA" w:rsidP="00B808DA">
            <w:pPr>
              <w:jc w:val="both"/>
              <w:rPr>
                <w:rFonts w:eastAsia="Calibri"/>
                <w:sz w:val="20"/>
                <w:lang w:val="fr-CA"/>
              </w:rPr>
            </w:pPr>
            <w:r w:rsidRPr="00E007CB">
              <w:rPr>
                <w:rFonts w:eastAsia="Calibri"/>
                <w:sz w:val="20"/>
                <w:lang w:val="fr-CA"/>
              </w:rPr>
              <w:t>Cour suprême du Canada</w:t>
            </w:r>
          </w:p>
        </w:tc>
        <w:tc>
          <w:tcPr>
            <w:tcW w:w="243" w:type="pct"/>
          </w:tcPr>
          <w:p w:rsidR="00B808DA" w:rsidRPr="00E007CB" w:rsidRDefault="00B808DA" w:rsidP="00B808DA">
            <w:pPr>
              <w:jc w:val="both"/>
              <w:rPr>
                <w:rFonts w:eastAsia="Calibri"/>
                <w:sz w:val="20"/>
                <w:lang w:val="fr-CA"/>
              </w:rPr>
            </w:pPr>
          </w:p>
        </w:tc>
        <w:tc>
          <w:tcPr>
            <w:tcW w:w="2330" w:type="pct"/>
          </w:tcPr>
          <w:p w:rsidR="00B808DA" w:rsidRPr="008C43B3" w:rsidRDefault="00B808DA" w:rsidP="00B808DA">
            <w:pPr>
              <w:jc w:val="both"/>
              <w:rPr>
                <w:sz w:val="20"/>
                <w:lang w:val="fr-CA"/>
              </w:rPr>
            </w:pPr>
            <w:r w:rsidRPr="008C43B3">
              <w:rPr>
                <w:sz w:val="20"/>
                <w:lang w:val="fr-CA"/>
              </w:rPr>
              <w:t>Dépôt du mémoire et du recueil de sources de la demanderesse</w:t>
            </w:r>
          </w:p>
        </w:tc>
      </w:tr>
    </w:tbl>
    <w:p w:rsidR="000E2959" w:rsidRPr="003F186C" w:rsidRDefault="000E2959" w:rsidP="000E2959">
      <w:pPr>
        <w:rPr>
          <w:sz w:val="20"/>
          <w:szCs w:val="20"/>
          <w:lang w:val="fr-CA"/>
        </w:rPr>
      </w:pPr>
    </w:p>
    <w:p w:rsidR="000E2959" w:rsidRDefault="00C232E1" w:rsidP="000E2959">
      <w:pPr>
        <w:rPr>
          <w:sz w:val="20"/>
          <w:szCs w:val="20"/>
        </w:rPr>
      </w:pPr>
      <w:r>
        <w:rPr>
          <w:sz w:val="20"/>
          <w:szCs w:val="20"/>
          <w:lang w:val="fr-CA"/>
        </w:rPr>
        <w:pict>
          <v:rect id="_x0000_i1049" style="width:2in;height:1pt" o:hrpct="0" o:hralign="center" o:hrstd="t" o:hrnoshade="t" o:hr="t" fillcolor="black [3213]" stroked="f"/>
        </w:pic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35C9C" w:rsidRPr="00A73D2C" w:rsidTr="00F3316B">
        <w:trPr>
          <w:cantSplit/>
        </w:trPr>
        <w:tc>
          <w:tcPr>
            <w:tcW w:w="1458" w:type="dxa"/>
          </w:tcPr>
          <w:p w:rsidR="00235C9C" w:rsidRPr="00A73D2C" w:rsidRDefault="00235C9C" w:rsidP="00F3316B">
            <w:pPr>
              <w:rPr>
                <w:sz w:val="20"/>
                <w:szCs w:val="20"/>
              </w:rPr>
            </w:pPr>
            <w:r w:rsidRPr="00A73D2C">
              <w:rPr>
                <w:rStyle w:val="SCCFileNumberChar"/>
                <w:sz w:val="20"/>
                <w:szCs w:val="20"/>
              </w:rPr>
              <w:t>3</w:t>
            </w:r>
            <w:r>
              <w:rPr>
                <w:rStyle w:val="SCCFileNumberChar"/>
                <w:sz w:val="20"/>
                <w:szCs w:val="20"/>
              </w:rPr>
              <w:t>6325</w:t>
            </w:r>
          </w:p>
          <w:p w:rsidR="00235C9C" w:rsidRPr="00A73D2C" w:rsidRDefault="00235C9C" w:rsidP="00F3316B">
            <w:pPr>
              <w:rPr>
                <w:b/>
                <w:sz w:val="20"/>
                <w:szCs w:val="20"/>
                <w:lang w:val="fr-CA"/>
              </w:rPr>
            </w:pPr>
          </w:p>
        </w:tc>
        <w:tc>
          <w:tcPr>
            <w:tcW w:w="8118" w:type="dxa"/>
          </w:tcPr>
          <w:p w:rsidR="00235C9C" w:rsidRPr="00A73D2C" w:rsidRDefault="00235C9C" w:rsidP="00F3316B">
            <w:pPr>
              <w:rPr>
                <w:sz w:val="20"/>
                <w:szCs w:val="20"/>
              </w:rPr>
            </w:pPr>
            <w:r w:rsidRPr="00235C9C">
              <w:rPr>
                <w:rStyle w:val="SCCLsocChar"/>
                <w:sz w:val="20"/>
                <w:szCs w:val="20"/>
                <w:lang w:val="en-CA"/>
              </w:rPr>
              <w:t xml:space="preserve">Ariston Realty Corp. v. </w:t>
            </w:r>
            <w:proofErr w:type="spellStart"/>
            <w:r w:rsidRPr="00235C9C">
              <w:rPr>
                <w:rStyle w:val="SCCLsocChar"/>
                <w:sz w:val="20"/>
                <w:szCs w:val="20"/>
                <w:lang w:val="en-CA"/>
              </w:rPr>
              <w:t>Elcarim</w:t>
            </w:r>
            <w:proofErr w:type="spellEnd"/>
            <w:r w:rsidRPr="00235C9C">
              <w:rPr>
                <w:rStyle w:val="SCCLsocChar"/>
                <w:sz w:val="20"/>
                <w:szCs w:val="20"/>
                <w:lang w:val="en-CA"/>
              </w:rPr>
              <w:t xml:space="preserve"> Inc. and Elaine Wai </w:t>
            </w:r>
            <w:proofErr w:type="spellStart"/>
            <w:r w:rsidRPr="00235C9C">
              <w:rPr>
                <w:rStyle w:val="SCCLsocChar"/>
                <w:sz w:val="20"/>
                <w:szCs w:val="20"/>
                <w:lang w:val="en-CA"/>
              </w:rPr>
              <w:t>Mascall</w:t>
            </w:r>
            <w:proofErr w:type="spellEnd"/>
            <w:r w:rsidRPr="00A73D2C">
              <w:rPr>
                <w:sz w:val="20"/>
                <w:szCs w:val="20"/>
              </w:rPr>
              <w:t xml:space="preserve"> (</w:t>
            </w:r>
            <w:r>
              <w:rPr>
                <w:sz w:val="20"/>
                <w:szCs w:val="20"/>
              </w:rPr>
              <w:t>Ont.</w:t>
            </w:r>
            <w:r w:rsidRPr="00A73D2C">
              <w:rPr>
                <w:sz w:val="20"/>
                <w:szCs w:val="20"/>
              </w:rPr>
              <w:t>) (Civil) (By Leave)</w:t>
            </w:r>
          </w:p>
          <w:p w:rsidR="00235C9C" w:rsidRPr="00A73D2C" w:rsidRDefault="00235C9C" w:rsidP="00F3316B">
            <w:pPr>
              <w:rPr>
                <w:sz w:val="20"/>
                <w:szCs w:val="20"/>
              </w:rPr>
            </w:pPr>
          </w:p>
        </w:tc>
      </w:tr>
      <w:tr w:rsidR="00235C9C" w:rsidRPr="00A73D2C" w:rsidTr="00F3316B">
        <w:trPr>
          <w:cantSplit/>
        </w:trPr>
        <w:tc>
          <w:tcPr>
            <w:tcW w:w="1458" w:type="dxa"/>
          </w:tcPr>
          <w:p w:rsidR="00235C9C" w:rsidRPr="00A73D2C" w:rsidRDefault="00235C9C" w:rsidP="00F3316B">
            <w:pPr>
              <w:rPr>
                <w:sz w:val="20"/>
                <w:szCs w:val="20"/>
              </w:rPr>
            </w:pPr>
            <w:r w:rsidRPr="00A73D2C">
              <w:rPr>
                <w:sz w:val="20"/>
                <w:szCs w:val="20"/>
              </w:rPr>
              <w:t>Coram :</w:t>
            </w:r>
          </w:p>
        </w:tc>
        <w:tc>
          <w:tcPr>
            <w:tcW w:w="8118" w:type="dxa"/>
          </w:tcPr>
          <w:p w:rsidR="00235C9C" w:rsidRDefault="00ED2B58" w:rsidP="00F3316B">
            <w:pPr>
              <w:rPr>
                <w:rStyle w:val="SCCCoramChar"/>
                <w:sz w:val="20"/>
                <w:szCs w:val="20"/>
                <w:lang w:val="en-CA"/>
              </w:rPr>
            </w:pPr>
            <w:r w:rsidRPr="00ED2B58">
              <w:rPr>
                <w:rStyle w:val="SCCCoramChar"/>
                <w:sz w:val="20"/>
                <w:szCs w:val="20"/>
                <w:lang w:val="en-CA"/>
              </w:rPr>
              <w:t>Rothstein, Cromwell and Moldaver JJ.</w:t>
            </w:r>
          </w:p>
          <w:p w:rsidR="00ED2B58" w:rsidRPr="00A73D2C" w:rsidRDefault="00ED2B58" w:rsidP="00F3316B">
            <w:pPr>
              <w:rPr>
                <w:sz w:val="20"/>
                <w:szCs w:val="20"/>
                <w:u w:val="single"/>
              </w:rPr>
            </w:pPr>
          </w:p>
        </w:tc>
      </w:tr>
      <w:tr w:rsidR="00235C9C" w:rsidRPr="003F186C" w:rsidTr="00F3316B">
        <w:trPr>
          <w:cantSplit/>
        </w:trPr>
        <w:tc>
          <w:tcPr>
            <w:tcW w:w="9576" w:type="dxa"/>
            <w:gridSpan w:val="2"/>
          </w:tcPr>
          <w:p w:rsidR="00ED2B58" w:rsidRDefault="00ED2B58" w:rsidP="00ED2B58">
            <w:pPr>
              <w:pStyle w:val="SCCShortJudgment"/>
            </w:pPr>
            <w:r>
              <w:t>The motion for an extension of time to serve and file the application for leave to appeal is granted. The application for leave to appeal from the judgment of the Court of Appeal for Ontario, Number C57073, 2014 ONCA 737, dated October 27, 2014, is dismissed with costs.</w:t>
            </w:r>
          </w:p>
          <w:p w:rsidR="00ED2B58" w:rsidRDefault="00ED2B58" w:rsidP="00ED2B58">
            <w:pPr>
              <w:pStyle w:val="SCCShortJudgment"/>
              <w:ind w:firstLine="0"/>
            </w:pPr>
          </w:p>
          <w:p w:rsidR="00235C9C" w:rsidRPr="00A73D2C" w:rsidRDefault="00ED2B58" w:rsidP="00ED2B58">
            <w:pPr>
              <w:pStyle w:val="SCCShortJudgment"/>
              <w:rPr>
                <w:szCs w:val="20"/>
                <w:lang w:val="fr-CA"/>
              </w:rPr>
            </w:pPr>
            <w:r w:rsidRPr="003F186C">
              <w:rPr>
                <w:lang w:val="fr-CA"/>
              </w:rPr>
              <w:t>La requête en prorogation du délai de signification et de dépôt de la demande d’autorisation d’appel est accueillie. La demande d’autorisation d’appel de l’arrêt de la Cour d’appel de l’Ontario, numéro C57073, 2014 ONCA 737, daté du 27 octobre 2014, est rejetée avec dépens.</w:t>
            </w:r>
          </w:p>
        </w:tc>
      </w:tr>
    </w:tbl>
    <w:p w:rsidR="00AC180F" w:rsidRDefault="00AC180F" w:rsidP="00235C9C">
      <w:pPr>
        <w:rPr>
          <w:sz w:val="20"/>
          <w:szCs w:val="20"/>
          <w:lang w:val="fr-CA"/>
        </w:rPr>
      </w:pPr>
    </w:p>
    <w:p w:rsidR="00AC180F" w:rsidRDefault="00AC180F">
      <w:pPr>
        <w:rPr>
          <w:sz w:val="20"/>
          <w:szCs w:val="20"/>
          <w:lang w:val="fr-CA"/>
        </w:rPr>
      </w:pPr>
      <w:r>
        <w:rPr>
          <w:sz w:val="20"/>
          <w:szCs w:val="20"/>
          <w:lang w:val="fr-CA"/>
        </w:rPr>
        <w:br w:type="page"/>
      </w:r>
    </w:p>
    <w:p w:rsidR="00235C9C" w:rsidRPr="001B157C" w:rsidRDefault="00235C9C" w:rsidP="00235C9C">
      <w:pPr>
        <w:rPr>
          <w:sz w:val="20"/>
          <w:szCs w:val="20"/>
          <w:u w:val="single"/>
        </w:rPr>
      </w:pPr>
      <w:r w:rsidRPr="001B157C">
        <w:rPr>
          <w:sz w:val="20"/>
          <w:szCs w:val="20"/>
          <w:u w:val="single"/>
        </w:rPr>
        <w:lastRenderedPageBreak/>
        <w:t>CASE SUMMARY</w:t>
      </w:r>
    </w:p>
    <w:p w:rsidR="00235C9C" w:rsidRDefault="00235C9C" w:rsidP="00235C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5C9C" w:rsidRPr="00E007CB" w:rsidTr="00F3316B">
        <w:tc>
          <w:tcPr>
            <w:tcW w:w="5000" w:type="pct"/>
            <w:gridSpan w:val="3"/>
          </w:tcPr>
          <w:p w:rsidR="00EF2ADB" w:rsidRDefault="00EF2ADB" w:rsidP="00EF2ADB">
            <w:pPr>
              <w:jc w:val="both"/>
              <w:rPr>
                <w:spacing w:val="-1"/>
                <w:sz w:val="20"/>
              </w:rPr>
            </w:pPr>
            <w:r w:rsidRPr="007F2DB8">
              <w:rPr>
                <w:sz w:val="20"/>
              </w:rPr>
              <w:t xml:space="preserve">Contracts – Restitution – Property – Real property – Holdover clause in listing agreement – Where a Listing Agreement provides that written notice of introduction is to be given, will actual notice suffice – </w:t>
            </w:r>
            <w:r w:rsidRPr="007F2DB8">
              <w:rPr>
                <w:spacing w:val="-1"/>
                <w:sz w:val="20"/>
              </w:rPr>
              <w:t xml:space="preserve">Will </w:t>
            </w:r>
            <w:r w:rsidRPr="007F2DB8">
              <w:rPr>
                <w:sz w:val="20"/>
              </w:rPr>
              <w:t>a</w:t>
            </w:r>
            <w:r w:rsidRPr="007F2DB8">
              <w:rPr>
                <w:spacing w:val="13"/>
                <w:sz w:val="20"/>
              </w:rPr>
              <w:t xml:space="preserve"> </w:t>
            </w:r>
            <w:r w:rsidRPr="007F2DB8">
              <w:rPr>
                <w:spacing w:val="-1"/>
                <w:sz w:val="20"/>
              </w:rPr>
              <w:t>subsequent</w:t>
            </w:r>
            <w:r w:rsidRPr="007F2DB8">
              <w:rPr>
                <w:spacing w:val="14"/>
                <w:sz w:val="20"/>
              </w:rPr>
              <w:t xml:space="preserve"> </w:t>
            </w:r>
            <w:r w:rsidRPr="007F2DB8">
              <w:rPr>
                <w:spacing w:val="-1"/>
                <w:sz w:val="20"/>
              </w:rPr>
              <w:t>agreement</w:t>
            </w:r>
            <w:r w:rsidRPr="007F2DB8">
              <w:rPr>
                <w:spacing w:val="14"/>
                <w:sz w:val="20"/>
              </w:rPr>
              <w:t xml:space="preserve"> </w:t>
            </w:r>
            <w:r w:rsidRPr="007F2DB8">
              <w:rPr>
                <w:sz w:val="20"/>
              </w:rPr>
              <w:t>of</w:t>
            </w:r>
            <w:r w:rsidRPr="007F2DB8">
              <w:rPr>
                <w:spacing w:val="13"/>
                <w:sz w:val="20"/>
              </w:rPr>
              <w:t xml:space="preserve"> </w:t>
            </w:r>
            <w:r w:rsidRPr="007F2DB8">
              <w:rPr>
                <w:spacing w:val="-1"/>
                <w:sz w:val="20"/>
              </w:rPr>
              <w:t>purchase</w:t>
            </w:r>
            <w:r w:rsidRPr="007F2DB8">
              <w:rPr>
                <w:spacing w:val="11"/>
                <w:sz w:val="20"/>
              </w:rPr>
              <w:t xml:space="preserve"> </w:t>
            </w:r>
            <w:r w:rsidRPr="007F2DB8">
              <w:rPr>
                <w:spacing w:val="-1"/>
                <w:sz w:val="20"/>
              </w:rPr>
              <w:t>and</w:t>
            </w:r>
            <w:r w:rsidRPr="007F2DB8">
              <w:rPr>
                <w:spacing w:val="12"/>
                <w:sz w:val="20"/>
              </w:rPr>
              <w:t xml:space="preserve"> </w:t>
            </w:r>
            <w:r w:rsidRPr="007F2DB8">
              <w:rPr>
                <w:spacing w:val="-1"/>
                <w:sz w:val="20"/>
              </w:rPr>
              <w:t>sale</w:t>
            </w:r>
            <w:r w:rsidRPr="007F2DB8">
              <w:rPr>
                <w:spacing w:val="11"/>
                <w:sz w:val="20"/>
              </w:rPr>
              <w:t xml:space="preserve"> </w:t>
            </w:r>
            <w:r w:rsidRPr="007F2DB8">
              <w:rPr>
                <w:spacing w:val="-1"/>
                <w:sz w:val="20"/>
              </w:rPr>
              <w:t>making</w:t>
            </w:r>
            <w:r w:rsidRPr="007F2DB8">
              <w:rPr>
                <w:spacing w:val="89"/>
                <w:sz w:val="20"/>
              </w:rPr>
              <w:t xml:space="preserve"> </w:t>
            </w:r>
            <w:r w:rsidRPr="007F2DB8">
              <w:rPr>
                <w:spacing w:val="-1"/>
                <w:sz w:val="20"/>
              </w:rPr>
              <w:t xml:space="preserve">reference </w:t>
            </w:r>
            <w:r w:rsidRPr="007F2DB8">
              <w:rPr>
                <w:sz w:val="20"/>
              </w:rPr>
              <w:t>to the</w:t>
            </w:r>
            <w:r w:rsidRPr="007F2DB8">
              <w:rPr>
                <w:spacing w:val="-1"/>
                <w:sz w:val="20"/>
              </w:rPr>
              <w:t xml:space="preserve"> </w:t>
            </w:r>
            <w:r w:rsidRPr="007F2DB8">
              <w:rPr>
                <w:spacing w:val="-2"/>
                <w:sz w:val="20"/>
              </w:rPr>
              <w:t>payment</w:t>
            </w:r>
            <w:r w:rsidRPr="007F2DB8">
              <w:rPr>
                <w:sz w:val="20"/>
              </w:rPr>
              <w:t xml:space="preserve"> of</w:t>
            </w:r>
            <w:r w:rsidRPr="007F2DB8">
              <w:rPr>
                <w:spacing w:val="-1"/>
                <w:sz w:val="20"/>
              </w:rPr>
              <w:t xml:space="preserve"> commission</w:t>
            </w:r>
            <w:r w:rsidRPr="007F2DB8">
              <w:rPr>
                <w:sz w:val="20"/>
              </w:rPr>
              <w:t xml:space="preserve"> </w:t>
            </w:r>
            <w:r w:rsidRPr="007F2DB8">
              <w:rPr>
                <w:spacing w:val="-1"/>
                <w:sz w:val="20"/>
              </w:rPr>
              <w:t>satisfy</w:t>
            </w:r>
            <w:r w:rsidRPr="007F2DB8">
              <w:rPr>
                <w:spacing w:val="-8"/>
                <w:sz w:val="20"/>
              </w:rPr>
              <w:t xml:space="preserve"> </w:t>
            </w:r>
            <w:r w:rsidRPr="007F2DB8">
              <w:rPr>
                <w:sz w:val="20"/>
              </w:rPr>
              <w:t>the</w:t>
            </w:r>
            <w:r w:rsidRPr="007F2DB8">
              <w:rPr>
                <w:spacing w:val="-1"/>
                <w:sz w:val="20"/>
              </w:rPr>
              <w:t xml:space="preserve"> obligation</w:t>
            </w:r>
            <w:r w:rsidRPr="007F2DB8">
              <w:rPr>
                <w:sz w:val="20"/>
              </w:rPr>
              <w:t xml:space="preserve"> to </w:t>
            </w:r>
            <w:r w:rsidRPr="007F2DB8">
              <w:rPr>
                <w:spacing w:val="-1"/>
                <w:sz w:val="20"/>
              </w:rPr>
              <w:t>provide written</w:t>
            </w:r>
            <w:r w:rsidRPr="007F2DB8">
              <w:rPr>
                <w:sz w:val="20"/>
              </w:rPr>
              <w:t xml:space="preserve"> </w:t>
            </w:r>
            <w:r w:rsidRPr="007F2DB8">
              <w:rPr>
                <w:spacing w:val="-1"/>
                <w:sz w:val="20"/>
              </w:rPr>
              <w:t>notice – Will</w:t>
            </w:r>
            <w:r w:rsidRPr="007F2DB8">
              <w:rPr>
                <w:spacing w:val="14"/>
                <w:sz w:val="20"/>
              </w:rPr>
              <w:t xml:space="preserve"> </w:t>
            </w:r>
            <w:r w:rsidRPr="007F2DB8">
              <w:rPr>
                <w:spacing w:val="-1"/>
                <w:sz w:val="20"/>
              </w:rPr>
              <w:t>such</w:t>
            </w:r>
            <w:r w:rsidRPr="007F2DB8">
              <w:rPr>
                <w:spacing w:val="14"/>
                <w:sz w:val="20"/>
              </w:rPr>
              <w:t xml:space="preserve"> a </w:t>
            </w:r>
            <w:r w:rsidRPr="007F2DB8">
              <w:rPr>
                <w:spacing w:val="-1"/>
                <w:sz w:val="20"/>
              </w:rPr>
              <w:t>provision</w:t>
            </w:r>
            <w:r w:rsidRPr="007F2DB8">
              <w:rPr>
                <w:spacing w:val="95"/>
                <w:sz w:val="20"/>
              </w:rPr>
              <w:t xml:space="preserve"> </w:t>
            </w:r>
            <w:r w:rsidRPr="007F2DB8">
              <w:rPr>
                <w:spacing w:val="-1"/>
                <w:sz w:val="20"/>
              </w:rPr>
              <w:t>entitle</w:t>
            </w:r>
            <w:r w:rsidRPr="007F2DB8">
              <w:rPr>
                <w:spacing w:val="-16"/>
                <w:sz w:val="20"/>
              </w:rPr>
              <w:t xml:space="preserve"> </w:t>
            </w:r>
            <w:r w:rsidRPr="007F2DB8">
              <w:rPr>
                <w:sz w:val="20"/>
              </w:rPr>
              <w:t>the</w:t>
            </w:r>
            <w:r w:rsidRPr="007F2DB8">
              <w:rPr>
                <w:spacing w:val="-16"/>
                <w:sz w:val="20"/>
              </w:rPr>
              <w:t xml:space="preserve"> </w:t>
            </w:r>
            <w:r w:rsidRPr="007F2DB8">
              <w:rPr>
                <w:spacing w:val="-1"/>
                <w:sz w:val="20"/>
              </w:rPr>
              <w:t>realtor</w:t>
            </w:r>
            <w:r w:rsidRPr="007F2DB8">
              <w:rPr>
                <w:spacing w:val="-16"/>
                <w:sz w:val="20"/>
              </w:rPr>
              <w:t xml:space="preserve"> </w:t>
            </w:r>
            <w:r w:rsidRPr="007F2DB8">
              <w:rPr>
                <w:sz w:val="20"/>
              </w:rPr>
              <w:t>to</w:t>
            </w:r>
            <w:r w:rsidRPr="007F2DB8">
              <w:rPr>
                <w:spacing w:val="-15"/>
                <w:sz w:val="20"/>
              </w:rPr>
              <w:t xml:space="preserve"> </w:t>
            </w:r>
            <w:r w:rsidRPr="007F2DB8">
              <w:rPr>
                <w:sz w:val="20"/>
              </w:rPr>
              <w:t>the</w:t>
            </w:r>
            <w:r w:rsidRPr="007F2DB8">
              <w:rPr>
                <w:spacing w:val="-16"/>
                <w:sz w:val="20"/>
              </w:rPr>
              <w:t xml:space="preserve"> </w:t>
            </w:r>
            <w:r w:rsidRPr="007F2DB8">
              <w:rPr>
                <w:spacing w:val="-2"/>
                <w:sz w:val="20"/>
              </w:rPr>
              <w:t>payment</w:t>
            </w:r>
            <w:r w:rsidRPr="007F2DB8">
              <w:rPr>
                <w:spacing w:val="-14"/>
                <w:sz w:val="20"/>
              </w:rPr>
              <w:t xml:space="preserve"> </w:t>
            </w:r>
            <w:r w:rsidRPr="007F2DB8">
              <w:rPr>
                <w:sz w:val="20"/>
              </w:rPr>
              <w:t>of</w:t>
            </w:r>
            <w:r w:rsidRPr="007F2DB8">
              <w:rPr>
                <w:spacing w:val="-16"/>
                <w:sz w:val="20"/>
              </w:rPr>
              <w:t xml:space="preserve"> </w:t>
            </w:r>
            <w:r w:rsidRPr="007F2DB8">
              <w:rPr>
                <w:spacing w:val="-1"/>
                <w:sz w:val="20"/>
              </w:rPr>
              <w:t>commission</w:t>
            </w:r>
            <w:r w:rsidRPr="007F2DB8">
              <w:rPr>
                <w:spacing w:val="-20"/>
                <w:sz w:val="20"/>
              </w:rPr>
              <w:t xml:space="preserve"> </w:t>
            </w:r>
            <w:r w:rsidRPr="007F2DB8">
              <w:rPr>
                <w:spacing w:val="-2"/>
                <w:sz w:val="20"/>
              </w:rPr>
              <w:t>or</w:t>
            </w:r>
            <w:r w:rsidRPr="007F2DB8">
              <w:rPr>
                <w:spacing w:val="-20"/>
                <w:sz w:val="20"/>
              </w:rPr>
              <w:t xml:space="preserve"> </w:t>
            </w:r>
            <w:r w:rsidRPr="007F2DB8">
              <w:rPr>
                <w:spacing w:val="-3"/>
                <w:sz w:val="20"/>
              </w:rPr>
              <w:t>other</w:t>
            </w:r>
            <w:r w:rsidRPr="007F2DB8">
              <w:rPr>
                <w:spacing w:val="-20"/>
                <w:sz w:val="20"/>
              </w:rPr>
              <w:t xml:space="preserve"> </w:t>
            </w:r>
            <w:r w:rsidRPr="007F2DB8">
              <w:rPr>
                <w:spacing w:val="-3"/>
                <w:sz w:val="20"/>
              </w:rPr>
              <w:t>compensation</w:t>
            </w:r>
            <w:r w:rsidRPr="007F2DB8">
              <w:rPr>
                <w:spacing w:val="-20"/>
                <w:sz w:val="20"/>
              </w:rPr>
              <w:t xml:space="preserve"> </w:t>
            </w:r>
            <w:r w:rsidRPr="007F2DB8">
              <w:rPr>
                <w:spacing w:val="-3"/>
                <w:sz w:val="20"/>
              </w:rPr>
              <w:t>under</w:t>
            </w:r>
            <w:r w:rsidRPr="007F2DB8">
              <w:rPr>
                <w:spacing w:val="-20"/>
                <w:sz w:val="20"/>
              </w:rPr>
              <w:t xml:space="preserve"> </w:t>
            </w:r>
            <w:r w:rsidRPr="007F2DB8">
              <w:rPr>
                <w:spacing w:val="-2"/>
                <w:sz w:val="20"/>
              </w:rPr>
              <w:t>the</w:t>
            </w:r>
            <w:r w:rsidRPr="007F2DB8">
              <w:rPr>
                <w:spacing w:val="-21"/>
                <w:sz w:val="20"/>
              </w:rPr>
              <w:t xml:space="preserve"> </w:t>
            </w:r>
            <w:r w:rsidRPr="007F2DB8">
              <w:rPr>
                <w:spacing w:val="-3"/>
                <w:sz w:val="20"/>
              </w:rPr>
              <w:t>doctrines</w:t>
            </w:r>
            <w:r w:rsidRPr="007F2DB8">
              <w:rPr>
                <w:spacing w:val="-19"/>
                <w:sz w:val="20"/>
              </w:rPr>
              <w:t xml:space="preserve"> </w:t>
            </w:r>
            <w:r w:rsidRPr="007F2DB8">
              <w:rPr>
                <w:spacing w:val="-3"/>
                <w:sz w:val="20"/>
              </w:rPr>
              <w:t>of</w:t>
            </w:r>
            <w:r w:rsidRPr="007F2DB8">
              <w:rPr>
                <w:spacing w:val="62"/>
                <w:sz w:val="20"/>
              </w:rPr>
              <w:t xml:space="preserve"> </w:t>
            </w:r>
            <w:r w:rsidRPr="007F2DB8">
              <w:rPr>
                <w:i/>
                <w:iCs/>
                <w:sz w:val="20"/>
              </w:rPr>
              <w:t>quantum</w:t>
            </w:r>
            <w:r w:rsidRPr="007F2DB8">
              <w:rPr>
                <w:i/>
                <w:iCs/>
                <w:spacing w:val="-1"/>
                <w:sz w:val="20"/>
              </w:rPr>
              <w:t xml:space="preserve"> </w:t>
            </w:r>
            <w:proofErr w:type="spellStart"/>
            <w:r w:rsidRPr="007F2DB8">
              <w:rPr>
                <w:i/>
                <w:iCs/>
                <w:spacing w:val="-1"/>
                <w:sz w:val="20"/>
              </w:rPr>
              <w:t>meruit</w:t>
            </w:r>
            <w:proofErr w:type="spellEnd"/>
            <w:r w:rsidRPr="007F2DB8">
              <w:rPr>
                <w:i/>
                <w:iCs/>
                <w:sz w:val="20"/>
              </w:rPr>
              <w:t xml:space="preserve"> </w:t>
            </w:r>
            <w:r w:rsidRPr="007F2DB8">
              <w:rPr>
                <w:spacing w:val="-1"/>
                <w:sz w:val="20"/>
              </w:rPr>
              <w:t xml:space="preserve">and/or </w:t>
            </w:r>
            <w:r w:rsidRPr="007F2DB8">
              <w:rPr>
                <w:sz w:val="20"/>
              </w:rPr>
              <w:t xml:space="preserve">unjust </w:t>
            </w:r>
            <w:r w:rsidRPr="007F2DB8">
              <w:rPr>
                <w:spacing w:val="-1"/>
                <w:sz w:val="20"/>
              </w:rPr>
              <w:t>enrichment.</w:t>
            </w:r>
          </w:p>
          <w:p w:rsidR="00235C9C" w:rsidRPr="00E007CB" w:rsidRDefault="00235C9C" w:rsidP="00F3316B">
            <w:pPr>
              <w:jc w:val="both"/>
              <w:rPr>
                <w:rFonts w:eastAsia="Calibri"/>
                <w:sz w:val="20"/>
              </w:rPr>
            </w:pPr>
          </w:p>
        </w:tc>
      </w:tr>
      <w:tr w:rsidR="00235C9C" w:rsidRPr="00E007CB" w:rsidTr="00F3316B">
        <w:tc>
          <w:tcPr>
            <w:tcW w:w="5000" w:type="pct"/>
            <w:gridSpan w:val="3"/>
          </w:tcPr>
          <w:p w:rsidR="00EF2ADB" w:rsidRPr="007F2DB8" w:rsidRDefault="00EF2ADB" w:rsidP="00EF2ADB">
            <w:pPr>
              <w:jc w:val="both"/>
              <w:rPr>
                <w:sz w:val="20"/>
              </w:rPr>
            </w:pPr>
            <w:r w:rsidRPr="007F2DB8">
              <w:rPr>
                <w:sz w:val="20"/>
              </w:rPr>
              <w:t xml:space="preserve">The respondent, </w:t>
            </w:r>
            <w:proofErr w:type="spellStart"/>
            <w:r w:rsidRPr="007F2DB8">
              <w:rPr>
                <w:sz w:val="20"/>
              </w:rPr>
              <w:t>Elcarim</w:t>
            </w:r>
            <w:proofErr w:type="spellEnd"/>
            <w:r w:rsidRPr="007F2DB8">
              <w:rPr>
                <w:sz w:val="20"/>
              </w:rPr>
              <w:t xml:space="preserve"> Inc., and the applicant, Ariston Realty, entered into a listing agreement for the sale of a property owned by </w:t>
            </w:r>
            <w:proofErr w:type="spellStart"/>
            <w:r w:rsidRPr="007F2DB8">
              <w:rPr>
                <w:sz w:val="20"/>
              </w:rPr>
              <w:t>Elcarim</w:t>
            </w:r>
            <w:proofErr w:type="spellEnd"/>
            <w:r w:rsidRPr="007F2DB8">
              <w:rPr>
                <w:sz w:val="20"/>
              </w:rPr>
              <w:t xml:space="preserve">. The agreement contained a holdover clause in which </w:t>
            </w:r>
            <w:proofErr w:type="spellStart"/>
            <w:r w:rsidRPr="007F2DB8">
              <w:rPr>
                <w:sz w:val="20"/>
              </w:rPr>
              <w:t>Elcarim</w:t>
            </w:r>
            <w:proofErr w:type="spellEnd"/>
            <w:r w:rsidRPr="007F2DB8">
              <w:rPr>
                <w:sz w:val="20"/>
              </w:rPr>
              <w:t xml:space="preserve"> agreed to pay Ariston a commission on completion of any sale effected within six months after the expiry of the agreement with any party to whom Ariston or co-operating brokers introduced to the property during the term of the agreement, provided Ariston notified </w:t>
            </w:r>
            <w:proofErr w:type="spellStart"/>
            <w:r w:rsidRPr="007F2DB8">
              <w:rPr>
                <w:sz w:val="20"/>
              </w:rPr>
              <w:t>Elcarim</w:t>
            </w:r>
            <w:proofErr w:type="spellEnd"/>
            <w:r w:rsidRPr="007F2DB8">
              <w:rPr>
                <w:sz w:val="20"/>
              </w:rPr>
              <w:t xml:space="preserve"> in writing prior to the expiry of the agreement of the name of the party introduced. During the term of the listing agreement, Ariston introduced Context Development Inc., the eventual purchaser of the property, however Ariston never provided </w:t>
            </w:r>
            <w:proofErr w:type="spellStart"/>
            <w:r w:rsidRPr="007F2DB8">
              <w:rPr>
                <w:sz w:val="20"/>
              </w:rPr>
              <w:t>Elcarim</w:t>
            </w:r>
            <w:proofErr w:type="spellEnd"/>
            <w:r w:rsidRPr="007F2DB8">
              <w:rPr>
                <w:sz w:val="20"/>
              </w:rPr>
              <w:t xml:space="preserve"> with written notification. Three and one-half months after the expiry of the listing agreement, Context signed an agreement of purchase and sale with </w:t>
            </w:r>
            <w:proofErr w:type="spellStart"/>
            <w:r w:rsidRPr="007F2DB8">
              <w:rPr>
                <w:sz w:val="20"/>
              </w:rPr>
              <w:t>Elcarim</w:t>
            </w:r>
            <w:proofErr w:type="spellEnd"/>
            <w:r w:rsidRPr="007F2DB8">
              <w:rPr>
                <w:sz w:val="20"/>
              </w:rPr>
              <w:t xml:space="preserve"> for the property. After the sale closed, Ariston submitted an invoice to </w:t>
            </w:r>
            <w:proofErr w:type="spellStart"/>
            <w:r w:rsidRPr="007F2DB8">
              <w:rPr>
                <w:sz w:val="20"/>
              </w:rPr>
              <w:t>Elcarim</w:t>
            </w:r>
            <w:proofErr w:type="spellEnd"/>
            <w:r w:rsidRPr="007F2DB8">
              <w:rPr>
                <w:sz w:val="20"/>
              </w:rPr>
              <w:t xml:space="preserve"> for commission on the sale. </w:t>
            </w:r>
            <w:proofErr w:type="spellStart"/>
            <w:r w:rsidRPr="007F2DB8">
              <w:rPr>
                <w:sz w:val="20"/>
              </w:rPr>
              <w:t>Elcarim</w:t>
            </w:r>
            <w:proofErr w:type="spellEnd"/>
            <w:r w:rsidRPr="007F2DB8">
              <w:rPr>
                <w:sz w:val="20"/>
              </w:rPr>
              <w:t xml:space="preserve"> did not pay the invoice and Ariston commenced an action for payment.</w:t>
            </w:r>
          </w:p>
          <w:p w:rsidR="00EF2ADB" w:rsidRPr="007F2DB8" w:rsidRDefault="00EF2ADB" w:rsidP="00EF2ADB">
            <w:pPr>
              <w:jc w:val="both"/>
              <w:rPr>
                <w:sz w:val="20"/>
              </w:rPr>
            </w:pPr>
          </w:p>
          <w:p w:rsidR="00EF2ADB" w:rsidRDefault="00EF2ADB" w:rsidP="00EF2ADB">
            <w:pPr>
              <w:jc w:val="both"/>
              <w:rPr>
                <w:sz w:val="20"/>
              </w:rPr>
            </w:pPr>
            <w:r w:rsidRPr="007F2DB8">
              <w:rPr>
                <w:sz w:val="20"/>
              </w:rPr>
              <w:t>The Ontario Superior Court of Justice allowed Ariston Realty’s action, awarding $120,375.00 for unpaid commission, and dismissed the respondents’ counterclaim. The Ontario Court of Appeal allowed the respondents’ appeal and allowed the applicant’s cross-appeal in part, with costs of $20,000 and $130,000 to the respondents for the appeal and trial respectively.</w:t>
            </w:r>
          </w:p>
          <w:p w:rsidR="00235C9C" w:rsidRPr="00E007CB" w:rsidRDefault="00235C9C" w:rsidP="00F3316B">
            <w:pPr>
              <w:jc w:val="both"/>
              <w:rPr>
                <w:rFonts w:eastAsia="Calibri"/>
                <w:sz w:val="20"/>
              </w:rPr>
            </w:pPr>
          </w:p>
        </w:tc>
      </w:tr>
      <w:tr w:rsidR="00235C9C" w:rsidRPr="00E007CB" w:rsidTr="00F3316B">
        <w:trPr>
          <w:cantSplit/>
        </w:trPr>
        <w:tc>
          <w:tcPr>
            <w:tcW w:w="2427" w:type="pct"/>
          </w:tcPr>
          <w:p w:rsidR="00EF2ADB" w:rsidRPr="007F2DB8" w:rsidRDefault="00EF2ADB" w:rsidP="00EF2ADB">
            <w:pPr>
              <w:jc w:val="both"/>
              <w:rPr>
                <w:sz w:val="20"/>
              </w:rPr>
            </w:pPr>
            <w:r w:rsidRPr="007F2DB8">
              <w:rPr>
                <w:sz w:val="20"/>
              </w:rPr>
              <w:t>April 11, 2013</w:t>
            </w:r>
          </w:p>
          <w:p w:rsidR="00EF2ADB" w:rsidRPr="007F2DB8" w:rsidRDefault="00EF2ADB" w:rsidP="00EF2ADB">
            <w:pPr>
              <w:jc w:val="both"/>
              <w:rPr>
                <w:sz w:val="20"/>
              </w:rPr>
            </w:pPr>
            <w:r w:rsidRPr="007F2DB8">
              <w:rPr>
                <w:sz w:val="20"/>
              </w:rPr>
              <w:t>Ontario Superior Court of Justice</w:t>
            </w:r>
          </w:p>
          <w:p w:rsidR="00EF2ADB" w:rsidRPr="007F2DB8" w:rsidRDefault="00EF2ADB" w:rsidP="00EF2ADB">
            <w:pPr>
              <w:jc w:val="both"/>
              <w:rPr>
                <w:sz w:val="20"/>
              </w:rPr>
            </w:pPr>
            <w:r w:rsidRPr="007F2DB8">
              <w:rPr>
                <w:sz w:val="20"/>
              </w:rPr>
              <w:t>(Wilson J.)</w:t>
            </w:r>
          </w:p>
          <w:p w:rsidR="00EF2ADB" w:rsidRPr="007F2DB8" w:rsidRDefault="00EF2ADB" w:rsidP="00EF2ADB">
            <w:pPr>
              <w:jc w:val="both"/>
              <w:rPr>
                <w:sz w:val="20"/>
              </w:rPr>
            </w:pPr>
            <w:r w:rsidRPr="007F2DB8">
              <w:rPr>
                <w:sz w:val="20"/>
              </w:rPr>
              <w:t xml:space="preserve">Neutral citation: </w:t>
            </w:r>
            <w:hyperlink r:id="rId28" w:history="1">
              <w:r w:rsidRPr="007F2DB8">
                <w:rPr>
                  <w:rStyle w:val="Hyperlink"/>
                  <w:sz w:val="20"/>
                </w:rPr>
                <w:t>2013 ONSC 1995</w:t>
              </w:r>
            </w:hyperlink>
          </w:p>
          <w:p w:rsidR="00235C9C" w:rsidRPr="00E007CB" w:rsidRDefault="00235C9C" w:rsidP="00F3316B">
            <w:pPr>
              <w:jc w:val="both"/>
              <w:rPr>
                <w:rFonts w:eastAsia="Calibri"/>
                <w:sz w:val="20"/>
              </w:rPr>
            </w:pPr>
          </w:p>
        </w:tc>
        <w:tc>
          <w:tcPr>
            <w:tcW w:w="243" w:type="pct"/>
          </w:tcPr>
          <w:p w:rsidR="00235C9C" w:rsidRPr="00E007CB" w:rsidRDefault="00235C9C" w:rsidP="00F3316B">
            <w:pPr>
              <w:jc w:val="both"/>
              <w:rPr>
                <w:rFonts w:eastAsia="Calibri"/>
                <w:sz w:val="20"/>
              </w:rPr>
            </w:pPr>
          </w:p>
        </w:tc>
        <w:tc>
          <w:tcPr>
            <w:tcW w:w="2330" w:type="pct"/>
          </w:tcPr>
          <w:p w:rsidR="00EF2ADB" w:rsidRPr="007F2DB8" w:rsidRDefault="00EF2ADB" w:rsidP="00EF2ADB">
            <w:pPr>
              <w:jc w:val="both"/>
              <w:rPr>
                <w:sz w:val="20"/>
              </w:rPr>
            </w:pPr>
            <w:r w:rsidRPr="007F2DB8">
              <w:rPr>
                <w:sz w:val="20"/>
              </w:rPr>
              <w:t>Applicant’s action for damages, allowed; respondents’ counterclaim, dismissed.</w:t>
            </w:r>
          </w:p>
          <w:p w:rsidR="00235C9C" w:rsidRPr="00E007CB" w:rsidRDefault="00235C9C" w:rsidP="00F3316B">
            <w:pPr>
              <w:jc w:val="both"/>
              <w:rPr>
                <w:rFonts w:eastAsia="Calibri"/>
                <w:sz w:val="20"/>
              </w:rPr>
            </w:pPr>
          </w:p>
        </w:tc>
      </w:tr>
      <w:tr w:rsidR="00EF2ADB" w:rsidRPr="00E007CB" w:rsidTr="00F3316B">
        <w:trPr>
          <w:cantSplit/>
        </w:trPr>
        <w:tc>
          <w:tcPr>
            <w:tcW w:w="2427" w:type="pct"/>
          </w:tcPr>
          <w:p w:rsidR="00EF2ADB" w:rsidRPr="007F2DB8" w:rsidRDefault="00EF2ADB" w:rsidP="00EF2ADB">
            <w:pPr>
              <w:jc w:val="both"/>
              <w:rPr>
                <w:sz w:val="20"/>
              </w:rPr>
            </w:pPr>
            <w:r w:rsidRPr="007F2DB8">
              <w:rPr>
                <w:sz w:val="20"/>
              </w:rPr>
              <w:t>October 27, 2013</w:t>
            </w:r>
          </w:p>
          <w:p w:rsidR="00EF2ADB" w:rsidRPr="007F2DB8" w:rsidRDefault="00EF2ADB" w:rsidP="00EF2ADB">
            <w:pPr>
              <w:jc w:val="both"/>
              <w:rPr>
                <w:sz w:val="20"/>
              </w:rPr>
            </w:pPr>
            <w:r w:rsidRPr="007F2DB8">
              <w:rPr>
                <w:sz w:val="20"/>
              </w:rPr>
              <w:t>Court of Appeal for Ontario</w:t>
            </w:r>
          </w:p>
          <w:p w:rsidR="00EF2ADB" w:rsidRPr="007F2DB8" w:rsidRDefault="00EF2ADB" w:rsidP="00EF2ADB">
            <w:pPr>
              <w:jc w:val="both"/>
              <w:rPr>
                <w:sz w:val="20"/>
              </w:rPr>
            </w:pPr>
            <w:r w:rsidRPr="007F2DB8">
              <w:rPr>
                <w:sz w:val="20"/>
              </w:rPr>
              <w:t>(</w:t>
            </w:r>
            <w:proofErr w:type="spellStart"/>
            <w:r w:rsidRPr="007F2DB8">
              <w:rPr>
                <w:sz w:val="20"/>
              </w:rPr>
              <w:t>Juriansz</w:t>
            </w:r>
            <w:proofErr w:type="spellEnd"/>
            <w:r w:rsidRPr="007F2DB8">
              <w:rPr>
                <w:sz w:val="20"/>
              </w:rPr>
              <w:t xml:space="preserve">, </w:t>
            </w:r>
            <w:proofErr w:type="spellStart"/>
            <w:r w:rsidRPr="007F2DB8">
              <w:rPr>
                <w:sz w:val="20"/>
              </w:rPr>
              <w:t>LaForme</w:t>
            </w:r>
            <w:proofErr w:type="spellEnd"/>
            <w:r w:rsidRPr="007F2DB8">
              <w:rPr>
                <w:sz w:val="20"/>
              </w:rPr>
              <w:t xml:space="preserve"> and </w:t>
            </w:r>
            <w:proofErr w:type="spellStart"/>
            <w:r w:rsidRPr="007F2DB8">
              <w:rPr>
                <w:sz w:val="20"/>
              </w:rPr>
              <w:t>Lauwers</w:t>
            </w:r>
            <w:proofErr w:type="spellEnd"/>
            <w:r w:rsidRPr="007F2DB8">
              <w:rPr>
                <w:sz w:val="20"/>
              </w:rPr>
              <w:t xml:space="preserve"> JJ.A.)</w:t>
            </w:r>
          </w:p>
          <w:p w:rsidR="00EF2ADB" w:rsidRPr="007F2DB8" w:rsidRDefault="00EF2ADB" w:rsidP="00EF2ADB">
            <w:pPr>
              <w:jc w:val="both"/>
              <w:rPr>
                <w:sz w:val="20"/>
              </w:rPr>
            </w:pPr>
            <w:r w:rsidRPr="007F2DB8">
              <w:rPr>
                <w:sz w:val="20"/>
              </w:rPr>
              <w:t xml:space="preserve">Neutral citation: </w:t>
            </w:r>
            <w:hyperlink r:id="rId29" w:history="1">
              <w:r w:rsidRPr="007F2DB8">
                <w:rPr>
                  <w:rStyle w:val="Hyperlink"/>
                  <w:sz w:val="20"/>
                </w:rPr>
                <w:t>2014 ONCA 737</w:t>
              </w:r>
            </w:hyperlink>
          </w:p>
          <w:p w:rsidR="00EF2ADB" w:rsidRPr="00E007CB" w:rsidRDefault="00EF2ADB" w:rsidP="00EF2ADB">
            <w:pPr>
              <w:jc w:val="both"/>
              <w:rPr>
                <w:rFonts w:eastAsia="Calibri"/>
                <w:sz w:val="20"/>
              </w:rPr>
            </w:pPr>
          </w:p>
        </w:tc>
        <w:tc>
          <w:tcPr>
            <w:tcW w:w="243" w:type="pct"/>
          </w:tcPr>
          <w:p w:rsidR="00EF2ADB" w:rsidRPr="00E007CB" w:rsidRDefault="00EF2ADB" w:rsidP="00EF2ADB">
            <w:pPr>
              <w:jc w:val="both"/>
              <w:rPr>
                <w:rFonts w:eastAsia="Calibri"/>
                <w:sz w:val="20"/>
              </w:rPr>
            </w:pPr>
          </w:p>
        </w:tc>
        <w:tc>
          <w:tcPr>
            <w:tcW w:w="2330" w:type="pct"/>
          </w:tcPr>
          <w:p w:rsidR="00EF2ADB" w:rsidRPr="007F2DB8" w:rsidRDefault="00EF2ADB" w:rsidP="00EF2ADB">
            <w:pPr>
              <w:jc w:val="both"/>
              <w:rPr>
                <w:sz w:val="20"/>
              </w:rPr>
            </w:pPr>
            <w:r w:rsidRPr="007F2DB8">
              <w:rPr>
                <w:sz w:val="20"/>
              </w:rPr>
              <w:t>Respondents’ appeal allowed; judgment of trial judge set aside; applicant’s cross-appeal allowed, in part.</w:t>
            </w:r>
          </w:p>
        </w:tc>
      </w:tr>
      <w:tr w:rsidR="00EF2ADB" w:rsidRPr="00E007CB" w:rsidTr="00F3316B">
        <w:trPr>
          <w:cantSplit/>
        </w:trPr>
        <w:tc>
          <w:tcPr>
            <w:tcW w:w="2427" w:type="pct"/>
          </w:tcPr>
          <w:p w:rsidR="00EF2ADB" w:rsidRPr="007F2DB8" w:rsidRDefault="00EF2ADB" w:rsidP="00EF2ADB">
            <w:pPr>
              <w:jc w:val="both"/>
              <w:rPr>
                <w:sz w:val="20"/>
              </w:rPr>
            </w:pPr>
            <w:r w:rsidRPr="007F2DB8">
              <w:rPr>
                <w:sz w:val="20"/>
              </w:rPr>
              <w:t>December 30, 2014</w:t>
            </w:r>
          </w:p>
          <w:p w:rsidR="00EF2ADB" w:rsidRPr="007F2DB8" w:rsidRDefault="00EF2ADB" w:rsidP="00EF2ADB">
            <w:pPr>
              <w:jc w:val="both"/>
              <w:rPr>
                <w:sz w:val="20"/>
              </w:rPr>
            </w:pPr>
            <w:r w:rsidRPr="007F2DB8">
              <w:rPr>
                <w:sz w:val="20"/>
              </w:rPr>
              <w:t>Court of Appeal for Ontario</w:t>
            </w:r>
          </w:p>
          <w:p w:rsidR="00EF2ADB" w:rsidRPr="007F2DB8" w:rsidRDefault="00EF2ADB" w:rsidP="00EF2ADB">
            <w:pPr>
              <w:jc w:val="both"/>
              <w:rPr>
                <w:sz w:val="20"/>
              </w:rPr>
            </w:pPr>
            <w:r w:rsidRPr="007F2DB8">
              <w:rPr>
                <w:sz w:val="20"/>
              </w:rPr>
              <w:t>(</w:t>
            </w:r>
            <w:proofErr w:type="spellStart"/>
            <w:r w:rsidRPr="007F2DB8">
              <w:rPr>
                <w:sz w:val="20"/>
              </w:rPr>
              <w:t>Juriansz</w:t>
            </w:r>
            <w:proofErr w:type="spellEnd"/>
            <w:r w:rsidRPr="007F2DB8">
              <w:rPr>
                <w:sz w:val="20"/>
              </w:rPr>
              <w:t xml:space="preserve">, </w:t>
            </w:r>
            <w:proofErr w:type="spellStart"/>
            <w:r w:rsidRPr="007F2DB8">
              <w:rPr>
                <w:sz w:val="20"/>
              </w:rPr>
              <w:t>LaForme</w:t>
            </w:r>
            <w:proofErr w:type="spellEnd"/>
            <w:r w:rsidRPr="007F2DB8">
              <w:rPr>
                <w:sz w:val="20"/>
              </w:rPr>
              <w:t xml:space="preserve"> and </w:t>
            </w:r>
            <w:proofErr w:type="spellStart"/>
            <w:r w:rsidRPr="007F2DB8">
              <w:rPr>
                <w:sz w:val="20"/>
              </w:rPr>
              <w:t>Lauwers</w:t>
            </w:r>
            <w:proofErr w:type="spellEnd"/>
            <w:r w:rsidRPr="007F2DB8">
              <w:rPr>
                <w:sz w:val="20"/>
              </w:rPr>
              <w:t xml:space="preserve"> JJ.A.)</w:t>
            </w:r>
          </w:p>
          <w:p w:rsidR="00EF2ADB" w:rsidRPr="007F2DB8" w:rsidRDefault="00EF2ADB" w:rsidP="00EF2ADB">
            <w:pPr>
              <w:jc w:val="both"/>
              <w:rPr>
                <w:sz w:val="20"/>
              </w:rPr>
            </w:pPr>
            <w:r w:rsidRPr="007F2DB8">
              <w:rPr>
                <w:sz w:val="20"/>
              </w:rPr>
              <w:t xml:space="preserve">Neutral citation: </w:t>
            </w:r>
            <w:hyperlink r:id="rId30" w:history="1">
              <w:r w:rsidRPr="007F2DB8">
                <w:rPr>
                  <w:rStyle w:val="Hyperlink"/>
                  <w:sz w:val="20"/>
                </w:rPr>
                <w:t>2014 ONCA 925</w:t>
              </w:r>
            </w:hyperlink>
          </w:p>
          <w:p w:rsidR="00EF2ADB" w:rsidRPr="00E007CB" w:rsidRDefault="00EF2ADB" w:rsidP="00EF2ADB">
            <w:pPr>
              <w:jc w:val="both"/>
              <w:rPr>
                <w:rFonts w:eastAsia="Calibri"/>
                <w:sz w:val="20"/>
              </w:rPr>
            </w:pPr>
          </w:p>
        </w:tc>
        <w:tc>
          <w:tcPr>
            <w:tcW w:w="243" w:type="pct"/>
          </w:tcPr>
          <w:p w:rsidR="00EF2ADB" w:rsidRPr="00E007CB" w:rsidRDefault="00EF2ADB" w:rsidP="00EF2ADB">
            <w:pPr>
              <w:jc w:val="both"/>
              <w:rPr>
                <w:rFonts w:eastAsia="Calibri"/>
                <w:sz w:val="20"/>
              </w:rPr>
            </w:pPr>
          </w:p>
        </w:tc>
        <w:tc>
          <w:tcPr>
            <w:tcW w:w="2330" w:type="pct"/>
          </w:tcPr>
          <w:p w:rsidR="00EF2ADB" w:rsidRPr="007F2DB8" w:rsidRDefault="00EF2ADB" w:rsidP="00EF2ADB">
            <w:pPr>
              <w:jc w:val="both"/>
              <w:rPr>
                <w:sz w:val="20"/>
              </w:rPr>
            </w:pPr>
            <w:r w:rsidRPr="007F2DB8">
              <w:rPr>
                <w:sz w:val="20"/>
              </w:rPr>
              <w:t>Costs awarded to respondents, fixed at $20,000 for appeal and $130,000 for trial.</w:t>
            </w:r>
          </w:p>
          <w:p w:rsidR="00EF2ADB" w:rsidRPr="00E007CB" w:rsidRDefault="00EF2ADB" w:rsidP="00EF2ADB">
            <w:pPr>
              <w:jc w:val="both"/>
              <w:rPr>
                <w:rFonts w:eastAsia="Calibri"/>
                <w:sz w:val="20"/>
              </w:rPr>
            </w:pPr>
          </w:p>
        </w:tc>
      </w:tr>
      <w:tr w:rsidR="00EF2ADB" w:rsidRPr="00E007CB" w:rsidTr="00F3316B">
        <w:trPr>
          <w:cantSplit/>
        </w:trPr>
        <w:tc>
          <w:tcPr>
            <w:tcW w:w="2427" w:type="pct"/>
          </w:tcPr>
          <w:p w:rsidR="00EF2ADB" w:rsidRPr="007F2DB8" w:rsidRDefault="00EF2ADB" w:rsidP="00EF2ADB">
            <w:pPr>
              <w:jc w:val="both"/>
              <w:rPr>
                <w:sz w:val="20"/>
              </w:rPr>
            </w:pPr>
            <w:r w:rsidRPr="007F2DB8">
              <w:rPr>
                <w:sz w:val="20"/>
              </w:rPr>
              <w:t>February 27, 2015</w:t>
            </w:r>
          </w:p>
          <w:p w:rsidR="00EF2ADB" w:rsidRPr="007F2DB8" w:rsidRDefault="00EF2ADB" w:rsidP="00EF2ADB">
            <w:pPr>
              <w:jc w:val="both"/>
              <w:rPr>
                <w:sz w:val="20"/>
              </w:rPr>
            </w:pPr>
            <w:r w:rsidRPr="007F2DB8">
              <w:rPr>
                <w:sz w:val="20"/>
              </w:rPr>
              <w:t>Supreme Court of Canada</w:t>
            </w:r>
          </w:p>
          <w:p w:rsidR="00EF2ADB" w:rsidRPr="00E007CB" w:rsidRDefault="00EF2ADB" w:rsidP="00EF2ADB">
            <w:pPr>
              <w:jc w:val="both"/>
              <w:rPr>
                <w:rFonts w:eastAsia="Calibri"/>
                <w:sz w:val="20"/>
              </w:rPr>
            </w:pPr>
          </w:p>
        </w:tc>
        <w:tc>
          <w:tcPr>
            <w:tcW w:w="243" w:type="pct"/>
          </w:tcPr>
          <w:p w:rsidR="00EF2ADB" w:rsidRPr="00E007CB" w:rsidRDefault="00EF2ADB" w:rsidP="00EF2ADB">
            <w:pPr>
              <w:jc w:val="both"/>
              <w:rPr>
                <w:rFonts w:eastAsia="Calibri"/>
                <w:sz w:val="20"/>
              </w:rPr>
            </w:pPr>
          </w:p>
        </w:tc>
        <w:tc>
          <w:tcPr>
            <w:tcW w:w="2330" w:type="pct"/>
          </w:tcPr>
          <w:p w:rsidR="00EF2ADB" w:rsidRPr="007F2DB8" w:rsidRDefault="00EF2ADB" w:rsidP="00EF2ADB">
            <w:pPr>
              <w:jc w:val="both"/>
              <w:rPr>
                <w:sz w:val="20"/>
              </w:rPr>
            </w:pPr>
            <w:r w:rsidRPr="007F2DB8">
              <w:rPr>
                <w:sz w:val="20"/>
              </w:rPr>
              <w:t>Application for leave to appeal, filed.</w:t>
            </w:r>
          </w:p>
        </w:tc>
      </w:tr>
      <w:tr w:rsidR="00EF2ADB" w:rsidRPr="00E007CB" w:rsidTr="00F3316B">
        <w:trPr>
          <w:cantSplit/>
        </w:trPr>
        <w:tc>
          <w:tcPr>
            <w:tcW w:w="2427" w:type="pct"/>
          </w:tcPr>
          <w:p w:rsidR="00EF2ADB" w:rsidRPr="00E007CB" w:rsidRDefault="00EF2ADB" w:rsidP="00EF2ADB">
            <w:pPr>
              <w:jc w:val="both"/>
              <w:rPr>
                <w:rFonts w:eastAsia="Calibri"/>
                <w:sz w:val="20"/>
              </w:rPr>
            </w:pPr>
            <w:r>
              <w:rPr>
                <w:rFonts w:eastAsia="Calibri"/>
                <w:sz w:val="20"/>
              </w:rPr>
              <w:t>April 7</w:t>
            </w:r>
            <w:r w:rsidRPr="00E007CB">
              <w:rPr>
                <w:rFonts w:eastAsia="Calibri"/>
                <w:sz w:val="20"/>
              </w:rPr>
              <w:t>, 201</w:t>
            </w:r>
            <w:r>
              <w:rPr>
                <w:rFonts w:eastAsia="Calibri"/>
                <w:sz w:val="20"/>
              </w:rPr>
              <w:t>5</w:t>
            </w:r>
          </w:p>
          <w:p w:rsidR="00EF2ADB" w:rsidRPr="00E007CB" w:rsidRDefault="00EF2ADB" w:rsidP="00EF2ADB">
            <w:pPr>
              <w:jc w:val="both"/>
              <w:rPr>
                <w:rFonts w:eastAsia="Calibri"/>
                <w:sz w:val="20"/>
              </w:rPr>
            </w:pPr>
            <w:r w:rsidRPr="00E007CB">
              <w:rPr>
                <w:rFonts w:eastAsia="Calibri"/>
                <w:sz w:val="20"/>
              </w:rPr>
              <w:t>Supreme Court of Canada</w:t>
            </w:r>
          </w:p>
        </w:tc>
        <w:tc>
          <w:tcPr>
            <w:tcW w:w="243" w:type="pct"/>
          </w:tcPr>
          <w:p w:rsidR="00EF2ADB" w:rsidRPr="00E007CB" w:rsidRDefault="00EF2ADB" w:rsidP="00EF2ADB">
            <w:pPr>
              <w:jc w:val="both"/>
              <w:rPr>
                <w:rFonts w:eastAsia="Calibri"/>
                <w:sz w:val="20"/>
              </w:rPr>
            </w:pPr>
          </w:p>
        </w:tc>
        <w:tc>
          <w:tcPr>
            <w:tcW w:w="2330" w:type="pct"/>
          </w:tcPr>
          <w:p w:rsidR="00EF2ADB" w:rsidRPr="007F2DB8" w:rsidRDefault="00EF2ADB" w:rsidP="00EF2ADB">
            <w:pPr>
              <w:jc w:val="both"/>
              <w:rPr>
                <w:sz w:val="20"/>
              </w:rPr>
            </w:pPr>
            <w:r w:rsidRPr="007F2DB8">
              <w:rPr>
                <w:sz w:val="20"/>
              </w:rPr>
              <w:t>Motion to extend time to serve and file application, filed.</w:t>
            </w:r>
          </w:p>
        </w:tc>
      </w:tr>
    </w:tbl>
    <w:p w:rsidR="00235C9C" w:rsidRDefault="00235C9C" w:rsidP="00235C9C">
      <w:pPr>
        <w:rPr>
          <w:sz w:val="20"/>
          <w:szCs w:val="20"/>
        </w:rPr>
      </w:pPr>
    </w:p>
    <w:p w:rsidR="00235C9C" w:rsidRPr="00C50A5C" w:rsidRDefault="00C232E1" w:rsidP="00235C9C">
      <w:pPr>
        <w:rPr>
          <w:sz w:val="20"/>
          <w:szCs w:val="20"/>
        </w:rPr>
      </w:pPr>
      <w:r>
        <w:rPr>
          <w:sz w:val="20"/>
          <w:szCs w:val="20"/>
          <w:lang w:val="fr-CA"/>
        </w:rPr>
        <w:pict>
          <v:rect id="_x0000_i1050" style="width:2in;height:1pt" o:hrpct="0" o:hralign="center" o:hrstd="t" o:hrnoshade="t" o:hr="t" fillcolor="black [3213]" stroked="f"/>
        </w:pict>
      </w:r>
    </w:p>
    <w:p w:rsidR="00AC180F" w:rsidRDefault="00AC180F">
      <w:pPr>
        <w:rPr>
          <w:sz w:val="20"/>
          <w:szCs w:val="20"/>
        </w:rPr>
      </w:pPr>
      <w:r>
        <w:rPr>
          <w:sz w:val="20"/>
          <w:szCs w:val="20"/>
        </w:rPr>
        <w:br w:type="page"/>
      </w:r>
    </w:p>
    <w:p w:rsidR="00235C9C" w:rsidRPr="001B157C" w:rsidRDefault="00235C9C" w:rsidP="00235C9C">
      <w:pPr>
        <w:rPr>
          <w:sz w:val="20"/>
          <w:szCs w:val="20"/>
          <w:u w:val="single"/>
          <w:lang w:val="fr-CA"/>
        </w:rPr>
      </w:pPr>
      <w:r w:rsidRPr="001B157C">
        <w:rPr>
          <w:sz w:val="20"/>
          <w:szCs w:val="20"/>
          <w:u w:val="single"/>
          <w:lang w:val="fr-CA"/>
        </w:rPr>
        <w:lastRenderedPageBreak/>
        <w:t>RÉSUMÉ DE L’AFFAIRE</w:t>
      </w:r>
    </w:p>
    <w:p w:rsidR="00235C9C" w:rsidRDefault="00235C9C" w:rsidP="00235C9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35C9C" w:rsidRPr="003F186C" w:rsidTr="00F3316B">
        <w:tc>
          <w:tcPr>
            <w:tcW w:w="5000" w:type="pct"/>
            <w:gridSpan w:val="3"/>
          </w:tcPr>
          <w:p w:rsidR="00F3316B" w:rsidRDefault="00F3316B" w:rsidP="00F3316B">
            <w:pPr>
              <w:jc w:val="both"/>
              <w:rPr>
                <w:spacing w:val="-1"/>
                <w:sz w:val="20"/>
                <w:lang w:val="fr-CA"/>
              </w:rPr>
            </w:pPr>
            <w:r w:rsidRPr="007F2DB8">
              <w:rPr>
                <w:sz w:val="20"/>
                <w:lang w:val="fr-CA"/>
              </w:rPr>
              <w:t xml:space="preserve">Contrats – Restitution – Biens – Biens réels – Clause prévoyant le paiement d’une commission après l’expiration de la convention d’inscription – Un avis en bonne et due forme suffit-il lorsque la convention d’inscription exige un avis écrit en cas de présentation? – Est-il satisfait à l’obligation relative à l’avis écrit si l’entente de vente et d’achat conclue ultérieurement prévoit le paiement d’une commission? </w:t>
            </w:r>
            <w:r w:rsidRPr="007F2DB8">
              <w:rPr>
                <w:spacing w:val="-1"/>
                <w:sz w:val="20"/>
                <w:lang w:val="fr-CA"/>
              </w:rPr>
              <w:t xml:space="preserve">– Une telle clause donne-t-elle le droit à l’agent immobilier d’obtenir le versement de la commission ou d’un autre type de dédommagement en vertu des doctrines du </w:t>
            </w:r>
            <w:r w:rsidRPr="007F2DB8">
              <w:rPr>
                <w:i/>
                <w:spacing w:val="-1"/>
                <w:sz w:val="20"/>
                <w:lang w:val="fr-CA"/>
              </w:rPr>
              <w:t xml:space="preserve">quantum </w:t>
            </w:r>
            <w:proofErr w:type="spellStart"/>
            <w:r w:rsidRPr="007F2DB8">
              <w:rPr>
                <w:i/>
                <w:spacing w:val="-1"/>
                <w:sz w:val="20"/>
                <w:lang w:val="fr-CA"/>
              </w:rPr>
              <w:t>meruit</w:t>
            </w:r>
            <w:proofErr w:type="spellEnd"/>
            <w:r w:rsidRPr="007F2DB8">
              <w:rPr>
                <w:spacing w:val="-1"/>
                <w:sz w:val="20"/>
                <w:lang w:val="fr-CA"/>
              </w:rPr>
              <w:t xml:space="preserve"> ou de l’enrichissement sans cause ou des deux?</w:t>
            </w:r>
          </w:p>
          <w:p w:rsidR="00235C9C" w:rsidRPr="00E007CB" w:rsidRDefault="00235C9C" w:rsidP="00F3316B">
            <w:pPr>
              <w:jc w:val="both"/>
              <w:rPr>
                <w:rFonts w:eastAsia="Calibri"/>
                <w:sz w:val="20"/>
                <w:lang w:val="fr-CA"/>
              </w:rPr>
            </w:pPr>
          </w:p>
        </w:tc>
      </w:tr>
      <w:tr w:rsidR="00235C9C" w:rsidRPr="003F186C" w:rsidTr="00F3316B">
        <w:tc>
          <w:tcPr>
            <w:tcW w:w="5000" w:type="pct"/>
            <w:gridSpan w:val="3"/>
          </w:tcPr>
          <w:p w:rsidR="00472A3F" w:rsidRPr="007F2DB8" w:rsidRDefault="00472A3F" w:rsidP="00472A3F">
            <w:pPr>
              <w:jc w:val="both"/>
              <w:rPr>
                <w:sz w:val="20"/>
                <w:lang w:val="fr-CA"/>
              </w:rPr>
            </w:pPr>
            <w:r w:rsidRPr="007F2DB8">
              <w:rPr>
                <w:sz w:val="20"/>
                <w:lang w:val="fr-CA"/>
              </w:rPr>
              <w:t xml:space="preserve">L’intimée, </w:t>
            </w:r>
            <w:proofErr w:type="spellStart"/>
            <w:r w:rsidRPr="007F2DB8">
              <w:rPr>
                <w:sz w:val="20"/>
                <w:lang w:val="fr-CA"/>
              </w:rPr>
              <w:t>Elcarim</w:t>
            </w:r>
            <w:proofErr w:type="spellEnd"/>
            <w:r w:rsidRPr="007F2DB8">
              <w:rPr>
                <w:sz w:val="20"/>
                <w:lang w:val="fr-CA"/>
              </w:rPr>
              <w:t xml:space="preserve"> Inc., et la demanderesse, </w:t>
            </w:r>
            <w:proofErr w:type="spellStart"/>
            <w:r w:rsidRPr="007F2DB8">
              <w:rPr>
                <w:sz w:val="20"/>
                <w:lang w:val="fr-CA"/>
              </w:rPr>
              <w:t>Ariston</w:t>
            </w:r>
            <w:proofErr w:type="spellEnd"/>
            <w:r w:rsidRPr="007F2DB8">
              <w:rPr>
                <w:sz w:val="20"/>
                <w:lang w:val="fr-CA"/>
              </w:rPr>
              <w:t xml:space="preserve"> </w:t>
            </w:r>
            <w:proofErr w:type="spellStart"/>
            <w:r w:rsidRPr="007F2DB8">
              <w:rPr>
                <w:sz w:val="20"/>
                <w:lang w:val="fr-CA"/>
              </w:rPr>
              <w:t>Realty</w:t>
            </w:r>
            <w:proofErr w:type="spellEnd"/>
            <w:r w:rsidRPr="007F2DB8">
              <w:rPr>
                <w:sz w:val="20"/>
                <w:lang w:val="fr-CA"/>
              </w:rPr>
              <w:t xml:space="preserve">, ont conclu une convention d’inscription en vue de la vente d’une propriété appartenant à </w:t>
            </w:r>
            <w:proofErr w:type="spellStart"/>
            <w:r w:rsidRPr="007F2DB8">
              <w:rPr>
                <w:sz w:val="20"/>
                <w:lang w:val="fr-CA"/>
              </w:rPr>
              <w:t>Elcarim</w:t>
            </w:r>
            <w:proofErr w:type="spellEnd"/>
            <w:r w:rsidRPr="007F2DB8">
              <w:rPr>
                <w:sz w:val="20"/>
                <w:lang w:val="fr-CA"/>
              </w:rPr>
              <w:t>. La convention stipulait qu’</w:t>
            </w:r>
            <w:proofErr w:type="spellStart"/>
            <w:r w:rsidRPr="007F2DB8">
              <w:rPr>
                <w:sz w:val="20"/>
                <w:lang w:val="fr-CA"/>
              </w:rPr>
              <w:t>Elcarim</w:t>
            </w:r>
            <w:proofErr w:type="spellEnd"/>
            <w:r w:rsidRPr="007F2DB8">
              <w:rPr>
                <w:sz w:val="20"/>
                <w:lang w:val="fr-CA"/>
              </w:rPr>
              <w:t xml:space="preserve"> acceptait de verser à </w:t>
            </w:r>
            <w:proofErr w:type="spellStart"/>
            <w:r w:rsidRPr="007F2DB8">
              <w:rPr>
                <w:sz w:val="20"/>
                <w:lang w:val="fr-CA"/>
              </w:rPr>
              <w:t>Ariston</w:t>
            </w:r>
            <w:proofErr w:type="spellEnd"/>
            <w:r w:rsidRPr="007F2DB8">
              <w:rPr>
                <w:sz w:val="20"/>
                <w:lang w:val="fr-CA"/>
              </w:rPr>
              <w:t xml:space="preserve"> une commission pour toute vente conclue dans les six mois suivant l’expiration de la convention avec toute partie à qui </w:t>
            </w:r>
            <w:proofErr w:type="spellStart"/>
            <w:r w:rsidRPr="007F2DB8">
              <w:rPr>
                <w:sz w:val="20"/>
                <w:lang w:val="fr-CA"/>
              </w:rPr>
              <w:t>Ariston</w:t>
            </w:r>
            <w:proofErr w:type="spellEnd"/>
            <w:r w:rsidRPr="007F2DB8">
              <w:rPr>
                <w:sz w:val="20"/>
                <w:lang w:val="fr-CA"/>
              </w:rPr>
              <w:t xml:space="preserve"> ou des courtiers collaborant avec cette dernière auraient présenté la propriété, à condition qu’</w:t>
            </w:r>
            <w:proofErr w:type="spellStart"/>
            <w:r w:rsidRPr="007F2DB8">
              <w:rPr>
                <w:sz w:val="20"/>
                <w:lang w:val="fr-CA"/>
              </w:rPr>
              <w:t>Ariston</w:t>
            </w:r>
            <w:proofErr w:type="spellEnd"/>
            <w:r w:rsidRPr="007F2DB8">
              <w:rPr>
                <w:sz w:val="20"/>
                <w:lang w:val="fr-CA"/>
              </w:rPr>
              <w:t xml:space="preserve"> indique par écrit à </w:t>
            </w:r>
            <w:proofErr w:type="spellStart"/>
            <w:r w:rsidRPr="007F2DB8">
              <w:rPr>
                <w:sz w:val="20"/>
                <w:lang w:val="fr-CA"/>
              </w:rPr>
              <w:t>Elcarim</w:t>
            </w:r>
            <w:proofErr w:type="spellEnd"/>
            <w:r w:rsidRPr="007F2DB8">
              <w:rPr>
                <w:sz w:val="20"/>
                <w:lang w:val="fr-CA"/>
              </w:rPr>
              <w:t xml:space="preserve"> le nom de ces parties avant l’expiration de la convention. Pendant la validité de la convention, </w:t>
            </w:r>
            <w:proofErr w:type="spellStart"/>
            <w:r w:rsidRPr="007F2DB8">
              <w:rPr>
                <w:sz w:val="20"/>
                <w:lang w:val="fr-CA"/>
              </w:rPr>
              <w:t>Ariston</w:t>
            </w:r>
            <w:proofErr w:type="spellEnd"/>
            <w:r w:rsidRPr="007F2DB8">
              <w:rPr>
                <w:sz w:val="20"/>
                <w:lang w:val="fr-CA"/>
              </w:rPr>
              <w:t xml:space="preserve"> a présenté la propriété à </w:t>
            </w:r>
            <w:proofErr w:type="spellStart"/>
            <w:r w:rsidRPr="007F2DB8">
              <w:rPr>
                <w:sz w:val="20"/>
                <w:lang w:val="fr-CA"/>
              </w:rPr>
              <w:t>Context</w:t>
            </w:r>
            <w:proofErr w:type="spellEnd"/>
            <w:r w:rsidRPr="007F2DB8">
              <w:rPr>
                <w:sz w:val="20"/>
                <w:lang w:val="fr-CA"/>
              </w:rPr>
              <w:t xml:space="preserve"> </w:t>
            </w:r>
            <w:proofErr w:type="spellStart"/>
            <w:r w:rsidRPr="007F2DB8">
              <w:rPr>
                <w:sz w:val="20"/>
                <w:lang w:val="fr-CA"/>
              </w:rPr>
              <w:t>Development</w:t>
            </w:r>
            <w:proofErr w:type="spellEnd"/>
            <w:r w:rsidRPr="007F2DB8">
              <w:rPr>
                <w:sz w:val="20"/>
                <w:lang w:val="fr-CA"/>
              </w:rPr>
              <w:t xml:space="preserve"> Inc., qui a fini par l’acquérir, mais </w:t>
            </w:r>
            <w:proofErr w:type="spellStart"/>
            <w:r w:rsidRPr="007F2DB8">
              <w:rPr>
                <w:sz w:val="20"/>
                <w:lang w:val="fr-CA"/>
              </w:rPr>
              <w:t>Ariston</w:t>
            </w:r>
            <w:proofErr w:type="spellEnd"/>
            <w:r w:rsidRPr="007F2DB8">
              <w:rPr>
                <w:sz w:val="20"/>
                <w:lang w:val="fr-CA"/>
              </w:rPr>
              <w:t xml:space="preserve"> n’a jamais avisé </w:t>
            </w:r>
            <w:proofErr w:type="spellStart"/>
            <w:r w:rsidRPr="007F2DB8">
              <w:rPr>
                <w:sz w:val="20"/>
                <w:lang w:val="fr-CA"/>
              </w:rPr>
              <w:t>Elcarim</w:t>
            </w:r>
            <w:proofErr w:type="spellEnd"/>
            <w:r w:rsidRPr="007F2DB8">
              <w:rPr>
                <w:sz w:val="20"/>
                <w:lang w:val="fr-CA"/>
              </w:rPr>
              <w:t xml:space="preserve"> par écrit. Trois mois et demi après l’expiration de la convention d’inscription, </w:t>
            </w:r>
            <w:proofErr w:type="spellStart"/>
            <w:r w:rsidRPr="007F2DB8">
              <w:rPr>
                <w:sz w:val="20"/>
                <w:lang w:val="fr-CA"/>
              </w:rPr>
              <w:t>Context</w:t>
            </w:r>
            <w:proofErr w:type="spellEnd"/>
            <w:r w:rsidRPr="007F2DB8">
              <w:rPr>
                <w:sz w:val="20"/>
                <w:lang w:val="fr-CA"/>
              </w:rPr>
              <w:t xml:space="preserve"> a conclu avec </w:t>
            </w:r>
            <w:proofErr w:type="spellStart"/>
            <w:r w:rsidRPr="007F2DB8">
              <w:rPr>
                <w:sz w:val="20"/>
                <w:lang w:val="fr-CA"/>
              </w:rPr>
              <w:t>Elcarim</w:t>
            </w:r>
            <w:proofErr w:type="spellEnd"/>
            <w:r w:rsidRPr="007F2DB8">
              <w:rPr>
                <w:sz w:val="20"/>
                <w:lang w:val="fr-CA"/>
              </w:rPr>
              <w:t xml:space="preserve"> une entente de vente et d’achat visant la propriété. Après la conclusion de la vente, </w:t>
            </w:r>
            <w:proofErr w:type="spellStart"/>
            <w:r w:rsidRPr="007F2DB8">
              <w:rPr>
                <w:sz w:val="20"/>
                <w:lang w:val="fr-CA"/>
              </w:rPr>
              <w:t>Ariston</w:t>
            </w:r>
            <w:proofErr w:type="spellEnd"/>
            <w:r w:rsidRPr="007F2DB8">
              <w:rPr>
                <w:sz w:val="20"/>
                <w:lang w:val="fr-CA"/>
              </w:rPr>
              <w:t xml:space="preserve"> a présenté à </w:t>
            </w:r>
            <w:proofErr w:type="spellStart"/>
            <w:r w:rsidRPr="007F2DB8">
              <w:rPr>
                <w:sz w:val="20"/>
                <w:lang w:val="fr-CA"/>
              </w:rPr>
              <w:t>Elcarim</w:t>
            </w:r>
            <w:proofErr w:type="spellEnd"/>
            <w:r w:rsidRPr="007F2DB8">
              <w:rPr>
                <w:sz w:val="20"/>
                <w:lang w:val="fr-CA"/>
              </w:rPr>
              <w:t xml:space="preserve"> une facture lui réclamant le versement de sa commission sur la vente. </w:t>
            </w:r>
            <w:proofErr w:type="spellStart"/>
            <w:r w:rsidRPr="007F2DB8">
              <w:rPr>
                <w:sz w:val="20"/>
                <w:lang w:val="fr-CA"/>
              </w:rPr>
              <w:t>Elcarim</w:t>
            </w:r>
            <w:proofErr w:type="spellEnd"/>
            <w:r w:rsidRPr="007F2DB8">
              <w:rPr>
                <w:sz w:val="20"/>
                <w:lang w:val="fr-CA"/>
              </w:rPr>
              <w:t xml:space="preserve"> n’a pas payé la facture, et </w:t>
            </w:r>
            <w:proofErr w:type="spellStart"/>
            <w:r w:rsidRPr="007F2DB8">
              <w:rPr>
                <w:sz w:val="20"/>
                <w:lang w:val="fr-CA"/>
              </w:rPr>
              <w:t>Ariston</w:t>
            </w:r>
            <w:proofErr w:type="spellEnd"/>
            <w:r w:rsidRPr="007F2DB8">
              <w:rPr>
                <w:sz w:val="20"/>
                <w:lang w:val="fr-CA"/>
              </w:rPr>
              <w:t xml:space="preserve"> a intenté une action pour en obtenir le paiement.</w:t>
            </w:r>
          </w:p>
          <w:p w:rsidR="00472A3F" w:rsidRPr="007F2DB8" w:rsidRDefault="00472A3F" w:rsidP="00472A3F">
            <w:pPr>
              <w:jc w:val="both"/>
              <w:rPr>
                <w:sz w:val="20"/>
                <w:lang w:val="fr-CA"/>
              </w:rPr>
            </w:pPr>
          </w:p>
          <w:p w:rsidR="00472A3F" w:rsidRPr="007F2DB8" w:rsidRDefault="00472A3F" w:rsidP="00472A3F">
            <w:pPr>
              <w:jc w:val="both"/>
              <w:rPr>
                <w:sz w:val="20"/>
                <w:lang w:val="fr-CA"/>
              </w:rPr>
            </w:pPr>
            <w:r w:rsidRPr="007F2DB8">
              <w:rPr>
                <w:sz w:val="20"/>
                <w:lang w:val="fr-CA"/>
              </w:rPr>
              <w:t xml:space="preserve">La Cour supérieure de justice de l’Ontario a accueilli l’action intentée par </w:t>
            </w:r>
            <w:proofErr w:type="spellStart"/>
            <w:r w:rsidRPr="007F2DB8">
              <w:rPr>
                <w:sz w:val="20"/>
                <w:lang w:val="fr-CA"/>
              </w:rPr>
              <w:t>Ariston</w:t>
            </w:r>
            <w:proofErr w:type="spellEnd"/>
            <w:r w:rsidRPr="007F2DB8">
              <w:rPr>
                <w:sz w:val="20"/>
                <w:lang w:val="fr-CA"/>
              </w:rPr>
              <w:t xml:space="preserve"> </w:t>
            </w:r>
            <w:proofErr w:type="spellStart"/>
            <w:r w:rsidRPr="007F2DB8">
              <w:rPr>
                <w:sz w:val="20"/>
                <w:lang w:val="fr-CA"/>
              </w:rPr>
              <w:t>Realty</w:t>
            </w:r>
            <w:proofErr w:type="spellEnd"/>
            <w:r w:rsidRPr="007F2DB8">
              <w:rPr>
                <w:sz w:val="20"/>
                <w:lang w:val="fr-CA"/>
              </w:rPr>
              <w:t>, lui a accordé 120 375 $ en commission non payée et a rejeté la demande reconventionnelle des intimées. La Cour d’appel de l’Ontario a accueilli l’appel interjeté par les intimées et a accueilli en partie l’appel incident interjeté par la demanderesse, accordant aux intimées des dépens de 20 000 $ et de 130 000 $ respectivement pour l’appel et le procès.</w:t>
            </w:r>
          </w:p>
          <w:p w:rsidR="00235C9C" w:rsidRPr="00E007CB" w:rsidRDefault="00235C9C" w:rsidP="00F3316B">
            <w:pPr>
              <w:jc w:val="both"/>
              <w:rPr>
                <w:sz w:val="20"/>
                <w:lang w:val="fr-CA"/>
              </w:rPr>
            </w:pPr>
          </w:p>
        </w:tc>
      </w:tr>
      <w:tr w:rsidR="00235C9C" w:rsidRPr="003F186C" w:rsidTr="00F3316B">
        <w:trPr>
          <w:cantSplit/>
        </w:trPr>
        <w:tc>
          <w:tcPr>
            <w:tcW w:w="2427" w:type="pct"/>
          </w:tcPr>
          <w:p w:rsidR="00472A3F" w:rsidRPr="007F2DB8" w:rsidRDefault="00472A3F" w:rsidP="00472A3F">
            <w:pPr>
              <w:jc w:val="both"/>
              <w:rPr>
                <w:sz w:val="20"/>
                <w:lang w:val="fr-CA"/>
              </w:rPr>
            </w:pPr>
            <w:r w:rsidRPr="007F2DB8">
              <w:rPr>
                <w:sz w:val="20"/>
                <w:lang w:val="fr-CA"/>
              </w:rPr>
              <w:t>11 avril 2013</w:t>
            </w:r>
          </w:p>
          <w:p w:rsidR="00472A3F" w:rsidRPr="007F2DB8" w:rsidRDefault="00472A3F" w:rsidP="00472A3F">
            <w:pPr>
              <w:jc w:val="both"/>
              <w:rPr>
                <w:sz w:val="20"/>
                <w:lang w:val="fr-CA"/>
              </w:rPr>
            </w:pPr>
            <w:r w:rsidRPr="007F2DB8">
              <w:rPr>
                <w:sz w:val="20"/>
                <w:lang w:val="fr-CA"/>
              </w:rPr>
              <w:t>Cour supérieure de justice de l’Ontario</w:t>
            </w:r>
          </w:p>
          <w:p w:rsidR="00472A3F" w:rsidRPr="007F2DB8" w:rsidRDefault="00472A3F" w:rsidP="00472A3F">
            <w:pPr>
              <w:jc w:val="both"/>
              <w:rPr>
                <w:sz w:val="20"/>
                <w:lang w:val="fr-CA"/>
              </w:rPr>
            </w:pPr>
            <w:r w:rsidRPr="007F2DB8">
              <w:rPr>
                <w:sz w:val="20"/>
                <w:lang w:val="fr-CA"/>
              </w:rPr>
              <w:t>(Juge Wilson)</w:t>
            </w:r>
          </w:p>
          <w:p w:rsidR="00472A3F" w:rsidRPr="007F2DB8" w:rsidRDefault="00472A3F" w:rsidP="00472A3F">
            <w:pPr>
              <w:jc w:val="both"/>
              <w:rPr>
                <w:sz w:val="20"/>
                <w:lang w:val="fr-CA"/>
              </w:rPr>
            </w:pPr>
            <w:r w:rsidRPr="007F2DB8">
              <w:rPr>
                <w:sz w:val="20"/>
                <w:lang w:val="fr-CA"/>
              </w:rPr>
              <w:t xml:space="preserve">Référence neutre : </w:t>
            </w:r>
            <w:hyperlink r:id="rId31" w:history="1">
              <w:r w:rsidRPr="007F2DB8">
                <w:rPr>
                  <w:rStyle w:val="Hyperlink"/>
                  <w:sz w:val="20"/>
                  <w:lang w:val="fr-CA"/>
                </w:rPr>
                <w:t>2013 ONSC 1995</w:t>
              </w:r>
            </w:hyperlink>
          </w:p>
          <w:p w:rsidR="00235C9C" w:rsidRPr="00E007CB" w:rsidRDefault="00235C9C" w:rsidP="00F3316B">
            <w:pPr>
              <w:jc w:val="both"/>
              <w:rPr>
                <w:rFonts w:eastAsia="Calibri"/>
                <w:sz w:val="20"/>
                <w:lang w:val="fr-CA"/>
              </w:rPr>
            </w:pPr>
          </w:p>
        </w:tc>
        <w:tc>
          <w:tcPr>
            <w:tcW w:w="243" w:type="pct"/>
          </w:tcPr>
          <w:p w:rsidR="00235C9C" w:rsidRPr="00E007CB" w:rsidRDefault="00235C9C" w:rsidP="00F3316B">
            <w:pPr>
              <w:jc w:val="both"/>
              <w:rPr>
                <w:rFonts w:eastAsia="Calibri"/>
                <w:sz w:val="20"/>
                <w:lang w:val="fr-CA"/>
              </w:rPr>
            </w:pPr>
          </w:p>
        </w:tc>
        <w:tc>
          <w:tcPr>
            <w:tcW w:w="2330" w:type="pct"/>
          </w:tcPr>
          <w:p w:rsidR="00472A3F" w:rsidRPr="007F2DB8" w:rsidRDefault="00472A3F" w:rsidP="00472A3F">
            <w:pPr>
              <w:jc w:val="both"/>
              <w:rPr>
                <w:sz w:val="20"/>
                <w:lang w:val="fr-CA"/>
              </w:rPr>
            </w:pPr>
            <w:r w:rsidRPr="007F2DB8">
              <w:rPr>
                <w:sz w:val="20"/>
                <w:lang w:val="fr-CA"/>
              </w:rPr>
              <w:t>Action en dommages-intérêts intentée par la demanderesse accueillie; rejet de la demande reconventionnelle des intimées.</w:t>
            </w:r>
          </w:p>
          <w:p w:rsidR="00235C9C" w:rsidRPr="00E007CB" w:rsidRDefault="00235C9C" w:rsidP="00F3316B">
            <w:pPr>
              <w:jc w:val="both"/>
              <w:rPr>
                <w:rFonts w:eastAsia="Calibri"/>
                <w:sz w:val="20"/>
                <w:lang w:val="fr-CA"/>
              </w:rPr>
            </w:pPr>
          </w:p>
        </w:tc>
      </w:tr>
      <w:tr w:rsidR="00235C9C" w:rsidRPr="003F186C" w:rsidTr="00F3316B">
        <w:trPr>
          <w:cantSplit/>
        </w:trPr>
        <w:tc>
          <w:tcPr>
            <w:tcW w:w="2427" w:type="pct"/>
          </w:tcPr>
          <w:p w:rsidR="00472A3F" w:rsidRPr="007F2DB8" w:rsidRDefault="00472A3F" w:rsidP="00472A3F">
            <w:pPr>
              <w:jc w:val="both"/>
              <w:rPr>
                <w:sz w:val="20"/>
                <w:lang w:val="fr-CA"/>
              </w:rPr>
            </w:pPr>
            <w:r w:rsidRPr="007F2DB8">
              <w:rPr>
                <w:sz w:val="20"/>
                <w:lang w:val="fr-CA"/>
              </w:rPr>
              <w:t>27 octobre 2013</w:t>
            </w:r>
          </w:p>
          <w:p w:rsidR="00472A3F" w:rsidRPr="007F2DB8" w:rsidRDefault="00472A3F" w:rsidP="00472A3F">
            <w:pPr>
              <w:jc w:val="both"/>
              <w:rPr>
                <w:sz w:val="20"/>
                <w:lang w:val="fr-CA"/>
              </w:rPr>
            </w:pPr>
            <w:r w:rsidRPr="007F2DB8">
              <w:rPr>
                <w:sz w:val="20"/>
                <w:lang w:val="fr-CA"/>
              </w:rPr>
              <w:t>Cour d’appel de l’Ontario</w:t>
            </w:r>
          </w:p>
          <w:p w:rsidR="00472A3F" w:rsidRPr="007F2DB8" w:rsidRDefault="00472A3F" w:rsidP="00472A3F">
            <w:pPr>
              <w:jc w:val="both"/>
              <w:rPr>
                <w:sz w:val="20"/>
                <w:lang w:val="fr-CA"/>
              </w:rPr>
            </w:pPr>
            <w:r w:rsidRPr="007F2DB8">
              <w:rPr>
                <w:sz w:val="20"/>
                <w:lang w:val="fr-CA"/>
              </w:rPr>
              <w:t xml:space="preserve">(Juges </w:t>
            </w:r>
            <w:proofErr w:type="spellStart"/>
            <w:r w:rsidRPr="007F2DB8">
              <w:rPr>
                <w:sz w:val="20"/>
                <w:lang w:val="fr-CA"/>
              </w:rPr>
              <w:t>Juriansz</w:t>
            </w:r>
            <w:proofErr w:type="spellEnd"/>
            <w:r w:rsidRPr="007F2DB8">
              <w:rPr>
                <w:sz w:val="20"/>
                <w:lang w:val="fr-CA"/>
              </w:rPr>
              <w:t xml:space="preserve">, </w:t>
            </w:r>
            <w:proofErr w:type="spellStart"/>
            <w:r w:rsidRPr="007F2DB8">
              <w:rPr>
                <w:sz w:val="20"/>
                <w:lang w:val="fr-CA"/>
              </w:rPr>
              <w:t>LaForme</w:t>
            </w:r>
            <w:proofErr w:type="spellEnd"/>
            <w:r w:rsidRPr="007F2DB8">
              <w:rPr>
                <w:sz w:val="20"/>
                <w:lang w:val="fr-CA"/>
              </w:rPr>
              <w:t xml:space="preserve"> et </w:t>
            </w:r>
            <w:proofErr w:type="spellStart"/>
            <w:r w:rsidRPr="007F2DB8">
              <w:rPr>
                <w:sz w:val="20"/>
                <w:lang w:val="fr-CA"/>
              </w:rPr>
              <w:t>Lauwers</w:t>
            </w:r>
            <w:proofErr w:type="spellEnd"/>
            <w:r w:rsidRPr="007F2DB8">
              <w:rPr>
                <w:sz w:val="20"/>
                <w:lang w:val="fr-CA"/>
              </w:rPr>
              <w:t>)</w:t>
            </w:r>
          </w:p>
          <w:p w:rsidR="00472A3F" w:rsidRPr="007F2DB8" w:rsidRDefault="00472A3F" w:rsidP="00472A3F">
            <w:pPr>
              <w:jc w:val="both"/>
              <w:rPr>
                <w:sz w:val="20"/>
                <w:lang w:val="fr-CA"/>
              </w:rPr>
            </w:pPr>
            <w:r w:rsidRPr="007F2DB8">
              <w:rPr>
                <w:sz w:val="20"/>
                <w:lang w:val="fr-CA"/>
              </w:rPr>
              <w:t xml:space="preserve">Référence neutre : </w:t>
            </w:r>
            <w:hyperlink r:id="rId32" w:history="1">
              <w:r w:rsidRPr="007F2DB8">
                <w:rPr>
                  <w:rStyle w:val="Hyperlink"/>
                  <w:sz w:val="20"/>
                  <w:lang w:val="fr-CA"/>
                </w:rPr>
                <w:t>2014 ONCA 737</w:t>
              </w:r>
            </w:hyperlink>
          </w:p>
          <w:p w:rsidR="00235C9C" w:rsidRPr="00E007CB" w:rsidRDefault="00235C9C" w:rsidP="00F3316B">
            <w:pPr>
              <w:jc w:val="both"/>
              <w:rPr>
                <w:rFonts w:eastAsia="Calibri"/>
                <w:sz w:val="20"/>
                <w:lang w:val="fr-CA"/>
              </w:rPr>
            </w:pPr>
          </w:p>
        </w:tc>
        <w:tc>
          <w:tcPr>
            <w:tcW w:w="243" w:type="pct"/>
          </w:tcPr>
          <w:p w:rsidR="00235C9C" w:rsidRPr="00E007CB" w:rsidRDefault="00235C9C" w:rsidP="00F3316B">
            <w:pPr>
              <w:jc w:val="both"/>
              <w:rPr>
                <w:rFonts w:eastAsia="Calibri"/>
                <w:sz w:val="20"/>
                <w:lang w:val="fr-CA"/>
              </w:rPr>
            </w:pPr>
          </w:p>
        </w:tc>
        <w:tc>
          <w:tcPr>
            <w:tcW w:w="2330" w:type="pct"/>
          </w:tcPr>
          <w:p w:rsidR="00235C9C" w:rsidRPr="00E007CB" w:rsidRDefault="00472A3F" w:rsidP="00F3316B">
            <w:pPr>
              <w:jc w:val="both"/>
              <w:rPr>
                <w:rFonts w:eastAsia="Calibri"/>
                <w:sz w:val="20"/>
                <w:lang w:val="fr-CA"/>
              </w:rPr>
            </w:pPr>
            <w:r w:rsidRPr="007F2DB8">
              <w:rPr>
                <w:sz w:val="20"/>
                <w:lang w:val="fr-CA"/>
              </w:rPr>
              <w:t>Appel interjeté par les intimées accueilli; annulation du jugement de première instance; appel incident interjeté par la demanderesse accueilli en partie.</w:t>
            </w:r>
          </w:p>
        </w:tc>
      </w:tr>
      <w:tr w:rsidR="00235C9C" w:rsidRPr="003F186C" w:rsidTr="00F3316B">
        <w:trPr>
          <w:cantSplit/>
        </w:trPr>
        <w:tc>
          <w:tcPr>
            <w:tcW w:w="2427" w:type="pct"/>
          </w:tcPr>
          <w:p w:rsidR="00472A3F" w:rsidRPr="007F2DB8" w:rsidRDefault="00472A3F" w:rsidP="00472A3F">
            <w:pPr>
              <w:jc w:val="both"/>
              <w:rPr>
                <w:sz w:val="20"/>
                <w:lang w:val="fr-CA"/>
              </w:rPr>
            </w:pPr>
            <w:r w:rsidRPr="007F2DB8">
              <w:rPr>
                <w:sz w:val="20"/>
                <w:lang w:val="fr-CA"/>
              </w:rPr>
              <w:t>30 décembre 2014</w:t>
            </w:r>
          </w:p>
          <w:p w:rsidR="00472A3F" w:rsidRPr="007F2DB8" w:rsidRDefault="00472A3F" w:rsidP="00472A3F">
            <w:pPr>
              <w:jc w:val="both"/>
              <w:rPr>
                <w:sz w:val="20"/>
                <w:lang w:val="fr-CA"/>
              </w:rPr>
            </w:pPr>
            <w:r w:rsidRPr="007F2DB8">
              <w:rPr>
                <w:sz w:val="20"/>
                <w:lang w:val="fr-CA"/>
              </w:rPr>
              <w:t>Cour d’appel de l’Ontario</w:t>
            </w:r>
          </w:p>
          <w:p w:rsidR="00472A3F" w:rsidRPr="007F2DB8" w:rsidRDefault="00472A3F" w:rsidP="00472A3F">
            <w:pPr>
              <w:jc w:val="both"/>
              <w:rPr>
                <w:sz w:val="20"/>
                <w:lang w:val="fr-CA"/>
              </w:rPr>
            </w:pPr>
            <w:r w:rsidRPr="007F2DB8">
              <w:rPr>
                <w:sz w:val="20"/>
                <w:lang w:val="fr-CA"/>
              </w:rPr>
              <w:t xml:space="preserve">(Juges </w:t>
            </w:r>
            <w:proofErr w:type="spellStart"/>
            <w:r w:rsidRPr="007F2DB8">
              <w:rPr>
                <w:sz w:val="20"/>
                <w:lang w:val="fr-CA"/>
              </w:rPr>
              <w:t>Juriansz</w:t>
            </w:r>
            <w:proofErr w:type="spellEnd"/>
            <w:r w:rsidRPr="007F2DB8">
              <w:rPr>
                <w:sz w:val="20"/>
                <w:lang w:val="fr-CA"/>
              </w:rPr>
              <w:t xml:space="preserve">, </w:t>
            </w:r>
            <w:proofErr w:type="spellStart"/>
            <w:r w:rsidRPr="007F2DB8">
              <w:rPr>
                <w:sz w:val="20"/>
                <w:lang w:val="fr-CA"/>
              </w:rPr>
              <w:t>LaForme</w:t>
            </w:r>
            <w:proofErr w:type="spellEnd"/>
            <w:r w:rsidRPr="007F2DB8">
              <w:rPr>
                <w:sz w:val="20"/>
                <w:lang w:val="fr-CA"/>
              </w:rPr>
              <w:t xml:space="preserve"> et </w:t>
            </w:r>
            <w:proofErr w:type="spellStart"/>
            <w:r w:rsidRPr="007F2DB8">
              <w:rPr>
                <w:sz w:val="20"/>
                <w:lang w:val="fr-CA"/>
              </w:rPr>
              <w:t>Lauwers</w:t>
            </w:r>
            <w:proofErr w:type="spellEnd"/>
            <w:r w:rsidRPr="007F2DB8">
              <w:rPr>
                <w:sz w:val="20"/>
                <w:lang w:val="fr-CA"/>
              </w:rPr>
              <w:t>)</w:t>
            </w:r>
          </w:p>
          <w:p w:rsidR="00472A3F" w:rsidRPr="007F2DB8" w:rsidRDefault="00472A3F" w:rsidP="00472A3F">
            <w:pPr>
              <w:jc w:val="both"/>
              <w:rPr>
                <w:sz w:val="20"/>
                <w:lang w:val="fr-CA"/>
              </w:rPr>
            </w:pPr>
            <w:r w:rsidRPr="007F2DB8">
              <w:rPr>
                <w:sz w:val="20"/>
                <w:lang w:val="fr-CA"/>
              </w:rPr>
              <w:t xml:space="preserve">Référence neutre : </w:t>
            </w:r>
            <w:hyperlink r:id="rId33" w:history="1">
              <w:r w:rsidRPr="007F2DB8">
                <w:rPr>
                  <w:rStyle w:val="Hyperlink"/>
                  <w:sz w:val="20"/>
                  <w:lang w:val="fr-CA"/>
                </w:rPr>
                <w:t>2014 ONCA 925</w:t>
              </w:r>
            </w:hyperlink>
          </w:p>
          <w:p w:rsidR="00235C9C" w:rsidRPr="00E007CB" w:rsidRDefault="00235C9C" w:rsidP="00F3316B">
            <w:pPr>
              <w:tabs>
                <w:tab w:val="left" w:pos="1522"/>
              </w:tabs>
              <w:jc w:val="both"/>
              <w:rPr>
                <w:rFonts w:eastAsia="Calibri"/>
                <w:sz w:val="20"/>
                <w:lang w:val="fr-CA"/>
              </w:rPr>
            </w:pPr>
          </w:p>
        </w:tc>
        <w:tc>
          <w:tcPr>
            <w:tcW w:w="243" w:type="pct"/>
          </w:tcPr>
          <w:p w:rsidR="00235C9C" w:rsidRPr="00E007CB" w:rsidRDefault="00235C9C" w:rsidP="00F3316B">
            <w:pPr>
              <w:jc w:val="both"/>
              <w:rPr>
                <w:rFonts w:eastAsia="Calibri"/>
                <w:sz w:val="20"/>
                <w:lang w:val="fr-CA"/>
              </w:rPr>
            </w:pPr>
          </w:p>
        </w:tc>
        <w:tc>
          <w:tcPr>
            <w:tcW w:w="2330" w:type="pct"/>
          </w:tcPr>
          <w:p w:rsidR="00472A3F" w:rsidRPr="007F2DB8" w:rsidRDefault="00472A3F" w:rsidP="00472A3F">
            <w:pPr>
              <w:jc w:val="both"/>
              <w:rPr>
                <w:sz w:val="20"/>
                <w:lang w:val="fr-CA"/>
              </w:rPr>
            </w:pPr>
            <w:r w:rsidRPr="007F2DB8">
              <w:rPr>
                <w:sz w:val="20"/>
                <w:lang w:val="fr-CA"/>
              </w:rPr>
              <w:t>Dépens accordés aux intimées, d’un montant de 20 000 $ pour l’appel et de 130 000 $ pour l’action en première instance.</w:t>
            </w:r>
          </w:p>
          <w:p w:rsidR="00235C9C" w:rsidRPr="00E007CB" w:rsidRDefault="00235C9C" w:rsidP="00F3316B">
            <w:pPr>
              <w:jc w:val="both"/>
              <w:rPr>
                <w:rFonts w:eastAsia="Calibri"/>
                <w:sz w:val="20"/>
                <w:lang w:val="fr-CA"/>
              </w:rPr>
            </w:pPr>
          </w:p>
        </w:tc>
      </w:tr>
      <w:tr w:rsidR="00472A3F" w:rsidRPr="003F186C" w:rsidTr="00F3316B">
        <w:trPr>
          <w:cantSplit/>
        </w:trPr>
        <w:tc>
          <w:tcPr>
            <w:tcW w:w="2427" w:type="pct"/>
          </w:tcPr>
          <w:p w:rsidR="00472A3F" w:rsidRPr="007F2DB8" w:rsidRDefault="00472A3F" w:rsidP="00472A3F">
            <w:pPr>
              <w:jc w:val="both"/>
              <w:rPr>
                <w:sz w:val="20"/>
                <w:lang w:val="fr-CA"/>
              </w:rPr>
            </w:pPr>
            <w:r w:rsidRPr="007F2DB8">
              <w:rPr>
                <w:sz w:val="20"/>
                <w:lang w:val="fr-CA"/>
              </w:rPr>
              <w:t>27 février 2015</w:t>
            </w:r>
          </w:p>
          <w:p w:rsidR="00472A3F" w:rsidRPr="007F2DB8" w:rsidRDefault="00472A3F" w:rsidP="00472A3F">
            <w:pPr>
              <w:jc w:val="both"/>
              <w:rPr>
                <w:sz w:val="20"/>
                <w:lang w:val="fr-CA"/>
              </w:rPr>
            </w:pPr>
            <w:r w:rsidRPr="007F2DB8">
              <w:rPr>
                <w:sz w:val="20"/>
                <w:lang w:val="fr-CA"/>
              </w:rPr>
              <w:t>Cour suprême du Canada</w:t>
            </w:r>
          </w:p>
          <w:p w:rsidR="00472A3F" w:rsidRPr="00E007CB" w:rsidRDefault="00472A3F" w:rsidP="00472A3F">
            <w:pPr>
              <w:jc w:val="both"/>
              <w:rPr>
                <w:rFonts w:eastAsia="Calibri"/>
                <w:sz w:val="20"/>
                <w:lang w:val="fr-CA"/>
              </w:rPr>
            </w:pPr>
          </w:p>
        </w:tc>
        <w:tc>
          <w:tcPr>
            <w:tcW w:w="243" w:type="pct"/>
          </w:tcPr>
          <w:p w:rsidR="00472A3F" w:rsidRPr="00E007CB" w:rsidRDefault="00472A3F" w:rsidP="00472A3F">
            <w:pPr>
              <w:jc w:val="both"/>
              <w:rPr>
                <w:rFonts w:eastAsia="Calibri"/>
                <w:sz w:val="20"/>
                <w:lang w:val="fr-CA"/>
              </w:rPr>
            </w:pPr>
          </w:p>
        </w:tc>
        <w:tc>
          <w:tcPr>
            <w:tcW w:w="2330" w:type="pct"/>
          </w:tcPr>
          <w:p w:rsidR="00472A3F" w:rsidRPr="007F2DB8" w:rsidRDefault="00472A3F" w:rsidP="00472A3F">
            <w:pPr>
              <w:jc w:val="both"/>
              <w:rPr>
                <w:sz w:val="20"/>
                <w:lang w:val="fr-CA"/>
              </w:rPr>
            </w:pPr>
            <w:r w:rsidRPr="007F2DB8">
              <w:rPr>
                <w:sz w:val="20"/>
                <w:lang w:val="fr-CA"/>
              </w:rPr>
              <w:t>Dépôt de la demande d’autorisation d’appel.</w:t>
            </w:r>
          </w:p>
        </w:tc>
      </w:tr>
      <w:tr w:rsidR="00472A3F" w:rsidRPr="003F186C" w:rsidTr="00F3316B">
        <w:trPr>
          <w:cantSplit/>
        </w:trPr>
        <w:tc>
          <w:tcPr>
            <w:tcW w:w="2427" w:type="pct"/>
          </w:tcPr>
          <w:p w:rsidR="00472A3F" w:rsidRPr="00E007CB" w:rsidRDefault="00472A3F" w:rsidP="00472A3F">
            <w:pPr>
              <w:jc w:val="both"/>
              <w:rPr>
                <w:rFonts w:eastAsia="Calibri"/>
                <w:sz w:val="20"/>
                <w:lang w:val="fr-CA"/>
              </w:rPr>
            </w:pPr>
            <w:r>
              <w:rPr>
                <w:rFonts w:eastAsia="Calibri"/>
                <w:sz w:val="20"/>
                <w:lang w:val="fr-CA"/>
              </w:rPr>
              <w:t>7 avril</w:t>
            </w:r>
            <w:r w:rsidRPr="00E007CB">
              <w:rPr>
                <w:rFonts w:eastAsia="Calibri"/>
                <w:sz w:val="20"/>
                <w:lang w:val="fr-CA"/>
              </w:rPr>
              <w:t xml:space="preserve"> 201</w:t>
            </w:r>
            <w:r>
              <w:rPr>
                <w:rFonts w:eastAsia="Calibri"/>
                <w:sz w:val="20"/>
                <w:lang w:val="fr-CA"/>
              </w:rPr>
              <w:t>5</w:t>
            </w:r>
          </w:p>
          <w:p w:rsidR="00472A3F" w:rsidRPr="00E007CB" w:rsidRDefault="00472A3F" w:rsidP="00472A3F">
            <w:pPr>
              <w:jc w:val="both"/>
              <w:rPr>
                <w:rFonts w:eastAsia="Calibri"/>
                <w:sz w:val="20"/>
                <w:lang w:val="fr-CA"/>
              </w:rPr>
            </w:pPr>
            <w:r w:rsidRPr="00E007CB">
              <w:rPr>
                <w:rFonts w:eastAsia="Calibri"/>
                <w:sz w:val="20"/>
                <w:lang w:val="fr-CA"/>
              </w:rPr>
              <w:t>Cour suprême du Canada</w:t>
            </w:r>
          </w:p>
        </w:tc>
        <w:tc>
          <w:tcPr>
            <w:tcW w:w="243" w:type="pct"/>
          </w:tcPr>
          <w:p w:rsidR="00472A3F" w:rsidRPr="00E007CB" w:rsidRDefault="00472A3F" w:rsidP="00472A3F">
            <w:pPr>
              <w:jc w:val="both"/>
              <w:rPr>
                <w:rFonts w:eastAsia="Calibri"/>
                <w:sz w:val="20"/>
                <w:lang w:val="fr-CA"/>
              </w:rPr>
            </w:pPr>
          </w:p>
        </w:tc>
        <w:tc>
          <w:tcPr>
            <w:tcW w:w="2330" w:type="pct"/>
          </w:tcPr>
          <w:p w:rsidR="00472A3F" w:rsidRPr="007F2DB8" w:rsidRDefault="00472A3F" w:rsidP="00472A3F">
            <w:pPr>
              <w:jc w:val="both"/>
              <w:rPr>
                <w:sz w:val="20"/>
                <w:lang w:val="fr-CA"/>
              </w:rPr>
            </w:pPr>
            <w:r w:rsidRPr="007F2DB8">
              <w:rPr>
                <w:sz w:val="20"/>
                <w:lang w:val="fr-CA"/>
              </w:rPr>
              <w:t>Dépôt d’une requête en prorogation du délai pour signifier et déposer la demande d’autorisation.</w:t>
            </w:r>
          </w:p>
        </w:tc>
      </w:tr>
    </w:tbl>
    <w:p w:rsidR="00235C9C" w:rsidRPr="003F186C" w:rsidRDefault="00235C9C" w:rsidP="00235C9C">
      <w:pPr>
        <w:rPr>
          <w:sz w:val="20"/>
          <w:szCs w:val="20"/>
          <w:lang w:val="fr-CA"/>
        </w:rPr>
      </w:pPr>
    </w:p>
    <w:p w:rsidR="00235C9C" w:rsidRDefault="00C232E1" w:rsidP="00235C9C">
      <w:pPr>
        <w:rPr>
          <w:sz w:val="20"/>
          <w:szCs w:val="20"/>
        </w:rPr>
      </w:pPr>
      <w:r>
        <w:rPr>
          <w:sz w:val="20"/>
          <w:szCs w:val="20"/>
          <w:lang w:val="fr-CA"/>
        </w:rPr>
        <w:pict>
          <v:rect id="_x0000_i1051" style="width:2in;height:1pt" o:hrpct="0" o:hralign="center" o:hrstd="t" o:hrnoshade="t" o:hr="t" fillcolor="black [3213]" stroked="f"/>
        </w:pict>
      </w:r>
    </w:p>
    <w:p w:rsidR="00AC180F" w:rsidRDefault="00AC180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A2199E" w:rsidRPr="00A73D2C" w:rsidTr="00CD41B1">
        <w:trPr>
          <w:cantSplit/>
        </w:trPr>
        <w:tc>
          <w:tcPr>
            <w:tcW w:w="1458" w:type="dxa"/>
          </w:tcPr>
          <w:p w:rsidR="00A2199E" w:rsidRPr="00A73D2C" w:rsidRDefault="00A2199E" w:rsidP="00CD41B1">
            <w:pPr>
              <w:rPr>
                <w:sz w:val="20"/>
                <w:szCs w:val="20"/>
              </w:rPr>
            </w:pPr>
            <w:r w:rsidRPr="00A73D2C">
              <w:rPr>
                <w:rStyle w:val="SCCFileNumberChar"/>
                <w:sz w:val="20"/>
                <w:szCs w:val="20"/>
              </w:rPr>
              <w:lastRenderedPageBreak/>
              <w:t>3</w:t>
            </w:r>
            <w:r>
              <w:rPr>
                <w:rStyle w:val="SCCFileNumberChar"/>
                <w:sz w:val="20"/>
                <w:szCs w:val="20"/>
              </w:rPr>
              <w:t>6371</w:t>
            </w:r>
          </w:p>
          <w:p w:rsidR="00A2199E" w:rsidRPr="00A73D2C" w:rsidRDefault="00A2199E" w:rsidP="00CD41B1">
            <w:pPr>
              <w:rPr>
                <w:b/>
                <w:sz w:val="20"/>
                <w:szCs w:val="20"/>
                <w:lang w:val="fr-CA"/>
              </w:rPr>
            </w:pPr>
          </w:p>
        </w:tc>
        <w:tc>
          <w:tcPr>
            <w:tcW w:w="8118" w:type="dxa"/>
          </w:tcPr>
          <w:p w:rsidR="00A2199E" w:rsidRPr="00A73D2C" w:rsidRDefault="00A2199E" w:rsidP="00CD41B1">
            <w:pPr>
              <w:rPr>
                <w:sz w:val="20"/>
                <w:szCs w:val="20"/>
              </w:rPr>
            </w:pPr>
            <w:proofErr w:type="spellStart"/>
            <w:r w:rsidRPr="00A2199E">
              <w:rPr>
                <w:rStyle w:val="SCCLsocChar"/>
                <w:sz w:val="20"/>
                <w:szCs w:val="20"/>
                <w:lang w:val="en-CA"/>
              </w:rPr>
              <w:t>Wael</w:t>
            </w:r>
            <w:proofErr w:type="spellEnd"/>
            <w:r w:rsidRPr="00A2199E">
              <w:rPr>
                <w:rStyle w:val="SCCLsocChar"/>
                <w:sz w:val="20"/>
                <w:szCs w:val="20"/>
                <w:lang w:val="en-CA"/>
              </w:rPr>
              <w:t xml:space="preserve"> </w:t>
            </w:r>
            <w:proofErr w:type="spellStart"/>
            <w:r w:rsidRPr="00A2199E">
              <w:rPr>
                <w:rStyle w:val="SCCLsocChar"/>
                <w:sz w:val="20"/>
                <w:szCs w:val="20"/>
                <w:lang w:val="en-CA"/>
              </w:rPr>
              <w:t>Maged</w:t>
            </w:r>
            <w:proofErr w:type="spellEnd"/>
            <w:r w:rsidRPr="00A2199E">
              <w:rPr>
                <w:rStyle w:val="SCCLsocChar"/>
                <w:sz w:val="20"/>
                <w:szCs w:val="20"/>
                <w:lang w:val="en-CA"/>
              </w:rPr>
              <w:t xml:space="preserve"> </w:t>
            </w:r>
            <w:proofErr w:type="spellStart"/>
            <w:r w:rsidRPr="00A2199E">
              <w:rPr>
                <w:rStyle w:val="SCCLsocChar"/>
                <w:sz w:val="20"/>
                <w:szCs w:val="20"/>
                <w:lang w:val="en-CA"/>
              </w:rPr>
              <w:t>Badawy</w:t>
            </w:r>
            <w:proofErr w:type="spellEnd"/>
            <w:r w:rsidRPr="00A2199E">
              <w:rPr>
                <w:rStyle w:val="SCCLsocChar"/>
                <w:sz w:val="20"/>
                <w:szCs w:val="20"/>
                <w:lang w:val="en-CA"/>
              </w:rPr>
              <w:t xml:space="preserve"> v. </w:t>
            </w:r>
            <w:proofErr w:type="spellStart"/>
            <w:r w:rsidRPr="00A2199E">
              <w:rPr>
                <w:rStyle w:val="SCCLsocChar"/>
                <w:sz w:val="20"/>
                <w:szCs w:val="20"/>
                <w:lang w:val="en-CA"/>
              </w:rPr>
              <w:t>Ghada</w:t>
            </w:r>
            <w:proofErr w:type="spellEnd"/>
            <w:r w:rsidRPr="00A2199E">
              <w:rPr>
                <w:rStyle w:val="SCCLsocChar"/>
                <w:sz w:val="20"/>
                <w:szCs w:val="20"/>
                <w:lang w:val="en-CA"/>
              </w:rPr>
              <w:t xml:space="preserve"> </w:t>
            </w:r>
            <w:proofErr w:type="spellStart"/>
            <w:r w:rsidRPr="00A2199E">
              <w:rPr>
                <w:rStyle w:val="SCCLsocChar"/>
                <w:sz w:val="20"/>
                <w:szCs w:val="20"/>
                <w:lang w:val="en-CA"/>
              </w:rPr>
              <w:t>Hamdy</w:t>
            </w:r>
            <w:proofErr w:type="spellEnd"/>
            <w:r w:rsidRPr="00A2199E">
              <w:rPr>
                <w:rStyle w:val="SCCLsocChar"/>
                <w:sz w:val="20"/>
                <w:szCs w:val="20"/>
                <w:lang w:val="en-CA"/>
              </w:rPr>
              <w:t xml:space="preserve"> </w:t>
            </w:r>
            <w:proofErr w:type="spellStart"/>
            <w:r w:rsidRPr="00A2199E">
              <w:rPr>
                <w:rStyle w:val="SCCLsocChar"/>
                <w:sz w:val="20"/>
                <w:szCs w:val="20"/>
                <w:lang w:val="en-CA"/>
              </w:rPr>
              <w:t>Nafie</w:t>
            </w:r>
            <w:proofErr w:type="spellEnd"/>
            <w:r w:rsidRPr="00A73D2C">
              <w:rPr>
                <w:sz w:val="20"/>
                <w:szCs w:val="20"/>
              </w:rPr>
              <w:t xml:space="preserve"> (</w:t>
            </w:r>
            <w:r>
              <w:rPr>
                <w:sz w:val="20"/>
                <w:szCs w:val="20"/>
              </w:rPr>
              <w:t>Alta.</w:t>
            </w:r>
            <w:r w:rsidRPr="00A73D2C">
              <w:rPr>
                <w:sz w:val="20"/>
                <w:szCs w:val="20"/>
              </w:rPr>
              <w:t>) (Civil) (By Leave)</w:t>
            </w:r>
          </w:p>
          <w:p w:rsidR="00A2199E" w:rsidRPr="00A73D2C" w:rsidRDefault="00A2199E" w:rsidP="00CD41B1">
            <w:pPr>
              <w:rPr>
                <w:sz w:val="20"/>
                <w:szCs w:val="20"/>
              </w:rPr>
            </w:pPr>
          </w:p>
        </w:tc>
      </w:tr>
      <w:tr w:rsidR="00A2199E" w:rsidRPr="00A73D2C" w:rsidTr="00CD41B1">
        <w:trPr>
          <w:cantSplit/>
        </w:trPr>
        <w:tc>
          <w:tcPr>
            <w:tcW w:w="1458" w:type="dxa"/>
          </w:tcPr>
          <w:p w:rsidR="00A2199E" w:rsidRPr="00A73D2C" w:rsidRDefault="00A2199E" w:rsidP="00CD41B1">
            <w:pPr>
              <w:rPr>
                <w:sz w:val="20"/>
                <w:szCs w:val="20"/>
              </w:rPr>
            </w:pPr>
            <w:r w:rsidRPr="00A73D2C">
              <w:rPr>
                <w:sz w:val="20"/>
                <w:szCs w:val="20"/>
              </w:rPr>
              <w:t>Coram :</w:t>
            </w:r>
          </w:p>
        </w:tc>
        <w:tc>
          <w:tcPr>
            <w:tcW w:w="8118" w:type="dxa"/>
          </w:tcPr>
          <w:p w:rsidR="00A2199E" w:rsidRDefault="006B1C9C" w:rsidP="00CD41B1">
            <w:pPr>
              <w:rPr>
                <w:rStyle w:val="SCCCoramChar"/>
                <w:sz w:val="20"/>
                <w:szCs w:val="20"/>
                <w:lang w:val="en-CA"/>
              </w:rPr>
            </w:pPr>
            <w:r w:rsidRPr="006B1C9C">
              <w:rPr>
                <w:rStyle w:val="SCCCoramChar"/>
                <w:sz w:val="20"/>
                <w:szCs w:val="20"/>
                <w:lang w:val="en-CA"/>
              </w:rPr>
              <w:t>Abella, Karakatsanis and Brown JJ.</w:t>
            </w:r>
          </w:p>
          <w:p w:rsidR="006B1C9C" w:rsidRPr="00A73D2C" w:rsidRDefault="006B1C9C" w:rsidP="00CD41B1">
            <w:pPr>
              <w:rPr>
                <w:sz w:val="20"/>
                <w:szCs w:val="20"/>
                <w:u w:val="single"/>
              </w:rPr>
            </w:pPr>
          </w:p>
        </w:tc>
      </w:tr>
      <w:tr w:rsidR="00A2199E" w:rsidRPr="003F186C" w:rsidTr="00CD41B1">
        <w:trPr>
          <w:cantSplit/>
        </w:trPr>
        <w:tc>
          <w:tcPr>
            <w:tcW w:w="9576" w:type="dxa"/>
            <w:gridSpan w:val="2"/>
          </w:tcPr>
          <w:p w:rsidR="006B1C9C" w:rsidRDefault="006B1C9C" w:rsidP="006B1C9C">
            <w:pPr>
              <w:pStyle w:val="SCCShortJudgment"/>
            </w:pPr>
            <w:r>
              <w:t>The applications for leave to appeal from the judgment of the Court of Appeal of Alberta (Calgary), Numbers 1301-0206-AC, 1301-0208-AC, 1301-0287-AC, 1301-0351-AC and 1401-0098-AC, 2015 ABCA 36, dated January 27, 2015, are dismissed.</w:t>
            </w:r>
          </w:p>
          <w:p w:rsidR="006B1C9C" w:rsidRDefault="006B1C9C" w:rsidP="006B1C9C">
            <w:pPr>
              <w:pStyle w:val="SCCShortJudgment"/>
              <w:ind w:firstLine="0"/>
            </w:pPr>
          </w:p>
          <w:p w:rsidR="00A2199E" w:rsidRPr="00A73D2C" w:rsidRDefault="006B1C9C" w:rsidP="006B1C9C">
            <w:pPr>
              <w:pStyle w:val="SCCShortJudgment"/>
              <w:rPr>
                <w:szCs w:val="20"/>
                <w:lang w:val="fr-CA"/>
              </w:rPr>
            </w:pPr>
            <w:r w:rsidRPr="003F186C">
              <w:rPr>
                <w:lang w:val="fr-CA"/>
              </w:rPr>
              <w:t>Les demandes d’autorisation d’appel de l’arrêt de la Cour d’appel de l’Alberta (Calgary), numéros 1301-0206-AC, 1301-0208-AC, 1301-0287-AC, 1301-0351-AC et 1401-0098-AC, 2015 ABCA 36, daté du 27 janvier 2015, sont rejetées.</w:t>
            </w:r>
          </w:p>
        </w:tc>
      </w:tr>
    </w:tbl>
    <w:p w:rsidR="00A2199E" w:rsidRPr="0016547E" w:rsidRDefault="00A2199E" w:rsidP="00A2199E">
      <w:pPr>
        <w:rPr>
          <w:sz w:val="20"/>
          <w:szCs w:val="20"/>
          <w:lang w:val="fr-CA"/>
        </w:rPr>
      </w:pPr>
    </w:p>
    <w:p w:rsidR="00A2199E" w:rsidRPr="001B157C" w:rsidRDefault="00A2199E" w:rsidP="00A2199E">
      <w:pPr>
        <w:rPr>
          <w:sz w:val="20"/>
          <w:szCs w:val="20"/>
          <w:u w:val="single"/>
        </w:rPr>
      </w:pPr>
      <w:r w:rsidRPr="001B157C">
        <w:rPr>
          <w:sz w:val="20"/>
          <w:szCs w:val="20"/>
          <w:u w:val="single"/>
        </w:rPr>
        <w:t>CASE SUMMARY</w:t>
      </w:r>
    </w:p>
    <w:p w:rsidR="00A2199E" w:rsidRDefault="00A2199E" w:rsidP="00A2199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199E" w:rsidRPr="00E007CB" w:rsidTr="00CD41B1">
        <w:tc>
          <w:tcPr>
            <w:tcW w:w="5000" w:type="pct"/>
            <w:gridSpan w:val="3"/>
          </w:tcPr>
          <w:p w:rsidR="00A2199E" w:rsidRDefault="00A2199E" w:rsidP="00CD41B1">
            <w:pPr>
              <w:jc w:val="both"/>
              <w:rPr>
                <w:sz w:val="20"/>
              </w:rPr>
            </w:pPr>
            <w:r w:rsidRPr="007F2DB8">
              <w:rPr>
                <w:i/>
                <w:sz w:val="20"/>
              </w:rPr>
              <w:t>Charter of Rights</w:t>
            </w:r>
            <w:r w:rsidRPr="007F2DB8">
              <w:rPr>
                <w:sz w:val="20"/>
              </w:rPr>
              <w:t xml:space="preserve"> – Rights to equality and fundamental justice – Family law – Divorce – Jurisdiction – Interim orders – Validity of several interim orders governing interim custody, access, child support, exclusive possession of matrimonial home in question on challenge to validity of divorce proceedings – </w:t>
            </w:r>
            <w:proofErr w:type="spellStart"/>
            <w:r w:rsidRPr="007F2DB8">
              <w:rPr>
                <w:i/>
                <w:sz w:val="20"/>
              </w:rPr>
              <w:t>Parens</w:t>
            </w:r>
            <w:proofErr w:type="spellEnd"/>
            <w:r w:rsidRPr="007F2DB8">
              <w:rPr>
                <w:sz w:val="20"/>
              </w:rPr>
              <w:t xml:space="preserve"> </w:t>
            </w:r>
            <w:proofErr w:type="spellStart"/>
            <w:r w:rsidRPr="007F2DB8">
              <w:rPr>
                <w:i/>
                <w:sz w:val="20"/>
              </w:rPr>
              <w:t>patriae</w:t>
            </w:r>
            <w:proofErr w:type="spellEnd"/>
            <w:r w:rsidRPr="007F2DB8">
              <w:rPr>
                <w:sz w:val="20"/>
              </w:rPr>
              <w:t xml:space="preserve"> jurisdiction invoked to preserve interim orders </w:t>
            </w:r>
            <w:proofErr w:type="spellStart"/>
            <w:r w:rsidRPr="007F2DB8">
              <w:rPr>
                <w:i/>
                <w:sz w:val="20"/>
              </w:rPr>
              <w:t>nunc</w:t>
            </w:r>
            <w:proofErr w:type="spellEnd"/>
            <w:r w:rsidRPr="007F2DB8">
              <w:rPr>
                <w:i/>
                <w:sz w:val="20"/>
              </w:rPr>
              <w:t xml:space="preserve"> pro </w:t>
            </w:r>
            <w:proofErr w:type="spellStart"/>
            <w:r w:rsidRPr="007F2DB8">
              <w:rPr>
                <w:i/>
                <w:sz w:val="20"/>
              </w:rPr>
              <w:t>tunc</w:t>
            </w:r>
            <w:proofErr w:type="spellEnd"/>
            <w:r w:rsidRPr="007F2DB8">
              <w:rPr>
                <w:sz w:val="20"/>
              </w:rPr>
              <w:t xml:space="preserve"> – Whether order breaches principles of fundamental justice – Whether application of </w:t>
            </w:r>
            <w:proofErr w:type="spellStart"/>
            <w:r w:rsidRPr="007F2DB8">
              <w:rPr>
                <w:i/>
                <w:sz w:val="20"/>
              </w:rPr>
              <w:t>nunc</w:t>
            </w:r>
            <w:proofErr w:type="spellEnd"/>
            <w:r w:rsidRPr="007F2DB8">
              <w:rPr>
                <w:i/>
                <w:sz w:val="20"/>
              </w:rPr>
              <w:t xml:space="preserve"> pro </w:t>
            </w:r>
            <w:proofErr w:type="spellStart"/>
            <w:r w:rsidRPr="007F2DB8">
              <w:rPr>
                <w:i/>
                <w:sz w:val="20"/>
              </w:rPr>
              <w:t>tunc</w:t>
            </w:r>
            <w:proofErr w:type="spellEnd"/>
            <w:r w:rsidRPr="007F2DB8">
              <w:rPr>
                <w:sz w:val="20"/>
              </w:rPr>
              <w:t xml:space="preserve"> and </w:t>
            </w:r>
            <w:proofErr w:type="spellStart"/>
            <w:r w:rsidRPr="007F2DB8">
              <w:rPr>
                <w:i/>
                <w:sz w:val="20"/>
              </w:rPr>
              <w:t>parens</w:t>
            </w:r>
            <w:proofErr w:type="spellEnd"/>
            <w:r w:rsidRPr="007F2DB8">
              <w:rPr>
                <w:sz w:val="20"/>
              </w:rPr>
              <w:t xml:space="preserve"> </w:t>
            </w:r>
            <w:proofErr w:type="spellStart"/>
            <w:r w:rsidRPr="007F2DB8">
              <w:rPr>
                <w:i/>
                <w:sz w:val="20"/>
              </w:rPr>
              <w:t>patriae</w:t>
            </w:r>
            <w:proofErr w:type="spellEnd"/>
            <w:r w:rsidRPr="007F2DB8">
              <w:rPr>
                <w:sz w:val="20"/>
              </w:rPr>
              <w:t xml:space="preserve"> doctrines was an abuse of process, delayed access to justice, breached ss. 7, 15 and 24(2) of the </w:t>
            </w:r>
            <w:r w:rsidRPr="007F2DB8">
              <w:rPr>
                <w:i/>
                <w:sz w:val="20"/>
              </w:rPr>
              <w:t>Charter</w:t>
            </w:r>
            <w:r w:rsidRPr="007F2DB8">
              <w:rPr>
                <w:sz w:val="20"/>
              </w:rPr>
              <w:t xml:space="preserve"> and caused prejudice to applicant – Whether principles of fundamental justice and rights and liberties breached – Whether dispute resolution process was constitutional.</w:t>
            </w:r>
          </w:p>
          <w:p w:rsidR="00A2199E" w:rsidRPr="00E007CB" w:rsidRDefault="00A2199E" w:rsidP="00CD41B1">
            <w:pPr>
              <w:jc w:val="both"/>
              <w:rPr>
                <w:rFonts w:eastAsia="Calibri"/>
                <w:sz w:val="20"/>
              </w:rPr>
            </w:pPr>
          </w:p>
        </w:tc>
      </w:tr>
      <w:tr w:rsidR="00A2199E" w:rsidRPr="00E007CB" w:rsidTr="00CD41B1">
        <w:tc>
          <w:tcPr>
            <w:tcW w:w="5000" w:type="pct"/>
            <w:gridSpan w:val="3"/>
          </w:tcPr>
          <w:p w:rsidR="00A2199E" w:rsidRPr="007F2DB8" w:rsidRDefault="00A2199E" w:rsidP="00A2199E">
            <w:pPr>
              <w:jc w:val="both"/>
              <w:rPr>
                <w:sz w:val="20"/>
              </w:rPr>
            </w:pPr>
            <w:r w:rsidRPr="007F2DB8">
              <w:rPr>
                <w:sz w:val="20"/>
              </w:rPr>
              <w:t>The parties were married in Egypt in 2000. Each had been resident in Alberta before the wedding. The parties have three children who all reside with their mother. She filed a Statement of Claim for Divorce and Division of Matrimonial Property in July 2012. Mr. </w:t>
            </w:r>
            <w:proofErr w:type="spellStart"/>
            <w:r w:rsidRPr="007F2DB8">
              <w:rPr>
                <w:sz w:val="20"/>
              </w:rPr>
              <w:t>Badawy</w:t>
            </w:r>
            <w:proofErr w:type="spellEnd"/>
            <w:r w:rsidRPr="007F2DB8">
              <w:rPr>
                <w:sz w:val="20"/>
              </w:rPr>
              <w:t xml:space="preserve"> filed a Counterclaim for Divorce and Division of Matrimonial Property, alleging that neither party had been ordinarily resident in Alberta in the year preceding the filing of Ms. </w:t>
            </w:r>
            <w:proofErr w:type="spellStart"/>
            <w:r w:rsidRPr="007F2DB8">
              <w:rPr>
                <w:sz w:val="20"/>
              </w:rPr>
              <w:t>Nafie’s</w:t>
            </w:r>
            <w:proofErr w:type="spellEnd"/>
            <w:r w:rsidRPr="007F2DB8">
              <w:rPr>
                <w:sz w:val="20"/>
              </w:rPr>
              <w:t xml:space="preserve"> action. Ms. </w:t>
            </w:r>
            <w:proofErr w:type="spellStart"/>
            <w:r w:rsidRPr="007F2DB8">
              <w:rPr>
                <w:sz w:val="20"/>
              </w:rPr>
              <w:t>Nafie</w:t>
            </w:r>
            <w:proofErr w:type="spellEnd"/>
            <w:r w:rsidRPr="007F2DB8">
              <w:rPr>
                <w:sz w:val="20"/>
              </w:rPr>
              <w:t xml:space="preserve"> obtained several interim orders in her proceedings including custody, child support and exclusive possession of the matrimonial home and vehicle. Mr. </w:t>
            </w:r>
            <w:proofErr w:type="spellStart"/>
            <w:r w:rsidRPr="007F2DB8">
              <w:rPr>
                <w:sz w:val="20"/>
              </w:rPr>
              <w:t>Badawy</w:t>
            </w:r>
            <w:proofErr w:type="spellEnd"/>
            <w:r w:rsidRPr="007F2DB8">
              <w:rPr>
                <w:sz w:val="20"/>
              </w:rPr>
              <w:t xml:space="preserve"> appealed the interim orders, challenging the validity of the underlying divorce action on the basis that Ms. </w:t>
            </w:r>
            <w:proofErr w:type="spellStart"/>
            <w:r w:rsidRPr="007F2DB8">
              <w:rPr>
                <w:sz w:val="20"/>
              </w:rPr>
              <w:t>Nafie</w:t>
            </w:r>
            <w:proofErr w:type="spellEnd"/>
            <w:r w:rsidRPr="007F2DB8">
              <w:rPr>
                <w:sz w:val="20"/>
              </w:rPr>
              <w:t xml:space="preserve"> had not satisfied the residency requirements at the time of filing her action. He also challenged the constitutionality of the Judicial Dispute Resolution process in which the parties had participated.</w:t>
            </w:r>
          </w:p>
          <w:p w:rsidR="00A2199E" w:rsidRPr="00E007CB" w:rsidRDefault="00A2199E" w:rsidP="00CD41B1">
            <w:pPr>
              <w:jc w:val="both"/>
              <w:rPr>
                <w:rFonts w:eastAsia="Calibri"/>
                <w:sz w:val="20"/>
              </w:rPr>
            </w:pPr>
          </w:p>
        </w:tc>
      </w:tr>
      <w:tr w:rsidR="00A2199E" w:rsidRPr="00E007CB" w:rsidTr="00CD41B1">
        <w:trPr>
          <w:cantSplit/>
        </w:trPr>
        <w:tc>
          <w:tcPr>
            <w:tcW w:w="2427" w:type="pct"/>
          </w:tcPr>
          <w:p w:rsidR="00A2199E" w:rsidRPr="007F2DB8" w:rsidRDefault="00A2199E" w:rsidP="00A2199E">
            <w:pPr>
              <w:jc w:val="both"/>
              <w:rPr>
                <w:sz w:val="20"/>
              </w:rPr>
            </w:pPr>
            <w:r w:rsidRPr="007F2DB8">
              <w:rPr>
                <w:sz w:val="20"/>
              </w:rPr>
              <w:t>May 2, 2014</w:t>
            </w:r>
          </w:p>
          <w:p w:rsidR="00A2199E" w:rsidRPr="007F2DB8" w:rsidRDefault="00A2199E" w:rsidP="00A2199E">
            <w:pPr>
              <w:jc w:val="both"/>
              <w:rPr>
                <w:sz w:val="20"/>
              </w:rPr>
            </w:pPr>
            <w:r w:rsidRPr="007F2DB8">
              <w:rPr>
                <w:sz w:val="20"/>
              </w:rPr>
              <w:t>Court of Queen’s Bench of Alberta</w:t>
            </w:r>
          </w:p>
          <w:p w:rsidR="00A2199E" w:rsidRPr="007F2DB8" w:rsidRDefault="00A2199E" w:rsidP="00A2199E">
            <w:pPr>
              <w:jc w:val="both"/>
              <w:rPr>
                <w:sz w:val="20"/>
              </w:rPr>
            </w:pPr>
            <w:r w:rsidRPr="007F2DB8">
              <w:rPr>
                <w:sz w:val="20"/>
              </w:rPr>
              <w:t>(Hall J.)</w:t>
            </w:r>
          </w:p>
          <w:p w:rsidR="00A2199E" w:rsidRPr="007F2DB8" w:rsidRDefault="00A2199E" w:rsidP="00A2199E">
            <w:pPr>
              <w:jc w:val="both"/>
              <w:rPr>
                <w:sz w:val="20"/>
              </w:rPr>
            </w:pPr>
            <w:r w:rsidRPr="007F2DB8">
              <w:rPr>
                <w:sz w:val="20"/>
              </w:rPr>
              <w:t>2014 ABQB 262</w:t>
            </w:r>
          </w:p>
          <w:p w:rsidR="00A2199E" w:rsidRPr="00E007CB" w:rsidRDefault="00A2199E" w:rsidP="00CD41B1">
            <w:pPr>
              <w:jc w:val="both"/>
              <w:rPr>
                <w:rFonts w:eastAsia="Calibri"/>
                <w:sz w:val="20"/>
              </w:rPr>
            </w:pPr>
          </w:p>
        </w:tc>
        <w:tc>
          <w:tcPr>
            <w:tcW w:w="243" w:type="pct"/>
          </w:tcPr>
          <w:p w:rsidR="00A2199E" w:rsidRPr="00E007CB" w:rsidRDefault="00A2199E" w:rsidP="00CD41B1">
            <w:pPr>
              <w:jc w:val="both"/>
              <w:rPr>
                <w:rFonts w:eastAsia="Calibri"/>
                <w:sz w:val="20"/>
              </w:rPr>
            </w:pPr>
          </w:p>
        </w:tc>
        <w:tc>
          <w:tcPr>
            <w:tcW w:w="2330" w:type="pct"/>
          </w:tcPr>
          <w:p w:rsidR="00A2199E" w:rsidRPr="007F2DB8" w:rsidRDefault="00A2199E" w:rsidP="00A2199E">
            <w:pPr>
              <w:jc w:val="both"/>
              <w:rPr>
                <w:sz w:val="20"/>
              </w:rPr>
            </w:pPr>
            <w:r w:rsidRPr="007F2DB8">
              <w:rPr>
                <w:sz w:val="20"/>
              </w:rPr>
              <w:t>Order that marriage valid and that Alberta courts had jurisdiction over parties’ divorce proceedings</w:t>
            </w:r>
          </w:p>
          <w:p w:rsidR="00A2199E" w:rsidRPr="00E007CB" w:rsidRDefault="00A2199E" w:rsidP="00CD41B1">
            <w:pPr>
              <w:jc w:val="both"/>
              <w:rPr>
                <w:rFonts w:eastAsia="Calibri"/>
                <w:sz w:val="20"/>
              </w:rPr>
            </w:pPr>
          </w:p>
        </w:tc>
      </w:tr>
      <w:tr w:rsidR="00A2199E" w:rsidRPr="00E007CB" w:rsidTr="00CD41B1">
        <w:trPr>
          <w:cantSplit/>
        </w:trPr>
        <w:tc>
          <w:tcPr>
            <w:tcW w:w="2427" w:type="pct"/>
          </w:tcPr>
          <w:p w:rsidR="00A2199E" w:rsidRPr="007F2DB8" w:rsidRDefault="00A2199E" w:rsidP="00A2199E">
            <w:pPr>
              <w:jc w:val="both"/>
              <w:rPr>
                <w:sz w:val="20"/>
              </w:rPr>
            </w:pPr>
            <w:r w:rsidRPr="007F2DB8">
              <w:rPr>
                <w:sz w:val="20"/>
              </w:rPr>
              <w:t>January 27, 2015</w:t>
            </w:r>
          </w:p>
          <w:p w:rsidR="00A2199E" w:rsidRPr="007F2DB8" w:rsidRDefault="00A2199E" w:rsidP="00A2199E">
            <w:pPr>
              <w:jc w:val="both"/>
              <w:rPr>
                <w:sz w:val="20"/>
              </w:rPr>
            </w:pPr>
            <w:r w:rsidRPr="007F2DB8">
              <w:rPr>
                <w:sz w:val="20"/>
              </w:rPr>
              <w:t>Court of Appeal of Alberta (Calgary)</w:t>
            </w:r>
          </w:p>
          <w:p w:rsidR="00A2199E" w:rsidRPr="007F2DB8" w:rsidRDefault="00A2199E" w:rsidP="00A2199E">
            <w:pPr>
              <w:jc w:val="both"/>
              <w:rPr>
                <w:sz w:val="20"/>
              </w:rPr>
            </w:pPr>
            <w:r w:rsidRPr="007F2DB8">
              <w:rPr>
                <w:sz w:val="20"/>
              </w:rPr>
              <w:t>(</w:t>
            </w:r>
            <w:proofErr w:type="spellStart"/>
            <w:r w:rsidRPr="007F2DB8">
              <w:rPr>
                <w:sz w:val="20"/>
              </w:rPr>
              <w:t>Rowbotham</w:t>
            </w:r>
            <w:proofErr w:type="spellEnd"/>
            <w:r w:rsidRPr="007F2DB8">
              <w:rPr>
                <w:sz w:val="20"/>
              </w:rPr>
              <w:t xml:space="preserve">, </w:t>
            </w:r>
            <w:proofErr w:type="spellStart"/>
            <w:r w:rsidRPr="007F2DB8">
              <w:rPr>
                <w:sz w:val="20"/>
              </w:rPr>
              <w:t>O'Ferrall</w:t>
            </w:r>
            <w:proofErr w:type="spellEnd"/>
            <w:r w:rsidRPr="007F2DB8">
              <w:rPr>
                <w:sz w:val="20"/>
              </w:rPr>
              <w:t xml:space="preserve"> [dissenting in part] </w:t>
            </w:r>
          </w:p>
          <w:p w:rsidR="00A2199E" w:rsidRPr="007F2DB8" w:rsidRDefault="00A2199E" w:rsidP="00A2199E">
            <w:pPr>
              <w:jc w:val="both"/>
              <w:rPr>
                <w:sz w:val="20"/>
              </w:rPr>
            </w:pPr>
            <w:proofErr w:type="gramStart"/>
            <w:r w:rsidRPr="007F2DB8">
              <w:rPr>
                <w:sz w:val="20"/>
              </w:rPr>
              <w:t>and</w:t>
            </w:r>
            <w:proofErr w:type="gramEnd"/>
            <w:r w:rsidRPr="007F2DB8">
              <w:rPr>
                <w:sz w:val="20"/>
              </w:rPr>
              <w:t xml:space="preserve"> Veldhuis JJ.A.)</w:t>
            </w:r>
          </w:p>
          <w:p w:rsidR="00A2199E" w:rsidRPr="00E007CB" w:rsidRDefault="00A2199E" w:rsidP="00CD41B1">
            <w:pPr>
              <w:jc w:val="both"/>
              <w:rPr>
                <w:rFonts w:eastAsia="Calibri"/>
                <w:sz w:val="20"/>
              </w:rPr>
            </w:pPr>
          </w:p>
        </w:tc>
        <w:tc>
          <w:tcPr>
            <w:tcW w:w="243" w:type="pct"/>
          </w:tcPr>
          <w:p w:rsidR="00A2199E" w:rsidRPr="00E007CB" w:rsidRDefault="00A2199E" w:rsidP="00CD41B1">
            <w:pPr>
              <w:jc w:val="both"/>
              <w:rPr>
                <w:rFonts w:eastAsia="Calibri"/>
                <w:sz w:val="20"/>
              </w:rPr>
            </w:pPr>
          </w:p>
        </w:tc>
        <w:tc>
          <w:tcPr>
            <w:tcW w:w="2330" w:type="pct"/>
          </w:tcPr>
          <w:p w:rsidR="00A2199E" w:rsidRPr="007F2DB8" w:rsidRDefault="00A2199E" w:rsidP="00A2199E">
            <w:pPr>
              <w:jc w:val="both"/>
              <w:rPr>
                <w:i/>
                <w:sz w:val="20"/>
              </w:rPr>
            </w:pPr>
            <w:r w:rsidRPr="007F2DB8">
              <w:rPr>
                <w:sz w:val="20"/>
              </w:rPr>
              <w:t xml:space="preserve">Order that Alberta courts did not have jurisdiction over divorce proceedings but preserving certain interim orders </w:t>
            </w:r>
            <w:proofErr w:type="spellStart"/>
            <w:r w:rsidRPr="007F2DB8">
              <w:rPr>
                <w:i/>
                <w:sz w:val="20"/>
              </w:rPr>
              <w:t>nunc</w:t>
            </w:r>
            <w:proofErr w:type="spellEnd"/>
            <w:r w:rsidRPr="007F2DB8">
              <w:rPr>
                <w:i/>
                <w:sz w:val="20"/>
              </w:rPr>
              <w:t xml:space="preserve"> pro </w:t>
            </w:r>
            <w:proofErr w:type="spellStart"/>
            <w:r w:rsidRPr="007F2DB8">
              <w:rPr>
                <w:i/>
                <w:sz w:val="20"/>
              </w:rPr>
              <w:t>tunc</w:t>
            </w:r>
            <w:proofErr w:type="spellEnd"/>
          </w:p>
          <w:p w:rsidR="00A2199E" w:rsidRPr="007F2DB8" w:rsidRDefault="00A2199E" w:rsidP="00CD41B1">
            <w:pPr>
              <w:jc w:val="both"/>
              <w:rPr>
                <w:sz w:val="20"/>
              </w:rPr>
            </w:pPr>
          </w:p>
        </w:tc>
      </w:tr>
      <w:tr w:rsidR="00A2199E" w:rsidRPr="00E007CB" w:rsidTr="00CD41B1">
        <w:trPr>
          <w:cantSplit/>
        </w:trPr>
        <w:tc>
          <w:tcPr>
            <w:tcW w:w="2427" w:type="pct"/>
          </w:tcPr>
          <w:p w:rsidR="00A2199E" w:rsidRPr="007F2DB8" w:rsidRDefault="00A2199E" w:rsidP="00A2199E">
            <w:pPr>
              <w:jc w:val="both"/>
              <w:rPr>
                <w:sz w:val="20"/>
              </w:rPr>
            </w:pPr>
            <w:r w:rsidRPr="007F2DB8">
              <w:rPr>
                <w:sz w:val="20"/>
              </w:rPr>
              <w:t>March 30, 2015</w:t>
            </w:r>
          </w:p>
          <w:p w:rsidR="00A2199E" w:rsidRPr="007F2DB8" w:rsidRDefault="00A2199E" w:rsidP="00A2199E">
            <w:pPr>
              <w:jc w:val="both"/>
              <w:rPr>
                <w:sz w:val="20"/>
              </w:rPr>
            </w:pPr>
            <w:r w:rsidRPr="007F2DB8">
              <w:rPr>
                <w:sz w:val="20"/>
              </w:rPr>
              <w:t>Supreme Court of Canada</w:t>
            </w:r>
          </w:p>
          <w:p w:rsidR="00A2199E" w:rsidRPr="00E007CB" w:rsidRDefault="00A2199E" w:rsidP="00CD41B1">
            <w:pPr>
              <w:jc w:val="both"/>
              <w:rPr>
                <w:rFonts w:eastAsia="Calibri"/>
                <w:sz w:val="20"/>
              </w:rPr>
            </w:pPr>
          </w:p>
        </w:tc>
        <w:tc>
          <w:tcPr>
            <w:tcW w:w="243" w:type="pct"/>
          </w:tcPr>
          <w:p w:rsidR="00A2199E" w:rsidRPr="00E007CB" w:rsidRDefault="00A2199E" w:rsidP="00CD41B1">
            <w:pPr>
              <w:jc w:val="both"/>
              <w:rPr>
                <w:rFonts w:eastAsia="Calibri"/>
                <w:sz w:val="20"/>
              </w:rPr>
            </w:pPr>
          </w:p>
        </w:tc>
        <w:tc>
          <w:tcPr>
            <w:tcW w:w="2330" w:type="pct"/>
          </w:tcPr>
          <w:p w:rsidR="00A2199E" w:rsidRPr="007F2DB8" w:rsidRDefault="00A2199E" w:rsidP="00A2199E">
            <w:pPr>
              <w:jc w:val="both"/>
              <w:rPr>
                <w:sz w:val="20"/>
              </w:rPr>
            </w:pPr>
            <w:r w:rsidRPr="007F2DB8">
              <w:rPr>
                <w:sz w:val="20"/>
              </w:rPr>
              <w:t>First application for leave to appeal filed</w:t>
            </w:r>
          </w:p>
          <w:p w:rsidR="00A2199E" w:rsidRPr="00E007CB" w:rsidRDefault="00A2199E" w:rsidP="00CD41B1">
            <w:pPr>
              <w:jc w:val="both"/>
              <w:rPr>
                <w:rFonts w:eastAsia="Calibri"/>
                <w:sz w:val="20"/>
              </w:rPr>
            </w:pPr>
          </w:p>
        </w:tc>
      </w:tr>
      <w:tr w:rsidR="00A2199E" w:rsidRPr="00E007CB" w:rsidTr="00CD41B1">
        <w:trPr>
          <w:cantSplit/>
        </w:trPr>
        <w:tc>
          <w:tcPr>
            <w:tcW w:w="2427" w:type="pct"/>
          </w:tcPr>
          <w:p w:rsidR="00A2199E" w:rsidRPr="00E007CB" w:rsidRDefault="00A2199E" w:rsidP="00CD41B1">
            <w:pPr>
              <w:jc w:val="both"/>
              <w:rPr>
                <w:rFonts w:eastAsia="Calibri"/>
                <w:sz w:val="20"/>
              </w:rPr>
            </w:pPr>
            <w:r>
              <w:rPr>
                <w:rFonts w:eastAsia="Calibri"/>
                <w:sz w:val="20"/>
              </w:rPr>
              <w:t>June 12</w:t>
            </w:r>
            <w:r w:rsidRPr="00E007CB">
              <w:rPr>
                <w:rFonts w:eastAsia="Calibri"/>
                <w:sz w:val="20"/>
              </w:rPr>
              <w:t>, 201</w:t>
            </w:r>
            <w:r>
              <w:rPr>
                <w:rFonts w:eastAsia="Calibri"/>
                <w:sz w:val="20"/>
              </w:rPr>
              <w:t>5</w:t>
            </w:r>
          </w:p>
          <w:p w:rsidR="00A2199E" w:rsidRPr="00E007CB" w:rsidRDefault="00A2199E" w:rsidP="00CD41B1">
            <w:pPr>
              <w:jc w:val="both"/>
              <w:rPr>
                <w:rFonts w:eastAsia="Calibri"/>
                <w:sz w:val="20"/>
              </w:rPr>
            </w:pPr>
            <w:r w:rsidRPr="00E007CB">
              <w:rPr>
                <w:rFonts w:eastAsia="Calibri"/>
                <w:sz w:val="20"/>
              </w:rPr>
              <w:t>Supreme Court of Canada</w:t>
            </w:r>
          </w:p>
        </w:tc>
        <w:tc>
          <w:tcPr>
            <w:tcW w:w="243" w:type="pct"/>
          </w:tcPr>
          <w:p w:rsidR="00A2199E" w:rsidRPr="00E007CB" w:rsidRDefault="00A2199E" w:rsidP="00CD41B1">
            <w:pPr>
              <w:jc w:val="both"/>
              <w:rPr>
                <w:rFonts w:eastAsia="Calibri"/>
                <w:sz w:val="20"/>
              </w:rPr>
            </w:pPr>
          </w:p>
        </w:tc>
        <w:tc>
          <w:tcPr>
            <w:tcW w:w="2330" w:type="pct"/>
          </w:tcPr>
          <w:p w:rsidR="00A2199E" w:rsidRPr="007F2DB8" w:rsidRDefault="00A2199E" w:rsidP="00A2199E">
            <w:pPr>
              <w:jc w:val="both"/>
              <w:rPr>
                <w:sz w:val="20"/>
              </w:rPr>
            </w:pPr>
            <w:r w:rsidRPr="007F2DB8">
              <w:rPr>
                <w:sz w:val="20"/>
              </w:rPr>
              <w:t>Second application for leave to appeal filed</w:t>
            </w:r>
          </w:p>
          <w:p w:rsidR="00A2199E" w:rsidRPr="007F2DB8" w:rsidRDefault="00A2199E" w:rsidP="00CD41B1">
            <w:pPr>
              <w:jc w:val="both"/>
              <w:rPr>
                <w:sz w:val="20"/>
              </w:rPr>
            </w:pPr>
          </w:p>
        </w:tc>
      </w:tr>
    </w:tbl>
    <w:p w:rsidR="00A2199E" w:rsidRDefault="00A2199E" w:rsidP="00A2199E">
      <w:pPr>
        <w:rPr>
          <w:sz w:val="20"/>
          <w:szCs w:val="20"/>
        </w:rPr>
      </w:pPr>
    </w:p>
    <w:p w:rsidR="00A2199E" w:rsidRPr="00C50A5C" w:rsidRDefault="00C232E1" w:rsidP="00A2199E">
      <w:pPr>
        <w:rPr>
          <w:sz w:val="20"/>
          <w:szCs w:val="20"/>
        </w:rPr>
      </w:pPr>
      <w:r>
        <w:rPr>
          <w:sz w:val="20"/>
          <w:szCs w:val="20"/>
          <w:lang w:val="fr-CA"/>
        </w:rPr>
        <w:pict>
          <v:rect id="_x0000_i1052" style="width:2in;height:1pt" o:hrpct="0" o:hralign="center" o:hrstd="t" o:hrnoshade="t" o:hr="t" fillcolor="black [3213]" stroked="f"/>
        </w:pict>
      </w:r>
    </w:p>
    <w:p w:rsidR="00AC180F" w:rsidRDefault="00AC180F">
      <w:pPr>
        <w:rPr>
          <w:sz w:val="20"/>
          <w:szCs w:val="20"/>
        </w:rPr>
      </w:pPr>
      <w:r>
        <w:rPr>
          <w:sz w:val="20"/>
          <w:szCs w:val="20"/>
        </w:rPr>
        <w:br w:type="page"/>
      </w:r>
    </w:p>
    <w:p w:rsidR="00A2199E" w:rsidRPr="001B157C" w:rsidRDefault="00A2199E" w:rsidP="00A2199E">
      <w:pPr>
        <w:rPr>
          <w:sz w:val="20"/>
          <w:szCs w:val="20"/>
          <w:u w:val="single"/>
          <w:lang w:val="fr-CA"/>
        </w:rPr>
      </w:pPr>
      <w:r w:rsidRPr="001B157C">
        <w:rPr>
          <w:sz w:val="20"/>
          <w:szCs w:val="20"/>
          <w:u w:val="single"/>
          <w:lang w:val="fr-CA"/>
        </w:rPr>
        <w:lastRenderedPageBreak/>
        <w:t>RÉSUMÉ DE L’AFFAIRE</w:t>
      </w:r>
    </w:p>
    <w:p w:rsidR="00A2199E" w:rsidRDefault="00A2199E" w:rsidP="00A2199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2199E" w:rsidRPr="003F186C" w:rsidTr="00CD41B1">
        <w:tc>
          <w:tcPr>
            <w:tcW w:w="5000" w:type="pct"/>
            <w:gridSpan w:val="3"/>
          </w:tcPr>
          <w:p w:rsidR="00A2199E" w:rsidRDefault="00A2199E" w:rsidP="00CD41B1">
            <w:pPr>
              <w:jc w:val="both"/>
              <w:rPr>
                <w:sz w:val="20"/>
                <w:lang w:val="fr-CA"/>
              </w:rPr>
            </w:pPr>
            <w:r w:rsidRPr="007F2DB8">
              <w:rPr>
                <w:i/>
                <w:sz w:val="20"/>
                <w:lang w:val="fr-CA"/>
              </w:rPr>
              <w:t>Charte des droits</w:t>
            </w:r>
            <w:r w:rsidRPr="007F2DB8">
              <w:rPr>
                <w:sz w:val="20"/>
                <w:lang w:val="fr-CA"/>
              </w:rPr>
              <w:t xml:space="preserve"> – Droits à l’égalité et à la justice fondamentale – Droit de la famille – Divorce – Compétence – Ordonnances provisoires – La validité de plusieurs ordonnances provisoires régissant la garde provisoire, l’accès, la pension alimentaire pour enfants et la possession exclusive du foyer matrimonial est mise en question dans une contestation de la validité de l’instance de divorce – La compétence </w:t>
            </w:r>
            <w:proofErr w:type="spellStart"/>
            <w:r w:rsidRPr="007F2DB8">
              <w:rPr>
                <w:i/>
                <w:sz w:val="20"/>
                <w:lang w:val="fr-CA"/>
              </w:rPr>
              <w:t>parens</w:t>
            </w:r>
            <w:proofErr w:type="spellEnd"/>
            <w:r w:rsidRPr="007F2DB8">
              <w:rPr>
                <w:sz w:val="20"/>
                <w:lang w:val="fr-CA"/>
              </w:rPr>
              <w:t xml:space="preserve"> </w:t>
            </w:r>
            <w:proofErr w:type="spellStart"/>
            <w:r w:rsidRPr="007F2DB8">
              <w:rPr>
                <w:i/>
                <w:sz w:val="20"/>
                <w:lang w:val="fr-CA"/>
              </w:rPr>
              <w:t>patriae</w:t>
            </w:r>
            <w:proofErr w:type="spellEnd"/>
            <w:r w:rsidRPr="007F2DB8">
              <w:rPr>
                <w:sz w:val="20"/>
                <w:lang w:val="fr-CA"/>
              </w:rPr>
              <w:t xml:space="preserve"> est invoquée pour maintenir les ordonnances provisoires </w:t>
            </w:r>
            <w:r w:rsidRPr="007F2DB8">
              <w:rPr>
                <w:i/>
                <w:sz w:val="20"/>
                <w:lang w:val="fr-CA"/>
              </w:rPr>
              <w:t xml:space="preserve">nunc pro </w:t>
            </w:r>
            <w:proofErr w:type="spellStart"/>
            <w:r w:rsidRPr="007F2DB8">
              <w:rPr>
                <w:i/>
                <w:sz w:val="20"/>
                <w:lang w:val="fr-CA"/>
              </w:rPr>
              <w:t>tunc</w:t>
            </w:r>
            <w:proofErr w:type="spellEnd"/>
            <w:r w:rsidRPr="007F2DB8">
              <w:rPr>
                <w:sz w:val="20"/>
                <w:lang w:val="fr-CA"/>
              </w:rPr>
              <w:t xml:space="preserve"> – L’ordonnance viole-t-elle les principes de justice fondamentale? – L’application des doctrines </w:t>
            </w:r>
            <w:r w:rsidRPr="007F2DB8">
              <w:rPr>
                <w:i/>
                <w:sz w:val="20"/>
                <w:lang w:val="fr-CA"/>
              </w:rPr>
              <w:t xml:space="preserve">nunc pro </w:t>
            </w:r>
            <w:proofErr w:type="spellStart"/>
            <w:r w:rsidRPr="007F2DB8">
              <w:rPr>
                <w:i/>
                <w:sz w:val="20"/>
                <w:lang w:val="fr-CA"/>
              </w:rPr>
              <w:t>tunc</w:t>
            </w:r>
            <w:proofErr w:type="spellEnd"/>
            <w:r w:rsidRPr="007F2DB8">
              <w:rPr>
                <w:sz w:val="20"/>
                <w:lang w:val="fr-CA"/>
              </w:rPr>
              <w:t xml:space="preserve"> et </w:t>
            </w:r>
            <w:proofErr w:type="spellStart"/>
            <w:r w:rsidRPr="007F2DB8">
              <w:rPr>
                <w:i/>
                <w:sz w:val="20"/>
                <w:lang w:val="fr-CA"/>
              </w:rPr>
              <w:t>parens</w:t>
            </w:r>
            <w:proofErr w:type="spellEnd"/>
            <w:r w:rsidRPr="007F2DB8">
              <w:rPr>
                <w:sz w:val="20"/>
                <w:lang w:val="fr-CA"/>
              </w:rPr>
              <w:t xml:space="preserve"> </w:t>
            </w:r>
            <w:proofErr w:type="spellStart"/>
            <w:r w:rsidRPr="007F2DB8">
              <w:rPr>
                <w:i/>
                <w:sz w:val="20"/>
                <w:lang w:val="fr-CA"/>
              </w:rPr>
              <w:t>patriae</w:t>
            </w:r>
            <w:proofErr w:type="spellEnd"/>
            <w:r w:rsidRPr="007F2DB8">
              <w:rPr>
                <w:sz w:val="20"/>
                <w:lang w:val="fr-CA"/>
              </w:rPr>
              <w:t xml:space="preserve"> constituait-elle un abus de procédure, a-t-elle eu pour effet de retarder l’accès à la justice et de violer </w:t>
            </w:r>
            <w:proofErr w:type="gramStart"/>
            <w:r w:rsidRPr="007F2DB8">
              <w:rPr>
                <w:sz w:val="20"/>
                <w:lang w:val="fr-CA"/>
              </w:rPr>
              <w:t>les art</w:t>
            </w:r>
            <w:proofErr w:type="gramEnd"/>
            <w:r w:rsidRPr="007F2DB8">
              <w:rPr>
                <w:sz w:val="20"/>
                <w:lang w:val="fr-CA"/>
              </w:rPr>
              <w:t xml:space="preserve">. 7, 15 et 24(2) de la </w:t>
            </w:r>
            <w:r w:rsidRPr="007F2DB8">
              <w:rPr>
                <w:i/>
                <w:sz w:val="20"/>
                <w:lang w:val="fr-CA"/>
              </w:rPr>
              <w:t>Charte</w:t>
            </w:r>
            <w:r w:rsidRPr="007F2DB8">
              <w:rPr>
                <w:sz w:val="20"/>
                <w:lang w:val="fr-CA"/>
              </w:rPr>
              <w:t xml:space="preserve"> et a-t-elle causé un préjudice au demandeur? – Y </w:t>
            </w:r>
            <w:proofErr w:type="spellStart"/>
            <w:r w:rsidRPr="007F2DB8">
              <w:rPr>
                <w:sz w:val="20"/>
                <w:lang w:val="fr-CA"/>
              </w:rPr>
              <w:t>a-t-il</w:t>
            </w:r>
            <w:proofErr w:type="spellEnd"/>
            <w:r w:rsidRPr="007F2DB8">
              <w:rPr>
                <w:sz w:val="20"/>
                <w:lang w:val="fr-CA"/>
              </w:rPr>
              <w:t xml:space="preserve"> eu violation des principes de justice fondamentale et des droits et libertés? – Le processus de règlement des différends était-il constitutionnel?</w:t>
            </w:r>
          </w:p>
          <w:p w:rsidR="00A2199E" w:rsidRPr="00E007CB" w:rsidRDefault="00A2199E" w:rsidP="00CD41B1">
            <w:pPr>
              <w:jc w:val="both"/>
              <w:rPr>
                <w:rFonts w:eastAsia="Calibri"/>
                <w:sz w:val="20"/>
                <w:lang w:val="fr-CA"/>
              </w:rPr>
            </w:pPr>
          </w:p>
        </w:tc>
      </w:tr>
      <w:tr w:rsidR="00A2199E" w:rsidRPr="003F186C" w:rsidTr="00CD41B1">
        <w:tc>
          <w:tcPr>
            <w:tcW w:w="5000" w:type="pct"/>
            <w:gridSpan w:val="3"/>
          </w:tcPr>
          <w:p w:rsidR="00A2199E" w:rsidRPr="007F2DB8" w:rsidRDefault="00A2199E" w:rsidP="00A2199E">
            <w:pPr>
              <w:jc w:val="both"/>
              <w:rPr>
                <w:sz w:val="20"/>
                <w:lang w:val="fr-CA"/>
              </w:rPr>
            </w:pPr>
            <w:r w:rsidRPr="007F2DB8">
              <w:rPr>
                <w:sz w:val="20"/>
                <w:lang w:val="fr-CA"/>
              </w:rPr>
              <w:t xml:space="preserve">Les parties se sont mariées en Égypte en 2000. Chacune avait été résidente de l’Alberta avant le mariage. Les parties ont trois enfants qui résident tous avec leur mère. En juillet 2012, cette dernière a déposé une déclaration en divorce et en partage du patrimoine matrimonial. Monsieur </w:t>
            </w:r>
            <w:proofErr w:type="spellStart"/>
            <w:r w:rsidRPr="007F2DB8">
              <w:rPr>
                <w:sz w:val="20"/>
                <w:lang w:val="fr-CA"/>
              </w:rPr>
              <w:t>Badawy</w:t>
            </w:r>
            <w:proofErr w:type="spellEnd"/>
            <w:r w:rsidRPr="007F2DB8">
              <w:rPr>
                <w:sz w:val="20"/>
                <w:lang w:val="fr-CA"/>
              </w:rPr>
              <w:t xml:space="preserve"> a déposé une demande reconventionnelle en divorce et en partage du patrimoine matrimonial, alléguant que ni l’une ni l’autre des parties n’avait résidé habituellement en Alberta dans l’année qui a précédé le dépôt de l’action de Mme </w:t>
            </w:r>
            <w:proofErr w:type="spellStart"/>
            <w:r w:rsidRPr="007F2DB8">
              <w:rPr>
                <w:sz w:val="20"/>
                <w:lang w:val="fr-CA"/>
              </w:rPr>
              <w:t>Nafie</w:t>
            </w:r>
            <w:proofErr w:type="spellEnd"/>
            <w:r w:rsidRPr="007F2DB8">
              <w:rPr>
                <w:sz w:val="20"/>
                <w:lang w:val="fr-CA"/>
              </w:rPr>
              <w:t xml:space="preserve">. Madame </w:t>
            </w:r>
            <w:proofErr w:type="spellStart"/>
            <w:r w:rsidRPr="007F2DB8">
              <w:rPr>
                <w:sz w:val="20"/>
                <w:lang w:val="fr-CA"/>
              </w:rPr>
              <w:t>Nafie</w:t>
            </w:r>
            <w:proofErr w:type="spellEnd"/>
            <w:r w:rsidRPr="007F2DB8">
              <w:rPr>
                <w:sz w:val="20"/>
                <w:lang w:val="fr-CA"/>
              </w:rPr>
              <w:t xml:space="preserve"> a obtenu plusieurs ordonnances provisoires dans sa procédure, lui accordant notamment la garde, une pension alimentaire pour enfants et la possession exclusive du foyer matrimonial et un véhicule. Monsieur </w:t>
            </w:r>
            <w:proofErr w:type="spellStart"/>
            <w:r w:rsidRPr="007F2DB8">
              <w:rPr>
                <w:sz w:val="20"/>
                <w:lang w:val="fr-CA"/>
              </w:rPr>
              <w:t>Badawy</w:t>
            </w:r>
            <w:proofErr w:type="spellEnd"/>
            <w:r w:rsidRPr="007F2DB8">
              <w:rPr>
                <w:sz w:val="20"/>
                <w:lang w:val="fr-CA"/>
              </w:rPr>
              <w:t xml:space="preserve"> a interjeté appel des ordonnances provisoires, contestant la validité de l’action en divorce sous-jacente, alléguant que Mme </w:t>
            </w:r>
            <w:proofErr w:type="spellStart"/>
            <w:r w:rsidRPr="007F2DB8">
              <w:rPr>
                <w:sz w:val="20"/>
                <w:lang w:val="fr-CA"/>
              </w:rPr>
              <w:t>Nafie</w:t>
            </w:r>
            <w:proofErr w:type="spellEnd"/>
            <w:r w:rsidRPr="007F2DB8">
              <w:rPr>
                <w:sz w:val="20"/>
                <w:lang w:val="fr-CA"/>
              </w:rPr>
              <w:t xml:space="preserve"> n’avait pas rempli les critères de résidence au moment du dépôt de son action. Il a également contesté la constitutionnalité du processus de règlement judiciaire des différends auquel les parties avaient participé.</w:t>
            </w:r>
          </w:p>
          <w:p w:rsidR="00A2199E" w:rsidRPr="00E007CB" w:rsidRDefault="00A2199E" w:rsidP="00CD41B1">
            <w:pPr>
              <w:jc w:val="both"/>
              <w:rPr>
                <w:sz w:val="20"/>
                <w:lang w:val="fr-CA"/>
              </w:rPr>
            </w:pPr>
          </w:p>
        </w:tc>
      </w:tr>
      <w:tr w:rsidR="00A2199E" w:rsidRPr="003F186C" w:rsidTr="00CD41B1">
        <w:trPr>
          <w:cantSplit/>
        </w:trPr>
        <w:tc>
          <w:tcPr>
            <w:tcW w:w="2427" w:type="pct"/>
          </w:tcPr>
          <w:p w:rsidR="00A2199E" w:rsidRPr="007F2DB8" w:rsidRDefault="00A2199E" w:rsidP="00A2199E">
            <w:pPr>
              <w:jc w:val="both"/>
              <w:rPr>
                <w:sz w:val="20"/>
                <w:lang w:val="fr-CA"/>
              </w:rPr>
            </w:pPr>
            <w:r w:rsidRPr="007F2DB8">
              <w:rPr>
                <w:sz w:val="20"/>
                <w:lang w:val="fr-CA"/>
              </w:rPr>
              <w:t>2 mai 2014</w:t>
            </w:r>
          </w:p>
          <w:p w:rsidR="00A2199E" w:rsidRPr="007F2DB8" w:rsidRDefault="00A2199E" w:rsidP="00A2199E">
            <w:pPr>
              <w:jc w:val="both"/>
              <w:rPr>
                <w:sz w:val="20"/>
                <w:lang w:val="fr-CA"/>
              </w:rPr>
            </w:pPr>
            <w:r w:rsidRPr="007F2DB8">
              <w:rPr>
                <w:sz w:val="20"/>
                <w:lang w:val="fr-CA"/>
              </w:rPr>
              <w:t>Cour du Banc de la Reine de l’Alberta</w:t>
            </w:r>
          </w:p>
          <w:p w:rsidR="00A2199E" w:rsidRPr="007F2DB8" w:rsidRDefault="00A2199E" w:rsidP="00A2199E">
            <w:pPr>
              <w:jc w:val="both"/>
              <w:rPr>
                <w:sz w:val="20"/>
                <w:lang w:val="fr-CA"/>
              </w:rPr>
            </w:pPr>
            <w:r w:rsidRPr="007F2DB8">
              <w:rPr>
                <w:sz w:val="20"/>
                <w:lang w:val="fr-CA"/>
              </w:rPr>
              <w:t>(Juge Hall)</w:t>
            </w:r>
          </w:p>
          <w:p w:rsidR="00A2199E" w:rsidRPr="007F2DB8" w:rsidRDefault="00A2199E" w:rsidP="00A2199E">
            <w:pPr>
              <w:jc w:val="both"/>
              <w:rPr>
                <w:sz w:val="20"/>
                <w:lang w:val="fr-CA"/>
              </w:rPr>
            </w:pPr>
            <w:r w:rsidRPr="007F2DB8">
              <w:rPr>
                <w:sz w:val="20"/>
                <w:lang w:val="fr-CA"/>
              </w:rPr>
              <w:t>2014 ABQB 262</w:t>
            </w:r>
          </w:p>
          <w:p w:rsidR="00A2199E" w:rsidRPr="00E007CB" w:rsidRDefault="00A2199E" w:rsidP="00CD41B1">
            <w:pPr>
              <w:jc w:val="both"/>
              <w:rPr>
                <w:rFonts w:eastAsia="Calibri"/>
                <w:sz w:val="20"/>
                <w:lang w:val="fr-CA"/>
              </w:rPr>
            </w:pPr>
          </w:p>
        </w:tc>
        <w:tc>
          <w:tcPr>
            <w:tcW w:w="243" w:type="pct"/>
          </w:tcPr>
          <w:p w:rsidR="00A2199E" w:rsidRPr="00E007CB" w:rsidRDefault="00A2199E" w:rsidP="00CD41B1">
            <w:pPr>
              <w:jc w:val="both"/>
              <w:rPr>
                <w:rFonts w:eastAsia="Calibri"/>
                <w:sz w:val="20"/>
                <w:lang w:val="fr-CA"/>
              </w:rPr>
            </w:pPr>
          </w:p>
        </w:tc>
        <w:tc>
          <w:tcPr>
            <w:tcW w:w="2330" w:type="pct"/>
          </w:tcPr>
          <w:p w:rsidR="00A2199E" w:rsidRPr="007F2DB8" w:rsidRDefault="00A2199E" w:rsidP="00A2199E">
            <w:pPr>
              <w:jc w:val="both"/>
              <w:rPr>
                <w:sz w:val="20"/>
                <w:lang w:val="fr-CA"/>
              </w:rPr>
            </w:pPr>
            <w:r w:rsidRPr="007F2DB8">
              <w:rPr>
                <w:sz w:val="20"/>
                <w:lang w:val="fr-CA"/>
              </w:rPr>
              <w:t>Ordonnance portant que le mariage était valide et que les tribunaux de l’Alberta avaient compétence à l’égard de l’instance de divorce des parties</w:t>
            </w:r>
          </w:p>
          <w:p w:rsidR="00A2199E" w:rsidRPr="00E007CB" w:rsidRDefault="00A2199E" w:rsidP="00CD41B1">
            <w:pPr>
              <w:jc w:val="both"/>
              <w:rPr>
                <w:rFonts w:eastAsia="Calibri"/>
                <w:sz w:val="20"/>
                <w:lang w:val="fr-CA"/>
              </w:rPr>
            </w:pPr>
          </w:p>
        </w:tc>
      </w:tr>
      <w:tr w:rsidR="00A2199E" w:rsidRPr="003F186C" w:rsidTr="00CD41B1">
        <w:trPr>
          <w:cantSplit/>
        </w:trPr>
        <w:tc>
          <w:tcPr>
            <w:tcW w:w="2427" w:type="pct"/>
          </w:tcPr>
          <w:p w:rsidR="00A2199E" w:rsidRPr="007F2DB8" w:rsidRDefault="00A2199E" w:rsidP="00A2199E">
            <w:pPr>
              <w:jc w:val="both"/>
              <w:rPr>
                <w:sz w:val="20"/>
                <w:lang w:val="fr-CA"/>
              </w:rPr>
            </w:pPr>
            <w:r w:rsidRPr="007F2DB8">
              <w:rPr>
                <w:sz w:val="20"/>
                <w:lang w:val="fr-CA"/>
              </w:rPr>
              <w:t>27 janvier 2015</w:t>
            </w:r>
          </w:p>
          <w:p w:rsidR="00A2199E" w:rsidRPr="007F2DB8" w:rsidRDefault="00A2199E" w:rsidP="00A2199E">
            <w:pPr>
              <w:jc w:val="both"/>
              <w:rPr>
                <w:sz w:val="20"/>
                <w:lang w:val="fr-CA"/>
              </w:rPr>
            </w:pPr>
            <w:r w:rsidRPr="007F2DB8">
              <w:rPr>
                <w:sz w:val="20"/>
                <w:lang w:val="fr-CA"/>
              </w:rPr>
              <w:t>Cour d’appel de l’Alberta (Calgary)</w:t>
            </w:r>
          </w:p>
          <w:p w:rsidR="00A2199E" w:rsidRPr="007F2DB8" w:rsidRDefault="00A2199E" w:rsidP="00A2199E">
            <w:pPr>
              <w:jc w:val="both"/>
              <w:rPr>
                <w:sz w:val="20"/>
                <w:lang w:val="fr-CA"/>
              </w:rPr>
            </w:pPr>
            <w:r w:rsidRPr="007F2DB8">
              <w:rPr>
                <w:sz w:val="20"/>
                <w:lang w:val="fr-CA"/>
              </w:rPr>
              <w:t xml:space="preserve">(Juges </w:t>
            </w:r>
            <w:proofErr w:type="spellStart"/>
            <w:r w:rsidRPr="007F2DB8">
              <w:rPr>
                <w:sz w:val="20"/>
                <w:lang w:val="fr-CA"/>
              </w:rPr>
              <w:t>Rowbotham</w:t>
            </w:r>
            <w:proofErr w:type="spellEnd"/>
            <w:r w:rsidRPr="007F2DB8">
              <w:rPr>
                <w:sz w:val="20"/>
                <w:lang w:val="fr-CA"/>
              </w:rPr>
              <w:t xml:space="preserve">, </w:t>
            </w:r>
            <w:proofErr w:type="spellStart"/>
            <w:r w:rsidRPr="007F2DB8">
              <w:rPr>
                <w:sz w:val="20"/>
                <w:lang w:val="fr-CA"/>
              </w:rPr>
              <w:t>O'Ferrall</w:t>
            </w:r>
            <w:proofErr w:type="spellEnd"/>
            <w:r w:rsidRPr="007F2DB8">
              <w:rPr>
                <w:sz w:val="20"/>
                <w:lang w:val="fr-CA"/>
              </w:rPr>
              <w:t xml:space="preserve"> [dissident en partie] et Veldhuis)</w:t>
            </w:r>
          </w:p>
          <w:p w:rsidR="00A2199E" w:rsidRPr="00E007CB" w:rsidRDefault="00A2199E" w:rsidP="00CD41B1">
            <w:pPr>
              <w:jc w:val="both"/>
              <w:rPr>
                <w:rFonts w:eastAsia="Calibri"/>
                <w:sz w:val="20"/>
                <w:lang w:val="fr-CA"/>
              </w:rPr>
            </w:pPr>
          </w:p>
        </w:tc>
        <w:tc>
          <w:tcPr>
            <w:tcW w:w="243" w:type="pct"/>
          </w:tcPr>
          <w:p w:rsidR="00A2199E" w:rsidRPr="00E007CB" w:rsidRDefault="00A2199E" w:rsidP="00CD41B1">
            <w:pPr>
              <w:jc w:val="both"/>
              <w:rPr>
                <w:rFonts w:eastAsia="Calibri"/>
                <w:sz w:val="20"/>
                <w:lang w:val="fr-CA"/>
              </w:rPr>
            </w:pPr>
          </w:p>
        </w:tc>
        <w:tc>
          <w:tcPr>
            <w:tcW w:w="2330" w:type="pct"/>
          </w:tcPr>
          <w:p w:rsidR="00A2199E" w:rsidRPr="007F2DB8" w:rsidRDefault="00A2199E" w:rsidP="00A2199E">
            <w:pPr>
              <w:jc w:val="both"/>
              <w:rPr>
                <w:i/>
                <w:sz w:val="20"/>
                <w:lang w:val="fr-CA"/>
              </w:rPr>
            </w:pPr>
            <w:r w:rsidRPr="007F2DB8">
              <w:rPr>
                <w:sz w:val="20"/>
                <w:lang w:val="fr-CA"/>
              </w:rPr>
              <w:t xml:space="preserve">Ordonnance portant que les tribunaux de l’Alberta n’avaient pas compétence à l’égard de l’instance de divorce, mais maintenant certaines ordonnances provisoires </w:t>
            </w:r>
            <w:r w:rsidRPr="007F2DB8">
              <w:rPr>
                <w:i/>
                <w:sz w:val="20"/>
                <w:lang w:val="fr-CA"/>
              </w:rPr>
              <w:t xml:space="preserve">nunc pro </w:t>
            </w:r>
            <w:proofErr w:type="spellStart"/>
            <w:r w:rsidRPr="007F2DB8">
              <w:rPr>
                <w:i/>
                <w:sz w:val="20"/>
                <w:lang w:val="fr-CA"/>
              </w:rPr>
              <w:t>tunc</w:t>
            </w:r>
            <w:proofErr w:type="spellEnd"/>
          </w:p>
          <w:p w:rsidR="00A2199E" w:rsidRPr="00E007CB" w:rsidRDefault="00A2199E" w:rsidP="00CD41B1">
            <w:pPr>
              <w:jc w:val="both"/>
              <w:rPr>
                <w:rFonts w:eastAsia="Calibri"/>
                <w:sz w:val="20"/>
                <w:lang w:val="fr-CA"/>
              </w:rPr>
            </w:pPr>
          </w:p>
        </w:tc>
      </w:tr>
      <w:tr w:rsidR="00A2199E" w:rsidRPr="003F186C" w:rsidTr="00CD41B1">
        <w:trPr>
          <w:cantSplit/>
        </w:trPr>
        <w:tc>
          <w:tcPr>
            <w:tcW w:w="2427" w:type="pct"/>
          </w:tcPr>
          <w:p w:rsidR="00A2199E" w:rsidRPr="007F2DB8" w:rsidRDefault="00A2199E" w:rsidP="00A2199E">
            <w:pPr>
              <w:jc w:val="both"/>
              <w:rPr>
                <w:sz w:val="20"/>
                <w:lang w:val="fr-CA"/>
              </w:rPr>
            </w:pPr>
            <w:r w:rsidRPr="007F2DB8">
              <w:rPr>
                <w:sz w:val="20"/>
                <w:lang w:val="fr-CA"/>
              </w:rPr>
              <w:t>30 mars 2015</w:t>
            </w:r>
          </w:p>
          <w:p w:rsidR="00A2199E" w:rsidRPr="007F2DB8" w:rsidRDefault="00A2199E" w:rsidP="00A2199E">
            <w:pPr>
              <w:jc w:val="both"/>
              <w:rPr>
                <w:sz w:val="20"/>
                <w:lang w:val="fr-CA"/>
              </w:rPr>
            </w:pPr>
            <w:r w:rsidRPr="007F2DB8">
              <w:rPr>
                <w:sz w:val="20"/>
                <w:lang w:val="fr-CA"/>
              </w:rPr>
              <w:t>Cour suprême du Canada</w:t>
            </w:r>
          </w:p>
          <w:p w:rsidR="00A2199E" w:rsidRPr="00E007CB" w:rsidRDefault="00A2199E" w:rsidP="00CD41B1">
            <w:pPr>
              <w:tabs>
                <w:tab w:val="left" w:pos="1522"/>
              </w:tabs>
              <w:jc w:val="both"/>
              <w:rPr>
                <w:rFonts w:eastAsia="Calibri"/>
                <w:sz w:val="20"/>
                <w:lang w:val="fr-CA"/>
              </w:rPr>
            </w:pPr>
          </w:p>
        </w:tc>
        <w:tc>
          <w:tcPr>
            <w:tcW w:w="243" w:type="pct"/>
          </w:tcPr>
          <w:p w:rsidR="00A2199E" w:rsidRPr="00E007CB" w:rsidRDefault="00A2199E" w:rsidP="00CD41B1">
            <w:pPr>
              <w:jc w:val="both"/>
              <w:rPr>
                <w:rFonts w:eastAsia="Calibri"/>
                <w:sz w:val="20"/>
                <w:lang w:val="fr-CA"/>
              </w:rPr>
            </w:pPr>
          </w:p>
        </w:tc>
        <w:tc>
          <w:tcPr>
            <w:tcW w:w="2330" w:type="pct"/>
          </w:tcPr>
          <w:p w:rsidR="00A2199E" w:rsidRPr="007F2DB8" w:rsidRDefault="00A2199E" w:rsidP="00A2199E">
            <w:pPr>
              <w:jc w:val="both"/>
              <w:rPr>
                <w:sz w:val="20"/>
                <w:lang w:val="fr-CA"/>
              </w:rPr>
            </w:pPr>
            <w:r w:rsidRPr="007F2DB8">
              <w:rPr>
                <w:sz w:val="20"/>
                <w:lang w:val="fr-CA"/>
              </w:rPr>
              <w:t>Dépôt de la première demande d’autorisation d’appel</w:t>
            </w:r>
          </w:p>
          <w:p w:rsidR="00A2199E" w:rsidRPr="00E007CB" w:rsidRDefault="00A2199E" w:rsidP="00CD41B1">
            <w:pPr>
              <w:jc w:val="both"/>
              <w:rPr>
                <w:rFonts w:eastAsia="Calibri"/>
                <w:sz w:val="20"/>
                <w:lang w:val="fr-CA"/>
              </w:rPr>
            </w:pPr>
          </w:p>
        </w:tc>
      </w:tr>
      <w:tr w:rsidR="00A2199E" w:rsidRPr="003F186C" w:rsidTr="00CD41B1">
        <w:trPr>
          <w:cantSplit/>
        </w:trPr>
        <w:tc>
          <w:tcPr>
            <w:tcW w:w="2427" w:type="pct"/>
          </w:tcPr>
          <w:p w:rsidR="00A2199E" w:rsidRPr="00E007CB" w:rsidRDefault="00A2199E" w:rsidP="00CD41B1">
            <w:pPr>
              <w:jc w:val="both"/>
              <w:rPr>
                <w:rFonts w:eastAsia="Calibri"/>
                <w:sz w:val="20"/>
                <w:lang w:val="fr-CA"/>
              </w:rPr>
            </w:pPr>
            <w:r>
              <w:rPr>
                <w:rFonts w:eastAsia="Calibri"/>
                <w:sz w:val="20"/>
                <w:lang w:val="fr-CA"/>
              </w:rPr>
              <w:t>12 juin</w:t>
            </w:r>
            <w:r w:rsidRPr="00E007CB">
              <w:rPr>
                <w:rFonts w:eastAsia="Calibri"/>
                <w:sz w:val="20"/>
                <w:lang w:val="fr-CA"/>
              </w:rPr>
              <w:t xml:space="preserve"> 201</w:t>
            </w:r>
            <w:r>
              <w:rPr>
                <w:rFonts w:eastAsia="Calibri"/>
                <w:sz w:val="20"/>
                <w:lang w:val="fr-CA"/>
              </w:rPr>
              <w:t>5</w:t>
            </w:r>
          </w:p>
          <w:p w:rsidR="00A2199E" w:rsidRPr="00E007CB" w:rsidRDefault="00A2199E" w:rsidP="00CD41B1">
            <w:pPr>
              <w:jc w:val="both"/>
              <w:rPr>
                <w:rFonts w:eastAsia="Calibri"/>
                <w:sz w:val="20"/>
                <w:lang w:val="fr-CA"/>
              </w:rPr>
            </w:pPr>
            <w:r w:rsidRPr="00E007CB">
              <w:rPr>
                <w:rFonts w:eastAsia="Calibri"/>
                <w:sz w:val="20"/>
                <w:lang w:val="fr-CA"/>
              </w:rPr>
              <w:t>Cour suprême du Canada</w:t>
            </w:r>
          </w:p>
        </w:tc>
        <w:tc>
          <w:tcPr>
            <w:tcW w:w="243" w:type="pct"/>
          </w:tcPr>
          <w:p w:rsidR="00A2199E" w:rsidRPr="00E007CB" w:rsidRDefault="00A2199E" w:rsidP="00CD41B1">
            <w:pPr>
              <w:jc w:val="both"/>
              <w:rPr>
                <w:rFonts w:eastAsia="Calibri"/>
                <w:sz w:val="20"/>
                <w:lang w:val="fr-CA"/>
              </w:rPr>
            </w:pPr>
          </w:p>
        </w:tc>
        <w:tc>
          <w:tcPr>
            <w:tcW w:w="2330" w:type="pct"/>
          </w:tcPr>
          <w:p w:rsidR="00A2199E" w:rsidRPr="007F2DB8" w:rsidRDefault="00A2199E" w:rsidP="00A2199E">
            <w:pPr>
              <w:jc w:val="both"/>
              <w:rPr>
                <w:sz w:val="20"/>
                <w:lang w:val="fr-CA"/>
              </w:rPr>
            </w:pPr>
            <w:r w:rsidRPr="007F2DB8">
              <w:rPr>
                <w:sz w:val="20"/>
                <w:lang w:val="fr-CA"/>
              </w:rPr>
              <w:t>Dépôt de la deuxième demande d’autorisation d’appel</w:t>
            </w:r>
          </w:p>
          <w:p w:rsidR="00A2199E" w:rsidRPr="007F2DB8" w:rsidRDefault="00A2199E" w:rsidP="00CD41B1">
            <w:pPr>
              <w:jc w:val="both"/>
              <w:rPr>
                <w:sz w:val="20"/>
                <w:lang w:val="fr-CA"/>
              </w:rPr>
            </w:pPr>
          </w:p>
        </w:tc>
      </w:tr>
    </w:tbl>
    <w:p w:rsidR="00A2199E" w:rsidRPr="003F186C" w:rsidRDefault="00A2199E" w:rsidP="00A2199E">
      <w:pPr>
        <w:rPr>
          <w:sz w:val="20"/>
          <w:szCs w:val="20"/>
          <w:lang w:val="fr-CA"/>
        </w:rPr>
      </w:pPr>
    </w:p>
    <w:p w:rsidR="00A2199E" w:rsidRDefault="00C232E1" w:rsidP="00A2199E">
      <w:pPr>
        <w:rPr>
          <w:sz w:val="20"/>
          <w:szCs w:val="20"/>
        </w:rPr>
      </w:pPr>
      <w:r>
        <w:rPr>
          <w:sz w:val="20"/>
          <w:szCs w:val="20"/>
          <w:lang w:val="fr-CA"/>
        </w:rPr>
        <w:pict>
          <v:rect id="_x0000_i1053" style="width:2in;height:1pt" o:hrpct="0" o:hralign="center" o:hrstd="t" o:hrnoshade="t" o:hr="t" fillcolor="black [3213]" stroked="f"/>
        </w:pict>
      </w:r>
    </w:p>
    <w:p w:rsidR="00A2199E" w:rsidRDefault="00A2199E" w:rsidP="00A2199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803F9" w:rsidRPr="00A73D2C" w:rsidTr="00CD41B1">
        <w:trPr>
          <w:cantSplit/>
        </w:trPr>
        <w:tc>
          <w:tcPr>
            <w:tcW w:w="1458" w:type="dxa"/>
          </w:tcPr>
          <w:p w:rsidR="003803F9" w:rsidRPr="00A73D2C" w:rsidRDefault="003803F9" w:rsidP="00CD41B1">
            <w:pPr>
              <w:rPr>
                <w:sz w:val="20"/>
                <w:szCs w:val="20"/>
              </w:rPr>
            </w:pPr>
            <w:r w:rsidRPr="00A73D2C">
              <w:rPr>
                <w:rStyle w:val="SCCFileNumberChar"/>
                <w:sz w:val="20"/>
                <w:szCs w:val="20"/>
              </w:rPr>
              <w:t>3</w:t>
            </w:r>
            <w:r>
              <w:rPr>
                <w:rStyle w:val="SCCFileNumberChar"/>
                <w:sz w:val="20"/>
                <w:szCs w:val="20"/>
              </w:rPr>
              <w:t>6456</w:t>
            </w:r>
          </w:p>
          <w:p w:rsidR="003803F9" w:rsidRPr="00A73D2C" w:rsidRDefault="003803F9" w:rsidP="00CD41B1">
            <w:pPr>
              <w:rPr>
                <w:b/>
                <w:sz w:val="20"/>
                <w:szCs w:val="20"/>
                <w:lang w:val="fr-CA"/>
              </w:rPr>
            </w:pPr>
          </w:p>
        </w:tc>
        <w:tc>
          <w:tcPr>
            <w:tcW w:w="8118" w:type="dxa"/>
          </w:tcPr>
          <w:p w:rsidR="003803F9" w:rsidRPr="00A73D2C" w:rsidRDefault="003803F9" w:rsidP="00CD41B1">
            <w:pPr>
              <w:rPr>
                <w:sz w:val="20"/>
                <w:szCs w:val="20"/>
              </w:rPr>
            </w:pPr>
            <w:r w:rsidRPr="003803F9">
              <w:rPr>
                <w:rStyle w:val="SCCLsocChar"/>
                <w:sz w:val="20"/>
                <w:szCs w:val="20"/>
                <w:lang w:val="en-CA"/>
              </w:rPr>
              <w:t xml:space="preserve">Dianna Louise Parsons, Michael Herbert </w:t>
            </w:r>
            <w:proofErr w:type="spellStart"/>
            <w:r w:rsidRPr="003803F9">
              <w:rPr>
                <w:rStyle w:val="SCCLsocChar"/>
                <w:sz w:val="20"/>
                <w:szCs w:val="20"/>
                <w:lang w:val="en-CA"/>
              </w:rPr>
              <w:t>Cruickshanks</w:t>
            </w:r>
            <w:proofErr w:type="spellEnd"/>
            <w:r w:rsidRPr="003803F9">
              <w:rPr>
                <w:rStyle w:val="SCCLsocChar"/>
                <w:sz w:val="20"/>
                <w:szCs w:val="20"/>
                <w:lang w:val="en-CA"/>
              </w:rPr>
              <w:t xml:space="preserve">, David </w:t>
            </w:r>
            <w:proofErr w:type="spellStart"/>
            <w:r w:rsidRPr="003803F9">
              <w:rPr>
                <w:rStyle w:val="SCCLsocChar"/>
                <w:sz w:val="20"/>
                <w:szCs w:val="20"/>
                <w:lang w:val="en-CA"/>
              </w:rPr>
              <w:t>Tull</w:t>
            </w:r>
            <w:proofErr w:type="spellEnd"/>
            <w:r w:rsidRPr="003803F9">
              <w:rPr>
                <w:rStyle w:val="SCCLsocChar"/>
                <w:sz w:val="20"/>
                <w:szCs w:val="20"/>
                <w:lang w:val="en-CA"/>
              </w:rPr>
              <w:t xml:space="preserve">, Martin Henry </w:t>
            </w:r>
            <w:proofErr w:type="spellStart"/>
            <w:r w:rsidRPr="003803F9">
              <w:rPr>
                <w:rStyle w:val="SCCLsocChar"/>
                <w:sz w:val="20"/>
                <w:szCs w:val="20"/>
                <w:lang w:val="en-CA"/>
              </w:rPr>
              <w:t>Griffen</w:t>
            </w:r>
            <w:proofErr w:type="spellEnd"/>
            <w:r w:rsidRPr="003803F9">
              <w:rPr>
                <w:rStyle w:val="SCCLsocChar"/>
                <w:sz w:val="20"/>
                <w:szCs w:val="20"/>
                <w:lang w:val="en-CA"/>
              </w:rPr>
              <w:t xml:space="preserve">, Anna </w:t>
            </w:r>
            <w:proofErr w:type="spellStart"/>
            <w:r w:rsidRPr="003803F9">
              <w:rPr>
                <w:rStyle w:val="SCCLsocChar"/>
                <w:sz w:val="20"/>
                <w:szCs w:val="20"/>
                <w:lang w:val="en-CA"/>
              </w:rPr>
              <w:t>Kardish</w:t>
            </w:r>
            <w:proofErr w:type="spellEnd"/>
            <w:r w:rsidRPr="003803F9">
              <w:rPr>
                <w:rStyle w:val="SCCLsocChar"/>
                <w:sz w:val="20"/>
                <w:szCs w:val="20"/>
                <w:lang w:val="en-CA"/>
              </w:rPr>
              <w:t xml:space="preserve">, Elsie </w:t>
            </w:r>
            <w:proofErr w:type="spellStart"/>
            <w:r w:rsidRPr="003803F9">
              <w:rPr>
                <w:rStyle w:val="SCCLsocChar"/>
                <w:sz w:val="20"/>
                <w:szCs w:val="20"/>
                <w:lang w:val="en-CA"/>
              </w:rPr>
              <w:t>Kotyk</w:t>
            </w:r>
            <w:proofErr w:type="spellEnd"/>
            <w:r w:rsidRPr="003803F9">
              <w:rPr>
                <w:rStyle w:val="SCCLsocChar"/>
                <w:sz w:val="20"/>
                <w:szCs w:val="20"/>
                <w:lang w:val="en-CA"/>
              </w:rPr>
              <w:t xml:space="preserve">, Executrix of the Estate of Harry </w:t>
            </w:r>
            <w:proofErr w:type="spellStart"/>
            <w:r w:rsidRPr="003803F9">
              <w:rPr>
                <w:rStyle w:val="SCCLsocChar"/>
                <w:sz w:val="20"/>
                <w:szCs w:val="20"/>
                <w:lang w:val="en-CA"/>
              </w:rPr>
              <w:t>Kotyk</w:t>
            </w:r>
            <w:proofErr w:type="spellEnd"/>
            <w:r w:rsidRPr="003803F9">
              <w:rPr>
                <w:rStyle w:val="SCCLsocChar"/>
                <w:sz w:val="20"/>
                <w:szCs w:val="20"/>
                <w:lang w:val="en-CA"/>
              </w:rPr>
              <w:t xml:space="preserve">, deceased and Elsie </w:t>
            </w:r>
            <w:proofErr w:type="spellStart"/>
            <w:r w:rsidRPr="003803F9">
              <w:rPr>
                <w:rStyle w:val="SCCLsocChar"/>
                <w:sz w:val="20"/>
                <w:szCs w:val="20"/>
                <w:lang w:val="en-CA"/>
              </w:rPr>
              <w:t>Kotyk</w:t>
            </w:r>
            <w:proofErr w:type="spellEnd"/>
            <w:r w:rsidRPr="003803F9">
              <w:rPr>
                <w:rStyle w:val="SCCLsocChar"/>
                <w:sz w:val="20"/>
                <w:szCs w:val="20"/>
                <w:lang w:val="en-CA"/>
              </w:rPr>
              <w:t xml:space="preserve">, personally v. Her Majesty the Queen in Right of </w:t>
            </w:r>
            <w:r w:rsidRPr="005F5194">
              <w:rPr>
                <w:rStyle w:val="SCCLsocChar"/>
                <w:sz w:val="20"/>
                <w:szCs w:val="20"/>
                <w:lang w:val="en-CA"/>
              </w:rPr>
              <w:t>Ontario</w:t>
            </w:r>
            <w:r w:rsidR="005F5194">
              <w:rPr>
                <w:rStyle w:val="SCCLsocChar"/>
                <w:sz w:val="20"/>
                <w:szCs w:val="20"/>
                <w:lang w:val="en-CA"/>
              </w:rPr>
              <w:t>,</w:t>
            </w:r>
            <w:r w:rsidRPr="005F5194">
              <w:rPr>
                <w:rStyle w:val="SCCLsocChar"/>
                <w:sz w:val="20"/>
                <w:szCs w:val="20"/>
                <w:lang w:val="en-CA"/>
              </w:rPr>
              <w:t xml:space="preserve"> Attorney</w:t>
            </w:r>
            <w:r w:rsidRPr="003803F9">
              <w:rPr>
                <w:rStyle w:val="SCCLsocChar"/>
                <w:sz w:val="20"/>
                <w:szCs w:val="20"/>
                <w:lang w:val="en-CA"/>
              </w:rPr>
              <w:t xml:space="preserve"> General of Canada</w:t>
            </w:r>
            <w:r w:rsidR="005F5194">
              <w:rPr>
                <w:rStyle w:val="SCCLsocChar"/>
                <w:sz w:val="20"/>
                <w:szCs w:val="20"/>
                <w:lang w:val="en-CA"/>
              </w:rPr>
              <w:t xml:space="preserve"> and Canadian Red Cross Society</w:t>
            </w:r>
            <w:r w:rsidRPr="00A73D2C">
              <w:rPr>
                <w:sz w:val="20"/>
                <w:szCs w:val="20"/>
              </w:rPr>
              <w:t xml:space="preserve"> (</w:t>
            </w:r>
            <w:r>
              <w:rPr>
                <w:sz w:val="20"/>
                <w:szCs w:val="20"/>
              </w:rPr>
              <w:t>Ont.</w:t>
            </w:r>
            <w:r w:rsidRPr="00A73D2C">
              <w:rPr>
                <w:sz w:val="20"/>
                <w:szCs w:val="20"/>
              </w:rPr>
              <w:t>) (Civil) (By Leave)</w:t>
            </w:r>
          </w:p>
          <w:p w:rsidR="003803F9" w:rsidRPr="00A73D2C" w:rsidRDefault="003803F9" w:rsidP="00CD41B1">
            <w:pPr>
              <w:rPr>
                <w:sz w:val="20"/>
                <w:szCs w:val="20"/>
              </w:rPr>
            </w:pPr>
          </w:p>
        </w:tc>
      </w:tr>
      <w:tr w:rsidR="003803F9" w:rsidRPr="00A73D2C" w:rsidTr="00CD41B1">
        <w:trPr>
          <w:cantSplit/>
        </w:trPr>
        <w:tc>
          <w:tcPr>
            <w:tcW w:w="1458" w:type="dxa"/>
          </w:tcPr>
          <w:p w:rsidR="003803F9" w:rsidRPr="00A73D2C" w:rsidRDefault="003803F9" w:rsidP="00CD41B1">
            <w:pPr>
              <w:rPr>
                <w:sz w:val="20"/>
                <w:szCs w:val="20"/>
              </w:rPr>
            </w:pPr>
            <w:r w:rsidRPr="00A73D2C">
              <w:rPr>
                <w:sz w:val="20"/>
                <w:szCs w:val="20"/>
              </w:rPr>
              <w:t>Coram :</w:t>
            </w:r>
          </w:p>
        </w:tc>
        <w:tc>
          <w:tcPr>
            <w:tcW w:w="8118" w:type="dxa"/>
          </w:tcPr>
          <w:p w:rsidR="003803F9" w:rsidRDefault="008446EC" w:rsidP="00CD41B1">
            <w:pPr>
              <w:rPr>
                <w:rStyle w:val="SCCCoramChar"/>
                <w:sz w:val="20"/>
                <w:szCs w:val="20"/>
                <w:lang w:val="en-CA"/>
              </w:rPr>
            </w:pPr>
            <w:r w:rsidRPr="008446EC">
              <w:rPr>
                <w:rStyle w:val="SCCCoramChar"/>
                <w:sz w:val="20"/>
                <w:szCs w:val="20"/>
                <w:lang w:val="en-CA"/>
              </w:rPr>
              <w:t>McLachlin C.J. and Moldaver and Gascon JJ.</w:t>
            </w:r>
          </w:p>
          <w:p w:rsidR="008446EC" w:rsidRPr="00A73D2C" w:rsidRDefault="008446EC" w:rsidP="00CD41B1">
            <w:pPr>
              <w:rPr>
                <w:sz w:val="20"/>
                <w:szCs w:val="20"/>
                <w:u w:val="single"/>
              </w:rPr>
            </w:pPr>
          </w:p>
        </w:tc>
      </w:tr>
      <w:tr w:rsidR="003803F9" w:rsidRPr="003F186C" w:rsidTr="00CD41B1">
        <w:trPr>
          <w:cantSplit/>
        </w:trPr>
        <w:tc>
          <w:tcPr>
            <w:tcW w:w="9576" w:type="dxa"/>
            <w:gridSpan w:val="2"/>
          </w:tcPr>
          <w:p w:rsidR="008446EC" w:rsidRDefault="008446EC" w:rsidP="008446EC">
            <w:pPr>
              <w:pStyle w:val="SCCShortJudgment"/>
            </w:pPr>
            <w:r>
              <w:lastRenderedPageBreak/>
              <w:t>The motion for extension of time to serve and file the application for leave to appeal is granted.  The applications for leave to appeal and to cross-appeal from the judgment of the Court of Appeal for Ontario, Number C57131, 2015 ONCA 158, dated March 13, 2015, are granted without costs.  The appeal and the cross-appeal are to be heard with Anita Endean, as representative plaintiff v. Her Majesty the Queen in Right of the Province of British Columbia, et al. (35843). The parties are invited to file, within fifteen (15) days of the granting of leave, written submissions of not more than ten (10) pages regarding the role and status of Fund Counsel for Ontario, and in particular whether it should be an appellant rather than a respondent.</w:t>
            </w:r>
          </w:p>
          <w:p w:rsidR="008446EC" w:rsidRDefault="008446EC" w:rsidP="008446EC">
            <w:pPr>
              <w:pStyle w:val="SCCShortJudgment"/>
              <w:ind w:firstLine="0"/>
            </w:pPr>
          </w:p>
          <w:p w:rsidR="003803F9" w:rsidRPr="00A73D2C" w:rsidRDefault="008446EC" w:rsidP="008446EC">
            <w:pPr>
              <w:pStyle w:val="SCCShortJudgment"/>
              <w:rPr>
                <w:szCs w:val="20"/>
                <w:lang w:val="fr-CA"/>
              </w:rPr>
            </w:pPr>
            <w:r w:rsidRPr="003F186C">
              <w:rPr>
                <w:lang w:val="fr-CA"/>
              </w:rPr>
              <w:t>La requête en prorogation du délai de signification et de dépôt de la demande d’autorisation d’appel est accueillie. Les demandes d’autorisation d’appel et d’appel incident de l’arrêt de la Cour d’appel de l’Ontario, numéro C57131, 2015 ONCA 158, daté du 13 mars 2015, sont accueillies sans dépens. L’appel et l’appel incident seront entendus avec Anita Endean, en sa qualité de représentante des demandeurs c. Sa Majesté la Reine du chef de la province de la Colombie-Britannique, et al. (35843). Les parties sont invitées à déposer dans les quinze (15) jours de l’autorisation d’appel des observations écrites d’au plus dix (10) pages quant au rôle et statut du Fund Counsel for Ontario, notamment quant à savoir si ce dernier devrait être appelant plutôt qu’intimé.</w:t>
            </w:r>
          </w:p>
        </w:tc>
      </w:tr>
    </w:tbl>
    <w:p w:rsidR="003803F9" w:rsidRPr="0016547E" w:rsidRDefault="003803F9" w:rsidP="003803F9">
      <w:pPr>
        <w:rPr>
          <w:sz w:val="20"/>
          <w:szCs w:val="20"/>
          <w:lang w:val="fr-CA"/>
        </w:rPr>
      </w:pPr>
    </w:p>
    <w:p w:rsidR="003803F9" w:rsidRPr="001B157C" w:rsidRDefault="003803F9" w:rsidP="003803F9">
      <w:pPr>
        <w:rPr>
          <w:sz w:val="20"/>
          <w:szCs w:val="20"/>
          <w:u w:val="single"/>
        </w:rPr>
      </w:pPr>
      <w:r w:rsidRPr="001B157C">
        <w:rPr>
          <w:sz w:val="20"/>
          <w:szCs w:val="20"/>
          <w:u w:val="single"/>
        </w:rPr>
        <w:t>CASE SUMMARY</w:t>
      </w:r>
    </w:p>
    <w:p w:rsidR="003803F9" w:rsidRDefault="003803F9" w:rsidP="003803F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03F9" w:rsidRPr="00E007CB" w:rsidTr="00CD41B1">
        <w:tc>
          <w:tcPr>
            <w:tcW w:w="5000" w:type="pct"/>
            <w:gridSpan w:val="3"/>
          </w:tcPr>
          <w:p w:rsidR="003803F9" w:rsidRDefault="003803F9" w:rsidP="00CD41B1">
            <w:pPr>
              <w:jc w:val="both"/>
              <w:rPr>
                <w:sz w:val="20"/>
              </w:rPr>
            </w:pPr>
            <w:r w:rsidRPr="007F2DB8">
              <w:rPr>
                <w:sz w:val="20"/>
              </w:rPr>
              <w:t>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 inherent jurisdiction of the superior court to control and regulate its own process, within the limits permitted by statute and the Constitution, allows superior court judges to hold hearings outside their home provinces where the efficiency of the administration of justice so requires – If a discretion to sit out-of-province exists, whether it is limited to hearings that proceed on a paper record, or permits viva voce evidence – Whether the open court principle includes a geographic requirement, such that out of province hearings are impermissible in the absence of a video-link to the home province – Whether “inherent jurisdiction” is limited to, and conflated with, the narrow “core jurisdiction” of the s. 96 superior courts – Whether there are any other restrictions, beyond the requirement to have a video-conference link back to Ontario, which should apply to Ontario courts’ ability to hold out-of-province hearings.</w:t>
            </w:r>
          </w:p>
          <w:p w:rsidR="003803F9" w:rsidRPr="00E007CB" w:rsidRDefault="003803F9" w:rsidP="00CD41B1">
            <w:pPr>
              <w:jc w:val="both"/>
              <w:rPr>
                <w:rFonts w:eastAsia="Calibri"/>
                <w:sz w:val="20"/>
              </w:rPr>
            </w:pPr>
          </w:p>
        </w:tc>
      </w:tr>
      <w:tr w:rsidR="003803F9" w:rsidRPr="00E007CB" w:rsidTr="00CD41B1">
        <w:tc>
          <w:tcPr>
            <w:tcW w:w="5000" w:type="pct"/>
            <w:gridSpan w:val="3"/>
          </w:tcPr>
          <w:p w:rsidR="003803F9" w:rsidRPr="007F2DB8" w:rsidRDefault="003803F9" w:rsidP="00CD41B1">
            <w:pPr>
              <w:jc w:val="both"/>
              <w:rPr>
                <w:sz w:val="20"/>
              </w:rPr>
            </w:pPr>
            <w:r w:rsidRPr="007F2DB8">
              <w:rPr>
                <w:sz w:val="20"/>
              </w:rPr>
              <w:t>In the context of a national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w:t>
            </w:r>
          </w:p>
          <w:p w:rsidR="003803F9" w:rsidRPr="00E007CB" w:rsidRDefault="003803F9" w:rsidP="00CD41B1">
            <w:pPr>
              <w:jc w:val="both"/>
              <w:rPr>
                <w:rFonts w:eastAsia="Calibri"/>
                <w:sz w:val="20"/>
              </w:rPr>
            </w:pPr>
          </w:p>
        </w:tc>
      </w:tr>
      <w:tr w:rsidR="003803F9" w:rsidRPr="00E007CB" w:rsidTr="00CD41B1">
        <w:trPr>
          <w:cantSplit/>
        </w:trPr>
        <w:tc>
          <w:tcPr>
            <w:tcW w:w="2427" w:type="pct"/>
          </w:tcPr>
          <w:p w:rsidR="003803F9" w:rsidRPr="007F2DB8" w:rsidRDefault="003803F9" w:rsidP="003803F9">
            <w:pPr>
              <w:jc w:val="both"/>
              <w:rPr>
                <w:sz w:val="20"/>
              </w:rPr>
            </w:pPr>
            <w:r w:rsidRPr="007F2DB8">
              <w:rPr>
                <w:sz w:val="20"/>
              </w:rPr>
              <w:t>May 24, 2013</w:t>
            </w:r>
          </w:p>
          <w:p w:rsidR="003803F9" w:rsidRPr="007F2DB8" w:rsidRDefault="003803F9" w:rsidP="003803F9">
            <w:pPr>
              <w:jc w:val="both"/>
              <w:rPr>
                <w:sz w:val="20"/>
              </w:rPr>
            </w:pPr>
            <w:r w:rsidRPr="007F2DB8">
              <w:rPr>
                <w:sz w:val="20"/>
              </w:rPr>
              <w:t>Ontario Superior Court of Justice</w:t>
            </w:r>
          </w:p>
          <w:p w:rsidR="003803F9" w:rsidRPr="007F2DB8" w:rsidRDefault="003803F9" w:rsidP="003803F9">
            <w:pPr>
              <w:jc w:val="both"/>
              <w:rPr>
                <w:sz w:val="20"/>
              </w:rPr>
            </w:pPr>
            <w:r w:rsidRPr="007F2DB8">
              <w:rPr>
                <w:sz w:val="20"/>
              </w:rPr>
              <w:t>(Winkler C.J.)</w:t>
            </w:r>
          </w:p>
          <w:p w:rsidR="003803F9" w:rsidRPr="007F2DB8" w:rsidRDefault="00C232E1" w:rsidP="003803F9">
            <w:pPr>
              <w:jc w:val="both"/>
              <w:rPr>
                <w:sz w:val="20"/>
              </w:rPr>
            </w:pPr>
            <w:hyperlink r:id="rId34" w:history="1">
              <w:r w:rsidR="003803F9" w:rsidRPr="007F2DB8">
                <w:rPr>
                  <w:rStyle w:val="Hyperlink"/>
                  <w:sz w:val="20"/>
                </w:rPr>
                <w:t>2013 ONSC 3053</w:t>
              </w:r>
            </w:hyperlink>
            <w:r w:rsidR="003803F9" w:rsidRPr="007F2DB8">
              <w:rPr>
                <w:sz w:val="20"/>
              </w:rPr>
              <w:t xml:space="preserve"> </w:t>
            </w:r>
          </w:p>
          <w:p w:rsidR="003803F9" w:rsidRPr="00E007CB" w:rsidRDefault="003803F9" w:rsidP="00CD41B1">
            <w:pPr>
              <w:jc w:val="both"/>
              <w:rPr>
                <w:rFonts w:eastAsia="Calibri"/>
                <w:sz w:val="20"/>
              </w:rPr>
            </w:pPr>
          </w:p>
        </w:tc>
        <w:tc>
          <w:tcPr>
            <w:tcW w:w="243" w:type="pct"/>
          </w:tcPr>
          <w:p w:rsidR="003803F9" w:rsidRPr="00E007CB" w:rsidRDefault="003803F9" w:rsidP="00CD41B1">
            <w:pPr>
              <w:jc w:val="both"/>
              <w:rPr>
                <w:rFonts w:eastAsia="Calibri"/>
                <w:sz w:val="20"/>
              </w:rPr>
            </w:pPr>
          </w:p>
        </w:tc>
        <w:tc>
          <w:tcPr>
            <w:tcW w:w="2330" w:type="pct"/>
          </w:tcPr>
          <w:p w:rsidR="003803F9" w:rsidRPr="007F2DB8" w:rsidRDefault="003803F9" w:rsidP="003803F9">
            <w:pPr>
              <w:jc w:val="both"/>
              <w:rPr>
                <w:sz w:val="20"/>
              </w:rPr>
            </w:pPr>
            <w:r w:rsidRPr="007F2DB8">
              <w:rPr>
                <w:sz w:val="20"/>
              </w:rPr>
              <w:t>Order on application for directions by class action counsel: a judge of the Ontario Superior Court of Justice has the discretion to sit with his or her counterparts in a location in or outside Ontario to hear applications under the 1986-1990 Hepatitis C Settlement Agreement without the necessity of a video-conference link to a courtroom in Ontario, and may conduct the hearing in a location in or outside Ontario alongside the other supervisory judges from British Columbia and Quebec</w:t>
            </w:r>
          </w:p>
          <w:p w:rsidR="003803F9" w:rsidRPr="00E007CB" w:rsidRDefault="003803F9" w:rsidP="00CD41B1">
            <w:pPr>
              <w:jc w:val="both"/>
              <w:rPr>
                <w:rFonts w:eastAsia="Calibri"/>
                <w:sz w:val="20"/>
              </w:rPr>
            </w:pPr>
          </w:p>
        </w:tc>
      </w:tr>
      <w:tr w:rsidR="003803F9" w:rsidRPr="00E007CB" w:rsidTr="00CD41B1">
        <w:trPr>
          <w:cantSplit/>
        </w:trPr>
        <w:tc>
          <w:tcPr>
            <w:tcW w:w="2427" w:type="pct"/>
          </w:tcPr>
          <w:p w:rsidR="003803F9" w:rsidRPr="007F2DB8" w:rsidRDefault="003803F9" w:rsidP="003803F9">
            <w:pPr>
              <w:jc w:val="both"/>
              <w:rPr>
                <w:sz w:val="20"/>
              </w:rPr>
            </w:pPr>
            <w:r w:rsidRPr="007F2DB8">
              <w:rPr>
                <w:sz w:val="20"/>
              </w:rPr>
              <w:lastRenderedPageBreak/>
              <w:t>March 13, 2015</w:t>
            </w:r>
          </w:p>
          <w:p w:rsidR="003803F9" w:rsidRPr="007F2DB8" w:rsidRDefault="003803F9" w:rsidP="003803F9">
            <w:pPr>
              <w:jc w:val="both"/>
              <w:rPr>
                <w:sz w:val="20"/>
              </w:rPr>
            </w:pPr>
            <w:r w:rsidRPr="007F2DB8">
              <w:rPr>
                <w:sz w:val="20"/>
              </w:rPr>
              <w:t>Court of Appeal for Ontario</w:t>
            </w:r>
          </w:p>
          <w:p w:rsidR="003803F9" w:rsidRPr="007F2DB8" w:rsidRDefault="003803F9" w:rsidP="003803F9">
            <w:pPr>
              <w:jc w:val="both"/>
              <w:rPr>
                <w:sz w:val="20"/>
              </w:rPr>
            </w:pPr>
            <w:r w:rsidRPr="007F2DB8">
              <w:rPr>
                <w:sz w:val="20"/>
              </w:rPr>
              <w:t>(</w:t>
            </w:r>
            <w:proofErr w:type="spellStart"/>
            <w:r w:rsidRPr="007F2DB8">
              <w:rPr>
                <w:sz w:val="20"/>
              </w:rPr>
              <w:t>Juriansz</w:t>
            </w:r>
            <w:proofErr w:type="spellEnd"/>
            <w:r w:rsidRPr="007F2DB8">
              <w:rPr>
                <w:sz w:val="20"/>
              </w:rPr>
              <w:t xml:space="preserve">, </w:t>
            </w:r>
            <w:proofErr w:type="spellStart"/>
            <w:r w:rsidRPr="007F2DB8">
              <w:rPr>
                <w:sz w:val="20"/>
              </w:rPr>
              <w:t>LaForme</w:t>
            </w:r>
            <w:proofErr w:type="spellEnd"/>
            <w:r w:rsidRPr="007F2DB8">
              <w:rPr>
                <w:sz w:val="20"/>
              </w:rPr>
              <w:t xml:space="preserve"> and </w:t>
            </w:r>
            <w:proofErr w:type="spellStart"/>
            <w:r w:rsidRPr="007F2DB8">
              <w:rPr>
                <w:sz w:val="20"/>
              </w:rPr>
              <w:t>Lauwers</w:t>
            </w:r>
            <w:proofErr w:type="spellEnd"/>
            <w:r w:rsidRPr="007F2DB8">
              <w:rPr>
                <w:sz w:val="20"/>
              </w:rPr>
              <w:t xml:space="preserve"> JJ.A.)</w:t>
            </w:r>
          </w:p>
          <w:p w:rsidR="003803F9" w:rsidRPr="007F2DB8" w:rsidRDefault="00C232E1" w:rsidP="003803F9">
            <w:pPr>
              <w:jc w:val="both"/>
              <w:rPr>
                <w:sz w:val="20"/>
              </w:rPr>
            </w:pPr>
            <w:hyperlink r:id="rId35" w:history="1">
              <w:r w:rsidR="003803F9" w:rsidRPr="007F2DB8">
                <w:rPr>
                  <w:rStyle w:val="Hyperlink"/>
                  <w:sz w:val="20"/>
                </w:rPr>
                <w:t>2015 ONCA 158</w:t>
              </w:r>
            </w:hyperlink>
            <w:r w:rsidR="003803F9" w:rsidRPr="007F2DB8">
              <w:rPr>
                <w:sz w:val="20"/>
              </w:rPr>
              <w:t xml:space="preserve"> </w:t>
            </w:r>
          </w:p>
          <w:p w:rsidR="003803F9" w:rsidRPr="00E007CB" w:rsidRDefault="003803F9" w:rsidP="00CD41B1">
            <w:pPr>
              <w:jc w:val="both"/>
              <w:rPr>
                <w:rFonts w:eastAsia="Calibri"/>
                <w:sz w:val="20"/>
              </w:rPr>
            </w:pPr>
          </w:p>
        </w:tc>
        <w:tc>
          <w:tcPr>
            <w:tcW w:w="243" w:type="pct"/>
          </w:tcPr>
          <w:p w:rsidR="003803F9" w:rsidRPr="00E007CB" w:rsidRDefault="003803F9" w:rsidP="00CD41B1">
            <w:pPr>
              <w:jc w:val="both"/>
              <w:rPr>
                <w:rFonts w:eastAsia="Calibri"/>
                <w:sz w:val="20"/>
              </w:rPr>
            </w:pPr>
          </w:p>
        </w:tc>
        <w:tc>
          <w:tcPr>
            <w:tcW w:w="2330" w:type="pct"/>
          </w:tcPr>
          <w:p w:rsidR="003803F9" w:rsidRDefault="003803F9" w:rsidP="003803F9">
            <w:pPr>
              <w:jc w:val="both"/>
              <w:rPr>
                <w:sz w:val="20"/>
              </w:rPr>
            </w:pPr>
            <w:r w:rsidRPr="007F2DB8">
              <w:rPr>
                <w:sz w:val="20"/>
              </w:rPr>
              <w:t>Appeal allowed in part: Order of Winkler C.J. amended to state that when a hearing is conducted from outside Ontario, it must be conducted with the necessity of a video-conference link to a courtroom in Ontario</w:t>
            </w:r>
          </w:p>
          <w:p w:rsidR="003803F9" w:rsidRPr="007F2DB8" w:rsidRDefault="003803F9" w:rsidP="00CD41B1">
            <w:pPr>
              <w:jc w:val="both"/>
              <w:rPr>
                <w:sz w:val="20"/>
              </w:rPr>
            </w:pPr>
          </w:p>
        </w:tc>
      </w:tr>
      <w:tr w:rsidR="003803F9" w:rsidRPr="00E007CB" w:rsidTr="00CD41B1">
        <w:trPr>
          <w:cantSplit/>
        </w:trPr>
        <w:tc>
          <w:tcPr>
            <w:tcW w:w="2427" w:type="pct"/>
          </w:tcPr>
          <w:p w:rsidR="003803F9" w:rsidRPr="007F2DB8" w:rsidRDefault="003803F9" w:rsidP="00CD41B1">
            <w:pPr>
              <w:jc w:val="both"/>
              <w:rPr>
                <w:sz w:val="20"/>
              </w:rPr>
            </w:pPr>
            <w:r w:rsidRPr="007F2DB8">
              <w:rPr>
                <w:sz w:val="20"/>
              </w:rPr>
              <w:t>Ma</w:t>
            </w:r>
            <w:r>
              <w:rPr>
                <w:sz w:val="20"/>
              </w:rPr>
              <w:t>y 26</w:t>
            </w:r>
            <w:r w:rsidRPr="007F2DB8">
              <w:rPr>
                <w:sz w:val="20"/>
              </w:rPr>
              <w:t>, 2015</w:t>
            </w:r>
          </w:p>
          <w:p w:rsidR="003803F9" w:rsidRPr="007F2DB8" w:rsidRDefault="003803F9" w:rsidP="00CD41B1">
            <w:pPr>
              <w:jc w:val="both"/>
              <w:rPr>
                <w:sz w:val="20"/>
              </w:rPr>
            </w:pPr>
            <w:r w:rsidRPr="007F2DB8">
              <w:rPr>
                <w:sz w:val="20"/>
              </w:rPr>
              <w:t>Supreme Court of Canada</w:t>
            </w:r>
          </w:p>
          <w:p w:rsidR="003803F9" w:rsidRPr="00E007CB" w:rsidRDefault="003803F9" w:rsidP="00CD41B1">
            <w:pPr>
              <w:jc w:val="both"/>
              <w:rPr>
                <w:rFonts w:eastAsia="Calibri"/>
                <w:sz w:val="20"/>
              </w:rPr>
            </w:pPr>
          </w:p>
        </w:tc>
        <w:tc>
          <w:tcPr>
            <w:tcW w:w="243" w:type="pct"/>
          </w:tcPr>
          <w:p w:rsidR="003803F9" w:rsidRPr="00E007CB" w:rsidRDefault="003803F9" w:rsidP="00CD41B1">
            <w:pPr>
              <w:jc w:val="both"/>
              <w:rPr>
                <w:rFonts w:eastAsia="Calibri"/>
                <w:sz w:val="20"/>
              </w:rPr>
            </w:pPr>
          </w:p>
        </w:tc>
        <w:tc>
          <w:tcPr>
            <w:tcW w:w="2330" w:type="pct"/>
          </w:tcPr>
          <w:p w:rsidR="003803F9" w:rsidRPr="007F2DB8" w:rsidRDefault="003803F9" w:rsidP="003803F9">
            <w:pPr>
              <w:jc w:val="both"/>
              <w:rPr>
                <w:sz w:val="20"/>
              </w:rPr>
            </w:pPr>
            <w:r w:rsidRPr="007F2DB8">
              <w:rPr>
                <w:sz w:val="20"/>
              </w:rPr>
              <w:t>Application for extension of time to serve and file application for leave to appeal and application for leave to appeal filed</w:t>
            </w:r>
          </w:p>
          <w:p w:rsidR="003803F9" w:rsidRPr="00E007CB" w:rsidRDefault="003803F9" w:rsidP="00CD41B1">
            <w:pPr>
              <w:jc w:val="both"/>
              <w:rPr>
                <w:rFonts w:eastAsia="Calibri"/>
                <w:sz w:val="20"/>
              </w:rPr>
            </w:pPr>
          </w:p>
        </w:tc>
      </w:tr>
      <w:tr w:rsidR="003803F9" w:rsidRPr="00E007CB" w:rsidTr="00CD41B1">
        <w:trPr>
          <w:cantSplit/>
        </w:trPr>
        <w:tc>
          <w:tcPr>
            <w:tcW w:w="2427" w:type="pct"/>
          </w:tcPr>
          <w:p w:rsidR="003803F9" w:rsidRPr="00E007CB" w:rsidRDefault="003803F9" w:rsidP="003803F9">
            <w:pPr>
              <w:jc w:val="both"/>
              <w:rPr>
                <w:rFonts w:eastAsia="Calibri"/>
                <w:sz w:val="20"/>
              </w:rPr>
            </w:pPr>
            <w:r>
              <w:rPr>
                <w:rFonts w:eastAsia="Calibri"/>
                <w:sz w:val="20"/>
              </w:rPr>
              <w:t>June 25</w:t>
            </w:r>
            <w:r w:rsidRPr="00E007CB">
              <w:rPr>
                <w:rFonts w:eastAsia="Calibri"/>
                <w:sz w:val="20"/>
              </w:rPr>
              <w:t>, 201</w:t>
            </w:r>
            <w:r>
              <w:rPr>
                <w:rFonts w:eastAsia="Calibri"/>
                <w:sz w:val="20"/>
              </w:rPr>
              <w:t>5</w:t>
            </w:r>
          </w:p>
          <w:p w:rsidR="003803F9" w:rsidRPr="00E007CB" w:rsidRDefault="003803F9" w:rsidP="003803F9">
            <w:pPr>
              <w:jc w:val="both"/>
              <w:rPr>
                <w:rFonts w:eastAsia="Calibri"/>
                <w:sz w:val="20"/>
              </w:rPr>
            </w:pPr>
            <w:r w:rsidRPr="00E007CB">
              <w:rPr>
                <w:rFonts w:eastAsia="Calibri"/>
                <w:sz w:val="20"/>
              </w:rPr>
              <w:t>Supreme Court of Canada</w:t>
            </w:r>
          </w:p>
        </w:tc>
        <w:tc>
          <w:tcPr>
            <w:tcW w:w="243" w:type="pct"/>
          </w:tcPr>
          <w:p w:rsidR="003803F9" w:rsidRPr="00E007CB" w:rsidRDefault="003803F9" w:rsidP="003803F9">
            <w:pPr>
              <w:jc w:val="both"/>
              <w:rPr>
                <w:rFonts w:eastAsia="Calibri"/>
                <w:sz w:val="20"/>
              </w:rPr>
            </w:pPr>
          </w:p>
        </w:tc>
        <w:tc>
          <w:tcPr>
            <w:tcW w:w="2330" w:type="pct"/>
          </w:tcPr>
          <w:p w:rsidR="003803F9" w:rsidRPr="007F2DB8" w:rsidRDefault="003803F9" w:rsidP="003803F9">
            <w:pPr>
              <w:jc w:val="both"/>
              <w:rPr>
                <w:sz w:val="20"/>
              </w:rPr>
            </w:pPr>
            <w:r w:rsidRPr="007F2DB8">
              <w:rPr>
                <w:sz w:val="20"/>
              </w:rPr>
              <w:t>Application for leave to cross-appeal filed</w:t>
            </w:r>
          </w:p>
        </w:tc>
      </w:tr>
    </w:tbl>
    <w:p w:rsidR="003803F9" w:rsidRDefault="003803F9" w:rsidP="003803F9">
      <w:pPr>
        <w:rPr>
          <w:sz w:val="20"/>
          <w:szCs w:val="20"/>
        </w:rPr>
      </w:pPr>
    </w:p>
    <w:p w:rsidR="003803F9" w:rsidRPr="00C50A5C" w:rsidRDefault="00C232E1" w:rsidP="003803F9">
      <w:pPr>
        <w:rPr>
          <w:sz w:val="20"/>
          <w:szCs w:val="20"/>
        </w:rPr>
      </w:pPr>
      <w:r>
        <w:rPr>
          <w:sz w:val="20"/>
          <w:szCs w:val="20"/>
          <w:lang w:val="fr-CA"/>
        </w:rPr>
        <w:pict>
          <v:rect id="_x0000_i1054" style="width:2in;height:1pt" o:hrpct="0" o:hralign="center" o:hrstd="t" o:hrnoshade="t" o:hr="t" fillcolor="black [3213]" stroked="f"/>
        </w:pict>
      </w:r>
    </w:p>
    <w:p w:rsidR="003803F9" w:rsidRDefault="003803F9" w:rsidP="003803F9">
      <w:pPr>
        <w:rPr>
          <w:sz w:val="20"/>
          <w:szCs w:val="20"/>
        </w:rPr>
      </w:pPr>
    </w:p>
    <w:p w:rsidR="003803F9" w:rsidRPr="001B157C" w:rsidRDefault="003803F9" w:rsidP="003803F9">
      <w:pPr>
        <w:rPr>
          <w:sz w:val="20"/>
          <w:szCs w:val="20"/>
          <w:u w:val="single"/>
          <w:lang w:val="fr-CA"/>
        </w:rPr>
      </w:pPr>
      <w:r w:rsidRPr="001B157C">
        <w:rPr>
          <w:sz w:val="20"/>
          <w:szCs w:val="20"/>
          <w:u w:val="single"/>
          <w:lang w:val="fr-CA"/>
        </w:rPr>
        <w:t>RÉSUMÉ DE L’AFFAIRE</w:t>
      </w:r>
    </w:p>
    <w:p w:rsidR="003803F9" w:rsidRDefault="003803F9" w:rsidP="003803F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803F9" w:rsidRPr="003F186C" w:rsidTr="00CD41B1">
        <w:tc>
          <w:tcPr>
            <w:tcW w:w="5000" w:type="pct"/>
            <w:gridSpan w:val="3"/>
          </w:tcPr>
          <w:p w:rsidR="003803F9" w:rsidRDefault="003803F9" w:rsidP="00CD41B1">
            <w:pPr>
              <w:jc w:val="both"/>
              <w:rPr>
                <w:sz w:val="20"/>
                <w:lang w:val="fr-CA"/>
              </w:rPr>
            </w:pPr>
            <w:r w:rsidRPr="007F2DB8">
              <w:rPr>
                <w:sz w:val="20"/>
                <w:lang w:val="fr-CA"/>
              </w:rPr>
              <w:t>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La compétence inhérente d’une cour supérieure de faire respecter et de réglementer sa propre procédure, dans les limites permises par la loi et la Constitution, permet-elle aux juges des cours supérieures de tenir des audiences à l’extérieur de leurs provinces d’origine, lorsque l’efficacité de l’administration de la justice l’exige? – Si la cour a le pouvoir discrétionnaire de siéger à l’extérieur de la province, ce pouvoir se limite-t-il aux audiences instruites à partir de documents sur papier, ou permet-il les témoignages de vive voix? – Le principe de la publicité des débats comprend-il une exigence d’ordre géographique, selon laquelle les audiences tenues à l’extérieur de la province seraient inacceptables en l’absence d’une liaison vidéo avec la province d’origine? – La « compétence inhérente » se limite-t-elle à la « compétence fondamentale » étroite des cours supérieures visées à l’art. 96 et se confond-elle avec cette compétence fondamentale? – Existe-t-il d’autres restrictions, outre l’exigence d’une liaison par vidéoconférence avec l’Ontario, qui doivent s’appliquer à la possibilité qu’auraient les cours de l’Ontario de tenir des audiences à l’extérieur de la province?</w:t>
            </w:r>
          </w:p>
          <w:p w:rsidR="003803F9" w:rsidRPr="00E007CB" w:rsidRDefault="003803F9" w:rsidP="00CD41B1">
            <w:pPr>
              <w:jc w:val="both"/>
              <w:rPr>
                <w:rFonts w:eastAsia="Calibri"/>
                <w:sz w:val="20"/>
                <w:lang w:val="fr-CA"/>
              </w:rPr>
            </w:pPr>
          </w:p>
        </w:tc>
      </w:tr>
      <w:tr w:rsidR="003803F9" w:rsidRPr="003F186C" w:rsidTr="00CD41B1">
        <w:tc>
          <w:tcPr>
            <w:tcW w:w="5000" w:type="pct"/>
            <w:gridSpan w:val="3"/>
          </w:tcPr>
          <w:p w:rsidR="003803F9" w:rsidRPr="007F2DB8" w:rsidRDefault="003803F9" w:rsidP="003803F9">
            <w:pPr>
              <w:jc w:val="both"/>
              <w:rPr>
                <w:sz w:val="20"/>
                <w:lang w:val="fr-CA"/>
              </w:rPr>
            </w:pPr>
            <w:r w:rsidRPr="007F2DB8">
              <w:rPr>
                <w:sz w:val="20"/>
                <w:lang w:val="fr-CA"/>
              </w:rPr>
              <w:t>Dans le cadre d’un recours collectif national,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w:t>
            </w:r>
          </w:p>
          <w:p w:rsidR="003803F9" w:rsidRPr="00E007CB" w:rsidRDefault="003803F9" w:rsidP="00CD41B1">
            <w:pPr>
              <w:jc w:val="both"/>
              <w:rPr>
                <w:sz w:val="20"/>
                <w:lang w:val="fr-CA"/>
              </w:rPr>
            </w:pPr>
          </w:p>
        </w:tc>
      </w:tr>
      <w:tr w:rsidR="003803F9" w:rsidRPr="003F186C" w:rsidTr="00CD41B1">
        <w:trPr>
          <w:cantSplit/>
        </w:trPr>
        <w:tc>
          <w:tcPr>
            <w:tcW w:w="2427" w:type="pct"/>
          </w:tcPr>
          <w:p w:rsidR="003803F9" w:rsidRPr="007F2DB8" w:rsidRDefault="003803F9" w:rsidP="003803F9">
            <w:pPr>
              <w:jc w:val="both"/>
              <w:rPr>
                <w:sz w:val="20"/>
                <w:lang w:val="fr-CA"/>
              </w:rPr>
            </w:pPr>
            <w:r w:rsidRPr="007F2DB8">
              <w:rPr>
                <w:sz w:val="20"/>
                <w:lang w:val="fr-CA"/>
              </w:rPr>
              <w:lastRenderedPageBreak/>
              <w:t>24 mai 2013</w:t>
            </w:r>
          </w:p>
          <w:p w:rsidR="003803F9" w:rsidRPr="007F2DB8" w:rsidRDefault="003803F9" w:rsidP="003803F9">
            <w:pPr>
              <w:jc w:val="both"/>
              <w:rPr>
                <w:sz w:val="20"/>
                <w:lang w:val="fr-CA"/>
              </w:rPr>
            </w:pPr>
            <w:r w:rsidRPr="007F2DB8">
              <w:rPr>
                <w:sz w:val="20"/>
                <w:lang w:val="fr-CA"/>
              </w:rPr>
              <w:t>Cour supérieure de justice de l’Ontario</w:t>
            </w:r>
          </w:p>
          <w:p w:rsidR="003803F9" w:rsidRPr="007F2DB8" w:rsidRDefault="003803F9" w:rsidP="003803F9">
            <w:pPr>
              <w:jc w:val="both"/>
              <w:rPr>
                <w:sz w:val="20"/>
                <w:lang w:val="fr-CA"/>
              </w:rPr>
            </w:pPr>
            <w:r w:rsidRPr="007F2DB8">
              <w:rPr>
                <w:sz w:val="20"/>
                <w:lang w:val="fr-CA"/>
              </w:rPr>
              <w:t>(Juge en chef Winkler)</w:t>
            </w:r>
          </w:p>
          <w:p w:rsidR="003803F9" w:rsidRPr="007F2DB8" w:rsidRDefault="003F186C" w:rsidP="003803F9">
            <w:pPr>
              <w:jc w:val="both"/>
              <w:rPr>
                <w:sz w:val="20"/>
                <w:lang w:val="fr-CA"/>
              </w:rPr>
            </w:pPr>
            <w:hyperlink r:id="rId36" w:history="1">
              <w:r w:rsidR="003803F9" w:rsidRPr="007F2DB8">
                <w:rPr>
                  <w:rStyle w:val="Hyperlink"/>
                  <w:sz w:val="20"/>
                  <w:lang w:val="fr-CA"/>
                </w:rPr>
                <w:t>2013 ONSC 3053</w:t>
              </w:r>
            </w:hyperlink>
            <w:r w:rsidR="003803F9" w:rsidRPr="007F2DB8">
              <w:rPr>
                <w:sz w:val="20"/>
                <w:lang w:val="fr-CA"/>
              </w:rPr>
              <w:t xml:space="preserve"> </w:t>
            </w:r>
          </w:p>
          <w:p w:rsidR="003803F9" w:rsidRPr="00E007CB" w:rsidRDefault="003803F9" w:rsidP="00CD41B1">
            <w:pPr>
              <w:jc w:val="both"/>
              <w:rPr>
                <w:rFonts w:eastAsia="Calibri"/>
                <w:sz w:val="20"/>
                <w:lang w:val="fr-CA"/>
              </w:rPr>
            </w:pPr>
          </w:p>
        </w:tc>
        <w:tc>
          <w:tcPr>
            <w:tcW w:w="243" w:type="pct"/>
          </w:tcPr>
          <w:p w:rsidR="003803F9" w:rsidRPr="00E007CB" w:rsidRDefault="003803F9" w:rsidP="00CD41B1">
            <w:pPr>
              <w:jc w:val="both"/>
              <w:rPr>
                <w:rFonts w:eastAsia="Calibri"/>
                <w:sz w:val="20"/>
                <w:lang w:val="fr-CA"/>
              </w:rPr>
            </w:pPr>
          </w:p>
        </w:tc>
        <w:tc>
          <w:tcPr>
            <w:tcW w:w="2330" w:type="pct"/>
          </w:tcPr>
          <w:p w:rsidR="003803F9" w:rsidRPr="007F2DB8" w:rsidRDefault="003803F9" w:rsidP="003803F9">
            <w:pPr>
              <w:jc w:val="both"/>
              <w:rPr>
                <w:sz w:val="20"/>
                <w:lang w:val="fr-CA"/>
              </w:rPr>
            </w:pPr>
            <w:r w:rsidRPr="007F2DB8">
              <w:rPr>
                <w:sz w:val="20"/>
                <w:lang w:val="fr-CA"/>
              </w:rPr>
              <w:t xml:space="preserve">Ordonnance rendue à la suite d’une demande de directives présentée par les avocats des recours collectifs : un juge de la Cour supérieure de justice de l’Ontario a le pouvoir discrétionnaire de siéger avec ses homologues en Ontario ou à l’extérieur de cette province pour entendre des demandes en application de la Convention de règlement relatif à l’Hépatite C 1986-1990 sans la nécessité d’une liaison par vidéoconférence avec une salle d’audience en Ontario et le juge peut tenir l’audience en Ontario ou à l’extérieur de cette province avec d’autres juges superviseurs de la Colombie-Britannique et du Québec </w:t>
            </w:r>
          </w:p>
          <w:p w:rsidR="003803F9" w:rsidRPr="00E007CB" w:rsidRDefault="003803F9" w:rsidP="00CD41B1">
            <w:pPr>
              <w:jc w:val="both"/>
              <w:rPr>
                <w:rFonts w:eastAsia="Calibri"/>
                <w:sz w:val="20"/>
                <w:lang w:val="fr-CA"/>
              </w:rPr>
            </w:pPr>
          </w:p>
        </w:tc>
      </w:tr>
      <w:tr w:rsidR="003803F9" w:rsidRPr="003F186C" w:rsidTr="00CD41B1">
        <w:trPr>
          <w:cantSplit/>
        </w:trPr>
        <w:tc>
          <w:tcPr>
            <w:tcW w:w="2427" w:type="pct"/>
          </w:tcPr>
          <w:p w:rsidR="003803F9" w:rsidRPr="007F2DB8" w:rsidRDefault="003803F9" w:rsidP="003803F9">
            <w:pPr>
              <w:jc w:val="both"/>
              <w:rPr>
                <w:sz w:val="20"/>
                <w:lang w:val="fr-CA"/>
              </w:rPr>
            </w:pPr>
            <w:r w:rsidRPr="007F2DB8">
              <w:rPr>
                <w:sz w:val="20"/>
                <w:lang w:val="fr-CA"/>
              </w:rPr>
              <w:t>13 mars 2015</w:t>
            </w:r>
          </w:p>
          <w:p w:rsidR="003803F9" w:rsidRPr="007F2DB8" w:rsidRDefault="003803F9" w:rsidP="003803F9">
            <w:pPr>
              <w:jc w:val="both"/>
              <w:rPr>
                <w:sz w:val="20"/>
                <w:lang w:val="fr-CA"/>
              </w:rPr>
            </w:pPr>
            <w:r w:rsidRPr="007F2DB8">
              <w:rPr>
                <w:sz w:val="20"/>
                <w:lang w:val="fr-CA"/>
              </w:rPr>
              <w:t>Cour d’appel de l’Ontario</w:t>
            </w:r>
          </w:p>
          <w:p w:rsidR="003803F9" w:rsidRPr="007F2DB8" w:rsidRDefault="003803F9" w:rsidP="003803F9">
            <w:pPr>
              <w:jc w:val="both"/>
              <w:rPr>
                <w:sz w:val="20"/>
                <w:lang w:val="fr-CA"/>
              </w:rPr>
            </w:pPr>
            <w:r w:rsidRPr="007F2DB8">
              <w:rPr>
                <w:sz w:val="20"/>
                <w:lang w:val="fr-CA"/>
              </w:rPr>
              <w:t xml:space="preserve">(Juges </w:t>
            </w:r>
            <w:proofErr w:type="spellStart"/>
            <w:r w:rsidRPr="007F2DB8">
              <w:rPr>
                <w:sz w:val="20"/>
                <w:lang w:val="fr-CA"/>
              </w:rPr>
              <w:t>Juriansz</w:t>
            </w:r>
            <w:proofErr w:type="spellEnd"/>
            <w:r w:rsidRPr="007F2DB8">
              <w:rPr>
                <w:sz w:val="20"/>
                <w:lang w:val="fr-CA"/>
              </w:rPr>
              <w:t xml:space="preserve">, </w:t>
            </w:r>
            <w:proofErr w:type="spellStart"/>
            <w:r w:rsidRPr="007F2DB8">
              <w:rPr>
                <w:sz w:val="20"/>
                <w:lang w:val="fr-CA"/>
              </w:rPr>
              <w:t>LaForme</w:t>
            </w:r>
            <w:proofErr w:type="spellEnd"/>
            <w:r w:rsidRPr="007F2DB8">
              <w:rPr>
                <w:sz w:val="20"/>
                <w:lang w:val="fr-CA"/>
              </w:rPr>
              <w:t xml:space="preserve"> et </w:t>
            </w:r>
            <w:proofErr w:type="spellStart"/>
            <w:r w:rsidRPr="007F2DB8">
              <w:rPr>
                <w:sz w:val="20"/>
                <w:lang w:val="fr-CA"/>
              </w:rPr>
              <w:t>Lauwers</w:t>
            </w:r>
            <w:proofErr w:type="spellEnd"/>
            <w:r w:rsidRPr="007F2DB8">
              <w:rPr>
                <w:sz w:val="20"/>
                <w:lang w:val="fr-CA"/>
              </w:rPr>
              <w:t>)</w:t>
            </w:r>
          </w:p>
          <w:p w:rsidR="003803F9" w:rsidRPr="007F2DB8" w:rsidRDefault="00C232E1" w:rsidP="003803F9">
            <w:pPr>
              <w:jc w:val="both"/>
              <w:rPr>
                <w:sz w:val="20"/>
                <w:lang w:val="fr-CA"/>
              </w:rPr>
            </w:pPr>
            <w:hyperlink r:id="rId37" w:history="1">
              <w:r w:rsidR="003803F9" w:rsidRPr="007F2DB8">
                <w:rPr>
                  <w:rStyle w:val="Hyperlink"/>
                  <w:sz w:val="20"/>
                  <w:lang w:val="fr-CA"/>
                </w:rPr>
                <w:t>2015 ONCA 158</w:t>
              </w:r>
            </w:hyperlink>
            <w:r w:rsidR="003803F9" w:rsidRPr="007F2DB8">
              <w:rPr>
                <w:sz w:val="20"/>
                <w:lang w:val="fr-CA"/>
              </w:rPr>
              <w:t xml:space="preserve"> </w:t>
            </w:r>
          </w:p>
          <w:p w:rsidR="003803F9" w:rsidRPr="00E007CB" w:rsidRDefault="003803F9" w:rsidP="00CD41B1">
            <w:pPr>
              <w:jc w:val="both"/>
              <w:rPr>
                <w:rFonts w:eastAsia="Calibri"/>
                <w:sz w:val="20"/>
                <w:lang w:val="fr-CA"/>
              </w:rPr>
            </w:pPr>
          </w:p>
        </w:tc>
        <w:tc>
          <w:tcPr>
            <w:tcW w:w="243" w:type="pct"/>
          </w:tcPr>
          <w:p w:rsidR="003803F9" w:rsidRPr="00E007CB" w:rsidRDefault="003803F9" w:rsidP="00CD41B1">
            <w:pPr>
              <w:jc w:val="both"/>
              <w:rPr>
                <w:rFonts w:eastAsia="Calibri"/>
                <w:sz w:val="20"/>
                <w:lang w:val="fr-CA"/>
              </w:rPr>
            </w:pPr>
          </w:p>
        </w:tc>
        <w:tc>
          <w:tcPr>
            <w:tcW w:w="2330" w:type="pct"/>
          </w:tcPr>
          <w:p w:rsidR="003803F9" w:rsidRPr="007F2DB8" w:rsidRDefault="003803F9" w:rsidP="003803F9">
            <w:pPr>
              <w:jc w:val="both"/>
              <w:rPr>
                <w:sz w:val="20"/>
                <w:lang w:val="fr-CA"/>
              </w:rPr>
            </w:pPr>
            <w:r w:rsidRPr="007F2DB8">
              <w:rPr>
                <w:sz w:val="20"/>
                <w:lang w:val="fr-CA"/>
              </w:rPr>
              <w:t xml:space="preserve">Arrêt accueillant l’appel en partie : modification de l’ordonnance du juge en chef Winkler pour qu’elle déclare que lorsqu’une audience est tenue à l’extérieur de l’Ontario, il doit y avoir une liaison par vidéoconférence à une salle d’audience en Ontario </w:t>
            </w:r>
          </w:p>
          <w:p w:rsidR="003803F9" w:rsidRPr="00E007CB" w:rsidRDefault="003803F9" w:rsidP="00CD41B1">
            <w:pPr>
              <w:jc w:val="both"/>
              <w:rPr>
                <w:rFonts w:eastAsia="Calibri"/>
                <w:sz w:val="20"/>
                <w:lang w:val="fr-CA"/>
              </w:rPr>
            </w:pPr>
          </w:p>
        </w:tc>
      </w:tr>
      <w:tr w:rsidR="003803F9" w:rsidRPr="003F186C" w:rsidTr="00CD41B1">
        <w:trPr>
          <w:cantSplit/>
        </w:trPr>
        <w:tc>
          <w:tcPr>
            <w:tcW w:w="2427" w:type="pct"/>
          </w:tcPr>
          <w:p w:rsidR="003803F9" w:rsidRPr="007F2DB8" w:rsidRDefault="003803F9" w:rsidP="003803F9">
            <w:pPr>
              <w:jc w:val="both"/>
              <w:rPr>
                <w:sz w:val="20"/>
                <w:lang w:val="fr-CA"/>
              </w:rPr>
            </w:pPr>
            <w:r w:rsidRPr="007F2DB8">
              <w:rPr>
                <w:sz w:val="20"/>
                <w:lang w:val="fr-CA"/>
              </w:rPr>
              <w:t>26 mai 2015</w:t>
            </w:r>
          </w:p>
          <w:p w:rsidR="003803F9" w:rsidRPr="007F2DB8" w:rsidRDefault="003803F9" w:rsidP="00CD41B1">
            <w:pPr>
              <w:jc w:val="both"/>
              <w:rPr>
                <w:sz w:val="20"/>
                <w:lang w:val="fr-CA"/>
              </w:rPr>
            </w:pPr>
            <w:r w:rsidRPr="007F2DB8">
              <w:rPr>
                <w:sz w:val="20"/>
                <w:lang w:val="fr-CA"/>
              </w:rPr>
              <w:t>Cour suprême du Canada</w:t>
            </w:r>
          </w:p>
          <w:p w:rsidR="003803F9" w:rsidRPr="00E007CB" w:rsidRDefault="003803F9" w:rsidP="00CD41B1">
            <w:pPr>
              <w:tabs>
                <w:tab w:val="left" w:pos="1522"/>
              </w:tabs>
              <w:jc w:val="both"/>
              <w:rPr>
                <w:rFonts w:eastAsia="Calibri"/>
                <w:sz w:val="20"/>
                <w:lang w:val="fr-CA"/>
              </w:rPr>
            </w:pPr>
          </w:p>
        </w:tc>
        <w:tc>
          <w:tcPr>
            <w:tcW w:w="243" w:type="pct"/>
          </w:tcPr>
          <w:p w:rsidR="003803F9" w:rsidRPr="00E007CB" w:rsidRDefault="003803F9" w:rsidP="00CD41B1">
            <w:pPr>
              <w:jc w:val="both"/>
              <w:rPr>
                <w:rFonts w:eastAsia="Calibri"/>
                <w:sz w:val="20"/>
                <w:lang w:val="fr-CA"/>
              </w:rPr>
            </w:pPr>
          </w:p>
        </w:tc>
        <w:tc>
          <w:tcPr>
            <w:tcW w:w="2330" w:type="pct"/>
          </w:tcPr>
          <w:p w:rsidR="003803F9" w:rsidRPr="007F2DB8" w:rsidRDefault="003803F9" w:rsidP="003803F9">
            <w:pPr>
              <w:jc w:val="both"/>
              <w:rPr>
                <w:sz w:val="20"/>
                <w:lang w:val="fr-CA"/>
              </w:rPr>
            </w:pPr>
            <w:r w:rsidRPr="007F2DB8">
              <w:rPr>
                <w:sz w:val="20"/>
                <w:lang w:val="fr-CA"/>
              </w:rPr>
              <w:t>Dépôt d’une demande de prorogation de délai de signification et de dépôt de la demande d’autorisation d’appel et de la demande d’autorisation d’appel</w:t>
            </w:r>
          </w:p>
          <w:p w:rsidR="003803F9" w:rsidRPr="00E007CB" w:rsidRDefault="003803F9" w:rsidP="00CD41B1">
            <w:pPr>
              <w:jc w:val="both"/>
              <w:rPr>
                <w:rFonts w:eastAsia="Calibri"/>
                <w:sz w:val="20"/>
                <w:lang w:val="fr-CA"/>
              </w:rPr>
            </w:pPr>
          </w:p>
        </w:tc>
      </w:tr>
      <w:tr w:rsidR="003803F9" w:rsidRPr="003F186C" w:rsidTr="00CD41B1">
        <w:trPr>
          <w:cantSplit/>
        </w:trPr>
        <w:tc>
          <w:tcPr>
            <w:tcW w:w="2427" w:type="pct"/>
          </w:tcPr>
          <w:p w:rsidR="003803F9" w:rsidRPr="00E007CB" w:rsidRDefault="003803F9" w:rsidP="003803F9">
            <w:pPr>
              <w:jc w:val="both"/>
              <w:rPr>
                <w:rFonts w:eastAsia="Calibri"/>
                <w:sz w:val="20"/>
                <w:lang w:val="fr-CA"/>
              </w:rPr>
            </w:pPr>
            <w:r>
              <w:rPr>
                <w:rFonts w:eastAsia="Calibri"/>
                <w:sz w:val="20"/>
                <w:lang w:val="fr-CA"/>
              </w:rPr>
              <w:t>25 juin</w:t>
            </w:r>
            <w:r w:rsidRPr="00E007CB">
              <w:rPr>
                <w:rFonts w:eastAsia="Calibri"/>
                <w:sz w:val="20"/>
                <w:lang w:val="fr-CA"/>
              </w:rPr>
              <w:t xml:space="preserve"> 201</w:t>
            </w:r>
            <w:r>
              <w:rPr>
                <w:rFonts w:eastAsia="Calibri"/>
                <w:sz w:val="20"/>
                <w:lang w:val="fr-CA"/>
              </w:rPr>
              <w:t>5</w:t>
            </w:r>
          </w:p>
          <w:p w:rsidR="003803F9" w:rsidRPr="00E007CB" w:rsidRDefault="003803F9" w:rsidP="003803F9">
            <w:pPr>
              <w:jc w:val="both"/>
              <w:rPr>
                <w:rFonts w:eastAsia="Calibri"/>
                <w:sz w:val="20"/>
                <w:lang w:val="fr-CA"/>
              </w:rPr>
            </w:pPr>
            <w:r w:rsidRPr="00E007CB">
              <w:rPr>
                <w:rFonts w:eastAsia="Calibri"/>
                <w:sz w:val="20"/>
                <w:lang w:val="fr-CA"/>
              </w:rPr>
              <w:t>Cour suprême du Canada</w:t>
            </w:r>
          </w:p>
        </w:tc>
        <w:tc>
          <w:tcPr>
            <w:tcW w:w="243" w:type="pct"/>
          </w:tcPr>
          <w:p w:rsidR="003803F9" w:rsidRPr="00E007CB" w:rsidRDefault="003803F9" w:rsidP="003803F9">
            <w:pPr>
              <w:jc w:val="both"/>
              <w:rPr>
                <w:rFonts w:eastAsia="Calibri"/>
                <w:sz w:val="20"/>
                <w:lang w:val="fr-CA"/>
              </w:rPr>
            </w:pPr>
          </w:p>
        </w:tc>
        <w:tc>
          <w:tcPr>
            <w:tcW w:w="2330" w:type="pct"/>
          </w:tcPr>
          <w:p w:rsidR="003803F9" w:rsidRPr="007F2DB8" w:rsidRDefault="003803F9" w:rsidP="003803F9">
            <w:pPr>
              <w:jc w:val="both"/>
              <w:rPr>
                <w:sz w:val="20"/>
                <w:lang w:val="fr-CA"/>
              </w:rPr>
            </w:pPr>
            <w:r w:rsidRPr="007F2DB8">
              <w:rPr>
                <w:sz w:val="20"/>
                <w:lang w:val="fr-CA"/>
              </w:rPr>
              <w:t>Dépôt de la demande d’autorisation d’appel incident</w:t>
            </w:r>
          </w:p>
        </w:tc>
      </w:tr>
    </w:tbl>
    <w:p w:rsidR="003803F9" w:rsidRPr="003F186C" w:rsidRDefault="003803F9" w:rsidP="003803F9">
      <w:pPr>
        <w:rPr>
          <w:sz w:val="20"/>
          <w:szCs w:val="20"/>
          <w:lang w:val="fr-CA"/>
        </w:rPr>
      </w:pPr>
    </w:p>
    <w:p w:rsidR="003803F9" w:rsidRDefault="00C232E1" w:rsidP="003803F9">
      <w:pPr>
        <w:rPr>
          <w:sz w:val="20"/>
          <w:szCs w:val="20"/>
        </w:rPr>
      </w:pPr>
      <w:r>
        <w:rPr>
          <w:sz w:val="20"/>
          <w:szCs w:val="20"/>
          <w:lang w:val="fr-CA"/>
        </w:rPr>
        <w:pict>
          <v:rect id="_x0000_i1055" style="width:2in;height:1pt" o:hrpct="0" o:hralign="center" o:hrstd="t" o:hrnoshade="t" o:hr="t" fillcolor="black [3213]" stroked="f"/>
        </w:pict>
      </w:r>
    </w:p>
    <w:p w:rsidR="003803F9" w:rsidRDefault="003803F9" w:rsidP="003803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346D6" w:rsidRPr="00A73D2C" w:rsidTr="00CD41B1">
        <w:trPr>
          <w:cantSplit/>
        </w:trPr>
        <w:tc>
          <w:tcPr>
            <w:tcW w:w="1458" w:type="dxa"/>
          </w:tcPr>
          <w:p w:rsidR="001346D6" w:rsidRPr="00A73D2C" w:rsidRDefault="001346D6" w:rsidP="00CD41B1">
            <w:pPr>
              <w:rPr>
                <w:sz w:val="20"/>
                <w:szCs w:val="20"/>
              </w:rPr>
            </w:pPr>
            <w:r w:rsidRPr="00A73D2C">
              <w:rPr>
                <w:rStyle w:val="SCCFileNumberChar"/>
                <w:sz w:val="20"/>
                <w:szCs w:val="20"/>
              </w:rPr>
              <w:t>3</w:t>
            </w:r>
            <w:r>
              <w:rPr>
                <w:rStyle w:val="SCCFileNumberChar"/>
                <w:sz w:val="20"/>
                <w:szCs w:val="20"/>
              </w:rPr>
              <w:t>6481</w:t>
            </w:r>
          </w:p>
          <w:p w:rsidR="001346D6" w:rsidRPr="00A73D2C" w:rsidRDefault="001346D6" w:rsidP="00CD41B1">
            <w:pPr>
              <w:rPr>
                <w:b/>
                <w:sz w:val="20"/>
                <w:szCs w:val="20"/>
                <w:lang w:val="fr-CA"/>
              </w:rPr>
            </w:pPr>
          </w:p>
        </w:tc>
        <w:tc>
          <w:tcPr>
            <w:tcW w:w="8118" w:type="dxa"/>
          </w:tcPr>
          <w:p w:rsidR="001346D6" w:rsidRPr="00A73D2C" w:rsidRDefault="001346D6" w:rsidP="00CD41B1">
            <w:pPr>
              <w:rPr>
                <w:sz w:val="20"/>
                <w:szCs w:val="20"/>
              </w:rPr>
            </w:pPr>
            <w:r w:rsidRPr="001346D6">
              <w:rPr>
                <w:rStyle w:val="SCCLsocChar"/>
                <w:sz w:val="20"/>
                <w:szCs w:val="20"/>
                <w:lang w:val="en-CA"/>
              </w:rPr>
              <w:t>Allan Jeffery Harris v. Her Majesty the Queen</w:t>
            </w:r>
            <w:r w:rsidRPr="00A73D2C">
              <w:rPr>
                <w:sz w:val="20"/>
                <w:szCs w:val="20"/>
              </w:rPr>
              <w:t xml:space="preserve"> (</w:t>
            </w:r>
            <w:r>
              <w:rPr>
                <w:sz w:val="20"/>
                <w:szCs w:val="20"/>
              </w:rPr>
              <w:t>F.C</w:t>
            </w:r>
            <w:r w:rsidRPr="00A73D2C">
              <w:rPr>
                <w:sz w:val="20"/>
                <w:szCs w:val="20"/>
              </w:rPr>
              <w:t>) (Civil) (By Leave)</w:t>
            </w:r>
          </w:p>
          <w:p w:rsidR="001346D6" w:rsidRPr="00A73D2C" w:rsidRDefault="001346D6" w:rsidP="00CD41B1">
            <w:pPr>
              <w:rPr>
                <w:sz w:val="20"/>
                <w:szCs w:val="20"/>
              </w:rPr>
            </w:pPr>
          </w:p>
        </w:tc>
      </w:tr>
      <w:tr w:rsidR="001346D6" w:rsidRPr="00A73D2C" w:rsidTr="00CD41B1">
        <w:trPr>
          <w:cantSplit/>
        </w:trPr>
        <w:tc>
          <w:tcPr>
            <w:tcW w:w="1458" w:type="dxa"/>
          </w:tcPr>
          <w:p w:rsidR="001346D6" w:rsidRPr="00A73D2C" w:rsidRDefault="001346D6" w:rsidP="00CD41B1">
            <w:pPr>
              <w:rPr>
                <w:sz w:val="20"/>
                <w:szCs w:val="20"/>
              </w:rPr>
            </w:pPr>
            <w:r w:rsidRPr="00A73D2C">
              <w:rPr>
                <w:sz w:val="20"/>
                <w:szCs w:val="20"/>
              </w:rPr>
              <w:t>Coram :</w:t>
            </w:r>
          </w:p>
        </w:tc>
        <w:tc>
          <w:tcPr>
            <w:tcW w:w="8118" w:type="dxa"/>
          </w:tcPr>
          <w:p w:rsidR="001346D6" w:rsidRDefault="008446EC" w:rsidP="00CD41B1">
            <w:pPr>
              <w:rPr>
                <w:rStyle w:val="SCCCoramChar"/>
                <w:sz w:val="20"/>
                <w:szCs w:val="20"/>
                <w:lang w:val="en-CA"/>
              </w:rPr>
            </w:pPr>
            <w:r w:rsidRPr="008446EC">
              <w:rPr>
                <w:rStyle w:val="SCCCoramChar"/>
                <w:sz w:val="20"/>
                <w:szCs w:val="20"/>
                <w:lang w:val="en-CA"/>
              </w:rPr>
              <w:t>McLachlin C.J. and Moldaver and Gascon JJ.</w:t>
            </w:r>
          </w:p>
          <w:p w:rsidR="008446EC" w:rsidRPr="00A73D2C" w:rsidRDefault="008446EC" w:rsidP="00CD41B1">
            <w:pPr>
              <w:rPr>
                <w:sz w:val="20"/>
                <w:szCs w:val="20"/>
                <w:u w:val="single"/>
              </w:rPr>
            </w:pPr>
          </w:p>
        </w:tc>
      </w:tr>
      <w:tr w:rsidR="001346D6" w:rsidRPr="00002704" w:rsidTr="00CD41B1">
        <w:trPr>
          <w:cantSplit/>
        </w:trPr>
        <w:tc>
          <w:tcPr>
            <w:tcW w:w="9576" w:type="dxa"/>
            <w:gridSpan w:val="2"/>
          </w:tcPr>
          <w:p w:rsidR="008446EC" w:rsidRDefault="008446EC" w:rsidP="008446EC">
            <w:pPr>
              <w:pStyle w:val="SCCShortJudgment"/>
            </w:pPr>
            <w:r>
              <w:t>The motion for interim relief is dismissed. The application for leave to appeal from the judgment of the Federal Court of Appeal, Number 15-A-5, dated April 14, 2015, is dismissed for want of jurisdiction.</w:t>
            </w:r>
          </w:p>
          <w:p w:rsidR="008446EC" w:rsidRDefault="008446EC" w:rsidP="008446EC">
            <w:pPr>
              <w:pStyle w:val="SCCShortJudgment"/>
              <w:ind w:firstLine="0"/>
            </w:pPr>
          </w:p>
          <w:p w:rsidR="001346D6" w:rsidRPr="00A73D2C" w:rsidRDefault="008446EC" w:rsidP="008446EC">
            <w:pPr>
              <w:pStyle w:val="SCCShortJudgment"/>
              <w:rPr>
                <w:szCs w:val="20"/>
                <w:lang w:val="fr-CA"/>
              </w:rPr>
            </w:pPr>
            <w:r>
              <w:t xml:space="preserve">La </w:t>
            </w:r>
            <w:proofErr w:type="spellStart"/>
            <w:r>
              <w:t>requête</w:t>
            </w:r>
            <w:proofErr w:type="spellEnd"/>
            <w:r>
              <w:t xml:space="preserve"> pour </w:t>
            </w:r>
            <w:proofErr w:type="spellStart"/>
            <w:r>
              <w:t>mesure</w:t>
            </w:r>
            <w:proofErr w:type="spellEnd"/>
            <w:r>
              <w:t xml:space="preserve"> </w:t>
            </w:r>
            <w:proofErr w:type="spellStart"/>
            <w:r>
              <w:t>provisoire</w:t>
            </w:r>
            <w:proofErr w:type="spellEnd"/>
            <w:r>
              <w:t xml:space="preserve"> </w:t>
            </w:r>
            <w:proofErr w:type="spellStart"/>
            <w:r>
              <w:t>est</w:t>
            </w:r>
            <w:proofErr w:type="spellEnd"/>
            <w:r>
              <w:t xml:space="preserve"> </w:t>
            </w:r>
            <w:proofErr w:type="spellStart"/>
            <w:r>
              <w:t>rejetée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15-A-5, </w:t>
            </w:r>
            <w:proofErr w:type="spellStart"/>
            <w:r>
              <w:t>daté</w:t>
            </w:r>
            <w:proofErr w:type="spellEnd"/>
            <w:r>
              <w:t xml:space="preserve"> du 14 </w:t>
            </w:r>
            <w:proofErr w:type="spellStart"/>
            <w:r>
              <w:t>avril</w:t>
            </w:r>
            <w:proofErr w:type="spellEnd"/>
            <w:r>
              <w:t xml:space="preserve"> 2015, </w:t>
            </w:r>
            <w:proofErr w:type="spellStart"/>
            <w:r>
              <w:t>est</w:t>
            </w:r>
            <w:proofErr w:type="spellEnd"/>
            <w:r>
              <w:t xml:space="preserve"> </w:t>
            </w:r>
            <w:proofErr w:type="spellStart"/>
            <w:r>
              <w:t>rejetée</w:t>
            </w:r>
            <w:proofErr w:type="spellEnd"/>
            <w:r>
              <w:t xml:space="preserve"> pour </w:t>
            </w:r>
            <w:proofErr w:type="spellStart"/>
            <w:r>
              <w:t>défaut</w:t>
            </w:r>
            <w:proofErr w:type="spellEnd"/>
            <w:r>
              <w:t xml:space="preserve"> de </w:t>
            </w:r>
            <w:proofErr w:type="spellStart"/>
            <w:r>
              <w:t>compétence</w:t>
            </w:r>
            <w:proofErr w:type="spellEnd"/>
            <w:r>
              <w:t>.</w:t>
            </w:r>
          </w:p>
        </w:tc>
      </w:tr>
    </w:tbl>
    <w:p w:rsidR="001346D6" w:rsidRPr="0016547E" w:rsidRDefault="001346D6" w:rsidP="001346D6">
      <w:pPr>
        <w:rPr>
          <w:sz w:val="20"/>
          <w:szCs w:val="20"/>
          <w:lang w:val="fr-CA"/>
        </w:rPr>
      </w:pPr>
    </w:p>
    <w:p w:rsidR="001346D6" w:rsidRPr="001B157C" w:rsidRDefault="001346D6" w:rsidP="001346D6">
      <w:pPr>
        <w:rPr>
          <w:sz w:val="20"/>
          <w:szCs w:val="20"/>
          <w:u w:val="single"/>
        </w:rPr>
      </w:pPr>
      <w:r w:rsidRPr="001B157C">
        <w:rPr>
          <w:sz w:val="20"/>
          <w:szCs w:val="20"/>
          <w:u w:val="single"/>
        </w:rPr>
        <w:t>CASE SUMMARY</w:t>
      </w:r>
    </w:p>
    <w:p w:rsidR="001346D6" w:rsidRDefault="001346D6" w:rsidP="001346D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46D6" w:rsidRPr="00E007CB" w:rsidTr="00CD41B1">
        <w:tc>
          <w:tcPr>
            <w:tcW w:w="5000" w:type="pct"/>
            <w:gridSpan w:val="3"/>
          </w:tcPr>
          <w:p w:rsidR="001346D6" w:rsidRDefault="001346D6" w:rsidP="00CD41B1">
            <w:pPr>
              <w:jc w:val="both"/>
              <w:rPr>
                <w:sz w:val="20"/>
              </w:rPr>
            </w:pPr>
            <w:r w:rsidRPr="007F2DB8">
              <w:rPr>
                <w:sz w:val="20"/>
              </w:rPr>
              <w:t>Civil procedure – Time – Several applicants in separate actions seeking extension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p w:rsidR="001346D6" w:rsidRPr="00E007CB" w:rsidRDefault="001346D6" w:rsidP="00CD41B1">
            <w:pPr>
              <w:jc w:val="both"/>
              <w:rPr>
                <w:rFonts w:eastAsia="Calibri"/>
                <w:sz w:val="20"/>
              </w:rPr>
            </w:pPr>
          </w:p>
        </w:tc>
      </w:tr>
      <w:tr w:rsidR="001346D6" w:rsidRPr="00E007CB" w:rsidTr="00CD41B1">
        <w:tc>
          <w:tcPr>
            <w:tcW w:w="5000" w:type="pct"/>
            <w:gridSpan w:val="3"/>
          </w:tcPr>
          <w:p w:rsidR="001346D6" w:rsidRPr="007F2DB8" w:rsidRDefault="001346D6" w:rsidP="001346D6">
            <w:pPr>
              <w:jc w:val="both"/>
              <w:rPr>
                <w:sz w:val="20"/>
              </w:rPr>
            </w:pPr>
            <w:r w:rsidRPr="007F2DB8">
              <w:rPr>
                <w:sz w:val="20"/>
              </w:rPr>
              <w:t xml:space="preserve">The applicant had been issued a permit that allowed him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w:t>
            </w:r>
            <w:r w:rsidRPr="007F2DB8">
              <w:rPr>
                <w:sz w:val="20"/>
              </w:rPr>
              <w:lastRenderedPageBreak/>
              <w:t>those plaintiffs were also granted interlocutory injunctive relief, exempting them from the new regime. The applicant brought a motion for an extension of time to appeal the December 30, 2014 Federal Court order in the related case.</w:t>
            </w:r>
          </w:p>
          <w:p w:rsidR="001346D6" w:rsidRPr="00E007CB" w:rsidRDefault="001346D6" w:rsidP="00CD41B1">
            <w:pPr>
              <w:jc w:val="both"/>
              <w:rPr>
                <w:rFonts w:eastAsia="Calibri"/>
                <w:sz w:val="20"/>
              </w:rPr>
            </w:pPr>
          </w:p>
        </w:tc>
      </w:tr>
      <w:tr w:rsidR="001346D6" w:rsidRPr="00E007CB" w:rsidTr="00CD41B1">
        <w:trPr>
          <w:cantSplit/>
        </w:trPr>
        <w:tc>
          <w:tcPr>
            <w:tcW w:w="2427" w:type="pct"/>
          </w:tcPr>
          <w:p w:rsidR="001346D6" w:rsidRPr="007F2DB8" w:rsidRDefault="001346D6" w:rsidP="001346D6">
            <w:pPr>
              <w:jc w:val="both"/>
              <w:rPr>
                <w:sz w:val="20"/>
              </w:rPr>
            </w:pPr>
            <w:r w:rsidRPr="007F2DB8">
              <w:rPr>
                <w:sz w:val="20"/>
              </w:rPr>
              <w:lastRenderedPageBreak/>
              <w:t>December 30, 2014</w:t>
            </w:r>
          </w:p>
          <w:p w:rsidR="001346D6" w:rsidRPr="007F2DB8" w:rsidRDefault="001346D6" w:rsidP="001346D6">
            <w:pPr>
              <w:jc w:val="both"/>
              <w:rPr>
                <w:sz w:val="20"/>
              </w:rPr>
            </w:pPr>
            <w:r w:rsidRPr="007F2DB8">
              <w:rPr>
                <w:sz w:val="20"/>
              </w:rPr>
              <w:t>Federal Court</w:t>
            </w:r>
          </w:p>
          <w:p w:rsidR="001346D6" w:rsidRPr="007F2DB8" w:rsidRDefault="001346D6" w:rsidP="001346D6">
            <w:pPr>
              <w:jc w:val="both"/>
              <w:rPr>
                <w:sz w:val="20"/>
              </w:rPr>
            </w:pPr>
            <w:r w:rsidRPr="007F2DB8">
              <w:rPr>
                <w:sz w:val="20"/>
              </w:rPr>
              <w:t>(Manson J.)</w:t>
            </w:r>
          </w:p>
          <w:p w:rsidR="001346D6" w:rsidRPr="00E007CB" w:rsidRDefault="00C232E1" w:rsidP="001346D6">
            <w:pPr>
              <w:jc w:val="both"/>
              <w:rPr>
                <w:rFonts w:eastAsia="Calibri"/>
                <w:sz w:val="20"/>
              </w:rPr>
            </w:pPr>
            <w:hyperlink r:id="rId38" w:history="1">
              <w:r w:rsidR="001346D6" w:rsidRPr="007F2DB8">
                <w:rPr>
                  <w:rStyle w:val="Hyperlink"/>
                  <w:sz w:val="20"/>
                </w:rPr>
                <w:t>2014 FC 1260</w:t>
              </w:r>
            </w:hyperlink>
          </w:p>
        </w:tc>
        <w:tc>
          <w:tcPr>
            <w:tcW w:w="243" w:type="pct"/>
          </w:tcPr>
          <w:p w:rsidR="001346D6" w:rsidRPr="00E007CB" w:rsidRDefault="001346D6" w:rsidP="00CD41B1">
            <w:pPr>
              <w:jc w:val="both"/>
              <w:rPr>
                <w:rFonts w:eastAsia="Calibri"/>
                <w:sz w:val="20"/>
              </w:rPr>
            </w:pPr>
          </w:p>
        </w:tc>
        <w:tc>
          <w:tcPr>
            <w:tcW w:w="2330" w:type="pct"/>
          </w:tcPr>
          <w:p w:rsidR="001346D6" w:rsidRPr="007F2DB8" w:rsidRDefault="001346D6" w:rsidP="001346D6">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exemption from provisions of </w:t>
            </w:r>
            <w:r w:rsidRPr="007F2DB8">
              <w:rPr>
                <w:i/>
                <w:sz w:val="20"/>
              </w:rPr>
              <w:t>Marijuana for Medical Purposes Regulations</w:t>
            </w:r>
            <w:r w:rsidRPr="007F2DB8">
              <w:rPr>
                <w:sz w:val="20"/>
              </w:rPr>
              <w:t>, SOR/2013-119 granted in part</w:t>
            </w:r>
          </w:p>
          <w:p w:rsidR="001346D6" w:rsidRPr="00E007CB" w:rsidRDefault="001346D6" w:rsidP="00CD41B1">
            <w:pPr>
              <w:jc w:val="both"/>
              <w:rPr>
                <w:rFonts w:eastAsia="Calibri"/>
                <w:sz w:val="20"/>
              </w:rPr>
            </w:pPr>
          </w:p>
        </w:tc>
      </w:tr>
      <w:tr w:rsidR="001346D6" w:rsidRPr="00E007CB" w:rsidTr="00CD41B1">
        <w:trPr>
          <w:cantSplit/>
        </w:trPr>
        <w:tc>
          <w:tcPr>
            <w:tcW w:w="2427" w:type="pct"/>
          </w:tcPr>
          <w:p w:rsidR="001346D6" w:rsidRPr="007F2DB8" w:rsidRDefault="001346D6" w:rsidP="001346D6">
            <w:pPr>
              <w:jc w:val="both"/>
              <w:rPr>
                <w:sz w:val="20"/>
              </w:rPr>
            </w:pPr>
            <w:r w:rsidRPr="007F2DB8">
              <w:rPr>
                <w:sz w:val="20"/>
              </w:rPr>
              <w:t>April 14, 2015</w:t>
            </w:r>
          </w:p>
          <w:p w:rsidR="001346D6" w:rsidRPr="007F2DB8" w:rsidRDefault="001346D6" w:rsidP="001346D6">
            <w:pPr>
              <w:jc w:val="both"/>
              <w:rPr>
                <w:sz w:val="20"/>
              </w:rPr>
            </w:pPr>
            <w:r w:rsidRPr="007F2DB8">
              <w:rPr>
                <w:sz w:val="20"/>
              </w:rPr>
              <w:t>Federal Court of Appeal</w:t>
            </w:r>
          </w:p>
          <w:p w:rsidR="001346D6" w:rsidRPr="007F2DB8" w:rsidRDefault="001346D6" w:rsidP="001346D6">
            <w:pPr>
              <w:jc w:val="both"/>
              <w:rPr>
                <w:sz w:val="20"/>
              </w:rPr>
            </w:pPr>
            <w:r w:rsidRPr="007F2DB8">
              <w:rPr>
                <w:sz w:val="20"/>
              </w:rPr>
              <w:t>(Dawson J.A.)</w:t>
            </w:r>
          </w:p>
          <w:p w:rsidR="001346D6" w:rsidRDefault="001346D6" w:rsidP="001346D6">
            <w:pPr>
              <w:jc w:val="both"/>
              <w:rPr>
                <w:rFonts w:eastAsia="Calibri"/>
                <w:sz w:val="20"/>
              </w:rPr>
            </w:pPr>
            <w:r w:rsidRPr="007F2DB8">
              <w:rPr>
                <w:sz w:val="20"/>
              </w:rPr>
              <w:t>Unreported</w:t>
            </w:r>
          </w:p>
          <w:p w:rsidR="001346D6" w:rsidRPr="00E007CB" w:rsidRDefault="001346D6" w:rsidP="001346D6">
            <w:pPr>
              <w:jc w:val="both"/>
              <w:rPr>
                <w:rFonts w:eastAsia="Calibri"/>
                <w:sz w:val="20"/>
              </w:rPr>
            </w:pPr>
          </w:p>
        </w:tc>
        <w:tc>
          <w:tcPr>
            <w:tcW w:w="243" w:type="pct"/>
          </w:tcPr>
          <w:p w:rsidR="001346D6" w:rsidRPr="00E007CB" w:rsidRDefault="001346D6" w:rsidP="00CD41B1">
            <w:pPr>
              <w:jc w:val="both"/>
              <w:rPr>
                <w:rFonts w:eastAsia="Calibri"/>
                <w:sz w:val="20"/>
              </w:rPr>
            </w:pPr>
          </w:p>
        </w:tc>
        <w:tc>
          <w:tcPr>
            <w:tcW w:w="2330" w:type="pct"/>
          </w:tcPr>
          <w:p w:rsidR="001346D6" w:rsidRPr="007F2DB8" w:rsidRDefault="001346D6" w:rsidP="001346D6">
            <w:pPr>
              <w:ind w:right="90"/>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1346D6" w:rsidRPr="007F2DB8" w:rsidRDefault="001346D6" w:rsidP="00CD41B1">
            <w:pPr>
              <w:jc w:val="both"/>
              <w:rPr>
                <w:sz w:val="20"/>
              </w:rPr>
            </w:pPr>
          </w:p>
        </w:tc>
      </w:tr>
      <w:tr w:rsidR="001346D6" w:rsidRPr="00E007CB" w:rsidTr="00CD41B1">
        <w:trPr>
          <w:cantSplit/>
        </w:trPr>
        <w:tc>
          <w:tcPr>
            <w:tcW w:w="2427" w:type="pct"/>
          </w:tcPr>
          <w:p w:rsidR="001346D6" w:rsidRPr="00E007CB" w:rsidRDefault="001346D6" w:rsidP="00CD41B1">
            <w:pPr>
              <w:jc w:val="both"/>
              <w:rPr>
                <w:rFonts w:eastAsia="Calibri"/>
                <w:sz w:val="20"/>
              </w:rPr>
            </w:pPr>
            <w:r>
              <w:rPr>
                <w:rFonts w:eastAsia="Calibri"/>
                <w:sz w:val="20"/>
              </w:rPr>
              <w:t>June 15</w:t>
            </w:r>
            <w:r w:rsidRPr="00E007CB">
              <w:rPr>
                <w:rFonts w:eastAsia="Calibri"/>
                <w:sz w:val="20"/>
              </w:rPr>
              <w:t>, 201</w:t>
            </w:r>
            <w:r>
              <w:rPr>
                <w:rFonts w:eastAsia="Calibri"/>
                <w:sz w:val="20"/>
              </w:rPr>
              <w:t>5</w:t>
            </w:r>
          </w:p>
          <w:p w:rsidR="001346D6" w:rsidRPr="00E007CB" w:rsidRDefault="001346D6" w:rsidP="00CD41B1">
            <w:pPr>
              <w:jc w:val="both"/>
              <w:rPr>
                <w:rFonts w:eastAsia="Calibri"/>
                <w:sz w:val="20"/>
              </w:rPr>
            </w:pPr>
            <w:r w:rsidRPr="00E007CB">
              <w:rPr>
                <w:rFonts w:eastAsia="Calibri"/>
                <w:sz w:val="20"/>
              </w:rPr>
              <w:t>Supreme Court of Canada</w:t>
            </w:r>
          </w:p>
        </w:tc>
        <w:tc>
          <w:tcPr>
            <w:tcW w:w="243" w:type="pct"/>
          </w:tcPr>
          <w:p w:rsidR="001346D6" w:rsidRPr="00E007CB" w:rsidRDefault="001346D6" w:rsidP="00CD41B1">
            <w:pPr>
              <w:jc w:val="both"/>
              <w:rPr>
                <w:rFonts w:eastAsia="Calibri"/>
                <w:sz w:val="20"/>
              </w:rPr>
            </w:pPr>
          </w:p>
        </w:tc>
        <w:tc>
          <w:tcPr>
            <w:tcW w:w="2330" w:type="pct"/>
          </w:tcPr>
          <w:p w:rsidR="001346D6" w:rsidRPr="007F2DB8" w:rsidRDefault="001346D6" w:rsidP="001346D6">
            <w:pPr>
              <w:jc w:val="both"/>
              <w:rPr>
                <w:sz w:val="20"/>
              </w:rPr>
            </w:pPr>
            <w:r w:rsidRPr="007F2DB8">
              <w:rPr>
                <w:sz w:val="20"/>
              </w:rPr>
              <w:t>Application for leave to appeal filed</w:t>
            </w:r>
          </w:p>
          <w:p w:rsidR="001346D6" w:rsidRPr="007F2DB8" w:rsidRDefault="001346D6" w:rsidP="00CD41B1">
            <w:pPr>
              <w:jc w:val="both"/>
              <w:rPr>
                <w:sz w:val="20"/>
              </w:rPr>
            </w:pPr>
          </w:p>
        </w:tc>
      </w:tr>
    </w:tbl>
    <w:p w:rsidR="001346D6" w:rsidRDefault="001346D6" w:rsidP="001346D6">
      <w:pPr>
        <w:rPr>
          <w:sz w:val="20"/>
          <w:szCs w:val="20"/>
        </w:rPr>
      </w:pPr>
    </w:p>
    <w:p w:rsidR="001346D6" w:rsidRPr="00C50A5C" w:rsidRDefault="00C232E1" w:rsidP="001346D6">
      <w:pPr>
        <w:rPr>
          <w:sz w:val="20"/>
          <w:szCs w:val="20"/>
        </w:rPr>
      </w:pPr>
      <w:r>
        <w:rPr>
          <w:sz w:val="20"/>
          <w:szCs w:val="20"/>
          <w:lang w:val="fr-CA"/>
        </w:rPr>
        <w:pict>
          <v:rect id="_x0000_i1056" style="width:2in;height:1pt" o:hrpct="0" o:hralign="center" o:hrstd="t" o:hrnoshade="t" o:hr="t" fillcolor="black [3213]" stroked="f"/>
        </w:pict>
      </w:r>
    </w:p>
    <w:p w:rsidR="001346D6" w:rsidRDefault="001346D6" w:rsidP="001346D6">
      <w:pPr>
        <w:rPr>
          <w:sz w:val="20"/>
          <w:szCs w:val="20"/>
        </w:rPr>
      </w:pPr>
    </w:p>
    <w:p w:rsidR="001346D6" w:rsidRPr="001B157C" w:rsidRDefault="001346D6" w:rsidP="001346D6">
      <w:pPr>
        <w:rPr>
          <w:sz w:val="20"/>
          <w:szCs w:val="20"/>
          <w:u w:val="single"/>
          <w:lang w:val="fr-CA"/>
        </w:rPr>
      </w:pPr>
      <w:r w:rsidRPr="001B157C">
        <w:rPr>
          <w:sz w:val="20"/>
          <w:szCs w:val="20"/>
          <w:u w:val="single"/>
          <w:lang w:val="fr-CA"/>
        </w:rPr>
        <w:t>RÉSUMÉ DE L’AFFAIRE</w:t>
      </w:r>
    </w:p>
    <w:p w:rsidR="001346D6" w:rsidRDefault="001346D6" w:rsidP="001346D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46D6" w:rsidRPr="00002704" w:rsidTr="00CD41B1">
        <w:tc>
          <w:tcPr>
            <w:tcW w:w="5000" w:type="pct"/>
            <w:gridSpan w:val="3"/>
          </w:tcPr>
          <w:p w:rsidR="001346D6" w:rsidRDefault="001346D6" w:rsidP="00CD41B1">
            <w:pPr>
              <w:jc w:val="both"/>
              <w:rPr>
                <w:sz w:val="20"/>
                <w:lang w:val="fr-CA"/>
              </w:rPr>
            </w:pPr>
            <w:r w:rsidRPr="007F2DB8">
              <w:rPr>
                <w:sz w:val="20"/>
                <w:lang w:val="fr-CA"/>
              </w:rPr>
              <w:t xml:space="preserve">Procédure civile – Délais – Plusieurs demandeurs, dans des actions distinctes, sollicitent une prorogation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w:t>
            </w:r>
            <w:proofErr w:type="gramStart"/>
            <w:r w:rsidRPr="007F2DB8">
              <w:rPr>
                <w:sz w:val="20"/>
                <w:lang w:val="fr-CA"/>
              </w:rPr>
              <w:t>fédérale</w:t>
            </w:r>
            <w:proofErr w:type="gramEnd"/>
            <w:r w:rsidRPr="007F2DB8">
              <w:rPr>
                <w:sz w:val="20"/>
                <w:lang w:val="fr-CA"/>
              </w:rPr>
              <w:t xml:space="preserve"> a-t-elle eu tort de rejeter l’appel? – Y </w:t>
            </w:r>
            <w:proofErr w:type="spellStart"/>
            <w:r w:rsidRPr="007F2DB8">
              <w:rPr>
                <w:sz w:val="20"/>
                <w:lang w:val="fr-CA"/>
              </w:rPr>
              <w:t>a-t-il</w:t>
            </w:r>
            <w:proofErr w:type="spellEnd"/>
            <w:r w:rsidRPr="007F2DB8">
              <w:rPr>
                <w:sz w:val="20"/>
                <w:lang w:val="fr-CA"/>
              </w:rPr>
              <w:t xml:space="preserve"> lieu d’accorder au demandeur une exemption provisoire en attendant qu’il soit statué sur la demande d’autorisation d’appel?</w:t>
            </w:r>
          </w:p>
          <w:p w:rsidR="001346D6" w:rsidRPr="00E007CB" w:rsidRDefault="001346D6" w:rsidP="00CD41B1">
            <w:pPr>
              <w:jc w:val="both"/>
              <w:rPr>
                <w:rFonts w:eastAsia="Calibri"/>
                <w:sz w:val="20"/>
                <w:lang w:val="fr-CA"/>
              </w:rPr>
            </w:pPr>
          </w:p>
        </w:tc>
      </w:tr>
      <w:tr w:rsidR="001346D6" w:rsidRPr="00E007CB" w:rsidTr="00CD41B1">
        <w:tc>
          <w:tcPr>
            <w:tcW w:w="5000" w:type="pct"/>
            <w:gridSpan w:val="3"/>
          </w:tcPr>
          <w:p w:rsidR="001346D6" w:rsidRPr="007F2DB8" w:rsidRDefault="001346D6" w:rsidP="001346D6">
            <w:pPr>
              <w:jc w:val="both"/>
              <w:rPr>
                <w:sz w:val="20"/>
                <w:lang w:val="fr-CA"/>
              </w:rPr>
            </w:pPr>
            <w:r w:rsidRPr="007F2DB8">
              <w:rPr>
                <w:sz w:val="20"/>
                <w:lang w:val="fr-CA"/>
              </w:rPr>
              <w:t>Le demandeur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Le demandeur a présenté une requête en prorogation de délai pour interjeter appel de l’ordonnance prononcée le 30 décembre 2014 par la Cour fédérale dans l’affaire connexe.</w:t>
            </w:r>
          </w:p>
          <w:p w:rsidR="001346D6" w:rsidRPr="00E007CB" w:rsidRDefault="001346D6" w:rsidP="00CD41B1">
            <w:pPr>
              <w:jc w:val="both"/>
              <w:rPr>
                <w:sz w:val="20"/>
                <w:lang w:val="fr-CA"/>
              </w:rPr>
            </w:pPr>
          </w:p>
        </w:tc>
      </w:tr>
      <w:tr w:rsidR="001346D6" w:rsidRPr="00002704" w:rsidTr="00CD41B1">
        <w:trPr>
          <w:cantSplit/>
        </w:trPr>
        <w:tc>
          <w:tcPr>
            <w:tcW w:w="2427" w:type="pct"/>
          </w:tcPr>
          <w:p w:rsidR="001346D6" w:rsidRPr="007F2DB8" w:rsidRDefault="001346D6" w:rsidP="001346D6">
            <w:pPr>
              <w:jc w:val="both"/>
              <w:rPr>
                <w:sz w:val="20"/>
                <w:lang w:val="fr-CA"/>
              </w:rPr>
            </w:pPr>
            <w:r w:rsidRPr="007F2DB8">
              <w:rPr>
                <w:sz w:val="20"/>
                <w:lang w:val="fr-CA"/>
              </w:rPr>
              <w:t>30 décembre 2014</w:t>
            </w:r>
          </w:p>
          <w:p w:rsidR="001346D6" w:rsidRPr="007F2DB8" w:rsidRDefault="001346D6" w:rsidP="001346D6">
            <w:pPr>
              <w:jc w:val="both"/>
              <w:rPr>
                <w:sz w:val="20"/>
                <w:lang w:val="fr-CA"/>
              </w:rPr>
            </w:pPr>
            <w:r w:rsidRPr="007F2DB8">
              <w:rPr>
                <w:sz w:val="20"/>
                <w:lang w:val="fr-CA"/>
              </w:rPr>
              <w:t>Cour fédérale</w:t>
            </w:r>
          </w:p>
          <w:p w:rsidR="001346D6" w:rsidRPr="007F2DB8" w:rsidRDefault="001346D6" w:rsidP="001346D6">
            <w:pPr>
              <w:jc w:val="both"/>
              <w:rPr>
                <w:sz w:val="20"/>
                <w:lang w:val="fr-CA"/>
              </w:rPr>
            </w:pPr>
            <w:r w:rsidRPr="007F2DB8">
              <w:rPr>
                <w:sz w:val="20"/>
                <w:lang w:val="fr-CA"/>
              </w:rPr>
              <w:t xml:space="preserve">(Juge </w:t>
            </w:r>
            <w:proofErr w:type="spellStart"/>
            <w:r w:rsidRPr="007F2DB8">
              <w:rPr>
                <w:sz w:val="20"/>
                <w:lang w:val="fr-CA"/>
              </w:rPr>
              <w:t>Manson</w:t>
            </w:r>
            <w:proofErr w:type="spellEnd"/>
            <w:r w:rsidRPr="007F2DB8">
              <w:rPr>
                <w:sz w:val="20"/>
                <w:lang w:val="fr-CA"/>
              </w:rPr>
              <w:t>)</w:t>
            </w:r>
          </w:p>
          <w:p w:rsidR="001346D6" w:rsidRPr="00E007CB" w:rsidRDefault="00C232E1" w:rsidP="001346D6">
            <w:pPr>
              <w:jc w:val="both"/>
              <w:rPr>
                <w:rFonts w:eastAsia="Calibri"/>
                <w:sz w:val="20"/>
                <w:lang w:val="fr-CA"/>
              </w:rPr>
            </w:pPr>
            <w:hyperlink r:id="rId39" w:history="1">
              <w:r w:rsidR="001346D6" w:rsidRPr="007F2DB8">
                <w:rPr>
                  <w:rStyle w:val="Hyperlink"/>
                  <w:sz w:val="20"/>
                  <w:lang w:val="fr-CA"/>
                </w:rPr>
                <w:t>2014 FC 1260</w:t>
              </w:r>
            </w:hyperlink>
          </w:p>
        </w:tc>
        <w:tc>
          <w:tcPr>
            <w:tcW w:w="243" w:type="pct"/>
          </w:tcPr>
          <w:p w:rsidR="001346D6" w:rsidRPr="00E007CB" w:rsidRDefault="001346D6" w:rsidP="00CD41B1">
            <w:pPr>
              <w:jc w:val="both"/>
              <w:rPr>
                <w:rFonts w:eastAsia="Calibri"/>
                <w:sz w:val="20"/>
                <w:lang w:val="fr-CA"/>
              </w:rPr>
            </w:pPr>
          </w:p>
        </w:tc>
        <w:tc>
          <w:tcPr>
            <w:tcW w:w="2330" w:type="pct"/>
          </w:tcPr>
          <w:p w:rsidR="001346D6" w:rsidRPr="007F2DB8" w:rsidRDefault="001346D6" w:rsidP="001346D6">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exemption interlocutoire à l’égard des dispositions du </w:t>
            </w:r>
            <w:r w:rsidRPr="007F2DB8">
              <w:rPr>
                <w:i/>
                <w:sz w:val="20"/>
                <w:lang w:val="fr-CA"/>
              </w:rPr>
              <w:t>Règlement sur la marihuana à des fins médicales</w:t>
            </w:r>
            <w:r w:rsidRPr="007F2DB8">
              <w:rPr>
                <w:sz w:val="20"/>
                <w:lang w:val="fr-CA"/>
              </w:rPr>
              <w:t>, DORS/2013-119</w:t>
            </w:r>
          </w:p>
          <w:p w:rsidR="001346D6" w:rsidRPr="00E007CB" w:rsidRDefault="001346D6" w:rsidP="00CD41B1">
            <w:pPr>
              <w:jc w:val="both"/>
              <w:rPr>
                <w:rFonts w:eastAsia="Calibri"/>
                <w:sz w:val="20"/>
                <w:lang w:val="fr-CA"/>
              </w:rPr>
            </w:pPr>
          </w:p>
        </w:tc>
      </w:tr>
      <w:tr w:rsidR="001346D6" w:rsidRPr="00002704" w:rsidTr="00CD41B1">
        <w:trPr>
          <w:cantSplit/>
        </w:trPr>
        <w:tc>
          <w:tcPr>
            <w:tcW w:w="2427" w:type="pct"/>
          </w:tcPr>
          <w:p w:rsidR="001346D6" w:rsidRPr="007F2DB8" w:rsidRDefault="001346D6" w:rsidP="001346D6">
            <w:pPr>
              <w:jc w:val="both"/>
              <w:rPr>
                <w:sz w:val="20"/>
                <w:lang w:val="fr-CA"/>
              </w:rPr>
            </w:pPr>
            <w:r w:rsidRPr="007F2DB8">
              <w:rPr>
                <w:sz w:val="20"/>
                <w:lang w:val="fr-CA"/>
              </w:rPr>
              <w:t>14 avril 2015</w:t>
            </w:r>
          </w:p>
          <w:p w:rsidR="001346D6" w:rsidRPr="007F2DB8" w:rsidRDefault="001346D6" w:rsidP="001346D6">
            <w:pPr>
              <w:jc w:val="both"/>
              <w:rPr>
                <w:sz w:val="20"/>
                <w:lang w:val="fr-CA"/>
              </w:rPr>
            </w:pPr>
            <w:r w:rsidRPr="007F2DB8">
              <w:rPr>
                <w:sz w:val="20"/>
                <w:lang w:val="fr-CA"/>
              </w:rPr>
              <w:t>Cour d’appel fédérale</w:t>
            </w:r>
          </w:p>
          <w:p w:rsidR="001346D6" w:rsidRPr="007F2DB8" w:rsidRDefault="001346D6" w:rsidP="001346D6">
            <w:pPr>
              <w:jc w:val="both"/>
              <w:rPr>
                <w:sz w:val="20"/>
                <w:lang w:val="fr-CA"/>
              </w:rPr>
            </w:pPr>
            <w:r w:rsidRPr="007F2DB8">
              <w:rPr>
                <w:sz w:val="20"/>
                <w:lang w:val="fr-CA"/>
              </w:rPr>
              <w:t>(Juge Dawson)</w:t>
            </w:r>
          </w:p>
          <w:p w:rsidR="001346D6" w:rsidRPr="00E007CB" w:rsidRDefault="001346D6" w:rsidP="001346D6">
            <w:pPr>
              <w:jc w:val="both"/>
              <w:rPr>
                <w:rFonts w:eastAsia="Calibri"/>
                <w:sz w:val="20"/>
                <w:lang w:val="fr-CA"/>
              </w:rPr>
            </w:pPr>
            <w:r w:rsidRPr="007F2DB8">
              <w:rPr>
                <w:sz w:val="20"/>
                <w:lang w:val="fr-CA"/>
              </w:rPr>
              <w:t>Non publié</w:t>
            </w:r>
            <w:r w:rsidRPr="00E007CB">
              <w:rPr>
                <w:rFonts w:eastAsia="Calibri"/>
                <w:sz w:val="20"/>
                <w:lang w:val="fr-CA"/>
              </w:rPr>
              <w:t xml:space="preserve"> </w:t>
            </w:r>
          </w:p>
        </w:tc>
        <w:tc>
          <w:tcPr>
            <w:tcW w:w="243" w:type="pct"/>
          </w:tcPr>
          <w:p w:rsidR="001346D6" w:rsidRPr="00E007CB" w:rsidRDefault="001346D6" w:rsidP="00CD41B1">
            <w:pPr>
              <w:jc w:val="both"/>
              <w:rPr>
                <w:rFonts w:eastAsia="Calibri"/>
                <w:sz w:val="20"/>
                <w:lang w:val="fr-CA"/>
              </w:rPr>
            </w:pPr>
          </w:p>
        </w:tc>
        <w:tc>
          <w:tcPr>
            <w:tcW w:w="2330" w:type="pct"/>
          </w:tcPr>
          <w:p w:rsidR="001346D6" w:rsidRPr="007F2DB8" w:rsidRDefault="001346D6" w:rsidP="001346D6">
            <w:pPr>
              <w:jc w:val="both"/>
              <w:rPr>
                <w:sz w:val="20"/>
                <w:lang w:val="fr-CA"/>
              </w:rPr>
            </w:pPr>
            <w:r w:rsidRPr="007F2DB8">
              <w:rPr>
                <w:sz w:val="20"/>
                <w:lang w:val="fr-CA"/>
              </w:rPr>
              <w:t xml:space="preserve">Rejet de la requête du demandeur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1346D6" w:rsidRPr="00E007CB" w:rsidRDefault="001346D6" w:rsidP="00CD41B1">
            <w:pPr>
              <w:jc w:val="both"/>
              <w:rPr>
                <w:rFonts w:eastAsia="Calibri"/>
                <w:sz w:val="20"/>
                <w:lang w:val="fr-CA"/>
              </w:rPr>
            </w:pPr>
          </w:p>
        </w:tc>
      </w:tr>
      <w:tr w:rsidR="001346D6" w:rsidRPr="00E007CB" w:rsidTr="00CD41B1">
        <w:trPr>
          <w:cantSplit/>
        </w:trPr>
        <w:tc>
          <w:tcPr>
            <w:tcW w:w="2427" w:type="pct"/>
          </w:tcPr>
          <w:p w:rsidR="001346D6" w:rsidRPr="00E007CB" w:rsidRDefault="001346D6" w:rsidP="001346D6">
            <w:pPr>
              <w:jc w:val="both"/>
              <w:rPr>
                <w:rFonts w:eastAsia="Calibri"/>
                <w:sz w:val="20"/>
                <w:lang w:val="fr-CA"/>
              </w:rPr>
            </w:pPr>
            <w:r>
              <w:rPr>
                <w:rFonts w:eastAsia="Calibri"/>
                <w:sz w:val="20"/>
                <w:lang w:val="fr-CA"/>
              </w:rPr>
              <w:t>15 juin</w:t>
            </w:r>
            <w:r w:rsidRPr="00E007CB">
              <w:rPr>
                <w:rFonts w:eastAsia="Calibri"/>
                <w:sz w:val="20"/>
                <w:lang w:val="fr-CA"/>
              </w:rPr>
              <w:t xml:space="preserve"> 201</w:t>
            </w:r>
            <w:r>
              <w:rPr>
                <w:rFonts w:eastAsia="Calibri"/>
                <w:sz w:val="20"/>
                <w:lang w:val="fr-CA"/>
              </w:rPr>
              <w:t>5</w:t>
            </w:r>
          </w:p>
          <w:p w:rsidR="001346D6" w:rsidRPr="00E007CB" w:rsidRDefault="001346D6" w:rsidP="001346D6">
            <w:pPr>
              <w:jc w:val="both"/>
              <w:rPr>
                <w:rFonts w:eastAsia="Calibri"/>
                <w:sz w:val="20"/>
                <w:lang w:val="fr-CA"/>
              </w:rPr>
            </w:pPr>
            <w:r w:rsidRPr="00E007CB">
              <w:rPr>
                <w:rFonts w:eastAsia="Calibri"/>
                <w:sz w:val="20"/>
                <w:lang w:val="fr-CA"/>
              </w:rPr>
              <w:t>Cour suprême du Canada</w:t>
            </w:r>
          </w:p>
        </w:tc>
        <w:tc>
          <w:tcPr>
            <w:tcW w:w="243" w:type="pct"/>
          </w:tcPr>
          <w:p w:rsidR="001346D6" w:rsidRPr="00E007CB" w:rsidRDefault="001346D6" w:rsidP="001346D6">
            <w:pPr>
              <w:jc w:val="both"/>
              <w:rPr>
                <w:rFonts w:eastAsia="Calibri"/>
                <w:sz w:val="20"/>
                <w:lang w:val="fr-CA"/>
              </w:rPr>
            </w:pPr>
          </w:p>
        </w:tc>
        <w:tc>
          <w:tcPr>
            <w:tcW w:w="2330" w:type="pct"/>
          </w:tcPr>
          <w:p w:rsidR="001346D6" w:rsidRPr="007F2DB8" w:rsidRDefault="001346D6" w:rsidP="001346D6">
            <w:pPr>
              <w:jc w:val="both"/>
              <w:rPr>
                <w:sz w:val="20"/>
                <w:lang w:val="fr-CA"/>
              </w:rPr>
            </w:pPr>
            <w:r w:rsidRPr="007F2DB8">
              <w:rPr>
                <w:sz w:val="20"/>
                <w:lang w:val="fr-CA"/>
              </w:rPr>
              <w:t>Dépôt de la demande d’autorisation d’appel</w:t>
            </w:r>
          </w:p>
        </w:tc>
      </w:tr>
    </w:tbl>
    <w:p w:rsidR="001346D6" w:rsidRDefault="001346D6" w:rsidP="001346D6">
      <w:pPr>
        <w:rPr>
          <w:sz w:val="20"/>
          <w:szCs w:val="20"/>
        </w:rPr>
      </w:pPr>
    </w:p>
    <w:p w:rsidR="001346D6" w:rsidRDefault="00C232E1" w:rsidP="001346D6">
      <w:pPr>
        <w:rPr>
          <w:sz w:val="20"/>
          <w:szCs w:val="20"/>
        </w:rPr>
      </w:pPr>
      <w:r>
        <w:rPr>
          <w:sz w:val="20"/>
          <w:szCs w:val="20"/>
          <w:lang w:val="fr-CA"/>
        </w:rPr>
        <w:pict>
          <v:rect id="_x0000_i1057" style="width:2in;height:1pt" o:hrpct="0" o:hralign="center" o:hrstd="t" o:hrnoshade="t" o:hr="t" fillcolor="black [3213]" stroked="f"/>
        </w:pict>
      </w:r>
    </w:p>
    <w:p w:rsidR="001346D6" w:rsidRDefault="001346D6" w:rsidP="001346D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671F9" w:rsidRPr="00A73D2C" w:rsidTr="00CD41B1">
        <w:trPr>
          <w:cantSplit/>
        </w:trPr>
        <w:tc>
          <w:tcPr>
            <w:tcW w:w="1458" w:type="dxa"/>
          </w:tcPr>
          <w:p w:rsidR="008671F9" w:rsidRPr="00A73D2C" w:rsidRDefault="008671F9" w:rsidP="00CD41B1">
            <w:pPr>
              <w:rPr>
                <w:sz w:val="20"/>
                <w:szCs w:val="20"/>
              </w:rPr>
            </w:pPr>
            <w:r w:rsidRPr="00A73D2C">
              <w:rPr>
                <w:rStyle w:val="SCCFileNumberChar"/>
                <w:sz w:val="20"/>
                <w:szCs w:val="20"/>
              </w:rPr>
              <w:t>3</w:t>
            </w:r>
            <w:r>
              <w:rPr>
                <w:rStyle w:val="SCCFileNumberChar"/>
                <w:sz w:val="20"/>
                <w:szCs w:val="20"/>
              </w:rPr>
              <w:t>6483</w:t>
            </w:r>
          </w:p>
          <w:p w:rsidR="008671F9" w:rsidRPr="00A73D2C" w:rsidRDefault="008671F9" w:rsidP="00CD41B1">
            <w:pPr>
              <w:rPr>
                <w:b/>
                <w:sz w:val="20"/>
                <w:szCs w:val="20"/>
                <w:lang w:val="fr-CA"/>
              </w:rPr>
            </w:pPr>
          </w:p>
        </w:tc>
        <w:tc>
          <w:tcPr>
            <w:tcW w:w="8118" w:type="dxa"/>
          </w:tcPr>
          <w:p w:rsidR="008671F9" w:rsidRPr="00A73D2C" w:rsidRDefault="008671F9" w:rsidP="00CD41B1">
            <w:pPr>
              <w:rPr>
                <w:sz w:val="20"/>
                <w:szCs w:val="20"/>
              </w:rPr>
            </w:pPr>
            <w:r w:rsidRPr="008671F9">
              <w:rPr>
                <w:rStyle w:val="SCCLsocChar"/>
                <w:sz w:val="20"/>
                <w:szCs w:val="20"/>
                <w:lang w:val="en-CA"/>
              </w:rPr>
              <w:t>Colleen Margaret Abbott v. Her Majesty the Queen</w:t>
            </w:r>
            <w:r w:rsidRPr="00A73D2C">
              <w:rPr>
                <w:sz w:val="20"/>
                <w:szCs w:val="20"/>
              </w:rPr>
              <w:t xml:space="preserve"> (</w:t>
            </w:r>
            <w:r>
              <w:rPr>
                <w:sz w:val="20"/>
                <w:szCs w:val="20"/>
              </w:rPr>
              <w:t>F.C</w:t>
            </w:r>
            <w:r w:rsidRPr="00A73D2C">
              <w:rPr>
                <w:sz w:val="20"/>
                <w:szCs w:val="20"/>
              </w:rPr>
              <w:t>) (Civil) (By Leave)</w:t>
            </w:r>
          </w:p>
          <w:p w:rsidR="008671F9" w:rsidRPr="00A73D2C" w:rsidRDefault="008671F9" w:rsidP="00CD41B1">
            <w:pPr>
              <w:rPr>
                <w:sz w:val="20"/>
                <w:szCs w:val="20"/>
              </w:rPr>
            </w:pPr>
          </w:p>
        </w:tc>
      </w:tr>
      <w:tr w:rsidR="008671F9" w:rsidRPr="00A73D2C" w:rsidTr="00CD41B1">
        <w:trPr>
          <w:cantSplit/>
        </w:trPr>
        <w:tc>
          <w:tcPr>
            <w:tcW w:w="1458" w:type="dxa"/>
          </w:tcPr>
          <w:p w:rsidR="008671F9" w:rsidRPr="00A73D2C" w:rsidRDefault="008671F9" w:rsidP="00CD41B1">
            <w:pPr>
              <w:rPr>
                <w:sz w:val="20"/>
                <w:szCs w:val="20"/>
              </w:rPr>
            </w:pPr>
            <w:r w:rsidRPr="00A73D2C">
              <w:rPr>
                <w:sz w:val="20"/>
                <w:szCs w:val="20"/>
              </w:rPr>
              <w:t>Coram :</w:t>
            </w:r>
          </w:p>
        </w:tc>
        <w:tc>
          <w:tcPr>
            <w:tcW w:w="8118" w:type="dxa"/>
          </w:tcPr>
          <w:p w:rsidR="008671F9" w:rsidRDefault="006F572A" w:rsidP="00CD41B1">
            <w:pPr>
              <w:rPr>
                <w:rStyle w:val="SCCCoramChar"/>
                <w:sz w:val="20"/>
                <w:szCs w:val="20"/>
                <w:lang w:val="en-CA"/>
              </w:rPr>
            </w:pPr>
            <w:r w:rsidRPr="006F572A">
              <w:rPr>
                <w:rStyle w:val="SCCCoramChar"/>
                <w:sz w:val="20"/>
                <w:szCs w:val="20"/>
                <w:lang w:val="en-CA"/>
              </w:rPr>
              <w:t>McLachlin C.J. and Moldaver and Gascon JJ.</w:t>
            </w:r>
          </w:p>
          <w:p w:rsidR="006F572A" w:rsidRPr="00A73D2C" w:rsidRDefault="006F572A" w:rsidP="00CD41B1">
            <w:pPr>
              <w:rPr>
                <w:sz w:val="20"/>
                <w:szCs w:val="20"/>
                <w:u w:val="single"/>
              </w:rPr>
            </w:pPr>
          </w:p>
        </w:tc>
      </w:tr>
      <w:tr w:rsidR="008671F9" w:rsidRPr="00002704" w:rsidTr="00CD41B1">
        <w:trPr>
          <w:cantSplit/>
        </w:trPr>
        <w:tc>
          <w:tcPr>
            <w:tcW w:w="9576" w:type="dxa"/>
            <w:gridSpan w:val="2"/>
          </w:tcPr>
          <w:p w:rsidR="006F572A" w:rsidRDefault="006F572A" w:rsidP="006F572A">
            <w:pPr>
              <w:pStyle w:val="SCCShortJudgment"/>
            </w:pPr>
            <w:r>
              <w:t>The motion for interim relief is dismissed. The application for leave to appeal from the judgment of the Federal Court of Appeal, Number 15-A-6, dated April 14, 2015, is dismissed for want of jurisdiction.</w:t>
            </w:r>
          </w:p>
          <w:p w:rsidR="006F572A" w:rsidRDefault="006F572A" w:rsidP="006F572A">
            <w:pPr>
              <w:pStyle w:val="SCCShortJudgment"/>
              <w:ind w:firstLine="0"/>
            </w:pPr>
          </w:p>
          <w:p w:rsidR="008671F9" w:rsidRPr="00A73D2C" w:rsidRDefault="006F572A" w:rsidP="006F572A">
            <w:pPr>
              <w:pStyle w:val="SCCShortJudgment"/>
              <w:rPr>
                <w:szCs w:val="20"/>
                <w:lang w:val="fr-CA"/>
              </w:rPr>
            </w:pPr>
            <w:r>
              <w:t xml:space="preserve">La </w:t>
            </w:r>
            <w:proofErr w:type="spellStart"/>
            <w:r>
              <w:t>requête</w:t>
            </w:r>
            <w:proofErr w:type="spellEnd"/>
            <w:r>
              <w:t xml:space="preserve"> pour </w:t>
            </w:r>
            <w:proofErr w:type="spellStart"/>
            <w:r>
              <w:t>mesure</w:t>
            </w:r>
            <w:proofErr w:type="spellEnd"/>
            <w:r>
              <w:t xml:space="preserve"> </w:t>
            </w:r>
            <w:proofErr w:type="spellStart"/>
            <w:r>
              <w:t>provisoire</w:t>
            </w:r>
            <w:proofErr w:type="spellEnd"/>
            <w:r>
              <w:t xml:space="preserve"> </w:t>
            </w:r>
            <w:proofErr w:type="spellStart"/>
            <w:r>
              <w:t>est</w:t>
            </w:r>
            <w:proofErr w:type="spellEnd"/>
            <w:r>
              <w:t xml:space="preserve"> </w:t>
            </w:r>
            <w:proofErr w:type="spellStart"/>
            <w:r>
              <w:t>rejetée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15-A-6, </w:t>
            </w:r>
            <w:proofErr w:type="spellStart"/>
            <w:r>
              <w:t>daté</w:t>
            </w:r>
            <w:proofErr w:type="spellEnd"/>
            <w:r>
              <w:t xml:space="preserve"> du 14 </w:t>
            </w:r>
            <w:proofErr w:type="spellStart"/>
            <w:r>
              <w:t>avril</w:t>
            </w:r>
            <w:proofErr w:type="spellEnd"/>
            <w:r>
              <w:t xml:space="preserve"> 2015, </w:t>
            </w:r>
            <w:proofErr w:type="spellStart"/>
            <w:r>
              <w:t>est</w:t>
            </w:r>
            <w:proofErr w:type="spellEnd"/>
            <w:r>
              <w:t xml:space="preserve"> </w:t>
            </w:r>
            <w:proofErr w:type="spellStart"/>
            <w:r>
              <w:t>rejetée</w:t>
            </w:r>
            <w:proofErr w:type="spellEnd"/>
            <w:r>
              <w:t xml:space="preserve"> pour </w:t>
            </w:r>
            <w:proofErr w:type="spellStart"/>
            <w:r>
              <w:t>défaut</w:t>
            </w:r>
            <w:proofErr w:type="spellEnd"/>
            <w:r>
              <w:t xml:space="preserve"> de </w:t>
            </w:r>
            <w:proofErr w:type="spellStart"/>
            <w:r>
              <w:t>compétence</w:t>
            </w:r>
            <w:proofErr w:type="spellEnd"/>
            <w:r>
              <w:t>.</w:t>
            </w:r>
          </w:p>
        </w:tc>
      </w:tr>
    </w:tbl>
    <w:p w:rsidR="008671F9" w:rsidRPr="0016547E" w:rsidRDefault="008671F9" w:rsidP="008671F9">
      <w:pPr>
        <w:rPr>
          <w:sz w:val="20"/>
          <w:szCs w:val="20"/>
          <w:lang w:val="fr-CA"/>
        </w:rPr>
      </w:pPr>
    </w:p>
    <w:p w:rsidR="008671F9" w:rsidRPr="001B157C" w:rsidRDefault="008671F9" w:rsidP="008671F9">
      <w:pPr>
        <w:rPr>
          <w:sz w:val="20"/>
          <w:szCs w:val="20"/>
          <w:u w:val="single"/>
        </w:rPr>
      </w:pPr>
      <w:r w:rsidRPr="001B157C">
        <w:rPr>
          <w:sz w:val="20"/>
          <w:szCs w:val="20"/>
          <w:u w:val="single"/>
        </w:rPr>
        <w:t>CASE SUMMARY</w:t>
      </w:r>
    </w:p>
    <w:p w:rsidR="008671F9" w:rsidRDefault="008671F9" w:rsidP="008671F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671F9" w:rsidRPr="00E007CB" w:rsidTr="00CD41B1">
        <w:tc>
          <w:tcPr>
            <w:tcW w:w="5000" w:type="pct"/>
            <w:gridSpan w:val="3"/>
          </w:tcPr>
          <w:p w:rsidR="008671F9" w:rsidRDefault="008671F9" w:rsidP="00CD41B1">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p w:rsidR="008671F9" w:rsidRPr="00E007CB" w:rsidRDefault="008671F9" w:rsidP="00CD41B1">
            <w:pPr>
              <w:jc w:val="both"/>
              <w:rPr>
                <w:rFonts w:eastAsia="Calibri"/>
                <w:sz w:val="20"/>
              </w:rPr>
            </w:pPr>
          </w:p>
        </w:tc>
      </w:tr>
      <w:tr w:rsidR="008671F9" w:rsidRPr="00E007CB" w:rsidTr="00CD41B1">
        <w:tc>
          <w:tcPr>
            <w:tcW w:w="5000" w:type="pct"/>
            <w:gridSpan w:val="3"/>
          </w:tcPr>
          <w:p w:rsidR="008671F9" w:rsidRPr="007F2DB8" w:rsidRDefault="008671F9" w:rsidP="008671F9">
            <w:pPr>
              <w:jc w:val="both"/>
              <w:rPr>
                <w:sz w:val="20"/>
              </w:rPr>
            </w:pPr>
            <w:r w:rsidRPr="007F2DB8">
              <w:rPr>
                <w:sz w:val="20"/>
              </w:rPr>
              <w:t>The applicant had been issued a permit that allowed her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8671F9" w:rsidRPr="00E007CB" w:rsidRDefault="008671F9" w:rsidP="00CD41B1">
            <w:pPr>
              <w:jc w:val="both"/>
              <w:rPr>
                <w:rFonts w:eastAsia="Calibri"/>
                <w:sz w:val="20"/>
              </w:rPr>
            </w:pPr>
          </w:p>
        </w:tc>
      </w:tr>
      <w:tr w:rsidR="008671F9" w:rsidRPr="00E007CB" w:rsidTr="00CD41B1">
        <w:trPr>
          <w:cantSplit/>
        </w:trPr>
        <w:tc>
          <w:tcPr>
            <w:tcW w:w="2427" w:type="pct"/>
          </w:tcPr>
          <w:p w:rsidR="008671F9" w:rsidRPr="007F2DB8" w:rsidRDefault="008671F9" w:rsidP="008671F9">
            <w:pPr>
              <w:jc w:val="both"/>
              <w:rPr>
                <w:sz w:val="20"/>
              </w:rPr>
            </w:pPr>
            <w:r w:rsidRPr="007F2DB8">
              <w:rPr>
                <w:sz w:val="20"/>
              </w:rPr>
              <w:t>March 21, 2014</w:t>
            </w:r>
          </w:p>
          <w:p w:rsidR="008671F9" w:rsidRPr="007F2DB8" w:rsidRDefault="008671F9" w:rsidP="008671F9">
            <w:pPr>
              <w:jc w:val="both"/>
              <w:rPr>
                <w:sz w:val="20"/>
              </w:rPr>
            </w:pPr>
            <w:r w:rsidRPr="007F2DB8">
              <w:rPr>
                <w:sz w:val="20"/>
              </w:rPr>
              <w:t>Federal Court</w:t>
            </w:r>
          </w:p>
          <w:p w:rsidR="008671F9" w:rsidRPr="007F2DB8" w:rsidRDefault="008671F9" w:rsidP="008671F9">
            <w:pPr>
              <w:jc w:val="both"/>
              <w:rPr>
                <w:sz w:val="20"/>
              </w:rPr>
            </w:pPr>
            <w:r w:rsidRPr="007F2DB8">
              <w:rPr>
                <w:sz w:val="20"/>
              </w:rPr>
              <w:t>(Manson J.)</w:t>
            </w:r>
          </w:p>
          <w:p w:rsidR="008671F9" w:rsidRPr="00E007CB" w:rsidRDefault="00C232E1" w:rsidP="008671F9">
            <w:pPr>
              <w:jc w:val="both"/>
              <w:rPr>
                <w:rFonts w:eastAsia="Calibri"/>
                <w:sz w:val="20"/>
              </w:rPr>
            </w:pPr>
            <w:hyperlink r:id="rId40" w:history="1">
              <w:r w:rsidR="008671F9" w:rsidRPr="007F2DB8">
                <w:rPr>
                  <w:rStyle w:val="Hyperlink"/>
                  <w:sz w:val="20"/>
                </w:rPr>
                <w:t>2014 FC 1260</w:t>
              </w:r>
            </w:hyperlink>
          </w:p>
        </w:tc>
        <w:tc>
          <w:tcPr>
            <w:tcW w:w="243" w:type="pct"/>
          </w:tcPr>
          <w:p w:rsidR="008671F9" w:rsidRPr="00E007CB" w:rsidRDefault="008671F9" w:rsidP="00CD41B1">
            <w:pPr>
              <w:jc w:val="both"/>
              <w:rPr>
                <w:rFonts w:eastAsia="Calibri"/>
                <w:sz w:val="20"/>
              </w:rPr>
            </w:pPr>
          </w:p>
        </w:tc>
        <w:tc>
          <w:tcPr>
            <w:tcW w:w="2330" w:type="pct"/>
          </w:tcPr>
          <w:p w:rsidR="008671F9" w:rsidRPr="007F2DB8" w:rsidRDefault="008671F9" w:rsidP="008671F9">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granted in part</w:t>
            </w:r>
          </w:p>
          <w:p w:rsidR="008671F9" w:rsidRPr="00E007CB" w:rsidRDefault="008671F9" w:rsidP="00CD41B1">
            <w:pPr>
              <w:jc w:val="both"/>
              <w:rPr>
                <w:rFonts w:eastAsia="Calibri"/>
                <w:sz w:val="20"/>
              </w:rPr>
            </w:pPr>
          </w:p>
        </w:tc>
      </w:tr>
      <w:tr w:rsidR="008671F9" w:rsidRPr="00E007CB" w:rsidTr="00CD41B1">
        <w:trPr>
          <w:cantSplit/>
        </w:trPr>
        <w:tc>
          <w:tcPr>
            <w:tcW w:w="2427" w:type="pct"/>
          </w:tcPr>
          <w:p w:rsidR="008671F9" w:rsidRPr="007F2DB8" w:rsidRDefault="008671F9" w:rsidP="008671F9">
            <w:pPr>
              <w:jc w:val="both"/>
              <w:rPr>
                <w:sz w:val="20"/>
              </w:rPr>
            </w:pPr>
            <w:r w:rsidRPr="007F2DB8">
              <w:rPr>
                <w:sz w:val="20"/>
              </w:rPr>
              <w:t>April 14, 2015</w:t>
            </w:r>
          </w:p>
          <w:p w:rsidR="008671F9" w:rsidRPr="007F2DB8" w:rsidRDefault="008671F9" w:rsidP="008671F9">
            <w:pPr>
              <w:jc w:val="both"/>
              <w:rPr>
                <w:sz w:val="20"/>
              </w:rPr>
            </w:pPr>
            <w:r w:rsidRPr="007F2DB8">
              <w:rPr>
                <w:sz w:val="20"/>
              </w:rPr>
              <w:t>Federal Court of Appeal</w:t>
            </w:r>
          </w:p>
          <w:p w:rsidR="008671F9" w:rsidRPr="007F2DB8" w:rsidRDefault="008671F9" w:rsidP="008671F9">
            <w:pPr>
              <w:jc w:val="both"/>
              <w:rPr>
                <w:sz w:val="20"/>
              </w:rPr>
            </w:pPr>
            <w:r w:rsidRPr="007F2DB8">
              <w:rPr>
                <w:sz w:val="20"/>
              </w:rPr>
              <w:t>(Dawson J.A.)</w:t>
            </w:r>
          </w:p>
          <w:p w:rsidR="008671F9" w:rsidRDefault="008671F9" w:rsidP="008671F9">
            <w:pPr>
              <w:jc w:val="both"/>
              <w:rPr>
                <w:rFonts w:eastAsia="Calibri"/>
                <w:sz w:val="20"/>
              </w:rPr>
            </w:pPr>
            <w:r w:rsidRPr="007F2DB8">
              <w:rPr>
                <w:sz w:val="20"/>
              </w:rPr>
              <w:t>Unreported</w:t>
            </w:r>
            <w:r w:rsidRPr="00E007CB">
              <w:rPr>
                <w:rFonts w:eastAsia="Calibri"/>
                <w:sz w:val="20"/>
              </w:rPr>
              <w:t xml:space="preserve"> </w:t>
            </w:r>
          </w:p>
          <w:p w:rsidR="008671F9" w:rsidRPr="00E007CB" w:rsidRDefault="008671F9" w:rsidP="008671F9">
            <w:pPr>
              <w:jc w:val="both"/>
              <w:rPr>
                <w:rFonts w:eastAsia="Calibri"/>
                <w:sz w:val="20"/>
              </w:rPr>
            </w:pPr>
          </w:p>
        </w:tc>
        <w:tc>
          <w:tcPr>
            <w:tcW w:w="243" w:type="pct"/>
          </w:tcPr>
          <w:p w:rsidR="008671F9" w:rsidRPr="00E007CB" w:rsidRDefault="008671F9" w:rsidP="00CD41B1">
            <w:pPr>
              <w:jc w:val="both"/>
              <w:rPr>
                <w:rFonts w:eastAsia="Calibri"/>
                <w:sz w:val="20"/>
              </w:rPr>
            </w:pPr>
          </w:p>
        </w:tc>
        <w:tc>
          <w:tcPr>
            <w:tcW w:w="2330" w:type="pct"/>
          </w:tcPr>
          <w:p w:rsidR="008671F9" w:rsidRPr="007F2DB8" w:rsidRDefault="008671F9" w:rsidP="008671F9">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8671F9" w:rsidRPr="007F2DB8" w:rsidRDefault="008671F9" w:rsidP="00CD41B1">
            <w:pPr>
              <w:jc w:val="both"/>
              <w:rPr>
                <w:sz w:val="20"/>
              </w:rPr>
            </w:pPr>
          </w:p>
        </w:tc>
      </w:tr>
      <w:tr w:rsidR="008671F9" w:rsidRPr="00E007CB" w:rsidTr="00CD41B1">
        <w:trPr>
          <w:cantSplit/>
        </w:trPr>
        <w:tc>
          <w:tcPr>
            <w:tcW w:w="2427" w:type="pct"/>
          </w:tcPr>
          <w:p w:rsidR="008671F9" w:rsidRPr="00E007CB" w:rsidRDefault="008671F9" w:rsidP="00CD41B1">
            <w:pPr>
              <w:jc w:val="both"/>
              <w:rPr>
                <w:rFonts w:eastAsia="Calibri"/>
                <w:sz w:val="20"/>
              </w:rPr>
            </w:pPr>
            <w:r>
              <w:rPr>
                <w:rFonts w:eastAsia="Calibri"/>
                <w:sz w:val="20"/>
              </w:rPr>
              <w:t>June 15</w:t>
            </w:r>
            <w:r w:rsidRPr="00E007CB">
              <w:rPr>
                <w:rFonts w:eastAsia="Calibri"/>
                <w:sz w:val="20"/>
              </w:rPr>
              <w:t>, 201</w:t>
            </w:r>
            <w:r>
              <w:rPr>
                <w:rFonts w:eastAsia="Calibri"/>
                <w:sz w:val="20"/>
              </w:rPr>
              <w:t>5</w:t>
            </w:r>
          </w:p>
          <w:p w:rsidR="008671F9" w:rsidRPr="00E007CB" w:rsidRDefault="008671F9" w:rsidP="00CD41B1">
            <w:pPr>
              <w:jc w:val="both"/>
              <w:rPr>
                <w:rFonts w:eastAsia="Calibri"/>
                <w:sz w:val="20"/>
              </w:rPr>
            </w:pPr>
            <w:r w:rsidRPr="00E007CB">
              <w:rPr>
                <w:rFonts w:eastAsia="Calibri"/>
                <w:sz w:val="20"/>
              </w:rPr>
              <w:t>Supreme Court of Canada</w:t>
            </w:r>
          </w:p>
        </w:tc>
        <w:tc>
          <w:tcPr>
            <w:tcW w:w="243" w:type="pct"/>
          </w:tcPr>
          <w:p w:rsidR="008671F9" w:rsidRPr="00E007CB" w:rsidRDefault="008671F9" w:rsidP="00CD41B1">
            <w:pPr>
              <w:jc w:val="both"/>
              <w:rPr>
                <w:rFonts w:eastAsia="Calibri"/>
                <w:sz w:val="20"/>
              </w:rPr>
            </w:pPr>
          </w:p>
        </w:tc>
        <w:tc>
          <w:tcPr>
            <w:tcW w:w="2330" w:type="pct"/>
          </w:tcPr>
          <w:p w:rsidR="008671F9" w:rsidRPr="007F2DB8" w:rsidRDefault="008671F9" w:rsidP="00CD41B1">
            <w:pPr>
              <w:jc w:val="both"/>
              <w:rPr>
                <w:sz w:val="20"/>
              </w:rPr>
            </w:pPr>
            <w:r w:rsidRPr="007F2DB8">
              <w:rPr>
                <w:sz w:val="20"/>
              </w:rPr>
              <w:t>Application for leave to appeal filed</w:t>
            </w:r>
          </w:p>
          <w:p w:rsidR="008671F9" w:rsidRPr="007F2DB8" w:rsidRDefault="008671F9" w:rsidP="00CD41B1">
            <w:pPr>
              <w:jc w:val="both"/>
              <w:rPr>
                <w:sz w:val="20"/>
              </w:rPr>
            </w:pPr>
          </w:p>
        </w:tc>
      </w:tr>
    </w:tbl>
    <w:p w:rsidR="008671F9" w:rsidRDefault="008671F9" w:rsidP="008671F9">
      <w:pPr>
        <w:rPr>
          <w:sz w:val="20"/>
          <w:szCs w:val="20"/>
        </w:rPr>
      </w:pPr>
    </w:p>
    <w:p w:rsidR="008671F9" w:rsidRPr="00C50A5C" w:rsidRDefault="00C232E1" w:rsidP="008671F9">
      <w:pPr>
        <w:rPr>
          <w:sz w:val="20"/>
          <w:szCs w:val="20"/>
        </w:rPr>
      </w:pPr>
      <w:r>
        <w:rPr>
          <w:sz w:val="20"/>
          <w:szCs w:val="20"/>
          <w:lang w:val="fr-CA"/>
        </w:rPr>
        <w:pict>
          <v:rect id="_x0000_i1058" style="width:2in;height:1pt" o:hrpct="0" o:hralign="center" o:hrstd="t" o:hrnoshade="t" o:hr="t" fillcolor="black [3213]" stroked="f"/>
        </w:pict>
      </w:r>
    </w:p>
    <w:p w:rsidR="008671F9" w:rsidRDefault="008671F9" w:rsidP="008671F9">
      <w:pPr>
        <w:rPr>
          <w:sz w:val="20"/>
          <w:szCs w:val="20"/>
        </w:rPr>
      </w:pPr>
    </w:p>
    <w:p w:rsidR="008671F9" w:rsidRPr="001B157C" w:rsidRDefault="008671F9" w:rsidP="008671F9">
      <w:pPr>
        <w:rPr>
          <w:sz w:val="20"/>
          <w:szCs w:val="20"/>
          <w:u w:val="single"/>
          <w:lang w:val="fr-CA"/>
        </w:rPr>
      </w:pPr>
      <w:r w:rsidRPr="001B157C">
        <w:rPr>
          <w:sz w:val="20"/>
          <w:szCs w:val="20"/>
          <w:u w:val="single"/>
          <w:lang w:val="fr-CA"/>
        </w:rPr>
        <w:t>RÉSUMÉ DE L’AFFAIRE</w:t>
      </w:r>
    </w:p>
    <w:p w:rsidR="008671F9" w:rsidRDefault="008671F9" w:rsidP="008671F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671F9" w:rsidRPr="00002704" w:rsidTr="00CD41B1">
        <w:tc>
          <w:tcPr>
            <w:tcW w:w="5000" w:type="pct"/>
            <w:gridSpan w:val="3"/>
          </w:tcPr>
          <w:p w:rsidR="008671F9" w:rsidRDefault="008671F9" w:rsidP="00CD41B1">
            <w:pPr>
              <w:jc w:val="both"/>
              <w:rPr>
                <w:sz w:val="20"/>
                <w:lang w:val="fr-CA"/>
              </w:rPr>
            </w:pPr>
            <w:r w:rsidRPr="007F2DB8">
              <w:rPr>
                <w:sz w:val="20"/>
                <w:lang w:val="fr-CA"/>
              </w:rPr>
              <w:t xml:space="preserve">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w:t>
            </w:r>
            <w:proofErr w:type="gramStart"/>
            <w:r w:rsidRPr="007F2DB8">
              <w:rPr>
                <w:sz w:val="20"/>
                <w:lang w:val="fr-CA"/>
              </w:rPr>
              <w:t>fédérale</w:t>
            </w:r>
            <w:proofErr w:type="gramEnd"/>
            <w:r w:rsidRPr="007F2DB8">
              <w:rPr>
                <w:sz w:val="20"/>
                <w:lang w:val="fr-CA"/>
              </w:rPr>
              <w:t xml:space="preserve"> a-t-elle eu tort de rejeter l’appel? – Y </w:t>
            </w:r>
            <w:proofErr w:type="spellStart"/>
            <w:r w:rsidRPr="007F2DB8">
              <w:rPr>
                <w:sz w:val="20"/>
                <w:lang w:val="fr-CA"/>
              </w:rPr>
              <w:t>a-t-il</w:t>
            </w:r>
            <w:proofErr w:type="spellEnd"/>
            <w:r w:rsidRPr="007F2DB8">
              <w:rPr>
                <w:sz w:val="20"/>
                <w:lang w:val="fr-CA"/>
              </w:rPr>
              <w:t xml:space="preserve"> lieu d’accorder à la demanderesse une exemption provisoire en attendant qu’il soit statué sur la demande d’autorisation d’appel?</w:t>
            </w:r>
          </w:p>
          <w:p w:rsidR="008671F9" w:rsidRPr="00E007CB" w:rsidRDefault="008671F9" w:rsidP="00CD41B1">
            <w:pPr>
              <w:jc w:val="both"/>
              <w:rPr>
                <w:rFonts w:eastAsia="Calibri"/>
                <w:sz w:val="20"/>
                <w:lang w:val="fr-CA"/>
              </w:rPr>
            </w:pPr>
          </w:p>
        </w:tc>
      </w:tr>
      <w:tr w:rsidR="008671F9" w:rsidRPr="00E007CB" w:rsidTr="00CD41B1">
        <w:tc>
          <w:tcPr>
            <w:tcW w:w="5000" w:type="pct"/>
            <w:gridSpan w:val="3"/>
          </w:tcPr>
          <w:p w:rsidR="008671F9" w:rsidRPr="007F2DB8" w:rsidRDefault="008671F9" w:rsidP="008671F9">
            <w:pPr>
              <w:jc w:val="both"/>
              <w:rPr>
                <w:sz w:val="20"/>
                <w:lang w:val="fr-CA"/>
              </w:rPr>
            </w:pPr>
            <w:r w:rsidRPr="007F2DB8">
              <w:rPr>
                <w:sz w:val="20"/>
                <w:lang w:val="fr-CA"/>
              </w:rPr>
              <w:lastRenderedPageBreak/>
              <w:t>La demanderesse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La demanderesse a présenté une requête en prorogation de délai pour interjeter appel de l’ordonnance prononcée le 30 décembre 2014 par la Cour fédérale dans l’affaire connexe.</w:t>
            </w:r>
          </w:p>
          <w:p w:rsidR="008671F9" w:rsidRPr="00E007CB" w:rsidRDefault="008671F9" w:rsidP="00CD41B1">
            <w:pPr>
              <w:jc w:val="both"/>
              <w:rPr>
                <w:sz w:val="20"/>
                <w:lang w:val="fr-CA"/>
              </w:rPr>
            </w:pPr>
          </w:p>
        </w:tc>
      </w:tr>
      <w:tr w:rsidR="008671F9" w:rsidRPr="00002704" w:rsidTr="00CD41B1">
        <w:trPr>
          <w:cantSplit/>
        </w:trPr>
        <w:tc>
          <w:tcPr>
            <w:tcW w:w="2427" w:type="pct"/>
          </w:tcPr>
          <w:p w:rsidR="008671F9" w:rsidRPr="007F2DB8" w:rsidRDefault="008671F9" w:rsidP="008671F9">
            <w:pPr>
              <w:jc w:val="both"/>
              <w:rPr>
                <w:sz w:val="20"/>
                <w:lang w:val="fr-CA"/>
              </w:rPr>
            </w:pPr>
            <w:r w:rsidRPr="007F2DB8">
              <w:rPr>
                <w:sz w:val="20"/>
                <w:lang w:val="fr-CA"/>
              </w:rPr>
              <w:t>21 mars 2014</w:t>
            </w:r>
          </w:p>
          <w:p w:rsidR="008671F9" w:rsidRPr="007F2DB8" w:rsidRDefault="008671F9" w:rsidP="008671F9">
            <w:pPr>
              <w:jc w:val="both"/>
              <w:rPr>
                <w:sz w:val="20"/>
                <w:lang w:val="fr-CA"/>
              </w:rPr>
            </w:pPr>
            <w:r w:rsidRPr="007F2DB8">
              <w:rPr>
                <w:sz w:val="20"/>
                <w:lang w:val="fr-CA"/>
              </w:rPr>
              <w:t>Cour fédérale</w:t>
            </w:r>
          </w:p>
          <w:p w:rsidR="008671F9" w:rsidRPr="007F2DB8" w:rsidRDefault="008671F9" w:rsidP="008671F9">
            <w:pPr>
              <w:jc w:val="both"/>
              <w:rPr>
                <w:sz w:val="20"/>
                <w:lang w:val="fr-CA"/>
              </w:rPr>
            </w:pPr>
            <w:r w:rsidRPr="007F2DB8">
              <w:rPr>
                <w:sz w:val="20"/>
                <w:lang w:val="fr-CA"/>
              </w:rPr>
              <w:t xml:space="preserve">(Juge </w:t>
            </w:r>
            <w:proofErr w:type="spellStart"/>
            <w:r w:rsidRPr="007F2DB8">
              <w:rPr>
                <w:sz w:val="20"/>
                <w:lang w:val="fr-CA"/>
              </w:rPr>
              <w:t>Manson</w:t>
            </w:r>
            <w:proofErr w:type="spellEnd"/>
            <w:r w:rsidRPr="007F2DB8">
              <w:rPr>
                <w:sz w:val="20"/>
                <w:lang w:val="fr-CA"/>
              </w:rPr>
              <w:t>)</w:t>
            </w:r>
          </w:p>
          <w:p w:rsidR="008671F9" w:rsidRPr="00E007CB" w:rsidRDefault="00C232E1" w:rsidP="008671F9">
            <w:pPr>
              <w:jc w:val="both"/>
              <w:rPr>
                <w:rFonts w:eastAsia="Calibri"/>
                <w:sz w:val="20"/>
                <w:lang w:val="fr-CA"/>
              </w:rPr>
            </w:pPr>
            <w:hyperlink r:id="rId41" w:history="1">
              <w:r w:rsidR="008671F9" w:rsidRPr="007F2DB8">
                <w:rPr>
                  <w:rStyle w:val="Hyperlink"/>
                  <w:sz w:val="20"/>
                  <w:lang w:val="fr-CA"/>
                </w:rPr>
                <w:t>2014 FC 1260</w:t>
              </w:r>
            </w:hyperlink>
          </w:p>
        </w:tc>
        <w:tc>
          <w:tcPr>
            <w:tcW w:w="243" w:type="pct"/>
          </w:tcPr>
          <w:p w:rsidR="008671F9" w:rsidRPr="00E007CB" w:rsidRDefault="008671F9" w:rsidP="00CD41B1">
            <w:pPr>
              <w:jc w:val="both"/>
              <w:rPr>
                <w:rFonts w:eastAsia="Calibri"/>
                <w:sz w:val="20"/>
                <w:lang w:val="fr-CA"/>
              </w:rPr>
            </w:pPr>
          </w:p>
        </w:tc>
        <w:tc>
          <w:tcPr>
            <w:tcW w:w="2330" w:type="pct"/>
          </w:tcPr>
          <w:p w:rsidR="008671F9" w:rsidRPr="007F2DB8" w:rsidRDefault="008671F9" w:rsidP="008671F9">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8671F9" w:rsidRPr="00E007CB" w:rsidRDefault="008671F9" w:rsidP="00CD41B1">
            <w:pPr>
              <w:jc w:val="both"/>
              <w:rPr>
                <w:rFonts w:eastAsia="Calibri"/>
                <w:sz w:val="20"/>
                <w:lang w:val="fr-CA"/>
              </w:rPr>
            </w:pPr>
          </w:p>
        </w:tc>
      </w:tr>
      <w:tr w:rsidR="008671F9" w:rsidRPr="00002704" w:rsidTr="00CD41B1">
        <w:trPr>
          <w:cantSplit/>
        </w:trPr>
        <w:tc>
          <w:tcPr>
            <w:tcW w:w="2427" w:type="pct"/>
          </w:tcPr>
          <w:p w:rsidR="008671F9" w:rsidRPr="007F2DB8" w:rsidRDefault="008671F9" w:rsidP="008671F9">
            <w:pPr>
              <w:jc w:val="both"/>
              <w:rPr>
                <w:sz w:val="20"/>
                <w:lang w:val="fr-CA"/>
              </w:rPr>
            </w:pPr>
            <w:r w:rsidRPr="007F2DB8">
              <w:rPr>
                <w:sz w:val="20"/>
                <w:lang w:val="fr-CA"/>
              </w:rPr>
              <w:t>14 avril 2015</w:t>
            </w:r>
          </w:p>
          <w:p w:rsidR="008671F9" w:rsidRPr="007F2DB8" w:rsidRDefault="008671F9" w:rsidP="008671F9">
            <w:pPr>
              <w:jc w:val="both"/>
              <w:rPr>
                <w:sz w:val="20"/>
                <w:lang w:val="fr-CA"/>
              </w:rPr>
            </w:pPr>
            <w:r w:rsidRPr="007F2DB8">
              <w:rPr>
                <w:sz w:val="20"/>
                <w:lang w:val="fr-CA"/>
              </w:rPr>
              <w:t>Cour d’appel fédérale</w:t>
            </w:r>
          </w:p>
          <w:p w:rsidR="008671F9" w:rsidRPr="007F2DB8" w:rsidRDefault="008671F9" w:rsidP="008671F9">
            <w:pPr>
              <w:jc w:val="both"/>
              <w:rPr>
                <w:sz w:val="20"/>
                <w:lang w:val="fr-CA"/>
              </w:rPr>
            </w:pPr>
            <w:r w:rsidRPr="007F2DB8">
              <w:rPr>
                <w:sz w:val="20"/>
                <w:lang w:val="fr-CA"/>
              </w:rPr>
              <w:t>(Juge Dawson)</w:t>
            </w:r>
          </w:p>
          <w:p w:rsidR="008671F9" w:rsidRPr="00E007CB" w:rsidRDefault="008671F9" w:rsidP="008671F9">
            <w:pPr>
              <w:jc w:val="both"/>
              <w:rPr>
                <w:rFonts w:eastAsia="Calibri"/>
                <w:sz w:val="20"/>
                <w:lang w:val="fr-CA"/>
              </w:rPr>
            </w:pPr>
            <w:r w:rsidRPr="007F2DB8">
              <w:rPr>
                <w:sz w:val="20"/>
                <w:lang w:val="fr-CA"/>
              </w:rPr>
              <w:t>Non publié</w:t>
            </w:r>
          </w:p>
        </w:tc>
        <w:tc>
          <w:tcPr>
            <w:tcW w:w="243" w:type="pct"/>
          </w:tcPr>
          <w:p w:rsidR="008671F9" w:rsidRPr="00E007CB" w:rsidRDefault="008671F9" w:rsidP="00CD41B1">
            <w:pPr>
              <w:jc w:val="both"/>
              <w:rPr>
                <w:rFonts w:eastAsia="Calibri"/>
                <w:sz w:val="20"/>
                <w:lang w:val="fr-CA"/>
              </w:rPr>
            </w:pPr>
          </w:p>
        </w:tc>
        <w:tc>
          <w:tcPr>
            <w:tcW w:w="2330" w:type="pct"/>
          </w:tcPr>
          <w:p w:rsidR="008671F9" w:rsidRPr="007F2DB8" w:rsidRDefault="008671F9" w:rsidP="008671F9">
            <w:pPr>
              <w:jc w:val="both"/>
              <w:rPr>
                <w:sz w:val="20"/>
                <w:lang w:val="fr-CA"/>
              </w:rPr>
            </w:pPr>
            <w:r w:rsidRPr="007F2DB8">
              <w:rPr>
                <w:sz w:val="20"/>
                <w:lang w:val="fr-CA"/>
              </w:rPr>
              <w:t xml:space="preserve">Rejet de la requête de la demanderesse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8671F9" w:rsidRPr="00E007CB" w:rsidRDefault="008671F9" w:rsidP="00CD41B1">
            <w:pPr>
              <w:jc w:val="both"/>
              <w:rPr>
                <w:rFonts w:eastAsia="Calibri"/>
                <w:sz w:val="20"/>
                <w:lang w:val="fr-CA"/>
              </w:rPr>
            </w:pPr>
          </w:p>
        </w:tc>
      </w:tr>
      <w:tr w:rsidR="008671F9" w:rsidRPr="00E007CB" w:rsidTr="00CD41B1">
        <w:trPr>
          <w:cantSplit/>
        </w:trPr>
        <w:tc>
          <w:tcPr>
            <w:tcW w:w="2427" w:type="pct"/>
          </w:tcPr>
          <w:p w:rsidR="008671F9" w:rsidRPr="00E007CB" w:rsidRDefault="008671F9" w:rsidP="00CD41B1">
            <w:pPr>
              <w:jc w:val="both"/>
              <w:rPr>
                <w:rFonts w:eastAsia="Calibri"/>
                <w:sz w:val="20"/>
                <w:lang w:val="fr-CA"/>
              </w:rPr>
            </w:pPr>
            <w:r>
              <w:rPr>
                <w:rFonts w:eastAsia="Calibri"/>
                <w:sz w:val="20"/>
                <w:lang w:val="fr-CA"/>
              </w:rPr>
              <w:t>15 juin</w:t>
            </w:r>
            <w:r w:rsidRPr="00E007CB">
              <w:rPr>
                <w:rFonts w:eastAsia="Calibri"/>
                <w:sz w:val="20"/>
                <w:lang w:val="fr-CA"/>
              </w:rPr>
              <w:t xml:space="preserve"> 201</w:t>
            </w:r>
            <w:r>
              <w:rPr>
                <w:rFonts w:eastAsia="Calibri"/>
                <w:sz w:val="20"/>
                <w:lang w:val="fr-CA"/>
              </w:rPr>
              <w:t>5</w:t>
            </w:r>
          </w:p>
          <w:p w:rsidR="008671F9" w:rsidRPr="00E007CB" w:rsidRDefault="008671F9" w:rsidP="00CD41B1">
            <w:pPr>
              <w:jc w:val="both"/>
              <w:rPr>
                <w:rFonts w:eastAsia="Calibri"/>
                <w:sz w:val="20"/>
                <w:lang w:val="fr-CA"/>
              </w:rPr>
            </w:pPr>
            <w:r w:rsidRPr="00E007CB">
              <w:rPr>
                <w:rFonts w:eastAsia="Calibri"/>
                <w:sz w:val="20"/>
                <w:lang w:val="fr-CA"/>
              </w:rPr>
              <w:t>Cour suprême du Canada</w:t>
            </w:r>
          </w:p>
        </w:tc>
        <w:tc>
          <w:tcPr>
            <w:tcW w:w="243" w:type="pct"/>
          </w:tcPr>
          <w:p w:rsidR="008671F9" w:rsidRPr="00E007CB" w:rsidRDefault="008671F9" w:rsidP="00CD41B1">
            <w:pPr>
              <w:jc w:val="both"/>
              <w:rPr>
                <w:rFonts w:eastAsia="Calibri"/>
                <w:sz w:val="20"/>
                <w:lang w:val="fr-CA"/>
              </w:rPr>
            </w:pPr>
          </w:p>
        </w:tc>
        <w:tc>
          <w:tcPr>
            <w:tcW w:w="2330" w:type="pct"/>
          </w:tcPr>
          <w:p w:rsidR="008671F9" w:rsidRPr="007F2DB8" w:rsidRDefault="008671F9" w:rsidP="00CD41B1">
            <w:pPr>
              <w:jc w:val="both"/>
              <w:rPr>
                <w:sz w:val="20"/>
                <w:lang w:val="fr-CA"/>
              </w:rPr>
            </w:pPr>
            <w:r w:rsidRPr="007F2DB8">
              <w:rPr>
                <w:sz w:val="20"/>
                <w:lang w:val="fr-CA"/>
              </w:rPr>
              <w:t>Dépôt de la demande d’autorisation d’appel</w:t>
            </w:r>
          </w:p>
        </w:tc>
      </w:tr>
    </w:tbl>
    <w:p w:rsidR="008671F9" w:rsidRDefault="008671F9" w:rsidP="008671F9">
      <w:pPr>
        <w:rPr>
          <w:sz w:val="20"/>
          <w:szCs w:val="20"/>
        </w:rPr>
      </w:pPr>
    </w:p>
    <w:p w:rsidR="008671F9" w:rsidRDefault="00C232E1" w:rsidP="008671F9">
      <w:pPr>
        <w:rPr>
          <w:sz w:val="20"/>
          <w:szCs w:val="20"/>
        </w:rPr>
      </w:pPr>
      <w:r>
        <w:rPr>
          <w:sz w:val="20"/>
          <w:szCs w:val="20"/>
          <w:lang w:val="fr-CA"/>
        </w:rPr>
        <w:pict>
          <v:rect id="_x0000_i1059" style="width:2in;height:1pt" o:hrpct="0" o:hralign="center" o:hrstd="t" o:hrnoshade="t" o:hr="t" fillcolor="black [3213]" stroked="f"/>
        </w:pict>
      </w:r>
    </w:p>
    <w:p w:rsidR="008671F9" w:rsidRDefault="008671F9" w:rsidP="008671F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3272A" w:rsidRPr="00A73D2C" w:rsidTr="00CD41B1">
        <w:trPr>
          <w:cantSplit/>
        </w:trPr>
        <w:tc>
          <w:tcPr>
            <w:tcW w:w="1458" w:type="dxa"/>
          </w:tcPr>
          <w:p w:rsidR="0043272A" w:rsidRPr="00A73D2C" w:rsidRDefault="0043272A" w:rsidP="00CD41B1">
            <w:pPr>
              <w:rPr>
                <w:sz w:val="20"/>
                <w:szCs w:val="20"/>
              </w:rPr>
            </w:pPr>
            <w:r w:rsidRPr="00A73D2C">
              <w:rPr>
                <w:rStyle w:val="SCCFileNumberChar"/>
                <w:sz w:val="20"/>
                <w:szCs w:val="20"/>
              </w:rPr>
              <w:t>3</w:t>
            </w:r>
            <w:r>
              <w:rPr>
                <w:rStyle w:val="SCCFileNumberChar"/>
                <w:sz w:val="20"/>
                <w:szCs w:val="20"/>
              </w:rPr>
              <w:t>6492</w:t>
            </w:r>
          </w:p>
          <w:p w:rsidR="0043272A" w:rsidRPr="00A73D2C" w:rsidRDefault="0043272A" w:rsidP="00CD41B1">
            <w:pPr>
              <w:rPr>
                <w:b/>
                <w:sz w:val="20"/>
                <w:szCs w:val="20"/>
                <w:lang w:val="fr-CA"/>
              </w:rPr>
            </w:pPr>
          </w:p>
        </w:tc>
        <w:tc>
          <w:tcPr>
            <w:tcW w:w="8118" w:type="dxa"/>
          </w:tcPr>
          <w:p w:rsidR="0043272A" w:rsidRPr="00A73D2C" w:rsidRDefault="0043272A" w:rsidP="00CD41B1">
            <w:pPr>
              <w:rPr>
                <w:sz w:val="20"/>
                <w:szCs w:val="20"/>
              </w:rPr>
            </w:pPr>
            <w:r w:rsidRPr="0043272A">
              <w:rPr>
                <w:rStyle w:val="SCCLsocChar"/>
                <w:sz w:val="20"/>
                <w:szCs w:val="20"/>
                <w:lang w:val="en-CA"/>
              </w:rPr>
              <w:t>AXA General Insurance v. Ian Tucker</w:t>
            </w:r>
            <w:r w:rsidRPr="00A73D2C">
              <w:rPr>
                <w:sz w:val="20"/>
                <w:szCs w:val="20"/>
              </w:rPr>
              <w:t xml:space="preserve"> (</w:t>
            </w:r>
            <w:r>
              <w:rPr>
                <w:sz w:val="20"/>
                <w:szCs w:val="20"/>
              </w:rPr>
              <w:t>N.L</w:t>
            </w:r>
            <w:r w:rsidR="005C4DFE">
              <w:rPr>
                <w:sz w:val="20"/>
                <w:szCs w:val="20"/>
              </w:rPr>
              <w:t>.</w:t>
            </w:r>
            <w:r w:rsidRPr="00A73D2C">
              <w:rPr>
                <w:sz w:val="20"/>
                <w:szCs w:val="20"/>
              </w:rPr>
              <w:t>) (Civil) (By Leave)</w:t>
            </w:r>
          </w:p>
          <w:p w:rsidR="0043272A" w:rsidRPr="00A73D2C" w:rsidRDefault="0043272A" w:rsidP="00CD41B1">
            <w:pPr>
              <w:rPr>
                <w:sz w:val="20"/>
                <w:szCs w:val="20"/>
              </w:rPr>
            </w:pPr>
          </w:p>
        </w:tc>
      </w:tr>
      <w:tr w:rsidR="0043272A" w:rsidRPr="00A73D2C" w:rsidTr="00CD41B1">
        <w:trPr>
          <w:cantSplit/>
        </w:trPr>
        <w:tc>
          <w:tcPr>
            <w:tcW w:w="1458" w:type="dxa"/>
          </w:tcPr>
          <w:p w:rsidR="0043272A" w:rsidRPr="00A73D2C" w:rsidRDefault="0043272A" w:rsidP="00CD41B1">
            <w:pPr>
              <w:rPr>
                <w:sz w:val="20"/>
                <w:szCs w:val="20"/>
              </w:rPr>
            </w:pPr>
            <w:r w:rsidRPr="00A73D2C">
              <w:rPr>
                <w:sz w:val="20"/>
                <w:szCs w:val="20"/>
              </w:rPr>
              <w:t>Coram :</w:t>
            </w:r>
          </w:p>
        </w:tc>
        <w:tc>
          <w:tcPr>
            <w:tcW w:w="8118" w:type="dxa"/>
          </w:tcPr>
          <w:p w:rsidR="0043272A" w:rsidRDefault="00C764FD" w:rsidP="00CD41B1">
            <w:pPr>
              <w:rPr>
                <w:rStyle w:val="SCCCoramChar"/>
                <w:sz w:val="20"/>
                <w:szCs w:val="20"/>
                <w:lang w:val="en-CA"/>
              </w:rPr>
            </w:pPr>
            <w:r w:rsidRPr="00C764FD">
              <w:rPr>
                <w:rStyle w:val="SCCCoramChar"/>
                <w:sz w:val="20"/>
                <w:szCs w:val="20"/>
                <w:lang w:val="en-CA"/>
              </w:rPr>
              <w:t>Abella, Karakatsanis and Brown JJ.</w:t>
            </w:r>
          </w:p>
          <w:p w:rsidR="00C764FD" w:rsidRPr="00A73D2C" w:rsidRDefault="00C764FD" w:rsidP="00CD41B1">
            <w:pPr>
              <w:rPr>
                <w:sz w:val="20"/>
                <w:szCs w:val="20"/>
                <w:u w:val="single"/>
              </w:rPr>
            </w:pPr>
          </w:p>
        </w:tc>
      </w:tr>
      <w:tr w:rsidR="0043272A" w:rsidRPr="00002704" w:rsidTr="00CD41B1">
        <w:trPr>
          <w:cantSplit/>
        </w:trPr>
        <w:tc>
          <w:tcPr>
            <w:tcW w:w="9576" w:type="dxa"/>
            <w:gridSpan w:val="2"/>
          </w:tcPr>
          <w:p w:rsidR="00C764FD" w:rsidRDefault="00C764FD" w:rsidP="00C764FD">
            <w:pPr>
              <w:pStyle w:val="SCCShortJudgment"/>
            </w:pPr>
            <w:r>
              <w:t>The application for leave to appeal from the judgment of the Supreme Court of Newfoundland and Labrador - Court of Appeal, Numbers 14/25 and 14/26, 2015 NLCA 21, dated April 21, 2015, is dismissed with costs.</w:t>
            </w:r>
          </w:p>
          <w:p w:rsidR="00C764FD" w:rsidRDefault="00C764FD" w:rsidP="00C764FD">
            <w:pPr>
              <w:pStyle w:val="SCCShortJudgment"/>
              <w:ind w:firstLine="0"/>
            </w:pPr>
          </w:p>
          <w:p w:rsidR="0043272A" w:rsidRPr="00A73D2C" w:rsidRDefault="00C764FD" w:rsidP="00C764FD">
            <w:pPr>
              <w:pStyle w:val="SCCShortJudgment"/>
              <w:rPr>
                <w:szCs w:val="20"/>
                <w:lang w:val="fr-CA"/>
              </w:rPr>
            </w:pPr>
            <w:r>
              <w:t xml:space="preserve">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suprême</w:t>
            </w:r>
            <w:proofErr w:type="spellEnd"/>
            <w:r>
              <w:t xml:space="preserve"> de Terre-</w:t>
            </w:r>
            <w:proofErr w:type="spellStart"/>
            <w:r>
              <w:t>Neuve</w:t>
            </w:r>
            <w:proofErr w:type="spellEnd"/>
            <w:r>
              <w:t xml:space="preserve">-et-Labrador - </w:t>
            </w:r>
            <w:proofErr w:type="spellStart"/>
            <w:r>
              <w:t>Cour</w:t>
            </w:r>
            <w:proofErr w:type="spellEnd"/>
            <w:r>
              <w:t xml:space="preserve"> </w:t>
            </w:r>
            <w:proofErr w:type="spellStart"/>
            <w:r>
              <w:t>d’appel</w:t>
            </w:r>
            <w:proofErr w:type="spellEnd"/>
            <w:r>
              <w:t xml:space="preserve">, </w:t>
            </w:r>
            <w:proofErr w:type="spellStart"/>
            <w:r>
              <w:t>numéros</w:t>
            </w:r>
            <w:proofErr w:type="spellEnd"/>
            <w:r>
              <w:t xml:space="preserve"> 14/25 et 14/26, 2015 NLCA 21, </w:t>
            </w:r>
            <w:proofErr w:type="spellStart"/>
            <w:r>
              <w:t>daté</w:t>
            </w:r>
            <w:proofErr w:type="spellEnd"/>
            <w:r>
              <w:t xml:space="preserve"> du 21 </w:t>
            </w:r>
            <w:proofErr w:type="spellStart"/>
            <w:r>
              <w:t>avril</w:t>
            </w:r>
            <w:proofErr w:type="spellEnd"/>
            <w:r>
              <w:t xml:space="preserve"> 2015, </w:t>
            </w:r>
            <w:proofErr w:type="spellStart"/>
            <w:r>
              <w:t>est</w:t>
            </w:r>
            <w:proofErr w:type="spellEnd"/>
            <w:r>
              <w:t xml:space="preserve"> </w:t>
            </w:r>
            <w:proofErr w:type="spellStart"/>
            <w:r>
              <w:t>rejetée</w:t>
            </w:r>
            <w:proofErr w:type="spellEnd"/>
            <w:r>
              <w:t xml:space="preserve"> avec </w:t>
            </w:r>
            <w:proofErr w:type="spellStart"/>
            <w:r>
              <w:t>dépens</w:t>
            </w:r>
            <w:proofErr w:type="spellEnd"/>
            <w:r>
              <w:t>.</w:t>
            </w:r>
          </w:p>
        </w:tc>
      </w:tr>
    </w:tbl>
    <w:p w:rsidR="0043272A" w:rsidRPr="0016547E" w:rsidRDefault="0043272A" w:rsidP="0043272A">
      <w:pPr>
        <w:rPr>
          <w:sz w:val="20"/>
          <w:szCs w:val="20"/>
          <w:lang w:val="fr-CA"/>
        </w:rPr>
      </w:pPr>
    </w:p>
    <w:p w:rsidR="0043272A" w:rsidRPr="001B157C" w:rsidRDefault="0043272A" w:rsidP="0043272A">
      <w:pPr>
        <w:rPr>
          <w:sz w:val="20"/>
          <w:szCs w:val="20"/>
          <w:u w:val="single"/>
        </w:rPr>
      </w:pPr>
      <w:r w:rsidRPr="001B157C">
        <w:rPr>
          <w:sz w:val="20"/>
          <w:szCs w:val="20"/>
          <w:u w:val="single"/>
        </w:rPr>
        <w:t>CASE SUMMARY</w:t>
      </w:r>
    </w:p>
    <w:p w:rsidR="0043272A" w:rsidRDefault="0043272A" w:rsidP="0043272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3272A" w:rsidRPr="00E007CB" w:rsidTr="00CD41B1">
        <w:tc>
          <w:tcPr>
            <w:tcW w:w="5000" w:type="pct"/>
            <w:gridSpan w:val="3"/>
          </w:tcPr>
          <w:p w:rsidR="0043272A" w:rsidRPr="007F2DB8" w:rsidRDefault="0043272A" w:rsidP="0043272A">
            <w:pPr>
              <w:jc w:val="both"/>
              <w:rPr>
                <w:sz w:val="20"/>
              </w:rPr>
            </w:pPr>
            <w:r w:rsidRPr="007F2DB8">
              <w:rPr>
                <w:sz w:val="20"/>
              </w:rPr>
              <w:t>Insurance law – Automobile insurance policies – Limitation of actions against insurer – Mandatory Section D endorsement providing indemnification for damages arising from unidentified drivers – When does the limitation period start running for a cause of action against the insurer – What is the nature of the cause of action against the Section D insurer – When does this cause of action arise, and therefore trigger the start of the limitation period.</w:t>
            </w:r>
          </w:p>
          <w:p w:rsidR="0043272A" w:rsidRPr="00E007CB" w:rsidRDefault="0043272A" w:rsidP="00CD41B1">
            <w:pPr>
              <w:jc w:val="both"/>
              <w:rPr>
                <w:rFonts w:eastAsia="Calibri"/>
                <w:sz w:val="20"/>
              </w:rPr>
            </w:pPr>
          </w:p>
        </w:tc>
      </w:tr>
      <w:tr w:rsidR="0043272A" w:rsidRPr="00E007CB" w:rsidTr="00CD41B1">
        <w:tc>
          <w:tcPr>
            <w:tcW w:w="5000" w:type="pct"/>
            <w:gridSpan w:val="3"/>
          </w:tcPr>
          <w:p w:rsidR="0043272A" w:rsidRPr="007F2DB8" w:rsidRDefault="0043272A" w:rsidP="0043272A">
            <w:pPr>
              <w:jc w:val="both"/>
              <w:rPr>
                <w:sz w:val="20"/>
              </w:rPr>
            </w:pPr>
            <w:r w:rsidRPr="007F2DB8">
              <w:rPr>
                <w:sz w:val="20"/>
              </w:rPr>
              <w:t xml:space="preserve">Ian Tucker sustained injuries when he was struck by a vehicle while a pedestrian, on October 13, 2007. The vehicle did not stop, and its owner or driver have never been identified. Mr. Tucker held a standard automobile insurance contract with AXA General Insurance (“AXA”). The contract contained the mandatory Section D endorsement, which provides coverage for all sums an insured is legally entitled to recover as damages resulting from an accident involving an owner or driver of an unidentified automobile. On October 13, 2009, Mr. Tucker filed a negligence action against Unknown Person. This suit has never been served. On November 18, 2010, Mr. Tucker presented a demand to AXA claiming recovery of damages for his injuries. On November 18, 2011, Mr. Tucker filed an action against AXA, alleging that </w:t>
            </w:r>
            <w:r w:rsidRPr="007F2DB8">
              <w:rPr>
                <w:sz w:val="20"/>
              </w:rPr>
              <w:lastRenderedPageBreak/>
              <w:t>AXA was in breach of Section D and seeking recovery of his claim for damages. AXA subsequently applied to the court for dismissal of the latter contract action on the basis that it was commenced after the limitation period expired, while Mr. Tucker applied to add AXA as a defendant in the tort action.</w:t>
            </w:r>
          </w:p>
          <w:p w:rsidR="0043272A" w:rsidRPr="007F2DB8" w:rsidRDefault="0043272A" w:rsidP="0043272A">
            <w:pPr>
              <w:jc w:val="both"/>
              <w:rPr>
                <w:sz w:val="20"/>
              </w:rPr>
            </w:pPr>
          </w:p>
          <w:p w:rsidR="0043272A" w:rsidRDefault="0043272A" w:rsidP="0043272A">
            <w:pPr>
              <w:jc w:val="both"/>
              <w:rPr>
                <w:sz w:val="20"/>
              </w:rPr>
            </w:pPr>
            <w:r w:rsidRPr="007F2DB8">
              <w:rPr>
                <w:sz w:val="20"/>
              </w:rPr>
              <w:t>The Supreme Court of Newfoundland and Labrador, Trial Division, dismissed Mr. Tucker's contract action against AXA on the basis that it was filed after the applicable limitation period had expired. That court also dismissed Mr. Tucker’s application to add AXA as a defendant in the tort action. The majority of the Court of Appeal allowed Mr. Tucker’s appeal in the contract action and reinstated that action against AXA (Rowe J.A. dissenting).</w:t>
            </w:r>
          </w:p>
          <w:p w:rsidR="0043272A" w:rsidRPr="00E007CB" w:rsidRDefault="0043272A" w:rsidP="00CD41B1">
            <w:pPr>
              <w:jc w:val="both"/>
              <w:rPr>
                <w:rFonts w:eastAsia="Calibri"/>
                <w:sz w:val="20"/>
              </w:rPr>
            </w:pPr>
          </w:p>
        </w:tc>
      </w:tr>
      <w:tr w:rsidR="0043272A" w:rsidRPr="00E007CB" w:rsidTr="00CD41B1">
        <w:trPr>
          <w:cantSplit/>
        </w:trPr>
        <w:tc>
          <w:tcPr>
            <w:tcW w:w="2427" w:type="pct"/>
          </w:tcPr>
          <w:p w:rsidR="0043272A" w:rsidRPr="007F2DB8" w:rsidRDefault="0043272A" w:rsidP="0043272A">
            <w:pPr>
              <w:jc w:val="both"/>
              <w:rPr>
                <w:sz w:val="20"/>
              </w:rPr>
            </w:pPr>
            <w:r w:rsidRPr="007F2DB8">
              <w:rPr>
                <w:sz w:val="20"/>
              </w:rPr>
              <w:lastRenderedPageBreak/>
              <w:t>September 25, 2012</w:t>
            </w:r>
          </w:p>
          <w:p w:rsidR="0043272A" w:rsidRPr="007F2DB8" w:rsidRDefault="0043272A" w:rsidP="0043272A">
            <w:pPr>
              <w:jc w:val="both"/>
              <w:rPr>
                <w:sz w:val="20"/>
              </w:rPr>
            </w:pPr>
            <w:r w:rsidRPr="007F2DB8">
              <w:rPr>
                <w:sz w:val="20"/>
              </w:rPr>
              <w:t>Supreme Court of Newfoundland &amp; Labrador, Trial Division</w:t>
            </w:r>
          </w:p>
          <w:p w:rsidR="0043272A" w:rsidRPr="007F2DB8" w:rsidRDefault="0043272A" w:rsidP="0043272A">
            <w:pPr>
              <w:jc w:val="both"/>
              <w:rPr>
                <w:sz w:val="20"/>
              </w:rPr>
            </w:pPr>
            <w:r w:rsidRPr="007F2DB8">
              <w:rPr>
                <w:sz w:val="20"/>
              </w:rPr>
              <w:t>(</w:t>
            </w:r>
            <w:proofErr w:type="spellStart"/>
            <w:r w:rsidRPr="007F2DB8">
              <w:rPr>
                <w:sz w:val="20"/>
              </w:rPr>
              <w:t>Orsborn</w:t>
            </w:r>
            <w:proofErr w:type="spellEnd"/>
            <w:r w:rsidRPr="007F2DB8">
              <w:rPr>
                <w:sz w:val="20"/>
              </w:rPr>
              <w:t xml:space="preserve"> C.J.T.D.)</w:t>
            </w:r>
          </w:p>
          <w:p w:rsidR="0043272A" w:rsidRPr="007F2DB8" w:rsidRDefault="00C232E1" w:rsidP="0043272A">
            <w:pPr>
              <w:jc w:val="both"/>
              <w:rPr>
                <w:rStyle w:val="Hyperlink"/>
                <w:sz w:val="20"/>
              </w:rPr>
            </w:pPr>
            <w:hyperlink r:id="rId42" w:history="1">
              <w:r w:rsidR="0043272A" w:rsidRPr="007F2DB8">
                <w:rPr>
                  <w:rStyle w:val="Hyperlink"/>
                  <w:sz w:val="20"/>
                </w:rPr>
                <w:t>2012 NLTD(G) 132</w:t>
              </w:r>
            </w:hyperlink>
            <w:r w:rsidR="0043272A" w:rsidRPr="007F2DB8">
              <w:rPr>
                <w:sz w:val="20"/>
              </w:rPr>
              <w:t xml:space="preserve"> and </w:t>
            </w:r>
            <w:hyperlink r:id="rId43" w:history="1">
              <w:r w:rsidR="0043272A" w:rsidRPr="007F2DB8">
                <w:rPr>
                  <w:rStyle w:val="Hyperlink"/>
                  <w:sz w:val="20"/>
                </w:rPr>
                <w:t>2012 NLTD(G) 133</w:t>
              </w:r>
            </w:hyperlink>
          </w:p>
          <w:p w:rsidR="0043272A" w:rsidRPr="00E007CB" w:rsidRDefault="0043272A" w:rsidP="00CD41B1">
            <w:pPr>
              <w:jc w:val="both"/>
              <w:rPr>
                <w:rFonts w:eastAsia="Calibri"/>
                <w:sz w:val="20"/>
              </w:rPr>
            </w:pPr>
          </w:p>
        </w:tc>
        <w:tc>
          <w:tcPr>
            <w:tcW w:w="243" w:type="pct"/>
          </w:tcPr>
          <w:p w:rsidR="0043272A" w:rsidRPr="00E007CB" w:rsidRDefault="0043272A" w:rsidP="00CD41B1">
            <w:pPr>
              <w:jc w:val="both"/>
              <w:rPr>
                <w:rFonts w:eastAsia="Calibri"/>
                <w:sz w:val="20"/>
              </w:rPr>
            </w:pPr>
          </w:p>
        </w:tc>
        <w:tc>
          <w:tcPr>
            <w:tcW w:w="2330" w:type="pct"/>
          </w:tcPr>
          <w:p w:rsidR="0043272A" w:rsidRPr="00E007CB" w:rsidRDefault="0043272A" w:rsidP="00CD41B1">
            <w:pPr>
              <w:jc w:val="both"/>
              <w:rPr>
                <w:rFonts w:eastAsia="Calibri"/>
                <w:sz w:val="20"/>
              </w:rPr>
            </w:pPr>
            <w:r w:rsidRPr="007F2DB8">
              <w:rPr>
                <w:sz w:val="20"/>
              </w:rPr>
              <w:t>Respondent’s application to add applicant as a defendant to tort action, dismissed; Applicant’s application to dismiss respondent’s action for breach of insurance contract, allowed.</w:t>
            </w:r>
          </w:p>
        </w:tc>
      </w:tr>
      <w:tr w:rsidR="0043272A" w:rsidRPr="00E007CB" w:rsidTr="00CD41B1">
        <w:trPr>
          <w:cantSplit/>
        </w:trPr>
        <w:tc>
          <w:tcPr>
            <w:tcW w:w="2427" w:type="pct"/>
          </w:tcPr>
          <w:p w:rsidR="0043272A" w:rsidRPr="007F2DB8" w:rsidRDefault="0043272A" w:rsidP="0043272A">
            <w:pPr>
              <w:jc w:val="both"/>
              <w:rPr>
                <w:sz w:val="20"/>
              </w:rPr>
            </w:pPr>
            <w:r w:rsidRPr="007F2DB8">
              <w:rPr>
                <w:sz w:val="20"/>
              </w:rPr>
              <w:t>April 21, 2015</w:t>
            </w:r>
          </w:p>
          <w:p w:rsidR="0043272A" w:rsidRPr="007F2DB8" w:rsidRDefault="0043272A" w:rsidP="0043272A">
            <w:pPr>
              <w:jc w:val="both"/>
              <w:rPr>
                <w:sz w:val="20"/>
              </w:rPr>
            </w:pPr>
            <w:r w:rsidRPr="007F2DB8">
              <w:rPr>
                <w:sz w:val="20"/>
              </w:rPr>
              <w:t xml:space="preserve">Supreme Court of Newfoundland and </w:t>
            </w:r>
          </w:p>
          <w:p w:rsidR="0043272A" w:rsidRPr="007F2DB8" w:rsidRDefault="0043272A" w:rsidP="0043272A">
            <w:pPr>
              <w:jc w:val="both"/>
              <w:rPr>
                <w:sz w:val="20"/>
              </w:rPr>
            </w:pPr>
            <w:r w:rsidRPr="007F2DB8">
              <w:rPr>
                <w:sz w:val="20"/>
              </w:rPr>
              <w:t>Labrador - Court of Appeal</w:t>
            </w:r>
          </w:p>
          <w:p w:rsidR="0043272A" w:rsidRPr="007F2DB8" w:rsidRDefault="0043272A" w:rsidP="0043272A">
            <w:pPr>
              <w:jc w:val="both"/>
              <w:rPr>
                <w:sz w:val="20"/>
              </w:rPr>
            </w:pPr>
            <w:r w:rsidRPr="007F2DB8">
              <w:rPr>
                <w:sz w:val="20"/>
              </w:rPr>
              <w:t xml:space="preserve">(Green C.J.N.L. and Welsh, Rowe, </w:t>
            </w:r>
          </w:p>
          <w:p w:rsidR="0043272A" w:rsidRPr="007F2DB8" w:rsidRDefault="0043272A" w:rsidP="0043272A">
            <w:pPr>
              <w:jc w:val="both"/>
              <w:rPr>
                <w:sz w:val="20"/>
              </w:rPr>
            </w:pPr>
            <w:r w:rsidRPr="007F2DB8">
              <w:rPr>
                <w:sz w:val="20"/>
              </w:rPr>
              <w:t xml:space="preserve">Harrington and </w:t>
            </w:r>
            <w:proofErr w:type="spellStart"/>
            <w:r w:rsidRPr="007F2DB8">
              <w:rPr>
                <w:sz w:val="20"/>
              </w:rPr>
              <w:t>Hoegg</w:t>
            </w:r>
            <w:proofErr w:type="spellEnd"/>
            <w:r w:rsidRPr="007F2DB8">
              <w:rPr>
                <w:sz w:val="20"/>
              </w:rPr>
              <w:t xml:space="preserve"> JJ.A.) (Rowe J.A. </w:t>
            </w:r>
          </w:p>
          <w:p w:rsidR="0043272A" w:rsidRPr="007F2DB8" w:rsidRDefault="0043272A" w:rsidP="0043272A">
            <w:pPr>
              <w:jc w:val="both"/>
              <w:rPr>
                <w:sz w:val="20"/>
              </w:rPr>
            </w:pPr>
            <w:r w:rsidRPr="007F2DB8">
              <w:rPr>
                <w:sz w:val="20"/>
              </w:rPr>
              <w:t>dissenting)</w:t>
            </w:r>
          </w:p>
          <w:p w:rsidR="0043272A" w:rsidRPr="007F2DB8" w:rsidRDefault="00C232E1" w:rsidP="0043272A">
            <w:pPr>
              <w:jc w:val="both"/>
              <w:rPr>
                <w:sz w:val="20"/>
              </w:rPr>
            </w:pPr>
            <w:hyperlink r:id="rId44" w:history="1">
              <w:r w:rsidR="0043272A" w:rsidRPr="007F2DB8">
                <w:rPr>
                  <w:rStyle w:val="Hyperlink"/>
                  <w:sz w:val="20"/>
                </w:rPr>
                <w:t>2015 NLCA 21</w:t>
              </w:r>
            </w:hyperlink>
          </w:p>
          <w:p w:rsidR="0043272A" w:rsidRPr="00E007CB" w:rsidRDefault="0043272A" w:rsidP="00CD41B1">
            <w:pPr>
              <w:jc w:val="both"/>
              <w:rPr>
                <w:rFonts w:eastAsia="Calibri"/>
                <w:sz w:val="20"/>
              </w:rPr>
            </w:pPr>
          </w:p>
        </w:tc>
        <w:tc>
          <w:tcPr>
            <w:tcW w:w="243" w:type="pct"/>
          </w:tcPr>
          <w:p w:rsidR="0043272A" w:rsidRPr="00E007CB" w:rsidRDefault="0043272A" w:rsidP="00CD41B1">
            <w:pPr>
              <w:jc w:val="both"/>
              <w:rPr>
                <w:rFonts w:eastAsia="Calibri"/>
                <w:sz w:val="20"/>
              </w:rPr>
            </w:pPr>
          </w:p>
        </w:tc>
        <w:tc>
          <w:tcPr>
            <w:tcW w:w="2330" w:type="pct"/>
          </w:tcPr>
          <w:p w:rsidR="0043272A" w:rsidRPr="007F2DB8" w:rsidRDefault="0043272A" w:rsidP="0043272A">
            <w:pPr>
              <w:jc w:val="both"/>
              <w:rPr>
                <w:sz w:val="20"/>
              </w:rPr>
            </w:pPr>
            <w:r w:rsidRPr="007F2DB8">
              <w:rPr>
                <w:sz w:val="20"/>
              </w:rPr>
              <w:t>Respondent’s appeal in contract action, allowed (Rowe J.A. dissenting); action for breach of insurance contract reinstated.</w:t>
            </w:r>
          </w:p>
          <w:p w:rsidR="0043272A" w:rsidRPr="007F2DB8" w:rsidRDefault="0043272A" w:rsidP="00CD41B1">
            <w:pPr>
              <w:jc w:val="both"/>
              <w:rPr>
                <w:sz w:val="20"/>
              </w:rPr>
            </w:pPr>
          </w:p>
        </w:tc>
      </w:tr>
      <w:tr w:rsidR="0043272A" w:rsidRPr="00E007CB" w:rsidTr="00CD41B1">
        <w:trPr>
          <w:cantSplit/>
        </w:trPr>
        <w:tc>
          <w:tcPr>
            <w:tcW w:w="2427" w:type="pct"/>
          </w:tcPr>
          <w:p w:rsidR="0043272A" w:rsidRPr="00E007CB" w:rsidRDefault="0043272A" w:rsidP="00CD41B1">
            <w:pPr>
              <w:jc w:val="both"/>
              <w:rPr>
                <w:rFonts w:eastAsia="Calibri"/>
                <w:sz w:val="20"/>
              </w:rPr>
            </w:pPr>
            <w:r>
              <w:rPr>
                <w:rFonts w:eastAsia="Calibri"/>
                <w:sz w:val="20"/>
              </w:rPr>
              <w:t>June 22</w:t>
            </w:r>
            <w:r w:rsidRPr="00E007CB">
              <w:rPr>
                <w:rFonts w:eastAsia="Calibri"/>
                <w:sz w:val="20"/>
              </w:rPr>
              <w:t>, 201</w:t>
            </w:r>
            <w:r>
              <w:rPr>
                <w:rFonts w:eastAsia="Calibri"/>
                <w:sz w:val="20"/>
              </w:rPr>
              <w:t>5</w:t>
            </w:r>
          </w:p>
          <w:p w:rsidR="0043272A" w:rsidRPr="00E007CB" w:rsidRDefault="0043272A" w:rsidP="00CD41B1">
            <w:pPr>
              <w:jc w:val="both"/>
              <w:rPr>
                <w:rFonts w:eastAsia="Calibri"/>
                <w:sz w:val="20"/>
              </w:rPr>
            </w:pPr>
            <w:r w:rsidRPr="00E007CB">
              <w:rPr>
                <w:rFonts w:eastAsia="Calibri"/>
                <w:sz w:val="20"/>
              </w:rPr>
              <w:t>Supreme Court of Canada</w:t>
            </w:r>
          </w:p>
        </w:tc>
        <w:tc>
          <w:tcPr>
            <w:tcW w:w="243" w:type="pct"/>
          </w:tcPr>
          <w:p w:rsidR="0043272A" w:rsidRPr="00E007CB" w:rsidRDefault="0043272A" w:rsidP="00CD41B1">
            <w:pPr>
              <w:jc w:val="both"/>
              <w:rPr>
                <w:rFonts w:eastAsia="Calibri"/>
                <w:sz w:val="20"/>
              </w:rPr>
            </w:pPr>
          </w:p>
        </w:tc>
        <w:tc>
          <w:tcPr>
            <w:tcW w:w="2330" w:type="pct"/>
          </w:tcPr>
          <w:p w:rsidR="0043272A" w:rsidRPr="007F2DB8" w:rsidRDefault="0043272A" w:rsidP="0043272A">
            <w:pPr>
              <w:jc w:val="both"/>
              <w:rPr>
                <w:sz w:val="20"/>
              </w:rPr>
            </w:pPr>
            <w:r w:rsidRPr="007F2DB8">
              <w:rPr>
                <w:sz w:val="20"/>
              </w:rPr>
              <w:t>Application for leave to appeal, filed.</w:t>
            </w:r>
          </w:p>
          <w:p w:rsidR="0043272A" w:rsidRPr="007F2DB8" w:rsidRDefault="0043272A" w:rsidP="00CD41B1">
            <w:pPr>
              <w:jc w:val="both"/>
              <w:rPr>
                <w:sz w:val="20"/>
              </w:rPr>
            </w:pPr>
          </w:p>
        </w:tc>
      </w:tr>
    </w:tbl>
    <w:p w:rsidR="0043272A" w:rsidRDefault="0043272A" w:rsidP="0043272A">
      <w:pPr>
        <w:rPr>
          <w:sz w:val="20"/>
          <w:szCs w:val="20"/>
        </w:rPr>
      </w:pPr>
    </w:p>
    <w:p w:rsidR="0043272A" w:rsidRPr="00C50A5C" w:rsidRDefault="00C232E1" w:rsidP="0043272A">
      <w:pPr>
        <w:rPr>
          <w:sz w:val="20"/>
          <w:szCs w:val="20"/>
        </w:rPr>
      </w:pPr>
      <w:r>
        <w:rPr>
          <w:sz w:val="20"/>
          <w:szCs w:val="20"/>
          <w:lang w:val="fr-CA"/>
        </w:rPr>
        <w:pict>
          <v:rect id="_x0000_i1060" style="width:2in;height:1pt" o:hrpct="0" o:hralign="center" o:hrstd="t" o:hrnoshade="t" o:hr="t" fillcolor="black [3213]" stroked="f"/>
        </w:pict>
      </w:r>
    </w:p>
    <w:p w:rsidR="0043272A" w:rsidRDefault="0043272A" w:rsidP="0043272A">
      <w:pPr>
        <w:rPr>
          <w:sz w:val="20"/>
          <w:szCs w:val="20"/>
        </w:rPr>
      </w:pPr>
    </w:p>
    <w:p w:rsidR="0043272A" w:rsidRPr="001B157C" w:rsidRDefault="0043272A" w:rsidP="0043272A">
      <w:pPr>
        <w:rPr>
          <w:sz w:val="20"/>
          <w:szCs w:val="20"/>
          <w:u w:val="single"/>
          <w:lang w:val="fr-CA"/>
        </w:rPr>
      </w:pPr>
      <w:r w:rsidRPr="001B157C">
        <w:rPr>
          <w:sz w:val="20"/>
          <w:szCs w:val="20"/>
          <w:u w:val="single"/>
          <w:lang w:val="fr-CA"/>
        </w:rPr>
        <w:t>RÉSUMÉ DE L’AFFAIRE</w:t>
      </w:r>
    </w:p>
    <w:p w:rsidR="0043272A" w:rsidRDefault="0043272A" w:rsidP="0043272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3272A" w:rsidRPr="00002704" w:rsidTr="00CD41B1">
        <w:tc>
          <w:tcPr>
            <w:tcW w:w="5000" w:type="pct"/>
            <w:gridSpan w:val="3"/>
          </w:tcPr>
          <w:p w:rsidR="0043272A" w:rsidRPr="007F2DB8" w:rsidRDefault="0043272A" w:rsidP="0043272A">
            <w:pPr>
              <w:jc w:val="both"/>
              <w:rPr>
                <w:sz w:val="20"/>
                <w:lang w:val="fr-CA"/>
              </w:rPr>
            </w:pPr>
            <w:r w:rsidRPr="007F2DB8">
              <w:rPr>
                <w:sz w:val="20"/>
                <w:lang w:val="fr-CA"/>
              </w:rPr>
              <w:t>Droit des assurances – Polices d’assurance automobile – Prescription des actions contre l’assureur – Avenant obligatoire au titre du chapitre D prévoyant l’indemnisation de dommages découlant de conducteurs non identifiés – Quand commence à courir le délai de prescription pour une cause d’action contre l’assureur? – Quelle est la nature de la cause d’action contre l’assureur au titre du chapitre D? – Quand cette cause d’action prend-elle naissance, marquant ainsi le point de départ du délai de prescription?</w:t>
            </w:r>
          </w:p>
          <w:p w:rsidR="0043272A" w:rsidRPr="00E007CB" w:rsidRDefault="0043272A" w:rsidP="00CD41B1">
            <w:pPr>
              <w:jc w:val="both"/>
              <w:rPr>
                <w:rFonts w:eastAsia="Calibri"/>
                <w:sz w:val="20"/>
                <w:lang w:val="fr-CA"/>
              </w:rPr>
            </w:pPr>
          </w:p>
        </w:tc>
      </w:tr>
      <w:tr w:rsidR="0043272A" w:rsidRPr="00E007CB" w:rsidTr="00CD41B1">
        <w:tc>
          <w:tcPr>
            <w:tcW w:w="5000" w:type="pct"/>
            <w:gridSpan w:val="3"/>
          </w:tcPr>
          <w:p w:rsidR="0043272A" w:rsidRPr="007F2DB8" w:rsidRDefault="0043272A" w:rsidP="0043272A">
            <w:pPr>
              <w:jc w:val="both"/>
              <w:rPr>
                <w:sz w:val="20"/>
                <w:lang w:val="fr-CA"/>
              </w:rPr>
            </w:pPr>
            <w:r w:rsidRPr="007F2DB8">
              <w:rPr>
                <w:sz w:val="20"/>
                <w:lang w:val="fr-CA"/>
              </w:rPr>
              <w:t xml:space="preserve">Le 13 octobre 2007, Ian Tucker a subi des blessures lorsqu’il a été heurté par un véhicule alors qu’il circulait à pied. Le véhicule ne s’est pas arrêté et son propriétaire ou conducteur n’a jamais été identifié. Monsieur Tucker détenait un contrat type d’assurance automobile établi par AXA General </w:t>
            </w:r>
            <w:proofErr w:type="spellStart"/>
            <w:r w:rsidRPr="007F2DB8">
              <w:rPr>
                <w:sz w:val="20"/>
                <w:lang w:val="fr-CA"/>
              </w:rPr>
              <w:t>Insurance</w:t>
            </w:r>
            <w:proofErr w:type="spellEnd"/>
            <w:r w:rsidRPr="007F2DB8">
              <w:rPr>
                <w:sz w:val="20"/>
                <w:lang w:val="fr-CA"/>
              </w:rPr>
              <w:t xml:space="preserve"> (« AXA »). Le contrat renfermait l’avenant obligatoire au titre du chapitre D qui prévoit une assurance pour toutes les sommes qu’un assuré est légalement en droit de recouvrer en dommages-intérêts à la suite d’un accident impliquant le propriétaire ou le conducteur d’une automobile non identifiée. Le 13 octobre 2009, M. Tucker a déposé une action en négligence contre une personne inconnue. Cette poursuite n’a jamais été signifiée. Le 18 novembre 2010, M. Tucker a présenté une mise en demeure à AXA, réclamant le recouvrement de dommages-intérêts pour ses blessures. Le 18 novembre 2011, M. Tucker a déposé une action contre AXA, alléguant qu’AXA avait enfreint le chapitre D et sollicitant le recouvrement du montant qu’il avait demandé en dommages-intérêts. AXA a subséquemment demandé au tribunal de rejeter la dernière action fondée sur le contrat, plaidant qu’elle avait été introduite après l’expiration du délai de prescription, tandis que M. Tucker a demandé qu’AXA soit ajoutée comme défenderesse dans l’action en responsabilité délictuelle.</w:t>
            </w:r>
          </w:p>
          <w:p w:rsidR="0043272A" w:rsidRPr="007F2DB8" w:rsidRDefault="0043272A" w:rsidP="0043272A">
            <w:pPr>
              <w:jc w:val="both"/>
              <w:rPr>
                <w:sz w:val="20"/>
                <w:lang w:val="fr-CA"/>
              </w:rPr>
            </w:pPr>
          </w:p>
          <w:p w:rsidR="0043272A" w:rsidRDefault="0043272A" w:rsidP="0043272A">
            <w:pPr>
              <w:jc w:val="both"/>
              <w:rPr>
                <w:sz w:val="20"/>
                <w:lang w:val="fr-CA"/>
              </w:rPr>
            </w:pPr>
            <w:r w:rsidRPr="007F2DB8">
              <w:rPr>
                <w:sz w:val="20"/>
                <w:lang w:val="fr-CA"/>
              </w:rPr>
              <w:t xml:space="preserve">La Cour suprême de Terre-Neuve-et-Labrador, Section de première instance, a rejeté l’action de M. Tucker contre AXA fondée sur le contrat au motif qu’elle avait été déposée après l’expiration du délai de prescription applicable. Le tribunal a également rejeté la demande de M. Tucker qu’AXA soit ajoutée comme défenderesse dans l’action en responsabilité </w:t>
            </w:r>
            <w:r w:rsidRPr="007F2DB8">
              <w:rPr>
                <w:sz w:val="20"/>
                <w:lang w:val="fr-CA"/>
              </w:rPr>
              <w:lastRenderedPageBreak/>
              <w:t>délictuelle. Les juges majoritaires de la Cour d’appel ont accueilli l’appel de M. Tucker dans l’action fondée sur le contrat et a rétabli cette action contre AXA (le juge Rowe dissident).</w:t>
            </w:r>
          </w:p>
          <w:p w:rsidR="0043272A" w:rsidRPr="00E007CB" w:rsidRDefault="0043272A" w:rsidP="00CD41B1">
            <w:pPr>
              <w:jc w:val="both"/>
              <w:rPr>
                <w:sz w:val="20"/>
                <w:lang w:val="fr-CA"/>
              </w:rPr>
            </w:pPr>
          </w:p>
        </w:tc>
      </w:tr>
      <w:tr w:rsidR="0043272A" w:rsidRPr="00002704" w:rsidTr="00CD41B1">
        <w:trPr>
          <w:cantSplit/>
        </w:trPr>
        <w:tc>
          <w:tcPr>
            <w:tcW w:w="2427" w:type="pct"/>
          </w:tcPr>
          <w:p w:rsidR="0043272A" w:rsidRPr="007F2DB8" w:rsidRDefault="0043272A" w:rsidP="0043272A">
            <w:pPr>
              <w:jc w:val="both"/>
              <w:rPr>
                <w:sz w:val="20"/>
                <w:lang w:val="fr-CA"/>
              </w:rPr>
            </w:pPr>
            <w:r w:rsidRPr="007F2DB8">
              <w:rPr>
                <w:sz w:val="20"/>
                <w:lang w:val="fr-CA"/>
              </w:rPr>
              <w:lastRenderedPageBreak/>
              <w:t>25 septembre 2012</w:t>
            </w:r>
          </w:p>
          <w:p w:rsidR="0043272A" w:rsidRPr="007F2DB8" w:rsidRDefault="0043272A" w:rsidP="0043272A">
            <w:pPr>
              <w:jc w:val="both"/>
              <w:rPr>
                <w:sz w:val="20"/>
                <w:lang w:val="fr-CA"/>
              </w:rPr>
            </w:pPr>
            <w:r w:rsidRPr="007F2DB8">
              <w:rPr>
                <w:sz w:val="20"/>
                <w:lang w:val="fr-CA"/>
              </w:rPr>
              <w:t>Cour suprême de Terre-Neuve-et-Labrador, Section de première instance</w:t>
            </w:r>
          </w:p>
          <w:p w:rsidR="0043272A" w:rsidRPr="007F2DB8" w:rsidRDefault="0043272A" w:rsidP="0043272A">
            <w:pPr>
              <w:jc w:val="both"/>
              <w:rPr>
                <w:sz w:val="20"/>
                <w:lang w:val="fr-CA"/>
              </w:rPr>
            </w:pPr>
            <w:r w:rsidRPr="007F2DB8">
              <w:rPr>
                <w:sz w:val="20"/>
                <w:lang w:val="fr-CA"/>
              </w:rPr>
              <w:t xml:space="preserve">(Juge en chef </w:t>
            </w:r>
            <w:proofErr w:type="spellStart"/>
            <w:r w:rsidRPr="007F2DB8">
              <w:rPr>
                <w:sz w:val="20"/>
                <w:lang w:val="fr-CA"/>
              </w:rPr>
              <w:t>Orsborn</w:t>
            </w:r>
            <w:proofErr w:type="spellEnd"/>
            <w:r w:rsidRPr="007F2DB8">
              <w:rPr>
                <w:sz w:val="20"/>
                <w:lang w:val="fr-CA"/>
              </w:rPr>
              <w:t>)</w:t>
            </w:r>
          </w:p>
          <w:p w:rsidR="0043272A" w:rsidRPr="007F2DB8" w:rsidRDefault="00C232E1" w:rsidP="0043272A">
            <w:pPr>
              <w:jc w:val="both"/>
              <w:rPr>
                <w:rStyle w:val="Hyperlink"/>
                <w:sz w:val="20"/>
                <w:lang w:val="fr-CA"/>
              </w:rPr>
            </w:pPr>
            <w:hyperlink r:id="rId45" w:history="1">
              <w:r w:rsidR="0043272A" w:rsidRPr="007F2DB8">
                <w:rPr>
                  <w:rStyle w:val="Hyperlink"/>
                  <w:sz w:val="20"/>
                  <w:lang w:val="fr-CA"/>
                </w:rPr>
                <w:t>2012 NLTD(G) 132</w:t>
              </w:r>
            </w:hyperlink>
            <w:r w:rsidR="0043272A" w:rsidRPr="007F2DB8">
              <w:rPr>
                <w:sz w:val="20"/>
                <w:lang w:val="fr-CA"/>
              </w:rPr>
              <w:t xml:space="preserve"> et </w:t>
            </w:r>
            <w:hyperlink r:id="rId46" w:history="1">
              <w:r w:rsidR="0043272A" w:rsidRPr="007F2DB8">
                <w:rPr>
                  <w:rStyle w:val="Hyperlink"/>
                  <w:sz w:val="20"/>
                  <w:lang w:val="fr-CA"/>
                </w:rPr>
                <w:t>2012 NLTD(G) 133</w:t>
              </w:r>
            </w:hyperlink>
          </w:p>
          <w:p w:rsidR="0043272A" w:rsidRPr="00E007CB" w:rsidRDefault="0043272A" w:rsidP="0043272A">
            <w:pPr>
              <w:jc w:val="both"/>
              <w:rPr>
                <w:rFonts w:eastAsia="Calibri"/>
                <w:sz w:val="20"/>
                <w:lang w:val="fr-CA"/>
              </w:rPr>
            </w:pPr>
          </w:p>
        </w:tc>
        <w:tc>
          <w:tcPr>
            <w:tcW w:w="243" w:type="pct"/>
          </w:tcPr>
          <w:p w:rsidR="0043272A" w:rsidRPr="00E007CB" w:rsidRDefault="0043272A" w:rsidP="0043272A">
            <w:pPr>
              <w:jc w:val="both"/>
              <w:rPr>
                <w:rFonts w:eastAsia="Calibri"/>
                <w:sz w:val="20"/>
                <w:lang w:val="fr-CA"/>
              </w:rPr>
            </w:pPr>
          </w:p>
        </w:tc>
        <w:tc>
          <w:tcPr>
            <w:tcW w:w="2330" w:type="pct"/>
          </w:tcPr>
          <w:p w:rsidR="0043272A" w:rsidRPr="0026164C" w:rsidRDefault="0043272A" w:rsidP="0043272A">
            <w:pPr>
              <w:jc w:val="both"/>
              <w:rPr>
                <w:sz w:val="20"/>
                <w:lang w:val="fr-CA"/>
              </w:rPr>
            </w:pPr>
            <w:r w:rsidRPr="007F2DB8">
              <w:rPr>
                <w:sz w:val="20"/>
                <w:lang w:val="fr-CA"/>
              </w:rPr>
              <w:t>Rejet de la demande de l’intimé pour que la demanderesse soit ajoutée comme défenderesse dans l’action en responsabilité civile; rejet de l’action de l’intimé pour violation du contrat d’assurance, sur demande de la demanderesse.</w:t>
            </w:r>
          </w:p>
        </w:tc>
      </w:tr>
      <w:tr w:rsidR="0043272A" w:rsidRPr="00002704" w:rsidTr="00CD41B1">
        <w:trPr>
          <w:cantSplit/>
        </w:trPr>
        <w:tc>
          <w:tcPr>
            <w:tcW w:w="2427" w:type="pct"/>
          </w:tcPr>
          <w:p w:rsidR="0043272A" w:rsidRPr="007F2DB8" w:rsidRDefault="0043272A" w:rsidP="0043272A">
            <w:pPr>
              <w:jc w:val="both"/>
              <w:rPr>
                <w:sz w:val="20"/>
                <w:lang w:val="fr-CA"/>
              </w:rPr>
            </w:pPr>
            <w:r w:rsidRPr="007F2DB8">
              <w:rPr>
                <w:sz w:val="20"/>
                <w:lang w:val="fr-CA"/>
              </w:rPr>
              <w:t>21 avril 2015</w:t>
            </w:r>
          </w:p>
          <w:p w:rsidR="0043272A" w:rsidRPr="007F2DB8" w:rsidRDefault="0043272A" w:rsidP="0043272A">
            <w:pPr>
              <w:jc w:val="both"/>
              <w:rPr>
                <w:sz w:val="20"/>
                <w:lang w:val="fr-CA"/>
              </w:rPr>
            </w:pPr>
            <w:r w:rsidRPr="007F2DB8">
              <w:rPr>
                <w:sz w:val="20"/>
                <w:lang w:val="fr-CA"/>
              </w:rPr>
              <w:t>Cour suprême de Terre-Neuve-et-Labrador – Cour d’appel</w:t>
            </w:r>
          </w:p>
          <w:p w:rsidR="0043272A" w:rsidRPr="007F2DB8" w:rsidRDefault="0043272A" w:rsidP="0043272A">
            <w:pPr>
              <w:jc w:val="both"/>
              <w:rPr>
                <w:sz w:val="20"/>
                <w:lang w:val="fr-CA"/>
              </w:rPr>
            </w:pPr>
            <w:r w:rsidRPr="007F2DB8">
              <w:rPr>
                <w:sz w:val="20"/>
                <w:lang w:val="fr-CA"/>
              </w:rPr>
              <w:t xml:space="preserve">(Juge en chef Green, juges </w:t>
            </w:r>
            <w:proofErr w:type="spellStart"/>
            <w:r w:rsidRPr="007F2DB8">
              <w:rPr>
                <w:sz w:val="20"/>
                <w:lang w:val="fr-CA"/>
              </w:rPr>
              <w:t>Welsh</w:t>
            </w:r>
            <w:proofErr w:type="spellEnd"/>
            <w:r w:rsidRPr="007F2DB8">
              <w:rPr>
                <w:sz w:val="20"/>
                <w:lang w:val="fr-CA"/>
              </w:rPr>
              <w:t xml:space="preserve">, Rowe, </w:t>
            </w:r>
          </w:p>
          <w:p w:rsidR="0043272A" w:rsidRPr="007F2DB8" w:rsidRDefault="0043272A" w:rsidP="0043272A">
            <w:pPr>
              <w:jc w:val="both"/>
              <w:rPr>
                <w:sz w:val="20"/>
                <w:lang w:val="fr-CA"/>
              </w:rPr>
            </w:pPr>
            <w:r w:rsidRPr="007F2DB8">
              <w:rPr>
                <w:sz w:val="20"/>
                <w:lang w:val="fr-CA"/>
              </w:rPr>
              <w:t xml:space="preserve">Harrington et </w:t>
            </w:r>
            <w:proofErr w:type="spellStart"/>
            <w:r w:rsidRPr="007F2DB8">
              <w:rPr>
                <w:sz w:val="20"/>
                <w:lang w:val="fr-CA"/>
              </w:rPr>
              <w:t>Hoegg</w:t>
            </w:r>
            <w:proofErr w:type="spellEnd"/>
            <w:r w:rsidRPr="007F2DB8">
              <w:rPr>
                <w:sz w:val="20"/>
                <w:lang w:val="fr-CA"/>
              </w:rPr>
              <w:t>) (le juge Rowe, dissident)</w:t>
            </w:r>
          </w:p>
          <w:p w:rsidR="0043272A" w:rsidRPr="007F2DB8" w:rsidRDefault="00C232E1" w:rsidP="0043272A">
            <w:pPr>
              <w:jc w:val="both"/>
              <w:rPr>
                <w:sz w:val="20"/>
                <w:lang w:val="fr-CA"/>
              </w:rPr>
            </w:pPr>
            <w:hyperlink r:id="rId47" w:history="1">
              <w:r w:rsidR="0043272A" w:rsidRPr="007F2DB8">
                <w:rPr>
                  <w:rStyle w:val="Hyperlink"/>
                  <w:sz w:val="20"/>
                  <w:lang w:val="fr-CA"/>
                </w:rPr>
                <w:t>2015 NLCA 21</w:t>
              </w:r>
            </w:hyperlink>
          </w:p>
          <w:p w:rsidR="0043272A" w:rsidRPr="00E007CB" w:rsidRDefault="0043272A" w:rsidP="0043272A">
            <w:pPr>
              <w:jc w:val="both"/>
              <w:rPr>
                <w:rFonts w:eastAsia="Calibri"/>
                <w:sz w:val="20"/>
                <w:lang w:val="fr-CA"/>
              </w:rPr>
            </w:pPr>
          </w:p>
        </w:tc>
        <w:tc>
          <w:tcPr>
            <w:tcW w:w="243" w:type="pct"/>
          </w:tcPr>
          <w:p w:rsidR="0043272A" w:rsidRPr="00E007CB" w:rsidRDefault="0043272A" w:rsidP="0043272A">
            <w:pPr>
              <w:jc w:val="both"/>
              <w:rPr>
                <w:rFonts w:eastAsia="Calibri"/>
                <w:sz w:val="20"/>
                <w:lang w:val="fr-CA"/>
              </w:rPr>
            </w:pPr>
          </w:p>
        </w:tc>
        <w:tc>
          <w:tcPr>
            <w:tcW w:w="2330" w:type="pct"/>
          </w:tcPr>
          <w:p w:rsidR="0043272A" w:rsidRPr="007F2DB8" w:rsidRDefault="0043272A" w:rsidP="0043272A">
            <w:pPr>
              <w:jc w:val="both"/>
              <w:rPr>
                <w:sz w:val="20"/>
                <w:lang w:val="fr-CA"/>
              </w:rPr>
            </w:pPr>
            <w:r w:rsidRPr="007F2DB8">
              <w:rPr>
                <w:sz w:val="20"/>
                <w:lang w:val="fr-CA"/>
              </w:rPr>
              <w:t>Arrêt accueillant l’appel de l’intimé dans l’action fondée sur le contrat (le juge Rowe, dissident); rétablissement de l’action en violation du contrat d’assurance.</w:t>
            </w:r>
          </w:p>
          <w:p w:rsidR="0043272A" w:rsidRPr="00E007CB" w:rsidRDefault="0043272A" w:rsidP="0043272A">
            <w:pPr>
              <w:jc w:val="both"/>
              <w:rPr>
                <w:rFonts w:eastAsia="Calibri"/>
                <w:sz w:val="20"/>
                <w:lang w:val="fr-CA"/>
              </w:rPr>
            </w:pPr>
          </w:p>
        </w:tc>
      </w:tr>
      <w:tr w:rsidR="0043272A" w:rsidRPr="00E007CB" w:rsidTr="00CD41B1">
        <w:trPr>
          <w:cantSplit/>
        </w:trPr>
        <w:tc>
          <w:tcPr>
            <w:tcW w:w="2427" w:type="pct"/>
          </w:tcPr>
          <w:p w:rsidR="0043272A" w:rsidRPr="00E007CB" w:rsidRDefault="0043272A" w:rsidP="0043272A">
            <w:pPr>
              <w:jc w:val="both"/>
              <w:rPr>
                <w:rFonts w:eastAsia="Calibri"/>
                <w:sz w:val="20"/>
                <w:lang w:val="fr-CA"/>
              </w:rPr>
            </w:pPr>
            <w:r>
              <w:rPr>
                <w:rFonts w:eastAsia="Calibri"/>
                <w:sz w:val="20"/>
                <w:lang w:val="fr-CA"/>
              </w:rPr>
              <w:t>22 juin</w:t>
            </w:r>
            <w:r w:rsidRPr="00E007CB">
              <w:rPr>
                <w:rFonts w:eastAsia="Calibri"/>
                <w:sz w:val="20"/>
                <w:lang w:val="fr-CA"/>
              </w:rPr>
              <w:t xml:space="preserve"> 201</w:t>
            </w:r>
            <w:r>
              <w:rPr>
                <w:rFonts w:eastAsia="Calibri"/>
                <w:sz w:val="20"/>
                <w:lang w:val="fr-CA"/>
              </w:rPr>
              <w:t>5</w:t>
            </w:r>
          </w:p>
          <w:p w:rsidR="0043272A" w:rsidRPr="00E007CB" w:rsidRDefault="0043272A" w:rsidP="0043272A">
            <w:pPr>
              <w:jc w:val="both"/>
              <w:rPr>
                <w:rFonts w:eastAsia="Calibri"/>
                <w:sz w:val="20"/>
                <w:lang w:val="fr-CA"/>
              </w:rPr>
            </w:pPr>
            <w:r w:rsidRPr="00E007CB">
              <w:rPr>
                <w:rFonts w:eastAsia="Calibri"/>
                <w:sz w:val="20"/>
                <w:lang w:val="fr-CA"/>
              </w:rPr>
              <w:t>Cour suprême du Canada</w:t>
            </w:r>
          </w:p>
        </w:tc>
        <w:tc>
          <w:tcPr>
            <w:tcW w:w="243" w:type="pct"/>
          </w:tcPr>
          <w:p w:rsidR="0043272A" w:rsidRPr="00E007CB" w:rsidRDefault="0043272A" w:rsidP="0043272A">
            <w:pPr>
              <w:jc w:val="both"/>
              <w:rPr>
                <w:rFonts w:eastAsia="Calibri"/>
                <w:sz w:val="20"/>
                <w:lang w:val="fr-CA"/>
              </w:rPr>
            </w:pPr>
          </w:p>
        </w:tc>
        <w:tc>
          <w:tcPr>
            <w:tcW w:w="2330" w:type="pct"/>
          </w:tcPr>
          <w:p w:rsidR="0043272A" w:rsidRPr="007F2DB8" w:rsidRDefault="0043272A" w:rsidP="0043272A">
            <w:pPr>
              <w:jc w:val="both"/>
              <w:rPr>
                <w:sz w:val="20"/>
                <w:lang w:val="fr-CA"/>
              </w:rPr>
            </w:pPr>
            <w:r w:rsidRPr="007F2DB8">
              <w:rPr>
                <w:sz w:val="20"/>
                <w:lang w:val="fr-CA"/>
              </w:rPr>
              <w:t>Dépôt de la demande d’autorisation d’appel</w:t>
            </w:r>
          </w:p>
        </w:tc>
      </w:tr>
    </w:tbl>
    <w:p w:rsidR="0043272A" w:rsidRDefault="0043272A" w:rsidP="0043272A">
      <w:pPr>
        <w:rPr>
          <w:sz w:val="20"/>
          <w:szCs w:val="20"/>
        </w:rPr>
      </w:pPr>
    </w:p>
    <w:p w:rsidR="0043272A" w:rsidRDefault="00C232E1" w:rsidP="0043272A">
      <w:pPr>
        <w:rPr>
          <w:sz w:val="20"/>
          <w:szCs w:val="20"/>
        </w:rPr>
      </w:pPr>
      <w:r>
        <w:rPr>
          <w:sz w:val="20"/>
          <w:szCs w:val="20"/>
          <w:lang w:val="fr-CA"/>
        </w:rPr>
        <w:pict>
          <v:rect id="_x0000_i1061" style="width:2in;height:1pt" o:hrpct="0" o:hralign="center" o:hrstd="t" o:hrnoshade="t" o:hr="t" fillcolor="black [3213]" stroked="f"/>
        </w:pict>
      </w:r>
    </w:p>
    <w:p w:rsidR="005C4DFE" w:rsidRDefault="005C4DFE" w:rsidP="005C4DF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C4DFE" w:rsidRPr="00A73D2C" w:rsidTr="00CD41B1">
        <w:trPr>
          <w:cantSplit/>
        </w:trPr>
        <w:tc>
          <w:tcPr>
            <w:tcW w:w="1458" w:type="dxa"/>
          </w:tcPr>
          <w:p w:rsidR="005C4DFE" w:rsidRPr="00A73D2C" w:rsidRDefault="005C4DFE" w:rsidP="00CD41B1">
            <w:pPr>
              <w:rPr>
                <w:sz w:val="20"/>
                <w:szCs w:val="20"/>
              </w:rPr>
            </w:pPr>
            <w:r w:rsidRPr="00A73D2C">
              <w:rPr>
                <w:rStyle w:val="SCCFileNumberChar"/>
                <w:sz w:val="20"/>
                <w:szCs w:val="20"/>
              </w:rPr>
              <w:t>3</w:t>
            </w:r>
            <w:r>
              <w:rPr>
                <w:rStyle w:val="SCCFileNumberChar"/>
                <w:sz w:val="20"/>
                <w:szCs w:val="20"/>
              </w:rPr>
              <w:t>6510</w:t>
            </w:r>
          </w:p>
          <w:p w:rsidR="005C4DFE" w:rsidRPr="00A73D2C" w:rsidRDefault="005C4DFE" w:rsidP="00CD41B1">
            <w:pPr>
              <w:rPr>
                <w:b/>
                <w:sz w:val="20"/>
                <w:szCs w:val="20"/>
                <w:lang w:val="fr-CA"/>
              </w:rPr>
            </w:pPr>
          </w:p>
        </w:tc>
        <w:tc>
          <w:tcPr>
            <w:tcW w:w="8118" w:type="dxa"/>
          </w:tcPr>
          <w:p w:rsidR="005C4DFE" w:rsidRPr="00A73D2C" w:rsidRDefault="005C4DFE" w:rsidP="00CD41B1">
            <w:pPr>
              <w:rPr>
                <w:sz w:val="20"/>
                <w:szCs w:val="20"/>
              </w:rPr>
            </w:pPr>
            <w:r w:rsidRPr="005C4DFE">
              <w:rPr>
                <w:rStyle w:val="SCCLsocChar"/>
                <w:sz w:val="20"/>
                <w:szCs w:val="20"/>
                <w:lang w:val="en-CA"/>
              </w:rPr>
              <w:t>Robbie Richard Erasmo v. Attorney General of Canada</w:t>
            </w:r>
            <w:r w:rsidRPr="00A73D2C">
              <w:rPr>
                <w:sz w:val="20"/>
                <w:szCs w:val="20"/>
              </w:rPr>
              <w:t xml:space="preserve"> (</w:t>
            </w:r>
            <w:r>
              <w:rPr>
                <w:sz w:val="20"/>
                <w:szCs w:val="20"/>
              </w:rPr>
              <w:t>F.C.</w:t>
            </w:r>
            <w:r w:rsidRPr="00A73D2C">
              <w:rPr>
                <w:sz w:val="20"/>
                <w:szCs w:val="20"/>
              </w:rPr>
              <w:t>) (C</w:t>
            </w:r>
            <w:r>
              <w:rPr>
                <w:sz w:val="20"/>
                <w:szCs w:val="20"/>
              </w:rPr>
              <w:t>r</w:t>
            </w:r>
            <w:r w:rsidRPr="00A73D2C">
              <w:rPr>
                <w:sz w:val="20"/>
                <w:szCs w:val="20"/>
              </w:rPr>
              <w:t>i</w:t>
            </w:r>
            <w:r>
              <w:rPr>
                <w:sz w:val="20"/>
                <w:szCs w:val="20"/>
              </w:rPr>
              <w:t>m</w:t>
            </w:r>
            <w:r w:rsidRPr="00A73D2C">
              <w:rPr>
                <w:sz w:val="20"/>
                <w:szCs w:val="20"/>
              </w:rPr>
              <w:t>i</w:t>
            </w:r>
            <w:r>
              <w:rPr>
                <w:sz w:val="20"/>
                <w:szCs w:val="20"/>
              </w:rPr>
              <w:t>na</w:t>
            </w:r>
            <w:r w:rsidRPr="00A73D2C">
              <w:rPr>
                <w:sz w:val="20"/>
                <w:szCs w:val="20"/>
              </w:rPr>
              <w:t>l) (By Leave)</w:t>
            </w:r>
          </w:p>
          <w:p w:rsidR="005C4DFE" w:rsidRPr="00A73D2C" w:rsidRDefault="005C4DFE" w:rsidP="00CD41B1">
            <w:pPr>
              <w:rPr>
                <w:sz w:val="20"/>
                <w:szCs w:val="20"/>
              </w:rPr>
            </w:pPr>
          </w:p>
        </w:tc>
      </w:tr>
      <w:tr w:rsidR="005C4DFE" w:rsidRPr="00A73D2C" w:rsidTr="00CD41B1">
        <w:trPr>
          <w:cantSplit/>
        </w:trPr>
        <w:tc>
          <w:tcPr>
            <w:tcW w:w="1458" w:type="dxa"/>
          </w:tcPr>
          <w:p w:rsidR="005C4DFE" w:rsidRPr="00A73D2C" w:rsidRDefault="005C4DFE" w:rsidP="00CD41B1">
            <w:pPr>
              <w:rPr>
                <w:sz w:val="20"/>
                <w:szCs w:val="20"/>
              </w:rPr>
            </w:pPr>
            <w:r w:rsidRPr="00A73D2C">
              <w:rPr>
                <w:sz w:val="20"/>
                <w:szCs w:val="20"/>
              </w:rPr>
              <w:t>Coram :</w:t>
            </w:r>
          </w:p>
        </w:tc>
        <w:tc>
          <w:tcPr>
            <w:tcW w:w="8118" w:type="dxa"/>
          </w:tcPr>
          <w:p w:rsidR="005C4DFE" w:rsidRDefault="00E06811" w:rsidP="00CD41B1">
            <w:pPr>
              <w:rPr>
                <w:rStyle w:val="SCCCoramChar"/>
                <w:sz w:val="20"/>
                <w:szCs w:val="20"/>
                <w:lang w:val="en-CA"/>
              </w:rPr>
            </w:pPr>
            <w:r w:rsidRPr="00E06811">
              <w:rPr>
                <w:rStyle w:val="SCCCoramChar"/>
                <w:sz w:val="20"/>
                <w:szCs w:val="20"/>
                <w:lang w:val="en-CA"/>
              </w:rPr>
              <w:t>Abella, Karakatsanis and Brown JJ.</w:t>
            </w:r>
          </w:p>
          <w:p w:rsidR="00E06811" w:rsidRPr="00A73D2C" w:rsidRDefault="00E06811" w:rsidP="00CD41B1">
            <w:pPr>
              <w:rPr>
                <w:sz w:val="20"/>
                <w:szCs w:val="20"/>
                <w:u w:val="single"/>
              </w:rPr>
            </w:pPr>
          </w:p>
        </w:tc>
      </w:tr>
      <w:tr w:rsidR="005C4DFE" w:rsidRPr="00002704" w:rsidTr="00CD41B1">
        <w:trPr>
          <w:cantSplit/>
        </w:trPr>
        <w:tc>
          <w:tcPr>
            <w:tcW w:w="9576" w:type="dxa"/>
            <w:gridSpan w:val="2"/>
          </w:tcPr>
          <w:p w:rsidR="00E06811" w:rsidRDefault="00E06811" w:rsidP="00E06811">
            <w:pPr>
              <w:pStyle w:val="SCCShortJudgment"/>
            </w:pPr>
            <w:r>
              <w:t>The application for leave to appeal from the judgment of the Federal Court of Appeal, Number A-518-14, 2015 FCA 129, dated May 20, 2015, is dismissed.</w:t>
            </w:r>
          </w:p>
          <w:p w:rsidR="00E06811" w:rsidRDefault="00E06811" w:rsidP="00E06811">
            <w:pPr>
              <w:pStyle w:val="SCCShortJudgment"/>
              <w:ind w:firstLine="0"/>
            </w:pPr>
          </w:p>
          <w:p w:rsidR="005C4DFE" w:rsidRPr="00A73D2C" w:rsidRDefault="00E06811" w:rsidP="00E06811">
            <w:pPr>
              <w:pStyle w:val="SCCShortJudgment"/>
              <w:rPr>
                <w:szCs w:val="20"/>
                <w:lang w:val="fr-CA"/>
              </w:rPr>
            </w:pPr>
            <w:r>
              <w:t xml:space="preserve">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A-518-14, 2015 CAF 129, </w:t>
            </w:r>
            <w:proofErr w:type="spellStart"/>
            <w:r>
              <w:t>daté</w:t>
            </w:r>
            <w:proofErr w:type="spellEnd"/>
            <w:r>
              <w:t xml:space="preserve"> du 20 </w:t>
            </w:r>
            <w:proofErr w:type="spellStart"/>
            <w:r>
              <w:t>mai</w:t>
            </w:r>
            <w:proofErr w:type="spellEnd"/>
            <w:r>
              <w:t xml:space="preserve"> 2015, </w:t>
            </w:r>
            <w:proofErr w:type="spellStart"/>
            <w:r>
              <w:t>est</w:t>
            </w:r>
            <w:proofErr w:type="spellEnd"/>
            <w:r>
              <w:t xml:space="preserve"> </w:t>
            </w:r>
            <w:proofErr w:type="spellStart"/>
            <w:r>
              <w:t>rejetée</w:t>
            </w:r>
            <w:proofErr w:type="spellEnd"/>
            <w:r>
              <w:t>.</w:t>
            </w:r>
          </w:p>
        </w:tc>
      </w:tr>
    </w:tbl>
    <w:p w:rsidR="005C4DFE" w:rsidRPr="0016547E" w:rsidRDefault="005C4DFE" w:rsidP="005C4DFE">
      <w:pPr>
        <w:rPr>
          <w:sz w:val="20"/>
          <w:szCs w:val="20"/>
          <w:lang w:val="fr-CA"/>
        </w:rPr>
      </w:pPr>
    </w:p>
    <w:p w:rsidR="005C4DFE" w:rsidRPr="001B157C" w:rsidRDefault="005C4DFE" w:rsidP="005C4DFE">
      <w:pPr>
        <w:rPr>
          <w:sz w:val="20"/>
          <w:szCs w:val="20"/>
          <w:u w:val="single"/>
        </w:rPr>
      </w:pPr>
      <w:r w:rsidRPr="001B157C">
        <w:rPr>
          <w:sz w:val="20"/>
          <w:szCs w:val="20"/>
          <w:u w:val="single"/>
        </w:rPr>
        <w:t>CASE SUMMARY</w:t>
      </w:r>
    </w:p>
    <w:p w:rsidR="005C4DFE" w:rsidRDefault="005C4DFE" w:rsidP="005C4D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4DFE" w:rsidRPr="00E007CB" w:rsidTr="00CD41B1">
        <w:tc>
          <w:tcPr>
            <w:tcW w:w="5000" w:type="pct"/>
            <w:gridSpan w:val="3"/>
          </w:tcPr>
          <w:p w:rsidR="005C4DFE" w:rsidRDefault="005C4DFE" w:rsidP="00CD41B1">
            <w:pPr>
              <w:jc w:val="both"/>
              <w:rPr>
                <w:sz w:val="20"/>
              </w:rPr>
            </w:pPr>
            <w:r w:rsidRPr="007F2DB8">
              <w:rPr>
                <w:i/>
                <w:sz w:val="20"/>
              </w:rPr>
              <w:t>Charter of Rights and Freedoms</w:t>
            </w:r>
            <w:r w:rsidRPr="007F2DB8">
              <w:rPr>
                <w:sz w:val="20"/>
              </w:rPr>
              <w:t xml:space="preserve"> – Right to liberty – </w:t>
            </w:r>
            <w:r w:rsidRPr="007F2DB8">
              <w:rPr>
                <w:sz w:val="20"/>
                <w:lang w:val="en"/>
              </w:rPr>
              <w:t xml:space="preserve">Merger provisions under s. 743.5(1) of the </w:t>
            </w:r>
            <w:r w:rsidRPr="007F2DB8">
              <w:rPr>
                <w:i/>
                <w:sz w:val="20"/>
                <w:lang w:val="en"/>
              </w:rPr>
              <w:t>Criminal Code</w:t>
            </w:r>
            <w:r w:rsidRPr="007F2DB8">
              <w:rPr>
                <w:sz w:val="20"/>
                <w:lang w:val="en"/>
              </w:rPr>
              <w:t xml:space="preserve"> and s. 139(1) of the </w:t>
            </w:r>
            <w:r w:rsidRPr="007F2DB8">
              <w:rPr>
                <w:i/>
                <w:sz w:val="20"/>
                <w:lang w:val="en"/>
              </w:rPr>
              <w:t>Corrections and Conditional Release Act</w:t>
            </w:r>
            <w:r w:rsidRPr="007F2DB8">
              <w:rPr>
                <w:sz w:val="20"/>
                <w:lang w:val="en"/>
              </w:rPr>
              <w:t>,</w:t>
            </w:r>
            <w:r w:rsidRPr="007F2DB8">
              <w:rPr>
                <w:i/>
                <w:sz w:val="20"/>
                <w:lang w:val="en"/>
              </w:rPr>
              <w:t xml:space="preserve"> </w:t>
            </w:r>
            <w:r w:rsidRPr="007F2DB8">
              <w:rPr>
                <w:sz w:val="20"/>
                <w:lang w:val="en"/>
              </w:rPr>
              <w:t xml:space="preserve">SC 1992, C 20 </w:t>
            </w:r>
            <w:r w:rsidRPr="007F2DB8">
              <w:rPr>
                <w:sz w:val="20"/>
              </w:rPr>
              <w:t xml:space="preserve">– Whether the Federal Court of Appeal erred in its analysis of the merger provisions – Whether the deprivation of liberty offends the principles of fundamental justice – Whether the appeal should have been dismissed with costs against the applicant – Ss. 1 and 7 of the </w:t>
            </w:r>
            <w:r w:rsidRPr="007F2DB8">
              <w:rPr>
                <w:i/>
                <w:sz w:val="20"/>
              </w:rPr>
              <w:t>Charter</w:t>
            </w:r>
            <w:r w:rsidRPr="007F2DB8">
              <w:rPr>
                <w:sz w:val="20"/>
              </w:rPr>
              <w:t>.</w:t>
            </w:r>
          </w:p>
          <w:p w:rsidR="005C4DFE" w:rsidRPr="00E007CB" w:rsidRDefault="005C4DFE" w:rsidP="00CD41B1">
            <w:pPr>
              <w:jc w:val="both"/>
              <w:rPr>
                <w:rFonts w:eastAsia="Calibri"/>
                <w:sz w:val="20"/>
              </w:rPr>
            </w:pPr>
          </w:p>
        </w:tc>
      </w:tr>
      <w:tr w:rsidR="005C4DFE" w:rsidRPr="00E007CB" w:rsidTr="00CD41B1">
        <w:tc>
          <w:tcPr>
            <w:tcW w:w="5000" w:type="pct"/>
            <w:gridSpan w:val="3"/>
          </w:tcPr>
          <w:p w:rsidR="005C4DFE" w:rsidRPr="007F2DB8" w:rsidRDefault="005C4DFE" w:rsidP="005C4DFE">
            <w:pPr>
              <w:pStyle w:val="NormalWeb"/>
              <w:spacing w:before="0" w:beforeAutospacing="0" w:after="0" w:afterAutospacing="0"/>
              <w:jc w:val="both"/>
              <w:rPr>
                <w:sz w:val="20"/>
                <w:szCs w:val="20"/>
              </w:rPr>
            </w:pPr>
            <w:proofErr w:type="spellStart"/>
            <w:r w:rsidRPr="007F2DB8">
              <w:rPr>
                <w:sz w:val="20"/>
                <w:szCs w:val="20"/>
                <w:lang w:val="en"/>
              </w:rPr>
              <w:t>T</w:t>
            </w:r>
            <w:r w:rsidRPr="007F2DB8">
              <w:rPr>
                <w:sz w:val="20"/>
                <w:szCs w:val="20"/>
              </w:rPr>
              <w:t>he</w:t>
            </w:r>
            <w:proofErr w:type="spellEnd"/>
            <w:r w:rsidRPr="007F2DB8">
              <w:rPr>
                <w:sz w:val="20"/>
                <w:szCs w:val="20"/>
              </w:rPr>
              <w:t xml:space="preserve"> applicant brought an application for judicial review submitting that the merger provisions </w:t>
            </w:r>
            <w:r w:rsidRPr="007F2DB8">
              <w:rPr>
                <w:sz w:val="20"/>
                <w:szCs w:val="20"/>
                <w:lang w:val="en"/>
              </w:rPr>
              <w:t xml:space="preserve">under s. 743.5(1) of the </w:t>
            </w:r>
            <w:r w:rsidRPr="007F2DB8">
              <w:rPr>
                <w:i/>
                <w:sz w:val="20"/>
                <w:szCs w:val="20"/>
                <w:lang w:val="en"/>
              </w:rPr>
              <w:t>Criminal Code</w:t>
            </w:r>
            <w:r w:rsidRPr="007F2DB8">
              <w:rPr>
                <w:sz w:val="20"/>
                <w:szCs w:val="20"/>
                <w:lang w:val="en"/>
              </w:rPr>
              <w:t xml:space="preserve"> and s. 139(1) of the </w:t>
            </w:r>
            <w:r w:rsidRPr="007F2DB8">
              <w:rPr>
                <w:i/>
                <w:sz w:val="20"/>
                <w:szCs w:val="20"/>
                <w:lang w:val="en"/>
              </w:rPr>
              <w:t>Corrections and Conditional Release Act</w:t>
            </w:r>
            <w:r w:rsidRPr="007F2DB8">
              <w:rPr>
                <w:sz w:val="20"/>
                <w:szCs w:val="20"/>
                <w:lang w:val="en"/>
              </w:rPr>
              <w:t xml:space="preserve"> </w:t>
            </w:r>
            <w:r w:rsidRPr="007F2DB8">
              <w:rPr>
                <w:sz w:val="20"/>
                <w:szCs w:val="20"/>
              </w:rPr>
              <w:t xml:space="preserve">offend his </w:t>
            </w:r>
            <w:r w:rsidRPr="007F2DB8">
              <w:rPr>
                <w:i/>
                <w:sz w:val="20"/>
                <w:szCs w:val="20"/>
              </w:rPr>
              <w:t>Charter</w:t>
            </w:r>
            <w:r w:rsidRPr="007F2DB8">
              <w:rPr>
                <w:sz w:val="20"/>
                <w:szCs w:val="20"/>
              </w:rPr>
              <w:t xml:space="preserve"> rights and cannot be saved pursuant to s. 1 of the </w:t>
            </w:r>
            <w:r w:rsidRPr="007F2DB8">
              <w:rPr>
                <w:i/>
                <w:sz w:val="20"/>
                <w:szCs w:val="20"/>
              </w:rPr>
              <w:t>Charter</w:t>
            </w:r>
            <w:r w:rsidRPr="007F2DB8">
              <w:rPr>
                <w:sz w:val="20"/>
                <w:szCs w:val="20"/>
              </w:rPr>
              <w:t>. The Federal Court judge dismissed the applicant’s application for judicial review. The Federal Court of Appeal dismissed the appeal with costs.</w:t>
            </w:r>
          </w:p>
          <w:p w:rsidR="005C4DFE" w:rsidRPr="00E007CB" w:rsidRDefault="005C4DFE" w:rsidP="00CD41B1">
            <w:pPr>
              <w:jc w:val="both"/>
              <w:rPr>
                <w:rFonts w:eastAsia="Calibri"/>
                <w:sz w:val="20"/>
              </w:rPr>
            </w:pPr>
          </w:p>
        </w:tc>
      </w:tr>
      <w:tr w:rsidR="005C4DFE" w:rsidRPr="00E007CB" w:rsidTr="00CD41B1">
        <w:trPr>
          <w:cantSplit/>
        </w:trPr>
        <w:tc>
          <w:tcPr>
            <w:tcW w:w="2427" w:type="pct"/>
          </w:tcPr>
          <w:p w:rsidR="005C4DFE" w:rsidRPr="007F2DB8" w:rsidRDefault="005C4DFE" w:rsidP="005C4DFE">
            <w:pPr>
              <w:jc w:val="both"/>
              <w:rPr>
                <w:sz w:val="20"/>
              </w:rPr>
            </w:pPr>
            <w:r w:rsidRPr="007F2DB8">
              <w:rPr>
                <w:sz w:val="20"/>
              </w:rPr>
              <w:t>November 19, 2014</w:t>
            </w:r>
          </w:p>
          <w:p w:rsidR="005C4DFE" w:rsidRPr="007F2DB8" w:rsidRDefault="005C4DFE" w:rsidP="005C4DFE">
            <w:pPr>
              <w:jc w:val="both"/>
              <w:rPr>
                <w:sz w:val="20"/>
              </w:rPr>
            </w:pPr>
            <w:r w:rsidRPr="007F2DB8">
              <w:rPr>
                <w:sz w:val="20"/>
              </w:rPr>
              <w:t>Federal Court</w:t>
            </w:r>
          </w:p>
          <w:p w:rsidR="005C4DFE" w:rsidRPr="007F2DB8" w:rsidRDefault="005C4DFE" w:rsidP="005C4DFE">
            <w:pPr>
              <w:jc w:val="both"/>
              <w:rPr>
                <w:sz w:val="20"/>
              </w:rPr>
            </w:pPr>
            <w:r w:rsidRPr="007F2DB8">
              <w:rPr>
                <w:sz w:val="20"/>
              </w:rPr>
              <w:t>(Manson J.)</w:t>
            </w:r>
          </w:p>
          <w:p w:rsidR="005C4DFE" w:rsidRPr="007F2DB8" w:rsidRDefault="005C4DFE" w:rsidP="005C4DFE">
            <w:pPr>
              <w:jc w:val="both"/>
              <w:rPr>
                <w:sz w:val="20"/>
              </w:rPr>
            </w:pPr>
            <w:r w:rsidRPr="007F2DB8">
              <w:rPr>
                <w:sz w:val="20"/>
              </w:rPr>
              <w:t>2014 FC 1096</w:t>
            </w:r>
          </w:p>
          <w:p w:rsidR="005C4DFE" w:rsidRPr="007F2DB8" w:rsidRDefault="00C232E1" w:rsidP="005C4DFE">
            <w:pPr>
              <w:jc w:val="both"/>
              <w:rPr>
                <w:rStyle w:val="documentstaticurl"/>
                <w:sz w:val="20"/>
              </w:rPr>
            </w:pPr>
            <w:hyperlink r:id="rId48" w:history="1">
              <w:r w:rsidR="005C4DFE" w:rsidRPr="007F2DB8">
                <w:rPr>
                  <w:rStyle w:val="Hyperlink"/>
                  <w:sz w:val="20"/>
                </w:rPr>
                <w:t>http://canlii.ca/t/gfrqt</w:t>
              </w:r>
            </w:hyperlink>
          </w:p>
          <w:p w:rsidR="005C4DFE" w:rsidRPr="00E007CB" w:rsidRDefault="005C4DFE" w:rsidP="00CD41B1">
            <w:pPr>
              <w:jc w:val="both"/>
              <w:rPr>
                <w:rFonts w:eastAsia="Calibri"/>
                <w:sz w:val="20"/>
              </w:rPr>
            </w:pPr>
          </w:p>
        </w:tc>
        <w:tc>
          <w:tcPr>
            <w:tcW w:w="243" w:type="pct"/>
          </w:tcPr>
          <w:p w:rsidR="005C4DFE" w:rsidRPr="00E007CB" w:rsidRDefault="005C4DFE" w:rsidP="00CD41B1">
            <w:pPr>
              <w:jc w:val="both"/>
              <w:rPr>
                <w:rFonts w:eastAsia="Calibri"/>
                <w:sz w:val="20"/>
              </w:rPr>
            </w:pPr>
          </w:p>
        </w:tc>
        <w:tc>
          <w:tcPr>
            <w:tcW w:w="2330" w:type="pct"/>
          </w:tcPr>
          <w:p w:rsidR="005C4DFE" w:rsidRPr="007F2DB8" w:rsidRDefault="005C4DFE" w:rsidP="005C4DFE">
            <w:pPr>
              <w:jc w:val="both"/>
              <w:rPr>
                <w:sz w:val="20"/>
              </w:rPr>
            </w:pPr>
            <w:r w:rsidRPr="007F2DB8">
              <w:rPr>
                <w:sz w:val="20"/>
              </w:rPr>
              <w:t>Applicant’s application for judicial review dismissed</w:t>
            </w:r>
          </w:p>
          <w:p w:rsidR="005C4DFE" w:rsidRPr="00E007CB" w:rsidRDefault="005C4DFE" w:rsidP="00CD41B1">
            <w:pPr>
              <w:jc w:val="both"/>
              <w:rPr>
                <w:rFonts w:eastAsia="Calibri"/>
                <w:sz w:val="20"/>
              </w:rPr>
            </w:pPr>
          </w:p>
        </w:tc>
      </w:tr>
      <w:tr w:rsidR="005C4DFE" w:rsidRPr="00E007CB" w:rsidTr="00CD41B1">
        <w:trPr>
          <w:cantSplit/>
        </w:trPr>
        <w:tc>
          <w:tcPr>
            <w:tcW w:w="2427" w:type="pct"/>
          </w:tcPr>
          <w:p w:rsidR="005C4DFE" w:rsidRPr="007F2DB8" w:rsidRDefault="005C4DFE" w:rsidP="005C4DFE">
            <w:pPr>
              <w:jc w:val="both"/>
              <w:rPr>
                <w:sz w:val="20"/>
              </w:rPr>
            </w:pPr>
            <w:r w:rsidRPr="007F2DB8">
              <w:rPr>
                <w:sz w:val="20"/>
              </w:rPr>
              <w:lastRenderedPageBreak/>
              <w:t>May 20, 2015</w:t>
            </w:r>
          </w:p>
          <w:p w:rsidR="005C4DFE" w:rsidRPr="007F2DB8" w:rsidRDefault="005C4DFE" w:rsidP="005C4DFE">
            <w:pPr>
              <w:jc w:val="both"/>
              <w:rPr>
                <w:sz w:val="20"/>
              </w:rPr>
            </w:pPr>
            <w:r w:rsidRPr="007F2DB8">
              <w:rPr>
                <w:sz w:val="20"/>
              </w:rPr>
              <w:t>Federal Court of Appeal</w:t>
            </w:r>
          </w:p>
          <w:p w:rsidR="005C4DFE" w:rsidRPr="007F2DB8" w:rsidRDefault="005C4DFE" w:rsidP="005C4DFE">
            <w:pPr>
              <w:jc w:val="both"/>
              <w:rPr>
                <w:sz w:val="20"/>
              </w:rPr>
            </w:pPr>
            <w:r w:rsidRPr="007F2DB8">
              <w:rPr>
                <w:sz w:val="20"/>
              </w:rPr>
              <w:t>(</w:t>
            </w:r>
            <w:proofErr w:type="spellStart"/>
            <w:r w:rsidRPr="007F2DB8">
              <w:rPr>
                <w:sz w:val="20"/>
              </w:rPr>
              <w:t>Stratas</w:t>
            </w:r>
            <w:proofErr w:type="spellEnd"/>
            <w:r w:rsidRPr="007F2DB8">
              <w:rPr>
                <w:sz w:val="20"/>
              </w:rPr>
              <w:t xml:space="preserve">, Scott, </w:t>
            </w:r>
            <w:proofErr w:type="spellStart"/>
            <w:r w:rsidRPr="007F2DB8">
              <w:rPr>
                <w:sz w:val="20"/>
              </w:rPr>
              <w:t>Boivin</w:t>
            </w:r>
            <w:proofErr w:type="spellEnd"/>
            <w:r w:rsidRPr="007F2DB8">
              <w:rPr>
                <w:sz w:val="20"/>
              </w:rPr>
              <w:t xml:space="preserve"> JJ.A.)</w:t>
            </w:r>
          </w:p>
          <w:p w:rsidR="005C4DFE" w:rsidRPr="007F2DB8" w:rsidRDefault="005C4DFE" w:rsidP="005C4DFE">
            <w:pPr>
              <w:jc w:val="both"/>
              <w:rPr>
                <w:sz w:val="20"/>
              </w:rPr>
            </w:pPr>
            <w:r w:rsidRPr="007F2DB8">
              <w:rPr>
                <w:sz w:val="20"/>
              </w:rPr>
              <w:t>2015 FCA 129; A-518-14</w:t>
            </w:r>
          </w:p>
          <w:p w:rsidR="005C4DFE" w:rsidRPr="007F2DB8" w:rsidRDefault="00C232E1" w:rsidP="005C4DFE">
            <w:pPr>
              <w:jc w:val="both"/>
              <w:rPr>
                <w:rStyle w:val="documentstaticurl"/>
                <w:sz w:val="20"/>
              </w:rPr>
            </w:pPr>
            <w:hyperlink r:id="rId49" w:history="1">
              <w:r w:rsidR="005C4DFE" w:rsidRPr="007F2DB8">
                <w:rPr>
                  <w:rStyle w:val="Hyperlink"/>
                  <w:sz w:val="20"/>
                </w:rPr>
                <w:t>http://canlii.ca/t/gj37h</w:t>
              </w:r>
            </w:hyperlink>
          </w:p>
          <w:p w:rsidR="005C4DFE" w:rsidRPr="00E007CB" w:rsidRDefault="005C4DFE" w:rsidP="00CD41B1">
            <w:pPr>
              <w:jc w:val="both"/>
              <w:rPr>
                <w:rFonts w:eastAsia="Calibri"/>
                <w:sz w:val="20"/>
              </w:rPr>
            </w:pPr>
          </w:p>
        </w:tc>
        <w:tc>
          <w:tcPr>
            <w:tcW w:w="243" w:type="pct"/>
          </w:tcPr>
          <w:p w:rsidR="005C4DFE" w:rsidRPr="00E007CB" w:rsidRDefault="005C4DFE" w:rsidP="00CD41B1">
            <w:pPr>
              <w:jc w:val="both"/>
              <w:rPr>
                <w:rFonts w:eastAsia="Calibri"/>
                <w:sz w:val="20"/>
              </w:rPr>
            </w:pPr>
          </w:p>
        </w:tc>
        <w:tc>
          <w:tcPr>
            <w:tcW w:w="2330" w:type="pct"/>
          </w:tcPr>
          <w:p w:rsidR="005C4DFE" w:rsidRPr="007F2DB8" w:rsidRDefault="005C4DFE" w:rsidP="005C4DFE">
            <w:pPr>
              <w:jc w:val="both"/>
              <w:rPr>
                <w:sz w:val="20"/>
              </w:rPr>
            </w:pPr>
            <w:r w:rsidRPr="007F2DB8">
              <w:rPr>
                <w:sz w:val="20"/>
              </w:rPr>
              <w:t>Applicant’s appeal dismissed with costs</w:t>
            </w:r>
          </w:p>
          <w:p w:rsidR="005C4DFE" w:rsidRPr="007F2DB8" w:rsidRDefault="005C4DFE" w:rsidP="00CD41B1">
            <w:pPr>
              <w:jc w:val="both"/>
              <w:rPr>
                <w:sz w:val="20"/>
              </w:rPr>
            </w:pPr>
          </w:p>
        </w:tc>
      </w:tr>
      <w:tr w:rsidR="005C4DFE" w:rsidRPr="00E007CB" w:rsidTr="00CD41B1">
        <w:trPr>
          <w:cantSplit/>
        </w:trPr>
        <w:tc>
          <w:tcPr>
            <w:tcW w:w="2427" w:type="pct"/>
          </w:tcPr>
          <w:p w:rsidR="005C4DFE" w:rsidRPr="00E007CB" w:rsidRDefault="005C4DFE" w:rsidP="00CD41B1">
            <w:pPr>
              <w:jc w:val="both"/>
              <w:rPr>
                <w:rFonts w:eastAsia="Calibri"/>
                <w:sz w:val="20"/>
              </w:rPr>
            </w:pPr>
            <w:r>
              <w:rPr>
                <w:rFonts w:eastAsia="Calibri"/>
                <w:sz w:val="20"/>
              </w:rPr>
              <w:t>July 9</w:t>
            </w:r>
            <w:r w:rsidRPr="00E007CB">
              <w:rPr>
                <w:rFonts w:eastAsia="Calibri"/>
                <w:sz w:val="20"/>
              </w:rPr>
              <w:t>, 201</w:t>
            </w:r>
            <w:r>
              <w:rPr>
                <w:rFonts w:eastAsia="Calibri"/>
                <w:sz w:val="20"/>
              </w:rPr>
              <w:t>5</w:t>
            </w:r>
          </w:p>
          <w:p w:rsidR="005C4DFE" w:rsidRPr="00E007CB" w:rsidRDefault="005C4DFE" w:rsidP="00CD41B1">
            <w:pPr>
              <w:jc w:val="both"/>
              <w:rPr>
                <w:rFonts w:eastAsia="Calibri"/>
                <w:sz w:val="20"/>
              </w:rPr>
            </w:pPr>
            <w:r w:rsidRPr="00E007CB">
              <w:rPr>
                <w:rFonts w:eastAsia="Calibri"/>
                <w:sz w:val="20"/>
              </w:rPr>
              <w:t>Supreme Court of Canada</w:t>
            </w:r>
          </w:p>
        </w:tc>
        <w:tc>
          <w:tcPr>
            <w:tcW w:w="243" w:type="pct"/>
          </w:tcPr>
          <w:p w:rsidR="005C4DFE" w:rsidRPr="00E007CB" w:rsidRDefault="005C4DFE" w:rsidP="00CD41B1">
            <w:pPr>
              <w:jc w:val="both"/>
              <w:rPr>
                <w:rFonts w:eastAsia="Calibri"/>
                <w:sz w:val="20"/>
              </w:rPr>
            </w:pPr>
          </w:p>
        </w:tc>
        <w:tc>
          <w:tcPr>
            <w:tcW w:w="2330" w:type="pct"/>
          </w:tcPr>
          <w:p w:rsidR="005C4DFE" w:rsidRPr="007F2DB8" w:rsidRDefault="005C4DFE" w:rsidP="00CD41B1">
            <w:pPr>
              <w:jc w:val="both"/>
              <w:rPr>
                <w:sz w:val="20"/>
              </w:rPr>
            </w:pPr>
            <w:r>
              <w:rPr>
                <w:sz w:val="20"/>
              </w:rPr>
              <w:t>Application for leave to appeal</w:t>
            </w:r>
            <w:r w:rsidRPr="007F2DB8">
              <w:rPr>
                <w:sz w:val="20"/>
              </w:rPr>
              <w:t xml:space="preserve"> filed</w:t>
            </w:r>
          </w:p>
          <w:p w:rsidR="005C4DFE" w:rsidRPr="007F2DB8" w:rsidRDefault="005C4DFE" w:rsidP="00CD41B1">
            <w:pPr>
              <w:jc w:val="both"/>
              <w:rPr>
                <w:sz w:val="20"/>
              </w:rPr>
            </w:pPr>
          </w:p>
        </w:tc>
      </w:tr>
    </w:tbl>
    <w:p w:rsidR="005C4DFE" w:rsidRDefault="005C4DFE" w:rsidP="005C4DFE">
      <w:pPr>
        <w:rPr>
          <w:sz w:val="20"/>
          <w:szCs w:val="20"/>
        </w:rPr>
      </w:pPr>
    </w:p>
    <w:p w:rsidR="005C4DFE" w:rsidRPr="00C50A5C" w:rsidRDefault="00C232E1" w:rsidP="005C4DFE">
      <w:pPr>
        <w:rPr>
          <w:sz w:val="20"/>
          <w:szCs w:val="20"/>
        </w:rPr>
      </w:pPr>
      <w:r>
        <w:rPr>
          <w:sz w:val="20"/>
          <w:szCs w:val="20"/>
          <w:lang w:val="fr-CA"/>
        </w:rPr>
        <w:pict>
          <v:rect id="_x0000_i1062" style="width:2in;height:1pt" o:hrpct="0" o:hralign="center" o:hrstd="t" o:hrnoshade="t" o:hr="t" fillcolor="black [3213]" stroked="f"/>
        </w:pict>
      </w:r>
    </w:p>
    <w:p w:rsidR="005C4DFE" w:rsidRDefault="005C4DFE" w:rsidP="005C4DFE">
      <w:pPr>
        <w:rPr>
          <w:sz w:val="20"/>
          <w:szCs w:val="20"/>
        </w:rPr>
      </w:pPr>
    </w:p>
    <w:p w:rsidR="005C4DFE" w:rsidRPr="001B157C" w:rsidRDefault="005C4DFE" w:rsidP="005C4DFE">
      <w:pPr>
        <w:rPr>
          <w:sz w:val="20"/>
          <w:szCs w:val="20"/>
          <w:u w:val="single"/>
          <w:lang w:val="fr-CA"/>
        </w:rPr>
      </w:pPr>
      <w:r w:rsidRPr="001B157C">
        <w:rPr>
          <w:sz w:val="20"/>
          <w:szCs w:val="20"/>
          <w:u w:val="single"/>
          <w:lang w:val="fr-CA"/>
        </w:rPr>
        <w:t>RÉSUMÉ DE L’AFFAIRE</w:t>
      </w:r>
    </w:p>
    <w:p w:rsidR="005C4DFE" w:rsidRDefault="005C4DFE" w:rsidP="005C4DF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C4DFE" w:rsidRPr="00002704" w:rsidTr="00CD41B1">
        <w:tc>
          <w:tcPr>
            <w:tcW w:w="5000" w:type="pct"/>
            <w:gridSpan w:val="3"/>
          </w:tcPr>
          <w:p w:rsidR="005C4DFE" w:rsidRDefault="005C4DFE" w:rsidP="00CD41B1">
            <w:pPr>
              <w:jc w:val="both"/>
              <w:rPr>
                <w:sz w:val="20"/>
                <w:lang w:val="fr-CA"/>
              </w:rPr>
            </w:pPr>
            <w:r w:rsidRPr="007F2DB8">
              <w:rPr>
                <w:i/>
                <w:sz w:val="20"/>
                <w:lang w:val="fr-CA"/>
              </w:rPr>
              <w:t>Charte des droits et libertés</w:t>
            </w:r>
            <w:r w:rsidRPr="007F2DB8">
              <w:rPr>
                <w:sz w:val="20"/>
                <w:lang w:val="fr-CA"/>
              </w:rPr>
              <w:t xml:space="preserve"> – Droit à la liberté – Dispositions du par. 743.5(1) du </w:t>
            </w:r>
            <w:r w:rsidRPr="007F2DB8">
              <w:rPr>
                <w:i/>
                <w:sz w:val="20"/>
                <w:lang w:val="fr-CA"/>
              </w:rPr>
              <w:t>Code criminel</w:t>
            </w:r>
            <w:r w:rsidRPr="007F2DB8">
              <w:rPr>
                <w:sz w:val="20"/>
                <w:lang w:val="fr-CA"/>
              </w:rPr>
              <w:t xml:space="preserve"> et du par. 139(1) de la </w:t>
            </w:r>
            <w:r w:rsidRPr="007F2DB8">
              <w:rPr>
                <w:i/>
                <w:sz w:val="20"/>
                <w:lang w:val="fr-CA"/>
              </w:rPr>
              <w:t>Loi sur le système correctionnel et la mise en liberté sous condition</w:t>
            </w:r>
            <w:r w:rsidRPr="007F2DB8">
              <w:rPr>
                <w:sz w:val="20"/>
                <w:lang w:val="fr-CA"/>
              </w:rPr>
              <w:t xml:space="preserve">, L.C. 1992, c. 20, sur la fusion des peines – La Cour d’appel fédérale a-t-elle commis une erreur dans son analyse des dispositions sur la fusion des peines? – La privation de liberté enfreint-elle les principes de justice fondamentale? – Convenait-il de rejeter l’appel avec dépens contre le demandeur? – Articles premier et 7 de la </w:t>
            </w:r>
            <w:r w:rsidRPr="007F2DB8">
              <w:rPr>
                <w:i/>
                <w:sz w:val="20"/>
                <w:lang w:val="fr-CA"/>
              </w:rPr>
              <w:t>Charte</w:t>
            </w:r>
            <w:r w:rsidRPr="007F2DB8">
              <w:rPr>
                <w:sz w:val="20"/>
                <w:lang w:val="fr-CA"/>
              </w:rPr>
              <w:t>.</w:t>
            </w:r>
          </w:p>
          <w:p w:rsidR="005C4DFE" w:rsidRPr="00E007CB" w:rsidRDefault="005C4DFE" w:rsidP="00CD41B1">
            <w:pPr>
              <w:jc w:val="both"/>
              <w:rPr>
                <w:rFonts w:eastAsia="Calibri"/>
                <w:sz w:val="20"/>
                <w:lang w:val="fr-CA"/>
              </w:rPr>
            </w:pPr>
          </w:p>
        </w:tc>
      </w:tr>
      <w:tr w:rsidR="005C4DFE" w:rsidRPr="00E007CB" w:rsidTr="00CD41B1">
        <w:tc>
          <w:tcPr>
            <w:tcW w:w="5000" w:type="pct"/>
            <w:gridSpan w:val="3"/>
          </w:tcPr>
          <w:p w:rsidR="005C4DFE" w:rsidRPr="007F2DB8" w:rsidRDefault="005C4DFE" w:rsidP="005C4DFE">
            <w:pPr>
              <w:pStyle w:val="NormalWeb"/>
              <w:spacing w:before="0" w:beforeAutospacing="0" w:after="0" w:afterAutospacing="0"/>
              <w:jc w:val="both"/>
              <w:rPr>
                <w:sz w:val="20"/>
                <w:szCs w:val="20"/>
              </w:rPr>
            </w:pPr>
            <w:r w:rsidRPr="007F2DB8">
              <w:rPr>
                <w:sz w:val="20"/>
                <w:szCs w:val="20"/>
                <w:lang w:val="fr-CA"/>
              </w:rPr>
              <w:t xml:space="preserve">Le demandeur a présenté une demande de contrôle judiciaire dans laquelle il soutient que les dispositions du par. 743.5(1) du </w:t>
            </w:r>
            <w:r w:rsidRPr="007F2DB8">
              <w:rPr>
                <w:i/>
                <w:sz w:val="20"/>
                <w:szCs w:val="20"/>
                <w:lang w:val="fr-CA"/>
              </w:rPr>
              <w:t>Code criminel</w:t>
            </w:r>
            <w:r w:rsidRPr="007F2DB8">
              <w:rPr>
                <w:sz w:val="20"/>
                <w:szCs w:val="20"/>
                <w:lang w:val="fr-CA"/>
              </w:rPr>
              <w:t xml:space="preserve"> et du par. 139(1) de la </w:t>
            </w:r>
            <w:r w:rsidRPr="007F2DB8">
              <w:rPr>
                <w:i/>
                <w:sz w:val="20"/>
                <w:szCs w:val="20"/>
                <w:lang w:val="fr-CA"/>
              </w:rPr>
              <w:t xml:space="preserve">Loi sur le système correctionnel et la mise en liberté sous condition </w:t>
            </w:r>
            <w:r w:rsidRPr="007F2DB8">
              <w:rPr>
                <w:sz w:val="20"/>
                <w:szCs w:val="20"/>
                <w:lang w:val="fr-CA"/>
              </w:rPr>
              <w:t xml:space="preserve">relatives à la fusion des peines portent atteinte aux droits que lui garantit la </w:t>
            </w:r>
            <w:r w:rsidRPr="007F2DB8">
              <w:rPr>
                <w:i/>
                <w:sz w:val="20"/>
                <w:szCs w:val="20"/>
                <w:lang w:val="fr-CA"/>
              </w:rPr>
              <w:t>Charte</w:t>
            </w:r>
            <w:r w:rsidRPr="007F2DB8">
              <w:rPr>
                <w:sz w:val="20"/>
                <w:szCs w:val="20"/>
                <w:lang w:val="fr-CA"/>
              </w:rPr>
              <w:t xml:space="preserve"> et ne peuvent être sauvegardées en vertu de l’article premier de la </w:t>
            </w:r>
            <w:r w:rsidRPr="007F2DB8">
              <w:rPr>
                <w:i/>
                <w:sz w:val="20"/>
                <w:szCs w:val="20"/>
                <w:lang w:val="fr-CA"/>
              </w:rPr>
              <w:t>Charte</w:t>
            </w:r>
            <w:r w:rsidRPr="007F2DB8">
              <w:rPr>
                <w:sz w:val="20"/>
                <w:szCs w:val="20"/>
                <w:lang w:val="fr-CA"/>
              </w:rPr>
              <w:t>. Le juge de la Cour fédérale a rejeté la demande de contrôle judiciaire du demandeur. La Cour d’appel fédérale a rejeté l’appel avec dépens</w:t>
            </w:r>
            <w:r w:rsidRPr="007F2DB8">
              <w:rPr>
                <w:sz w:val="20"/>
                <w:szCs w:val="20"/>
              </w:rPr>
              <w:t>.</w:t>
            </w:r>
          </w:p>
          <w:p w:rsidR="005C4DFE" w:rsidRPr="00E007CB" w:rsidRDefault="005C4DFE" w:rsidP="00CD41B1">
            <w:pPr>
              <w:jc w:val="both"/>
              <w:rPr>
                <w:sz w:val="20"/>
                <w:lang w:val="fr-CA"/>
              </w:rPr>
            </w:pPr>
          </w:p>
        </w:tc>
      </w:tr>
      <w:tr w:rsidR="005C4DFE" w:rsidRPr="00002704" w:rsidTr="00CD41B1">
        <w:trPr>
          <w:cantSplit/>
        </w:trPr>
        <w:tc>
          <w:tcPr>
            <w:tcW w:w="2427" w:type="pct"/>
          </w:tcPr>
          <w:p w:rsidR="005C4DFE" w:rsidRPr="007F2DB8" w:rsidRDefault="005C4DFE" w:rsidP="005C4DFE">
            <w:pPr>
              <w:jc w:val="both"/>
              <w:rPr>
                <w:sz w:val="20"/>
                <w:lang w:val="fr-CA"/>
              </w:rPr>
            </w:pPr>
            <w:r w:rsidRPr="007F2DB8">
              <w:rPr>
                <w:sz w:val="20"/>
                <w:lang w:val="fr-CA"/>
              </w:rPr>
              <w:t>19 novembre 2014</w:t>
            </w:r>
          </w:p>
          <w:p w:rsidR="005C4DFE" w:rsidRPr="007F2DB8" w:rsidRDefault="005C4DFE" w:rsidP="005C4DFE">
            <w:pPr>
              <w:jc w:val="both"/>
              <w:rPr>
                <w:sz w:val="20"/>
                <w:lang w:val="fr-CA"/>
              </w:rPr>
            </w:pPr>
            <w:r w:rsidRPr="007F2DB8">
              <w:rPr>
                <w:sz w:val="20"/>
                <w:lang w:val="fr-CA"/>
              </w:rPr>
              <w:t>Cour fédérale</w:t>
            </w:r>
          </w:p>
          <w:p w:rsidR="005C4DFE" w:rsidRPr="007F2DB8" w:rsidRDefault="005C4DFE" w:rsidP="005C4DFE">
            <w:pPr>
              <w:jc w:val="both"/>
              <w:rPr>
                <w:sz w:val="20"/>
                <w:lang w:val="fr-CA"/>
              </w:rPr>
            </w:pPr>
            <w:r w:rsidRPr="007F2DB8">
              <w:rPr>
                <w:sz w:val="20"/>
                <w:lang w:val="fr-CA"/>
              </w:rPr>
              <w:t xml:space="preserve">(Juge </w:t>
            </w:r>
            <w:proofErr w:type="spellStart"/>
            <w:r w:rsidRPr="007F2DB8">
              <w:rPr>
                <w:sz w:val="20"/>
                <w:lang w:val="fr-CA"/>
              </w:rPr>
              <w:t>Manson</w:t>
            </w:r>
            <w:proofErr w:type="spellEnd"/>
            <w:r w:rsidRPr="007F2DB8">
              <w:rPr>
                <w:sz w:val="20"/>
                <w:lang w:val="fr-CA"/>
              </w:rPr>
              <w:t>)</w:t>
            </w:r>
          </w:p>
          <w:p w:rsidR="005C4DFE" w:rsidRPr="007F2DB8" w:rsidRDefault="005C4DFE" w:rsidP="005C4DFE">
            <w:pPr>
              <w:jc w:val="both"/>
              <w:rPr>
                <w:sz w:val="20"/>
              </w:rPr>
            </w:pPr>
            <w:r w:rsidRPr="007F2DB8">
              <w:rPr>
                <w:sz w:val="20"/>
              </w:rPr>
              <w:t>2014 CF 1096</w:t>
            </w:r>
          </w:p>
          <w:p w:rsidR="005C4DFE" w:rsidRPr="007F2DB8" w:rsidRDefault="00C232E1" w:rsidP="005C4DFE">
            <w:pPr>
              <w:jc w:val="both"/>
              <w:rPr>
                <w:rStyle w:val="documentstaticurl"/>
                <w:sz w:val="20"/>
              </w:rPr>
            </w:pPr>
            <w:hyperlink r:id="rId50" w:history="1">
              <w:r w:rsidR="005C4DFE" w:rsidRPr="007F2DB8">
                <w:rPr>
                  <w:rStyle w:val="Hyperlink"/>
                  <w:sz w:val="20"/>
                </w:rPr>
                <w:t>http://canlii.ca/t/gfrqt</w:t>
              </w:r>
            </w:hyperlink>
          </w:p>
          <w:p w:rsidR="005C4DFE" w:rsidRPr="00E007CB" w:rsidRDefault="005C4DFE" w:rsidP="00CD41B1">
            <w:pPr>
              <w:jc w:val="both"/>
              <w:rPr>
                <w:rFonts w:eastAsia="Calibri"/>
                <w:sz w:val="20"/>
                <w:lang w:val="fr-CA"/>
              </w:rPr>
            </w:pPr>
          </w:p>
        </w:tc>
        <w:tc>
          <w:tcPr>
            <w:tcW w:w="243" w:type="pct"/>
          </w:tcPr>
          <w:p w:rsidR="005C4DFE" w:rsidRPr="00E007CB" w:rsidRDefault="005C4DFE" w:rsidP="00CD41B1">
            <w:pPr>
              <w:jc w:val="both"/>
              <w:rPr>
                <w:rFonts w:eastAsia="Calibri"/>
                <w:sz w:val="20"/>
                <w:lang w:val="fr-CA"/>
              </w:rPr>
            </w:pPr>
          </w:p>
        </w:tc>
        <w:tc>
          <w:tcPr>
            <w:tcW w:w="2330" w:type="pct"/>
          </w:tcPr>
          <w:p w:rsidR="005C4DFE" w:rsidRPr="007F2DB8" w:rsidRDefault="005C4DFE" w:rsidP="005C4DFE">
            <w:pPr>
              <w:jc w:val="both"/>
              <w:rPr>
                <w:sz w:val="20"/>
                <w:lang w:val="fr-CA"/>
              </w:rPr>
            </w:pPr>
            <w:r w:rsidRPr="007F2DB8">
              <w:rPr>
                <w:sz w:val="20"/>
                <w:lang w:val="fr-CA"/>
              </w:rPr>
              <w:t>Rejet de la demande de contrôle judiciaire du demandeur</w:t>
            </w:r>
          </w:p>
          <w:p w:rsidR="005C4DFE" w:rsidRPr="0026164C" w:rsidRDefault="005C4DFE" w:rsidP="00CD41B1">
            <w:pPr>
              <w:jc w:val="both"/>
              <w:rPr>
                <w:sz w:val="20"/>
                <w:lang w:val="fr-CA"/>
              </w:rPr>
            </w:pPr>
          </w:p>
        </w:tc>
      </w:tr>
      <w:tr w:rsidR="005C4DFE" w:rsidRPr="00002704" w:rsidTr="00CD41B1">
        <w:trPr>
          <w:cantSplit/>
        </w:trPr>
        <w:tc>
          <w:tcPr>
            <w:tcW w:w="2427" w:type="pct"/>
          </w:tcPr>
          <w:p w:rsidR="005C4DFE" w:rsidRPr="007F2DB8" w:rsidRDefault="005C4DFE" w:rsidP="005C4DFE">
            <w:pPr>
              <w:jc w:val="both"/>
              <w:rPr>
                <w:sz w:val="20"/>
                <w:lang w:val="fr-CA"/>
              </w:rPr>
            </w:pPr>
            <w:r w:rsidRPr="007F2DB8">
              <w:rPr>
                <w:sz w:val="20"/>
                <w:lang w:val="fr-CA"/>
              </w:rPr>
              <w:t>20 mai 2015</w:t>
            </w:r>
          </w:p>
          <w:p w:rsidR="005C4DFE" w:rsidRPr="007F2DB8" w:rsidRDefault="005C4DFE" w:rsidP="005C4DFE">
            <w:pPr>
              <w:jc w:val="both"/>
              <w:rPr>
                <w:sz w:val="20"/>
                <w:lang w:val="fr-CA"/>
              </w:rPr>
            </w:pPr>
            <w:r w:rsidRPr="007F2DB8">
              <w:rPr>
                <w:sz w:val="20"/>
                <w:lang w:val="fr-CA"/>
              </w:rPr>
              <w:t>Cour d’appel fédérale</w:t>
            </w:r>
          </w:p>
          <w:p w:rsidR="005C4DFE" w:rsidRPr="007F2DB8" w:rsidRDefault="005C4DFE" w:rsidP="005C4DFE">
            <w:pPr>
              <w:jc w:val="both"/>
              <w:rPr>
                <w:sz w:val="20"/>
                <w:lang w:val="fr-CA"/>
              </w:rPr>
            </w:pPr>
            <w:r w:rsidRPr="007F2DB8">
              <w:rPr>
                <w:sz w:val="20"/>
                <w:lang w:val="fr-CA"/>
              </w:rPr>
              <w:t xml:space="preserve">(Juges </w:t>
            </w:r>
            <w:proofErr w:type="spellStart"/>
            <w:r w:rsidRPr="007F2DB8">
              <w:rPr>
                <w:sz w:val="20"/>
                <w:lang w:val="fr-CA"/>
              </w:rPr>
              <w:t>Stratas</w:t>
            </w:r>
            <w:proofErr w:type="spellEnd"/>
            <w:r w:rsidRPr="007F2DB8">
              <w:rPr>
                <w:sz w:val="20"/>
                <w:lang w:val="fr-CA"/>
              </w:rPr>
              <w:t>, Scott et Boivin)</w:t>
            </w:r>
          </w:p>
          <w:p w:rsidR="005C4DFE" w:rsidRPr="007F2DB8" w:rsidRDefault="005C4DFE" w:rsidP="005C4DFE">
            <w:pPr>
              <w:jc w:val="both"/>
              <w:rPr>
                <w:sz w:val="20"/>
              </w:rPr>
            </w:pPr>
            <w:r w:rsidRPr="007F2DB8">
              <w:rPr>
                <w:sz w:val="20"/>
              </w:rPr>
              <w:t>2015 CAF 129; A-518-14</w:t>
            </w:r>
          </w:p>
          <w:p w:rsidR="005C4DFE" w:rsidRPr="007F2DB8" w:rsidRDefault="00C232E1" w:rsidP="005C4DFE">
            <w:pPr>
              <w:jc w:val="both"/>
              <w:rPr>
                <w:rStyle w:val="documentstaticurl"/>
                <w:sz w:val="20"/>
              </w:rPr>
            </w:pPr>
            <w:hyperlink r:id="rId51" w:history="1">
              <w:r w:rsidR="005C4DFE" w:rsidRPr="007F2DB8">
                <w:rPr>
                  <w:rStyle w:val="Hyperlink"/>
                  <w:sz w:val="20"/>
                </w:rPr>
                <w:t>http://canlii.ca/t/gj37h</w:t>
              </w:r>
            </w:hyperlink>
          </w:p>
          <w:p w:rsidR="005C4DFE" w:rsidRPr="00E007CB" w:rsidRDefault="005C4DFE" w:rsidP="00CD41B1">
            <w:pPr>
              <w:jc w:val="both"/>
              <w:rPr>
                <w:rFonts w:eastAsia="Calibri"/>
                <w:sz w:val="20"/>
                <w:lang w:val="fr-CA"/>
              </w:rPr>
            </w:pPr>
          </w:p>
        </w:tc>
        <w:tc>
          <w:tcPr>
            <w:tcW w:w="243" w:type="pct"/>
          </w:tcPr>
          <w:p w:rsidR="005C4DFE" w:rsidRPr="00E007CB" w:rsidRDefault="005C4DFE" w:rsidP="00CD41B1">
            <w:pPr>
              <w:jc w:val="both"/>
              <w:rPr>
                <w:rFonts w:eastAsia="Calibri"/>
                <w:sz w:val="20"/>
                <w:lang w:val="fr-CA"/>
              </w:rPr>
            </w:pPr>
          </w:p>
        </w:tc>
        <w:tc>
          <w:tcPr>
            <w:tcW w:w="2330" w:type="pct"/>
          </w:tcPr>
          <w:p w:rsidR="005C4DFE" w:rsidRPr="007F2DB8" w:rsidRDefault="005C4DFE" w:rsidP="005C4DFE">
            <w:pPr>
              <w:jc w:val="both"/>
              <w:rPr>
                <w:sz w:val="20"/>
                <w:lang w:val="fr-CA"/>
              </w:rPr>
            </w:pPr>
            <w:r w:rsidRPr="007F2DB8">
              <w:rPr>
                <w:sz w:val="20"/>
                <w:lang w:val="fr-CA"/>
              </w:rPr>
              <w:t xml:space="preserve">Appel du demandeur rejeté avec dépens </w:t>
            </w:r>
          </w:p>
          <w:p w:rsidR="005C4DFE" w:rsidRPr="00E007CB" w:rsidRDefault="005C4DFE" w:rsidP="00CD41B1">
            <w:pPr>
              <w:jc w:val="both"/>
              <w:rPr>
                <w:rFonts w:eastAsia="Calibri"/>
                <w:sz w:val="20"/>
                <w:lang w:val="fr-CA"/>
              </w:rPr>
            </w:pPr>
          </w:p>
        </w:tc>
      </w:tr>
      <w:tr w:rsidR="005C4DFE" w:rsidRPr="00E007CB" w:rsidTr="00CD41B1">
        <w:trPr>
          <w:cantSplit/>
        </w:trPr>
        <w:tc>
          <w:tcPr>
            <w:tcW w:w="2427" w:type="pct"/>
          </w:tcPr>
          <w:p w:rsidR="005C4DFE" w:rsidRPr="00E007CB" w:rsidRDefault="005C4DFE" w:rsidP="00CD41B1">
            <w:pPr>
              <w:jc w:val="both"/>
              <w:rPr>
                <w:rFonts w:eastAsia="Calibri"/>
                <w:sz w:val="20"/>
                <w:lang w:val="fr-CA"/>
              </w:rPr>
            </w:pPr>
            <w:r>
              <w:rPr>
                <w:rFonts w:eastAsia="Calibri"/>
                <w:sz w:val="20"/>
                <w:lang w:val="fr-CA"/>
              </w:rPr>
              <w:t>9 juillet</w:t>
            </w:r>
            <w:r w:rsidRPr="00E007CB">
              <w:rPr>
                <w:rFonts w:eastAsia="Calibri"/>
                <w:sz w:val="20"/>
                <w:lang w:val="fr-CA"/>
              </w:rPr>
              <w:t xml:space="preserve"> 201</w:t>
            </w:r>
            <w:r>
              <w:rPr>
                <w:rFonts w:eastAsia="Calibri"/>
                <w:sz w:val="20"/>
                <w:lang w:val="fr-CA"/>
              </w:rPr>
              <w:t>5</w:t>
            </w:r>
          </w:p>
          <w:p w:rsidR="005C4DFE" w:rsidRPr="00E007CB" w:rsidRDefault="005C4DFE" w:rsidP="00CD41B1">
            <w:pPr>
              <w:jc w:val="both"/>
              <w:rPr>
                <w:rFonts w:eastAsia="Calibri"/>
                <w:sz w:val="20"/>
                <w:lang w:val="fr-CA"/>
              </w:rPr>
            </w:pPr>
            <w:r w:rsidRPr="00E007CB">
              <w:rPr>
                <w:rFonts w:eastAsia="Calibri"/>
                <w:sz w:val="20"/>
                <w:lang w:val="fr-CA"/>
              </w:rPr>
              <w:t>Cour suprême du Canada</w:t>
            </w:r>
          </w:p>
        </w:tc>
        <w:tc>
          <w:tcPr>
            <w:tcW w:w="243" w:type="pct"/>
          </w:tcPr>
          <w:p w:rsidR="005C4DFE" w:rsidRPr="00E007CB" w:rsidRDefault="005C4DFE" w:rsidP="00CD41B1">
            <w:pPr>
              <w:jc w:val="both"/>
              <w:rPr>
                <w:rFonts w:eastAsia="Calibri"/>
                <w:sz w:val="20"/>
                <w:lang w:val="fr-CA"/>
              </w:rPr>
            </w:pPr>
          </w:p>
        </w:tc>
        <w:tc>
          <w:tcPr>
            <w:tcW w:w="2330" w:type="pct"/>
          </w:tcPr>
          <w:p w:rsidR="005C4DFE" w:rsidRPr="007F2DB8" w:rsidRDefault="005C4DFE" w:rsidP="00CD41B1">
            <w:pPr>
              <w:jc w:val="both"/>
              <w:rPr>
                <w:sz w:val="20"/>
                <w:lang w:val="fr-CA"/>
              </w:rPr>
            </w:pPr>
            <w:r w:rsidRPr="007F2DB8">
              <w:rPr>
                <w:sz w:val="20"/>
                <w:lang w:val="fr-CA"/>
              </w:rPr>
              <w:t>Dépôt de la demande d’autorisation d’appel</w:t>
            </w:r>
          </w:p>
        </w:tc>
      </w:tr>
    </w:tbl>
    <w:p w:rsidR="005C4DFE" w:rsidRDefault="005C4DFE" w:rsidP="005C4DFE">
      <w:pPr>
        <w:rPr>
          <w:sz w:val="20"/>
          <w:szCs w:val="20"/>
        </w:rPr>
      </w:pPr>
    </w:p>
    <w:p w:rsidR="005C4DFE" w:rsidRDefault="00C232E1" w:rsidP="005C4DFE">
      <w:pPr>
        <w:rPr>
          <w:sz w:val="20"/>
          <w:szCs w:val="20"/>
        </w:rPr>
      </w:pPr>
      <w:r>
        <w:rPr>
          <w:sz w:val="20"/>
          <w:szCs w:val="20"/>
          <w:lang w:val="fr-CA"/>
        </w:rPr>
        <w:pict>
          <v:rect id="_x0000_i1063" style="width:2in;height:1pt" o:hrpct="0" o:hralign="center" o:hrstd="t" o:hrnoshade="t" o:hr="t" fillcolor="black [3213]" stroked="f"/>
        </w:pict>
      </w:r>
    </w:p>
    <w:p w:rsidR="00200CA2" w:rsidRDefault="00200CA2" w:rsidP="00200C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00CA2" w:rsidRPr="00A73D2C" w:rsidTr="00CD41B1">
        <w:trPr>
          <w:cantSplit/>
        </w:trPr>
        <w:tc>
          <w:tcPr>
            <w:tcW w:w="1458" w:type="dxa"/>
          </w:tcPr>
          <w:p w:rsidR="00200CA2" w:rsidRPr="00A73D2C" w:rsidRDefault="00200CA2" w:rsidP="00CD41B1">
            <w:pPr>
              <w:rPr>
                <w:sz w:val="20"/>
                <w:szCs w:val="20"/>
              </w:rPr>
            </w:pPr>
            <w:r w:rsidRPr="00A73D2C">
              <w:rPr>
                <w:rStyle w:val="SCCFileNumberChar"/>
                <w:sz w:val="20"/>
                <w:szCs w:val="20"/>
              </w:rPr>
              <w:t>3</w:t>
            </w:r>
            <w:r>
              <w:rPr>
                <w:rStyle w:val="SCCFileNumberChar"/>
                <w:sz w:val="20"/>
                <w:szCs w:val="20"/>
              </w:rPr>
              <w:t>6512</w:t>
            </w:r>
          </w:p>
          <w:p w:rsidR="00200CA2" w:rsidRPr="00A73D2C" w:rsidRDefault="00200CA2" w:rsidP="00CD41B1">
            <w:pPr>
              <w:rPr>
                <w:b/>
                <w:sz w:val="20"/>
                <w:szCs w:val="20"/>
                <w:lang w:val="fr-CA"/>
              </w:rPr>
            </w:pPr>
          </w:p>
        </w:tc>
        <w:tc>
          <w:tcPr>
            <w:tcW w:w="8118" w:type="dxa"/>
          </w:tcPr>
          <w:p w:rsidR="00200CA2" w:rsidRPr="00A73D2C" w:rsidRDefault="00200CA2" w:rsidP="00CD41B1">
            <w:pPr>
              <w:rPr>
                <w:sz w:val="20"/>
                <w:szCs w:val="20"/>
              </w:rPr>
            </w:pPr>
            <w:r w:rsidRPr="00200CA2">
              <w:rPr>
                <w:rStyle w:val="SCCLsocChar"/>
                <w:sz w:val="20"/>
                <w:szCs w:val="20"/>
                <w:lang w:val="en-CA"/>
              </w:rPr>
              <w:t>Jason Steven Philip v. Her Majesty the Queen</w:t>
            </w:r>
            <w:r w:rsidRPr="00A73D2C">
              <w:rPr>
                <w:sz w:val="20"/>
                <w:szCs w:val="20"/>
              </w:rPr>
              <w:t xml:space="preserve"> (</w:t>
            </w:r>
            <w:r>
              <w:rPr>
                <w:sz w:val="20"/>
                <w:szCs w:val="20"/>
              </w:rPr>
              <w:t>Alta.</w:t>
            </w:r>
            <w:r w:rsidRPr="00A73D2C">
              <w:rPr>
                <w:sz w:val="20"/>
                <w:szCs w:val="20"/>
              </w:rPr>
              <w:t>) (C</w:t>
            </w:r>
            <w:r>
              <w:rPr>
                <w:sz w:val="20"/>
                <w:szCs w:val="20"/>
              </w:rPr>
              <w:t>r</w:t>
            </w:r>
            <w:r w:rsidRPr="00A73D2C">
              <w:rPr>
                <w:sz w:val="20"/>
                <w:szCs w:val="20"/>
              </w:rPr>
              <w:t>i</w:t>
            </w:r>
            <w:r>
              <w:rPr>
                <w:sz w:val="20"/>
                <w:szCs w:val="20"/>
              </w:rPr>
              <w:t>m</w:t>
            </w:r>
            <w:r w:rsidRPr="00A73D2C">
              <w:rPr>
                <w:sz w:val="20"/>
                <w:szCs w:val="20"/>
              </w:rPr>
              <w:t>i</w:t>
            </w:r>
            <w:r>
              <w:rPr>
                <w:sz w:val="20"/>
                <w:szCs w:val="20"/>
              </w:rPr>
              <w:t>na</w:t>
            </w:r>
            <w:r w:rsidRPr="00A73D2C">
              <w:rPr>
                <w:sz w:val="20"/>
                <w:szCs w:val="20"/>
              </w:rPr>
              <w:t>l) (By Leave)</w:t>
            </w:r>
          </w:p>
          <w:p w:rsidR="00200CA2" w:rsidRPr="00A73D2C" w:rsidRDefault="00200CA2" w:rsidP="00CD41B1">
            <w:pPr>
              <w:rPr>
                <w:sz w:val="20"/>
                <w:szCs w:val="20"/>
              </w:rPr>
            </w:pPr>
          </w:p>
        </w:tc>
      </w:tr>
      <w:tr w:rsidR="00200CA2" w:rsidRPr="00A73D2C" w:rsidTr="00CD41B1">
        <w:trPr>
          <w:cantSplit/>
        </w:trPr>
        <w:tc>
          <w:tcPr>
            <w:tcW w:w="1458" w:type="dxa"/>
          </w:tcPr>
          <w:p w:rsidR="00200CA2" w:rsidRPr="00A73D2C" w:rsidRDefault="00200CA2" w:rsidP="00CD41B1">
            <w:pPr>
              <w:rPr>
                <w:sz w:val="20"/>
                <w:szCs w:val="20"/>
              </w:rPr>
            </w:pPr>
            <w:r w:rsidRPr="00A73D2C">
              <w:rPr>
                <w:sz w:val="20"/>
                <w:szCs w:val="20"/>
              </w:rPr>
              <w:t>Coram :</w:t>
            </w:r>
          </w:p>
        </w:tc>
        <w:tc>
          <w:tcPr>
            <w:tcW w:w="8118" w:type="dxa"/>
          </w:tcPr>
          <w:p w:rsidR="00200CA2" w:rsidRDefault="005926C1" w:rsidP="00CD41B1">
            <w:pPr>
              <w:rPr>
                <w:rStyle w:val="SCCCoramChar"/>
                <w:sz w:val="20"/>
                <w:szCs w:val="20"/>
                <w:lang w:val="en-CA"/>
              </w:rPr>
            </w:pPr>
            <w:r w:rsidRPr="005926C1">
              <w:rPr>
                <w:rStyle w:val="SCCCoramChar"/>
                <w:sz w:val="20"/>
                <w:szCs w:val="20"/>
                <w:lang w:val="en-CA"/>
              </w:rPr>
              <w:t>Abella, Karakatsanis and Brown JJ.</w:t>
            </w:r>
          </w:p>
          <w:p w:rsidR="005926C1" w:rsidRPr="00A73D2C" w:rsidRDefault="005926C1" w:rsidP="00CD41B1">
            <w:pPr>
              <w:rPr>
                <w:sz w:val="20"/>
                <w:szCs w:val="20"/>
                <w:u w:val="single"/>
              </w:rPr>
            </w:pPr>
          </w:p>
        </w:tc>
      </w:tr>
      <w:tr w:rsidR="00200CA2" w:rsidRPr="00002704" w:rsidTr="00CD41B1">
        <w:trPr>
          <w:cantSplit/>
        </w:trPr>
        <w:tc>
          <w:tcPr>
            <w:tcW w:w="9576" w:type="dxa"/>
            <w:gridSpan w:val="2"/>
          </w:tcPr>
          <w:p w:rsidR="005926C1" w:rsidRDefault="005926C1" w:rsidP="005926C1">
            <w:pPr>
              <w:pStyle w:val="SCCShortJudgment"/>
            </w:pPr>
            <w:r>
              <w:lastRenderedPageBreak/>
              <w:t>The motion for an extension of time to serve and file the application for leave to appeal is granted. The application for leave to appeal from the judgment of the Court of Appeal of Alberta (Edmonton), Number 1103-0107-A, 2014 ABCA 39, dated January 28, 2014, is dismissed.</w:t>
            </w:r>
          </w:p>
          <w:p w:rsidR="005926C1" w:rsidRDefault="005926C1" w:rsidP="005926C1">
            <w:pPr>
              <w:pStyle w:val="SCCShortJudgment"/>
              <w:ind w:firstLine="0"/>
            </w:pPr>
          </w:p>
          <w:p w:rsidR="00200CA2" w:rsidRPr="00A73D2C" w:rsidRDefault="005926C1" w:rsidP="005926C1">
            <w:pPr>
              <w:pStyle w:val="SCCShortJudgment"/>
              <w:rPr>
                <w:szCs w:val="20"/>
                <w:lang w:val="fr-CA"/>
              </w:rPr>
            </w:pPr>
            <w:r>
              <w:t xml:space="preserve">La </w:t>
            </w:r>
            <w:proofErr w:type="spellStart"/>
            <w:r>
              <w:t>requête</w:t>
            </w:r>
            <w:proofErr w:type="spellEnd"/>
            <w:r>
              <w:t xml:space="preserve"> </w:t>
            </w:r>
            <w:proofErr w:type="spellStart"/>
            <w:r>
              <w:t>en</w:t>
            </w:r>
            <w:proofErr w:type="spellEnd"/>
            <w:r>
              <w:t xml:space="preserve"> prorogation du </w:t>
            </w:r>
            <w:proofErr w:type="spellStart"/>
            <w:r>
              <w:t>délai</w:t>
            </w:r>
            <w:proofErr w:type="spellEnd"/>
            <w:r>
              <w:t xml:space="preserve"> de signification et de </w:t>
            </w:r>
            <w:proofErr w:type="spellStart"/>
            <w:r>
              <w:t>dépôt</w:t>
            </w:r>
            <w:proofErr w:type="spellEnd"/>
            <w:r>
              <w:t xml:space="preserve"> de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w:t>
            </w:r>
            <w:proofErr w:type="spellStart"/>
            <w:r>
              <w:t>est</w:t>
            </w:r>
            <w:proofErr w:type="spellEnd"/>
            <w:r>
              <w:t xml:space="preserve"> </w:t>
            </w:r>
            <w:proofErr w:type="spellStart"/>
            <w:r>
              <w:t>accueillie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de </w:t>
            </w:r>
            <w:proofErr w:type="spellStart"/>
            <w:r>
              <w:t>l’Alberta</w:t>
            </w:r>
            <w:proofErr w:type="spellEnd"/>
            <w:r>
              <w:t xml:space="preserve"> (Edmonton), </w:t>
            </w:r>
            <w:proofErr w:type="spellStart"/>
            <w:r>
              <w:t>numéro</w:t>
            </w:r>
            <w:proofErr w:type="spellEnd"/>
            <w:r>
              <w:t xml:space="preserve"> 1103-0107-A, 2014 ABCA 39, </w:t>
            </w:r>
            <w:proofErr w:type="spellStart"/>
            <w:r>
              <w:t>daté</w:t>
            </w:r>
            <w:proofErr w:type="spellEnd"/>
            <w:r>
              <w:t xml:space="preserve"> du 28 </w:t>
            </w:r>
            <w:proofErr w:type="spellStart"/>
            <w:r>
              <w:t>janvier</w:t>
            </w:r>
            <w:proofErr w:type="spellEnd"/>
            <w:r>
              <w:t xml:space="preserve"> 2014, </w:t>
            </w:r>
            <w:proofErr w:type="spellStart"/>
            <w:r>
              <w:t>est</w:t>
            </w:r>
            <w:proofErr w:type="spellEnd"/>
            <w:r>
              <w:t xml:space="preserve"> </w:t>
            </w:r>
            <w:proofErr w:type="spellStart"/>
            <w:r>
              <w:t>rejetée</w:t>
            </w:r>
            <w:proofErr w:type="spellEnd"/>
            <w:r>
              <w:t>.</w:t>
            </w:r>
          </w:p>
        </w:tc>
      </w:tr>
    </w:tbl>
    <w:p w:rsidR="00200CA2" w:rsidRPr="0016547E" w:rsidRDefault="00200CA2" w:rsidP="00200CA2">
      <w:pPr>
        <w:rPr>
          <w:sz w:val="20"/>
          <w:szCs w:val="20"/>
          <w:lang w:val="fr-CA"/>
        </w:rPr>
      </w:pPr>
    </w:p>
    <w:p w:rsidR="00200CA2" w:rsidRPr="001B157C" w:rsidRDefault="00200CA2" w:rsidP="00200CA2">
      <w:pPr>
        <w:rPr>
          <w:sz w:val="20"/>
          <w:szCs w:val="20"/>
          <w:u w:val="single"/>
        </w:rPr>
      </w:pPr>
      <w:r w:rsidRPr="001B157C">
        <w:rPr>
          <w:sz w:val="20"/>
          <w:szCs w:val="20"/>
          <w:u w:val="single"/>
        </w:rPr>
        <w:t>CASE SUMMARY</w:t>
      </w:r>
    </w:p>
    <w:p w:rsidR="00200CA2" w:rsidRDefault="00200CA2" w:rsidP="00200C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00CA2" w:rsidRPr="00E007CB" w:rsidTr="00CD41B1">
        <w:tc>
          <w:tcPr>
            <w:tcW w:w="5000" w:type="pct"/>
            <w:gridSpan w:val="3"/>
          </w:tcPr>
          <w:p w:rsidR="00200CA2" w:rsidRDefault="00200CA2" w:rsidP="00CD41B1">
            <w:pPr>
              <w:jc w:val="both"/>
              <w:rPr>
                <w:sz w:val="20"/>
              </w:rPr>
            </w:pPr>
            <w:r w:rsidRPr="007F2DB8">
              <w:rPr>
                <w:sz w:val="20"/>
              </w:rPr>
              <w:t>Criminal law — Second degree murder — Defence — Intoxication — After drinking all night, applicant stabbed aunt 30 times in head, neck and chest — Applicant hid body, cleaned kitchen and used false name to take taxi to bus station where he purchased one-way ticket out of town — Applicant admitted stabbing to mother, but alleged he blacked out — In considering defence of intoxication, trial judge found applicant was capable of forming intent to murder and that his impairment did not affect his ability to foresee consequences — Applicant convicted of second degree murder — Appeal against conviction dismissed — Whether judge erred in considering applicant’s capacity to form specific intent to murder?</w:t>
            </w:r>
          </w:p>
          <w:p w:rsidR="00200CA2" w:rsidRPr="00E007CB" w:rsidRDefault="00200CA2" w:rsidP="00CD41B1">
            <w:pPr>
              <w:jc w:val="both"/>
              <w:rPr>
                <w:rFonts w:eastAsia="Calibri"/>
                <w:sz w:val="20"/>
              </w:rPr>
            </w:pPr>
          </w:p>
        </w:tc>
      </w:tr>
      <w:tr w:rsidR="00200CA2" w:rsidRPr="00E007CB" w:rsidTr="00CD41B1">
        <w:tc>
          <w:tcPr>
            <w:tcW w:w="5000" w:type="pct"/>
            <w:gridSpan w:val="3"/>
          </w:tcPr>
          <w:p w:rsidR="00200CA2" w:rsidRPr="007F2DB8" w:rsidRDefault="00200CA2" w:rsidP="00200CA2">
            <w:pPr>
              <w:jc w:val="both"/>
              <w:rPr>
                <w:sz w:val="20"/>
              </w:rPr>
            </w:pPr>
            <w:r w:rsidRPr="007F2DB8">
              <w:rPr>
                <w:sz w:val="20"/>
              </w:rPr>
              <w:t>After drinking all night, the applicant, Mr. Philip, stabbed his aunt 30 times in the head, neck and chest. He then hid her body, cleaned the kitchen and used a false name to take a taxi to the bus station where he purchased a one-way ticket out of town. Later, Mr. Philip admitted to his mother stabbing the victim, but alleged he blacked out. In considering the defence of intoxication, the trial judge found that Mr. Philip was capable of forming an intent to murder and that his impairment did not affect his ability to foresee consequences. Mr. Philip was therefore convicted of second degree murder and his appeal against conviction was dismissed.</w:t>
            </w:r>
          </w:p>
          <w:p w:rsidR="00200CA2" w:rsidRPr="00E007CB" w:rsidRDefault="00200CA2" w:rsidP="00CD41B1">
            <w:pPr>
              <w:jc w:val="both"/>
              <w:rPr>
                <w:rFonts w:eastAsia="Calibri"/>
                <w:sz w:val="20"/>
              </w:rPr>
            </w:pPr>
          </w:p>
        </w:tc>
      </w:tr>
      <w:tr w:rsidR="00200CA2" w:rsidRPr="00E007CB" w:rsidTr="00CD41B1">
        <w:trPr>
          <w:cantSplit/>
        </w:trPr>
        <w:tc>
          <w:tcPr>
            <w:tcW w:w="2427" w:type="pct"/>
          </w:tcPr>
          <w:p w:rsidR="00200CA2" w:rsidRPr="007F2DB8" w:rsidRDefault="00200CA2" w:rsidP="00200CA2">
            <w:pPr>
              <w:jc w:val="both"/>
              <w:rPr>
                <w:sz w:val="20"/>
              </w:rPr>
            </w:pPr>
            <w:r w:rsidRPr="007F2DB8">
              <w:rPr>
                <w:sz w:val="20"/>
              </w:rPr>
              <w:t>March 16, 2011</w:t>
            </w:r>
          </w:p>
          <w:p w:rsidR="00200CA2" w:rsidRPr="007F2DB8" w:rsidRDefault="00200CA2" w:rsidP="00200CA2">
            <w:pPr>
              <w:jc w:val="both"/>
              <w:rPr>
                <w:sz w:val="20"/>
              </w:rPr>
            </w:pPr>
            <w:r w:rsidRPr="007F2DB8">
              <w:rPr>
                <w:sz w:val="20"/>
              </w:rPr>
              <w:t>Court of Queen’s Bench of Alberta</w:t>
            </w:r>
          </w:p>
          <w:p w:rsidR="00200CA2" w:rsidRPr="007F2DB8" w:rsidRDefault="00200CA2" w:rsidP="00200CA2">
            <w:pPr>
              <w:jc w:val="both"/>
              <w:rPr>
                <w:sz w:val="20"/>
                <w:lang w:val="de-DE"/>
              </w:rPr>
            </w:pPr>
            <w:r w:rsidRPr="007F2DB8">
              <w:rPr>
                <w:sz w:val="20"/>
                <w:lang w:val="de-DE"/>
              </w:rPr>
              <w:t>(Nielsen J.)</w:t>
            </w:r>
          </w:p>
          <w:p w:rsidR="00200CA2" w:rsidRPr="007F2DB8" w:rsidRDefault="00200CA2" w:rsidP="00200CA2">
            <w:pPr>
              <w:jc w:val="both"/>
              <w:rPr>
                <w:sz w:val="20"/>
                <w:lang w:val="de-DE"/>
              </w:rPr>
            </w:pPr>
            <w:r w:rsidRPr="007F2DB8">
              <w:rPr>
                <w:sz w:val="20"/>
                <w:lang w:val="de-DE"/>
              </w:rPr>
              <w:t>Docket: 040792350Q1</w:t>
            </w:r>
          </w:p>
          <w:p w:rsidR="00200CA2" w:rsidRPr="00E007CB" w:rsidRDefault="00200CA2" w:rsidP="00CD41B1">
            <w:pPr>
              <w:jc w:val="both"/>
              <w:rPr>
                <w:rFonts w:eastAsia="Calibri"/>
                <w:sz w:val="20"/>
              </w:rPr>
            </w:pPr>
          </w:p>
        </w:tc>
        <w:tc>
          <w:tcPr>
            <w:tcW w:w="243" w:type="pct"/>
          </w:tcPr>
          <w:p w:rsidR="00200CA2" w:rsidRPr="00E007CB" w:rsidRDefault="00200CA2" w:rsidP="00CD41B1">
            <w:pPr>
              <w:jc w:val="both"/>
              <w:rPr>
                <w:rFonts w:eastAsia="Calibri"/>
                <w:sz w:val="20"/>
              </w:rPr>
            </w:pPr>
          </w:p>
        </w:tc>
        <w:tc>
          <w:tcPr>
            <w:tcW w:w="2330" w:type="pct"/>
          </w:tcPr>
          <w:p w:rsidR="00200CA2" w:rsidRPr="007F2DB8" w:rsidRDefault="00200CA2" w:rsidP="00200CA2">
            <w:pPr>
              <w:jc w:val="both"/>
              <w:rPr>
                <w:sz w:val="20"/>
                <w:highlight w:val="yellow"/>
              </w:rPr>
            </w:pPr>
            <w:r w:rsidRPr="007F2DB8">
              <w:rPr>
                <w:sz w:val="20"/>
              </w:rPr>
              <w:t>Applicant convicted of second degree murder.</w:t>
            </w:r>
          </w:p>
          <w:p w:rsidR="00200CA2" w:rsidRPr="00E007CB" w:rsidRDefault="00200CA2" w:rsidP="00CD41B1">
            <w:pPr>
              <w:jc w:val="both"/>
              <w:rPr>
                <w:rFonts w:eastAsia="Calibri"/>
                <w:sz w:val="20"/>
              </w:rPr>
            </w:pPr>
          </w:p>
        </w:tc>
      </w:tr>
      <w:tr w:rsidR="00200CA2" w:rsidRPr="00E007CB" w:rsidTr="00CD41B1">
        <w:trPr>
          <w:cantSplit/>
        </w:trPr>
        <w:tc>
          <w:tcPr>
            <w:tcW w:w="2427" w:type="pct"/>
          </w:tcPr>
          <w:p w:rsidR="00200CA2" w:rsidRPr="007F2DB8" w:rsidRDefault="00200CA2" w:rsidP="00200CA2">
            <w:pPr>
              <w:jc w:val="both"/>
              <w:rPr>
                <w:sz w:val="20"/>
              </w:rPr>
            </w:pPr>
            <w:r w:rsidRPr="007F2DB8">
              <w:rPr>
                <w:sz w:val="20"/>
              </w:rPr>
              <w:t>January 28, 2014</w:t>
            </w:r>
          </w:p>
          <w:p w:rsidR="00200CA2" w:rsidRPr="007F2DB8" w:rsidRDefault="00200CA2" w:rsidP="00200CA2">
            <w:pPr>
              <w:jc w:val="both"/>
              <w:rPr>
                <w:sz w:val="20"/>
              </w:rPr>
            </w:pPr>
            <w:r w:rsidRPr="007F2DB8">
              <w:rPr>
                <w:sz w:val="20"/>
              </w:rPr>
              <w:t>Court of Appeal of Alberta (Edmonton)</w:t>
            </w:r>
          </w:p>
          <w:p w:rsidR="00200CA2" w:rsidRPr="007F2DB8" w:rsidRDefault="00200CA2" w:rsidP="00200CA2">
            <w:pPr>
              <w:jc w:val="both"/>
              <w:rPr>
                <w:sz w:val="20"/>
              </w:rPr>
            </w:pPr>
            <w:r w:rsidRPr="007F2DB8">
              <w:rPr>
                <w:sz w:val="20"/>
              </w:rPr>
              <w:t xml:space="preserve">(Côté, O’Brien and </w:t>
            </w:r>
            <w:proofErr w:type="spellStart"/>
            <w:r w:rsidRPr="007F2DB8">
              <w:rPr>
                <w:sz w:val="20"/>
              </w:rPr>
              <w:t>O’Ferrall</w:t>
            </w:r>
            <w:proofErr w:type="spellEnd"/>
            <w:r w:rsidRPr="007F2DB8">
              <w:rPr>
                <w:sz w:val="20"/>
              </w:rPr>
              <w:t xml:space="preserve"> JJ.A.)</w:t>
            </w:r>
          </w:p>
          <w:p w:rsidR="00200CA2" w:rsidRPr="007F2DB8" w:rsidRDefault="00C232E1" w:rsidP="00200CA2">
            <w:pPr>
              <w:jc w:val="both"/>
              <w:rPr>
                <w:sz w:val="20"/>
              </w:rPr>
            </w:pPr>
            <w:hyperlink r:id="rId52" w:history="1">
              <w:r w:rsidR="00200CA2" w:rsidRPr="007F2DB8">
                <w:rPr>
                  <w:rStyle w:val="Hyperlink"/>
                  <w:sz w:val="20"/>
                </w:rPr>
                <w:t>2014 ABCA 39</w:t>
              </w:r>
            </w:hyperlink>
          </w:p>
          <w:p w:rsidR="00200CA2" w:rsidRPr="00E007CB" w:rsidRDefault="00200CA2" w:rsidP="00CD41B1">
            <w:pPr>
              <w:jc w:val="both"/>
              <w:rPr>
                <w:rFonts w:eastAsia="Calibri"/>
                <w:sz w:val="20"/>
              </w:rPr>
            </w:pPr>
          </w:p>
        </w:tc>
        <w:tc>
          <w:tcPr>
            <w:tcW w:w="243" w:type="pct"/>
          </w:tcPr>
          <w:p w:rsidR="00200CA2" w:rsidRPr="00E007CB" w:rsidRDefault="00200CA2" w:rsidP="00CD41B1">
            <w:pPr>
              <w:jc w:val="both"/>
              <w:rPr>
                <w:rFonts w:eastAsia="Calibri"/>
                <w:sz w:val="20"/>
              </w:rPr>
            </w:pPr>
          </w:p>
        </w:tc>
        <w:tc>
          <w:tcPr>
            <w:tcW w:w="2330" w:type="pct"/>
          </w:tcPr>
          <w:p w:rsidR="00200CA2" w:rsidRPr="007F2DB8" w:rsidRDefault="00200CA2" w:rsidP="00CD41B1">
            <w:pPr>
              <w:jc w:val="both"/>
              <w:rPr>
                <w:sz w:val="20"/>
              </w:rPr>
            </w:pPr>
            <w:r w:rsidRPr="007F2DB8">
              <w:rPr>
                <w:sz w:val="20"/>
              </w:rPr>
              <w:t>A</w:t>
            </w:r>
            <w:r>
              <w:rPr>
                <w:sz w:val="20"/>
              </w:rPr>
              <w:t>ppeal dismissed.</w:t>
            </w:r>
          </w:p>
          <w:p w:rsidR="00200CA2" w:rsidRPr="007F2DB8" w:rsidRDefault="00200CA2" w:rsidP="00CD41B1">
            <w:pPr>
              <w:jc w:val="both"/>
              <w:rPr>
                <w:sz w:val="20"/>
              </w:rPr>
            </w:pPr>
          </w:p>
        </w:tc>
      </w:tr>
      <w:tr w:rsidR="00200CA2" w:rsidRPr="00E007CB" w:rsidTr="00CD41B1">
        <w:trPr>
          <w:cantSplit/>
        </w:trPr>
        <w:tc>
          <w:tcPr>
            <w:tcW w:w="2427" w:type="pct"/>
          </w:tcPr>
          <w:p w:rsidR="00200CA2" w:rsidRPr="00E007CB" w:rsidRDefault="00200CA2" w:rsidP="00200CA2">
            <w:pPr>
              <w:jc w:val="both"/>
              <w:rPr>
                <w:rFonts w:eastAsia="Calibri"/>
                <w:sz w:val="20"/>
              </w:rPr>
            </w:pPr>
            <w:r>
              <w:rPr>
                <w:rFonts w:eastAsia="Calibri"/>
                <w:sz w:val="20"/>
              </w:rPr>
              <w:t>July 10</w:t>
            </w:r>
            <w:r w:rsidRPr="00E007CB">
              <w:rPr>
                <w:rFonts w:eastAsia="Calibri"/>
                <w:sz w:val="20"/>
              </w:rPr>
              <w:t>, 201</w:t>
            </w:r>
            <w:r>
              <w:rPr>
                <w:rFonts w:eastAsia="Calibri"/>
                <w:sz w:val="20"/>
              </w:rPr>
              <w:t>5</w:t>
            </w:r>
          </w:p>
          <w:p w:rsidR="00200CA2" w:rsidRPr="00E007CB" w:rsidRDefault="00200CA2" w:rsidP="00200CA2">
            <w:pPr>
              <w:jc w:val="both"/>
              <w:rPr>
                <w:rFonts w:eastAsia="Calibri"/>
                <w:sz w:val="20"/>
              </w:rPr>
            </w:pPr>
            <w:r w:rsidRPr="00E007CB">
              <w:rPr>
                <w:rFonts w:eastAsia="Calibri"/>
                <w:sz w:val="20"/>
              </w:rPr>
              <w:t>Supreme Court of Canada</w:t>
            </w:r>
          </w:p>
        </w:tc>
        <w:tc>
          <w:tcPr>
            <w:tcW w:w="243" w:type="pct"/>
          </w:tcPr>
          <w:p w:rsidR="00200CA2" w:rsidRPr="00E007CB" w:rsidRDefault="00200CA2" w:rsidP="00200CA2">
            <w:pPr>
              <w:jc w:val="both"/>
              <w:rPr>
                <w:rFonts w:eastAsia="Calibri"/>
                <w:sz w:val="20"/>
              </w:rPr>
            </w:pPr>
          </w:p>
        </w:tc>
        <w:tc>
          <w:tcPr>
            <w:tcW w:w="2330" w:type="pct"/>
          </w:tcPr>
          <w:p w:rsidR="00200CA2" w:rsidRPr="007F2DB8" w:rsidRDefault="00200CA2" w:rsidP="00200CA2">
            <w:pPr>
              <w:jc w:val="both"/>
              <w:rPr>
                <w:sz w:val="20"/>
              </w:rPr>
            </w:pPr>
            <w:r w:rsidRPr="007F2DB8">
              <w:rPr>
                <w:sz w:val="20"/>
              </w:rPr>
              <w:t xml:space="preserve">Motion for an extension of time to serve and file that application and Application for leave to appeal filed. </w:t>
            </w:r>
          </w:p>
        </w:tc>
      </w:tr>
    </w:tbl>
    <w:p w:rsidR="00200CA2" w:rsidRDefault="00200CA2" w:rsidP="00200CA2">
      <w:pPr>
        <w:rPr>
          <w:sz w:val="20"/>
          <w:szCs w:val="20"/>
        </w:rPr>
      </w:pPr>
    </w:p>
    <w:p w:rsidR="00200CA2" w:rsidRPr="00C50A5C" w:rsidRDefault="00C232E1" w:rsidP="00200CA2">
      <w:pPr>
        <w:rPr>
          <w:sz w:val="20"/>
          <w:szCs w:val="20"/>
        </w:rPr>
      </w:pPr>
      <w:r>
        <w:rPr>
          <w:sz w:val="20"/>
          <w:szCs w:val="20"/>
          <w:lang w:val="fr-CA"/>
        </w:rPr>
        <w:pict>
          <v:rect id="_x0000_i1064" style="width:2in;height:1pt" o:hrpct="0" o:hralign="center" o:hrstd="t" o:hrnoshade="t" o:hr="t" fillcolor="black [3213]" stroked="f"/>
        </w:pict>
      </w:r>
    </w:p>
    <w:p w:rsidR="00200CA2" w:rsidRDefault="00200CA2" w:rsidP="00200CA2">
      <w:pPr>
        <w:rPr>
          <w:sz w:val="20"/>
          <w:szCs w:val="20"/>
        </w:rPr>
      </w:pPr>
    </w:p>
    <w:p w:rsidR="00200CA2" w:rsidRPr="001B157C" w:rsidRDefault="00200CA2" w:rsidP="00200CA2">
      <w:pPr>
        <w:rPr>
          <w:sz w:val="20"/>
          <w:szCs w:val="20"/>
          <w:u w:val="single"/>
          <w:lang w:val="fr-CA"/>
        </w:rPr>
      </w:pPr>
      <w:r w:rsidRPr="001B157C">
        <w:rPr>
          <w:sz w:val="20"/>
          <w:szCs w:val="20"/>
          <w:u w:val="single"/>
          <w:lang w:val="fr-CA"/>
        </w:rPr>
        <w:t>RÉSUMÉ DE L’AFFAIRE</w:t>
      </w:r>
    </w:p>
    <w:p w:rsidR="00200CA2" w:rsidRDefault="00200CA2" w:rsidP="00200C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00CA2" w:rsidRPr="00002704" w:rsidTr="00CD41B1">
        <w:tc>
          <w:tcPr>
            <w:tcW w:w="5000" w:type="pct"/>
            <w:gridSpan w:val="3"/>
          </w:tcPr>
          <w:p w:rsidR="00200CA2" w:rsidRDefault="00200CA2" w:rsidP="00CD41B1">
            <w:pPr>
              <w:jc w:val="both"/>
              <w:rPr>
                <w:sz w:val="20"/>
                <w:lang w:val="fr-CA"/>
              </w:rPr>
            </w:pPr>
            <w:r w:rsidRPr="00D263A5">
              <w:rPr>
                <w:sz w:val="20"/>
                <w:lang w:val="fr-CA"/>
              </w:rPr>
              <w:t xml:space="preserve">Droit criminel — Meurtre au deuxième degré — Moyens de défense — Intoxication — Après avoir bu toute la nuit, le demandeur a poignardé sa tante trente fois à la tête, au cou et à la poitrine — Le demandeur a caché le corps, nettoyé la cuisine et utilisé un faux nom pour prendre un taxi jusqu’à la gare d’autobus où il a acheté un aller simple vers une destination en dehors de la ville — Le demandeur a avoué l’agression à sa mère, mais il a allégué avoir perdu connaissance — Dans son appréciation de la défense d’intoxication, le juge du procès a conclu que le demandeur avait été capable de former l’intention de commettre le meurtre et que son intoxication n’avait pas eu d’incidence sur sa capacité de prévoir les conséquences — Le demandeur a été déclaré coupable de meurtre au deuxième degré — L’appel de la déclaration de culpabilité a été rejeté — Le juge </w:t>
            </w:r>
            <w:proofErr w:type="spellStart"/>
            <w:r w:rsidRPr="00D263A5">
              <w:rPr>
                <w:sz w:val="20"/>
                <w:lang w:val="fr-CA"/>
              </w:rPr>
              <w:t>a-t-il</w:t>
            </w:r>
            <w:proofErr w:type="spellEnd"/>
            <w:r w:rsidRPr="00D263A5">
              <w:rPr>
                <w:sz w:val="20"/>
                <w:lang w:val="fr-CA"/>
              </w:rPr>
              <w:t xml:space="preserve"> commis une erreur en appréciant la capacité du demandeur de former l’intention spécifique de commettre un meurtre?</w:t>
            </w:r>
          </w:p>
          <w:p w:rsidR="00200CA2" w:rsidRPr="00E007CB" w:rsidRDefault="00200CA2" w:rsidP="00CD41B1">
            <w:pPr>
              <w:jc w:val="both"/>
              <w:rPr>
                <w:rFonts w:eastAsia="Calibri"/>
                <w:sz w:val="20"/>
                <w:lang w:val="fr-CA"/>
              </w:rPr>
            </w:pPr>
          </w:p>
        </w:tc>
      </w:tr>
      <w:tr w:rsidR="00200CA2" w:rsidRPr="00E007CB" w:rsidTr="00CD41B1">
        <w:tc>
          <w:tcPr>
            <w:tcW w:w="5000" w:type="pct"/>
            <w:gridSpan w:val="3"/>
          </w:tcPr>
          <w:p w:rsidR="00200CA2" w:rsidRPr="007F2DB8" w:rsidRDefault="00200CA2" w:rsidP="00200CA2">
            <w:pPr>
              <w:jc w:val="both"/>
              <w:rPr>
                <w:sz w:val="20"/>
                <w:lang w:val="fr-CA"/>
              </w:rPr>
            </w:pPr>
            <w:r w:rsidRPr="007F2DB8">
              <w:rPr>
                <w:sz w:val="20"/>
                <w:lang w:val="fr-CA"/>
              </w:rPr>
              <w:lastRenderedPageBreak/>
              <w:t>Après avoir bu toute la nuit, le demandeur, M. Philip, a poignardé sa tante trente fois à la tête, au cou et à la poitrine. Il a ensuite a caché le corps, nettoyé la cuisine et utilisé un faux nom pour prendre un taxi jusqu’à la gare d’autobus où il a acheté un aller simple vers une destination en dehors de la ville. Plus tard, M. Philip a avoué à sa mère avoir poignardé la victime, mais il a allégué avoir perdu connaissance. Dans son appréciation de la défense d’intoxication, le juge du procès a conclu que M. Philip avait été capable de former l’intention de commettre le meurtre et que son intoxication n’avait pas eu d’incidence sur sa capacité de prévoir les conséquences. Monsieur Philip a donc été déclaré coupable de meurtre au deuxième degré et son appel de la déclaration de culpabilité a été rejeté.</w:t>
            </w:r>
          </w:p>
          <w:p w:rsidR="00200CA2" w:rsidRPr="00E007CB" w:rsidRDefault="00200CA2" w:rsidP="00CD41B1">
            <w:pPr>
              <w:jc w:val="both"/>
              <w:rPr>
                <w:sz w:val="20"/>
                <w:lang w:val="fr-CA"/>
              </w:rPr>
            </w:pPr>
          </w:p>
        </w:tc>
      </w:tr>
      <w:tr w:rsidR="00200CA2" w:rsidRPr="00002704" w:rsidTr="00CD41B1">
        <w:trPr>
          <w:cantSplit/>
        </w:trPr>
        <w:tc>
          <w:tcPr>
            <w:tcW w:w="2427" w:type="pct"/>
          </w:tcPr>
          <w:p w:rsidR="00200CA2" w:rsidRPr="007F2DB8" w:rsidRDefault="00200CA2" w:rsidP="00200CA2">
            <w:pPr>
              <w:jc w:val="both"/>
              <w:rPr>
                <w:sz w:val="20"/>
                <w:lang w:val="fr-CA"/>
              </w:rPr>
            </w:pPr>
            <w:r w:rsidRPr="007F2DB8">
              <w:rPr>
                <w:sz w:val="20"/>
                <w:lang w:val="fr-CA"/>
              </w:rPr>
              <w:t>16 mars 2011</w:t>
            </w:r>
          </w:p>
          <w:p w:rsidR="00200CA2" w:rsidRPr="007F2DB8" w:rsidRDefault="00200CA2" w:rsidP="00200CA2">
            <w:pPr>
              <w:jc w:val="both"/>
              <w:rPr>
                <w:sz w:val="20"/>
                <w:lang w:val="fr-CA"/>
              </w:rPr>
            </w:pPr>
            <w:r w:rsidRPr="007F2DB8">
              <w:rPr>
                <w:sz w:val="20"/>
                <w:lang w:val="fr-CA"/>
              </w:rPr>
              <w:t>Cour du Banc de la Reine de l’Alberta</w:t>
            </w:r>
          </w:p>
          <w:p w:rsidR="00200CA2" w:rsidRPr="007F2DB8" w:rsidRDefault="00200CA2" w:rsidP="00200CA2">
            <w:pPr>
              <w:jc w:val="both"/>
              <w:rPr>
                <w:sz w:val="20"/>
                <w:lang w:val="fr-CA"/>
              </w:rPr>
            </w:pPr>
            <w:r w:rsidRPr="007F2DB8">
              <w:rPr>
                <w:sz w:val="20"/>
                <w:lang w:val="fr-CA"/>
              </w:rPr>
              <w:t>(Juge Nielsen)</w:t>
            </w:r>
          </w:p>
          <w:p w:rsidR="00200CA2" w:rsidRPr="007F2DB8" w:rsidRDefault="00200CA2" w:rsidP="00200CA2">
            <w:pPr>
              <w:jc w:val="both"/>
              <w:rPr>
                <w:sz w:val="20"/>
                <w:lang w:val="fr-CA"/>
              </w:rPr>
            </w:pPr>
            <w:r w:rsidRPr="007F2DB8">
              <w:rPr>
                <w:sz w:val="20"/>
                <w:lang w:val="fr-CA"/>
              </w:rPr>
              <w:t>N</w:t>
            </w:r>
            <w:r w:rsidRPr="007F2DB8">
              <w:rPr>
                <w:sz w:val="20"/>
                <w:vertAlign w:val="superscript"/>
                <w:lang w:val="fr-CA"/>
              </w:rPr>
              <w:t>o</w:t>
            </w:r>
            <w:r w:rsidRPr="007F2DB8">
              <w:rPr>
                <w:sz w:val="20"/>
                <w:lang w:val="fr-CA"/>
              </w:rPr>
              <w:t xml:space="preserve"> du greffe : 040792350Q1</w:t>
            </w:r>
          </w:p>
          <w:p w:rsidR="00200CA2" w:rsidRPr="00E007CB" w:rsidRDefault="00200CA2" w:rsidP="00CD41B1">
            <w:pPr>
              <w:jc w:val="both"/>
              <w:rPr>
                <w:rFonts w:eastAsia="Calibri"/>
                <w:sz w:val="20"/>
                <w:lang w:val="fr-CA"/>
              </w:rPr>
            </w:pPr>
          </w:p>
        </w:tc>
        <w:tc>
          <w:tcPr>
            <w:tcW w:w="243" w:type="pct"/>
          </w:tcPr>
          <w:p w:rsidR="00200CA2" w:rsidRPr="00E007CB" w:rsidRDefault="00200CA2" w:rsidP="00CD41B1">
            <w:pPr>
              <w:jc w:val="both"/>
              <w:rPr>
                <w:rFonts w:eastAsia="Calibri"/>
                <w:sz w:val="20"/>
                <w:lang w:val="fr-CA"/>
              </w:rPr>
            </w:pPr>
          </w:p>
        </w:tc>
        <w:tc>
          <w:tcPr>
            <w:tcW w:w="2330" w:type="pct"/>
          </w:tcPr>
          <w:p w:rsidR="00200CA2" w:rsidRPr="007F2DB8" w:rsidRDefault="00200CA2" w:rsidP="00200CA2">
            <w:pPr>
              <w:jc w:val="both"/>
              <w:rPr>
                <w:sz w:val="20"/>
                <w:highlight w:val="yellow"/>
                <w:lang w:val="fr-CA"/>
              </w:rPr>
            </w:pPr>
            <w:r w:rsidRPr="007F2DB8">
              <w:rPr>
                <w:sz w:val="20"/>
                <w:lang w:val="fr-CA"/>
              </w:rPr>
              <w:t>Déclaration de culpabilité de meurtre au deuxième degré.</w:t>
            </w:r>
          </w:p>
          <w:p w:rsidR="00200CA2" w:rsidRPr="0026164C" w:rsidRDefault="00200CA2" w:rsidP="00CD41B1">
            <w:pPr>
              <w:jc w:val="both"/>
              <w:rPr>
                <w:sz w:val="20"/>
                <w:lang w:val="fr-CA"/>
              </w:rPr>
            </w:pPr>
          </w:p>
        </w:tc>
      </w:tr>
      <w:tr w:rsidR="00200CA2" w:rsidRPr="00002704" w:rsidTr="00CD41B1">
        <w:trPr>
          <w:cantSplit/>
        </w:trPr>
        <w:tc>
          <w:tcPr>
            <w:tcW w:w="2427" w:type="pct"/>
          </w:tcPr>
          <w:p w:rsidR="00200CA2" w:rsidRPr="007F2DB8" w:rsidRDefault="00200CA2" w:rsidP="00200CA2">
            <w:pPr>
              <w:jc w:val="both"/>
              <w:rPr>
                <w:sz w:val="20"/>
                <w:lang w:val="fr-CA"/>
              </w:rPr>
            </w:pPr>
            <w:r w:rsidRPr="007F2DB8">
              <w:rPr>
                <w:sz w:val="20"/>
                <w:lang w:val="fr-CA"/>
              </w:rPr>
              <w:t>28 janvier 2014</w:t>
            </w:r>
          </w:p>
          <w:p w:rsidR="00200CA2" w:rsidRPr="007F2DB8" w:rsidRDefault="00200CA2" w:rsidP="00200CA2">
            <w:pPr>
              <w:jc w:val="both"/>
              <w:rPr>
                <w:sz w:val="20"/>
                <w:lang w:val="fr-CA"/>
              </w:rPr>
            </w:pPr>
            <w:r w:rsidRPr="007F2DB8">
              <w:rPr>
                <w:sz w:val="20"/>
                <w:lang w:val="fr-CA"/>
              </w:rPr>
              <w:t>Cour d’appel de l’Alberta (Edmonton)</w:t>
            </w:r>
          </w:p>
          <w:p w:rsidR="00200CA2" w:rsidRPr="007F2DB8" w:rsidRDefault="00200CA2" w:rsidP="00200CA2">
            <w:pPr>
              <w:jc w:val="both"/>
              <w:rPr>
                <w:sz w:val="20"/>
                <w:lang w:val="fr-CA"/>
              </w:rPr>
            </w:pPr>
            <w:r w:rsidRPr="007F2DB8">
              <w:rPr>
                <w:sz w:val="20"/>
                <w:lang w:val="fr-CA"/>
              </w:rPr>
              <w:t xml:space="preserve">(Juges Côté, O’Brien et </w:t>
            </w:r>
            <w:proofErr w:type="spellStart"/>
            <w:r w:rsidRPr="007F2DB8">
              <w:rPr>
                <w:sz w:val="20"/>
                <w:lang w:val="fr-CA"/>
              </w:rPr>
              <w:t>O’Ferrall</w:t>
            </w:r>
            <w:proofErr w:type="spellEnd"/>
            <w:r w:rsidRPr="007F2DB8">
              <w:rPr>
                <w:sz w:val="20"/>
                <w:lang w:val="fr-CA"/>
              </w:rPr>
              <w:t>)</w:t>
            </w:r>
          </w:p>
          <w:p w:rsidR="00200CA2" w:rsidRPr="007F2DB8" w:rsidRDefault="00C232E1" w:rsidP="00200CA2">
            <w:pPr>
              <w:jc w:val="both"/>
              <w:rPr>
                <w:sz w:val="20"/>
                <w:lang w:val="fr-CA"/>
              </w:rPr>
            </w:pPr>
            <w:hyperlink r:id="rId53" w:history="1">
              <w:r w:rsidR="00200CA2" w:rsidRPr="007F2DB8">
                <w:rPr>
                  <w:rStyle w:val="Hyperlink"/>
                  <w:sz w:val="20"/>
                  <w:lang w:val="fr-CA"/>
                </w:rPr>
                <w:t>2014 ABCA 39</w:t>
              </w:r>
            </w:hyperlink>
          </w:p>
          <w:p w:rsidR="00200CA2" w:rsidRPr="00E007CB" w:rsidRDefault="00200CA2" w:rsidP="00CD41B1">
            <w:pPr>
              <w:jc w:val="both"/>
              <w:rPr>
                <w:rFonts w:eastAsia="Calibri"/>
                <w:sz w:val="20"/>
                <w:lang w:val="fr-CA"/>
              </w:rPr>
            </w:pPr>
          </w:p>
        </w:tc>
        <w:tc>
          <w:tcPr>
            <w:tcW w:w="243" w:type="pct"/>
          </w:tcPr>
          <w:p w:rsidR="00200CA2" w:rsidRPr="00E007CB" w:rsidRDefault="00200CA2" w:rsidP="00CD41B1">
            <w:pPr>
              <w:jc w:val="both"/>
              <w:rPr>
                <w:rFonts w:eastAsia="Calibri"/>
                <w:sz w:val="20"/>
                <w:lang w:val="fr-CA"/>
              </w:rPr>
            </w:pPr>
          </w:p>
        </w:tc>
        <w:tc>
          <w:tcPr>
            <w:tcW w:w="2330" w:type="pct"/>
          </w:tcPr>
          <w:p w:rsidR="00200CA2" w:rsidRPr="007F2DB8" w:rsidRDefault="00200CA2" w:rsidP="00200CA2">
            <w:pPr>
              <w:jc w:val="both"/>
              <w:rPr>
                <w:sz w:val="20"/>
                <w:lang w:val="fr-CA"/>
              </w:rPr>
            </w:pPr>
            <w:r w:rsidRPr="007F2DB8">
              <w:rPr>
                <w:sz w:val="20"/>
                <w:lang w:val="fr-CA"/>
              </w:rPr>
              <w:t>Rejet de l’appel.</w:t>
            </w:r>
          </w:p>
          <w:p w:rsidR="00200CA2" w:rsidRPr="00E007CB" w:rsidRDefault="00200CA2" w:rsidP="00CD41B1">
            <w:pPr>
              <w:jc w:val="both"/>
              <w:rPr>
                <w:rFonts w:eastAsia="Calibri"/>
                <w:sz w:val="20"/>
                <w:lang w:val="fr-CA"/>
              </w:rPr>
            </w:pPr>
          </w:p>
        </w:tc>
      </w:tr>
      <w:tr w:rsidR="00200CA2" w:rsidRPr="00E007CB" w:rsidTr="00CD41B1">
        <w:trPr>
          <w:cantSplit/>
        </w:trPr>
        <w:tc>
          <w:tcPr>
            <w:tcW w:w="2427" w:type="pct"/>
          </w:tcPr>
          <w:p w:rsidR="00200CA2" w:rsidRPr="00E007CB" w:rsidRDefault="00200CA2" w:rsidP="00200CA2">
            <w:pPr>
              <w:jc w:val="both"/>
              <w:rPr>
                <w:rFonts w:eastAsia="Calibri"/>
                <w:sz w:val="20"/>
                <w:lang w:val="fr-CA"/>
              </w:rPr>
            </w:pPr>
            <w:r>
              <w:rPr>
                <w:rFonts w:eastAsia="Calibri"/>
                <w:sz w:val="20"/>
                <w:lang w:val="fr-CA"/>
              </w:rPr>
              <w:t>10 juillet</w:t>
            </w:r>
            <w:r w:rsidRPr="00E007CB">
              <w:rPr>
                <w:rFonts w:eastAsia="Calibri"/>
                <w:sz w:val="20"/>
                <w:lang w:val="fr-CA"/>
              </w:rPr>
              <w:t xml:space="preserve"> 201</w:t>
            </w:r>
            <w:r>
              <w:rPr>
                <w:rFonts w:eastAsia="Calibri"/>
                <w:sz w:val="20"/>
                <w:lang w:val="fr-CA"/>
              </w:rPr>
              <w:t>5</w:t>
            </w:r>
          </w:p>
          <w:p w:rsidR="00200CA2" w:rsidRPr="00E007CB" w:rsidRDefault="00200CA2" w:rsidP="00200CA2">
            <w:pPr>
              <w:jc w:val="both"/>
              <w:rPr>
                <w:rFonts w:eastAsia="Calibri"/>
                <w:sz w:val="20"/>
                <w:lang w:val="fr-CA"/>
              </w:rPr>
            </w:pPr>
            <w:r w:rsidRPr="00E007CB">
              <w:rPr>
                <w:rFonts w:eastAsia="Calibri"/>
                <w:sz w:val="20"/>
                <w:lang w:val="fr-CA"/>
              </w:rPr>
              <w:t>Cour suprême du Canada</w:t>
            </w:r>
          </w:p>
        </w:tc>
        <w:tc>
          <w:tcPr>
            <w:tcW w:w="243" w:type="pct"/>
          </w:tcPr>
          <w:p w:rsidR="00200CA2" w:rsidRPr="00E007CB" w:rsidRDefault="00200CA2" w:rsidP="00200CA2">
            <w:pPr>
              <w:jc w:val="both"/>
              <w:rPr>
                <w:rFonts w:eastAsia="Calibri"/>
                <w:sz w:val="20"/>
                <w:lang w:val="fr-CA"/>
              </w:rPr>
            </w:pPr>
          </w:p>
        </w:tc>
        <w:tc>
          <w:tcPr>
            <w:tcW w:w="2330" w:type="pct"/>
          </w:tcPr>
          <w:p w:rsidR="00200CA2" w:rsidRPr="007F2DB8" w:rsidRDefault="00200CA2" w:rsidP="00200CA2">
            <w:pPr>
              <w:jc w:val="both"/>
              <w:rPr>
                <w:sz w:val="20"/>
                <w:lang w:val="fr-CA"/>
              </w:rPr>
            </w:pPr>
            <w:r w:rsidRPr="007F2DB8">
              <w:rPr>
                <w:sz w:val="20"/>
                <w:lang w:val="fr-CA"/>
              </w:rPr>
              <w:t xml:space="preserve">Dépôt de la demande d’autorisation d’appel et de la requête en prorogation du délai de signification et de dépôt de cette demande. </w:t>
            </w:r>
          </w:p>
        </w:tc>
      </w:tr>
    </w:tbl>
    <w:p w:rsidR="00200CA2" w:rsidRDefault="00200CA2" w:rsidP="00200CA2">
      <w:pPr>
        <w:rPr>
          <w:sz w:val="20"/>
          <w:szCs w:val="20"/>
        </w:rPr>
      </w:pPr>
    </w:p>
    <w:p w:rsidR="00200CA2" w:rsidRDefault="00C232E1" w:rsidP="00200CA2">
      <w:pPr>
        <w:rPr>
          <w:sz w:val="20"/>
          <w:szCs w:val="20"/>
        </w:rPr>
      </w:pPr>
      <w:r>
        <w:rPr>
          <w:sz w:val="20"/>
          <w:szCs w:val="20"/>
          <w:lang w:val="fr-CA"/>
        </w:rPr>
        <w:pict>
          <v:rect id="_x0000_i1065" style="width:2in;height:1pt" o:hrpct="0" o:hralign="center" o:hrstd="t" o:hrnoshade="t" o:hr="t" fillcolor="black [3213]" stroked="f"/>
        </w:pict>
      </w:r>
    </w:p>
    <w:p w:rsidR="00200CA2" w:rsidRDefault="00200CA2" w:rsidP="00200C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E2F92" w:rsidRPr="00A73D2C" w:rsidTr="00CD41B1">
        <w:trPr>
          <w:cantSplit/>
        </w:trPr>
        <w:tc>
          <w:tcPr>
            <w:tcW w:w="1458" w:type="dxa"/>
          </w:tcPr>
          <w:p w:rsidR="006E2F92" w:rsidRPr="00A73D2C" w:rsidRDefault="006E2F92" w:rsidP="00CD41B1">
            <w:pPr>
              <w:rPr>
                <w:sz w:val="20"/>
                <w:szCs w:val="20"/>
              </w:rPr>
            </w:pPr>
            <w:r w:rsidRPr="00A73D2C">
              <w:rPr>
                <w:rStyle w:val="SCCFileNumberChar"/>
                <w:sz w:val="20"/>
                <w:szCs w:val="20"/>
              </w:rPr>
              <w:t>3</w:t>
            </w:r>
            <w:r>
              <w:rPr>
                <w:rStyle w:val="SCCFileNumberChar"/>
                <w:sz w:val="20"/>
                <w:szCs w:val="20"/>
              </w:rPr>
              <w:t>6517</w:t>
            </w:r>
          </w:p>
          <w:p w:rsidR="006E2F92" w:rsidRPr="00A73D2C" w:rsidRDefault="006E2F92" w:rsidP="00CD41B1">
            <w:pPr>
              <w:rPr>
                <w:b/>
                <w:sz w:val="20"/>
                <w:szCs w:val="20"/>
                <w:lang w:val="fr-CA"/>
              </w:rPr>
            </w:pPr>
          </w:p>
        </w:tc>
        <w:tc>
          <w:tcPr>
            <w:tcW w:w="8118" w:type="dxa"/>
          </w:tcPr>
          <w:p w:rsidR="006E2F92" w:rsidRPr="00A73D2C" w:rsidRDefault="006E2F92" w:rsidP="00CD41B1">
            <w:pPr>
              <w:rPr>
                <w:sz w:val="20"/>
                <w:szCs w:val="20"/>
              </w:rPr>
            </w:pPr>
            <w:r w:rsidRPr="006E2F92">
              <w:rPr>
                <w:rStyle w:val="SCCLsocChar"/>
                <w:sz w:val="20"/>
                <w:szCs w:val="20"/>
                <w:lang w:val="en-CA"/>
              </w:rPr>
              <w:t xml:space="preserve">Michele </w:t>
            </w:r>
            <w:proofErr w:type="spellStart"/>
            <w:r w:rsidRPr="006E2F92">
              <w:rPr>
                <w:rStyle w:val="SCCLsocChar"/>
                <w:sz w:val="20"/>
                <w:szCs w:val="20"/>
                <w:lang w:val="en-CA"/>
              </w:rPr>
              <w:t>Fiorilli</w:t>
            </w:r>
            <w:proofErr w:type="spellEnd"/>
            <w:r w:rsidRPr="006E2F92">
              <w:rPr>
                <w:rStyle w:val="SCCLsocChar"/>
                <w:sz w:val="20"/>
                <w:szCs w:val="20"/>
                <w:lang w:val="en-CA"/>
              </w:rPr>
              <w:t xml:space="preserve"> v. Her Majesty the Queen</w:t>
            </w:r>
            <w:r w:rsidRPr="00A73D2C">
              <w:rPr>
                <w:sz w:val="20"/>
                <w:szCs w:val="20"/>
              </w:rPr>
              <w:t xml:space="preserve"> (</w:t>
            </w:r>
            <w:r>
              <w:rPr>
                <w:sz w:val="20"/>
                <w:szCs w:val="20"/>
              </w:rPr>
              <w:t>Ont.</w:t>
            </w:r>
            <w:r w:rsidRPr="00A73D2C">
              <w:rPr>
                <w:sz w:val="20"/>
                <w:szCs w:val="20"/>
              </w:rPr>
              <w:t>) (C</w:t>
            </w:r>
            <w:r>
              <w:rPr>
                <w:sz w:val="20"/>
                <w:szCs w:val="20"/>
              </w:rPr>
              <w:t>r</w:t>
            </w:r>
            <w:r w:rsidRPr="00A73D2C">
              <w:rPr>
                <w:sz w:val="20"/>
                <w:szCs w:val="20"/>
              </w:rPr>
              <w:t>i</w:t>
            </w:r>
            <w:r>
              <w:rPr>
                <w:sz w:val="20"/>
                <w:szCs w:val="20"/>
              </w:rPr>
              <w:t>m</w:t>
            </w:r>
            <w:r w:rsidRPr="00A73D2C">
              <w:rPr>
                <w:sz w:val="20"/>
                <w:szCs w:val="20"/>
              </w:rPr>
              <w:t>i</w:t>
            </w:r>
            <w:r>
              <w:rPr>
                <w:sz w:val="20"/>
                <w:szCs w:val="20"/>
              </w:rPr>
              <w:t>na</w:t>
            </w:r>
            <w:r w:rsidRPr="00A73D2C">
              <w:rPr>
                <w:sz w:val="20"/>
                <w:szCs w:val="20"/>
              </w:rPr>
              <w:t>l) (By Leave)</w:t>
            </w:r>
          </w:p>
          <w:p w:rsidR="006E2F92" w:rsidRPr="00A73D2C" w:rsidRDefault="006E2F92" w:rsidP="00CD41B1">
            <w:pPr>
              <w:rPr>
                <w:sz w:val="20"/>
                <w:szCs w:val="20"/>
              </w:rPr>
            </w:pPr>
          </w:p>
        </w:tc>
      </w:tr>
      <w:tr w:rsidR="006E2F92" w:rsidRPr="00A73D2C" w:rsidTr="00CD41B1">
        <w:trPr>
          <w:cantSplit/>
        </w:trPr>
        <w:tc>
          <w:tcPr>
            <w:tcW w:w="1458" w:type="dxa"/>
          </w:tcPr>
          <w:p w:rsidR="006E2F92" w:rsidRPr="00A73D2C" w:rsidRDefault="006E2F92" w:rsidP="00CD41B1">
            <w:pPr>
              <w:rPr>
                <w:sz w:val="20"/>
                <w:szCs w:val="20"/>
              </w:rPr>
            </w:pPr>
            <w:r w:rsidRPr="00A73D2C">
              <w:rPr>
                <w:sz w:val="20"/>
                <w:szCs w:val="20"/>
              </w:rPr>
              <w:t>Coram :</w:t>
            </w:r>
          </w:p>
        </w:tc>
        <w:tc>
          <w:tcPr>
            <w:tcW w:w="8118" w:type="dxa"/>
          </w:tcPr>
          <w:p w:rsidR="006E2F92" w:rsidRDefault="000B40F9" w:rsidP="00CD41B1">
            <w:pPr>
              <w:rPr>
                <w:rStyle w:val="SCCCoramChar"/>
                <w:sz w:val="20"/>
                <w:szCs w:val="20"/>
                <w:lang w:val="en-CA"/>
              </w:rPr>
            </w:pPr>
            <w:r w:rsidRPr="000B40F9">
              <w:rPr>
                <w:rStyle w:val="SCCCoramChar"/>
                <w:sz w:val="20"/>
                <w:szCs w:val="20"/>
                <w:lang w:val="en-CA"/>
              </w:rPr>
              <w:t>Abella, Karakatsanis and Brown JJ.</w:t>
            </w:r>
          </w:p>
          <w:p w:rsidR="000B40F9" w:rsidRPr="00A73D2C" w:rsidRDefault="000B40F9" w:rsidP="00CD41B1">
            <w:pPr>
              <w:rPr>
                <w:sz w:val="20"/>
                <w:szCs w:val="20"/>
                <w:u w:val="single"/>
              </w:rPr>
            </w:pPr>
          </w:p>
        </w:tc>
      </w:tr>
      <w:tr w:rsidR="006E2F92" w:rsidRPr="00002704" w:rsidTr="00CD41B1">
        <w:trPr>
          <w:cantSplit/>
        </w:trPr>
        <w:tc>
          <w:tcPr>
            <w:tcW w:w="9576" w:type="dxa"/>
            <w:gridSpan w:val="2"/>
          </w:tcPr>
          <w:p w:rsidR="000B40F9" w:rsidRDefault="000B40F9" w:rsidP="000B40F9">
            <w:pPr>
              <w:pStyle w:val="SCCShortJudgment"/>
            </w:pPr>
            <w:r>
              <w:t>The application for leave to appeal from the judgment of the Court of Appeal for Ontario, Number C58390, 2015 ONCA 328, dated April 28, 2015, is dismissed.</w:t>
            </w:r>
          </w:p>
          <w:p w:rsidR="000B40F9" w:rsidRDefault="000B40F9" w:rsidP="000B40F9">
            <w:pPr>
              <w:pStyle w:val="SCCShortJudgment"/>
              <w:ind w:firstLine="0"/>
            </w:pPr>
          </w:p>
          <w:p w:rsidR="006E2F92" w:rsidRPr="00A73D2C" w:rsidRDefault="000B40F9" w:rsidP="000B40F9">
            <w:pPr>
              <w:pStyle w:val="SCCShortJudgment"/>
              <w:rPr>
                <w:szCs w:val="20"/>
                <w:lang w:val="fr-CA"/>
              </w:rPr>
            </w:pPr>
            <w:r>
              <w:t xml:space="preserve">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de </w:t>
            </w:r>
            <w:proofErr w:type="spellStart"/>
            <w:r>
              <w:t>l’Ontario</w:t>
            </w:r>
            <w:proofErr w:type="spellEnd"/>
            <w:r>
              <w:t xml:space="preserve">, </w:t>
            </w:r>
            <w:proofErr w:type="spellStart"/>
            <w:r>
              <w:t>numéro</w:t>
            </w:r>
            <w:proofErr w:type="spellEnd"/>
            <w:r>
              <w:t xml:space="preserve"> C58390, 2015 ONCA 328, </w:t>
            </w:r>
            <w:proofErr w:type="spellStart"/>
            <w:r>
              <w:t>daté</w:t>
            </w:r>
            <w:proofErr w:type="spellEnd"/>
            <w:r>
              <w:t xml:space="preserve"> du 28 </w:t>
            </w:r>
            <w:proofErr w:type="spellStart"/>
            <w:r>
              <w:t>avril</w:t>
            </w:r>
            <w:proofErr w:type="spellEnd"/>
            <w:r>
              <w:t xml:space="preserve"> 2015, </w:t>
            </w:r>
            <w:proofErr w:type="spellStart"/>
            <w:r>
              <w:t>est</w:t>
            </w:r>
            <w:proofErr w:type="spellEnd"/>
            <w:r>
              <w:t xml:space="preserve"> </w:t>
            </w:r>
            <w:proofErr w:type="spellStart"/>
            <w:r>
              <w:t>rejetée</w:t>
            </w:r>
            <w:proofErr w:type="spellEnd"/>
            <w:r>
              <w:t>.</w:t>
            </w:r>
          </w:p>
        </w:tc>
      </w:tr>
    </w:tbl>
    <w:p w:rsidR="006E2F92" w:rsidRPr="0016547E" w:rsidRDefault="006E2F92" w:rsidP="006E2F92">
      <w:pPr>
        <w:rPr>
          <w:sz w:val="20"/>
          <w:szCs w:val="20"/>
          <w:lang w:val="fr-CA"/>
        </w:rPr>
      </w:pPr>
    </w:p>
    <w:p w:rsidR="006E2F92" w:rsidRPr="001B157C" w:rsidRDefault="006E2F92" w:rsidP="006E2F92">
      <w:pPr>
        <w:rPr>
          <w:sz w:val="20"/>
          <w:szCs w:val="20"/>
          <w:u w:val="single"/>
        </w:rPr>
      </w:pPr>
      <w:r w:rsidRPr="001B157C">
        <w:rPr>
          <w:sz w:val="20"/>
          <w:szCs w:val="20"/>
          <w:u w:val="single"/>
        </w:rPr>
        <w:t>CASE SUMMARY</w:t>
      </w:r>
    </w:p>
    <w:p w:rsidR="006E2F92" w:rsidRDefault="006E2F92" w:rsidP="006E2F9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2F92" w:rsidRPr="00E007CB" w:rsidTr="00CD41B1">
        <w:tc>
          <w:tcPr>
            <w:tcW w:w="5000" w:type="pct"/>
            <w:gridSpan w:val="3"/>
          </w:tcPr>
          <w:p w:rsidR="006E2F92" w:rsidRDefault="006E2F92" w:rsidP="00CD41B1">
            <w:pPr>
              <w:jc w:val="both"/>
              <w:rPr>
                <w:sz w:val="20"/>
              </w:rPr>
            </w:pPr>
            <w:r w:rsidRPr="007F2DB8">
              <w:rPr>
                <w:sz w:val="20"/>
              </w:rPr>
              <w:t xml:space="preserve">Criminal law – Sentencing – Did the sentencing judge err by holding that a penitentiary sentence would be appropriate – Did the sentencing judge take the impact of the delay into account – Did the sentencing judge err in rejecting a conditional sentence – Whether the sentence imposed is manifestly excessive. </w:t>
            </w:r>
          </w:p>
          <w:p w:rsidR="006E2F92" w:rsidRPr="00E007CB" w:rsidRDefault="006E2F92" w:rsidP="00CD41B1">
            <w:pPr>
              <w:jc w:val="both"/>
              <w:rPr>
                <w:rFonts w:eastAsia="Calibri"/>
                <w:sz w:val="20"/>
              </w:rPr>
            </w:pPr>
          </w:p>
        </w:tc>
      </w:tr>
      <w:tr w:rsidR="006E2F92" w:rsidRPr="00E007CB" w:rsidTr="00CD41B1">
        <w:tc>
          <w:tcPr>
            <w:tcW w:w="5000" w:type="pct"/>
            <w:gridSpan w:val="3"/>
          </w:tcPr>
          <w:p w:rsidR="006E2F92" w:rsidRPr="007F2DB8" w:rsidRDefault="006E2F92" w:rsidP="006E2F92">
            <w:pPr>
              <w:jc w:val="both"/>
              <w:rPr>
                <w:sz w:val="20"/>
              </w:rPr>
            </w:pPr>
            <w:r w:rsidRPr="007F2DB8">
              <w:rPr>
                <w:sz w:val="20"/>
              </w:rPr>
              <w:t>The applicant was convicted of two counts of fraud over $5,000 for two residential real estate mortgage frauds. The applicant was sentenced to one year imprisonment; a restitution order of $213,084.61 and a fine of $110,000.00, in lieu of forfeiture, with six years to pay. The applicant appealed the sentence. The Court of Appeal granted leave to appeal sentence and dismissed the sentence appeal.</w:t>
            </w:r>
          </w:p>
          <w:p w:rsidR="006E2F92" w:rsidRPr="00E007CB" w:rsidRDefault="006E2F92" w:rsidP="00CD41B1">
            <w:pPr>
              <w:jc w:val="both"/>
              <w:rPr>
                <w:rFonts w:eastAsia="Calibri"/>
                <w:sz w:val="20"/>
              </w:rPr>
            </w:pPr>
          </w:p>
        </w:tc>
      </w:tr>
      <w:tr w:rsidR="006E2F92" w:rsidRPr="00E007CB" w:rsidTr="00CD41B1">
        <w:trPr>
          <w:cantSplit/>
        </w:trPr>
        <w:tc>
          <w:tcPr>
            <w:tcW w:w="2427" w:type="pct"/>
          </w:tcPr>
          <w:p w:rsidR="006E2F92" w:rsidRPr="007F2DB8" w:rsidRDefault="006E2F92" w:rsidP="006E2F92">
            <w:pPr>
              <w:jc w:val="both"/>
              <w:rPr>
                <w:sz w:val="20"/>
              </w:rPr>
            </w:pPr>
            <w:r w:rsidRPr="007F2DB8">
              <w:rPr>
                <w:sz w:val="20"/>
              </w:rPr>
              <w:lastRenderedPageBreak/>
              <w:t>February 20, 2014</w:t>
            </w:r>
          </w:p>
          <w:p w:rsidR="006E2F92" w:rsidRPr="007F2DB8" w:rsidRDefault="006E2F92" w:rsidP="006E2F92">
            <w:pPr>
              <w:jc w:val="both"/>
              <w:rPr>
                <w:sz w:val="20"/>
              </w:rPr>
            </w:pPr>
            <w:r w:rsidRPr="007F2DB8">
              <w:rPr>
                <w:sz w:val="20"/>
              </w:rPr>
              <w:t>Ontario Superior Court of Justice</w:t>
            </w:r>
          </w:p>
          <w:p w:rsidR="006E2F92" w:rsidRPr="007F2DB8" w:rsidRDefault="006E2F92" w:rsidP="006E2F92">
            <w:pPr>
              <w:jc w:val="both"/>
              <w:rPr>
                <w:sz w:val="20"/>
                <w:lang w:val="fr-CA"/>
              </w:rPr>
            </w:pPr>
            <w:r w:rsidRPr="007F2DB8">
              <w:rPr>
                <w:sz w:val="20"/>
                <w:lang w:val="fr-CA"/>
              </w:rPr>
              <w:t>(Trotter J.)</w:t>
            </w:r>
          </w:p>
          <w:p w:rsidR="006E2F92" w:rsidRPr="007F2DB8" w:rsidRDefault="006E2F92" w:rsidP="006E2F92">
            <w:pPr>
              <w:jc w:val="both"/>
              <w:rPr>
                <w:sz w:val="20"/>
                <w:lang w:val="fr-CA"/>
              </w:rPr>
            </w:pPr>
            <w:r w:rsidRPr="007F2DB8">
              <w:rPr>
                <w:sz w:val="20"/>
                <w:lang w:val="fr-CA"/>
              </w:rPr>
              <w:t>2014 ONSC 1117</w:t>
            </w:r>
          </w:p>
          <w:p w:rsidR="006E2F92" w:rsidRPr="007F2DB8" w:rsidRDefault="00C232E1" w:rsidP="006E2F92">
            <w:pPr>
              <w:jc w:val="both"/>
              <w:rPr>
                <w:rStyle w:val="documentstaticurl"/>
                <w:sz w:val="20"/>
                <w:lang w:val="fr-CA"/>
              </w:rPr>
            </w:pPr>
            <w:hyperlink r:id="rId54" w:history="1">
              <w:r w:rsidR="006E2F92" w:rsidRPr="007F2DB8">
                <w:rPr>
                  <w:rStyle w:val="Hyperlink"/>
                  <w:sz w:val="20"/>
                  <w:lang w:val="fr-CA"/>
                </w:rPr>
                <w:t>http://canlii.ca/t/g3gp7</w:t>
              </w:r>
            </w:hyperlink>
          </w:p>
          <w:p w:rsidR="006E2F92" w:rsidRPr="00E007CB" w:rsidRDefault="006E2F92" w:rsidP="00CD41B1">
            <w:pPr>
              <w:jc w:val="both"/>
              <w:rPr>
                <w:rFonts w:eastAsia="Calibri"/>
                <w:sz w:val="20"/>
              </w:rPr>
            </w:pPr>
          </w:p>
        </w:tc>
        <w:tc>
          <w:tcPr>
            <w:tcW w:w="243" w:type="pct"/>
          </w:tcPr>
          <w:p w:rsidR="006E2F92" w:rsidRPr="00E007CB" w:rsidRDefault="006E2F92" w:rsidP="00CD41B1">
            <w:pPr>
              <w:jc w:val="both"/>
              <w:rPr>
                <w:rFonts w:eastAsia="Calibri"/>
                <w:sz w:val="20"/>
              </w:rPr>
            </w:pPr>
          </w:p>
        </w:tc>
        <w:tc>
          <w:tcPr>
            <w:tcW w:w="2330" w:type="pct"/>
          </w:tcPr>
          <w:p w:rsidR="006E2F92" w:rsidRPr="007F2DB8" w:rsidRDefault="006E2F92" w:rsidP="006E2F92">
            <w:pPr>
              <w:jc w:val="both"/>
              <w:rPr>
                <w:sz w:val="20"/>
              </w:rPr>
            </w:pPr>
            <w:r w:rsidRPr="007F2DB8">
              <w:rPr>
                <w:sz w:val="20"/>
              </w:rPr>
              <w:t>Sentence imposed: one year imprisonment; a restitution order of $213,084.61 and a fine of $110,000.00, in lieu of forfeiture, with six years to pay</w:t>
            </w:r>
          </w:p>
          <w:p w:rsidR="006E2F92" w:rsidRPr="00E007CB" w:rsidRDefault="006E2F92" w:rsidP="00CD41B1">
            <w:pPr>
              <w:jc w:val="both"/>
              <w:rPr>
                <w:rFonts w:eastAsia="Calibri"/>
                <w:sz w:val="20"/>
              </w:rPr>
            </w:pPr>
          </w:p>
        </w:tc>
      </w:tr>
      <w:tr w:rsidR="006E2F92" w:rsidRPr="00E007CB" w:rsidTr="00CD41B1">
        <w:trPr>
          <w:cantSplit/>
        </w:trPr>
        <w:tc>
          <w:tcPr>
            <w:tcW w:w="2427" w:type="pct"/>
          </w:tcPr>
          <w:p w:rsidR="006E2F92" w:rsidRPr="007F2DB8" w:rsidRDefault="006E2F92" w:rsidP="006E2F92">
            <w:pPr>
              <w:jc w:val="both"/>
              <w:rPr>
                <w:sz w:val="20"/>
              </w:rPr>
            </w:pPr>
            <w:r w:rsidRPr="007F2DB8">
              <w:rPr>
                <w:sz w:val="20"/>
              </w:rPr>
              <w:t>April 28, 2015</w:t>
            </w:r>
          </w:p>
          <w:p w:rsidR="006E2F92" w:rsidRPr="007F2DB8" w:rsidRDefault="006E2F92" w:rsidP="006E2F92">
            <w:pPr>
              <w:jc w:val="both"/>
              <w:rPr>
                <w:sz w:val="20"/>
              </w:rPr>
            </w:pPr>
            <w:r w:rsidRPr="007F2DB8">
              <w:rPr>
                <w:sz w:val="20"/>
              </w:rPr>
              <w:t>Court of Appeal for Ontario</w:t>
            </w:r>
          </w:p>
          <w:p w:rsidR="006E2F92" w:rsidRPr="007F2DB8" w:rsidRDefault="006E2F92" w:rsidP="006E2F92">
            <w:pPr>
              <w:jc w:val="both"/>
              <w:rPr>
                <w:sz w:val="20"/>
                <w:lang w:val="de-DE"/>
              </w:rPr>
            </w:pPr>
            <w:r w:rsidRPr="007F2DB8">
              <w:rPr>
                <w:sz w:val="20"/>
                <w:lang w:val="de-DE"/>
              </w:rPr>
              <w:t>(Feldman, Pardu, Brown JJ.A.)</w:t>
            </w:r>
          </w:p>
          <w:p w:rsidR="006E2F92" w:rsidRPr="007F2DB8" w:rsidRDefault="006E2F92" w:rsidP="006E2F92">
            <w:pPr>
              <w:jc w:val="both"/>
              <w:rPr>
                <w:sz w:val="20"/>
              </w:rPr>
            </w:pPr>
            <w:r w:rsidRPr="007F2DB8">
              <w:rPr>
                <w:sz w:val="20"/>
              </w:rPr>
              <w:t xml:space="preserve">2015 ONCA 328; C58390 </w:t>
            </w:r>
          </w:p>
          <w:p w:rsidR="006E2F92" w:rsidRPr="007F2DB8" w:rsidRDefault="00C232E1" w:rsidP="006E2F92">
            <w:pPr>
              <w:jc w:val="both"/>
              <w:rPr>
                <w:rStyle w:val="documentstaticurl"/>
                <w:sz w:val="20"/>
              </w:rPr>
            </w:pPr>
            <w:hyperlink r:id="rId55" w:history="1">
              <w:r w:rsidR="006E2F92" w:rsidRPr="007F2DB8">
                <w:rPr>
                  <w:rStyle w:val="Hyperlink"/>
                  <w:sz w:val="20"/>
                </w:rPr>
                <w:t>http://canlii.ca/t/ghjh3</w:t>
              </w:r>
            </w:hyperlink>
          </w:p>
          <w:p w:rsidR="006E2F92" w:rsidRPr="00E007CB" w:rsidRDefault="006E2F92" w:rsidP="00CD41B1">
            <w:pPr>
              <w:jc w:val="both"/>
              <w:rPr>
                <w:rFonts w:eastAsia="Calibri"/>
                <w:sz w:val="20"/>
              </w:rPr>
            </w:pPr>
          </w:p>
        </w:tc>
        <w:tc>
          <w:tcPr>
            <w:tcW w:w="243" w:type="pct"/>
          </w:tcPr>
          <w:p w:rsidR="006E2F92" w:rsidRPr="00E007CB" w:rsidRDefault="006E2F92" w:rsidP="00CD41B1">
            <w:pPr>
              <w:jc w:val="both"/>
              <w:rPr>
                <w:rFonts w:eastAsia="Calibri"/>
                <w:sz w:val="20"/>
              </w:rPr>
            </w:pPr>
          </w:p>
        </w:tc>
        <w:tc>
          <w:tcPr>
            <w:tcW w:w="2330" w:type="pct"/>
          </w:tcPr>
          <w:p w:rsidR="006E2F92" w:rsidRPr="007F2DB8" w:rsidRDefault="006E2F92" w:rsidP="006E2F92">
            <w:pPr>
              <w:jc w:val="both"/>
              <w:rPr>
                <w:sz w:val="20"/>
              </w:rPr>
            </w:pPr>
            <w:r w:rsidRPr="007F2DB8">
              <w:rPr>
                <w:sz w:val="20"/>
              </w:rPr>
              <w:t>Leave to appeal sentence granted; sentence appeal dismissed</w:t>
            </w:r>
          </w:p>
          <w:p w:rsidR="006E2F92" w:rsidRPr="007F2DB8" w:rsidRDefault="006E2F92" w:rsidP="00CD41B1">
            <w:pPr>
              <w:jc w:val="both"/>
              <w:rPr>
                <w:sz w:val="20"/>
              </w:rPr>
            </w:pPr>
          </w:p>
        </w:tc>
      </w:tr>
      <w:tr w:rsidR="006E2F92" w:rsidRPr="00E007CB" w:rsidTr="00CD41B1">
        <w:trPr>
          <w:cantSplit/>
        </w:trPr>
        <w:tc>
          <w:tcPr>
            <w:tcW w:w="2427" w:type="pct"/>
          </w:tcPr>
          <w:p w:rsidR="006E2F92" w:rsidRPr="00E007CB" w:rsidRDefault="006E2F92" w:rsidP="00CD41B1">
            <w:pPr>
              <w:jc w:val="both"/>
              <w:rPr>
                <w:rFonts w:eastAsia="Calibri"/>
                <w:sz w:val="20"/>
              </w:rPr>
            </w:pPr>
            <w:r>
              <w:rPr>
                <w:rFonts w:eastAsia="Calibri"/>
                <w:sz w:val="20"/>
              </w:rPr>
              <w:t>June 29</w:t>
            </w:r>
            <w:r w:rsidRPr="00E007CB">
              <w:rPr>
                <w:rFonts w:eastAsia="Calibri"/>
                <w:sz w:val="20"/>
              </w:rPr>
              <w:t>, 201</w:t>
            </w:r>
            <w:r>
              <w:rPr>
                <w:rFonts w:eastAsia="Calibri"/>
                <w:sz w:val="20"/>
              </w:rPr>
              <w:t>5</w:t>
            </w:r>
          </w:p>
          <w:p w:rsidR="006E2F92" w:rsidRPr="00E007CB" w:rsidRDefault="006E2F92" w:rsidP="00CD41B1">
            <w:pPr>
              <w:jc w:val="both"/>
              <w:rPr>
                <w:rFonts w:eastAsia="Calibri"/>
                <w:sz w:val="20"/>
              </w:rPr>
            </w:pPr>
            <w:r w:rsidRPr="00E007CB">
              <w:rPr>
                <w:rFonts w:eastAsia="Calibri"/>
                <w:sz w:val="20"/>
              </w:rPr>
              <w:t>Supreme Court of Canada</w:t>
            </w:r>
          </w:p>
        </w:tc>
        <w:tc>
          <w:tcPr>
            <w:tcW w:w="243" w:type="pct"/>
          </w:tcPr>
          <w:p w:rsidR="006E2F92" w:rsidRPr="00E007CB" w:rsidRDefault="006E2F92" w:rsidP="00CD41B1">
            <w:pPr>
              <w:jc w:val="both"/>
              <w:rPr>
                <w:rFonts w:eastAsia="Calibri"/>
                <w:sz w:val="20"/>
              </w:rPr>
            </w:pPr>
          </w:p>
        </w:tc>
        <w:tc>
          <w:tcPr>
            <w:tcW w:w="2330" w:type="pct"/>
          </w:tcPr>
          <w:p w:rsidR="006E2F92" w:rsidRPr="007F2DB8" w:rsidRDefault="006E2F92" w:rsidP="006E2F92">
            <w:pPr>
              <w:jc w:val="both"/>
              <w:rPr>
                <w:sz w:val="20"/>
              </w:rPr>
            </w:pPr>
            <w:r w:rsidRPr="007F2DB8">
              <w:rPr>
                <w:sz w:val="20"/>
              </w:rPr>
              <w:t>Application for leave to appeal filed</w:t>
            </w:r>
          </w:p>
          <w:p w:rsidR="006E2F92" w:rsidRPr="007F2DB8" w:rsidRDefault="006E2F92" w:rsidP="00CD41B1">
            <w:pPr>
              <w:jc w:val="both"/>
              <w:rPr>
                <w:sz w:val="20"/>
              </w:rPr>
            </w:pPr>
          </w:p>
        </w:tc>
      </w:tr>
    </w:tbl>
    <w:p w:rsidR="006E2F92" w:rsidRDefault="006E2F92" w:rsidP="006E2F92">
      <w:pPr>
        <w:rPr>
          <w:sz w:val="20"/>
          <w:szCs w:val="20"/>
        </w:rPr>
      </w:pPr>
    </w:p>
    <w:p w:rsidR="006E2F92" w:rsidRPr="00C50A5C" w:rsidRDefault="00C232E1" w:rsidP="006E2F92">
      <w:pPr>
        <w:rPr>
          <w:sz w:val="20"/>
          <w:szCs w:val="20"/>
        </w:rPr>
      </w:pPr>
      <w:r>
        <w:rPr>
          <w:sz w:val="20"/>
          <w:szCs w:val="20"/>
          <w:lang w:val="fr-CA"/>
        </w:rPr>
        <w:pict>
          <v:rect id="_x0000_i1066" style="width:2in;height:1pt" o:hrpct="0" o:hralign="center" o:hrstd="t" o:hrnoshade="t" o:hr="t" fillcolor="black [3213]" stroked="f"/>
        </w:pict>
      </w:r>
    </w:p>
    <w:p w:rsidR="006E2F92" w:rsidRDefault="006E2F92" w:rsidP="006E2F92">
      <w:pPr>
        <w:rPr>
          <w:sz w:val="20"/>
          <w:szCs w:val="20"/>
        </w:rPr>
      </w:pPr>
    </w:p>
    <w:p w:rsidR="006E2F92" w:rsidRPr="001B157C" w:rsidRDefault="006E2F92" w:rsidP="006E2F92">
      <w:pPr>
        <w:rPr>
          <w:sz w:val="20"/>
          <w:szCs w:val="20"/>
          <w:u w:val="single"/>
          <w:lang w:val="fr-CA"/>
        </w:rPr>
      </w:pPr>
      <w:r w:rsidRPr="001B157C">
        <w:rPr>
          <w:sz w:val="20"/>
          <w:szCs w:val="20"/>
          <w:u w:val="single"/>
          <w:lang w:val="fr-CA"/>
        </w:rPr>
        <w:t>RÉSUMÉ DE L’AFFAIRE</w:t>
      </w:r>
    </w:p>
    <w:p w:rsidR="006E2F92" w:rsidRDefault="006E2F92" w:rsidP="006E2F9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2F92" w:rsidRPr="00002704" w:rsidTr="00CD41B1">
        <w:tc>
          <w:tcPr>
            <w:tcW w:w="5000" w:type="pct"/>
            <w:gridSpan w:val="3"/>
          </w:tcPr>
          <w:p w:rsidR="006E2F92" w:rsidRDefault="006E2F92" w:rsidP="00CD41B1">
            <w:pPr>
              <w:jc w:val="both"/>
              <w:rPr>
                <w:sz w:val="20"/>
                <w:lang w:val="fr-CA"/>
              </w:rPr>
            </w:pPr>
            <w:r w:rsidRPr="007F2DB8">
              <w:rPr>
                <w:sz w:val="20"/>
                <w:lang w:val="fr-CA"/>
              </w:rPr>
              <w:t xml:space="preserve">Droit criminel – Détermination de la peine – Le juge qui a prononcé la peine </w:t>
            </w:r>
            <w:proofErr w:type="spellStart"/>
            <w:r w:rsidRPr="007F2DB8">
              <w:rPr>
                <w:sz w:val="20"/>
                <w:lang w:val="fr-CA"/>
              </w:rPr>
              <w:t>a-t-il</w:t>
            </w:r>
            <w:proofErr w:type="spellEnd"/>
            <w:r w:rsidRPr="007F2DB8">
              <w:rPr>
                <w:sz w:val="20"/>
                <w:lang w:val="fr-CA"/>
              </w:rPr>
              <w:t xml:space="preserve"> eu tort de statuer qu’une peine de pénitencier était appropriée? – Le juge qui a prononcé la peine </w:t>
            </w:r>
            <w:proofErr w:type="spellStart"/>
            <w:r w:rsidRPr="007F2DB8">
              <w:rPr>
                <w:sz w:val="20"/>
                <w:lang w:val="fr-CA"/>
              </w:rPr>
              <w:t>a-t-il</w:t>
            </w:r>
            <w:proofErr w:type="spellEnd"/>
            <w:r w:rsidRPr="007F2DB8">
              <w:rPr>
                <w:sz w:val="20"/>
                <w:lang w:val="fr-CA"/>
              </w:rPr>
              <w:t xml:space="preserve"> pris en compte les répercussions du retard? – Le juge qui a prononcé la peine </w:t>
            </w:r>
            <w:proofErr w:type="spellStart"/>
            <w:r w:rsidRPr="007F2DB8">
              <w:rPr>
                <w:sz w:val="20"/>
                <w:lang w:val="fr-CA"/>
              </w:rPr>
              <w:t>a-t-il</w:t>
            </w:r>
            <w:proofErr w:type="spellEnd"/>
            <w:r w:rsidRPr="007F2DB8">
              <w:rPr>
                <w:sz w:val="20"/>
                <w:lang w:val="fr-CA"/>
              </w:rPr>
              <w:t xml:space="preserve"> eu tort de rejeter une peine avec sursis? – La peine imposée est-elle manifestement excessive? </w:t>
            </w:r>
          </w:p>
          <w:p w:rsidR="006E2F92" w:rsidRPr="00E007CB" w:rsidRDefault="006E2F92" w:rsidP="00CD41B1">
            <w:pPr>
              <w:jc w:val="both"/>
              <w:rPr>
                <w:rFonts w:eastAsia="Calibri"/>
                <w:sz w:val="20"/>
                <w:lang w:val="fr-CA"/>
              </w:rPr>
            </w:pPr>
          </w:p>
        </w:tc>
      </w:tr>
      <w:tr w:rsidR="006E2F92" w:rsidRPr="00E007CB" w:rsidTr="00CD41B1">
        <w:tc>
          <w:tcPr>
            <w:tcW w:w="5000" w:type="pct"/>
            <w:gridSpan w:val="3"/>
          </w:tcPr>
          <w:p w:rsidR="006E2F92" w:rsidRPr="007F2DB8" w:rsidRDefault="006E2F92" w:rsidP="006E2F92">
            <w:pPr>
              <w:contextualSpacing/>
              <w:jc w:val="both"/>
              <w:rPr>
                <w:sz w:val="20"/>
                <w:lang w:val="fr-CA"/>
              </w:rPr>
            </w:pPr>
            <w:r w:rsidRPr="007F2DB8">
              <w:rPr>
                <w:sz w:val="20"/>
                <w:lang w:val="fr-CA"/>
              </w:rPr>
              <w:t>Le demandeur a été déclaré coupable de deux chefs d’accusation de fraude de plus de 5 000 $ relativement à deux fraudes en lien avec des prêts hypothécaires dans le cadre d’opérations immobilières résidentielles. Le demandeur a été condamné à une peine d’emprisonnement d’un an, à une ordonnance de restitution de 213 084,61 $ et à une amende de 110 000 $, en remplacement de la confiscation, payable dans un délai de six ans. Le demandeur a interjeté appel de la peine. La Cour d’appel a accordé l’autorisation d’appel de la peine et a rejeté l’appel de la peine.</w:t>
            </w:r>
          </w:p>
          <w:p w:rsidR="006E2F92" w:rsidRPr="00E007CB" w:rsidRDefault="006E2F92" w:rsidP="00CD41B1">
            <w:pPr>
              <w:jc w:val="both"/>
              <w:rPr>
                <w:sz w:val="20"/>
                <w:lang w:val="fr-CA"/>
              </w:rPr>
            </w:pPr>
          </w:p>
        </w:tc>
      </w:tr>
      <w:tr w:rsidR="006E2F92" w:rsidRPr="00002704" w:rsidTr="00CD41B1">
        <w:trPr>
          <w:cantSplit/>
        </w:trPr>
        <w:tc>
          <w:tcPr>
            <w:tcW w:w="2427" w:type="pct"/>
          </w:tcPr>
          <w:p w:rsidR="006E2F92" w:rsidRPr="007F2DB8" w:rsidRDefault="006E2F92" w:rsidP="006E2F92">
            <w:pPr>
              <w:contextualSpacing/>
              <w:jc w:val="both"/>
              <w:rPr>
                <w:sz w:val="20"/>
                <w:lang w:val="fr-CA"/>
              </w:rPr>
            </w:pPr>
            <w:r w:rsidRPr="007F2DB8">
              <w:rPr>
                <w:sz w:val="20"/>
                <w:lang w:val="fr-CA"/>
              </w:rPr>
              <w:t>20 février 2014</w:t>
            </w:r>
          </w:p>
          <w:p w:rsidR="006E2F92" w:rsidRPr="007F2DB8" w:rsidRDefault="006E2F92" w:rsidP="006E2F92">
            <w:pPr>
              <w:contextualSpacing/>
              <w:jc w:val="both"/>
              <w:rPr>
                <w:sz w:val="20"/>
                <w:lang w:val="fr-CA"/>
              </w:rPr>
            </w:pPr>
            <w:r w:rsidRPr="007F2DB8">
              <w:rPr>
                <w:sz w:val="20"/>
                <w:lang w:val="fr-CA"/>
              </w:rPr>
              <w:t>Cour supérieure de justice de l’Ontario</w:t>
            </w:r>
          </w:p>
          <w:p w:rsidR="006E2F92" w:rsidRPr="007F2DB8" w:rsidRDefault="006E2F92" w:rsidP="006E2F92">
            <w:pPr>
              <w:contextualSpacing/>
              <w:jc w:val="both"/>
              <w:rPr>
                <w:sz w:val="20"/>
                <w:lang w:val="fr-CA"/>
              </w:rPr>
            </w:pPr>
            <w:r w:rsidRPr="007F2DB8">
              <w:rPr>
                <w:sz w:val="20"/>
                <w:lang w:val="fr-CA"/>
              </w:rPr>
              <w:t>(Juge Trotter)</w:t>
            </w:r>
          </w:p>
          <w:p w:rsidR="006E2F92" w:rsidRPr="007F2DB8" w:rsidRDefault="006E2F92" w:rsidP="006E2F92">
            <w:pPr>
              <w:contextualSpacing/>
              <w:jc w:val="both"/>
              <w:rPr>
                <w:sz w:val="20"/>
                <w:lang w:val="fr-CA"/>
              </w:rPr>
            </w:pPr>
            <w:r w:rsidRPr="007F2DB8">
              <w:rPr>
                <w:sz w:val="20"/>
                <w:lang w:val="fr-CA"/>
              </w:rPr>
              <w:t>2014 ONSC 1117</w:t>
            </w:r>
          </w:p>
          <w:p w:rsidR="006E2F92" w:rsidRPr="007F2DB8" w:rsidRDefault="00C232E1" w:rsidP="006E2F92">
            <w:pPr>
              <w:contextualSpacing/>
              <w:jc w:val="both"/>
              <w:rPr>
                <w:rStyle w:val="documentstaticurl"/>
                <w:sz w:val="20"/>
                <w:lang w:val="fr-CA"/>
              </w:rPr>
            </w:pPr>
            <w:hyperlink r:id="rId56" w:history="1">
              <w:r w:rsidR="006E2F92" w:rsidRPr="007F2DB8">
                <w:rPr>
                  <w:rStyle w:val="Hyperlink"/>
                  <w:sz w:val="20"/>
                  <w:lang w:val="fr-CA"/>
                </w:rPr>
                <w:t>http://canlii.ca/t/g3gp7</w:t>
              </w:r>
            </w:hyperlink>
          </w:p>
          <w:p w:rsidR="006E2F92" w:rsidRPr="00E007CB" w:rsidRDefault="006E2F92" w:rsidP="00CD41B1">
            <w:pPr>
              <w:jc w:val="both"/>
              <w:rPr>
                <w:rFonts w:eastAsia="Calibri"/>
                <w:sz w:val="20"/>
                <w:lang w:val="fr-CA"/>
              </w:rPr>
            </w:pPr>
          </w:p>
        </w:tc>
        <w:tc>
          <w:tcPr>
            <w:tcW w:w="243" w:type="pct"/>
          </w:tcPr>
          <w:p w:rsidR="006E2F92" w:rsidRPr="00E007CB" w:rsidRDefault="006E2F92" w:rsidP="00CD41B1">
            <w:pPr>
              <w:jc w:val="both"/>
              <w:rPr>
                <w:rFonts w:eastAsia="Calibri"/>
                <w:sz w:val="20"/>
                <w:lang w:val="fr-CA"/>
              </w:rPr>
            </w:pPr>
          </w:p>
        </w:tc>
        <w:tc>
          <w:tcPr>
            <w:tcW w:w="2330" w:type="pct"/>
          </w:tcPr>
          <w:p w:rsidR="006E2F92" w:rsidRPr="007F2DB8" w:rsidRDefault="006E2F92" w:rsidP="006E2F92">
            <w:pPr>
              <w:contextualSpacing/>
              <w:jc w:val="both"/>
              <w:rPr>
                <w:sz w:val="20"/>
                <w:lang w:val="fr-CA"/>
              </w:rPr>
            </w:pPr>
            <w:r w:rsidRPr="007F2DB8">
              <w:rPr>
                <w:sz w:val="20"/>
                <w:lang w:val="fr-CA"/>
              </w:rPr>
              <w:t>Peine : un an d’emprisonnement; ordonnance de restitution de 213 084 61 $ et amende de 110 000 $, en remplacement de la confiscation, payable dans un délai de six ans</w:t>
            </w:r>
          </w:p>
          <w:p w:rsidR="006E2F92" w:rsidRPr="0026164C" w:rsidRDefault="006E2F92" w:rsidP="00CD41B1">
            <w:pPr>
              <w:jc w:val="both"/>
              <w:rPr>
                <w:sz w:val="20"/>
                <w:lang w:val="fr-CA"/>
              </w:rPr>
            </w:pPr>
          </w:p>
        </w:tc>
      </w:tr>
      <w:tr w:rsidR="006E2F92" w:rsidRPr="00002704" w:rsidTr="00CD41B1">
        <w:trPr>
          <w:cantSplit/>
        </w:trPr>
        <w:tc>
          <w:tcPr>
            <w:tcW w:w="2427" w:type="pct"/>
          </w:tcPr>
          <w:p w:rsidR="006E2F92" w:rsidRPr="007F2DB8" w:rsidRDefault="006E2F92" w:rsidP="006E2F92">
            <w:pPr>
              <w:contextualSpacing/>
              <w:jc w:val="both"/>
              <w:rPr>
                <w:sz w:val="20"/>
                <w:lang w:val="fr-CA"/>
              </w:rPr>
            </w:pPr>
            <w:r w:rsidRPr="007F2DB8">
              <w:rPr>
                <w:sz w:val="20"/>
                <w:lang w:val="fr-CA"/>
              </w:rPr>
              <w:t>28 avril 2015</w:t>
            </w:r>
          </w:p>
          <w:p w:rsidR="006E2F92" w:rsidRPr="007F2DB8" w:rsidRDefault="006E2F92" w:rsidP="006E2F92">
            <w:pPr>
              <w:contextualSpacing/>
              <w:jc w:val="both"/>
              <w:rPr>
                <w:sz w:val="20"/>
                <w:lang w:val="fr-CA"/>
              </w:rPr>
            </w:pPr>
            <w:r w:rsidRPr="007F2DB8">
              <w:rPr>
                <w:sz w:val="20"/>
                <w:lang w:val="fr-CA"/>
              </w:rPr>
              <w:t>Cour d’appel de l’Ontario</w:t>
            </w:r>
          </w:p>
          <w:p w:rsidR="006E2F92" w:rsidRPr="007F2DB8" w:rsidRDefault="006E2F92" w:rsidP="006E2F92">
            <w:pPr>
              <w:contextualSpacing/>
              <w:jc w:val="both"/>
              <w:rPr>
                <w:sz w:val="20"/>
                <w:lang w:val="fr-CA"/>
              </w:rPr>
            </w:pPr>
            <w:r w:rsidRPr="007F2DB8">
              <w:rPr>
                <w:sz w:val="20"/>
                <w:lang w:val="fr-CA"/>
              </w:rPr>
              <w:t xml:space="preserve">(Juges </w:t>
            </w:r>
            <w:proofErr w:type="spellStart"/>
            <w:r w:rsidRPr="007F2DB8">
              <w:rPr>
                <w:sz w:val="20"/>
                <w:lang w:val="fr-CA"/>
              </w:rPr>
              <w:t>Feldman</w:t>
            </w:r>
            <w:proofErr w:type="spellEnd"/>
            <w:r w:rsidRPr="007F2DB8">
              <w:rPr>
                <w:sz w:val="20"/>
                <w:lang w:val="fr-CA"/>
              </w:rPr>
              <w:t xml:space="preserve">, </w:t>
            </w:r>
            <w:proofErr w:type="spellStart"/>
            <w:r w:rsidRPr="007F2DB8">
              <w:rPr>
                <w:sz w:val="20"/>
                <w:lang w:val="fr-CA"/>
              </w:rPr>
              <w:t>Pardu</w:t>
            </w:r>
            <w:proofErr w:type="spellEnd"/>
            <w:r w:rsidRPr="007F2DB8">
              <w:rPr>
                <w:sz w:val="20"/>
                <w:lang w:val="fr-CA"/>
              </w:rPr>
              <w:t xml:space="preserve"> et Brown)</w:t>
            </w:r>
          </w:p>
          <w:p w:rsidR="006E2F92" w:rsidRPr="007F2DB8" w:rsidRDefault="006E2F92" w:rsidP="006E2F92">
            <w:pPr>
              <w:contextualSpacing/>
              <w:jc w:val="both"/>
              <w:rPr>
                <w:sz w:val="20"/>
              </w:rPr>
            </w:pPr>
            <w:r w:rsidRPr="007F2DB8">
              <w:rPr>
                <w:sz w:val="20"/>
              </w:rPr>
              <w:t xml:space="preserve">2015 ONCA 328; C58390 </w:t>
            </w:r>
          </w:p>
          <w:p w:rsidR="006E2F92" w:rsidRPr="007F2DB8" w:rsidRDefault="00C232E1" w:rsidP="006E2F92">
            <w:pPr>
              <w:contextualSpacing/>
              <w:jc w:val="both"/>
              <w:rPr>
                <w:rStyle w:val="documentstaticurl"/>
                <w:sz w:val="20"/>
              </w:rPr>
            </w:pPr>
            <w:hyperlink r:id="rId57" w:history="1">
              <w:r w:rsidR="006E2F92" w:rsidRPr="007F2DB8">
                <w:rPr>
                  <w:rStyle w:val="Hyperlink"/>
                  <w:sz w:val="20"/>
                </w:rPr>
                <w:t>http://canlii.ca/t/ghjh3</w:t>
              </w:r>
            </w:hyperlink>
          </w:p>
          <w:p w:rsidR="006E2F92" w:rsidRPr="00E007CB" w:rsidRDefault="006E2F92" w:rsidP="00CD41B1">
            <w:pPr>
              <w:jc w:val="both"/>
              <w:rPr>
                <w:rFonts w:eastAsia="Calibri"/>
                <w:sz w:val="20"/>
                <w:lang w:val="fr-CA"/>
              </w:rPr>
            </w:pPr>
          </w:p>
        </w:tc>
        <w:tc>
          <w:tcPr>
            <w:tcW w:w="243" w:type="pct"/>
          </w:tcPr>
          <w:p w:rsidR="006E2F92" w:rsidRPr="00E007CB" w:rsidRDefault="006E2F92" w:rsidP="00CD41B1">
            <w:pPr>
              <w:jc w:val="both"/>
              <w:rPr>
                <w:rFonts w:eastAsia="Calibri"/>
                <w:sz w:val="20"/>
                <w:lang w:val="fr-CA"/>
              </w:rPr>
            </w:pPr>
          </w:p>
        </w:tc>
        <w:tc>
          <w:tcPr>
            <w:tcW w:w="2330" w:type="pct"/>
          </w:tcPr>
          <w:p w:rsidR="006E2F92" w:rsidRPr="007F2DB8" w:rsidRDefault="006E2F92" w:rsidP="006E2F92">
            <w:pPr>
              <w:contextualSpacing/>
              <w:jc w:val="both"/>
              <w:rPr>
                <w:sz w:val="20"/>
                <w:lang w:val="fr-CA"/>
              </w:rPr>
            </w:pPr>
            <w:r w:rsidRPr="007F2DB8">
              <w:rPr>
                <w:sz w:val="20"/>
                <w:lang w:val="fr-CA"/>
              </w:rPr>
              <w:t>Autorisation d’appel de la peine; rejet de l’appel de la peine</w:t>
            </w:r>
          </w:p>
          <w:p w:rsidR="006E2F92" w:rsidRPr="00E007CB" w:rsidRDefault="006E2F92" w:rsidP="00CD41B1">
            <w:pPr>
              <w:jc w:val="both"/>
              <w:rPr>
                <w:rFonts w:eastAsia="Calibri"/>
                <w:sz w:val="20"/>
                <w:lang w:val="fr-CA"/>
              </w:rPr>
            </w:pPr>
          </w:p>
        </w:tc>
      </w:tr>
      <w:tr w:rsidR="006E2F92" w:rsidRPr="00E007CB" w:rsidTr="00CD41B1">
        <w:trPr>
          <w:cantSplit/>
        </w:trPr>
        <w:tc>
          <w:tcPr>
            <w:tcW w:w="2427" w:type="pct"/>
          </w:tcPr>
          <w:p w:rsidR="006E2F92" w:rsidRPr="00E007CB" w:rsidRDefault="006E2F92" w:rsidP="00CD41B1">
            <w:pPr>
              <w:jc w:val="both"/>
              <w:rPr>
                <w:rFonts w:eastAsia="Calibri"/>
                <w:sz w:val="20"/>
                <w:lang w:val="fr-CA"/>
              </w:rPr>
            </w:pPr>
            <w:r>
              <w:rPr>
                <w:rFonts w:eastAsia="Calibri"/>
                <w:sz w:val="20"/>
                <w:lang w:val="fr-CA"/>
              </w:rPr>
              <w:t>29 juin</w:t>
            </w:r>
            <w:r w:rsidRPr="00E007CB">
              <w:rPr>
                <w:rFonts w:eastAsia="Calibri"/>
                <w:sz w:val="20"/>
                <w:lang w:val="fr-CA"/>
              </w:rPr>
              <w:t xml:space="preserve"> 201</w:t>
            </w:r>
            <w:r>
              <w:rPr>
                <w:rFonts w:eastAsia="Calibri"/>
                <w:sz w:val="20"/>
                <w:lang w:val="fr-CA"/>
              </w:rPr>
              <w:t>5</w:t>
            </w:r>
          </w:p>
          <w:p w:rsidR="006E2F92" w:rsidRPr="00E007CB" w:rsidRDefault="006E2F92" w:rsidP="00CD41B1">
            <w:pPr>
              <w:jc w:val="both"/>
              <w:rPr>
                <w:rFonts w:eastAsia="Calibri"/>
                <w:sz w:val="20"/>
                <w:lang w:val="fr-CA"/>
              </w:rPr>
            </w:pPr>
            <w:r w:rsidRPr="00E007CB">
              <w:rPr>
                <w:rFonts w:eastAsia="Calibri"/>
                <w:sz w:val="20"/>
                <w:lang w:val="fr-CA"/>
              </w:rPr>
              <w:t>Cour suprême du Canada</w:t>
            </w:r>
          </w:p>
        </w:tc>
        <w:tc>
          <w:tcPr>
            <w:tcW w:w="243" w:type="pct"/>
          </w:tcPr>
          <w:p w:rsidR="006E2F92" w:rsidRPr="00E007CB" w:rsidRDefault="006E2F92" w:rsidP="00CD41B1">
            <w:pPr>
              <w:jc w:val="both"/>
              <w:rPr>
                <w:rFonts w:eastAsia="Calibri"/>
                <w:sz w:val="20"/>
                <w:lang w:val="fr-CA"/>
              </w:rPr>
            </w:pPr>
          </w:p>
        </w:tc>
        <w:tc>
          <w:tcPr>
            <w:tcW w:w="2330" w:type="pct"/>
          </w:tcPr>
          <w:p w:rsidR="006E2F92" w:rsidRPr="007F2DB8" w:rsidRDefault="006E2F92" w:rsidP="006E2F92">
            <w:pPr>
              <w:contextualSpacing/>
              <w:jc w:val="both"/>
              <w:rPr>
                <w:sz w:val="20"/>
                <w:lang w:val="fr-CA"/>
              </w:rPr>
            </w:pPr>
            <w:r w:rsidRPr="007F2DB8">
              <w:rPr>
                <w:sz w:val="20"/>
                <w:lang w:val="fr-CA"/>
              </w:rPr>
              <w:t>Dépôt de la demande d’autorisation d’appel</w:t>
            </w:r>
          </w:p>
          <w:p w:rsidR="006E2F92" w:rsidRPr="007F2DB8" w:rsidRDefault="006E2F92" w:rsidP="00CD41B1">
            <w:pPr>
              <w:jc w:val="both"/>
              <w:rPr>
                <w:sz w:val="20"/>
                <w:lang w:val="fr-CA"/>
              </w:rPr>
            </w:pPr>
          </w:p>
        </w:tc>
      </w:tr>
    </w:tbl>
    <w:p w:rsidR="006E2F92" w:rsidRDefault="006E2F92" w:rsidP="006E2F92">
      <w:pPr>
        <w:rPr>
          <w:sz w:val="20"/>
          <w:szCs w:val="20"/>
        </w:rPr>
      </w:pPr>
    </w:p>
    <w:p w:rsidR="006E2F92" w:rsidRDefault="00C232E1" w:rsidP="006E2F92">
      <w:pPr>
        <w:rPr>
          <w:sz w:val="20"/>
          <w:szCs w:val="20"/>
        </w:rPr>
      </w:pPr>
      <w:r>
        <w:rPr>
          <w:sz w:val="20"/>
          <w:szCs w:val="20"/>
          <w:lang w:val="fr-CA"/>
        </w:rPr>
        <w:pict>
          <v:rect id="_x0000_i1067" style="width:2in;height:1pt" o:hrpct="0" o:hralign="center" o:hrstd="t" o:hrnoshade="t" o:hr="t" fillcolor="black [3213]" stroked="f"/>
        </w:pict>
      </w:r>
    </w:p>
    <w:p w:rsidR="00AC180F" w:rsidRDefault="00AC180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F67DF4" w:rsidRPr="00A73D2C" w:rsidTr="00CD41B1">
        <w:trPr>
          <w:cantSplit/>
        </w:trPr>
        <w:tc>
          <w:tcPr>
            <w:tcW w:w="1458" w:type="dxa"/>
          </w:tcPr>
          <w:p w:rsidR="00F67DF4" w:rsidRPr="00A73D2C" w:rsidRDefault="00F67DF4" w:rsidP="00CD41B1">
            <w:pPr>
              <w:rPr>
                <w:sz w:val="20"/>
                <w:szCs w:val="20"/>
              </w:rPr>
            </w:pPr>
            <w:r w:rsidRPr="00A73D2C">
              <w:rPr>
                <w:rStyle w:val="SCCFileNumberChar"/>
                <w:sz w:val="20"/>
                <w:szCs w:val="20"/>
              </w:rPr>
              <w:lastRenderedPageBreak/>
              <w:t>3</w:t>
            </w:r>
            <w:r>
              <w:rPr>
                <w:rStyle w:val="SCCFileNumberChar"/>
                <w:sz w:val="20"/>
                <w:szCs w:val="20"/>
              </w:rPr>
              <w:t>6519</w:t>
            </w:r>
          </w:p>
          <w:p w:rsidR="00F67DF4" w:rsidRPr="00A73D2C" w:rsidRDefault="00F67DF4" w:rsidP="00CD41B1">
            <w:pPr>
              <w:rPr>
                <w:b/>
                <w:sz w:val="20"/>
                <w:szCs w:val="20"/>
                <w:lang w:val="fr-CA"/>
              </w:rPr>
            </w:pPr>
          </w:p>
        </w:tc>
        <w:tc>
          <w:tcPr>
            <w:tcW w:w="8118" w:type="dxa"/>
          </w:tcPr>
          <w:p w:rsidR="00F67DF4" w:rsidRPr="00A73D2C" w:rsidRDefault="00F67DF4" w:rsidP="00CD41B1">
            <w:pPr>
              <w:rPr>
                <w:sz w:val="20"/>
                <w:szCs w:val="20"/>
              </w:rPr>
            </w:pPr>
            <w:r w:rsidRPr="00F67DF4">
              <w:rPr>
                <w:rStyle w:val="SCCLsocChar"/>
                <w:sz w:val="20"/>
                <w:szCs w:val="20"/>
                <w:lang w:val="en-CA"/>
              </w:rPr>
              <w:t xml:space="preserve">Arthur </w:t>
            </w:r>
            <w:proofErr w:type="spellStart"/>
            <w:r w:rsidRPr="00F67DF4">
              <w:rPr>
                <w:rStyle w:val="SCCLsocChar"/>
                <w:sz w:val="20"/>
                <w:szCs w:val="20"/>
                <w:lang w:val="en-CA"/>
              </w:rPr>
              <w:t>Jackes</w:t>
            </w:r>
            <w:proofErr w:type="spellEnd"/>
            <w:r w:rsidRPr="00F67DF4">
              <w:rPr>
                <w:rStyle w:val="SCCLsocChar"/>
                <w:sz w:val="20"/>
                <w:szCs w:val="20"/>
                <w:lang w:val="en-CA"/>
              </w:rPr>
              <w:t xml:space="preserve"> v. Her Majesty the Queen</w:t>
            </w:r>
            <w:r w:rsidRPr="00A73D2C">
              <w:rPr>
                <w:sz w:val="20"/>
                <w:szCs w:val="20"/>
              </w:rPr>
              <w:t xml:space="preserve"> (</w:t>
            </w:r>
            <w:r>
              <w:rPr>
                <w:sz w:val="20"/>
                <w:szCs w:val="20"/>
              </w:rPr>
              <w:t>F.C.</w:t>
            </w:r>
            <w:r w:rsidRPr="00A73D2C">
              <w:rPr>
                <w:sz w:val="20"/>
                <w:szCs w:val="20"/>
              </w:rPr>
              <w:t>) (Ci</w:t>
            </w:r>
            <w:r>
              <w:rPr>
                <w:sz w:val="20"/>
                <w:szCs w:val="20"/>
              </w:rPr>
              <w:t>v</w:t>
            </w:r>
            <w:r w:rsidRPr="00A73D2C">
              <w:rPr>
                <w:sz w:val="20"/>
                <w:szCs w:val="20"/>
              </w:rPr>
              <w:t>il) (By Leave)</w:t>
            </w:r>
          </w:p>
          <w:p w:rsidR="00F67DF4" w:rsidRPr="00A73D2C" w:rsidRDefault="00F67DF4" w:rsidP="00CD41B1">
            <w:pPr>
              <w:rPr>
                <w:sz w:val="20"/>
                <w:szCs w:val="20"/>
              </w:rPr>
            </w:pPr>
          </w:p>
        </w:tc>
      </w:tr>
      <w:tr w:rsidR="00F67DF4" w:rsidRPr="00A73D2C" w:rsidTr="00CD41B1">
        <w:trPr>
          <w:cantSplit/>
        </w:trPr>
        <w:tc>
          <w:tcPr>
            <w:tcW w:w="1458" w:type="dxa"/>
          </w:tcPr>
          <w:p w:rsidR="00F67DF4" w:rsidRPr="00A73D2C" w:rsidRDefault="00F67DF4" w:rsidP="00CD41B1">
            <w:pPr>
              <w:rPr>
                <w:sz w:val="20"/>
                <w:szCs w:val="20"/>
              </w:rPr>
            </w:pPr>
            <w:r w:rsidRPr="00A73D2C">
              <w:rPr>
                <w:sz w:val="20"/>
                <w:szCs w:val="20"/>
              </w:rPr>
              <w:t>Coram :</w:t>
            </w:r>
          </w:p>
        </w:tc>
        <w:tc>
          <w:tcPr>
            <w:tcW w:w="8118" w:type="dxa"/>
          </w:tcPr>
          <w:p w:rsidR="00F67DF4" w:rsidRDefault="000B40F9" w:rsidP="00CD41B1">
            <w:pPr>
              <w:rPr>
                <w:rStyle w:val="SCCCoramChar"/>
                <w:sz w:val="20"/>
                <w:szCs w:val="20"/>
                <w:lang w:val="en-CA"/>
              </w:rPr>
            </w:pPr>
            <w:r w:rsidRPr="000B40F9">
              <w:rPr>
                <w:rStyle w:val="SCCCoramChar"/>
                <w:sz w:val="20"/>
                <w:szCs w:val="20"/>
                <w:lang w:val="en-CA"/>
              </w:rPr>
              <w:t>McLachlin C.J. and Moldaver and Gascon JJ.</w:t>
            </w:r>
          </w:p>
          <w:p w:rsidR="000B40F9" w:rsidRPr="00A73D2C" w:rsidRDefault="000B40F9" w:rsidP="00CD41B1">
            <w:pPr>
              <w:rPr>
                <w:sz w:val="20"/>
                <w:szCs w:val="20"/>
                <w:u w:val="single"/>
              </w:rPr>
            </w:pPr>
          </w:p>
        </w:tc>
      </w:tr>
      <w:tr w:rsidR="00F67DF4" w:rsidRPr="00002704" w:rsidTr="00CD41B1">
        <w:trPr>
          <w:cantSplit/>
        </w:trPr>
        <w:tc>
          <w:tcPr>
            <w:tcW w:w="9576" w:type="dxa"/>
            <w:gridSpan w:val="2"/>
          </w:tcPr>
          <w:p w:rsidR="000B40F9" w:rsidRDefault="000B40F9" w:rsidP="000B40F9">
            <w:pPr>
              <w:pStyle w:val="SCCShortJudgment"/>
            </w:pPr>
            <w:r>
              <w:t>The motion for an extension of time to serve and file the application for leave to appeal is granted.  The motion for interim relief is dismissed.  The application for leave to appeal from the judgment of the Federal Court of Appeal, Number 15-A-13, dated April 14, 2015, is dismissed for want of jurisdiction.</w:t>
            </w:r>
          </w:p>
          <w:p w:rsidR="000B40F9" w:rsidRDefault="000B40F9" w:rsidP="000B40F9">
            <w:pPr>
              <w:pStyle w:val="SCCShortJudgment"/>
              <w:ind w:firstLine="0"/>
            </w:pPr>
          </w:p>
          <w:p w:rsidR="00F67DF4" w:rsidRPr="00A73D2C" w:rsidRDefault="000B40F9" w:rsidP="000B40F9">
            <w:pPr>
              <w:pStyle w:val="SCCShortJudgment"/>
              <w:rPr>
                <w:szCs w:val="20"/>
                <w:lang w:val="fr-CA"/>
              </w:rPr>
            </w:pPr>
            <w:r>
              <w:t xml:space="preserve">La </w:t>
            </w:r>
            <w:proofErr w:type="spellStart"/>
            <w:r>
              <w:t>requête</w:t>
            </w:r>
            <w:proofErr w:type="spellEnd"/>
            <w:r>
              <w:t xml:space="preserve"> </w:t>
            </w:r>
            <w:proofErr w:type="spellStart"/>
            <w:r>
              <w:t>en</w:t>
            </w:r>
            <w:proofErr w:type="spellEnd"/>
            <w:r>
              <w:t xml:space="preserve"> prorogation de signification et de </w:t>
            </w:r>
            <w:proofErr w:type="spellStart"/>
            <w:r>
              <w:t>dépôt</w:t>
            </w:r>
            <w:proofErr w:type="spellEnd"/>
            <w:r>
              <w:t xml:space="preserve"> de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w:t>
            </w:r>
            <w:proofErr w:type="spellStart"/>
            <w:r>
              <w:t>est</w:t>
            </w:r>
            <w:proofErr w:type="spellEnd"/>
            <w:r>
              <w:t xml:space="preserve"> </w:t>
            </w:r>
            <w:proofErr w:type="spellStart"/>
            <w:r>
              <w:t>accueillie</w:t>
            </w:r>
            <w:proofErr w:type="spellEnd"/>
            <w:r>
              <w:t xml:space="preserve">.  La </w:t>
            </w:r>
            <w:proofErr w:type="spellStart"/>
            <w:r>
              <w:t>requête</w:t>
            </w:r>
            <w:proofErr w:type="spellEnd"/>
            <w:r>
              <w:t xml:space="preserve"> pour </w:t>
            </w:r>
            <w:proofErr w:type="spellStart"/>
            <w:r>
              <w:t>mesure</w:t>
            </w:r>
            <w:proofErr w:type="spellEnd"/>
            <w:r>
              <w:t xml:space="preserve"> </w:t>
            </w:r>
            <w:proofErr w:type="spellStart"/>
            <w:r>
              <w:t>provisoire</w:t>
            </w:r>
            <w:proofErr w:type="spellEnd"/>
            <w:r>
              <w:t xml:space="preserve"> </w:t>
            </w:r>
            <w:proofErr w:type="spellStart"/>
            <w:r>
              <w:t>est</w:t>
            </w:r>
            <w:proofErr w:type="spellEnd"/>
            <w:r>
              <w:t xml:space="preserve"> </w:t>
            </w:r>
            <w:proofErr w:type="spellStart"/>
            <w:r>
              <w:t>rejetée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15-A-13, </w:t>
            </w:r>
            <w:proofErr w:type="spellStart"/>
            <w:r>
              <w:t>daté</w:t>
            </w:r>
            <w:proofErr w:type="spellEnd"/>
            <w:r>
              <w:t xml:space="preserve"> du 14 </w:t>
            </w:r>
            <w:proofErr w:type="spellStart"/>
            <w:r>
              <w:t>avril</w:t>
            </w:r>
            <w:proofErr w:type="spellEnd"/>
            <w:r>
              <w:t xml:space="preserve"> 2015, </w:t>
            </w:r>
            <w:proofErr w:type="spellStart"/>
            <w:r>
              <w:t>est</w:t>
            </w:r>
            <w:proofErr w:type="spellEnd"/>
            <w:r>
              <w:t xml:space="preserve"> </w:t>
            </w:r>
            <w:proofErr w:type="spellStart"/>
            <w:r>
              <w:t>rejetée</w:t>
            </w:r>
            <w:proofErr w:type="spellEnd"/>
            <w:r>
              <w:t xml:space="preserve"> pour </w:t>
            </w:r>
            <w:proofErr w:type="spellStart"/>
            <w:r>
              <w:t>défaut</w:t>
            </w:r>
            <w:proofErr w:type="spellEnd"/>
            <w:r>
              <w:t xml:space="preserve"> de </w:t>
            </w:r>
            <w:proofErr w:type="spellStart"/>
            <w:r>
              <w:t>compétence</w:t>
            </w:r>
            <w:proofErr w:type="spellEnd"/>
            <w:r>
              <w:t>.</w:t>
            </w:r>
          </w:p>
        </w:tc>
      </w:tr>
    </w:tbl>
    <w:p w:rsidR="00F67DF4" w:rsidRPr="0016547E" w:rsidRDefault="00F67DF4" w:rsidP="00F67DF4">
      <w:pPr>
        <w:rPr>
          <w:sz w:val="20"/>
          <w:szCs w:val="20"/>
          <w:lang w:val="fr-CA"/>
        </w:rPr>
      </w:pPr>
    </w:p>
    <w:p w:rsidR="00F67DF4" w:rsidRPr="001B157C" w:rsidRDefault="00F67DF4" w:rsidP="00F67DF4">
      <w:pPr>
        <w:rPr>
          <w:sz w:val="20"/>
          <w:szCs w:val="20"/>
          <w:u w:val="single"/>
        </w:rPr>
      </w:pPr>
      <w:r w:rsidRPr="001B157C">
        <w:rPr>
          <w:sz w:val="20"/>
          <w:szCs w:val="20"/>
          <w:u w:val="single"/>
        </w:rPr>
        <w:t>CASE SUMMARY</w:t>
      </w:r>
    </w:p>
    <w:p w:rsidR="00F67DF4" w:rsidRDefault="00F67DF4" w:rsidP="00F67DF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7DF4" w:rsidRPr="00E007CB" w:rsidTr="00CD41B1">
        <w:tc>
          <w:tcPr>
            <w:tcW w:w="5000" w:type="pct"/>
            <w:gridSpan w:val="3"/>
          </w:tcPr>
          <w:p w:rsidR="00F67DF4" w:rsidRDefault="00F67DF4" w:rsidP="00CD41B1">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p w:rsidR="00F67DF4" w:rsidRPr="00E007CB" w:rsidRDefault="00F67DF4" w:rsidP="00CD41B1">
            <w:pPr>
              <w:jc w:val="both"/>
              <w:rPr>
                <w:rFonts w:eastAsia="Calibri"/>
                <w:sz w:val="20"/>
              </w:rPr>
            </w:pPr>
          </w:p>
        </w:tc>
      </w:tr>
      <w:tr w:rsidR="00F67DF4" w:rsidRPr="00E007CB" w:rsidTr="00CD41B1">
        <w:tc>
          <w:tcPr>
            <w:tcW w:w="5000" w:type="pct"/>
            <w:gridSpan w:val="3"/>
          </w:tcPr>
          <w:p w:rsidR="00F67DF4" w:rsidRPr="007F2DB8" w:rsidRDefault="00F67DF4" w:rsidP="00F67DF4">
            <w:pPr>
              <w:jc w:val="both"/>
              <w:rPr>
                <w:sz w:val="20"/>
              </w:rPr>
            </w:pPr>
            <w:r w:rsidRPr="007F2DB8">
              <w:rPr>
                <w:sz w:val="20"/>
              </w:rPr>
              <w:t>The applicant had been issued a permit that allowed him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F67DF4" w:rsidRPr="00E007CB" w:rsidRDefault="00F67DF4" w:rsidP="00CD41B1">
            <w:pPr>
              <w:jc w:val="both"/>
              <w:rPr>
                <w:rFonts w:eastAsia="Calibri"/>
                <w:sz w:val="20"/>
              </w:rPr>
            </w:pPr>
          </w:p>
        </w:tc>
      </w:tr>
      <w:tr w:rsidR="00F67DF4" w:rsidRPr="00E007CB" w:rsidTr="00CD41B1">
        <w:trPr>
          <w:cantSplit/>
        </w:trPr>
        <w:tc>
          <w:tcPr>
            <w:tcW w:w="2427" w:type="pct"/>
          </w:tcPr>
          <w:p w:rsidR="00F67DF4" w:rsidRPr="007F2DB8" w:rsidRDefault="00F67DF4" w:rsidP="00F67DF4">
            <w:pPr>
              <w:jc w:val="both"/>
              <w:rPr>
                <w:sz w:val="20"/>
              </w:rPr>
            </w:pPr>
            <w:r w:rsidRPr="007F2DB8">
              <w:rPr>
                <w:sz w:val="20"/>
              </w:rPr>
              <w:t>March 21, 2014</w:t>
            </w:r>
          </w:p>
          <w:p w:rsidR="00F67DF4" w:rsidRPr="007F2DB8" w:rsidRDefault="00F67DF4" w:rsidP="00F67DF4">
            <w:pPr>
              <w:jc w:val="both"/>
              <w:rPr>
                <w:sz w:val="20"/>
              </w:rPr>
            </w:pPr>
            <w:r w:rsidRPr="007F2DB8">
              <w:rPr>
                <w:sz w:val="20"/>
              </w:rPr>
              <w:t>Federal Court</w:t>
            </w:r>
          </w:p>
          <w:p w:rsidR="00F67DF4" w:rsidRPr="007F2DB8" w:rsidRDefault="00F67DF4" w:rsidP="00F67DF4">
            <w:pPr>
              <w:jc w:val="both"/>
              <w:rPr>
                <w:sz w:val="20"/>
              </w:rPr>
            </w:pPr>
            <w:r w:rsidRPr="007F2DB8">
              <w:rPr>
                <w:sz w:val="20"/>
              </w:rPr>
              <w:t>(Manson J.)</w:t>
            </w:r>
          </w:p>
          <w:p w:rsidR="00F67DF4" w:rsidRPr="00E007CB" w:rsidRDefault="00C232E1" w:rsidP="00F67DF4">
            <w:pPr>
              <w:jc w:val="both"/>
              <w:rPr>
                <w:rFonts w:eastAsia="Calibri"/>
                <w:sz w:val="20"/>
              </w:rPr>
            </w:pPr>
            <w:hyperlink r:id="rId58" w:history="1">
              <w:r w:rsidR="00F67DF4" w:rsidRPr="007F2DB8">
                <w:rPr>
                  <w:rStyle w:val="Hyperlink"/>
                  <w:sz w:val="20"/>
                </w:rPr>
                <w:t>2014 FC 1260</w:t>
              </w:r>
            </w:hyperlink>
          </w:p>
        </w:tc>
        <w:tc>
          <w:tcPr>
            <w:tcW w:w="243" w:type="pct"/>
          </w:tcPr>
          <w:p w:rsidR="00F67DF4" w:rsidRPr="00E007CB" w:rsidRDefault="00F67DF4" w:rsidP="00CD41B1">
            <w:pPr>
              <w:jc w:val="both"/>
              <w:rPr>
                <w:rFonts w:eastAsia="Calibri"/>
                <w:sz w:val="20"/>
              </w:rPr>
            </w:pPr>
          </w:p>
        </w:tc>
        <w:tc>
          <w:tcPr>
            <w:tcW w:w="2330" w:type="pct"/>
          </w:tcPr>
          <w:p w:rsidR="00F67DF4" w:rsidRPr="007F2DB8" w:rsidRDefault="00F67DF4" w:rsidP="00F67DF4">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dismissed in part</w:t>
            </w:r>
          </w:p>
          <w:p w:rsidR="00F67DF4" w:rsidRPr="00E007CB" w:rsidRDefault="00F67DF4" w:rsidP="00CD41B1">
            <w:pPr>
              <w:jc w:val="both"/>
              <w:rPr>
                <w:rFonts w:eastAsia="Calibri"/>
                <w:sz w:val="20"/>
              </w:rPr>
            </w:pPr>
          </w:p>
        </w:tc>
      </w:tr>
      <w:tr w:rsidR="00F67DF4" w:rsidRPr="00E007CB" w:rsidTr="00CD41B1">
        <w:trPr>
          <w:cantSplit/>
        </w:trPr>
        <w:tc>
          <w:tcPr>
            <w:tcW w:w="2427" w:type="pct"/>
          </w:tcPr>
          <w:p w:rsidR="00F67DF4" w:rsidRPr="007F2DB8" w:rsidRDefault="00F67DF4" w:rsidP="00F67DF4">
            <w:pPr>
              <w:jc w:val="both"/>
              <w:rPr>
                <w:sz w:val="20"/>
              </w:rPr>
            </w:pPr>
            <w:r w:rsidRPr="007F2DB8">
              <w:rPr>
                <w:sz w:val="20"/>
              </w:rPr>
              <w:t>April 14, 2015</w:t>
            </w:r>
          </w:p>
          <w:p w:rsidR="00F67DF4" w:rsidRPr="007F2DB8" w:rsidRDefault="00F67DF4" w:rsidP="00F67DF4">
            <w:pPr>
              <w:jc w:val="both"/>
              <w:rPr>
                <w:sz w:val="20"/>
              </w:rPr>
            </w:pPr>
            <w:r w:rsidRPr="007F2DB8">
              <w:rPr>
                <w:sz w:val="20"/>
              </w:rPr>
              <w:t>Federal Court of Appeal</w:t>
            </w:r>
          </w:p>
          <w:p w:rsidR="00F67DF4" w:rsidRPr="007F2DB8" w:rsidRDefault="00F67DF4" w:rsidP="00F67DF4">
            <w:pPr>
              <w:jc w:val="both"/>
              <w:rPr>
                <w:sz w:val="20"/>
              </w:rPr>
            </w:pPr>
            <w:r w:rsidRPr="007F2DB8">
              <w:rPr>
                <w:sz w:val="20"/>
              </w:rPr>
              <w:t>(Dawson J.A.)</w:t>
            </w:r>
          </w:p>
          <w:p w:rsidR="00F67DF4" w:rsidRPr="00E007CB" w:rsidRDefault="00F67DF4" w:rsidP="00F67DF4">
            <w:pPr>
              <w:jc w:val="both"/>
              <w:rPr>
                <w:rFonts w:eastAsia="Calibri"/>
                <w:sz w:val="20"/>
              </w:rPr>
            </w:pPr>
            <w:r w:rsidRPr="007F2DB8">
              <w:rPr>
                <w:sz w:val="20"/>
              </w:rPr>
              <w:t>Unreported</w:t>
            </w:r>
            <w:r w:rsidRPr="00E007CB">
              <w:rPr>
                <w:rFonts w:eastAsia="Calibri"/>
                <w:sz w:val="20"/>
              </w:rPr>
              <w:t xml:space="preserve"> </w:t>
            </w:r>
          </w:p>
        </w:tc>
        <w:tc>
          <w:tcPr>
            <w:tcW w:w="243" w:type="pct"/>
          </w:tcPr>
          <w:p w:rsidR="00F67DF4" w:rsidRPr="00E007CB" w:rsidRDefault="00F67DF4" w:rsidP="00CD41B1">
            <w:pPr>
              <w:jc w:val="both"/>
              <w:rPr>
                <w:rFonts w:eastAsia="Calibri"/>
                <w:sz w:val="20"/>
              </w:rPr>
            </w:pPr>
          </w:p>
        </w:tc>
        <w:tc>
          <w:tcPr>
            <w:tcW w:w="2330" w:type="pct"/>
          </w:tcPr>
          <w:p w:rsidR="00F67DF4" w:rsidRPr="007F2DB8" w:rsidRDefault="00F67DF4" w:rsidP="00F67DF4">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F67DF4" w:rsidRPr="007F2DB8" w:rsidRDefault="00F67DF4" w:rsidP="00CD41B1">
            <w:pPr>
              <w:jc w:val="both"/>
              <w:rPr>
                <w:sz w:val="20"/>
              </w:rPr>
            </w:pPr>
          </w:p>
        </w:tc>
      </w:tr>
      <w:tr w:rsidR="00F67DF4" w:rsidRPr="00E007CB" w:rsidTr="00CD41B1">
        <w:trPr>
          <w:cantSplit/>
        </w:trPr>
        <w:tc>
          <w:tcPr>
            <w:tcW w:w="2427" w:type="pct"/>
          </w:tcPr>
          <w:p w:rsidR="00F67DF4" w:rsidRPr="00E007CB" w:rsidRDefault="00F67DF4" w:rsidP="00CD41B1">
            <w:pPr>
              <w:jc w:val="both"/>
              <w:rPr>
                <w:rFonts w:eastAsia="Calibri"/>
                <w:sz w:val="20"/>
              </w:rPr>
            </w:pPr>
            <w:r>
              <w:rPr>
                <w:rFonts w:eastAsia="Calibri"/>
                <w:sz w:val="20"/>
              </w:rPr>
              <w:t>July 3</w:t>
            </w:r>
            <w:r w:rsidRPr="00E007CB">
              <w:rPr>
                <w:rFonts w:eastAsia="Calibri"/>
                <w:sz w:val="20"/>
              </w:rPr>
              <w:t>, 201</w:t>
            </w:r>
            <w:r>
              <w:rPr>
                <w:rFonts w:eastAsia="Calibri"/>
                <w:sz w:val="20"/>
              </w:rPr>
              <w:t>5</w:t>
            </w:r>
          </w:p>
          <w:p w:rsidR="00F67DF4" w:rsidRPr="00E007CB" w:rsidRDefault="00F67DF4" w:rsidP="00CD41B1">
            <w:pPr>
              <w:jc w:val="both"/>
              <w:rPr>
                <w:rFonts w:eastAsia="Calibri"/>
                <w:sz w:val="20"/>
              </w:rPr>
            </w:pPr>
            <w:r w:rsidRPr="00E007CB">
              <w:rPr>
                <w:rFonts w:eastAsia="Calibri"/>
                <w:sz w:val="20"/>
              </w:rPr>
              <w:t>Supreme Court of Canada</w:t>
            </w:r>
          </w:p>
        </w:tc>
        <w:tc>
          <w:tcPr>
            <w:tcW w:w="243" w:type="pct"/>
          </w:tcPr>
          <w:p w:rsidR="00F67DF4" w:rsidRPr="00E007CB" w:rsidRDefault="00F67DF4" w:rsidP="00CD41B1">
            <w:pPr>
              <w:jc w:val="both"/>
              <w:rPr>
                <w:rFonts w:eastAsia="Calibri"/>
                <w:sz w:val="20"/>
              </w:rPr>
            </w:pPr>
          </w:p>
        </w:tc>
        <w:tc>
          <w:tcPr>
            <w:tcW w:w="2330" w:type="pct"/>
          </w:tcPr>
          <w:p w:rsidR="00F67DF4" w:rsidRPr="007F2DB8" w:rsidRDefault="00F67DF4" w:rsidP="00F67DF4">
            <w:pPr>
              <w:jc w:val="both"/>
              <w:rPr>
                <w:sz w:val="20"/>
              </w:rPr>
            </w:pPr>
            <w:r w:rsidRPr="007F2DB8">
              <w:rPr>
                <w:sz w:val="20"/>
              </w:rPr>
              <w:t>Motion for extension of time in which to serve and file application for leave to appeal  and application for leave to appeal filed</w:t>
            </w:r>
          </w:p>
          <w:p w:rsidR="00F67DF4" w:rsidRPr="007F2DB8" w:rsidRDefault="00F67DF4" w:rsidP="00CD41B1">
            <w:pPr>
              <w:jc w:val="both"/>
              <w:rPr>
                <w:sz w:val="20"/>
              </w:rPr>
            </w:pPr>
          </w:p>
        </w:tc>
      </w:tr>
    </w:tbl>
    <w:p w:rsidR="00F67DF4" w:rsidRDefault="00F67DF4" w:rsidP="00F67DF4">
      <w:pPr>
        <w:rPr>
          <w:sz w:val="20"/>
          <w:szCs w:val="20"/>
        </w:rPr>
      </w:pPr>
    </w:p>
    <w:p w:rsidR="00F67DF4" w:rsidRPr="00C50A5C" w:rsidRDefault="00C232E1" w:rsidP="00F67DF4">
      <w:pPr>
        <w:rPr>
          <w:sz w:val="20"/>
          <w:szCs w:val="20"/>
        </w:rPr>
      </w:pPr>
      <w:r>
        <w:rPr>
          <w:sz w:val="20"/>
          <w:szCs w:val="20"/>
          <w:lang w:val="fr-CA"/>
        </w:rPr>
        <w:pict>
          <v:rect id="_x0000_i1068" style="width:2in;height:1pt" o:hrpct="0" o:hralign="center" o:hrstd="t" o:hrnoshade="t" o:hr="t" fillcolor="black [3213]" stroked="f"/>
        </w:pict>
      </w:r>
    </w:p>
    <w:p w:rsidR="00F67DF4" w:rsidRDefault="00F67DF4" w:rsidP="00F67DF4">
      <w:pPr>
        <w:rPr>
          <w:sz w:val="20"/>
          <w:szCs w:val="20"/>
        </w:rPr>
      </w:pPr>
    </w:p>
    <w:p w:rsidR="00F67DF4" w:rsidRPr="001B157C" w:rsidRDefault="00F67DF4" w:rsidP="00F67DF4">
      <w:pPr>
        <w:rPr>
          <w:sz w:val="20"/>
          <w:szCs w:val="20"/>
          <w:u w:val="single"/>
          <w:lang w:val="fr-CA"/>
        </w:rPr>
      </w:pPr>
      <w:r w:rsidRPr="001B157C">
        <w:rPr>
          <w:sz w:val="20"/>
          <w:szCs w:val="20"/>
          <w:u w:val="single"/>
          <w:lang w:val="fr-CA"/>
        </w:rPr>
        <w:t>RÉSUMÉ DE L’AFFAIRE</w:t>
      </w:r>
    </w:p>
    <w:p w:rsidR="00F67DF4" w:rsidRDefault="00F67DF4" w:rsidP="00F67DF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7DF4" w:rsidRPr="00002704" w:rsidTr="00CD41B1">
        <w:tc>
          <w:tcPr>
            <w:tcW w:w="5000" w:type="pct"/>
            <w:gridSpan w:val="3"/>
          </w:tcPr>
          <w:p w:rsidR="00F67DF4" w:rsidRDefault="00F67DF4" w:rsidP="00CD41B1">
            <w:pPr>
              <w:jc w:val="both"/>
              <w:rPr>
                <w:sz w:val="20"/>
                <w:lang w:val="fr-CA"/>
              </w:rPr>
            </w:pPr>
            <w:r w:rsidRPr="007F2DB8">
              <w:rPr>
                <w:sz w:val="20"/>
                <w:lang w:val="fr-CA"/>
              </w:rPr>
              <w:t xml:space="preserve">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w:t>
            </w:r>
            <w:r w:rsidRPr="007F2DB8">
              <w:rPr>
                <w:sz w:val="20"/>
                <w:lang w:val="fr-CA"/>
              </w:rPr>
              <w:lastRenderedPageBreak/>
              <w:t xml:space="preserve">avoir un droit d’appel? – La Cour d’appel </w:t>
            </w:r>
            <w:proofErr w:type="gramStart"/>
            <w:r w:rsidRPr="007F2DB8">
              <w:rPr>
                <w:sz w:val="20"/>
                <w:lang w:val="fr-CA"/>
              </w:rPr>
              <w:t>fédérale</w:t>
            </w:r>
            <w:proofErr w:type="gramEnd"/>
            <w:r w:rsidRPr="007F2DB8">
              <w:rPr>
                <w:sz w:val="20"/>
                <w:lang w:val="fr-CA"/>
              </w:rPr>
              <w:t xml:space="preserve"> a-t-elle eu tort de rejeter l’appel? – Y </w:t>
            </w:r>
            <w:proofErr w:type="spellStart"/>
            <w:r w:rsidRPr="007F2DB8">
              <w:rPr>
                <w:sz w:val="20"/>
                <w:lang w:val="fr-CA"/>
              </w:rPr>
              <w:t>a-t-il</w:t>
            </w:r>
            <w:proofErr w:type="spellEnd"/>
            <w:r w:rsidRPr="007F2DB8">
              <w:rPr>
                <w:sz w:val="20"/>
                <w:lang w:val="fr-CA"/>
              </w:rPr>
              <w:t xml:space="preserve"> lieu d’accorder au demandeur une exemption provisoire en attendant qu’il soit statué sur la demande d’autorisation d’appel?</w:t>
            </w:r>
          </w:p>
          <w:p w:rsidR="00F67DF4" w:rsidRPr="00E007CB" w:rsidRDefault="00F67DF4" w:rsidP="00CD41B1">
            <w:pPr>
              <w:jc w:val="both"/>
              <w:rPr>
                <w:rFonts w:eastAsia="Calibri"/>
                <w:sz w:val="20"/>
                <w:lang w:val="fr-CA"/>
              </w:rPr>
            </w:pPr>
          </w:p>
        </w:tc>
      </w:tr>
      <w:tr w:rsidR="00F67DF4" w:rsidRPr="00E007CB" w:rsidTr="00CD41B1">
        <w:tc>
          <w:tcPr>
            <w:tcW w:w="5000" w:type="pct"/>
            <w:gridSpan w:val="3"/>
          </w:tcPr>
          <w:p w:rsidR="00F67DF4" w:rsidRPr="007F2DB8" w:rsidRDefault="00F67DF4" w:rsidP="00F67DF4">
            <w:pPr>
              <w:jc w:val="both"/>
              <w:rPr>
                <w:sz w:val="20"/>
                <w:lang w:val="fr-CA"/>
              </w:rPr>
            </w:pPr>
            <w:r w:rsidRPr="007F2DB8">
              <w:rPr>
                <w:sz w:val="20"/>
                <w:lang w:val="fr-CA"/>
              </w:rPr>
              <w:lastRenderedPageBreak/>
              <w:t>Le demandeur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Le demandeur a présenté une requête en prorogation de délai pour interjeter appel de l’ordonnance prononcée le 30 décembre 2014 par la Cour fédérale dans l’affaire connexe.</w:t>
            </w:r>
          </w:p>
          <w:p w:rsidR="00F67DF4" w:rsidRPr="00E007CB" w:rsidRDefault="00F67DF4" w:rsidP="00CD41B1">
            <w:pPr>
              <w:jc w:val="both"/>
              <w:rPr>
                <w:sz w:val="20"/>
                <w:lang w:val="fr-CA"/>
              </w:rPr>
            </w:pPr>
          </w:p>
        </w:tc>
      </w:tr>
      <w:tr w:rsidR="00F67DF4" w:rsidRPr="00002704" w:rsidTr="00CD41B1">
        <w:trPr>
          <w:cantSplit/>
        </w:trPr>
        <w:tc>
          <w:tcPr>
            <w:tcW w:w="2427" w:type="pct"/>
          </w:tcPr>
          <w:p w:rsidR="00F67DF4" w:rsidRPr="007F2DB8" w:rsidRDefault="00F67DF4" w:rsidP="00F67DF4">
            <w:pPr>
              <w:jc w:val="both"/>
              <w:rPr>
                <w:sz w:val="20"/>
                <w:lang w:val="fr-CA"/>
              </w:rPr>
            </w:pPr>
            <w:r w:rsidRPr="007F2DB8">
              <w:rPr>
                <w:sz w:val="20"/>
                <w:lang w:val="fr-CA"/>
              </w:rPr>
              <w:t>21 mars 2014</w:t>
            </w:r>
          </w:p>
          <w:p w:rsidR="00F67DF4" w:rsidRPr="007F2DB8" w:rsidRDefault="00F67DF4" w:rsidP="00F67DF4">
            <w:pPr>
              <w:jc w:val="both"/>
              <w:rPr>
                <w:sz w:val="20"/>
                <w:lang w:val="fr-CA"/>
              </w:rPr>
            </w:pPr>
            <w:r w:rsidRPr="007F2DB8">
              <w:rPr>
                <w:sz w:val="20"/>
                <w:lang w:val="fr-CA"/>
              </w:rPr>
              <w:t>Cour fédérale</w:t>
            </w:r>
          </w:p>
          <w:p w:rsidR="00F67DF4" w:rsidRPr="007F2DB8" w:rsidRDefault="00F67DF4" w:rsidP="00F67DF4">
            <w:pPr>
              <w:jc w:val="both"/>
              <w:rPr>
                <w:sz w:val="20"/>
                <w:lang w:val="fr-CA"/>
              </w:rPr>
            </w:pPr>
            <w:r w:rsidRPr="007F2DB8">
              <w:rPr>
                <w:sz w:val="20"/>
                <w:lang w:val="fr-CA"/>
              </w:rPr>
              <w:t xml:space="preserve">(Juge </w:t>
            </w:r>
            <w:proofErr w:type="spellStart"/>
            <w:r w:rsidRPr="007F2DB8">
              <w:rPr>
                <w:sz w:val="20"/>
                <w:lang w:val="fr-CA"/>
              </w:rPr>
              <w:t>Manson</w:t>
            </w:r>
            <w:proofErr w:type="spellEnd"/>
            <w:r w:rsidRPr="007F2DB8">
              <w:rPr>
                <w:sz w:val="20"/>
                <w:lang w:val="fr-CA"/>
              </w:rPr>
              <w:t>)</w:t>
            </w:r>
          </w:p>
          <w:p w:rsidR="00F67DF4" w:rsidRPr="00E007CB" w:rsidRDefault="00C232E1" w:rsidP="00F67DF4">
            <w:pPr>
              <w:jc w:val="both"/>
              <w:rPr>
                <w:rFonts w:eastAsia="Calibri"/>
                <w:sz w:val="20"/>
                <w:lang w:val="fr-CA"/>
              </w:rPr>
            </w:pPr>
            <w:hyperlink r:id="rId59" w:history="1">
              <w:r w:rsidR="00F67DF4" w:rsidRPr="007F2DB8">
                <w:rPr>
                  <w:rStyle w:val="Hyperlink"/>
                  <w:sz w:val="20"/>
                  <w:lang w:val="fr-CA"/>
                </w:rPr>
                <w:t>2014 FC 1260</w:t>
              </w:r>
            </w:hyperlink>
          </w:p>
        </w:tc>
        <w:tc>
          <w:tcPr>
            <w:tcW w:w="243" w:type="pct"/>
          </w:tcPr>
          <w:p w:rsidR="00F67DF4" w:rsidRPr="00E007CB" w:rsidRDefault="00F67DF4" w:rsidP="00CD41B1">
            <w:pPr>
              <w:jc w:val="both"/>
              <w:rPr>
                <w:rFonts w:eastAsia="Calibri"/>
                <w:sz w:val="20"/>
                <w:lang w:val="fr-CA"/>
              </w:rPr>
            </w:pPr>
          </w:p>
        </w:tc>
        <w:tc>
          <w:tcPr>
            <w:tcW w:w="2330" w:type="pct"/>
          </w:tcPr>
          <w:p w:rsidR="00F67DF4" w:rsidRPr="007F2DB8" w:rsidRDefault="00F67DF4" w:rsidP="00F67DF4">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rejetant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F67DF4" w:rsidRPr="0026164C" w:rsidRDefault="00F67DF4" w:rsidP="00CD41B1">
            <w:pPr>
              <w:jc w:val="both"/>
              <w:rPr>
                <w:sz w:val="20"/>
                <w:lang w:val="fr-CA"/>
              </w:rPr>
            </w:pPr>
          </w:p>
        </w:tc>
      </w:tr>
      <w:tr w:rsidR="00F67DF4" w:rsidRPr="00002704" w:rsidTr="00CD41B1">
        <w:trPr>
          <w:cantSplit/>
        </w:trPr>
        <w:tc>
          <w:tcPr>
            <w:tcW w:w="2427" w:type="pct"/>
          </w:tcPr>
          <w:p w:rsidR="00F67DF4" w:rsidRPr="007F2DB8" w:rsidRDefault="00F67DF4" w:rsidP="00F67DF4">
            <w:pPr>
              <w:jc w:val="both"/>
              <w:rPr>
                <w:sz w:val="20"/>
                <w:lang w:val="fr-CA"/>
              </w:rPr>
            </w:pPr>
            <w:r w:rsidRPr="007F2DB8">
              <w:rPr>
                <w:sz w:val="20"/>
                <w:lang w:val="fr-CA"/>
              </w:rPr>
              <w:t>14 avril 2015</w:t>
            </w:r>
          </w:p>
          <w:p w:rsidR="00F67DF4" w:rsidRPr="007F2DB8" w:rsidRDefault="00F67DF4" w:rsidP="00F67DF4">
            <w:pPr>
              <w:jc w:val="both"/>
              <w:rPr>
                <w:sz w:val="20"/>
                <w:lang w:val="fr-CA"/>
              </w:rPr>
            </w:pPr>
            <w:r w:rsidRPr="007F2DB8">
              <w:rPr>
                <w:sz w:val="20"/>
                <w:lang w:val="fr-CA"/>
              </w:rPr>
              <w:t>Cour d’appel fédérale</w:t>
            </w:r>
          </w:p>
          <w:p w:rsidR="00F67DF4" w:rsidRPr="007F2DB8" w:rsidRDefault="00F67DF4" w:rsidP="00F67DF4">
            <w:pPr>
              <w:jc w:val="both"/>
              <w:rPr>
                <w:sz w:val="20"/>
                <w:lang w:val="fr-CA"/>
              </w:rPr>
            </w:pPr>
            <w:r w:rsidRPr="007F2DB8">
              <w:rPr>
                <w:sz w:val="20"/>
                <w:lang w:val="fr-CA"/>
              </w:rPr>
              <w:t>(Juge Dawson)</w:t>
            </w:r>
          </w:p>
          <w:p w:rsidR="00F67DF4" w:rsidRPr="00E007CB" w:rsidRDefault="00F67DF4" w:rsidP="00F67DF4">
            <w:pPr>
              <w:jc w:val="both"/>
              <w:rPr>
                <w:rFonts w:eastAsia="Calibri"/>
                <w:sz w:val="20"/>
                <w:lang w:val="fr-CA"/>
              </w:rPr>
            </w:pPr>
            <w:r w:rsidRPr="007F2DB8">
              <w:rPr>
                <w:sz w:val="20"/>
                <w:lang w:val="fr-CA"/>
              </w:rPr>
              <w:t>Non publié</w:t>
            </w:r>
            <w:r w:rsidRPr="00E007CB">
              <w:rPr>
                <w:rFonts w:eastAsia="Calibri"/>
                <w:sz w:val="20"/>
                <w:lang w:val="fr-CA"/>
              </w:rPr>
              <w:t xml:space="preserve"> </w:t>
            </w:r>
          </w:p>
        </w:tc>
        <w:tc>
          <w:tcPr>
            <w:tcW w:w="243" w:type="pct"/>
          </w:tcPr>
          <w:p w:rsidR="00F67DF4" w:rsidRPr="00E007CB" w:rsidRDefault="00F67DF4" w:rsidP="00CD41B1">
            <w:pPr>
              <w:jc w:val="both"/>
              <w:rPr>
                <w:rFonts w:eastAsia="Calibri"/>
                <w:sz w:val="20"/>
                <w:lang w:val="fr-CA"/>
              </w:rPr>
            </w:pPr>
          </w:p>
        </w:tc>
        <w:tc>
          <w:tcPr>
            <w:tcW w:w="2330" w:type="pct"/>
          </w:tcPr>
          <w:p w:rsidR="00F67DF4" w:rsidRPr="007F2DB8" w:rsidRDefault="00F67DF4" w:rsidP="00F67DF4">
            <w:pPr>
              <w:jc w:val="both"/>
              <w:rPr>
                <w:sz w:val="20"/>
                <w:lang w:val="fr-CA"/>
              </w:rPr>
            </w:pPr>
            <w:r w:rsidRPr="007F2DB8">
              <w:rPr>
                <w:sz w:val="20"/>
                <w:lang w:val="fr-CA"/>
              </w:rPr>
              <w:t xml:space="preserve">Rejet de la requête du demandeur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F67DF4" w:rsidRPr="00E007CB" w:rsidRDefault="00F67DF4" w:rsidP="00CD41B1">
            <w:pPr>
              <w:jc w:val="both"/>
              <w:rPr>
                <w:rFonts w:eastAsia="Calibri"/>
                <w:sz w:val="20"/>
                <w:lang w:val="fr-CA"/>
              </w:rPr>
            </w:pPr>
          </w:p>
        </w:tc>
      </w:tr>
      <w:tr w:rsidR="00F67DF4" w:rsidRPr="00E007CB" w:rsidTr="00CD41B1">
        <w:trPr>
          <w:cantSplit/>
        </w:trPr>
        <w:tc>
          <w:tcPr>
            <w:tcW w:w="2427" w:type="pct"/>
          </w:tcPr>
          <w:p w:rsidR="00F67DF4" w:rsidRPr="00E007CB" w:rsidRDefault="00F67DF4" w:rsidP="00F67DF4">
            <w:pPr>
              <w:jc w:val="both"/>
              <w:rPr>
                <w:rFonts w:eastAsia="Calibri"/>
                <w:sz w:val="20"/>
                <w:lang w:val="fr-CA"/>
              </w:rPr>
            </w:pPr>
            <w:r>
              <w:rPr>
                <w:rFonts w:eastAsia="Calibri"/>
                <w:sz w:val="20"/>
                <w:lang w:val="fr-CA"/>
              </w:rPr>
              <w:t>3 juillet</w:t>
            </w:r>
            <w:r w:rsidRPr="00E007CB">
              <w:rPr>
                <w:rFonts w:eastAsia="Calibri"/>
                <w:sz w:val="20"/>
                <w:lang w:val="fr-CA"/>
              </w:rPr>
              <w:t xml:space="preserve"> 201</w:t>
            </w:r>
            <w:r>
              <w:rPr>
                <w:rFonts w:eastAsia="Calibri"/>
                <w:sz w:val="20"/>
                <w:lang w:val="fr-CA"/>
              </w:rPr>
              <w:t>5</w:t>
            </w:r>
          </w:p>
          <w:p w:rsidR="00F67DF4" w:rsidRPr="00E007CB" w:rsidRDefault="00F67DF4" w:rsidP="00F67DF4">
            <w:pPr>
              <w:jc w:val="both"/>
              <w:rPr>
                <w:rFonts w:eastAsia="Calibri"/>
                <w:sz w:val="20"/>
                <w:lang w:val="fr-CA"/>
              </w:rPr>
            </w:pPr>
            <w:r w:rsidRPr="00E007CB">
              <w:rPr>
                <w:rFonts w:eastAsia="Calibri"/>
                <w:sz w:val="20"/>
                <w:lang w:val="fr-CA"/>
              </w:rPr>
              <w:t>Cour suprême du Canada</w:t>
            </w:r>
          </w:p>
        </w:tc>
        <w:tc>
          <w:tcPr>
            <w:tcW w:w="243" w:type="pct"/>
          </w:tcPr>
          <w:p w:rsidR="00F67DF4" w:rsidRPr="00E007CB" w:rsidRDefault="00F67DF4" w:rsidP="00F67DF4">
            <w:pPr>
              <w:jc w:val="both"/>
              <w:rPr>
                <w:rFonts w:eastAsia="Calibri"/>
                <w:sz w:val="20"/>
                <w:lang w:val="fr-CA"/>
              </w:rPr>
            </w:pPr>
          </w:p>
        </w:tc>
        <w:tc>
          <w:tcPr>
            <w:tcW w:w="2330" w:type="pct"/>
          </w:tcPr>
          <w:p w:rsidR="00F67DF4" w:rsidRPr="007F2DB8" w:rsidRDefault="00F67DF4" w:rsidP="00F67DF4">
            <w:pPr>
              <w:jc w:val="both"/>
              <w:rPr>
                <w:sz w:val="20"/>
                <w:lang w:val="fr-CA"/>
              </w:rPr>
            </w:pPr>
            <w:r w:rsidRPr="007F2DB8">
              <w:rPr>
                <w:sz w:val="20"/>
                <w:lang w:val="fr-CA"/>
              </w:rPr>
              <w:t>Dépôt de la requête en prorogation du délai de signification et de dépôt de la demande d’autorisation d’appel et de la demande d’autorisation d’appel</w:t>
            </w:r>
          </w:p>
        </w:tc>
      </w:tr>
    </w:tbl>
    <w:p w:rsidR="00F67DF4" w:rsidRDefault="00F67DF4" w:rsidP="00F67DF4">
      <w:pPr>
        <w:rPr>
          <w:sz w:val="20"/>
          <w:szCs w:val="20"/>
        </w:rPr>
      </w:pPr>
    </w:p>
    <w:p w:rsidR="00F67DF4" w:rsidRDefault="00C232E1" w:rsidP="00F67DF4">
      <w:pPr>
        <w:rPr>
          <w:sz w:val="20"/>
          <w:szCs w:val="20"/>
        </w:rPr>
      </w:pPr>
      <w:r>
        <w:rPr>
          <w:sz w:val="20"/>
          <w:szCs w:val="20"/>
          <w:lang w:val="fr-CA"/>
        </w:rPr>
        <w:pict>
          <v:rect id="_x0000_i1069" style="width:2in;height:1pt" o:hrpct="0" o:hralign="center" o:hrstd="t" o:hrnoshade="t" o:hr="t" fillcolor="black [3213]" stroked="f"/>
        </w:pict>
      </w:r>
    </w:p>
    <w:p w:rsidR="00416F38" w:rsidRDefault="00416F38" w:rsidP="00416F3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16F38" w:rsidRPr="00A73D2C" w:rsidTr="00CD41B1">
        <w:trPr>
          <w:cantSplit/>
        </w:trPr>
        <w:tc>
          <w:tcPr>
            <w:tcW w:w="1458" w:type="dxa"/>
          </w:tcPr>
          <w:p w:rsidR="00416F38" w:rsidRPr="00A73D2C" w:rsidRDefault="00416F38" w:rsidP="00CD41B1">
            <w:pPr>
              <w:rPr>
                <w:sz w:val="20"/>
                <w:szCs w:val="20"/>
              </w:rPr>
            </w:pPr>
            <w:r w:rsidRPr="00A73D2C">
              <w:rPr>
                <w:rStyle w:val="SCCFileNumberChar"/>
                <w:sz w:val="20"/>
                <w:szCs w:val="20"/>
              </w:rPr>
              <w:t>3</w:t>
            </w:r>
            <w:r>
              <w:rPr>
                <w:rStyle w:val="SCCFileNumberChar"/>
                <w:sz w:val="20"/>
                <w:szCs w:val="20"/>
              </w:rPr>
              <w:t>6525</w:t>
            </w:r>
          </w:p>
          <w:p w:rsidR="00416F38" w:rsidRPr="00A73D2C" w:rsidRDefault="00416F38" w:rsidP="00CD41B1">
            <w:pPr>
              <w:rPr>
                <w:b/>
                <w:sz w:val="20"/>
                <w:szCs w:val="20"/>
                <w:lang w:val="fr-CA"/>
              </w:rPr>
            </w:pPr>
          </w:p>
        </w:tc>
        <w:tc>
          <w:tcPr>
            <w:tcW w:w="8118" w:type="dxa"/>
          </w:tcPr>
          <w:p w:rsidR="00416F38" w:rsidRPr="00A73D2C" w:rsidRDefault="00416F38" w:rsidP="00CD41B1">
            <w:pPr>
              <w:rPr>
                <w:sz w:val="20"/>
                <w:szCs w:val="20"/>
              </w:rPr>
            </w:pPr>
            <w:r w:rsidRPr="00416F38">
              <w:rPr>
                <w:rStyle w:val="SCCLsocChar"/>
                <w:sz w:val="20"/>
                <w:szCs w:val="20"/>
                <w:lang w:val="en-CA"/>
              </w:rPr>
              <w:t>Michael Joseph Wilson v. Her Majesty the Queen</w:t>
            </w:r>
            <w:r w:rsidRPr="00A73D2C">
              <w:rPr>
                <w:sz w:val="20"/>
                <w:szCs w:val="20"/>
              </w:rPr>
              <w:t xml:space="preserve"> (</w:t>
            </w:r>
            <w:r>
              <w:rPr>
                <w:sz w:val="20"/>
                <w:szCs w:val="20"/>
              </w:rPr>
              <w:t>B.C.</w:t>
            </w:r>
            <w:r w:rsidRPr="00A73D2C">
              <w:rPr>
                <w:sz w:val="20"/>
                <w:szCs w:val="20"/>
              </w:rPr>
              <w:t>) (Ci</w:t>
            </w:r>
            <w:r>
              <w:rPr>
                <w:sz w:val="20"/>
                <w:szCs w:val="20"/>
              </w:rPr>
              <w:t>v</w:t>
            </w:r>
            <w:r w:rsidRPr="00A73D2C">
              <w:rPr>
                <w:sz w:val="20"/>
                <w:szCs w:val="20"/>
              </w:rPr>
              <w:t>il) (By Leave)</w:t>
            </w:r>
          </w:p>
          <w:p w:rsidR="00416F38" w:rsidRPr="00A73D2C" w:rsidRDefault="00416F38" w:rsidP="00CD41B1">
            <w:pPr>
              <w:rPr>
                <w:sz w:val="20"/>
                <w:szCs w:val="20"/>
              </w:rPr>
            </w:pPr>
          </w:p>
        </w:tc>
      </w:tr>
      <w:tr w:rsidR="00416F38" w:rsidRPr="00A73D2C" w:rsidTr="00CD41B1">
        <w:trPr>
          <w:cantSplit/>
        </w:trPr>
        <w:tc>
          <w:tcPr>
            <w:tcW w:w="1458" w:type="dxa"/>
          </w:tcPr>
          <w:p w:rsidR="00416F38" w:rsidRPr="00A73D2C" w:rsidRDefault="00416F38" w:rsidP="00CD41B1">
            <w:pPr>
              <w:rPr>
                <w:sz w:val="20"/>
                <w:szCs w:val="20"/>
              </w:rPr>
            </w:pPr>
            <w:r w:rsidRPr="00A73D2C">
              <w:rPr>
                <w:sz w:val="20"/>
                <w:szCs w:val="20"/>
              </w:rPr>
              <w:t>Coram :</w:t>
            </w:r>
          </w:p>
        </w:tc>
        <w:tc>
          <w:tcPr>
            <w:tcW w:w="8118" w:type="dxa"/>
          </w:tcPr>
          <w:p w:rsidR="00416F38" w:rsidRDefault="00F80D65" w:rsidP="00CD41B1">
            <w:pPr>
              <w:rPr>
                <w:rStyle w:val="SCCCoramChar"/>
                <w:sz w:val="20"/>
                <w:szCs w:val="20"/>
                <w:lang w:val="en-CA"/>
              </w:rPr>
            </w:pPr>
            <w:r w:rsidRPr="00F80D65">
              <w:rPr>
                <w:rStyle w:val="SCCCoramChar"/>
                <w:sz w:val="20"/>
                <w:szCs w:val="20"/>
                <w:lang w:val="en-CA"/>
              </w:rPr>
              <w:t>McLachlin C.J. and Moldaver and Gascon JJ.</w:t>
            </w:r>
          </w:p>
          <w:p w:rsidR="00F80D65" w:rsidRPr="00A73D2C" w:rsidRDefault="00F80D65" w:rsidP="00CD41B1">
            <w:pPr>
              <w:rPr>
                <w:sz w:val="20"/>
                <w:szCs w:val="20"/>
                <w:u w:val="single"/>
              </w:rPr>
            </w:pPr>
          </w:p>
        </w:tc>
      </w:tr>
      <w:tr w:rsidR="00416F38" w:rsidRPr="00002704" w:rsidTr="00CD41B1">
        <w:trPr>
          <w:cantSplit/>
        </w:trPr>
        <w:tc>
          <w:tcPr>
            <w:tcW w:w="9576" w:type="dxa"/>
            <w:gridSpan w:val="2"/>
          </w:tcPr>
          <w:p w:rsidR="00F80D65" w:rsidRDefault="00F80D65" w:rsidP="00F80D65">
            <w:pPr>
              <w:pStyle w:val="SCCShortJudgment"/>
            </w:pPr>
            <w:r>
              <w:t>The application for leave to appeal from the judgment of the Court of Appeal for British Columbia (Vancouver), Number CA42397, 2015 BCCA 270, dated May 6, 2015, is dismissed.</w:t>
            </w:r>
          </w:p>
          <w:p w:rsidR="00F80D65" w:rsidRDefault="00F80D65" w:rsidP="00F80D65">
            <w:pPr>
              <w:pStyle w:val="SCCShortJudgment"/>
              <w:ind w:firstLine="0"/>
            </w:pPr>
          </w:p>
          <w:p w:rsidR="00416F38" w:rsidRPr="00A73D2C" w:rsidRDefault="00F80D65" w:rsidP="00F80D65">
            <w:pPr>
              <w:pStyle w:val="SCCShortJudgment"/>
              <w:rPr>
                <w:szCs w:val="20"/>
                <w:lang w:val="fr-CA"/>
              </w:rPr>
            </w:pPr>
            <w:r>
              <w:t xml:space="preserve">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de la </w:t>
            </w:r>
            <w:proofErr w:type="spellStart"/>
            <w:r>
              <w:t>Colombie-Britannique</w:t>
            </w:r>
            <w:proofErr w:type="spellEnd"/>
            <w:r>
              <w:t xml:space="preserve"> (Vancouver), </w:t>
            </w:r>
            <w:proofErr w:type="spellStart"/>
            <w:r>
              <w:t>numéro</w:t>
            </w:r>
            <w:proofErr w:type="spellEnd"/>
            <w:r>
              <w:t xml:space="preserve"> CA42397, 2015 BCCA 270, </w:t>
            </w:r>
            <w:proofErr w:type="spellStart"/>
            <w:r>
              <w:t>daté</w:t>
            </w:r>
            <w:proofErr w:type="spellEnd"/>
            <w:r>
              <w:t xml:space="preserve"> du 6 </w:t>
            </w:r>
            <w:proofErr w:type="spellStart"/>
            <w:r>
              <w:t>mai</w:t>
            </w:r>
            <w:proofErr w:type="spellEnd"/>
            <w:r>
              <w:t xml:space="preserve"> 2015, </w:t>
            </w:r>
            <w:proofErr w:type="spellStart"/>
            <w:r>
              <w:t>est</w:t>
            </w:r>
            <w:proofErr w:type="spellEnd"/>
            <w:r>
              <w:t xml:space="preserve"> </w:t>
            </w:r>
            <w:proofErr w:type="spellStart"/>
            <w:r>
              <w:t>rejetée</w:t>
            </w:r>
            <w:proofErr w:type="spellEnd"/>
            <w:r>
              <w:t>.</w:t>
            </w:r>
          </w:p>
        </w:tc>
      </w:tr>
    </w:tbl>
    <w:p w:rsidR="00416F38" w:rsidRPr="0016547E" w:rsidRDefault="00416F38" w:rsidP="00416F38">
      <w:pPr>
        <w:rPr>
          <w:sz w:val="20"/>
          <w:szCs w:val="20"/>
          <w:lang w:val="fr-CA"/>
        </w:rPr>
      </w:pPr>
    </w:p>
    <w:p w:rsidR="00416F38" w:rsidRPr="001B157C" w:rsidRDefault="00416F38" w:rsidP="00416F38">
      <w:pPr>
        <w:rPr>
          <w:sz w:val="20"/>
          <w:szCs w:val="20"/>
          <w:u w:val="single"/>
        </w:rPr>
      </w:pPr>
      <w:r w:rsidRPr="001B157C">
        <w:rPr>
          <w:sz w:val="20"/>
          <w:szCs w:val="20"/>
          <w:u w:val="single"/>
        </w:rPr>
        <w:t>CASE SUMMARY</w:t>
      </w:r>
    </w:p>
    <w:p w:rsidR="00416F38" w:rsidRDefault="00416F38" w:rsidP="00416F3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16F38" w:rsidRPr="00E007CB" w:rsidTr="00CD41B1">
        <w:tc>
          <w:tcPr>
            <w:tcW w:w="5000" w:type="pct"/>
            <w:gridSpan w:val="3"/>
          </w:tcPr>
          <w:p w:rsidR="00416F38" w:rsidRPr="007F2DB8" w:rsidRDefault="00416F38" w:rsidP="00416F38">
            <w:pPr>
              <w:pStyle w:val="SCCBanSummary"/>
              <w:rPr>
                <w:sz w:val="20"/>
                <w:szCs w:val="20"/>
              </w:rPr>
            </w:pPr>
            <w:r w:rsidRPr="007F2DB8">
              <w:rPr>
                <w:sz w:val="20"/>
                <w:szCs w:val="20"/>
              </w:rPr>
              <w:t>(Publication ban in case)</w:t>
            </w:r>
          </w:p>
          <w:p w:rsidR="00416F38" w:rsidRPr="007F2DB8" w:rsidRDefault="00416F38" w:rsidP="00416F38">
            <w:pPr>
              <w:jc w:val="both"/>
              <w:rPr>
                <w:sz w:val="20"/>
              </w:rPr>
            </w:pPr>
          </w:p>
          <w:p w:rsidR="00416F38" w:rsidRDefault="00416F38" w:rsidP="00416F38">
            <w:pPr>
              <w:jc w:val="both"/>
              <w:rPr>
                <w:sz w:val="20"/>
              </w:rPr>
            </w:pPr>
            <w:r w:rsidRPr="007F2DB8">
              <w:rPr>
                <w:sz w:val="20"/>
              </w:rPr>
              <w:t>Appeal – Extension of time – Criminal Law – Evidence – Mr. Big Operation – Whether test for extension of time to appeal based on a change in law should be clarified in order to ensure that wrongful convictions are corrected – Whether there is inconsistent jurisprudence on the definition of confirmatory evidence in the Mr. Big context – What constitutes confirmatory evidence?</w:t>
            </w:r>
          </w:p>
          <w:p w:rsidR="00416F38" w:rsidRPr="00E007CB" w:rsidRDefault="00416F38" w:rsidP="00416F38">
            <w:pPr>
              <w:jc w:val="both"/>
              <w:rPr>
                <w:rFonts w:eastAsia="Calibri"/>
                <w:sz w:val="20"/>
              </w:rPr>
            </w:pPr>
          </w:p>
        </w:tc>
      </w:tr>
      <w:tr w:rsidR="00416F38" w:rsidRPr="00E007CB" w:rsidTr="00CD41B1">
        <w:tc>
          <w:tcPr>
            <w:tcW w:w="5000" w:type="pct"/>
            <w:gridSpan w:val="3"/>
          </w:tcPr>
          <w:p w:rsidR="00416F38" w:rsidRPr="007F2DB8" w:rsidRDefault="00416F38" w:rsidP="00416F38">
            <w:pPr>
              <w:jc w:val="both"/>
              <w:rPr>
                <w:sz w:val="20"/>
              </w:rPr>
            </w:pPr>
            <w:r w:rsidRPr="007F2DB8">
              <w:rPr>
                <w:sz w:val="20"/>
              </w:rPr>
              <w:t xml:space="preserve">Mr. Wilson was charged with two counts of first degree murder. The Crown’s case relied in part on incriminating statements made by Mr. Wilson during a Mr. Big operation. At trial, Mr. Wilson testified that the Mr. Big statements </w:t>
            </w:r>
            <w:r w:rsidRPr="007F2DB8">
              <w:rPr>
                <w:sz w:val="20"/>
              </w:rPr>
              <w:lastRenderedPageBreak/>
              <w:t xml:space="preserve">were lies and his uncle shot the victims without his assistance or encouragement. Mr. Wilson was convicted by Martinson J., in part based on the Mr. Big evidence. On July 31, 2014, the Court released judgment addressing Mr. Big statements in </w:t>
            </w:r>
            <w:r w:rsidRPr="007F2DB8">
              <w:rPr>
                <w:i/>
                <w:iCs/>
                <w:sz w:val="20"/>
              </w:rPr>
              <w:t>R. v. Hart</w:t>
            </w:r>
            <w:r w:rsidRPr="007F2DB8">
              <w:rPr>
                <w:sz w:val="20"/>
              </w:rPr>
              <w:t xml:space="preserve">, 2014 SCC 52. On December 3, 2014, Mr. Wilson sought leave to appeal his convictions, relying in part on the analysis in </w:t>
            </w:r>
            <w:r w:rsidRPr="007F2DB8">
              <w:rPr>
                <w:i/>
                <w:sz w:val="20"/>
              </w:rPr>
              <w:t xml:space="preserve">Hart </w:t>
            </w:r>
            <w:r w:rsidRPr="007F2DB8">
              <w:rPr>
                <w:sz w:val="20"/>
              </w:rPr>
              <w:t>to argue that</w:t>
            </w:r>
            <w:r w:rsidRPr="007F2DB8">
              <w:rPr>
                <w:i/>
                <w:sz w:val="20"/>
              </w:rPr>
              <w:t xml:space="preserve"> </w:t>
            </w:r>
            <w:r w:rsidRPr="007F2DB8">
              <w:rPr>
                <w:sz w:val="20"/>
              </w:rPr>
              <w:t>his Mr. Big statements should have been excluded from evidence. Saunders J.A. denied an extension of time to appeal.</w:t>
            </w:r>
          </w:p>
          <w:p w:rsidR="00416F38" w:rsidRPr="00E007CB" w:rsidRDefault="00416F38" w:rsidP="00CD41B1">
            <w:pPr>
              <w:jc w:val="both"/>
              <w:rPr>
                <w:rFonts w:eastAsia="Calibri"/>
                <w:sz w:val="20"/>
              </w:rPr>
            </w:pPr>
          </w:p>
        </w:tc>
      </w:tr>
      <w:tr w:rsidR="00416F38" w:rsidRPr="00E007CB" w:rsidTr="00CD41B1">
        <w:trPr>
          <w:cantSplit/>
        </w:trPr>
        <w:tc>
          <w:tcPr>
            <w:tcW w:w="2427" w:type="pct"/>
          </w:tcPr>
          <w:p w:rsidR="00416F38" w:rsidRPr="007F2DB8" w:rsidRDefault="00416F38" w:rsidP="00416F38">
            <w:pPr>
              <w:jc w:val="both"/>
              <w:rPr>
                <w:sz w:val="20"/>
              </w:rPr>
            </w:pPr>
            <w:r w:rsidRPr="007F2DB8">
              <w:rPr>
                <w:sz w:val="20"/>
              </w:rPr>
              <w:lastRenderedPageBreak/>
              <w:t>June 18, 2007</w:t>
            </w:r>
          </w:p>
          <w:p w:rsidR="00416F38" w:rsidRPr="007F2DB8" w:rsidRDefault="00416F38" w:rsidP="00416F38">
            <w:pPr>
              <w:jc w:val="both"/>
              <w:rPr>
                <w:sz w:val="20"/>
              </w:rPr>
            </w:pPr>
            <w:r w:rsidRPr="007F2DB8">
              <w:rPr>
                <w:sz w:val="20"/>
              </w:rPr>
              <w:t>Supreme Court of British Columbia</w:t>
            </w:r>
          </w:p>
          <w:p w:rsidR="00416F38" w:rsidRPr="007F2DB8" w:rsidRDefault="00416F38" w:rsidP="00416F38">
            <w:pPr>
              <w:jc w:val="both"/>
              <w:rPr>
                <w:sz w:val="20"/>
              </w:rPr>
            </w:pPr>
            <w:r w:rsidRPr="007F2DB8">
              <w:rPr>
                <w:sz w:val="20"/>
              </w:rPr>
              <w:t>(Martinson J.)</w:t>
            </w:r>
          </w:p>
          <w:p w:rsidR="00416F38" w:rsidRPr="007F2DB8" w:rsidRDefault="00C232E1" w:rsidP="00416F38">
            <w:pPr>
              <w:jc w:val="both"/>
              <w:rPr>
                <w:sz w:val="20"/>
              </w:rPr>
            </w:pPr>
            <w:hyperlink r:id="rId60" w:history="1">
              <w:r w:rsidR="00416F38" w:rsidRPr="007F2DB8">
                <w:rPr>
                  <w:rStyle w:val="Hyperlink"/>
                  <w:sz w:val="20"/>
                </w:rPr>
                <w:t>2007 BCSC 1940</w:t>
              </w:r>
            </w:hyperlink>
          </w:p>
          <w:p w:rsidR="00416F38" w:rsidRPr="00E007CB" w:rsidRDefault="00416F38" w:rsidP="00CD41B1">
            <w:pPr>
              <w:jc w:val="both"/>
              <w:rPr>
                <w:rFonts w:eastAsia="Calibri"/>
                <w:sz w:val="20"/>
              </w:rPr>
            </w:pPr>
          </w:p>
        </w:tc>
        <w:tc>
          <w:tcPr>
            <w:tcW w:w="243" w:type="pct"/>
          </w:tcPr>
          <w:p w:rsidR="00416F38" w:rsidRPr="00E007CB" w:rsidRDefault="00416F38" w:rsidP="00CD41B1">
            <w:pPr>
              <w:jc w:val="both"/>
              <w:rPr>
                <w:rFonts w:eastAsia="Calibri"/>
                <w:sz w:val="20"/>
              </w:rPr>
            </w:pPr>
          </w:p>
        </w:tc>
        <w:tc>
          <w:tcPr>
            <w:tcW w:w="2330" w:type="pct"/>
          </w:tcPr>
          <w:p w:rsidR="00416F38" w:rsidRPr="007F2DB8" w:rsidRDefault="00416F38" w:rsidP="00416F38">
            <w:pPr>
              <w:jc w:val="both"/>
              <w:rPr>
                <w:sz w:val="20"/>
              </w:rPr>
            </w:pPr>
            <w:r w:rsidRPr="007F2DB8">
              <w:rPr>
                <w:sz w:val="20"/>
              </w:rPr>
              <w:t>Convictions on two counts of first degree murder</w:t>
            </w:r>
          </w:p>
          <w:p w:rsidR="00416F38" w:rsidRPr="00E007CB" w:rsidRDefault="00416F38" w:rsidP="00CD41B1">
            <w:pPr>
              <w:jc w:val="both"/>
              <w:rPr>
                <w:rFonts w:eastAsia="Calibri"/>
                <w:sz w:val="20"/>
              </w:rPr>
            </w:pPr>
          </w:p>
        </w:tc>
      </w:tr>
      <w:tr w:rsidR="00416F38" w:rsidRPr="00E007CB" w:rsidTr="00CD41B1">
        <w:trPr>
          <w:cantSplit/>
        </w:trPr>
        <w:tc>
          <w:tcPr>
            <w:tcW w:w="2427" w:type="pct"/>
          </w:tcPr>
          <w:p w:rsidR="00416F38" w:rsidRPr="007F2DB8" w:rsidRDefault="00416F38" w:rsidP="00416F38">
            <w:pPr>
              <w:jc w:val="both"/>
              <w:rPr>
                <w:sz w:val="20"/>
              </w:rPr>
            </w:pPr>
            <w:r w:rsidRPr="007F2DB8">
              <w:rPr>
                <w:sz w:val="20"/>
              </w:rPr>
              <w:t>May 6, 2015</w:t>
            </w:r>
          </w:p>
          <w:p w:rsidR="00416F38" w:rsidRPr="007F2DB8" w:rsidRDefault="00416F38" w:rsidP="00416F38">
            <w:pPr>
              <w:jc w:val="both"/>
              <w:rPr>
                <w:sz w:val="20"/>
              </w:rPr>
            </w:pPr>
            <w:r w:rsidRPr="007F2DB8">
              <w:rPr>
                <w:sz w:val="20"/>
              </w:rPr>
              <w:t xml:space="preserve">Court of Appeal for British Columbia </w:t>
            </w:r>
          </w:p>
          <w:p w:rsidR="00416F38" w:rsidRPr="007F2DB8" w:rsidRDefault="00416F38" w:rsidP="00416F38">
            <w:pPr>
              <w:jc w:val="both"/>
              <w:rPr>
                <w:sz w:val="20"/>
              </w:rPr>
            </w:pPr>
            <w:r w:rsidRPr="007F2DB8">
              <w:rPr>
                <w:sz w:val="20"/>
              </w:rPr>
              <w:t>(Vancouver)</w:t>
            </w:r>
          </w:p>
          <w:p w:rsidR="00416F38" w:rsidRPr="007F2DB8" w:rsidRDefault="00416F38" w:rsidP="00416F38">
            <w:pPr>
              <w:jc w:val="both"/>
              <w:rPr>
                <w:sz w:val="20"/>
              </w:rPr>
            </w:pPr>
            <w:r w:rsidRPr="007F2DB8">
              <w:rPr>
                <w:sz w:val="20"/>
              </w:rPr>
              <w:t>(Saunders J.A.)</w:t>
            </w:r>
          </w:p>
          <w:p w:rsidR="00416F38" w:rsidRPr="007F2DB8" w:rsidRDefault="00416F38" w:rsidP="00416F38">
            <w:pPr>
              <w:jc w:val="both"/>
              <w:rPr>
                <w:sz w:val="20"/>
              </w:rPr>
            </w:pPr>
            <w:r w:rsidRPr="007F2DB8">
              <w:rPr>
                <w:sz w:val="20"/>
              </w:rPr>
              <w:t xml:space="preserve">CA42397; </w:t>
            </w:r>
            <w:hyperlink r:id="rId61" w:history="1">
              <w:r w:rsidRPr="007F2DB8">
                <w:rPr>
                  <w:rStyle w:val="Hyperlink"/>
                  <w:sz w:val="20"/>
                </w:rPr>
                <w:t>2015 BCCA 270</w:t>
              </w:r>
            </w:hyperlink>
          </w:p>
          <w:p w:rsidR="00416F38" w:rsidRPr="00E007CB" w:rsidRDefault="00416F38" w:rsidP="00CD41B1">
            <w:pPr>
              <w:jc w:val="both"/>
              <w:rPr>
                <w:rFonts w:eastAsia="Calibri"/>
                <w:sz w:val="20"/>
              </w:rPr>
            </w:pPr>
          </w:p>
        </w:tc>
        <w:tc>
          <w:tcPr>
            <w:tcW w:w="243" w:type="pct"/>
          </w:tcPr>
          <w:p w:rsidR="00416F38" w:rsidRPr="00E007CB" w:rsidRDefault="00416F38" w:rsidP="00CD41B1">
            <w:pPr>
              <w:jc w:val="both"/>
              <w:rPr>
                <w:rFonts w:eastAsia="Calibri"/>
                <w:sz w:val="20"/>
              </w:rPr>
            </w:pPr>
          </w:p>
        </w:tc>
        <w:tc>
          <w:tcPr>
            <w:tcW w:w="2330" w:type="pct"/>
          </w:tcPr>
          <w:p w:rsidR="00416F38" w:rsidRPr="007F2DB8" w:rsidRDefault="00416F38" w:rsidP="00416F38">
            <w:pPr>
              <w:jc w:val="both"/>
              <w:rPr>
                <w:sz w:val="20"/>
              </w:rPr>
            </w:pPr>
            <w:r w:rsidRPr="007F2DB8">
              <w:rPr>
                <w:sz w:val="20"/>
              </w:rPr>
              <w:t>Application for extension of time to appeal dismissed</w:t>
            </w:r>
          </w:p>
          <w:p w:rsidR="00416F38" w:rsidRPr="007F2DB8" w:rsidRDefault="00416F38" w:rsidP="00CD41B1">
            <w:pPr>
              <w:jc w:val="both"/>
              <w:rPr>
                <w:sz w:val="20"/>
              </w:rPr>
            </w:pPr>
          </w:p>
        </w:tc>
      </w:tr>
      <w:tr w:rsidR="00416F38" w:rsidRPr="00E007CB" w:rsidTr="00CD41B1">
        <w:trPr>
          <w:cantSplit/>
        </w:trPr>
        <w:tc>
          <w:tcPr>
            <w:tcW w:w="2427" w:type="pct"/>
          </w:tcPr>
          <w:p w:rsidR="00416F38" w:rsidRPr="00E007CB" w:rsidRDefault="00416F38" w:rsidP="00CD41B1">
            <w:pPr>
              <w:jc w:val="both"/>
              <w:rPr>
                <w:rFonts w:eastAsia="Calibri"/>
                <w:sz w:val="20"/>
              </w:rPr>
            </w:pPr>
            <w:r>
              <w:rPr>
                <w:rFonts w:eastAsia="Calibri"/>
                <w:sz w:val="20"/>
              </w:rPr>
              <w:t>July 23</w:t>
            </w:r>
            <w:r w:rsidRPr="00E007CB">
              <w:rPr>
                <w:rFonts w:eastAsia="Calibri"/>
                <w:sz w:val="20"/>
              </w:rPr>
              <w:t>, 201</w:t>
            </w:r>
            <w:r>
              <w:rPr>
                <w:rFonts w:eastAsia="Calibri"/>
                <w:sz w:val="20"/>
              </w:rPr>
              <w:t>5</w:t>
            </w:r>
          </w:p>
          <w:p w:rsidR="00416F38" w:rsidRPr="00E007CB" w:rsidRDefault="00416F38" w:rsidP="00CD41B1">
            <w:pPr>
              <w:jc w:val="both"/>
              <w:rPr>
                <w:rFonts w:eastAsia="Calibri"/>
                <w:sz w:val="20"/>
              </w:rPr>
            </w:pPr>
            <w:r w:rsidRPr="00E007CB">
              <w:rPr>
                <w:rFonts w:eastAsia="Calibri"/>
                <w:sz w:val="20"/>
              </w:rPr>
              <w:t>Supreme Court of Canada</w:t>
            </w:r>
          </w:p>
        </w:tc>
        <w:tc>
          <w:tcPr>
            <w:tcW w:w="243" w:type="pct"/>
          </w:tcPr>
          <w:p w:rsidR="00416F38" w:rsidRPr="00E007CB" w:rsidRDefault="00416F38" w:rsidP="00CD41B1">
            <w:pPr>
              <w:jc w:val="both"/>
              <w:rPr>
                <w:rFonts w:eastAsia="Calibri"/>
                <w:sz w:val="20"/>
              </w:rPr>
            </w:pPr>
          </w:p>
        </w:tc>
        <w:tc>
          <w:tcPr>
            <w:tcW w:w="2330" w:type="pct"/>
          </w:tcPr>
          <w:p w:rsidR="00416F38" w:rsidRPr="007F2DB8" w:rsidRDefault="00416F38" w:rsidP="00416F38">
            <w:pPr>
              <w:jc w:val="both"/>
              <w:rPr>
                <w:sz w:val="20"/>
              </w:rPr>
            </w:pPr>
            <w:r w:rsidRPr="007F2DB8">
              <w:rPr>
                <w:sz w:val="20"/>
              </w:rPr>
              <w:t>Application for leave to appeal filed</w:t>
            </w:r>
          </w:p>
          <w:p w:rsidR="00416F38" w:rsidRPr="007F2DB8" w:rsidRDefault="00416F38" w:rsidP="00CD41B1">
            <w:pPr>
              <w:jc w:val="both"/>
              <w:rPr>
                <w:sz w:val="20"/>
              </w:rPr>
            </w:pPr>
          </w:p>
        </w:tc>
      </w:tr>
    </w:tbl>
    <w:p w:rsidR="00416F38" w:rsidRDefault="00416F38" w:rsidP="00416F38">
      <w:pPr>
        <w:rPr>
          <w:sz w:val="20"/>
          <w:szCs w:val="20"/>
        </w:rPr>
      </w:pPr>
    </w:p>
    <w:p w:rsidR="00416F38" w:rsidRPr="00C50A5C" w:rsidRDefault="00C232E1" w:rsidP="00416F38">
      <w:pPr>
        <w:rPr>
          <w:sz w:val="20"/>
          <w:szCs w:val="20"/>
        </w:rPr>
      </w:pPr>
      <w:r>
        <w:rPr>
          <w:sz w:val="20"/>
          <w:szCs w:val="20"/>
          <w:lang w:val="fr-CA"/>
        </w:rPr>
        <w:pict>
          <v:rect id="_x0000_i1070" style="width:2in;height:1pt" o:hrpct="0" o:hralign="center" o:hrstd="t" o:hrnoshade="t" o:hr="t" fillcolor="black [3213]" stroked="f"/>
        </w:pict>
      </w:r>
    </w:p>
    <w:p w:rsidR="00416F38" w:rsidRDefault="00416F38" w:rsidP="00416F38">
      <w:pPr>
        <w:rPr>
          <w:sz w:val="20"/>
          <w:szCs w:val="20"/>
        </w:rPr>
      </w:pPr>
    </w:p>
    <w:p w:rsidR="00416F38" w:rsidRPr="001B157C" w:rsidRDefault="00416F38" w:rsidP="00416F38">
      <w:pPr>
        <w:rPr>
          <w:sz w:val="20"/>
          <w:szCs w:val="20"/>
          <w:u w:val="single"/>
          <w:lang w:val="fr-CA"/>
        </w:rPr>
      </w:pPr>
      <w:r w:rsidRPr="001B157C">
        <w:rPr>
          <w:sz w:val="20"/>
          <w:szCs w:val="20"/>
          <w:u w:val="single"/>
          <w:lang w:val="fr-CA"/>
        </w:rPr>
        <w:t>RÉSUMÉ DE L’AFFAIRE</w:t>
      </w:r>
    </w:p>
    <w:p w:rsidR="00416F38" w:rsidRDefault="00416F38" w:rsidP="00416F3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16F38" w:rsidRPr="00002704" w:rsidTr="00CD41B1">
        <w:tc>
          <w:tcPr>
            <w:tcW w:w="5000" w:type="pct"/>
            <w:gridSpan w:val="3"/>
          </w:tcPr>
          <w:p w:rsidR="00416F38" w:rsidRPr="007F2DB8" w:rsidRDefault="00416F38" w:rsidP="00416F38">
            <w:pPr>
              <w:pStyle w:val="SCCBanSummary"/>
              <w:rPr>
                <w:sz w:val="20"/>
                <w:szCs w:val="20"/>
                <w:lang w:val="fr-CA"/>
              </w:rPr>
            </w:pPr>
            <w:r w:rsidRPr="007F2DB8">
              <w:rPr>
                <w:sz w:val="20"/>
                <w:szCs w:val="20"/>
                <w:lang w:val="fr-CA"/>
              </w:rPr>
              <w:t>(Ordonnance de non-publication dans le dossier)</w:t>
            </w:r>
          </w:p>
          <w:p w:rsidR="00416F38" w:rsidRPr="007F2DB8" w:rsidRDefault="00416F38" w:rsidP="00416F38">
            <w:pPr>
              <w:jc w:val="both"/>
              <w:rPr>
                <w:sz w:val="20"/>
                <w:lang w:val="fr-CA"/>
              </w:rPr>
            </w:pPr>
          </w:p>
          <w:p w:rsidR="00416F38" w:rsidRDefault="00416F38" w:rsidP="00416F38">
            <w:pPr>
              <w:jc w:val="both"/>
              <w:rPr>
                <w:sz w:val="20"/>
                <w:lang w:val="fr-CA"/>
              </w:rPr>
            </w:pPr>
            <w:r w:rsidRPr="007F2DB8">
              <w:rPr>
                <w:sz w:val="20"/>
                <w:lang w:val="fr-CA"/>
              </w:rPr>
              <w:t>Appel – Prorogation de délai – Droit criminel – Preuve – Opération Monsieur </w:t>
            </w:r>
            <w:proofErr w:type="spellStart"/>
            <w:r w:rsidRPr="007F2DB8">
              <w:rPr>
                <w:sz w:val="20"/>
                <w:lang w:val="fr-CA"/>
              </w:rPr>
              <w:t>Big</w:t>
            </w:r>
            <w:proofErr w:type="spellEnd"/>
            <w:r w:rsidRPr="007F2DB8">
              <w:rPr>
                <w:sz w:val="20"/>
                <w:lang w:val="fr-CA"/>
              </w:rPr>
              <w:t xml:space="preserve"> – Y </w:t>
            </w:r>
            <w:proofErr w:type="spellStart"/>
            <w:r w:rsidRPr="007F2DB8">
              <w:rPr>
                <w:sz w:val="20"/>
                <w:lang w:val="fr-CA"/>
              </w:rPr>
              <w:t>a-t-il</w:t>
            </w:r>
            <w:proofErr w:type="spellEnd"/>
            <w:r w:rsidRPr="007F2DB8">
              <w:rPr>
                <w:sz w:val="20"/>
                <w:lang w:val="fr-CA"/>
              </w:rPr>
              <w:t xml:space="preserve"> lieu de clarifier le critère relatif à la prorogation du délai d’appel fondé sur un changement du droit afin d’assurer la correction de déclarations de culpabilité injustifiées? – La jurisprudence est-elle discordante en ce qui concerne la définition de la preuve de corroboration dans le contexte d’une opération Monsieur </w:t>
            </w:r>
            <w:proofErr w:type="spellStart"/>
            <w:r w:rsidRPr="007F2DB8">
              <w:rPr>
                <w:sz w:val="20"/>
                <w:lang w:val="fr-CA"/>
              </w:rPr>
              <w:t>Big</w:t>
            </w:r>
            <w:proofErr w:type="spellEnd"/>
            <w:r w:rsidRPr="007F2DB8">
              <w:rPr>
                <w:sz w:val="20"/>
                <w:lang w:val="fr-CA"/>
              </w:rPr>
              <w:t>? – En quoi consiste une preuve de corroboration?</w:t>
            </w:r>
          </w:p>
          <w:p w:rsidR="00416F38" w:rsidRPr="00E007CB" w:rsidRDefault="00416F38" w:rsidP="00416F38">
            <w:pPr>
              <w:jc w:val="both"/>
              <w:rPr>
                <w:rFonts w:eastAsia="Calibri"/>
                <w:sz w:val="20"/>
                <w:lang w:val="fr-CA"/>
              </w:rPr>
            </w:pPr>
          </w:p>
        </w:tc>
      </w:tr>
      <w:tr w:rsidR="00416F38" w:rsidRPr="00E007CB" w:rsidTr="00CD41B1">
        <w:tc>
          <w:tcPr>
            <w:tcW w:w="5000" w:type="pct"/>
            <w:gridSpan w:val="3"/>
          </w:tcPr>
          <w:p w:rsidR="00416F38" w:rsidRPr="007F2DB8" w:rsidRDefault="00416F38" w:rsidP="00416F38">
            <w:pPr>
              <w:jc w:val="both"/>
              <w:rPr>
                <w:sz w:val="20"/>
                <w:lang w:val="fr-CA"/>
              </w:rPr>
            </w:pPr>
            <w:r w:rsidRPr="007F2DB8">
              <w:rPr>
                <w:sz w:val="20"/>
                <w:lang w:val="fr-CA"/>
              </w:rPr>
              <w:t xml:space="preserve">Monsieur Wilson a été déclaré coupable sous deux chefs de meurtre au premier degré. La preuve du ministère public s’appuyait en partie sur des déclarations incriminantes faites par M. Wilson pendant une opération Monsieur </w:t>
            </w:r>
            <w:proofErr w:type="spellStart"/>
            <w:r w:rsidRPr="007F2DB8">
              <w:rPr>
                <w:sz w:val="20"/>
                <w:lang w:val="fr-CA"/>
              </w:rPr>
              <w:t>Big</w:t>
            </w:r>
            <w:proofErr w:type="spellEnd"/>
            <w:r w:rsidRPr="007F2DB8">
              <w:rPr>
                <w:sz w:val="20"/>
                <w:lang w:val="fr-CA"/>
              </w:rPr>
              <w:t>. Dans son témoignage au procès, M. Wilson a affirmé que les déclarations faites pendant l’opération Monsieur </w:t>
            </w:r>
            <w:proofErr w:type="spellStart"/>
            <w:r w:rsidRPr="007F2DB8">
              <w:rPr>
                <w:sz w:val="20"/>
                <w:lang w:val="fr-CA"/>
              </w:rPr>
              <w:t>Big</w:t>
            </w:r>
            <w:proofErr w:type="spellEnd"/>
            <w:r w:rsidRPr="007F2DB8">
              <w:rPr>
                <w:sz w:val="20"/>
                <w:lang w:val="fr-CA"/>
              </w:rPr>
              <w:t xml:space="preserve"> étaient des mensonges  et que son oncle avait abattu les victimes sans son aide ou son encouragement. La juge Martinson a déclaré M. Wilson coupable, s’appuyant en partie sur la preuve obtenue grâce à l’opération Monsieur </w:t>
            </w:r>
            <w:proofErr w:type="spellStart"/>
            <w:r w:rsidRPr="007F2DB8">
              <w:rPr>
                <w:sz w:val="20"/>
                <w:lang w:val="fr-CA"/>
              </w:rPr>
              <w:t>Big</w:t>
            </w:r>
            <w:proofErr w:type="spellEnd"/>
            <w:r w:rsidRPr="007F2DB8">
              <w:rPr>
                <w:sz w:val="20"/>
                <w:lang w:val="fr-CA"/>
              </w:rPr>
              <w:t xml:space="preserve">. Le 31 juillet 2014, notre Cour a publié son arrêt portant sur les déclarations obtenues grâce à la technique Monsieur </w:t>
            </w:r>
            <w:proofErr w:type="spellStart"/>
            <w:r w:rsidRPr="007F2DB8">
              <w:rPr>
                <w:sz w:val="20"/>
                <w:lang w:val="fr-CA"/>
              </w:rPr>
              <w:t>Big</w:t>
            </w:r>
            <w:proofErr w:type="spellEnd"/>
            <w:r w:rsidRPr="007F2DB8">
              <w:rPr>
                <w:sz w:val="20"/>
                <w:lang w:val="fr-CA"/>
              </w:rPr>
              <w:t xml:space="preserve"> dans </w:t>
            </w:r>
            <w:r w:rsidRPr="007F2DB8">
              <w:rPr>
                <w:i/>
                <w:iCs/>
                <w:sz w:val="20"/>
                <w:lang w:val="fr-CA"/>
              </w:rPr>
              <w:t>R. c. Hart</w:t>
            </w:r>
            <w:r w:rsidRPr="007F2DB8">
              <w:rPr>
                <w:sz w:val="20"/>
                <w:lang w:val="fr-CA"/>
              </w:rPr>
              <w:t xml:space="preserve">, 2014 CSC 52. Le 3 décembre 2014, M. Wilson a demandé l’autorisation d’appel des déclarations de culpabilité prononcées contre lui, s’appuyant en partie sur l’analyse faite dans </w:t>
            </w:r>
            <w:r w:rsidRPr="007F2DB8">
              <w:rPr>
                <w:i/>
                <w:sz w:val="20"/>
                <w:lang w:val="fr-CA"/>
              </w:rPr>
              <w:t xml:space="preserve">Hart </w:t>
            </w:r>
            <w:r w:rsidRPr="007F2DB8">
              <w:rPr>
                <w:sz w:val="20"/>
                <w:lang w:val="fr-CA"/>
              </w:rPr>
              <w:t>pour plaider que les déclarations qu’il avait faites dans le cadre de l’opération Monsieur </w:t>
            </w:r>
            <w:proofErr w:type="spellStart"/>
            <w:r w:rsidRPr="007F2DB8">
              <w:rPr>
                <w:sz w:val="20"/>
                <w:lang w:val="fr-CA"/>
              </w:rPr>
              <w:t>Big</w:t>
            </w:r>
            <w:proofErr w:type="spellEnd"/>
            <w:r w:rsidRPr="007F2DB8">
              <w:rPr>
                <w:sz w:val="20"/>
                <w:lang w:val="fr-CA"/>
              </w:rPr>
              <w:t xml:space="preserve"> auraient dû être exclues de la preuve. La juge Saunders a refusé la prorogation du délai d’appel.</w:t>
            </w:r>
          </w:p>
          <w:p w:rsidR="00416F38" w:rsidRPr="00E007CB" w:rsidRDefault="00416F38" w:rsidP="00CD41B1">
            <w:pPr>
              <w:jc w:val="both"/>
              <w:rPr>
                <w:sz w:val="20"/>
                <w:lang w:val="fr-CA"/>
              </w:rPr>
            </w:pPr>
          </w:p>
        </w:tc>
      </w:tr>
      <w:tr w:rsidR="00416F38" w:rsidRPr="00002704" w:rsidTr="00CD41B1">
        <w:trPr>
          <w:cantSplit/>
        </w:trPr>
        <w:tc>
          <w:tcPr>
            <w:tcW w:w="2427" w:type="pct"/>
          </w:tcPr>
          <w:p w:rsidR="00416F38" w:rsidRPr="007F2DB8" w:rsidRDefault="00416F38" w:rsidP="00416F38">
            <w:pPr>
              <w:jc w:val="both"/>
              <w:rPr>
                <w:sz w:val="20"/>
                <w:lang w:val="fr-CA"/>
              </w:rPr>
            </w:pPr>
            <w:r w:rsidRPr="007F2DB8">
              <w:rPr>
                <w:sz w:val="20"/>
                <w:lang w:val="fr-CA"/>
              </w:rPr>
              <w:t>18 juin 2007</w:t>
            </w:r>
          </w:p>
          <w:p w:rsidR="00416F38" w:rsidRPr="007F2DB8" w:rsidRDefault="00416F38" w:rsidP="00416F38">
            <w:pPr>
              <w:jc w:val="both"/>
              <w:rPr>
                <w:sz w:val="20"/>
                <w:lang w:val="fr-CA"/>
              </w:rPr>
            </w:pPr>
            <w:r w:rsidRPr="007F2DB8">
              <w:rPr>
                <w:sz w:val="20"/>
                <w:lang w:val="fr-CA"/>
              </w:rPr>
              <w:t>Cour suprême de la Colombie-Britannique</w:t>
            </w:r>
          </w:p>
          <w:p w:rsidR="00416F38" w:rsidRPr="007F2DB8" w:rsidRDefault="00416F38" w:rsidP="00416F38">
            <w:pPr>
              <w:jc w:val="both"/>
              <w:rPr>
                <w:sz w:val="20"/>
                <w:lang w:val="fr-CA"/>
              </w:rPr>
            </w:pPr>
            <w:r w:rsidRPr="007F2DB8">
              <w:rPr>
                <w:sz w:val="20"/>
                <w:lang w:val="fr-CA"/>
              </w:rPr>
              <w:t>(Juge Martinson)</w:t>
            </w:r>
          </w:p>
          <w:p w:rsidR="00416F38" w:rsidRPr="007F2DB8" w:rsidRDefault="00C232E1" w:rsidP="00416F38">
            <w:pPr>
              <w:jc w:val="both"/>
              <w:rPr>
                <w:sz w:val="20"/>
                <w:lang w:val="fr-CA"/>
              </w:rPr>
            </w:pPr>
            <w:hyperlink r:id="rId62" w:history="1">
              <w:r w:rsidR="00416F38" w:rsidRPr="007F2DB8">
                <w:rPr>
                  <w:rStyle w:val="Hyperlink"/>
                  <w:sz w:val="20"/>
                  <w:lang w:val="fr-CA"/>
                </w:rPr>
                <w:t>2007 BCSC 1940</w:t>
              </w:r>
            </w:hyperlink>
          </w:p>
          <w:p w:rsidR="00416F38" w:rsidRPr="00E007CB" w:rsidRDefault="00416F38" w:rsidP="00CD41B1">
            <w:pPr>
              <w:jc w:val="both"/>
              <w:rPr>
                <w:rFonts w:eastAsia="Calibri"/>
                <w:sz w:val="20"/>
                <w:lang w:val="fr-CA"/>
              </w:rPr>
            </w:pPr>
          </w:p>
        </w:tc>
        <w:tc>
          <w:tcPr>
            <w:tcW w:w="243" w:type="pct"/>
          </w:tcPr>
          <w:p w:rsidR="00416F38" w:rsidRPr="00E007CB" w:rsidRDefault="00416F38" w:rsidP="00CD41B1">
            <w:pPr>
              <w:jc w:val="both"/>
              <w:rPr>
                <w:rFonts w:eastAsia="Calibri"/>
                <w:sz w:val="20"/>
                <w:lang w:val="fr-CA"/>
              </w:rPr>
            </w:pPr>
          </w:p>
        </w:tc>
        <w:tc>
          <w:tcPr>
            <w:tcW w:w="2330" w:type="pct"/>
          </w:tcPr>
          <w:p w:rsidR="00416F38" w:rsidRPr="007F2DB8" w:rsidRDefault="00416F38" w:rsidP="00416F38">
            <w:pPr>
              <w:jc w:val="both"/>
              <w:rPr>
                <w:sz w:val="20"/>
                <w:lang w:val="fr-CA"/>
              </w:rPr>
            </w:pPr>
            <w:r w:rsidRPr="007F2DB8">
              <w:rPr>
                <w:sz w:val="20"/>
                <w:lang w:val="fr-CA"/>
              </w:rPr>
              <w:t>Déclarations de culpabilité sous deux chefs de meurtre au premier degré</w:t>
            </w:r>
          </w:p>
          <w:p w:rsidR="00416F38" w:rsidRPr="0026164C" w:rsidRDefault="00416F38" w:rsidP="00CD41B1">
            <w:pPr>
              <w:jc w:val="both"/>
              <w:rPr>
                <w:sz w:val="20"/>
                <w:lang w:val="fr-CA"/>
              </w:rPr>
            </w:pPr>
          </w:p>
        </w:tc>
      </w:tr>
      <w:tr w:rsidR="00416F38" w:rsidRPr="00002704" w:rsidTr="00CD41B1">
        <w:trPr>
          <w:cantSplit/>
        </w:trPr>
        <w:tc>
          <w:tcPr>
            <w:tcW w:w="2427" w:type="pct"/>
          </w:tcPr>
          <w:p w:rsidR="00416F38" w:rsidRPr="007F2DB8" w:rsidRDefault="00416F38" w:rsidP="00416F38">
            <w:pPr>
              <w:jc w:val="both"/>
              <w:rPr>
                <w:sz w:val="20"/>
                <w:lang w:val="fr-CA"/>
              </w:rPr>
            </w:pPr>
            <w:r w:rsidRPr="007F2DB8">
              <w:rPr>
                <w:sz w:val="20"/>
                <w:lang w:val="fr-CA"/>
              </w:rPr>
              <w:lastRenderedPageBreak/>
              <w:t>6 mai 2015</w:t>
            </w:r>
          </w:p>
          <w:p w:rsidR="00416F38" w:rsidRPr="007F2DB8" w:rsidRDefault="00416F38" w:rsidP="00416F38">
            <w:pPr>
              <w:jc w:val="both"/>
              <w:rPr>
                <w:sz w:val="20"/>
                <w:lang w:val="fr-CA"/>
              </w:rPr>
            </w:pPr>
            <w:r w:rsidRPr="007F2DB8">
              <w:rPr>
                <w:sz w:val="20"/>
                <w:lang w:val="fr-CA"/>
              </w:rPr>
              <w:t>Cour d’appel de la Colombie-Britannique</w:t>
            </w:r>
          </w:p>
          <w:p w:rsidR="00416F38" w:rsidRPr="007F2DB8" w:rsidRDefault="00416F38" w:rsidP="00416F38">
            <w:pPr>
              <w:jc w:val="both"/>
              <w:rPr>
                <w:sz w:val="20"/>
                <w:lang w:val="fr-CA"/>
              </w:rPr>
            </w:pPr>
            <w:r w:rsidRPr="007F2DB8">
              <w:rPr>
                <w:sz w:val="20"/>
                <w:lang w:val="fr-CA"/>
              </w:rPr>
              <w:t>(Vancouver)</w:t>
            </w:r>
          </w:p>
          <w:p w:rsidR="00416F38" w:rsidRPr="007F2DB8" w:rsidRDefault="00416F38" w:rsidP="00416F38">
            <w:pPr>
              <w:jc w:val="both"/>
              <w:rPr>
                <w:sz w:val="20"/>
                <w:lang w:val="fr-CA"/>
              </w:rPr>
            </w:pPr>
            <w:r w:rsidRPr="007F2DB8">
              <w:rPr>
                <w:sz w:val="20"/>
                <w:lang w:val="fr-CA"/>
              </w:rPr>
              <w:t>(Juge Saunders)</w:t>
            </w:r>
          </w:p>
          <w:p w:rsidR="00416F38" w:rsidRPr="007F2DB8" w:rsidRDefault="00416F38" w:rsidP="00416F38">
            <w:pPr>
              <w:jc w:val="both"/>
              <w:rPr>
                <w:sz w:val="20"/>
                <w:lang w:val="fr-CA"/>
              </w:rPr>
            </w:pPr>
            <w:r w:rsidRPr="007F2DB8">
              <w:rPr>
                <w:sz w:val="20"/>
                <w:lang w:val="fr-CA"/>
              </w:rPr>
              <w:t xml:space="preserve">CA42397; </w:t>
            </w:r>
            <w:hyperlink r:id="rId63" w:history="1">
              <w:r w:rsidRPr="007F2DB8">
                <w:rPr>
                  <w:rStyle w:val="Hyperlink"/>
                  <w:sz w:val="20"/>
                  <w:lang w:val="fr-CA"/>
                </w:rPr>
                <w:t>2015 BCCA 270</w:t>
              </w:r>
            </w:hyperlink>
          </w:p>
          <w:p w:rsidR="00416F38" w:rsidRPr="00E007CB" w:rsidRDefault="00416F38" w:rsidP="00CD41B1">
            <w:pPr>
              <w:jc w:val="both"/>
              <w:rPr>
                <w:rFonts w:eastAsia="Calibri"/>
                <w:sz w:val="20"/>
                <w:lang w:val="fr-CA"/>
              </w:rPr>
            </w:pPr>
          </w:p>
        </w:tc>
        <w:tc>
          <w:tcPr>
            <w:tcW w:w="243" w:type="pct"/>
          </w:tcPr>
          <w:p w:rsidR="00416F38" w:rsidRPr="00E007CB" w:rsidRDefault="00416F38" w:rsidP="00CD41B1">
            <w:pPr>
              <w:jc w:val="both"/>
              <w:rPr>
                <w:rFonts w:eastAsia="Calibri"/>
                <w:sz w:val="20"/>
                <w:lang w:val="fr-CA"/>
              </w:rPr>
            </w:pPr>
          </w:p>
        </w:tc>
        <w:tc>
          <w:tcPr>
            <w:tcW w:w="2330" w:type="pct"/>
          </w:tcPr>
          <w:p w:rsidR="00416F38" w:rsidRPr="007F2DB8" w:rsidRDefault="00416F38" w:rsidP="00416F38">
            <w:pPr>
              <w:jc w:val="both"/>
              <w:rPr>
                <w:sz w:val="20"/>
                <w:lang w:val="fr-CA"/>
              </w:rPr>
            </w:pPr>
            <w:r w:rsidRPr="007F2DB8">
              <w:rPr>
                <w:sz w:val="20"/>
                <w:lang w:val="fr-CA"/>
              </w:rPr>
              <w:t>Rejet de la demande de prorogation du délai d’appel</w:t>
            </w:r>
          </w:p>
          <w:p w:rsidR="00416F38" w:rsidRPr="00E007CB" w:rsidRDefault="00416F38" w:rsidP="00CD41B1">
            <w:pPr>
              <w:jc w:val="both"/>
              <w:rPr>
                <w:rFonts w:eastAsia="Calibri"/>
                <w:sz w:val="20"/>
                <w:lang w:val="fr-CA"/>
              </w:rPr>
            </w:pPr>
          </w:p>
        </w:tc>
      </w:tr>
      <w:tr w:rsidR="00416F38" w:rsidRPr="00E007CB" w:rsidTr="00CD41B1">
        <w:trPr>
          <w:cantSplit/>
        </w:trPr>
        <w:tc>
          <w:tcPr>
            <w:tcW w:w="2427" w:type="pct"/>
          </w:tcPr>
          <w:p w:rsidR="00416F38" w:rsidRPr="00E007CB" w:rsidRDefault="00416F38" w:rsidP="00CD41B1">
            <w:pPr>
              <w:jc w:val="both"/>
              <w:rPr>
                <w:rFonts w:eastAsia="Calibri"/>
                <w:sz w:val="20"/>
                <w:lang w:val="fr-CA"/>
              </w:rPr>
            </w:pPr>
            <w:r>
              <w:rPr>
                <w:rFonts w:eastAsia="Calibri"/>
                <w:sz w:val="20"/>
                <w:lang w:val="fr-CA"/>
              </w:rPr>
              <w:t>23 juillet</w:t>
            </w:r>
            <w:r w:rsidRPr="00E007CB">
              <w:rPr>
                <w:rFonts w:eastAsia="Calibri"/>
                <w:sz w:val="20"/>
                <w:lang w:val="fr-CA"/>
              </w:rPr>
              <w:t xml:space="preserve"> 201</w:t>
            </w:r>
            <w:r>
              <w:rPr>
                <w:rFonts w:eastAsia="Calibri"/>
                <w:sz w:val="20"/>
                <w:lang w:val="fr-CA"/>
              </w:rPr>
              <w:t>5</w:t>
            </w:r>
          </w:p>
          <w:p w:rsidR="00416F38" w:rsidRPr="00E007CB" w:rsidRDefault="00416F38" w:rsidP="00CD41B1">
            <w:pPr>
              <w:jc w:val="both"/>
              <w:rPr>
                <w:rFonts w:eastAsia="Calibri"/>
                <w:sz w:val="20"/>
                <w:lang w:val="fr-CA"/>
              </w:rPr>
            </w:pPr>
            <w:r w:rsidRPr="00E007CB">
              <w:rPr>
                <w:rFonts w:eastAsia="Calibri"/>
                <w:sz w:val="20"/>
                <w:lang w:val="fr-CA"/>
              </w:rPr>
              <w:t>Cour suprême du Canada</w:t>
            </w:r>
          </w:p>
        </w:tc>
        <w:tc>
          <w:tcPr>
            <w:tcW w:w="243" w:type="pct"/>
          </w:tcPr>
          <w:p w:rsidR="00416F38" w:rsidRPr="00E007CB" w:rsidRDefault="00416F38" w:rsidP="00CD41B1">
            <w:pPr>
              <w:jc w:val="both"/>
              <w:rPr>
                <w:rFonts w:eastAsia="Calibri"/>
                <w:sz w:val="20"/>
                <w:lang w:val="fr-CA"/>
              </w:rPr>
            </w:pPr>
          </w:p>
        </w:tc>
        <w:tc>
          <w:tcPr>
            <w:tcW w:w="2330" w:type="pct"/>
          </w:tcPr>
          <w:p w:rsidR="00416F38" w:rsidRPr="007F2DB8" w:rsidRDefault="00416F38" w:rsidP="00416F38">
            <w:pPr>
              <w:jc w:val="both"/>
              <w:rPr>
                <w:sz w:val="20"/>
                <w:lang w:val="fr-CA"/>
              </w:rPr>
            </w:pPr>
            <w:r w:rsidRPr="007F2DB8">
              <w:rPr>
                <w:sz w:val="20"/>
                <w:lang w:val="fr-CA"/>
              </w:rPr>
              <w:t>Dépôt de la demande d’autorisation d’appel</w:t>
            </w:r>
          </w:p>
          <w:p w:rsidR="00416F38" w:rsidRPr="007F2DB8" w:rsidRDefault="00416F38" w:rsidP="00CD41B1">
            <w:pPr>
              <w:jc w:val="both"/>
              <w:rPr>
                <w:sz w:val="20"/>
                <w:lang w:val="fr-CA"/>
              </w:rPr>
            </w:pPr>
          </w:p>
        </w:tc>
      </w:tr>
    </w:tbl>
    <w:p w:rsidR="00416F38" w:rsidRDefault="00416F38" w:rsidP="00416F38">
      <w:pPr>
        <w:rPr>
          <w:sz w:val="20"/>
          <w:szCs w:val="20"/>
        </w:rPr>
      </w:pPr>
    </w:p>
    <w:p w:rsidR="00416F38" w:rsidRDefault="00C232E1" w:rsidP="00416F38">
      <w:pPr>
        <w:rPr>
          <w:sz w:val="20"/>
          <w:szCs w:val="20"/>
        </w:rPr>
      </w:pPr>
      <w:r>
        <w:rPr>
          <w:sz w:val="20"/>
          <w:szCs w:val="20"/>
          <w:lang w:val="fr-CA"/>
        </w:rPr>
        <w:pict>
          <v:rect id="_x0000_i1071" style="width:2in;height:1pt" o:hrpct="0" o:hralign="center" o:hrstd="t" o:hrnoshade="t" o:hr="t" fillcolor="black [3213]" stroked="f"/>
        </w:pict>
      </w:r>
    </w:p>
    <w:p w:rsidR="00CD41B1" w:rsidRDefault="00CD41B1" w:rsidP="00CD41B1">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CD41B1" w:rsidRPr="00A73D2C" w:rsidTr="00CD41B1">
        <w:trPr>
          <w:cantSplit/>
        </w:trPr>
        <w:tc>
          <w:tcPr>
            <w:tcW w:w="1458" w:type="dxa"/>
          </w:tcPr>
          <w:p w:rsidR="00CD41B1" w:rsidRPr="00A73D2C" w:rsidRDefault="00CD41B1" w:rsidP="00CD41B1">
            <w:pPr>
              <w:rPr>
                <w:sz w:val="20"/>
                <w:szCs w:val="20"/>
              </w:rPr>
            </w:pPr>
            <w:r w:rsidRPr="00A73D2C">
              <w:rPr>
                <w:rStyle w:val="SCCFileNumberChar"/>
                <w:sz w:val="20"/>
                <w:szCs w:val="20"/>
              </w:rPr>
              <w:t>3</w:t>
            </w:r>
            <w:r>
              <w:rPr>
                <w:rStyle w:val="SCCFileNumberChar"/>
                <w:sz w:val="20"/>
                <w:szCs w:val="20"/>
              </w:rPr>
              <w:t>6534</w:t>
            </w:r>
          </w:p>
          <w:p w:rsidR="00CD41B1" w:rsidRPr="00A73D2C" w:rsidRDefault="00CD41B1" w:rsidP="00CD41B1">
            <w:pPr>
              <w:rPr>
                <w:b/>
                <w:sz w:val="20"/>
                <w:szCs w:val="20"/>
                <w:lang w:val="fr-CA"/>
              </w:rPr>
            </w:pPr>
          </w:p>
        </w:tc>
        <w:tc>
          <w:tcPr>
            <w:tcW w:w="8118" w:type="dxa"/>
          </w:tcPr>
          <w:p w:rsidR="00CD41B1" w:rsidRPr="00A73D2C" w:rsidRDefault="00CD41B1" w:rsidP="00CD41B1">
            <w:pPr>
              <w:rPr>
                <w:sz w:val="20"/>
                <w:szCs w:val="20"/>
              </w:rPr>
            </w:pPr>
            <w:r w:rsidRPr="00CD41B1">
              <w:rPr>
                <w:rStyle w:val="SCCLsocChar"/>
                <w:sz w:val="20"/>
                <w:szCs w:val="20"/>
                <w:lang w:val="en-CA"/>
              </w:rPr>
              <w:t xml:space="preserve">Oda </w:t>
            </w:r>
            <w:proofErr w:type="spellStart"/>
            <w:r w:rsidRPr="00CD41B1">
              <w:rPr>
                <w:rStyle w:val="SCCLsocChar"/>
                <w:sz w:val="20"/>
                <w:szCs w:val="20"/>
                <w:lang w:val="en-CA"/>
              </w:rPr>
              <w:t>Kagimbi</w:t>
            </w:r>
            <w:proofErr w:type="spellEnd"/>
            <w:r w:rsidRPr="00CD41B1">
              <w:rPr>
                <w:rStyle w:val="SCCLsocChar"/>
                <w:sz w:val="20"/>
                <w:szCs w:val="20"/>
                <w:lang w:val="en-CA"/>
              </w:rPr>
              <w:t xml:space="preserve"> </w:t>
            </w:r>
            <w:r w:rsidR="00BD70C3">
              <w:rPr>
                <w:rStyle w:val="SCCLsocChar"/>
                <w:sz w:val="20"/>
                <w:szCs w:val="20"/>
                <w:lang w:val="en-CA"/>
              </w:rPr>
              <w:t>c</w:t>
            </w:r>
            <w:r w:rsidRPr="00CD41B1">
              <w:rPr>
                <w:rStyle w:val="SCCLsocChar"/>
                <w:sz w:val="20"/>
                <w:szCs w:val="20"/>
                <w:lang w:val="en-CA"/>
              </w:rPr>
              <w:t xml:space="preserve">. </w:t>
            </w:r>
            <w:proofErr w:type="spellStart"/>
            <w:r w:rsidR="00BD70C3">
              <w:rPr>
                <w:rStyle w:val="SCCLsocChar"/>
                <w:sz w:val="20"/>
                <w:szCs w:val="20"/>
                <w:lang w:val="en-CA"/>
              </w:rPr>
              <w:t>Procureur</w:t>
            </w:r>
            <w:proofErr w:type="spellEnd"/>
            <w:r w:rsidRPr="00CD41B1">
              <w:rPr>
                <w:rStyle w:val="SCCLsocChar"/>
                <w:sz w:val="20"/>
                <w:szCs w:val="20"/>
                <w:lang w:val="en-CA"/>
              </w:rPr>
              <w:t xml:space="preserve"> </w:t>
            </w:r>
            <w:proofErr w:type="spellStart"/>
            <w:r w:rsidR="00BD70C3">
              <w:rPr>
                <w:rStyle w:val="SCCLsocChar"/>
                <w:sz w:val="20"/>
                <w:szCs w:val="20"/>
                <w:lang w:val="en-CA"/>
              </w:rPr>
              <w:t>gé</w:t>
            </w:r>
            <w:r w:rsidRPr="00CD41B1">
              <w:rPr>
                <w:rStyle w:val="SCCLsocChar"/>
                <w:sz w:val="20"/>
                <w:szCs w:val="20"/>
                <w:lang w:val="en-CA"/>
              </w:rPr>
              <w:t>n</w:t>
            </w:r>
            <w:r w:rsidR="00BD70C3">
              <w:rPr>
                <w:rStyle w:val="SCCLsocChar"/>
                <w:sz w:val="20"/>
                <w:szCs w:val="20"/>
                <w:lang w:val="en-CA"/>
              </w:rPr>
              <w:t>éral</w:t>
            </w:r>
            <w:proofErr w:type="spellEnd"/>
            <w:r w:rsidR="00BD70C3">
              <w:rPr>
                <w:rStyle w:val="SCCLsocChar"/>
                <w:sz w:val="20"/>
                <w:szCs w:val="20"/>
                <w:lang w:val="en-CA"/>
              </w:rPr>
              <w:t xml:space="preserve"> du</w:t>
            </w:r>
            <w:r w:rsidRPr="00CD41B1">
              <w:rPr>
                <w:rStyle w:val="SCCLsocChar"/>
                <w:sz w:val="20"/>
                <w:szCs w:val="20"/>
                <w:lang w:val="en-CA"/>
              </w:rPr>
              <w:t xml:space="preserve"> Canada</w:t>
            </w:r>
            <w:r w:rsidRPr="00A73D2C">
              <w:rPr>
                <w:sz w:val="20"/>
                <w:szCs w:val="20"/>
              </w:rPr>
              <w:t xml:space="preserve"> (</w:t>
            </w:r>
            <w:r w:rsidR="00BD70C3">
              <w:rPr>
                <w:sz w:val="20"/>
                <w:szCs w:val="20"/>
              </w:rPr>
              <w:t>C</w:t>
            </w:r>
            <w:r>
              <w:rPr>
                <w:sz w:val="20"/>
                <w:szCs w:val="20"/>
              </w:rPr>
              <w:t>.</w:t>
            </w:r>
            <w:r w:rsidR="00BD70C3">
              <w:rPr>
                <w:sz w:val="20"/>
                <w:szCs w:val="20"/>
              </w:rPr>
              <w:t>F</w:t>
            </w:r>
            <w:r>
              <w:rPr>
                <w:sz w:val="20"/>
                <w:szCs w:val="20"/>
              </w:rPr>
              <w:t>.</w:t>
            </w:r>
            <w:r w:rsidRPr="00A73D2C">
              <w:rPr>
                <w:sz w:val="20"/>
                <w:szCs w:val="20"/>
              </w:rPr>
              <w:t>) (</w:t>
            </w:r>
            <w:proofErr w:type="spellStart"/>
            <w:r w:rsidRPr="00A73D2C">
              <w:rPr>
                <w:sz w:val="20"/>
                <w:szCs w:val="20"/>
              </w:rPr>
              <w:t>Ci</w:t>
            </w:r>
            <w:r>
              <w:rPr>
                <w:sz w:val="20"/>
                <w:szCs w:val="20"/>
              </w:rPr>
              <w:t>v</w:t>
            </w:r>
            <w:r w:rsidRPr="00A73D2C">
              <w:rPr>
                <w:sz w:val="20"/>
                <w:szCs w:val="20"/>
              </w:rPr>
              <w:t>il</w:t>
            </w:r>
            <w:r w:rsidR="00BD70C3">
              <w:rPr>
                <w:sz w:val="20"/>
                <w:szCs w:val="20"/>
              </w:rPr>
              <w:t>e</w:t>
            </w:r>
            <w:proofErr w:type="spellEnd"/>
            <w:r w:rsidRPr="00A73D2C">
              <w:rPr>
                <w:sz w:val="20"/>
                <w:szCs w:val="20"/>
              </w:rPr>
              <w:t>) (</w:t>
            </w:r>
            <w:proofErr w:type="spellStart"/>
            <w:r w:rsidR="00BD70C3">
              <w:rPr>
                <w:sz w:val="20"/>
                <w:szCs w:val="20"/>
              </w:rPr>
              <w:t>Autorisation</w:t>
            </w:r>
            <w:proofErr w:type="spellEnd"/>
            <w:r w:rsidRPr="00A73D2C">
              <w:rPr>
                <w:sz w:val="20"/>
                <w:szCs w:val="20"/>
              </w:rPr>
              <w:t>)</w:t>
            </w:r>
          </w:p>
          <w:p w:rsidR="00CD41B1" w:rsidRPr="00A73D2C" w:rsidRDefault="00CD41B1" w:rsidP="00CD41B1">
            <w:pPr>
              <w:rPr>
                <w:sz w:val="20"/>
                <w:szCs w:val="20"/>
              </w:rPr>
            </w:pPr>
          </w:p>
        </w:tc>
      </w:tr>
      <w:tr w:rsidR="00CD41B1" w:rsidRPr="00A73D2C" w:rsidTr="00CD41B1">
        <w:trPr>
          <w:cantSplit/>
        </w:trPr>
        <w:tc>
          <w:tcPr>
            <w:tcW w:w="1458" w:type="dxa"/>
          </w:tcPr>
          <w:p w:rsidR="00CD41B1" w:rsidRPr="00A73D2C" w:rsidRDefault="00CD41B1" w:rsidP="00CD41B1">
            <w:pPr>
              <w:rPr>
                <w:sz w:val="20"/>
                <w:szCs w:val="20"/>
              </w:rPr>
            </w:pPr>
            <w:r w:rsidRPr="00A73D2C">
              <w:rPr>
                <w:sz w:val="20"/>
                <w:szCs w:val="20"/>
              </w:rPr>
              <w:t>Coram :</w:t>
            </w:r>
          </w:p>
        </w:tc>
        <w:tc>
          <w:tcPr>
            <w:tcW w:w="8118" w:type="dxa"/>
          </w:tcPr>
          <w:p w:rsidR="00CD41B1" w:rsidRDefault="00642723" w:rsidP="00CD41B1">
            <w:pPr>
              <w:rPr>
                <w:rStyle w:val="SCCCoramChar"/>
                <w:sz w:val="20"/>
                <w:szCs w:val="20"/>
                <w:lang w:val="en-CA"/>
              </w:rPr>
            </w:pPr>
            <w:r w:rsidRPr="00642723">
              <w:rPr>
                <w:rStyle w:val="SCCCoramChar"/>
                <w:sz w:val="20"/>
                <w:szCs w:val="20"/>
                <w:lang w:val="en-CA"/>
              </w:rPr>
              <w:t xml:space="preserve">Les </w:t>
            </w:r>
            <w:proofErr w:type="spellStart"/>
            <w:r w:rsidRPr="00642723">
              <w:rPr>
                <w:rStyle w:val="SCCCoramChar"/>
                <w:sz w:val="20"/>
                <w:szCs w:val="20"/>
                <w:lang w:val="en-CA"/>
              </w:rPr>
              <w:t>juges</w:t>
            </w:r>
            <w:proofErr w:type="spellEnd"/>
            <w:r w:rsidRPr="00642723">
              <w:rPr>
                <w:rStyle w:val="SCCCoramChar"/>
                <w:sz w:val="20"/>
                <w:szCs w:val="20"/>
                <w:lang w:val="en-CA"/>
              </w:rPr>
              <w:t xml:space="preserve"> Abella, Karakatsanis et Brown</w:t>
            </w:r>
          </w:p>
          <w:p w:rsidR="00642723" w:rsidRPr="00A73D2C" w:rsidRDefault="00642723" w:rsidP="00CD41B1">
            <w:pPr>
              <w:rPr>
                <w:sz w:val="20"/>
                <w:szCs w:val="20"/>
                <w:u w:val="single"/>
              </w:rPr>
            </w:pPr>
          </w:p>
        </w:tc>
      </w:tr>
      <w:tr w:rsidR="00CD41B1" w:rsidRPr="00002704" w:rsidTr="00CD41B1">
        <w:trPr>
          <w:cantSplit/>
        </w:trPr>
        <w:tc>
          <w:tcPr>
            <w:tcW w:w="9576" w:type="dxa"/>
            <w:gridSpan w:val="2"/>
          </w:tcPr>
          <w:p w:rsidR="00642723" w:rsidRDefault="00642723" w:rsidP="00642723">
            <w:pPr>
              <w:pStyle w:val="SCCShortJudgment"/>
            </w:pPr>
            <w:r>
              <w:t xml:space="preserve">La </w:t>
            </w:r>
            <w:proofErr w:type="spellStart"/>
            <w:r>
              <w:t>requête</w:t>
            </w:r>
            <w:proofErr w:type="spellEnd"/>
            <w:r>
              <w:t xml:space="preserve"> </w:t>
            </w:r>
            <w:proofErr w:type="spellStart"/>
            <w:r>
              <w:t>en</w:t>
            </w:r>
            <w:proofErr w:type="spellEnd"/>
            <w:r>
              <w:t xml:space="preserve"> prorogation du </w:t>
            </w:r>
            <w:proofErr w:type="spellStart"/>
            <w:r>
              <w:t>délai</w:t>
            </w:r>
            <w:proofErr w:type="spellEnd"/>
            <w:r>
              <w:t xml:space="preserve"> de signification et de </w:t>
            </w:r>
            <w:proofErr w:type="spellStart"/>
            <w:r>
              <w:t>dépôt</w:t>
            </w:r>
            <w:proofErr w:type="spellEnd"/>
            <w:r>
              <w:t xml:space="preserve"> de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w:t>
            </w:r>
            <w:proofErr w:type="spellStart"/>
            <w:r>
              <w:t>est</w:t>
            </w:r>
            <w:proofErr w:type="spellEnd"/>
            <w:r>
              <w:t xml:space="preserve"> </w:t>
            </w:r>
            <w:proofErr w:type="spellStart"/>
            <w:r>
              <w:t>accueillie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A-269-14, 2015 CAF 74, </w:t>
            </w:r>
            <w:proofErr w:type="spellStart"/>
            <w:r>
              <w:t>daté</w:t>
            </w:r>
            <w:proofErr w:type="spellEnd"/>
            <w:r>
              <w:t xml:space="preserve"> du 16 mars 2015, </w:t>
            </w:r>
            <w:proofErr w:type="spellStart"/>
            <w:r>
              <w:t>est</w:t>
            </w:r>
            <w:proofErr w:type="spellEnd"/>
            <w:r>
              <w:t xml:space="preserve"> </w:t>
            </w:r>
            <w:proofErr w:type="spellStart"/>
            <w:r>
              <w:t>rejetée</w:t>
            </w:r>
            <w:proofErr w:type="spellEnd"/>
            <w:r>
              <w:t xml:space="preserve"> avec </w:t>
            </w:r>
            <w:proofErr w:type="spellStart"/>
            <w:r>
              <w:t>dépens</w:t>
            </w:r>
            <w:proofErr w:type="spellEnd"/>
            <w:r>
              <w:t>.</w:t>
            </w:r>
          </w:p>
          <w:p w:rsidR="00642723" w:rsidRDefault="00642723" w:rsidP="00642723">
            <w:pPr>
              <w:pStyle w:val="SCCShortJudgment"/>
              <w:ind w:firstLine="0"/>
            </w:pPr>
          </w:p>
          <w:p w:rsidR="00CD41B1" w:rsidRPr="00A73D2C" w:rsidRDefault="00642723" w:rsidP="00642723">
            <w:pPr>
              <w:pStyle w:val="SCCShortJudgment"/>
              <w:rPr>
                <w:szCs w:val="20"/>
                <w:lang w:val="fr-CA"/>
              </w:rPr>
            </w:pPr>
            <w:r>
              <w:t>The motion for an extension of time to serve and file the application for leave to appeal is granted. The application for leave to appeal from the judgment of the Federal Court of Appeal, Number A-269-14, 2015 FCA 74, dated March 16, 2015, is dismissed with costs.</w:t>
            </w:r>
          </w:p>
        </w:tc>
      </w:tr>
    </w:tbl>
    <w:p w:rsidR="00CD41B1" w:rsidRPr="0016547E" w:rsidRDefault="00CD41B1" w:rsidP="00CD41B1">
      <w:pPr>
        <w:rPr>
          <w:sz w:val="20"/>
          <w:szCs w:val="20"/>
          <w:lang w:val="fr-CA"/>
        </w:rPr>
      </w:pPr>
    </w:p>
    <w:p w:rsidR="00CD41B1" w:rsidRPr="001B157C" w:rsidRDefault="00CD41B1" w:rsidP="00CD41B1">
      <w:pPr>
        <w:rPr>
          <w:sz w:val="20"/>
          <w:szCs w:val="20"/>
          <w:u w:val="single"/>
        </w:rPr>
      </w:pPr>
      <w:r w:rsidRPr="001B157C">
        <w:rPr>
          <w:sz w:val="20"/>
          <w:szCs w:val="20"/>
          <w:u w:val="single"/>
        </w:rPr>
        <w:t>CASE SUMMARY</w:t>
      </w:r>
    </w:p>
    <w:p w:rsidR="00CD41B1" w:rsidRDefault="00CD41B1" w:rsidP="00CD41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1694" w:rsidRPr="00E007CB" w:rsidTr="00CD41B1">
        <w:tc>
          <w:tcPr>
            <w:tcW w:w="5000" w:type="pct"/>
            <w:gridSpan w:val="3"/>
          </w:tcPr>
          <w:p w:rsidR="00961694" w:rsidRDefault="00961694" w:rsidP="00961694">
            <w:pPr>
              <w:jc w:val="both"/>
              <w:rPr>
                <w:bCs/>
                <w:sz w:val="20"/>
                <w:lang w:eastAsia="fr-CA"/>
              </w:rPr>
            </w:pPr>
            <w:r w:rsidRPr="007F2DB8">
              <w:rPr>
                <w:sz w:val="20"/>
              </w:rPr>
              <w:t>Labour relations – Grievances – Jurisdiction of adjudicator – Judicial review – Whether Court of Appeal erred in law in finding reasonable Federal Court’s decision that non</w:t>
            </w:r>
            <w:r w:rsidRPr="007F2DB8">
              <w:rPr>
                <w:sz w:val="20"/>
              </w:rPr>
              <w:noBreakHyphen/>
              <w:t>payment of compensation did not have effect of giving adjudicator jurisdiction to hear grievance on merits – If so, what is employee’s burden of proof – Whether Court of Appeal erred in choosing standard of review applicable to this question – Whether Court of Appeal erred in law in finding reasonable Federal Court’s decision that Treasury Board guidelines for rejection on probation not legally binding on respondent and not relevant in determining whether respondent acted in good faith when rejecting applicant – Whether Court of Appeal erred in law in finding that Federal Court had made reasonable decision concerning adjudicator’s interpretation of application of concept of [</w:t>
            </w:r>
            <w:r w:rsidRPr="007F2DB8">
              <w:rPr>
                <w:smallCaps/>
                <w:sz w:val="20"/>
              </w:rPr>
              <w:t>translation</w:t>
            </w:r>
            <w:r w:rsidRPr="007F2DB8">
              <w:rPr>
                <w:sz w:val="20"/>
              </w:rPr>
              <w:t xml:space="preserve">] “good faith, camouflage or sham” in context of rejection on probation – Whether rejected employee’s burden of proving concept of “good faith”, as determined and interpreted by Court of Appeal in this decision, has effect of making it virtually and practically impossible under federal law for employees rejected on probation to exercise their rights – </w:t>
            </w:r>
            <w:hyperlink r:id="rId64" w:history="1">
              <w:r w:rsidRPr="007F2DB8">
                <w:rPr>
                  <w:rStyle w:val="citationcar"/>
                  <w:i/>
                  <w:iCs/>
                  <w:sz w:val="20"/>
                </w:rPr>
                <w:t>Public Service Labour Relations Act</w:t>
              </w:r>
              <w:r w:rsidRPr="007F2DB8">
                <w:rPr>
                  <w:rStyle w:val="citationcar"/>
                  <w:sz w:val="20"/>
                </w:rPr>
                <w:t>, S.C. 2003, c. 22</w:t>
              </w:r>
            </w:hyperlink>
            <w:r w:rsidRPr="007F2DB8">
              <w:rPr>
                <w:sz w:val="20"/>
              </w:rPr>
              <w:t xml:space="preserve">, s. 2 – </w:t>
            </w:r>
            <w:hyperlink r:id="rId65" w:history="1">
              <w:r w:rsidRPr="007F2DB8">
                <w:rPr>
                  <w:bCs/>
                  <w:i/>
                  <w:iCs/>
                  <w:sz w:val="20"/>
                  <w:lang w:eastAsia="fr-CA"/>
                </w:rPr>
                <w:t>Public Service Employment Act</w:t>
              </w:r>
              <w:r w:rsidRPr="007F2DB8">
                <w:rPr>
                  <w:bCs/>
                  <w:sz w:val="20"/>
                  <w:lang w:eastAsia="fr-CA"/>
                </w:rPr>
                <w:t>, S.C. 2003, c. 22, ss. 12, 13</w:t>
              </w:r>
            </w:hyperlink>
            <w:r w:rsidRPr="007F2DB8">
              <w:rPr>
                <w:bCs/>
                <w:sz w:val="20"/>
                <w:lang w:eastAsia="fr-CA"/>
              </w:rPr>
              <w:t>.</w:t>
            </w:r>
          </w:p>
          <w:p w:rsidR="00961694" w:rsidRPr="007F2DB8" w:rsidRDefault="00961694" w:rsidP="00961694">
            <w:pPr>
              <w:jc w:val="both"/>
              <w:rPr>
                <w:sz w:val="20"/>
              </w:rPr>
            </w:pPr>
          </w:p>
        </w:tc>
      </w:tr>
      <w:tr w:rsidR="00961694" w:rsidRPr="00E007CB" w:rsidTr="00CD41B1">
        <w:tc>
          <w:tcPr>
            <w:tcW w:w="5000" w:type="pct"/>
            <w:gridSpan w:val="3"/>
          </w:tcPr>
          <w:p w:rsidR="00961694" w:rsidRPr="007F2DB8" w:rsidRDefault="00961694" w:rsidP="00961694">
            <w:pPr>
              <w:jc w:val="both"/>
              <w:rPr>
                <w:sz w:val="20"/>
              </w:rPr>
            </w:pPr>
            <w:r w:rsidRPr="007F2DB8">
              <w:rPr>
                <w:sz w:val="20"/>
              </w:rPr>
              <w:t>On December 19, 2006, the applicant was hired as a correctional officer for an indeterminate period. The employment was subject to a 12-month probationary period. During that period, the employer decided to reject the applicant because of her unsatisfactory performance. The applicant filed a grievance against her rejection, asking for reinstatement in her position and reimbursement of the salary and benefits owed to her as well as damages incurred. The Public Service Labour Relations Board adjudicator found that the applicant had been on probation when she was rejected and that her employer had established unequivocally that it believed she was incapable of performing the duties of a correctional officer. The adjudicator also found that the rejection on probation had not been a sham to camouflage another reason for dismissal. The adjudicator stated that his role was limited to making those determinations and that he therefore had no jurisdiction to hear the grievance on the merits.</w:t>
            </w:r>
          </w:p>
          <w:p w:rsidR="00961694" w:rsidRPr="00E007CB" w:rsidRDefault="00961694" w:rsidP="00961694">
            <w:pPr>
              <w:jc w:val="both"/>
              <w:rPr>
                <w:rFonts w:eastAsia="Calibri"/>
                <w:sz w:val="20"/>
              </w:rPr>
            </w:pPr>
          </w:p>
        </w:tc>
      </w:tr>
      <w:tr w:rsidR="00961694" w:rsidRPr="00E007CB" w:rsidTr="00CD41B1">
        <w:trPr>
          <w:cantSplit/>
        </w:trPr>
        <w:tc>
          <w:tcPr>
            <w:tcW w:w="2427" w:type="pct"/>
          </w:tcPr>
          <w:p w:rsidR="00961694" w:rsidRPr="007F2DB8" w:rsidRDefault="00961694" w:rsidP="00961694">
            <w:pPr>
              <w:jc w:val="both"/>
              <w:rPr>
                <w:sz w:val="20"/>
              </w:rPr>
            </w:pPr>
            <w:r w:rsidRPr="007F2DB8">
              <w:rPr>
                <w:sz w:val="20"/>
              </w:rPr>
              <w:lastRenderedPageBreak/>
              <w:t>April 30, 2014</w:t>
            </w:r>
          </w:p>
          <w:p w:rsidR="00961694" w:rsidRPr="007F2DB8" w:rsidRDefault="00961694" w:rsidP="00961694">
            <w:pPr>
              <w:jc w:val="both"/>
              <w:rPr>
                <w:sz w:val="20"/>
              </w:rPr>
            </w:pPr>
            <w:r w:rsidRPr="007F2DB8">
              <w:rPr>
                <w:sz w:val="20"/>
              </w:rPr>
              <w:t>Federal Court</w:t>
            </w:r>
          </w:p>
          <w:p w:rsidR="00961694" w:rsidRPr="007F2DB8" w:rsidRDefault="00961694" w:rsidP="00961694">
            <w:pPr>
              <w:jc w:val="both"/>
              <w:rPr>
                <w:sz w:val="20"/>
              </w:rPr>
            </w:pPr>
            <w:r w:rsidRPr="007F2DB8">
              <w:rPr>
                <w:sz w:val="20"/>
              </w:rPr>
              <w:t>(Tremblay-Lamer J.)</w:t>
            </w:r>
          </w:p>
          <w:p w:rsidR="00961694" w:rsidRPr="007F2DB8" w:rsidRDefault="00961694" w:rsidP="00961694">
            <w:pPr>
              <w:jc w:val="both"/>
              <w:rPr>
                <w:sz w:val="20"/>
              </w:rPr>
            </w:pPr>
            <w:r w:rsidRPr="007F2DB8">
              <w:rPr>
                <w:sz w:val="20"/>
              </w:rPr>
              <w:t>No. T-544-13</w:t>
            </w:r>
          </w:p>
          <w:p w:rsidR="00961694" w:rsidRPr="007F2DB8" w:rsidRDefault="00C232E1" w:rsidP="00961694">
            <w:pPr>
              <w:jc w:val="both"/>
              <w:rPr>
                <w:rStyle w:val="Hyperlink"/>
                <w:rFonts w:eastAsiaTheme="majorEastAsia"/>
                <w:sz w:val="20"/>
              </w:rPr>
            </w:pPr>
            <w:hyperlink r:id="rId66" w:history="1">
              <w:r w:rsidR="00961694" w:rsidRPr="007F2DB8">
                <w:rPr>
                  <w:rStyle w:val="Hyperlink"/>
                  <w:rFonts w:eastAsiaTheme="majorEastAsia"/>
                  <w:sz w:val="20"/>
                </w:rPr>
                <w:t>2014 FC 400</w:t>
              </w:r>
            </w:hyperlink>
          </w:p>
          <w:p w:rsidR="00961694" w:rsidRPr="00E007CB" w:rsidRDefault="00961694" w:rsidP="00961694">
            <w:pPr>
              <w:jc w:val="both"/>
              <w:rPr>
                <w:rFonts w:eastAsia="Calibri"/>
                <w:sz w:val="20"/>
              </w:rPr>
            </w:pPr>
          </w:p>
        </w:tc>
        <w:tc>
          <w:tcPr>
            <w:tcW w:w="243" w:type="pct"/>
          </w:tcPr>
          <w:p w:rsidR="00961694" w:rsidRPr="00E007CB" w:rsidRDefault="00961694" w:rsidP="00961694">
            <w:pPr>
              <w:jc w:val="both"/>
              <w:rPr>
                <w:rFonts w:eastAsia="Calibri"/>
                <w:sz w:val="20"/>
              </w:rPr>
            </w:pPr>
          </w:p>
        </w:tc>
        <w:tc>
          <w:tcPr>
            <w:tcW w:w="2330" w:type="pct"/>
          </w:tcPr>
          <w:p w:rsidR="00961694" w:rsidRPr="007F2DB8" w:rsidRDefault="00961694" w:rsidP="00961694">
            <w:pPr>
              <w:jc w:val="both"/>
              <w:rPr>
                <w:sz w:val="20"/>
              </w:rPr>
            </w:pPr>
            <w:r w:rsidRPr="007F2DB8">
              <w:rPr>
                <w:sz w:val="20"/>
              </w:rPr>
              <w:t>Application for judicial review dismissed</w:t>
            </w:r>
          </w:p>
          <w:p w:rsidR="00961694" w:rsidRPr="00E007CB" w:rsidRDefault="00961694" w:rsidP="00961694">
            <w:pPr>
              <w:jc w:val="both"/>
              <w:rPr>
                <w:rFonts w:eastAsia="Calibri"/>
                <w:sz w:val="20"/>
              </w:rPr>
            </w:pPr>
          </w:p>
        </w:tc>
      </w:tr>
      <w:tr w:rsidR="00961694" w:rsidRPr="00E007CB" w:rsidTr="00CD41B1">
        <w:trPr>
          <w:cantSplit/>
        </w:trPr>
        <w:tc>
          <w:tcPr>
            <w:tcW w:w="2427" w:type="pct"/>
          </w:tcPr>
          <w:p w:rsidR="00961694" w:rsidRPr="007F2DB8" w:rsidRDefault="00961694" w:rsidP="00961694">
            <w:pPr>
              <w:jc w:val="both"/>
              <w:rPr>
                <w:sz w:val="20"/>
              </w:rPr>
            </w:pPr>
            <w:r w:rsidRPr="007F2DB8">
              <w:rPr>
                <w:sz w:val="20"/>
              </w:rPr>
              <w:t>March 16, 2015</w:t>
            </w:r>
          </w:p>
          <w:p w:rsidR="00961694" w:rsidRPr="007F2DB8" w:rsidRDefault="00961694" w:rsidP="00961694">
            <w:pPr>
              <w:jc w:val="both"/>
              <w:rPr>
                <w:sz w:val="20"/>
              </w:rPr>
            </w:pPr>
            <w:r w:rsidRPr="007F2DB8">
              <w:rPr>
                <w:sz w:val="20"/>
              </w:rPr>
              <w:t>Federal Court of Appeal</w:t>
            </w:r>
          </w:p>
          <w:p w:rsidR="00961694" w:rsidRPr="007F2DB8" w:rsidRDefault="00961694" w:rsidP="00961694">
            <w:pPr>
              <w:jc w:val="both"/>
              <w:rPr>
                <w:sz w:val="20"/>
              </w:rPr>
            </w:pPr>
            <w:r w:rsidRPr="007F2DB8">
              <w:rPr>
                <w:sz w:val="20"/>
              </w:rPr>
              <w:t xml:space="preserve">(Noël Marc, Pelletier J.D. Denis, Gauthier </w:t>
            </w:r>
          </w:p>
          <w:p w:rsidR="00961694" w:rsidRPr="007F2DB8" w:rsidRDefault="00961694" w:rsidP="00961694">
            <w:pPr>
              <w:jc w:val="both"/>
              <w:rPr>
                <w:sz w:val="20"/>
              </w:rPr>
            </w:pPr>
            <w:r w:rsidRPr="007F2DB8">
              <w:rPr>
                <w:sz w:val="20"/>
              </w:rPr>
              <w:t>Johanne)</w:t>
            </w:r>
          </w:p>
          <w:p w:rsidR="00961694" w:rsidRPr="00E007CB" w:rsidRDefault="00961694" w:rsidP="00961694">
            <w:pPr>
              <w:jc w:val="both"/>
              <w:rPr>
                <w:rFonts w:eastAsia="Calibri"/>
                <w:sz w:val="20"/>
              </w:rPr>
            </w:pPr>
          </w:p>
        </w:tc>
        <w:tc>
          <w:tcPr>
            <w:tcW w:w="243" w:type="pct"/>
          </w:tcPr>
          <w:p w:rsidR="00961694" w:rsidRPr="00E007CB" w:rsidRDefault="00961694" w:rsidP="00961694">
            <w:pPr>
              <w:jc w:val="both"/>
              <w:rPr>
                <w:rFonts w:eastAsia="Calibri"/>
                <w:sz w:val="20"/>
              </w:rPr>
            </w:pPr>
          </w:p>
        </w:tc>
        <w:tc>
          <w:tcPr>
            <w:tcW w:w="2330" w:type="pct"/>
          </w:tcPr>
          <w:p w:rsidR="00961694" w:rsidRPr="007F2DB8" w:rsidRDefault="00961694" w:rsidP="00961694">
            <w:pPr>
              <w:jc w:val="both"/>
              <w:rPr>
                <w:sz w:val="20"/>
              </w:rPr>
            </w:pPr>
            <w:r w:rsidRPr="007F2DB8">
              <w:rPr>
                <w:sz w:val="20"/>
              </w:rPr>
              <w:t>Appeal dismissed</w:t>
            </w:r>
          </w:p>
          <w:p w:rsidR="00961694" w:rsidRPr="007F2DB8" w:rsidRDefault="00961694" w:rsidP="00961694">
            <w:pPr>
              <w:jc w:val="both"/>
              <w:rPr>
                <w:sz w:val="20"/>
              </w:rPr>
            </w:pPr>
          </w:p>
        </w:tc>
      </w:tr>
      <w:tr w:rsidR="00961694" w:rsidRPr="00E007CB" w:rsidTr="00CD41B1">
        <w:trPr>
          <w:cantSplit/>
        </w:trPr>
        <w:tc>
          <w:tcPr>
            <w:tcW w:w="2427" w:type="pct"/>
          </w:tcPr>
          <w:p w:rsidR="00961694" w:rsidRPr="00E007CB" w:rsidRDefault="00961694" w:rsidP="00961694">
            <w:pPr>
              <w:jc w:val="both"/>
              <w:rPr>
                <w:rFonts w:eastAsia="Calibri"/>
                <w:sz w:val="20"/>
              </w:rPr>
            </w:pPr>
            <w:r>
              <w:rPr>
                <w:rFonts w:eastAsia="Calibri"/>
                <w:sz w:val="20"/>
              </w:rPr>
              <w:t>July 31</w:t>
            </w:r>
            <w:r w:rsidRPr="00E007CB">
              <w:rPr>
                <w:rFonts w:eastAsia="Calibri"/>
                <w:sz w:val="20"/>
              </w:rPr>
              <w:t>, 201</w:t>
            </w:r>
            <w:r>
              <w:rPr>
                <w:rFonts w:eastAsia="Calibri"/>
                <w:sz w:val="20"/>
              </w:rPr>
              <w:t>5</w:t>
            </w:r>
          </w:p>
          <w:p w:rsidR="00961694" w:rsidRPr="00E007CB" w:rsidRDefault="00961694" w:rsidP="00961694">
            <w:pPr>
              <w:jc w:val="both"/>
              <w:rPr>
                <w:rFonts w:eastAsia="Calibri"/>
                <w:sz w:val="20"/>
              </w:rPr>
            </w:pPr>
            <w:r w:rsidRPr="00E007CB">
              <w:rPr>
                <w:rFonts w:eastAsia="Calibri"/>
                <w:sz w:val="20"/>
              </w:rPr>
              <w:t>Supreme Court of Canada</w:t>
            </w:r>
          </w:p>
        </w:tc>
        <w:tc>
          <w:tcPr>
            <w:tcW w:w="243" w:type="pct"/>
          </w:tcPr>
          <w:p w:rsidR="00961694" w:rsidRPr="00E007CB" w:rsidRDefault="00961694" w:rsidP="00961694">
            <w:pPr>
              <w:jc w:val="both"/>
              <w:rPr>
                <w:rFonts w:eastAsia="Calibri"/>
                <w:sz w:val="20"/>
              </w:rPr>
            </w:pPr>
          </w:p>
        </w:tc>
        <w:tc>
          <w:tcPr>
            <w:tcW w:w="2330" w:type="pct"/>
          </w:tcPr>
          <w:p w:rsidR="00961694" w:rsidRPr="007F2DB8" w:rsidRDefault="00961694" w:rsidP="00961694">
            <w:pPr>
              <w:jc w:val="both"/>
              <w:rPr>
                <w:sz w:val="20"/>
              </w:rPr>
            </w:pPr>
            <w:r w:rsidRPr="007F2DB8">
              <w:rPr>
                <w:sz w:val="20"/>
              </w:rPr>
              <w:t>Application for leave to appeal filed; motion to extend time filed</w:t>
            </w:r>
          </w:p>
        </w:tc>
      </w:tr>
    </w:tbl>
    <w:p w:rsidR="00CD41B1" w:rsidRDefault="00CD41B1" w:rsidP="00CD41B1">
      <w:pPr>
        <w:rPr>
          <w:sz w:val="20"/>
          <w:szCs w:val="20"/>
        </w:rPr>
      </w:pPr>
    </w:p>
    <w:p w:rsidR="00CD41B1" w:rsidRPr="00C50A5C" w:rsidRDefault="00C232E1" w:rsidP="00CD41B1">
      <w:pPr>
        <w:rPr>
          <w:sz w:val="20"/>
          <w:szCs w:val="20"/>
        </w:rPr>
      </w:pPr>
      <w:r>
        <w:rPr>
          <w:sz w:val="20"/>
          <w:szCs w:val="20"/>
          <w:lang w:val="fr-CA"/>
        </w:rPr>
        <w:pict>
          <v:rect id="_x0000_i1072" style="width:2in;height:1pt" o:hrpct="0" o:hralign="center" o:hrstd="t" o:hrnoshade="t" o:hr="t" fillcolor="black [3213]" stroked="f"/>
        </w:pict>
      </w:r>
    </w:p>
    <w:p w:rsidR="00CD41B1" w:rsidRDefault="00CD41B1" w:rsidP="00CD41B1">
      <w:pPr>
        <w:rPr>
          <w:sz w:val="20"/>
          <w:szCs w:val="20"/>
        </w:rPr>
      </w:pPr>
    </w:p>
    <w:p w:rsidR="00CD41B1" w:rsidRPr="001B157C" w:rsidRDefault="00CD41B1" w:rsidP="00CD41B1">
      <w:pPr>
        <w:rPr>
          <w:sz w:val="20"/>
          <w:szCs w:val="20"/>
          <w:u w:val="single"/>
          <w:lang w:val="fr-CA"/>
        </w:rPr>
      </w:pPr>
      <w:r w:rsidRPr="001B157C">
        <w:rPr>
          <w:sz w:val="20"/>
          <w:szCs w:val="20"/>
          <w:u w:val="single"/>
          <w:lang w:val="fr-CA"/>
        </w:rPr>
        <w:t>RÉSUMÉ DE L’AFFAIRE</w:t>
      </w:r>
    </w:p>
    <w:p w:rsidR="00CD41B1" w:rsidRDefault="00CD41B1" w:rsidP="00CD41B1">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1694" w:rsidRPr="00002704" w:rsidTr="00CD41B1">
        <w:tc>
          <w:tcPr>
            <w:tcW w:w="5000" w:type="pct"/>
            <w:gridSpan w:val="3"/>
          </w:tcPr>
          <w:p w:rsidR="00961694" w:rsidRDefault="00961694" w:rsidP="00961694">
            <w:pPr>
              <w:jc w:val="both"/>
              <w:rPr>
                <w:bCs/>
                <w:sz w:val="20"/>
                <w:lang w:val="fr-CA" w:eastAsia="fr-CA"/>
              </w:rPr>
            </w:pPr>
            <w:r w:rsidRPr="007F2DB8">
              <w:rPr>
                <w:sz w:val="20"/>
                <w:lang w:val="fr-CA"/>
              </w:rPr>
              <w:t xml:space="preserve">Relations de travail – Griefs – Compétence de l’arbitre – Contrôle judiciaire – La Cour d’appel a-t-elle commis une erreur de droit en concluant comme étant raisonnable la décision de la Cour fédérale selon laquelle le non versement de l’indemnité n’a pas pour effet de donner compétence à l’arbitre d’entendre le grief sur le fond? Si oui, quel est le fardeau de preuve du fonctionnaire? La Cour d’appel a-t-elle commis une erreur dans le choix de la norme de contrôle applicable à cette question? – La Cour d’appel a-t-elle commis une erreur de droit lorsqu’elle a conclu comme étant raisonnable la décision de la Cour fédérale selon laquelle les lignes directrices du Conseil du trésor sur le renvoi en cours de stage n’ont pas force de loi à l’égard de l’intimé ni pertinentes pour déterminer si l’intimé a agi de bonne foi lors du renvoi de la demanderesse? – La Cour d’appel a-t-elle commis une erreur de droit en concluant que la Cour fédérale a rendu une décision raisonnable relativement à l’interprétation de l’arbitre quant à l’application du concept de « bonne foi, de camouflage et de subterfuge » en matière de renvoi en cours de stage? – Le fardeau de preuve du concept de « bonne foi » qui incombe au fonctionnaire renvoyé tel que décidé et interprété par la Cour d’appel dans la présente décision </w:t>
            </w:r>
            <w:proofErr w:type="spellStart"/>
            <w:r w:rsidRPr="007F2DB8">
              <w:rPr>
                <w:sz w:val="20"/>
                <w:lang w:val="fr-CA"/>
              </w:rPr>
              <w:t>a-t-il</w:t>
            </w:r>
            <w:proofErr w:type="spellEnd"/>
            <w:r w:rsidRPr="007F2DB8">
              <w:rPr>
                <w:sz w:val="20"/>
                <w:lang w:val="fr-CA"/>
              </w:rPr>
              <w:t xml:space="preserve"> pour effet de rendre pratiquement et concrètement impossible, en droit fédéral, l’exercice des droits des fonctionnaires renvoyés en période de stage? – </w:t>
            </w:r>
            <w:hyperlink r:id="rId67" w:history="1">
              <w:r w:rsidRPr="007F2DB8">
                <w:rPr>
                  <w:rStyle w:val="citationcar"/>
                  <w:i/>
                  <w:iCs/>
                  <w:sz w:val="20"/>
                  <w:lang w:val="fr-CA"/>
                </w:rPr>
                <w:t>Loi sur les relations de travail dans la fonction publique</w:t>
              </w:r>
              <w:r w:rsidRPr="007F2DB8">
                <w:rPr>
                  <w:rStyle w:val="citationcar"/>
                  <w:sz w:val="20"/>
                  <w:lang w:val="fr-CA"/>
                </w:rPr>
                <w:t>, L.C. 2003, c 22</w:t>
              </w:r>
            </w:hyperlink>
            <w:r w:rsidRPr="007F2DB8">
              <w:rPr>
                <w:sz w:val="20"/>
                <w:lang w:val="fr-CA"/>
              </w:rPr>
              <w:t xml:space="preserve">, art. 2 – </w:t>
            </w:r>
            <w:hyperlink r:id="rId68" w:history="1">
              <w:r w:rsidRPr="007F2DB8">
                <w:rPr>
                  <w:bCs/>
                  <w:i/>
                  <w:iCs/>
                  <w:sz w:val="20"/>
                  <w:lang w:val="fr-CA" w:eastAsia="fr-CA"/>
                </w:rPr>
                <w:t>Loi sur l’emploi dans la fonction publique</w:t>
              </w:r>
              <w:r w:rsidRPr="007F2DB8">
                <w:rPr>
                  <w:bCs/>
                  <w:sz w:val="20"/>
                  <w:lang w:val="fr-CA" w:eastAsia="fr-CA"/>
                </w:rPr>
                <w:t>, LC 2003, c 22, art. 12, 13</w:t>
              </w:r>
            </w:hyperlink>
            <w:r w:rsidRPr="007F2DB8">
              <w:rPr>
                <w:bCs/>
                <w:sz w:val="20"/>
                <w:lang w:val="fr-CA" w:eastAsia="fr-CA"/>
              </w:rPr>
              <w:t>.</w:t>
            </w:r>
          </w:p>
          <w:p w:rsidR="00961694" w:rsidRPr="007F2DB8" w:rsidRDefault="00961694" w:rsidP="00961694">
            <w:pPr>
              <w:jc w:val="both"/>
              <w:rPr>
                <w:sz w:val="20"/>
                <w:lang w:val="fr-CA"/>
              </w:rPr>
            </w:pPr>
          </w:p>
        </w:tc>
      </w:tr>
      <w:tr w:rsidR="00961694" w:rsidRPr="00E007CB" w:rsidTr="00CD41B1">
        <w:tc>
          <w:tcPr>
            <w:tcW w:w="5000" w:type="pct"/>
            <w:gridSpan w:val="3"/>
          </w:tcPr>
          <w:p w:rsidR="00961694" w:rsidRPr="007F2DB8" w:rsidRDefault="00961694" w:rsidP="00961694">
            <w:pPr>
              <w:jc w:val="both"/>
              <w:rPr>
                <w:sz w:val="20"/>
                <w:lang w:val="fr-CA"/>
              </w:rPr>
            </w:pPr>
            <w:r w:rsidRPr="007F2DB8">
              <w:rPr>
                <w:sz w:val="20"/>
                <w:lang w:val="fr-CA"/>
              </w:rPr>
              <w:t xml:space="preserve">Le 19 décembre 2006, la demanderesse a été embauchée à titre d’agente correctionnelle pour une durée indéterminée. Cet emploi était assujetti à une période de stage d’une durée de 12 mois. Au cours de ce stage, l’employeur a décidé de renvoyer la demanderesse compte tenu de son rendement insatisfaisant. La demanderesse a déposé un grief à l’encontre de son renvoi demandant d’être réintégrée dans son poste et de se faire rembourser le salaire et les indemnités qui lui étaient dus, ainsi que les dommages encourus. L’arbitre de grief de la Commission des relations de travail dans la fonction publique en arrive à la conclusion que la demanderesse était en stage quand elle a été renvoyée et que son employeur a établi de façon non équivoque qu’il la croyait incapable d’occuper les fonctions d’agent correctionnel. L’arbitre en arrive également à la conclusion que le renvoi en cours de stage n’a pas </w:t>
            </w:r>
            <w:proofErr w:type="gramStart"/>
            <w:r w:rsidRPr="007F2DB8">
              <w:rPr>
                <w:sz w:val="20"/>
                <w:lang w:val="fr-CA"/>
              </w:rPr>
              <w:t>servi</w:t>
            </w:r>
            <w:proofErr w:type="gramEnd"/>
            <w:r w:rsidRPr="007F2DB8">
              <w:rPr>
                <w:sz w:val="20"/>
                <w:lang w:val="fr-CA"/>
              </w:rPr>
              <w:t xml:space="preserve"> de subterfuge pour camoufler un autre motif de renvoi. L’arbitre précise que son rôle est limité à ces constatations et qu’il n’a donc pas compétence pour entendre le grief sur le fond.</w:t>
            </w:r>
          </w:p>
          <w:p w:rsidR="00961694" w:rsidRPr="00E007CB" w:rsidRDefault="00961694" w:rsidP="00961694">
            <w:pPr>
              <w:jc w:val="both"/>
              <w:rPr>
                <w:sz w:val="20"/>
                <w:lang w:val="fr-CA"/>
              </w:rPr>
            </w:pPr>
          </w:p>
        </w:tc>
      </w:tr>
      <w:tr w:rsidR="00961694" w:rsidRPr="00002704" w:rsidTr="00CD41B1">
        <w:trPr>
          <w:cantSplit/>
        </w:trPr>
        <w:tc>
          <w:tcPr>
            <w:tcW w:w="2427" w:type="pct"/>
          </w:tcPr>
          <w:p w:rsidR="00961694" w:rsidRPr="007F2DB8" w:rsidRDefault="00961694" w:rsidP="00961694">
            <w:pPr>
              <w:jc w:val="both"/>
              <w:rPr>
                <w:sz w:val="20"/>
                <w:lang w:val="fr-CA"/>
              </w:rPr>
            </w:pPr>
            <w:r w:rsidRPr="007F2DB8">
              <w:rPr>
                <w:sz w:val="20"/>
                <w:lang w:val="fr-CA"/>
              </w:rPr>
              <w:t>Le 30 avril 2014</w:t>
            </w:r>
          </w:p>
          <w:p w:rsidR="00961694" w:rsidRPr="007F2DB8" w:rsidRDefault="00961694" w:rsidP="00961694">
            <w:pPr>
              <w:jc w:val="both"/>
              <w:rPr>
                <w:sz w:val="20"/>
                <w:lang w:val="fr-CA"/>
              </w:rPr>
            </w:pPr>
            <w:r w:rsidRPr="007F2DB8">
              <w:rPr>
                <w:sz w:val="20"/>
                <w:lang w:val="fr-CA"/>
              </w:rPr>
              <w:t>Cour fédérale</w:t>
            </w:r>
          </w:p>
          <w:p w:rsidR="00961694" w:rsidRPr="007F2DB8" w:rsidRDefault="00961694" w:rsidP="00961694">
            <w:pPr>
              <w:jc w:val="both"/>
              <w:rPr>
                <w:sz w:val="20"/>
                <w:lang w:val="fr-CA"/>
              </w:rPr>
            </w:pPr>
            <w:r w:rsidRPr="007F2DB8">
              <w:rPr>
                <w:sz w:val="20"/>
                <w:lang w:val="fr-CA"/>
              </w:rPr>
              <w:t>(La juge Tremblay-Lamer)</w:t>
            </w:r>
          </w:p>
          <w:p w:rsidR="00961694" w:rsidRPr="007F2DB8" w:rsidRDefault="00961694" w:rsidP="00961694">
            <w:pPr>
              <w:jc w:val="both"/>
              <w:rPr>
                <w:sz w:val="20"/>
              </w:rPr>
            </w:pPr>
            <w:r w:rsidRPr="007F2DB8">
              <w:rPr>
                <w:sz w:val="20"/>
              </w:rPr>
              <w:t>No. T-544-13</w:t>
            </w:r>
          </w:p>
          <w:p w:rsidR="00961694" w:rsidRPr="007F2DB8" w:rsidRDefault="00C232E1" w:rsidP="00961694">
            <w:pPr>
              <w:jc w:val="both"/>
              <w:rPr>
                <w:rStyle w:val="Hyperlink"/>
                <w:rFonts w:eastAsiaTheme="majorEastAsia"/>
                <w:sz w:val="20"/>
              </w:rPr>
            </w:pPr>
            <w:hyperlink r:id="rId69" w:history="1">
              <w:r w:rsidR="00961694" w:rsidRPr="007F2DB8">
                <w:rPr>
                  <w:rStyle w:val="Hyperlink"/>
                  <w:rFonts w:eastAsiaTheme="majorEastAsia"/>
                  <w:sz w:val="20"/>
                </w:rPr>
                <w:t>2014 CF 400</w:t>
              </w:r>
            </w:hyperlink>
          </w:p>
          <w:p w:rsidR="00961694" w:rsidRPr="00E007CB" w:rsidRDefault="00961694" w:rsidP="00961694">
            <w:pPr>
              <w:jc w:val="both"/>
              <w:rPr>
                <w:rFonts w:eastAsia="Calibri"/>
                <w:sz w:val="20"/>
                <w:lang w:val="fr-CA"/>
              </w:rPr>
            </w:pPr>
          </w:p>
        </w:tc>
        <w:tc>
          <w:tcPr>
            <w:tcW w:w="243" w:type="pct"/>
          </w:tcPr>
          <w:p w:rsidR="00961694" w:rsidRPr="00E007CB" w:rsidRDefault="00961694" w:rsidP="00961694">
            <w:pPr>
              <w:jc w:val="both"/>
              <w:rPr>
                <w:rFonts w:eastAsia="Calibri"/>
                <w:sz w:val="20"/>
                <w:lang w:val="fr-CA"/>
              </w:rPr>
            </w:pPr>
          </w:p>
        </w:tc>
        <w:tc>
          <w:tcPr>
            <w:tcW w:w="2330" w:type="pct"/>
          </w:tcPr>
          <w:p w:rsidR="00961694" w:rsidRPr="007F2DB8" w:rsidRDefault="00961694" w:rsidP="00961694">
            <w:pPr>
              <w:jc w:val="both"/>
              <w:rPr>
                <w:sz w:val="20"/>
                <w:lang w:val="fr-CA"/>
              </w:rPr>
            </w:pPr>
            <w:r w:rsidRPr="007F2DB8">
              <w:rPr>
                <w:sz w:val="20"/>
                <w:lang w:val="fr-CA"/>
              </w:rPr>
              <w:t>Demande de contrôle judiciaire rejetée.</w:t>
            </w:r>
          </w:p>
          <w:p w:rsidR="00961694" w:rsidRPr="0026164C" w:rsidRDefault="00961694" w:rsidP="00961694">
            <w:pPr>
              <w:jc w:val="both"/>
              <w:rPr>
                <w:sz w:val="20"/>
                <w:lang w:val="fr-CA"/>
              </w:rPr>
            </w:pPr>
          </w:p>
        </w:tc>
      </w:tr>
      <w:tr w:rsidR="00961694" w:rsidRPr="00002704" w:rsidTr="00CD41B1">
        <w:trPr>
          <w:cantSplit/>
        </w:trPr>
        <w:tc>
          <w:tcPr>
            <w:tcW w:w="2427" w:type="pct"/>
          </w:tcPr>
          <w:p w:rsidR="00961694" w:rsidRPr="007F2DB8" w:rsidRDefault="00961694" w:rsidP="00961694">
            <w:pPr>
              <w:jc w:val="both"/>
              <w:rPr>
                <w:sz w:val="20"/>
                <w:lang w:val="fr-CA"/>
              </w:rPr>
            </w:pPr>
            <w:r w:rsidRPr="007F2DB8">
              <w:rPr>
                <w:sz w:val="20"/>
                <w:lang w:val="fr-CA"/>
              </w:rPr>
              <w:lastRenderedPageBreak/>
              <w:t>Le 16 mars 2015</w:t>
            </w:r>
          </w:p>
          <w:p w:rsidR="00961694" w:rsidRPr="007F2DB8" w:rsidRDefault="00961694" w:rsidP="00961694">
            <w:pPr>
              <w:jc w:val="both"/>
              <w:rPr>
                <w:sz w:val="20"/>
                <w:lang w:val="fr-CA"/>
              </w:rPr>
            </w:pPr>
            <w:r w:rsidRPr="007F2DB8">
              <w:rPr>
                <w:sz w:val="20"/>
                <w:lang w:val="fr-CA"/>
              </w:rPr>
              <w:t>Cour d’appel fédérale</w:t>
            </w:r>
          </w:p>
          <w:p w:rsidR="00961694" w:rsidRPr="007F2DB8" w:rsidRDefault="00961694" w:rsidP="00961694">
            <w:pPr>
              <w:jc w:val="both"/>
              <w:rPr>
                <w:sz w:val="20"/>
                <w:lang w:val="fr-CA"/>
              </w:rPr>
            </w:pPr>
            <w:r w:rsidRPr="007F2DB8">
              <w:rPr>
                <w:sz w:val="20"/>
                <w:lang w:val="fr-CA"/>
              </w:rPr>
              <w:t xml:space="preserve">(Noël Marc, Pelletier J.D. Denis, Gauthier </w:t>
            </w:r>
          </w:p>
          <w:p w:rsidR="00961694" w:rsidRPr="007F2DB8" w:rsidRDefault="00961694" w:rsidP="00961694">
            <w:pPr>
              <w:jc w:val="both"/>
              <w:rPr>
                <w:sz w:val="20"/>
              </w:rPr>
            </w:pPr>
            <w:r w:rsidRPr="007F2DB8">
              <w:rPr>
                <w:sz w:val="20"/>
              </w:rPr>
              <w:t>Johanne)</w:t>
            </w:r>
          </w:p>
          <w:p w:rsidR="00961694" w:rsidRPr="00E007CB" w:rsidRDefault="00961694" w:rsidP="00961694">
            <w:pPr>
              <w:jc w:val="both"/>
              <w:rPr>
                <w:rFonts w:eastAsia="Calibri"/>
                <w:sz w:val="20"/>
                <w:lang w:val="fr-CA"/>
              </w:rPr>
            </w:pPr>
          </w:p>
        </w:tc>
        <w:tc>
          <w:tcPr>
            <w:tcW w:w="243" w:type="pct"/>
          </w:tcPr>
          <w:p w:rsidR="00961694" w:rsidRPr="00E007CB" w:rsidRDefault="00961694" w:rsidP="00961694">
            <w:pPr>
              <w:jc w:val="both"/>
              <w:rPr>
                <w:rFonts w:eastAsia="Calibri"/>
                <w:sz w:val="20"/>
                <w:lang w:val="fr-CA"/>
              </w:rPr>
            </w:pPr>
          </w:p>
        </w:tc>
        <w:tc>
          <w:tcPr>
            <w:tcW w:w="2330" w:type="pct"/>
          </w:tcPr>
          <w:p w:rsidR="00961694" w:rsidRPr="007F2DB8" w:rsidRDefault="00961694" w:rsidP="00961694">
            <w:pPr>
              <w:jc w:val="both"/>
              <w:rPr>
                <w:sz w:val="20"/>
              </w:rPr>
            </w:pPr>
            <w:r w:rsidRPr="007F2DB8">
              <w:rPr>
                <w:sz w:val="20"/>
              </w:rPr>
              <w:t xml:space="preserve">Appel </w:t>
            </w:r>
            <w:proofErr w:type="spellStart"/>
            <w:r w:rsidRPr="007F2DB8">
              <w:rPr>
                <w:sz w:val="20"/>
              </w:rPr>
              <w:t>rejeté</w:t>
            </w:r>
            <w:proofErr w:type="spellEnd"/>
            <w:r w:rsidRPr="007F2DB8">
              <w:rPr>
                <w:sz w:val="20"/>
              </w:rPr>
              <w:t>.</w:t>
            </w:r>
          </w:p>
          <w:p w:rsidR="00961694" w:rsidRPr="00E007CB" w:rsidRDefault="00961694" w:rsidP="00961694">
            <w:pPr>
              <w:jc w:val="both"/>
              <w:rPr>
                <w:rFonts w:eastAsia="Calibri"/>
                <w:sz w:val="20"/>
                <w:lang w:val="fr-CA"/>
              </w:rPr>
            </w:pPr>
          </w:p>
        </w:tc>
      </w:tr>
      <w:tr w:rsidR="00961694" w:rsidRPr="00E007CB" w:rsidTr="00CD41B1">
        <w:trPr>
          <w:cantSplit/>
        </w:trPr>
        <w:tc>
          <w:tcPr>
            <w:tcW w:w="2427" w:type="pct"/>
          </w:tcPr>
          <w:p w:rsidR="00961694" w:rsidRPr="00E007CB" w:rsidRDefault="00961694" w:rsidP="00961694">
            <w:pPr>
              <w:jc w:val="both"/>
              <w:rPr>
                <w:rFonts w:eastAsia="Calibri"/>
                <w:sz w:val="20"/>
                <w:lang w:val="fr-CA"/>
              </w:rPr>
            </w:pPr>
            <w:r>
              <w:rPr>
                <w:rFonts w:eastAsia="Calibri"/>
                <w:sz w:val="20"/>
                <w:lang w:val="fr-CA"/>
              </w:rPr>
              <w:t>31 juillet</w:t>
            </w:r>
            <w:r w:rsidRPr="00E007CB">
              <w:rPr>
                <w:rFonts w:eastAsia="Calibri"/>
                <w:sz w:val="20"/>
                <w:lang w:val="fr-CA"/>
              </w:rPr>
              <w:t xml:space="preserve"> 201</w:t>
            </w:r>
            <w:r>
              <w:rPr>
                <w:rFonts w:eastAsia="Calibri"/>
                <w:sz w:val="20"/>
                <w:lang w:val="fr-CA"/>
              </w:rPr>
              <w:t>5</w:t>
            </w:r>
          </w:p>
          <w:p w:rsidR="00961694" w:rsidRPr="00E007CB" w:rsidRDefault="00961694" w:rsidP="00961694">
            <w:pPr>
              <w:jc w:val="both"/>
              <w:rPr>
                <w:rFonts w:eastAsia="Calibri"/>
                <w:sz w:val="20"/>
                <w:lang w:val="fr-CA"/>
              </w:rPr>
            </w:pPr>
            <w:r w:rsidRPr="00E007CB">
              <w:rPr>
                <w:rFonts w:eastAsia="Calibri"/>
                <w:sz w:val="20"/>
                <w:lang w:val="fr-CA"/>
              </w:rPr>
              <w:t>Cour suprême du Canada</w:t>
            </w:r>
          </w:p>
        </w:tc>
        <w:tc>
          <w:tcPr>
            <w:tcW w:w="243" w:type="pct"/>
          </w:tcPr>
          <w:p w:rsidR="00961694" w:rsidRPr="00E007CB" w:rsidRDefault="00961694" w:rsidP="00961694">
            <w:pPr>
              <w:jc w:val="both"/>
              <w:rPr>
                <w:rFonts w:eastAsia="Calibri"/>
                <w:sz w:val="20"/>
                <w:lang w:val="fr-CA"/>
              </w:rPr>
            </w:pPr>
          </w:p>
        </w:tc>
        <w:tc>
          <w:tcPr>
            <w:tcW w:w="2330" w:type="pct"/>
          </w:tcPr>
          <w:p w:rsidR="00961694" w:rsidRPr="007F2DB8" w:rsidRDefault="00961694" w:rsidP="00961694">
            <w:pPr>
              <w:jc w:val="both"/>
              <w:rPr>
                <w:sz w:val="20"/>
                <w:lang w:val="fr-CA"/>
              </w:rPr>
            </w:pPr>
            <w:r w:rsidRPr="007F2DB8">
              <w:rPr>
                <w:sz w:val="20"/>
                <w:lang w:val="fr-CA"/>
              </w:rPr>
              <w:t>Demande d’autorisation d’appel déposée; requête en prorogation de délai déposée.</w:t>
            </w:r>
          </w:p>
        </w:tc>
      </w:tr>
    </w:tbl>
    <w:p w:rsidR="00CD41B1" w:rsidRDefault="00CD41B1" w:rsidP="00CD41B1">
      <w:pPr>
        <w:rPr>
          <w:sz w:val="20"/>
          <w:szCs w:val="20"/>
        </w:rPr>
      </w:pPr>
    </w:p>
    <w:p w:rsidR="00CD41B1" w:rsidRDefault="00C232E1" w:rsidP="00CD41B1">
      <w:pPr>
        <w:rPr>
          <w:sz w:val="20"/>
          <w:szCs w:val="20"/>
        </w:rPr>
      </w:pPr>
      <w:r>
        <w:rPr>
          <w:sz w:val="20"/>
          <w:szCs w:val="20"/>
          <w:lang w:val="fr-CA"/>
        </w:rPr>
        <w:pict>
          <v:rect id="_x0000_i1073" style="width:2in;height:1pt" o:hrpct="0" o:hralign="center" o:hrstd="t" o:hrnoshade="t" o:hr="t" fillcolor="black [3213]" stroked="f"/>
        </w:pict>
      </w:r>
    </w:p>
    <w:p w:rsidR="00D634F2" w:rsidRDefault="00D634F2" w:rsidP="00D634F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634F2" w:rsidRPr="00A73D2C" w:rsidTr="008B19E4">
        <w:trPr>
          <w:cantSplit/>
        </w:trPr>
        <w:tc>
          <w:tcPr>
            <w:tcW w:w="1458" w:type="dxa"/>
          </w:tcPr>
          <w:p w:rsidR="00D634F2" w:rsidRPr="00A73D2C" w:rsidRDefault="00D634F2" w:rsidP="008B19E4">
            <w:pPr>
              <w:rPr>
                <w:sz w:val="20"/>
                <w:szCs w:val="20"/>
              </w:rPr>
            </w:pPr>
            <w:r w:rsidRPr="00A73D2C">
              <w:rPr>
                <w:rStyle w:val="SCCFileNumberChar"/>
                <w:sz w:val="20"/>
                <w:szCs w:val="20"/>
              </w:rPr>
              <w:t>3</w:t>
            </w:r>
            <w:r>
              <w:rPr>
                <w:rStyle w:val="SCCFileNumberChar"/>
                <w:sz w:val="20"/>
                <w:szCs w:val="20"/>
              </w:rPr>
              <w:t>6553</w:t>
            </w:r>
          </w:p>
          <w:p w:rsidR="00D634F2" w:rsidRPr="00A73D2C" w:rsidRDefault="00D634F2" w:rsidP="008B19E4">
            <w:pPr>
              <w:rPr>
                <w:b/>
                <w:sz w:val="20"/>
                <w:szCs w:val="20"/>
                <w:lang w:val="fr-CA"/>
              </w:rPr>
            </w:pPr>
          </w:p>
        </w:tc>
        <w:tc>
          <w:tcPr>
            <w:tcW w:w="8118" w:type="dxa"/>
          </w:tcPr>
          <w:p w:rsidR="00D634F2" w:rsidRPr="00A73D2C" w:rsidRDefault="00D634F2" w:rsidP="008B19E4">
            <w:pPr>
              <w:rPr>
                <w:sz w:val="20"/>
                <w:szCs w:val="20"/>
              </w:rPr>
            </w:pPr>
            <w:r w:rsidRPr="00676C73">
              <w:rPr>
                <w:b/>
                <w:sz w:val="20"/>
                <w:szCs w:val="20"/>
                <w:u w:val="single"/>
              </w:rPr>
              <w:t xml:space="preserve">Dragoljub </w:t>
            </w:r>
            <w:proofErr w:type="spellStart"/>
            <w:r w:rsidRPr="00676C73">
              <w:rPr>
                <w:b/>
                <w:sz w:val="20"/>
                <w:szCs w:val="20"/>
                <w:u w:val="single"/>
              </w:rPr>
              <w:t>Milunovic</w:t>
            </w:r>
            <w:proofErr w:type="spellEnd"/>
            <w:r w:rsidRPr="00676C73">
              <w:rPr>
                <w:b/>
                <w:sz w:val="20"/>
                <w:szCs w:val="20"/>
                <w:u w:val="single"/>
              </w:rPr>
              <w:t xml:space="preserve"> c. Yves Bélanger</w:t>
            </w:r>
            <w:r w:rsidR="00BD70C3">
              <w:rPr>
                <w:b/>
                <w:sz w:val="20"/>
                <w:szCs w:val="20"/>
                <w:u w:val="single"/>
              </w:rPr>
              <w:t xml:space="preserve"> et</w:t>
            </w:r>
            <w:r w:rsidRPr="00676C73">
              <w:rPr>
                <w:b/>
                <w:sz w:val="20"/>
                <w:szCs w:val="20"/>
                <w:u w:val="single"/>
              </w:rPr>
              <w:t xml:space="preserve"> </w:t>
            </w:r>
            <w:proofErr w:type="spellStart"/>
            <w:r w:rsidRPr="00676C73">
              <w:rPr>
                <w:b/>
                <w:sz w:val="20"/>
                <w:szCs w:val="20"/>
                <w:u w:val="single"/>
              </w:rPr>
              <w:t>Bélanger</w:t>
            </w:r>
            <w:proofErr w:type="spellEnd"/>
            <w:r w:rsidRPr="00676C73">
              <w:rPr>
                <w:b/>
                <w:sz w:val="20"/>
                <w:szCs w:val="20"/>
                <w:u w:val="single"/>
              </w:rPr>
              <w:t xml:space="preserve"> Sauvé, </w:t>
            </w:r>
            <w:proofErr w:type="spellStart"/>
            <w:r w:rsidR="00BD70C3">
              <w:rPr>
                <w:b/>
                <w:sz w:val="20"/>
                <w:szCs w:val="20"/>
                <w:u w:val="single"/>
              </w:rPr>
              <w:t>s.e.n.c</w:t>
            </w:r>
            <w:proofErr w:type="spellEnd"/>
            <w:r w:rsidRPr="00676C73">
              <w:rPr>
                <w:b/>
                <w:sz w:val="20"/>
                <w:szCs w:val="20"/>
                <w:u w:val="single"/>
              </w:rPr>
              <w:t>.</w:t>
            </w:r>
            <w:r w:rsidRPr="00A73D2C">
              <w:rPr>
                <w:sz w:val="20"/>
                <w:szCs w:val="20"/>
              </w:rPr>
              <w:t xml:space="preserve"> (</w:t>
            </w:r>
            <w:r>
              <w:rPr>
                <w:sz w:val="20"/>
                <w:szCs w:val="20"/>
              </w:rPr>
              <w:t>Qc</w:t>
            </w:r>
            <w:r w:rsidRPr="00A73D2C">
              <w:rPr>
                <w:sz w:val="20"/>
                <w:szCs w:val="20"/>
              </w:rPr>
              <w:t>) (</w:t>
            </w:r>
            <w:proofErr w:type="spellStart"/>
            <w:r w:rsidRPr="00A73D2C">
              <w:rPr>
                <w:sz w:val="20"/>
                <w:szCs w:val="20"/>
              </w:rPr>
              <w:t>Ci</w:t>
            </w:r>
            <w:r>
              <w:rPr>
                <w:sz w:val="20"/>
                <w:szCs w:val="20"/>
              </w:rPr>
              <w:t>v</w:t>
            </w:r>
            <w:r w:rsidRPr="00A73D2C">
              <w:rPr>
                <w:sz w:val="20"/>
                <w:szCs w:val="20"/>
              </w:rPr>
              <w:t>il</w:t>
            </w:r>
            <w:r>
              <w:rPr>
                <w:sz w:val="20"/>
                <w:szCs w:val="20"/>
              </w:rPr>
              <w:t>e</w:t>
            </w:r>
            <w:proofErr w:type="spellEnd"/>
            <w:r w:rsidRPr="00A73D2C">
              <w:rPr>
                <w:sz w:val="20"/>
                <w:szCs w:val="20"/>
              </w:rPr>
              <w:t>) (</w:t>
            </w:r>
            <w:proofErr w:type="spellStart"/>
            <w:r>
              <w:rPr>
                <w:sz w:val="20"/>
                <w:szCs w:val="20"/>
              </w:rPr>
              <w:t>Autorisation</w:t>
            </w:r>
            <w:proofErr w:type="spellEnd"/>
            <w:r w:rsidRPr="00A73D2C">
              <w:rPr>
                <w:sz w:val="20"/>
                <w:szCs w:val="20"/>
              </w:rPr>
              <w:t>)</w:t>
            </w:r>
          </w:p>
          <w:p w:rsidR="00D634F2" w:rsidRPr="00A73D2C" w:rsidRDefault="00D634F2" w:rsidP="008B19E4">
            <w:pPr>
              <w:rPr>
                <w:sz w:val="20"/>
                <w:szCs w:val="20"/>
              </w:rPr>
            </w:pPr>
          </w:p>
        </w:tc>
      </w:tr>
      <w:tr w:rsidR="00D634F2" w:rsidRPr="00A73D2C" w:rsidTr="008B19E4">
        <w:trPr>
          <w:cantSplit/>
        </w:trPr>
        <w:tc>
          <w:tcPr>
            <w:tcW w:w="1458" w:type="dxa"/>
          </w:tcPr>
          <w:p w:rsidR="00D634F2" w:rsidRPr="00A73D2C" w:rsidRDefault="00D634F2" w:rsidP="008B19E4">
            <w:pPr>
              <w:rPr>
                <w:sz w:val="20"/>
                <w:szCs w:val="20"/>
              </w:rPr>
            </w:pPr>
            <w:r w:rsidRPr="00A73D2C">
              <w:rPr>
                <w:sz w:val="20"/>
                <w:szCs w:val="20"/>
              </w:rPr>
              <w:t>Coram :</w:t>
            </w:r>
          </w:p>
        </w:tc>
        <w:tc>
          <w:tcPr>
            <w:tcW w:w="8118" w:type="dxa"/>
          </w:tcPr>
          <w:p w:rsidR="00D634F2" w:rsidRDefault="002519F1" w:rsidP="008B19E4">
            <w:pPr>
              <w:rPr>
                <w:rStyle w:val="SCCCoramChar"/>
                <w:sz w:val="20"/>
                <w:szCs w:val="20"/>
                <w:lang w:val="en-CA"/>
              </w:rPr>
            </w:pPr>
            <w:r w:rsidRPr="002519F1">
              <w:rPr>
                <w:rStyle w:val="SCCCoramChar"/>
                <w:sz w:val="20"/>
                <w:szCs w:val="20"/>
                <w:lang w:val="en-CA"/>
              </w:rPr>
              <w:t xml:space="preserve">Les </w:t>
            </w:r>
            <w:proofErr w:type="spellStart"/>
            <w:r w:rsidRPr="002519F1">
              <w:rPr>
                <w:rStyle w:val="SCCCoramChar"/>
                <w:sz w:val="20"/>
                <w:szCs w:val="20"/>
                <w:lang w:val="en-CA"/>
              </w:rPr>
              <w:t>juges</w:t>
            </w:r>
            <w:proofErr w:type="spellEnd"/>
            <w:r w:rsidRPr="002519F1">
              <w:rPr>
                <w:rStyle w:val="SCCCoramChar"/>
                <w:sz w:val="20"/>
                <w:szCs w:val="20"/>
                <w:lang w:val="en-CA"/>
              </w:rPr>
              <w:t xml:space="preserve"> Abella, Karakatsanis et Brown</w:t>
            </w:r>
          </w:p>
          <w:p w:rsidR="002519F1" w:rsidRPr="00A73D2C" w:rsidRDefault="002519F1" w:rsidP="008B19E4">
            <w:pPr>
              <w:rPr>
                <w:sz w:val="20"/>
                <w:szCs w:val="20"/>
                <w:u w:val="single"/>
              </w:rPr>
            </w:pPr>
          </w:p>
        </w:tc>
      </w:tr>
      <w:tr w:rsidR="00D634F2" w:rsidRPr="00002704" w:rsidTr="008B19E4">
        <w:trPr>
          <w:cantSplit/>
        </w:trPr>
        <w:tc>
          <w:tcPr>
            <w:tcW w:w="9576" w:type="dxa"/>
            <w:gridSpan w:val="2"/>
          </w:tcPr>
          <w:p w:rsidR="002519F1" w:rsidRDefault="002519F1" w:rsidP="002519F1">
            <w:pPr>
              <w:pStyle w:val="SCCShortJudgment"/>
            </w:pPr>
            <w:r>
              <w:t xml:space="preserve">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du Québec (Montréal), </w:t>
            </w:r>
            <w:proofErr w:type="spellStart"/>
            <w:r>
              <w:t>numéro</w:t>
            </w:r>
            <w:proofErr w:type="spellEnd"/>
            <w:r>
              <w:t xml:space="preserve"> 500-09-025100-157, 2015 QCCA 282, </w:t>
            </w:r>
            <w:proofErr w:type="spellStart"/>
            <w:r>
              <w:t>daté</w:t>
            </w:r>
            <w:proofErr w:type="spellEnd"/>
            <w:r>
              <w:t xml:space="preserve"> du 14 </w:t>
            </w:r>
            <w:proofErr w:type="spellStart"/>
            <w:r>
              <w:t>mai</w:t>
            </w:r>
            <w:proofErr w:type="spellEnd"/>
            <w:r>
              <w:t xml:space="preserve"> 2015, </w:t>
            </w:r>
            <w:proofErr w:type="spellStart"/>
            <w:r>
              <w:t>est</w:t>
            </w:r>
            <w:proofErr w:type="spellEnd"/>
            <w:r>
              <w:t xml:space="preserve"> </w:t>
            </w:r>
            <w:proofErr w:type="spellStart"/>
            <w:r>
              <w:t>rejetée</w:t>
            </w:r>
            <w:proofErr w:type="spellEnd"/>
            <w:r>
              <w:t xml:space="preserve"> sans </w:t>
            </w:r>
            <w:proofErr w:type="spellStart"/>
            <w:r>
              <w:t>dépens</w:t>
            </w:r>
            <w:proofErr w:type="spellEnd"/>
            <w:r>
              <w:t>.</w:t>
            </w:r>
          </w:p>
          <w:p w:rsidR="002519F1" w:rsidRDefault="002519F1" w:rsidP="002519F1">
            <w:pPr>
              <w:pStyle w:val="SCCShortJudgment"/>
              <w:ind w:firstLine="0"/>
            </w:pPr>
          </w:p>
          <w:p w:rsidR="00D634F2" w:rsidRPr="00A73D2C" w:rsidRDefault="002519F1" w:rsidP="002519F1">
            <w:pPr>
              <w:pStyle w:val="SCCShortJudgment"/>
              <w:rPr>
                <w:szCs w:val="20"/>
                <w:lang w:val="fr-CA"/>
              </w:rPr>
            </w:pPr>
            <w:r>
              <w:t>The application for leave to appeal from the judgment of the Court of Appeal of Quebec (Montréal), Number 500-09-025100-157, 2015 QCCA 282, dated May 14, 2015, is dismissed without costs.</w:t>
            </w:r>
          </w:p>
        </w:tc>
      </w:tr>
    </w:tbl>
    <w:p w:rsidR="00D634F2" w:rsidRPr="0016547E" w:rsidRDefault="00D634F2" w:rsidP="00D634F2">
      <w:pPr>
        <w:rPr>
          <w:sz w:val="20"/>
          <w:szCs w:val="20"/>
          <w:lang w:val="fr-CA"/>
        </w:rPr>
      </w:pPr>
    </w:p>
    <w:p w:rsidR="00D634F2" w:rsidRPr="001B157C" w:rsidRDefault="00D634F2" w:rsidP="00D634F2">
      <w:pPr>
        <w:rPr>
          <w:sz w:val="20"/>
          <w:szCs w:val="20"/>
          <w:u w:val="single"/>
        </w:rPr>
      </w:pPr>
      <w:r w:rsidRPr="001B157C">
        <w:rPr>
          <w:sz w:val="20"/>
          <w:szCs w:val="20"/>
          <w:u w:val="single"/>
        </w:rPr>
        <w:t>CASE SUMMARY</w:t>
      </w:r>
    </w:p>
    <w:p w:rsidR="00D634F2" w:rsidRDefault="00D634F2" w:rsidP="00D634F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634F2" w:rsidRPr="00E007CB" w:rsidTr="008B19E4">
        <w:tc>
          <w:tcPr>
            <w:tcW w:w="5000" w:type="pct"/>
            <w:gridSpan w:val="3"/>
          </w:tcPr>
          <w:p w:rsidR="00D634F2" w:rsidRDefault="00D634F2" w:rsidP="00D634F2">
            <w:pPr>
              <w:jc w:val="both"/>
              <w:rPr>
                <w:sz w:val="20"/>
              </w:rPr>
            </w:pPr>
            <w:r w:rsidRPr="007F2DB8">
              <w:rPr>
                <w:sz w:val="20"/>
              </w:rPr>
              <w:t>Law of professions – Lawyer – Professional liability – Trust account – Whether applicant raising issue of public importance.</w:t>
            </w:r>
          </w:p>
          <w:p w:rsidR="00D634F2" w:rsidRPr="007F2DB8" w:rsidRDefault="00D634F2" w:rsidP="00D634F2">
            <w:pPr>
              <w:jc w:val="both"/>
              <w:rPr>
                <w:sz w:val="20"/>
              </w:rPr>
            </w:pPr>
          </w:p>
        </w:tc>
      </w:tr>
      <w:tr w:rsidR="00D634F2" w:rsidRPr="00E007CB" w:rsidTr="008B19E4">
        <w:tc>
          <w:tcPr>
            <w:tcW w:w="5000" w:type="pct"/>
            <w:gridSpan w:val="3"/>
          </w:tcPr>
          <w:p w:rsidR="00D634F2" w:rsidRPr="007F2DB8" w:rsidRDefault="00D634F2" w:rsidP="00D634F2">
            <w:pPr>
              <w:jc w:val="both"/>
              <w:rPr>
                <w:sz w:val="20"/>
              </w:rPr>
            </w:pPr>
            <w:r w:rsidRPr="007F2DB8">
              <w:rPr>
                <w:sz w:val="20"/>
              </w:rPr>
              <w:t xml:space="preserve">The applicant is challenging the decisions of the courts below finding that his lawyer did not commit any fault by withholding and appropriating part of the amounts held in trust that were owed to him as a result of the settlement of a case. </w:t>
            </w:r>
          </w:p>
          <w:p w:rsidR="00D634F2" w:rsidRPr="00E007CB" w:rsidRDefault="00D634F2" w:rsidP="00D634F2">
            <w:pPr>
              <w:jc w:val="both"/>
              <w:rPr>
                <w:rFonts w:eastAsia="Calibri"/>
                <w:sz w:val="20"/>
              </w:rPr>
            </w:pPr>
          </w:p>
        </w:tc>
      </w:tr>
      <w:tr w:rsidR="00D634F2" w:rsidRPr="00E007CB" w:rsidTr="008B19E4">
        <w:trPr>
          <w:cantSplit/>
        </w:trPr>
        <w:tc>
          <w:tcPr>
            <w:tcW w:w="2427" w:type="pct"/>
          </w:tcPr>
          <w:p w:rsidR="00D634F2" w:rsidRPr="007F2DB8" w:rsidRDefault="00D634F2" w:rsidP="00D634F2">
            <w:pPr>
              <w:jc w:val="both"/>
              <w:rPr>
                <w:sz w:val="20"/>
              </w:rPr>
            </w:pPr>
            <w:r w:rsidRPr="007F2DB8">
              <w:rPr>
                <w:sz w:val="20"/>
              </w:rPr>
              <w:t>January 23, 2015</w:t>
            </w:r>
          </w:p>
          <w:p w:rsidR="00D634F2" w:rsidRPr="007F2DB8" w:rsidRDefault="00D634F2" w:rsidP="00D634F2">
            <w:pPr>
              <w:jc w:val="both"/>
              <w:rPr>
                <w:sz w:val="20"/>
              </w:rPr>
            </w:pPr>
            <w:r w:rsidRPr="007F2DB8">
              <w:rPr>
                <w:sz w:val="20"/>
              </w:rPr>
              <w:t>Quebec Superior Court</w:t>
            </w:r>
          </w:p>
          <w:p w:rsidR="00D634F2" w:rsidRPr="007F2DB8" w:rsidRDefault="00D634F2" w:rsidP="00D634F2">
            <w:pPr>
              <w:jc w:val="both"/>
              <w:rPr>
                <w:sz w:val="20"/>
              </w:rPr>
            </w:pPr>
            <w:r w:rsidRPr="007F2DB8">
              <w:rPr>
                <w:sz w:val="20"/>
              </w:rPr>
              <w:t>(</w:t>
            </w:r>
            <w:proofErr w:type="spellStart"/>
            <w:r w:rsidRPr="007F2DB8">
              <w:rPr>
                <w:sz w:val="20"/>
              </w:rPr>
              <w:t>Hallée</w:t>
            </w:r>
            <w:proofErr w:type="spellEnd"/>
            <w:r w:rsidRPr="007F2DB8">
              <w:rPr>
                <w:sz w:val="20"/>
              </w:rPr>
              <w:t xml:space="preserve"> J.)</w:t>
            </w:r>
          </w:p>
          <w:p w:rsidR="00D634F2" w:rsidRPr="007F2DB8" w:rsidRDefault="00C232E1" w:rsidP="00D634F2">
            <w:pPr>
              <w:jc w:val="both"/>
              <w:rPr>
                <w:sz w:val="20"/>
              </w:rPr>
            </w:pPr>
            <w:hyperlink r:id="rId70" w:history="1">
              <w:r w:rsidR="00D634F2" w:rsidRPr="007F2DB8">
                <w:rPr>
                  <w:rStyle w:val="Hyperlink"/>
                  <w:sz w:val="20"/>
                </w:rPr>
                <w:t>2015 QCCS 156</w:t>
              </w:r>
            </w:hyperlink>
          </w:p>
          <w:p w:rsidR="00D634F2" w:rsidRPr="00E007CB" w:rsidRDefault="00D634F2" w:rsidP="00D634F2">
            <w:pPr>
              <w:jc w:val="both"/>
              <w:rPr>
                <w:rFonts w:eastAsia="Calibri"/>
                <w:sz w:val="20"/>
              </w:rPr>
            </w:pPr>
          </w:p>
        </w:tc>
        <w:tc>
          <w:tcPr>
            <w:tcW w:w="243" w:type="pct"/>
          </w:tcPr>
          <w:p w:rsidR="00D634F2" w:rsidRPr="00E007CB" w:rsidRDefault="00D634F2" w:rsidP="00D634F2">
            <w:pPr>
              <w:jc w:val="both"/>
              <w:rPr>
                <w:rFonts w:eastAsia="Calibri"/>
                <w:sz w:val="20"/>
              </w:rPr>
            </w:pPr>
          </w:p>
        </w:tc>
        <w:tc>
          <w:tcPr>
            <w:tcW w:w="2330" w:type="pct"/>
          </w:tcPr>
          <w:p w:rsidR="00D634F2" w:rsidRPr="007F2DB8" w:rsidRDefault="00D634F2" w:rsidP="00D634F2">
            <w:pPr>
              <w:jc w:val="both"/>
              <w:rPr>
                <w:sz w:val="20"/>
              </w:rPr>
            </w:pPr>
            <w:r w:rsidRPr="007F2DB8">
              <w:rPr>
                <w:sz w:val="20"/>
              </w:rPr>
              <w:t>Application dismissed</w:t>
            </w:r>
          </w:p>
          <w:p w:rsidR="00D634F2" w:rsidRPr="00E007CB" w:rsidRDefault="00D634F2" w:rsidP="00D634F2">
            <w:pPr>
              <w:jc w:val="both"/>
              <w:rPr>
                <w:rFonts w:eastAsia="Calibri"/>
                <w:sz w:val="20"/>
              </w:rPr>
            </w:pPr>
          </w:p>
        </w:tc>
      </w:tr>
      <w:tr w:rsidR="00D634F2" w:rsidRPr="00E007CB" w:rsidTr="008B19E4">
        <w:trPr>
          <w:cantSplit/>
        </w:trPr>
        <w:tc>
          <w:tcPr>
            <w:tcW w:w="2427" w:type="pct"/>
          </w:tcPr>
          <w:p w:rsidR="00D634F2" w:rsidRPr="007F2DB8" w:rsidRDefault="00D634F2" w:rsidP="00D634F2">
            <w:pPr>
              <w:jc w:val="both"/>
              <w:rPr>
                <w:sz w:val="20"/>
              </w:rPr>
            </w:pPr>
            <w:r w:rsidRPr="007F2DB8">
              <w:rPr>
                <w:sz w:val="20"/>
              </w:rPr>
              <w:t>May 14, 2015</w:t>
            </w:r>
          </w:p>
          <w:p w:rsidR="00D634F2" w:rsidRPr="007F2DB8" w:rsidRDefault="00D634F2" w:rsidP="00D634F2">
            <w:pPr>
              <w:jc w:val="both"/>
              <w:rPr>
                <w:sz w:val="20"/>
              </w:rPr>
            </w:pPr>
            <w:r w:rsidRPr="007F2DB8">
              <w:rPr>
                <w:sz w:val="20"/>
              </w:rPr>
              <w:t>Quebec Court of Appeal (Montréal)</w:t>
            </w:r>
          </w:p>
          <w:p w:rsidR="00D634F2" w:rsidRPr="007F2DB8" w:rsidRDefault="00D634F2" w:rsidP="00D634F2">
            <w:pPr>
              <w:jc w:val="both"/>
              <w:rPr>
                <w:sz w:val="20"/>
              </w:rPr>
            </w:pPr>
            <w:r w:rsidRPr="007F2DB8">
              <w:rPr>
                <w:sz w:val="20"/>
              </w:rPr>
              <w:t>(Doyon, Giroux and Bouchard JJ.A.)</w:t>
            </w:r>
          </w:p>
          <w:p w:rsidR="00D634F2" w:rsidRPr="007F2DB8" w:rsidRDefault="00C232E1" w:rsidP="00D634F2">
            <w:pPr>
              <w:jc w:val="both"/>
              <w:rPr>
                <w:sz w:val="20"/>
              </w:rPr>
            </w:pPr>
            <w:hyperlink r:id="rId71" w:history="1">
              <w:r w:rsidR="00D634F2" w:rsidRPr="007F2DB8">
                <w:rPr>
                  <w:rStyle w:val="Hyperlink"/>
                  <w:sz w:val="20"/>
                </w:rPr>
                <w:t>2015 QCCA 282</w:t>
              </w:r>
            </w:hyperlink>
            <w:r w:rsidR="00D634F2" w:rsidRPr="007F2DB8">
              <w:rPr>
                <w:sz w:val="20"/>
              </w:rPr>
              <w:t xml:space="preserve"> </w:t>
            </w:r>
          </w:p>
          <w:p w:rsidR="00D634F2" w:rsidRPr="00E007CB" w:rsidRDefault="00D634F2" w:rsidP="00D634F2">
            <w:pPr>
              <w:jc w:val="both"/>
              <w:rPr>
                <w:rFonts w:eastAsia="Calibri"/>
                <w:sz w:val="20"/>
              </w:rPr>
            </w:pPr>
          </w:p>
        </w:tc>
        <w:tc>
          <w:tcPr>
            <w:tcW w:w="243" w:type="pct"/>
          </w:tcPr>
          <w:p w:rsidR="00D634F2" w:rsidRPr="00E007CB" w:rsidRDefault="00D634F2" w:rsidP="00D634F2">
            <w:pPr>
              <w:jc w:val="both"/>
              <w:rPr>
                <w:rFonts w:eastAsia="Calibri"/>
                <w:sz w:val="20"/>
              </w:rPr>
            </w:pPr>
          </w:p>
        </w:tc>
        <w:tc>
          <w:tcPr>
            <w:tcW w:w="2330" w:type="pct"/>
          </w:tcPr>
          <w:p w:rsidR="00D634F2" w:rsidRPr="007F2DB8" w:rsidRDefault="00D634F2" w:rsidP="00D634F2">
            <w:pPr>
              <w:jc w:val="both"/>
              <w:rPr>
                <w:sz w:val="20"/>
              </w:rPr>
            </w:pPr>
            <w:r w:rsidRPr="007F2DB8">
              <w:rPr>
                <w:sz w:val="20"/>
              </w:rPr>
              <w:t>Leave to appeal refused</w:t>
            </w:r>
          </w:p>
          <w:p w:rsidR="00D634F2" w:rsidRPr="007F2DB8" w:rsidRDefault="00D634F2" w:rsidP="00D634F2">
            <w:pPr>
              <w:jc w:val="both"/>
              <w:rPr>
                <w:sz w:val="20"/>
              </w:rPr>
            </w:pPr>
          </w:p>
        </w:tc>
      </w:tr>
      <w:tr w:rsidR="00D634F2" w:rsidRPr="00E007CB" w:rsidTr="008B19E4">
        <w:trPr>
          <w:cantSplit/>
        </w:trPr>
        <w:tc>
          <w:tcPr>
            <w:tcW w:w="2427" w:type="pct"/>
          </w:tcPr>
          <w:p w:rsidR="00D634F2" w:rsidRPr="00E007CB" w:rsidRDefault="00D634F2" w:rsidP="00D634F2">
            <w:pPr>
              <w:jc w:val="both"/>
              <w:rPr>
                <w:rFonts w:eastAsia="Calibri"/>
                <w:sz w:val="20"/>
              </w:rPr>
            </w:pPr>
            <w:r>
              <w:rPr>
                <w:rFonts w:eastAsia="Calibri"/>
                <w:sz w:val="20"/>
              </w:rPr>
              <w:t>August 13</w:t>
            </w:r>
            <w:r w:rsidRPr="00E007CB">
              <w:rPr>
                <w:rFonts w:eastAsia="Calibri"/>
                <w:sz w:val="20"/>
              </w:rPr>
              <w:t>, 201</w:t>
            </w:r>
            <w:r>
              <w:rPr>
                <w:rFonts w:eastAsia="Calibri"/>
                <w:sz w:val="20"/>
              </w:rPr>
              <w:t>5</w:t>
            </w:r>
          </w:p>
          <w:p w:rsidR="00D634F2" w:rsidRPr="00E007CB" w:rsidRDefault="00D634F2" w:rsidP="00D634F2">
            <w:pPr>
              <w:jc w:val="both"/>
              <w:rPr>
                <w:rFonts w:eastAsia="Calibri"/>
                <w:sz w:val="20"/>
              </w:rPr>
            </w:pPr>
            <w:r w:rsidRPr="00E007CB">
              <w:rPr>
                <w:rFonts w:eastAsia="Calibri"/>
                <w:sz w:val="20"/>
              </w:rPr>
              <w:t>Supreme Court of Canada</w:t>
            </w:r>
          </w:p>
        </w:tc>
        <w:tc>
          <w:tcPr>
            <w:tcW w:w="243" w:type="pct"/>
          </w:tcPr>
          <w:p w:rsidR="00D634F2" w:rsidRPr="00E007CB" w:rsidRDefault="00D634F2" w:rsidP="00D634F2">
            <w:pPr>
              <w:jc w:val="both"/>
              <w:rPr>
                <w:rFonts w:eastAsia="Calibri"/>
                <w:sz w:val="20"/>
              </w:rPr>
            </w:pPr>
          </w:p>
        </w:tc>
        <w:tc>
          <w:tcPr>
            <w:tcW w:w="2330" w:type="pct"/>
          </w:tcPr>
          <w:p w:rsidR="00D634F2" w:rsidRPr="007F2DB8" w:rsidRDefault="00D634F2" w:rsidP="00D634F2">
            <w:pPr>
              <w:jc w:val="both"/>
              <w:rPr>
                <w:sz w:val="20"/>
              </w:rPr>
            </w:pPr>
            <w:r w:rsidRPr="007F2DB8">
              <w:rPr>
                <w:sz w:val="20"/>
              </w:rPr>
              <w:t>Applica</w:t>
            </w:r>
            <w:r>
              <w:rPr>
                <w:sz w:val="20"/>
              </w:rPr>
              <w:t>tion for leave to appeal filed</w:t>
            </w:r>
          </w:p>
        </w:tc>
      </w:tr>
    </w:tbl>
    <w:p w:rsidR="00D634F2" w:rsidRDefault="00D634F2" w:rsidP="00D634F2">
      <w:pPr>
        <w:rPr>
          <w:sz w:val="20"/>
          <w:szCs w:val="20"/>
        </w:rPr>
      </w:pPr>
    </w:p>
    <w:p w:rsidR="00D634F2" w:rsidRPr="00C50A5C" w:rsidRDefault="00C232E1" w:rsidP="00D634F2">
      <w:pPr>
        <w:rPr>
          <w:sz w:val="20"/>
          <w:szCs w:val="20"/>
        </w:rPr>
      </w:pPr>
      <w:r>
        <w:rPr>
          <w:sz w:val="20"/>
          <w:szCs w:val="20"/>
          <w:lang w:val="fr-CA"/>
        </w:rPr>
        <w:pict>
          <v:rect id="_x0000_i1074" style="width:2in;height:1pt" o:hrpct="0" o:hralign="center" o:hrstd="t" o:hrnoshade="t" o:hr="t" fillcolor="black [3213]" stroked="f"/>
        </w:pict>
      </w:r>
    </w:p>
    <w:p w:rsidR="00D634F2" w:rsidRDefault="00D634F2" w:rsidP="00D634F2">
      <w:pPr>
        <w:rPr>
          <w:sz w:val="20"/>
          <w:szCs w:val="20"/>
        </w:rPr>
      </w:pPr>
    </w:p>
    <w:p w:rsidR="00D634F2" w:rsidRPr="001B157C" w:rsidRDefault="00D634F2" w:rsidP="00D634F2">
      <w:pPr>
        <w:rPr>
          <w:sz w:val="20"/>
          <w:szCs w:val="20"/>
          <w:u w:val="single"/>
          <w:lang w:val="fr-CA"/>
        </w:rPr>
      </w:pPr>
      <w:r w:rsidRPr="001B157C">
        <w:rPr>
          <w:sz w:val="20"/>
          <w:szCs w:val="20"/>
          <w:u w:val="single"/>
          <w:lang w:val="fr-CA"/>
        </w:rPr>
        <w:t>RÉSUMÉ DE L’AFFAIRE</w:t>
      </w:r>
    </w:p>
    <w:p w:rsidR="00D634F2" w:rsidRDefault="00D634F2" w:rsidP="00D634F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634F2" w:rsidRPr="00002704" w:rsidTr="008B19E4">
        <w:tc>
          <w:tcPr>
            <w:tcW w:w="5000" w:type="pct"/>
            <w:gridSpan w:val="3"/>
          </w:tcPr>
          <w:p w:rsidR="00D634F2" w:rsidRDefault="00D634F2" w:rsidP="00D634F2">
            <w:pPr>
              <w:jc w:val="both"/>
              <w:rPr>
                <w:sz w:val="20"/>
                <w:lang w:val="fr-CA"/>
              </w:rPr>
            </w:pPr>
            <w:r w:rsidRPr="007F2DB8">
              <w:rPr>
                <w:sz w:val="20"/>
                <w:lang w:val="fr-CA"/>
              </w:rPr>
              <w:t>Droit des professions – Avocat – Responsabilité professionnelle – Compte en fidéicommis – Le demandeur soulève-t-il une question d’importance pour le public?</w:t>
            </w:r>
          </w:p>
          <w:p w:rsidR="00D634F2" w:rsidRPr="007F2DB8" w:rsidRDefault="00D634F2" w:rsidP="00D634F2">
            <w:pPr>
              <w:jc w:val="both"/>
              <w:rPr>
                <w:sz w:val="20"/>
                <w:lang w:val="fr-CA"/>
              </w:rPr>
            </w:pPr>
          </w:p>
        </w:tc>
      </w:tr>
      <w:tr w:rsidR="00D634F2" w:rsidRPr="00E007CB" w:rsidTr="008B19E4">
        <w:tc>
          <w:tcPr>
            <w:tcW w:w="5000" w:type="pct"/>
            <w:gridSpan w:val="3"/>
          </w:tcPr>
          <w:p w:rsidR="00D634F2" w:rsidRPr="007F2DB8" w:rsidRDefault="00D634F2" w:rsidP="00D634F2">
            <w:pPr>
              <w:jc w:val="both"/>
              <w:rPr>
                <w:sz w:val="20"/>
                <w:lang w:val="fr-CA"/>
              </w:rPr>
            </w:pPr>
            <w:r w:rsidRPr="007F2DB8">
              <w:rPr>
                <w:sz w:val="20"/>
                <w:lang w:val="fr-CA"/>
              </w:rPr>
              <w:lastRenderedPageBreak/>
              <w:t xml:space="preserve">Le demandeur conteste les décisions des tribunaux inférieurs voulant que l’avocat n’ait commis aucune faute en retenant et en s’appropriant une partie des sommes détenues en fidéicommis qui lui revenait à la suite du règlement d’un dossier. </w:t>
            </w:r>
          </w:p>
          <w:p w:rsidR="00D634F2" w:rsidRPr="00E007CB" w:rsidRDefault="00D634F2" w:rsidP="00D634F2">
            <w:pPr>
              <w:jc w:val="both"/>
              <w:rPr>
                <w:sz w:val="20"/>
                <w:lang w:val="fr-CA"/>
              </w:rPr>
            </w:pPr>
          </w:p>
        </w:tc>
      </w:tr>
      <w:tr w:rsidR="00D634F2" w:rsidRPr="00002704" w:rsidTr="008B19E4">
        <w:trPr>
          <w:cantSplit/>
        </w:trPr>
        <w:tc>
          <w:tcPr>
            <w:tcW w:w="2427" w:type="pct"/>
          </w:tcPr>
          <w:p w:rsidR="00D634F2" w:rsidRPr="007F2DB8" w:rsidRDefault="00D634F2" w:rsidP="00D634F2">
            <w:pPr>
              <w:jc w:val="both"/>
              <w:rPr>
                <w:sz w:val="20"/>
                <w:lang w:val="fr-CA"/>
              </w:rPr>
            </w:pPr>
            <w:r w:rsidRPr="007F2DB8">
              <w:rPr>
                <w:sz w:val="20"/>
                <w:lang w:val="fr-CA"/>
              </w:rPr>
              <w:t>Le 23 janvier 2015</w:t>
            </w:r>
          </w:p>
          <w:p w:rsidR="00D634F2" w:rsidRPr="007F2DB8" w:rsidRDefault="00D634F2" w:rsidP="00D634F2">
            <w:pPr>
              <w:jc w:val="both"/>
              <w:rPr>
                <w:sz w:val="20"/>
                <w:lang w:val="fr-CA"/>
              </w:rPr>
            </w:pPr>
            <w:r w:rsidRPr="007F2DB8">
              <w:rPr>
                <w:sz w:val="20"/>
                <w:lang w:val="fr-CA"/>
              </w:rPr>
              <w:t>Cour supérieure du Québec</w:t>
            </w:r>
          </w:p>
          <w:p w:rsidR="00D634F2" w:rsidRPr="007F2DB8" w:rsidRDefault="00D634F2" w:rsidP="00D634F2">
            <w:pPr>
              <w:jc w:val="both"/>
              <w:rPr>
                <w:sz w:val="20"/>
              </w:rPr>
            </w:pPr>
            <w:r w:rsidRPr="007F2DB8">
              <w:rPr>
                <w:sz w:val="20"/>
              </w:rPr>
              <w:t xml:space="preserve">(La </w:t>
            </w:r>
            <w:proofErr w:type="spellStart"/>
            <w:r w:rsidRPr="007F2DB8">
              <w:rPr>
                <w:sz w:val="20"/>
              </w:rPr>
              <w:t>juge</w:t>
            </w:r>
            <w:proofErr w:type="spellEnd"/>
            <w:r w:rsidRPr="007F2DB8">
              <w:rPr>
                <w:sz w:val="20"/>
              </w:rPr>
              <w:t xml:space="preserve"> </w:t>
            </w:r>
            <w:proofErr w:type="spellStart"/>
            <w:r w:rsidRPr="007F2DB8">
              <w:rPr>
                <w:sz w:val="20"/>
              </w:rPr>
              <w:t>Hallée</w:t>
            </w:r>
            <w:proofErr w:type="spellEnd"/>
            <w:r w:rsidRPr="007F2DB8">
              <w:rPr>
                <w:sz w:val="20"/>
              </w:rPr>
              <w:t>)</w:t>
            </w:r>
          </w:p>
          <w:p w:rsidR="00D634F2" w:rsidRPr="007F2DB8" w:rsidRDefault="00C232E1" w:rsidP="00D634F2">
            <w:pPr>
              <w:jc w:val="both"/>
              <w:rPr>
                <w:sz w:val="20"/>
              </w:rPr>
            </w:pPr>
            <w:hyperlink r:id="rId72" w:history="1">
              <w:r w:rsidR="00D634F2" w:rsidRPr="007F2DB8">
                <w:rPr>
                  <w:rStyle w:val="Hyperlink"/>
                  <w:sz w:val="20"/>
                </w:rPr>
                <w:t>2015 QCCS 156</w:t>
              </w:r>
            </w:hyperlink>
          </w:p>
          <w:p w:rsidR="00D634F2" w:rsidRPr="00E007CB" w:rsidRDefault="00D634F2" w:rsidP="00D634F2">
            <w:pPr>
              <w:jc w:val="both"/>
              <w:rPr>
                <w:rFonts w:eastAsia="Calibri"/>
                <w:sz w:val="20"/>
                <w:lang w:val="fr-CA"/>
              </w:rPr>
            </w:pPr>
          </w:p>
        </w:tc>
        <w:tc>
          <w:tcPr>
            <w:tcW w:w="243" w:type="pct"/>
          </w:tcPr>
          <w:p w:rsidR="00D634F2" w:rsidRPr="00E007CB" w:rsidRDefault="00D634F2" w:rsidP="00D634F2">
            <w:pPr>
              <w:jc w:val="both"/>
              <w:rPr>
                <w:rFonts w:eastAsia="Calibri"/>
                <w:sz w:val="20"/>
                <w:lang w:val="fr-CA"/>
              </w:rPr>
            </w:pPr>
          </w:p>
        </w:tc>
        <w:tc>
          <w:tcPr>
            <w:tcW w:w="2330" w:type="pct"/>
          </w:tcPr>
          <w:p w:rsidR="00D634F2" w:rsidRPr="007F2DB8" w:rsidRDefault="00D634F2" w:rsidP="00D634F2">
            <w:pPr>
              <w:jc w:val="both"/>
              <w:rPr>
                <w:sz w:val="20"/>
              </w:rPr>
            </w:pPr>
            <w:proofErr w:type="spellStart"/>
            <w:r w:rsidRPr="007F2DB8">
              <w:rPr>
                <w:sz w:val="20"/>
              </w:rPr>
              <w:t>Rejet</w:t>
            </w:r>
            <w:proofErr w:type="spellEnd"/>
            <w:r w:rsidRPr="007F2DB8">
              <w:rPr>
                <w:sz w:val="20"/>
              </w:rPr>
              <w:t xml:space="preserve"> de la </w:t>
            </w:r>
            <w:proofErr w:type="spellStart"/>
            <w:r w:rsidRPr="007F2DB8">
              <w:rPr>
                <w:sz w:val="20"/>
              </w:rPr>
              <w:t>demande</w:t>
            </w:r>
            <w:proofErr w:type="spellEnd"/>
          </w:p>
          <w:p w:rsidR="00D634F2" w:rsidRPr="0026164C" w:rsidRDefault="00D634F2" w:rsidP="00D634F2">
            <w:pPr>
              <w:jc w:val="both"/>
              <w:rPr>
                <w:sz w:val="20"/>
                <w:lang w:val="fr-CA"/>
              </w:rPr>
            </w:pPr>
          </w:p>
        </w:tc>
      </w:tr>
      <w:tr w:rsidR="00D634F2" w:rsidRPr="00002704" w:rsidTr="008B19E4">
        <w:trPr>
          <w:cantSplit/>
        </w:trPr>
        <w:tc>
          <w:tcPr>
            <w:tcW w:w="2427" w:type="pct"/>
          </w:tcPr>
          <w:p w:rsidR="00D634F2" w:rsidRPr="007F2DB8" w:rsidRDefault="00D634F2" w:rsidP="00D634F2">
            <w:pPr>
              <w:jc w:val="both"/>
              <w:rPr>
                <w:sz w:val="20"/>
                <w:lang w:val="fr-CA"/>
              </w:rPr>
            </w:pPr>
            <w:r w:rsidRPr="007F2DB8">
              <w:rPr>
                <w:sz w:val="20"/>
                <w:lang w:val="fr-CA"/>
              </w:rPr>
              <w:t>Le 14 mai 2015</w:t>
            </w:r>
          </w:p>
          <w:p w:rsidR="00D634F2" w:rsidRPr="007F2DB8" w:rsidRDefault="00D634F2" w:rsidP="00D634F2">
            <w:pPr>
              <w:jc w:val="both"/>
              <w:rPr>
                <w:sz w:val="20"/>
                <w:lang w:val="fr-CA"/>
              </w:rPr>
            </w:pPr>
            <w:r w:rsidRPr="007F2DB8">
              <w:rPr>
                <w:sz w:val="20"/>
                <w:lang w:val="fr-CA"/>
              </w:rPr>
              <w:t>Cour d’appel du Québec (Montréal)</w:t>
            </w:r>
          </w:p>
          <w:p w:rsidR="00D634F2" w:rsidRPr="007F2DB8" w:rsidRDefault="00D634F2" w:rsidP="00D634F2">
            <w:pPr>
              <w:jc w:val="both"/>
              <w:rPr>
                <w:sz w:val="20"/>
                <w:lang w:val="fr-CA"/>
              </w:rPr>
            </w:pPr>
            <w:r w:rsidRPr="007F2DB8">
              <w:rPr>
                <w:sz w:val="20"/>
                <w:lang w:val="fr-CA"/>
              </w:rPr>
              <w:t>(Les juges Doyon, Giroux et Bouchard)</w:t>
            </w:r>
          </w:p>
          <w:p w:rsidR="00D634F2" w:rsidRPr="007F2DB8" w:rsidRDefault="00C232E1" w:rsidP="00D634F2">
            <w:pPr>
              <w:jc w:val="both"/>
              <w:rPr>
                <w:sz w:val="20"/>
              </w:rPr>
            </w:pPr>
            <w:hyperlink r:id="rId73" w:history="1">
              <w:r w:rsidR="00D634F2" w:rsidRPr="007F2DB8">
                <w:rPr>
                  <w:rStyle w:val="Hyperlink"/>
                  <w:sz w:val="20"/>
                </w:rPr>
                <w:t>2015 QCCA 282</w:t>
              </w:r>
            </w:hyperlink>
            <w:r w:rsidR="00D634F2" w:rsidRPr="007F2DB8">
              <w:rPr>
                <w:sz w:val="20"/>
              </w:rPr>
              <w:t xml:space="preserve"> </w:t>
            </w:r>
          </w:p>
          <w:p w:rsidR="00D634F2" w:rsidRPr="00E007CB" w:rsidRDefault="00D634F2" w:rsidP="00D634F2">
            <w:pPr>
              <w:jc w:val="both"/>
              <w:rPr>
                <w:rFonts w:eastAsia="Calibri"/>
                <w:sz w:val="20"/>
                <w:lang w:val="fr-CA"/>
              </w:rPr>
            </w:pPr>
          </w:p>
        </w:tc>
        <w:tc>
          <w:tcPr>
            <w:tcW w:w="243" w:type="pct"/>
          </w:tcPr>
          <w:p w:rsidR="00D634F2" w:rsidRPr="00E007CB" w:rsidRDefault="00D634F2" w:rsidP="00D634F2">
            <w:pPr>
              <w:jc w:val="both"/>
              <w:rPr>
                <w:rFonts w:eastAsia="Calibri"/>
                <w:sz w:val="20"/>
                <w:lang w:val="fr-CA"/>
              </w:rPr>
            </w:pPr>
          </w:p>
        </w:tc>
        <w:tc>
          <w:tcPr>
            <w:tcW w:w="2330" w:type="pct"/>
          </w:tcPr>
          <w:p w:rsidR="00D634F2" w:rsidRPr="007F2DB8" w:rsidRDefault="00D634F2" w:rsidP="00D634F2">
            <w:pPr>
              <w:jc w:val="both"/>
              <w:rPr>
                <w:sz w:val="20"/>
              </w:rPr>
            </w:pPr>
            <w:r w:rsidRPr="007F2DB8">
              <w:rPr>
                <w:sz w:val="20"/>
              </w:rPr>
              <w:t xml:space="preserve">Permission </w:t>
            </w:r>
            <w:proofErr w:type="spellStart"/>
            <w:r w:rsidRPr="007F2DB8">
              <w:rPr>
                <w:sz w:val="20"/>
              </w:rPr>
              <w:t>d’appeler</w:t>
            </w:r>
            <w:proofErr w:type="spellEnd"/>
            <w:r w:rsidRPr="007F2DB8">
              <w:rPr>
                <w:sz w:val="20"/>
              </w:rPr>
              <w:t xml:space="preserve"> </w:t>
            </w:r>
            <w:proofErr w:type="spellStart"/>
            <w:r w:rsidRPr="007F2DB8">
              <w:rPr>
                <w:sz w:val="20"/>
              </w:rPr>
              <w:t>rejetée</w:t>
            </w:r>
            <w:proofErr w:type="spellEnd"/>
          </w:p>
          <w:p w:rsidR="00D634F2" w:rsidRPr="00E007CB" w:rsidRDefault="00D634F2" w:rsidP="00D634F2">
            <w:pPr>
              <w:jc w:val="both"/>
              <w:rPr>
                <w:rFonts w:eastAsia="Calibri"/>
                <w:sz w:val="20"/>
                <w:lang w:val="fr-CA"/>
              </w:rPr>
            </w:pPr>
          </w:p>
        </w:tc>
      </w:tr>
      <w:tr w:rsidR="00D634F2" w:rsidRPr="00E007CB" w:rsidTr="008B19E4">
        <w:trPr>
          <w:cantSplit/>
        </w:trPr>
        <w:tc>
          <w:tcPr>
            <w:tcW w:w="2427" w:type="pct"/>
          </w:tcPr>
          <w:p w:rsidR="00D634F2" w:rsidRPr="007F2DB8" w:rsidRDefault="00D634F2" w:rsidP="00D634F2">
            <w:pPr>
              <w:jc w:val="both"/>
              <w:rPr>
                <w:sz w:val="20"/>
                <w:lang w:val="fr-CA"/>
              </w:rPr>
            </w:pPr>
            <w:r w:rsidRPr="007F2DB8">
              <w:rPr>
                <w:sz w:val="20"/>
                <w:lang w:val="fr-CA"/>
              </w:rPr>
              <w:t>Le 13 août 2015</w:t>
            </w:r>
          </w:p>
          <w:p w:rsidR="00D634F2" w:rsidRPr="00E007CB" w:rsidRDefault="00D634F2" w:rsidP="00D634F2">
            <w:pPr>
              <w:jc w:val="both"/>
              <w:rPr>
                <w:rFonts w:eastAsia="Calibri"/>
                <w:sz w:val="20"/>
                <w:lang w:val="fr-CA"/>
              </w:rPr>
            </w:pPr>
            <w:r w:rsidRPr="00E007CB">
              <w:rPr>
                <w:rFonts w:eastAsia="Calibri"/>
                <w:sz w:val="20"/>
                <w:lang w:val="fr-CA"/>
              </w:rPr>
              <w:t>Cour suprême du Canada</w:t>
            </w:r>
          </w:p>
        </w:tc>
        <w:tc>
          <w:tcPr>
            <w:tcW w:w="243" w:type="pct"/>
          </w:tcPr>
          <w:p w:rsidR="00D634F2" w:rsidRPr="00E007CB" w:rsidRDefault="00D634F2" w:rsidP="00D634F2">
            <w:pPr>
              <w:jc w:val="both"/>
              <w:rPr>
                <w:rFonts w:eastAsia="Calibri"/>
                <w:sz w:val="20"/>
                <w:lang w:val="fr-CA"/>
              </w:rPr>
            </w:pPr>
          </w:p>
        </w:tc>
        <w:tc>
          <w:tcPr>
            <w:tcW w:w="2330" w:type="pct"/>
          </w:tcPr>
          <w:p w:rsidR="00D634F2" w:rsidRPr="007F2DB8" w:rsidRDefault="00D634F2" w:rsidP="00D634F2">
            <w:pPr>
              <w:jc w:val="both"/>
              <w:rPr>
                <w:sz w:val="20"/>
              </w:rPr>
            </w:pPr>
            <w:proofErr w:type="spellStart"/>
            <w:r w:rsidRPr="007F2DB8">
              <w:rPr>
                <w:sz w:val="20"/>
              </w:rPr>
              <w:t>Demande</w:t>
            </w:r>
            <w:proofErr w:type="spellEnd"/>
            <w:r w:rsidRPr="007F2DB8">
              <w:rPr>
                <w:sz w:val="20"/>
              </w:rPr>
              <w:t xml:space="preserve"> </w:t>
            </w:r>
            <w:proofErr w:type="spellStart"/>
            <w:r w:rsidRPr="007F2DB8">
              <w:rPr>
                <w:sz w:val="20"/>
              </w:rPr>
              <w:t>d’autorisation</w:t>
            </w:r>
            <w:proofErr w:type="spellEnd"/>
            <w:r w:rsidRPr="007F2DB8">
              <w:rPr>
                <w:sz w:val="20"/>
              </w:rPr>
              <w:t xml:space="preserve"> </w:t>
            </w:r>
            <w:proofErr w:type="spellStart"/>
            <w:r w:rsidRPr="007F2DB8">
              <w:rPr>
                <w:sz w:val="20"/>
              </w:rPr>
              <w:t>d’appel</w:t>
            </w:r>
            <w:proofErr w:type="spellEnd"/>
            <w:r w:rsidRPr="007F2DB8">
              <w:rPr>
                <w:sz w:val="20"/>
              </w:rPr>
              <w:t xml:space="preserve"> </w:t>
            </w:r>
            <w:proofErr w:type="spellStart"/>
            <w:r w:rsidRPr="007F2DB8">
              <w:rPr>
                <w:sz w:val="20"/>
              </w:rPr>
              <w:t>déposée</w:t>
            </w:r>
            <w:proofErr w:type="spellEnd"/>
          </w:p>
        </w:tc>
      </w:tr>
    </w:tbl>
    <w:p w:rsidR="00D634F2" w:rsidRDefault="00D634F2" w:rsidP="00D634F2">
      <w:pPr>
        <w:rPr>
          <w:sz w:val="20"/>
          <w:szCs w:val="20"/>
        </w:rPr>
      </w:pPr>
    </w:p>
    <w:p w:rsidR="00D634F2" w:rsidRDefault="00C232E1" w:rsidP="00D634F2">
      <w:pPr>
        <w:rPr>
          <w:sz w:val="20"/>
          <w:szCs w:val="20"/>
        </w:rPr>
      </w:pPr>
      <w:r>
        <w:rPr>
          <w:sz w:val="20"/>
          <w:szCs w:val="20"/>
          <w:lang w:val="fr-CA"/>
        </w:rPr>
        <w:pict>
          <v:rect id="_x0000_i1075" style="width:2in;height:1pt" o:hrpct="0" o:hralign="center" o:hrstd="t" o:hrnoshade="t" o:hr="t" fillcolor="black [3213]" stroked="f"/>
        </w:pict>
      </w:r>
    </w:p>
    <w:p w:rsidR="00D634F2" w:rsidRDefault="00D634F2" w:rsidP="00D634F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83FD2" w:rsidRPr="00A73D2C" w:rsidTr="008B19E4">
        <w:trPr>
          <w:cantSplit/>
        </w:trPr>
        <w:tc>
          <w:tcPr>
            <w:tcW w:w="1458" w:type="dxa"/>
          </w:tcPr>
          <w:p w:rsidR="00183FD2" w:rsidRPr="00A73D2C" w:rsidRDefault="00183FD2" w:rsidP="008B19E4">
            <w:pPr>
              <w:rPr>
                <w:sz w:val="20"/>
                <w:szCs w:val="20"/>
              </w:rPr>
            </w:pPr>
            <w:r w:rsidRPr="00A73D2C">
              <w:rPr>
                <w:rStyle w:val="SCCFileNumberChar"/>
                <w:sz w:val="20"/>
                <w:szCs w:val="20"/>
              </w:rPr>
              <w:t>3</w:t>
            </w:r>
            <w:r>
              <w:rPr>
                <w:rStyle w:val="SCCFileNumberChar"/>
                <w:sz w:val="20"/>
                <w:szCs w:val="20"/>
              </w:rPr>
              <w:t>6560</w:t>
            </w:r>
          </w:p>
          <w:p w:rsidR="00183FD2" w:rsidRPr="00A73D2C" w:rsidRDefault="00183FD2" w:rsidP="008B19E4">
            <w:pPr>
              <w:rPr>
                <w:b/>
                <w:sz w:val="20"/>
                <w:szCs w:val="20"/>
                <w:lang w:val="fr-CA"/>
              </w:rPr>
            </w:pPr>
          </w:p>
        </w:tc>
        <w:tc>
          <w:tcPr>
            <w:tcW w:w="8118" w:type="dxa"/>
          </w:tcPr>
          <w:p w:rsidR="00183FD2" w:rsidRPr="00A73D2C" w:rsidRDefault="00183FD2" w:rsidP="008B19E4">
            <w:pPr>
              <w:rPr>
                <w:sz w:val="20"/>
                <w:szCs w:val="20"/>
              </w:rPr>
            </w:pPr>
            <w:proofErr w:type="spellStart"/>
            <w:r w:rsidRPr="00676C73">
              <w:rPr>
                <w:b/>
                <w:sz w:val="20"/>
                <w:szCs w:val="20"/>
                <w:u w:val="single"/>
              </w:rPr>
              <w:t>Wojciech</w:t>
            </w:r>
            <w:proofErr w:type="spellEnd"/>
            <w:r w:rsidRPr="00676C73">
              <w:rPr>
                <w:b/>
                <w:sz w:val="20"/>
                <w:szCs w:val="20"/>
                <w:u w:val="single"/>
              </w:rPr>
              <w:t xml:space="preserve"> Jerry </w:t>
            </w:r>
            <w:proofErr w:type="spellStart"/>
            <w:r w:rsidRPr="00676C73">
              <w:rPr>
                <w:b/>
                <w:sz w:val="20"/>
                <w:szCs w:val="20"/>
                <w:u w:val="single"/>
              </w:rPr>
              <w:t>Krzyz</w:t>
            </w:r>
            <w:proofErr w:type="spellEnd"/>
            <w:r w:rsidRPr="00676C73">
              <w:rPr>
                <w:b/>
                <w:sz w:val="20"/>
                <w:szCs w:val="20"/>
                <w:u w:val="single"/>
              </w:rPr>
              <w:t xml:space="preserve"> v. Her Majesty the Queen</w:t>
            </w:r>
            <w:r w:rsidRPr="00A73D2C">
              <w:rPr>
                <w:sz w:val="20"/>
                <w:szCs w:val="20"/>
              </w:rPr>
              <w:t xml:space="preserve"> (</w:t>
            </w:r>
            <w:r>
              <w:rPr>
                <w:sz w:val="20"/>
                <w:szCs w:val="20"/>
              </w:rPr>
              <w:t>F.C.</w:t>
            </w:r>
            <w:r w:rsidRPr="00A73D2C">
              <w:rPr>
                <w:sz w:val="20"/>
                <w:szCs w:val="20"/>
              </w:rPr>
              <w:t>) (Ci</w:t>
            </w:r>
            <w:r>
              <w:rPr>
                <w:sz w:val="20"/>
                <w:szCs w:val="20"/>
              </w:rPr>
              <w:t>v</w:t>
            </w:r>
            <w:r w:rsidRPr="00A73D2C">
              <w:rPr>
                <w:sz w:val="20"/>
                <w:szCs w:val="20"/>
              </w:rPr>
              <w:t>il) (</w:t>
            </w:r>
            <w:r>
              <w:rPr>
                <w:sz w:val="20"/>
                <w:szCs w:val="20"/>
              </w:rPr>
              <w:t>By Leave</w:t>
            </w:r>
            <w:r w:rsidRPr="00A73D2C">
              <w:rPr>
                <w:sz w:val="20"/>
                <w:szCs w:val="20"/>
              </w:rPr>
              <w:t>)</w:t>
            </w:r>
          </w:p>
          <w:p w:rsidR="00183FD2" w:rsidRPr="00A73D2C" w:rsidRDefault="00183FD2" w:rsidP="008B19E4">
            <w:pPr>
              <w:rPr>
                <w:sz w:val="20"/>
                <w:szCs w:val="20"/>
              </w:rPr>
            </w:pPr>
          </w:p>
        </w:tc>
      </w:tr>
      <w:tr w:rsidR="00183FD2" w:rsidRPr="00A73D2C" w:rsidTr="008B19E4">
        <w:trPr>
          <w:cantSplit/>
        </w:trPr>
        <w:tc>
          <w:tcPr>
            <w:tcW w:w="1458" w:type="dxa"/>
          </w:tcPr>
          <w:p w:rsidR="00183FD2" w:rsidRPr="00A73D2C" w:rsidRDefault="00183FD2" w:rsidP="008B19E4">
            <w:pPr>
              <w:rPr>
                <w:sz w:val="20"/>
                <w:szCs w:val="20"/>
              </w:rPr>
            </w:pPr>
            <w:r w:rsidRPr="00A73D2C">
              <w:rPr>
                <w:sz w:val="20"/>
                <w:szCs w:val="20"/>
              </w:rPr>
              <w:t>Coram :</w:t>
            </w:r>
          </w:p>
        </w:tc>
        <w:tc>
          <w:tcPr>
            <w:tcW w:w="8118" w:type="dxa"/>
          </w:tcPr>
          <w:p w:rsidR="00183FD2" w:rsidRDefault="001C4572" w:rsidP="008B19E4">
            <w:pPr>
              <w:rPr>
                <w:rStyle w:val="SCCCoramChar"/>
                <w:sz w:val="20"/>
                <w:szCs w:val="20"/>
                <w:lang w:val="en-CA"/>
              </w:rPr>
            </w:pPr>
            <w:r w:rsidRPr="001C4572">
              <w:rPr>
                <w:rStyle w:val="SCCCoramChar"/>
                <w:sz w:val="20"/>
                <w:szCs w:val="20"/>
                <w:lang w:val="en-CA"/>
              </w:rPr>
              <w:t>McLachlin C.J. and Moldaver and Gascon JJ.</w:t>
            </w:r>
          </w:p>
          <w:p w:rsidR="001C4572" w:rsidRPr="00A73D2C" w:rsidRDefault="001C4572" w:rsidP="008B19E4">
            <w:pPr>
              <w:rPr>
                <w:sz w:val="20"/>
                <w:szCs w:val="20"/>
                <w:u w:val="single"/>
              </w:rPr>
            </w:pPr>
          </w:p>
        </w:tc>
      </w:tr>
      <w:tr w:rsidR="00183FD2" w:rsidRPr="00002704" w:rsidTr="008B19E4">
        <w:trPr>
          <w:cantSplit/>
        </w:trPr>
        <w:tc>
          <w:tcPr>
            <w:tcW w:w="9576" w:type="dxa"/>
            <w:gridSpan w:val="2"/>
          </w:tcPr>
          <w:p w:rsidR="001C4572" w:rsidRDefault="001C4572" w:rsidP="001C4572">
            <w:pPr>
              <w:pStyle w:val="SCCShortJudgment"/>
            </w:pPr>
            <w:r>
              <w:t>The motion for an extension of time to serve and file the application for leave to appeal is granted.  The motion for interim relief is dismissed.  The application for leave to appeal from the judgment of the Federal Court of Appeal, Number 15-A-9, dated April 14, 2015, is dismissed for want of jurisdiction.</w:t>
            </w:r>
          </w:p>
          <w:p w:rsidR="001C4572" w:rsidRDefault="001C4572" w:rsidP="001C4572">
            <w:pPr>
              <w:pStyle w:val="SCCShortJudgment"/>
              <w:ind w:firstLine="0"/>
            </w:pPr>
          </w:p>
          <w:p w:rsidR="00183FD2" w:rsidRPr="00A73D2C" w:rsidRDefault="001C4572" w:rsidP="001C4572">
            <w:pPr>
              <w:pStyle w:val="SCCShortJudgment"/>
              <w:rPr>
                <w:szCs w:val="20"/>
                <w:lang w:val="fr-CA"/>
              </w:rPr>
            </w:pPr>
            <w:r>
              <w:t xml:space="preserve">La </w:t>
            </w:r>
            <w:proofErr w:type="spellStart"/>
            <w:r>
              <w:t>requête</w:t>
            </w:r>
            <w:proofErr w:type="spellEnd"/>
            <w:r>
              <w:t xml:space="preserve"> </w:t>
            </w:r>
            <w:proofErr w:type="spellStart"/>
            <w:r>
              <w:t>en</w:t>
            </w:r>
            <w:proofErr w:type="spellEnd"/>
            <w:r>
              <w:t xml:space="preserve"> prorogation de signification et de </w:t>
            </w:r>
            <w:proofErr w:type="spellStart"/>
            <w:r>
              <w:t>dépôt</w:t>
            </w:r>
            <w:proofErr w:type="spellEnd"/>
            <w:r>
              <w:t xml:space="preserve"> de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w:t>
            </w:r>
            <w:proofErr w:type="spellStart"/>
            <w:r>
              <w:t>est</w:t>
            </w:r>
            <w:proofErr w:type="spellEnd"/>
            <w:r>
              <w:t xml:space="preserve"> </w:t>
            </w:r>
            <w:proofErr w:type="spellStart"/>
            <w:r>
              <w:t>accueillie</w:t>
            </w:r>
            <w:proofErr w:type="spellEnd"/>
            <w:r>
              <w:t xml:space="preserve">.  La </w:t>
            </w:r>
            <w:proofErr w:type="spellStart"/>
            <w:r>
              <w:t>requête</w:t>
            </w:r>
            <w:proofErr w:type="spellEnd"/>
            <w:r>
              <w:t xml:space="preserve"> pour </w:t>
            </w:r>
            <w:proofErr w:type="spellStart"/>
            <w:r>
              <w:t>mesure</w:t>
            </w:r>
            <w:proofErr w:type="spellEnd"/>
            <w:r>
              <w:t xml:space="preserve"> </w:t>
            </w:r>
            <w:proofErr w:type="spellStart"/>
            <w:r>
              <w:t>provisoire</w:t>
            </w:r>
            <w:proofErr w:type="spellEnd"/>
            <w:r>
              <w:t xml:space="preserve"> </w:t>
            </w:r>
            <w:proofErr w:type="spellStart"/>
            <w:r>
              <w:t>est</w:t>
            </w:r>
            <w:proofErr w:type="spellEnd"/>
            <w:r>
              <w:t xml:space="preserve"> </w:t>
            </w:r>
            <w:proofErr w:type="spellStart"/>
            <w:r>
              <w:t>rejetée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15-A-9, </w:t>
            </w:r>
            <w:proofErr w:type="spellStart"/>
            <w:r>
              <w:t>daté</w:t>
            </w:r>
            <w:proofErr w:type="spellEnd"/>
            <w:r>
              <w:t xml:space="preserve"> du 14 </w:t>
            </w:r>
            <w:proofErr w:type="spellStart"/>
            <w:r>
              <w:t>avril</w:t>
            </w:r>
            <w:proofErr w:type="spellEnd"/>
            <w:r>
              <w:t xml:space="preserve"> 2015, </w:t>
            </w:r>
            <w:proofErr w:type="spellStart"/>
            <w:r>
              <w:t>est</w:t>
            </w:r>
            <w:proofErr w:type="spellEnd"/>
            <w:r>
              <w:t xml:space="preserve"> </w:t>
            </w:r>
            <w:proofErr w:type="spellStart"/>
            <w:r>
              <w:t>rejetée</w:t>
            </w:r>
            <w:proofErr w:type="spellEnd"/>
            <w:r>
              <w:t xml:space="preserve"> pour </w:t>
            </w:r>
            <w:proofErr w:type="spellStart"/>
            <w:r>
              <w:t>défaut</w:t>
            </w:r>
            <w:proofErr w:type="spellEnd"/>
            <w:r>
              <w:t xml:space="preserve"> de </w:t>
            </w:r>
            <w:proofErr w:type="spellStart"/>
            <w:r>
              <w:t>compétence</w:t>
            </w:r>
            <w:proofErr w:type="spellEnd"/>
            <w:r>
              <w:t>.</w:t>
            </w:r>
          </w:p>
        </w:tc>
      </w:tr>
    </w:tbl>
    <w:p w:rsidR="00183FD2" w:rsidRPr="0016547E" w:rsidRDefault="00183FD2" w:rsidP="00183FD2">
      <w:pPr>
        <w:rPr>
          <w:sz w:val="20"/>
          <w:szCs w:val="20"/>
          <w:lang w:val="fr-CA"/>
        </w:rPr>
      </w:pPr>
    </w:p>
    <w:p w:rsidR="00183FD2" w:rsidRPr="001B157C" w:rsidRDefault="00183FD2" w:rsidP="00183FD2">
      <w:pPr>
        <w:rPr>
          <w:sz w:val="20"/>
          <w:szCs w:val="20"/>
          <w:u w:val="single"/>
        </w:rPr>
      </w:pPr>
      <w:r w:rsidRPr="001B157C">
        <w:rPr>
          <w:sz w:val="20"/>
          <w:szCs w:val="20"/>
          <w:u w:val="single"/>
        </w:rPr>
        <w:t>CASE SUMMARY</w:t>
      </w:r>
    </w:p>
    <w:p w:rsidR="00183FD2" w:rsidRDefault="00183FD2" w:rsidP="00183FD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83FD2" w:rsidRPr="00E007CB" w:rsidTr="008B19E4">
        <w:tc>
          <w:tcPr>
            <w:tcW w:w="5000" w:type="pct"/>
            <w:gridSpan w:val="3"/>
          </w:tcPr>
          <w:p w:rsidR="00183FD2" w:rsidRDefault="00183FD2" w:rsidP="00183FD2">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p w:rsidR="00183FD2" w:rsidRPr="007F2DB8" w:rsidRDefault="00183FD2" w:rsidP="00183FD2">
            <w:pPr>
              <w:jc w:val="both"/>
              <w:rPr>
                <w:sz w:val="20"/>
              </w:rPr>
            </w:pPr>
          </w:p>
        </w:tc>
      </w:tr>
      <w:tr w:rsidR="00183FD2" w:rsidRPr="00E007CB" w:rsidTr="008B19E4">
        <w:tc>
          <w:tcPr>
            <w:tcW w:w="5000" w:type="pct"/>
            <w:gridSpan w:val="3"/>
          </w:tcPr>
          <w:p w:rsidR="00183FD2" w:rsidRPr="007F2DB8" w:rsidRDefault="00183FD2" w:rsidP="00183FD2">
            <w:pPr>
              <w:jc w:val="both"/>
              <w:rPr>
                <w:sz w:val="20"/>
              </w:rPr>
            </w:pPr>
            <w:r w:rsidRPr="007F2DB8">
              <w:rPr>
                <w:sz w:val="20"/>
              </w:rPr>
              <w:t>The applicant had been issued a permit that allowed him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183FD2" w:rsidRPr="00E007CB" w:rsidRDefault="00183FD2" w:rsidP="00183FD2">
            <w:pPr>
              <w:jc w:val="both"/>
              <w:rPr>
                <w:rFonts w:eastAsia="Calibri"/>
                <w:sz w:val="20"/>
              </w:rPr>
            </w:pPr>
          </w:p>
        </w:tc>
      </w:tr>
      <w:tr w:rsidR="00183FD2" w:rsidRPr="00E007CB" w:rsidTr="008B19E4">
        <w:trPr>
          <w:cantSplit/>
        </w:trPr>
        <w:tc>
          <w:tcPr>
            <w:tcW w:w="2427" w:type="pct"/>
          </w:tcPr>
          <w:p w:rsidR="00166143" w:rsidRPr="007F2DB8" w:rsidRDefault="00166143" w:rsidP="00166143">
            <w:pPr>
              <w:jc w:val="both"/>
              <w:rPr>
                <w:sz w:val="20"/>
              </w:rPr>
            </w:pPr>
            <w:r w:rsidRPr="007F2DB8">
              <w:rPr>
                <w:sz w:val="20"/>
              </w:rPr>
              <w:lastRenderedPageBreak/>
              <w:t>March 21, 2014</w:t>
            </w:r>
          </w:p>
          <w:p w:rsidR="00166143" w:rsidRPr="007F2DB8" w:rsidRDefault="00166143" w:rsidP="00166143">
            <w:pPr>
              <w:jc w:val="both"/>
              <w:rPr>
                <w:sz w:val="20"/>
              </w:rPr>
            </w:pPr>
            <w:r w:rsidRPr="007F2DB8">
              <w:rPr>
                <w:sz w:val="20"/>
              </w:rPr>
              <w:t>Federal Court</w:t>
            </w:r>
          </w:p>
          <w:p w:rsidR="00166143" w:rsidRPr="007F2DB8" w:rsidRDefault="00166143" w:rsidP="00166143">
            <w:pPr>
              <w:jc w:val="both"/>
              <w:rPr>
                <w:sz w:val="20"/>
              </w:rPr>
            </w:pPr>
            <w:r w:rsidRPr="007F2DB8">
              <w:rPr>
                <w:sz w:val="20"/>
              </w:rPr>
              <w:t>(Manson J.)</w:t>
            </w:r>
          </w:p>
          <w:p w:rsidR="00183FD2" w:rsidRPr="00E007CB" w:rsidRDefault="00C232E1" w:rsidP="00166143">
            <w:pPr>
              <w:jc w:val="both"/>
              <w:rPr>
                <w:rFonts w:eastAsia="Calibri"/>
                <w:sz w:val="20"/>
              </w:rPr>
            </w:pPr>
            <w:hyperlink r:id="rId74" w:history="1">
              <w:r w:rsidR="00166143" w:rsidRPr="007F2DB8">
                <w:rPr>
                  <w:rStyle w:val="Hyperlink"/>
                  <w:sz w:val="20"/>
                </w:rPr>
                <w:t>2014 FC 1260</w:t>
              </w:r>
            </w:hyperlink>
          </w:p>
        </w:tc>
        <w:tc>
          <w:tcPr>
            <w:tcW w:w="243" w:type="pct"/>
          </w:tcPr>
          <w:p w:rsidR="00183FD2" w:rsidRPr="00E007CB" w:rsidRDefault="00183FD2" w:rsidP="00183FD2">
            <w:pPr>
              <w:jc w:val="both"/>
              <w:rPr>
                <w:rFonts w:eastAsia="Calibri"/>
                <w:sz w:val="20"/>
              </w:rPr>
            </w:pPr>
          </w:p>
        </w:tc>
        <w:tc>
          <w:tcPr>
            <w:tcW w:w="2330" w:type="pct"/>
          </w:tcPr>
          <w:p w:rsidR="00166143" w:rsidRPr="007F2DB8" w:rsidRDefault="00166143" w:rsidP="00166143">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granted in part</w:t>
            </w:r>
          </w:p>
          <w:p w:rsidR="00183FD2" w:rsidRPr="00E007CB" w:rsidRDefault="00183FD2" w:rsidP="00183FD2">
            <w:pPr>
              <w:jc w:val="both"/>
              <w:rPr>
                <w:rFonts w:eastAsia="Calibri"/>
                <w:sz w:val="20"/>
              </w:rPr>
            </w:pPr>
          </w:p>
        </w:tc>
      </w:tr>
      <w:tr w:rsidR="00183FD2" w:rsidRPr="00E007CB" w:rsidTr="008B19E4">
        <w:trPr>
          <w:cantSplit/>
        </w:trPr>
        <w:tc>
          <w:tcPr>
            <w:tcW w:w="2427" w:type="pct"/>
          </w:tcPr>
          <w:p w:rsidR="00166143" w:rsidRPr="007F2DB8" w:rsidRDefault="00166143" w:rsidP="00166143">
            <w:pPr>
              <w:jc w:val="both"/>
              <w:rPr>
                <w:sz w:val="20"/>
              </w:rPr>
            </w:pPr>
            <w:r w:rsidRPr="007F2DB8">
              <w:rPr>
                <w:sz w:val="20"/>
              </w:rPr>
              <w:t>April 14, 2015</w:t>
            </w:r>
          </w:p>
          <w:p w:rsidR="00166143" w:rsidRPr="007F2DB8" w:rsidRDefault="00166143" w:rsidP="00166143">
            <w:pPr>
              <w:jc w:val="both"/>
              <w:rPr>
                <w:sz w:val="20"/>
              </w:rPr>
            </w:pPr>
            <w:r w:rsidRPr="007F2DB8">
              <w:rPr>
                <w:sz w:val="20"/>
              </w:rPr>
              <w:t>Federal Court of Appeal</w:t>
            </w:r>
          </w:p>
          <w:p w:rsidR="00166143" w:rsidRPr="007F2DB8" w:rsidRDefault="00166143" w:rsidP="00166143">
            <w:pPr>
              <w:jc w:val="both"/>
              <w:rPr>
                <w:sz w:val="20"/>
              </w:rPr>
            </w:pPr>
            <w:r w:rsidRPr="007F2DB8">
              <w:rPr>
                <w:sz w:val="20"/>
              </w:rPr>
              <w:t>(Dawson J.A.)</w:t>
            </w:r>
          </w:p>
          <w:p w:rsidR="00183FD2" w:rsidRPr="00E007CB" w:rsidRDefault="00166143" w:rsidP="00166143">
            <w:pPr>
              <w:jc w:val="both"/>
              <w:rPr>
                <w:rFonts w:eastAsia="Calibri"/>
                <w:sz w:val="20"/>
              </w:rPr>
            </w:pPr>
            <w:r w:rsidRPr="007F2DB8">
              <w:rPr>
                <w:sz w:val="20"/>
              </w:rPr>
              <w:t>Unreported</w:t>
            </w:r>
            <w:r w:rsidRPr="00E007CB">
              <w:rPr>
                <w:rFonts w:eastAsia="Calibri"/>
                <w:sz w:val="20"/>
              </w:rPr>
              <w:t xml:space="preserve"> </w:t>
            </w:r>
          </w:p>
        </w:tc>
        <w:tc>
          <w:tcPr>
            <w:tcW w:w="243" w:type="pct"/>
          </w:tcPr>
          <w:p w:rsidR="00183FD2" w:rsidRPr="00E007CB" w:rsidRDefault="00183FD2" w:rsidP="00183FD2">
            <w:pPr>
              <w:jc w:val="both"/>
              <w:rPr>
                <w:rFonts w:eastAsia="Calibri"/>
                <w:sz w:val="20"/>
              </w:rPr>
            </w:pPr>
          </w:p>
        </w:tc>
        <w:tc>
          <w:tcPr>
            <w:tcW w:w="2330" w:type="pct"/>
          </w:tcPr>
          <w:p w:rsidR="00166143" w:rsidRPr="007F2DB8" w:rsidRDefault="00166143" w:rsidP="00166143">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183FD2" w:rsidRPr="007F2DB8" w:rsidRDefault="00183FD2" w:rsidP="00183FD2">
            <w:pPr>
              <w:jc w:val="both"/>
              <w:rPr>
                <w:sz w:val="20"/>
              </w:rPr>
            </w:pPr>
          </w:p>
        </w:tc>
      </w:tr>
      <w:tr w:rsidR="00166143" w:rsidRPr="00E007CB" w:rsidTr="008B19E4">
        <w:trPr>
          <w:cantSplit/>
        </w:trPr>
        <w:tc>
          <w:tcPr>
            <w:tcW w:w="2427" w:type="pct"/>
          </w:tcPr>
          <w:p w:rsidR="00166143" w:rsidRPr="00E007CB" w:rsidRDefault="00166143" w:rsidP="00166143">
            <w:pPr>
              <w:jc w:val="both"/>
              <w:rPr>
                <w:rFonts w:eastAsia="Calibri"/>
                <w:sz w:val="20"/>
              </w:rPr>
            </w:pPr>
            <w:r>
              <w:rPr>
                <w:rFonts w:eastAsia="Calibri"/>
                <w:sz w:val="20"/>
              </w:rPr>
              <w:t>June 29</w:t>
            </w:r>
            <w:r w:rsidRPr="00E007CB">
              <w:rPr>
                <w:rFonts w:eastAsia="Calibri"/>
                <w:sz w:val="20"/>
              </w:rPr>
              <w:t>, 201</w:t>
            </w:r>
            <w:r>
              <w:rPr>
                <w:rFonts w:eastAsia="Calibri"/>
                <w:sz w:val="20"/>
              </w:rPr>
              <w:t>5</w:t>
            </w:r>
          </w:p>
          <w:p w:rsidR="00166143" w:rsidRPr="00E007CB" w:rsidRDefault="00166143" w:rsidP="00166143">
            <w:pPr>
              <w:jc w:val="both"/>
              <w:rPr>
                <w:rFonts w:eastAsia="Calibri"/>
                <w:sz w:val="20"/>
              </w:rPr>
            </w:pPr>
            <w:r w:rsidRPr="00E007CB">
              <w:rPr>
                <w:rFonts w:eastAsia="Calibri"/>
                <w:sz w:val="20"/>
              </w:rPr>
              <w:t>Supreme Court of Canada</w:t>
            </w:r>
          </w:p>
        </w:tc>
        <w:tc>
          <w:tcPr>
            <w:tcW w:w="243" w:type="pct"/>
          </w:tcPr>
          <w:p w:rsidR="00166143" w:rsidRPr="00E007CB" w:rsidRDefault="00166143" w:rsidP="00166143">
            <w:pPr>
              <w:jc w:val="both"/>
              <w:rPr>
                <w:rFonts w:eastAsia="Calibri"/>
                <w:sz w:val="20"/>
              </w:rPr>
            </w:pPr>
          </w:p>
        </w:tc>
        <w:tc>
          <w:tcPr>
            <w:tcW w:w="2330" w:type="pct"/>
          </w:tcPr>
          <w:p w:rsidR="00166143" w:rsidRPr="007F2DB8" w:rsidRDefault="00166143" w:rsidP="00166143">
            <w:pPr>
              <w:jc w:val="both"/>
              <w:rPr>
                <w:sz w:val="20"/>
              </w:rPr>
            </w:pPr>
            <w:r w:rsidRPr="007F2DB8">
              <w:rPr>
                <w:sz w:val="20"/>
              </w:rPr>
              <w:t>Motion for extension of time in which to serve and file application for leave to appeal  and application for leave to appeal filed</w:t>
            </w:r>
          </w:p>
        </w:tc>
      </w:tr>
    </w:tbl>
    <w:p w:rsidR="00183FD2" w:rsidRDefault="00183FD2" w:rsidP="00183FD2">
      <w:pPr>
        <w:rPr>
          <w:sz w:val="20"/>
          <w:szCs w:val="20"/>
        </w:rPr>
      </w:pPr>
    </w:p>
    <w:p w:rsidR="00183FD2" w:rsidRPr="00C50A5C" w:rsidRDefault="00C232E1" w:rsidP="00183FD2">
      <w:pPr>
        <w:rPr>
          <w:sz w:val="20"/>
          <w:szCs w:val="20"/>
        </w:rPr>
      </w:pPr>
      <w:r>
        <w:rPr>
          <w:sz w:val="20"/>
          <w:szCs w:val="20"/>
          <w:lang w:val="fr-CA"/>
        </w:rPr>
        <w:pict>
          <v:rect id="_x0000_i1076" style="width:2in;height:1pt" o:hrpct="0" o:hralign="center" o:hrstd="t" o:hrnoshade="t" o:hr="t" fillcolor="black [3213]" stroked="f"/>
        </w:pict>
      </w:r>
    </w:p>
    <w:p w:rsidR="00183FD2" w:rsidRDefault="00183FD2" w:rsidP="00183FD2">
      <w:pPr>
        <w:rPr>
          <w:sz w:val="20"/>
          <w:szCs w:val="20"/>
        </w:rPr>
      </w:pPr>
    </w:p>
    <w:p w:rsidR="00183FD2" w:rsidRPr="001B157C" w:rsidRDefault="00183FD2" w:rsidP="00183FD2">
      <w:pPr>
        <w:rPr>
          <w:sz w:val="20"/>
          <w:szCs w:val="20"/>
          <w:u w:val="single"/>
          <w:lang w:val="fr-CA"/>
        </w:rPr>
      </w:pPr>
      <w:r w:rsidRPr="001B157C">
        <w:rPr>
          <w:sz w:val="20"/>
          <w:szCs w:val="20"/>
          <w:u w:val="single"/>
          <w:lang w:val="fr-CA"/>
        </w:rPr>
        <w:t>RÉSUMÉ DE L’AFFAIRE</w:t>
      </w:r>
    </w:p>
    <w:p w:rsidR="00183FD2" w:rsidRDefault="00183FD2" w:rsidP="00183FD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6143" w:rsidRPr="00002704" w:rsidTr="008B19E4">
        <w:tc>
          <w:tcPr>
            <w:tcW w:w="5000" w:type="pct"/>
            <w:gridSpan w:val="3"/>
          </w:tcPr>
          <w:p w:rsidR="00166143" w:rsidRDefault="00166143" w:rsidP="00166143">
            <w:pPr>
              <w:jc w:val="both"/>
              <w:rPr>
                <w:sz w:val="20"/>
                <w:lang w:val="fr-CA"/>
              </w:rPr>
            </w:pPr>
            <w:r w:rsidRPr="007F2DB8">
              <w:rPr>
                <w:sz w:val="20"/>
                <w:lang w:val="fr-CA"/>
              </w:rPr>
              <w:t xml:space="preserve">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avoir un droit d’appel? – La Cour d’appel </w:t>
            </w:r>
            <w:proofErr w:type="gramStart"/>
            <w:r w:rsidRPr="007F2DB8">
              <w:rPr>
                <w:sz w:val="20"/>
                <w:lang w:val="fr-CA"/>
              </w:rPr>
              <w:t>fédérale</w:t>
            </w:r>
            <w:proofErr w:type="gramEnd"/>
            <w:r w:rsidRPr="007F2DB8">
              <w:rPr>
                <w:sz w:val="20"/>
                <w:lang w:val="fr-CA"/>
              </w:rPr>
              <w:t xml:space="preserve"> a-t-elle eu tort de rejeter l’appel? – Y </w:t>
            </w:r>
            <w:proofErr w:type="spellStart"/>
            <w:r w:rsidRPr="007F2DB8">
              <w:rPr>
                <w:sz w:val="20"/>
                <w:lang w:val="fr-CA"/>
              </w:rPr>
              <w:t>a-t-il</w:t>
            </w:r>
            <w:proofErr w:type="spellEnd"/>
            <w:r w:rsidRPr="007F2DB8">
              <w:rPr>
                <w:sz w:val="20"/>
                <w:lang w:val="fr-CA"/>
              </w:rPr>
              <w:t xml:space="preserve"> lieu d’accorder au demandeur une exemption provisoire en attendant qu’il soit statué sur la demande d’autorisation d’appel?</w:t>
            </w:r>
          </w:p>
          <w:p w:rsidR="00166143" w:rsidRPr="007F2DB8" w:rsidRDefault="00166143" w:rsidP="00166143">
            <w:pPr>
              <w:jc w:val="both"/>
              <w:rPr>
                <w:sz w:val="20"/>
                <w:lang w:val="fr-CA"/>
              </w:rPr>
            </w:pPr>
          </w:p>
        </w:tc>
      </w:tr>
      <w:tr w:rsidR="00166143" w:rsidRPr="00E007CB" w:rsidTr="008B19E4">
        <w:tc>
          <w:tcPr>
            <w:tcW w:w="5000" w:type="pct"/>
            <w:gridSpan w:val="3"/>
          </w:tcPr>
          <w:p w:rsidR="00166143" w:rsidRPr="007F2DB8" w:rsidRDefault="00166143" w:rsidP="00166143">
            <w:pPr>
              <w:jc w:val="both"/>
              <w:rPr>
                <w:sz w:val="20"/>
                <w:lang w:val="fr-CA"/>
              </w:rPr>
            </w:pPr>
            <w:r w:rsidRPr="007F2DB8">
              <w:rPr>
                <w:sz w:val="20"/>
                <w:lang w:val="fr-CA"/>
              </w:rPr>
              <w:t>Le demandeur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Le demandeur a présenté une requête en prorogation de délai pour interjeter appel de l’ordonnance prononcée le 30 décembre 2014 par la Cour fédérale dans l’affaire connexe.</w:t>
            </w:r>
          </w:p>
          <w:p w:rsidR="00166143" w:rsidRPr="00E007CB" w:rsidRDefault="00166143" w:rsidP="00166143">
            <w:pPr>
              <w:jc w:val="both"/>
              <w:rPr>
                <w:sz w:val="20"/>
                <w:lang w:val="fr-CA"/>
              </w:rPr>
            </w:pPr>
          </w:p>
        </w:tc>
      </w:tr>
      <w:tr w:rsidR="00166143" w:rsidRPr="00002704" w:rsidTr="008B19E4">
        <w:trPr>
          <w:cantSplit/>
        </w:trPr>
        <w:tc>
          <w:tcPr>
            <w:tcW w:w="2427" w:type="pct"/>
          </w:tcPr>
          <w:p w:rsidR="00166143" w:rsidRPr="007F2DB8" w:rsidRDefault="00166143" w:rsidP="00166143">
            <w:pPr>
              <w:jc w:val="both"/>
              <w:rPr>
                <w:sz w:val="20"/>
                <w:lang w:val="fr-CA"/>
              </w:rPr>
            </w:pPr>
            <w:r w:rsidRPr="007F2DB8">
              <w:rPr>
                <w:sz w:val="20"/>
                <w:lang w:val="fr-CA"/>
              </w:rPr>
              <w:t>21 mars 2014</w:t>
            </w:r>
          </w:p>
          <w:p w:rsidR="00166143" w:rsidRPr="007F2DB8" w:rsidRDefault="00166143" w:rsidP="00166143">
            <w:pPr>
              <w:jc w:val="both"/>
              <w:rPr>
                <w:sz w:val="20"/>
                <w:lang w:val="fr-CA"/>
              </w:rPr>
            </w:pPr>
            <w:r w:rsidRPr="007F2DB8">
              <w:rPr>
                <w:sz w:val="20"/>
                <w:lang w:val="fr-CA"/>
              </w:rPr>
              <w:t>Cour fédérale</w:t>
            </w:r>
          </w:p>
          <w:p w:rsidR="00166143" w:rsidRPr="007F2DB8" w:rsidRDefault="00166143" w:rsidP="00166143">
            <w:pPr>
              <w:jc w:val="both"/>
              <w:rPr>
                <w:sz w:val="20"/>
                <w:lang w:val="fr-CA"/>
              </w:rPr>
            </w:pPr>
            <w:r w:rsidRPr="007F2DB8">
              <w:rPr>
                <w:sz w:val="20"/>
                <w:lang w:val="fr-CA"/>
              </w:rPr>
              <w:t xml:space="preserve">(Juge </w:t>
            </w:r>
            <w:proofErr w:type="spellStart"/>
            <w:r w:rsidRPr="007F2DB8">
              <w:rPr>
                <w:sz w:val="20"/>
                <w:lang w:val="fr-CA"/>
              </w:rPr>
              <w:t>Manson</w:t>
            </w:r>
            <w:proofErr w:type="spellEnd"/>
            <w:r w:rsidRPr="007F2DB8">
              <w:rPr>
                <w:sz w:val="20"/>
                <w:lang w:val="fr-CA"/>
              </w:rPr>
              <w:t>)</w:t>
            </w:r>
          </w:p>
          <w:p w:rsidR="00166143" w:rsidRPr="00E007CB" w:rsidRDefault="00C232E1" w:rsidP="00166143">
            <w:pPr>
              <w:jc w:val="both"/>
              <w:rPr>
                <w:rFonts w:eastAsia="Calibri"/>
                <w:sz w:val="20"/>
                <w:lang w:val="fr-CA"/>
              </w:rPr>
            </w:pPr>
            <w:hyperlink r:id="rId75" w:history="1">
              <w:r w:rsidR="00166143" w:rsidRPr="007F2DB8">
                <w:rPr>
                  <w:rStyle w:val="Hyperlink"/>
                  <w:sz w:val="20"/>
                  <w:lang w:val="fr-CA"/>
                </w:rPr>
                <w:t>2014 FC 1260</w:t>
              </w:r>
            </w:hyperlink>
          </w:p>
        </w:tc>
        <w:tc>
          <w:tcPr>
            <w:tcW w:w="243" w:type="pct"/>
          </w:tcPr>
          <w:p w:rsidR="00166143" w:rsidRPr="00E007CB" w:rsidRDefault="00166143" w:rsidP="00166143">
            <w:pPr>
              <w:jc w:val="both"/>
              <w:rPr>
                <w:rFonts w:eastAsia="Calibri"/>
                <w:sz w:val="20"/>
                <w:lang w:val="fr-CA"/>
              </w:rPr>
            </w:pPr>
          </w:p>
        </w:tc>
        <w:tc>
          <w:tcPr>
            <w:tcW w:w="2330" w:type="pct"/>
          </w:tcPr>
          <w:p w:rsidR="00166143" w:rsidRPr="007F2DB8" w:rsidRDefault="00166143" w:rsidP="00166143">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166143" w:rsidRPr="0026164C" w:rsidRDefault="00166143" w:rsidP="00166143">
            <w:pPr>
              <w:jc w:val="both"/>
              <w:rPr>
                <w:sz w:val="20"/>
                <w:lang w:val="fr-CA"/>
              </w:rPr>
            </w:pPr>
          </w:p>
        </w:tc>
      </w:tr>
      <w:tr w:rsidR="00166143" w:rsidRPr="00002704" w:rsidTr="008B19E4">
        <w:trPr>
          <w:cantSplit/>
        </w:trPr>
        <w:tc>
          <w:tcPr>
            <w:tcW w:w="2427" w:type="pct"/>
          </w:tcPr>
          <w:p w:rsidR="00166143" w:rsidRPr="007F2DB8" w:rsidRDefault="00166143" w:rsidP="00166143">
            <w:pPr>
              <w:jc w:val="both"/>
              <w:rPr>
                <w:sz w:val="20"/>
                <w:lang w:val="fr-CA"/>
              </w:rPr>
            </w:pPr>
            <w:r w:rsidRPr="007F2DB8">
              <w:rPr>
                <w:sz w:val="20"/>
                <w:lang w:val="fr-CA"/>
              </w:rPr>
              <w:t>14 avril 2015</w:t>
            </w:r>
          </w:p>
          <w:p w:rsidR="00166143" w:rsidRPr="007F2DB8" w:rsidRDefault="00166143" w:rsidP="00166143">
            <w:pPr>
              <w:jc w:val="both"/>
              <w:rPr>
                <w:sz w:val="20"/>
                <w:lang w:val="fr-CA"/>
              </w:rPr>
            </w:pPr>
            <w:r w:rsidRPr="007F2DB8">
              <w:rPr>
                <w:sz w:val="20"/>
                <w:lang w:val="fr-CA"/>
              </w:rPr>
              <w:t>Cour d’appel fédérale</w:t>
            </w:r>
          </w:p>
          <w:p w:rsidR="00166143" w:rsidRPr="007F2DB8" w:rsidRDefault="00166143" w:rsidP="00166143">
            <w:pPr>
              <w:jc w:val="both"/>
              <w:rPr>
                <w:sz w:val="20"/>
                <w:lang w:val="fr-CA"/>
              </w:rPr>
            </w:pPr>
            <w:r w:rsidRPr="007F2DB8">
              <w:rPr>
                <w:sz w:val="20"/>
                <w:lang w:val="fr-CA"/>
              </w:rPr>
              <w:t>(Juge Dawson)</w:t>
            </w:r>
          </w:p>
          <w:p w:rsidR="00166143" w:rsidRPr="00E007CB" w:rsidRDefault="00166143" w:rsidP="00166143">
            <w:pPr>
              <w:jc w:val="both"/>
              <w:rPr>
                <w:rFonts w:eastAsia="Calibri"/>
                <w:sz w:val="20"/>
                <w:lang w:val="fr-CA"/>
              </w:rPr>
            </w:pPr>
            <w:r w:rsidRPr="007F2DB8">
              <w:rPr>
                <w:sz w:val="20"/>
                <w:lang w:val="fr-CA"/>
              </w:rPr>
              <w:t>Non publié</w:t>
            </w:r>
            <w:r w:rsidRPr="00E007CB">
              <w:rPr>
                <w:rFonts w:eastAsia="Calibri"/>
                <w:sz w:val="20"/>
                <w:lang w:val="fr-CA"/>
              </w:rPr>
              <w:t xml:space="preserve"> </w:t>
            </w:r>
          </w:p>
        </w:tc>
        <w:tc>
          <w:tcPr>
            <w:tcW w:w="243" w:type="pct"/>
          </w:tcPr>
          <w:p w:rsidR="00166143" w:rsidRPr="00E007CB" w:rsidRDefault="00166143" w:rsidP="00166143">
            <w:pPr>
              <w:jc w:val="both"/>
              <w:rPr>
                <w:rFonts w:eastAsia="Calibri"/>
                <w:sz w:val="20"/>
                <w:lang w:val="fr-CA"/>
              </w:rPr>
            </w:pPr>
          </w:p>
        </w:tc>
        <w:tc>
          <w:tcPr>
            <w:tcW w:w="2330" w:type="pct"/>
          </w:tcPr>
          <w:p w:rsidR="00166143" w:rsidRPr="007F2DB8" w:rsidRDefault="00166143" w:rsidP="00166143">
            <w:pPr>
              <w:jc w:val="both"/>
              <w:rPr>
                <w:sz w:val="20"/>
                <w:lang w:val="fr-CA"/>
              </w:rPr>
            </w:pPr>
            <w:r w:rsidRPr="007F2DB8">
              <w:rPr>
                <w:sz w:val="20"/>
                <w:lang w:val="fr-CA"/>
              </w:rPr>
              <w:t xml:space="preserve">Rejet de la requête du demandeur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166143" w:rsidRPr="00E007CB" w:rsidRDefault="00166143" w:rsidP="00166143">
            <w:pPr>
              <w:jc w:val="both"/>
              <w:rPr>
                <w:rFonts w:eastAsia="Calibri"/>
                <w:sz w:val="20"/>
                <w:lang w:val="fr-CA"/>
              </w:rPr>
            </w:pPr>
          </w:p>
        </w:tc>
      </w:tr>
      <w:tr w:rsidR="00166143" w:rsidRPr="00E007CB" w:rsidTr="008B19E4">
        <w:trPr>
          <w:cantSplit/>
        </w:trPr>
        <w:tc>
          <w:tcPr>
            <w:tcW w:w="2427" w:type="pct"/>
          </w:tcPr>
          <w:p w:rsidR="00166143" w:rsidRPr="007F2DB8" w:rsidRDefault="00166143" w:rsidP="00166143">
            <w:pPr>
              <w:jc w:val="both"/>
              <w:rPr>
                <w:sz w:val="20"/>
                <w:lang w:val="fr-CA"/>
              </w:rPr>
            </w:pPr>
            <w:r w:rsidRPr="007F2DB8">
              <w:rPr>
                <w:sz w:val="20"/>
                <w:lang w:val="fr-CA"/>
              </w:rPr>
              <w:t xml:space="preserve">Le </w:t>
            </w:r>
            <w:r>
              <w:rPr>
                <w:sz w:val="20"/>
                <w:lang w:val="fr-CA"/>
              </w:rPr>
              <w:t>29 juin</w:t>
            </w:r>
            <w:r w:rsidRPr="007F2DB8">
              <w:rPr>
                <w:sz w:val="20"/>
                <w:lang w:val="fr-CA"/>
              </w:rPr>
              <w:t xml:space="preserve"> 2015</w:t>
            </w:r>
          </w:p>
          <w:p w:rsidR="00166143" w:rsidRPr="00E007CB" w:rsidRDefault="00166143" w:rsidP="00166143">
            <w:pPr>
              <w:jc w:val="both"/>
              <w:rPr>
                <w:rFonts w:eastAsia="Calibri"/>
                <w:sz w:val="20"/>
                <w:lang w:val="fr-CA"/>
              </w:rPr>
            </w:pPr>
            <w:r w:rsidRPr="00E007CB">
              <w:rPr>
                <w:rFonts w:eastAsia="Calibri"/>
                <w:sz w:val="20"/>
                <w:lang w:val="fr-CA"/>
              </w:rPr>
              <w:t>Cour suprême du Canada</w:t>
            </w:r>
          </w:p>
        </w:tc>
        <w:tc>
          <w:tcPr>
            <w:tcW w:w="243" w:type="pct"/>
          </w:tcPr>
          <w:p w:rsidR="00166143" w:rsidRPr="00E007CB" w:rsidRDefault="00166143" w:rsidP="00166143">
            <w:pPr>
              <w:jc w:val="both"/>
              <w:rPr>
                <w:rFonts w:eastAsia="Calibri"/>
                <w:sz w:val="20"/>
                <w:lang w:val="fr-CA"/>
              </w:rPr>
            </w:pPr>
          </w:p>
        </w:tc>
        <w:tc>
          <w:tcPr>
            <w:tcW w:w="2330" w:type="pct"/>
          </w:tcPr>
          <w:p w:rsidR="00166143" w:rsidRPr="007F2DB8" w:rsidRDefault="00166143" w:rsidP="00166143">
            <w:pPr>
              <w:jc w:val="both"/>
              <w:rPr>
                <w:sz w:val="20"/>
                <w:lang w:val="fr-CA"/>
              </w:rPr>
            </w:pPr>
            <w:r w:rsidRPr="007F2DB8">
              <w:rPr>
                <w:sz w:val="20"/>
                <w:lang w:val="fr-CA"/>
              </w:rPr>
              <w:t>Dépôt de la requête en prorogation du délai de signification et de dépôt de la demande d’autorisation d’appel et de la demande d’autorisation d’appel</w:t>
            </w:r>
          </w:p>
        </w:tc>
      </w:tr>
    </w:tbl>
    <w:p w:rsidR="00183FD2" w:rsidRDefault="00183FD2" w:rsidP="00183FD2">
      <w:pPr>
        <w:rPr>
          <w:sz w:val="20"/>
          <w:szCs w:val="20"/>
        </w:rPr>
      </w:pPr>
    </w:p>
    <w:p w:rsidR="00183FD2" w:rsidRDefault="00C232E1" w:rsidP="00183FD2">
      <w:pPr>
        <w:rPr>
          <w:sz w:val="20"/>
          <w:szCs w:val="20"/>
        </w:rPr>
      </w:pPr>
      <w:r>
        <w:rPr>
          <w:sz w:val="20"/>
          <w:szCs w:val="20"/>
          <w:lang w:val="fr-CA"/>
        </w:rPr>
        <w:pict>
          <v:rect id="_x0000_i1077" style="width:2in;height:1pt" o:hrpct="0" o:hralign="center" o:hrstd="t" o:hrnoshade="t" o:hr="t" fillcolor="black [3213]" stroked="f"/>
        </w:pict>
      </w:r>
    </w:p>
    <w:p w:rsidR="00183FD2" w:rsidRDefault="00183FD2" w:rsidP="00183FD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76C73" w:rsidRPr="00A73D2C" w:rsidTr="008B19E4">
        <w:trPr>
          <w:cantSplit/>
        </w:trPr>
        <w:tc>
          <w:tcPr>
            <w:tcW w:w="1458" w:type="dxa"/>
          </w:tcPr>
          <w:p w:rsidR="00676C73" w:rsidRPr="00A73D2C" w:rsidRDefault="00676C73" w:rsidP="008B19E4">
            <w:pPr>
              <w:rPr>
                <w:sz w:val="20"/>
                <w:szCs w:val="20"/>
              </w:rPr>
            </w:pPr>
            <w:r w:rsidRPr="00A73D2C">
              <w:rPr>
                <w:rStyle w:val="SCCFileNumberChar"/>
                <w:sz w:val="20"/>
                <w:szCs w:val="20"/>
              </w:rPr>
              <w:lastRenderedPageBreak/>
              <w:t>3</w:t>
            </w:r>
            <w:r>
              <w:rPr>
                <w:rStyle w:val="SCCFileNumberChar"/>
                <w:sz w:val="20"/>
                <w:szCs w:val="20"/>
              </w:rPr>
              <w:t>6561</w:t>
            </w:r>
          </w:p>
          <w:p w:rsidR="00676C73" w:rsidRPr="00A73D2C" w:rsidRDefault="00676C73" w:rsidP="008B19E4">
            <w:pPr>
              <w:rPr>
                <w:b/>
                <w:sz w:val="20"/>
                <w:szCs w:val="20"/>
                <w:lang w:val="fr-CA"/>
              </w:rPr>
            </w:pPr>
          </w:p>
        </w:tc>
        <w:tc>
          <w:tcPr>
            <w:tcW w:w="8118" w:type="dxa"/>
          </w:tcPr>
          <w:p w:rsidR="00676C73" w:rsidRPr="00A73D2C" w:rsidRDefault="00676C73" w:rsidP="008B19E4">
            <w:pPr>
              <w:rPr>
                <w:sz w:val="20"/>
                <w:szCs w:val="20"/>
              </w:rPr>
            </w:pPr>
            <w:proofErr w:type="spellStart"/>
            <w:r w:rsidRPr="00676C73">
              <w:rPr>
                <w:b/>
                <w:sz w:val="20"/>
                <w:szCs w:val="20"/>
                <w:u w:val="single"/>
              </w:rPr>
              <w:t>Urszula</w:t>
            </w:r>
            <w:proofErr w:type="spellEnd"/>
            <w:r w:rsidRPr="00676C73">
              <w:rPr>
                <w:b/>
                <w:sz w:val="20"/>
                <w:szCs w:val="20"/>
                <w:u w:val="single"/>
              </w:rPr>
              <w:t xml:space="preserve"> </w:t>
            </w:r>
            <w:proofErr w:type="spellStart"/>
            <w:r w:rsidRPr="00676C73">
              <w:rPr>
                <w:b/>
                <w:sz w:val="20"/>
                <w:szCs w:val="20"/>
                <w:u w:val="single"/>
              </w:rPr>
              <w:t>Krzyz</w:t>
            </w:r>
            <w:proofErr w:type="spellEnd"/>
            <w:r w:rsidRPr="00676C73">
              <w:rPr>
                <w:b/>
                <w:sz w:val="20"/>
                <w:szCs w:val="20"/>
                <w:u w:val="single"/>
              </w:rPr>
              <w:t xml:space="preserve"> v. Her Majesty the Queen</w:t>
            </w:r>
            <w:r w:rsidRPr="00A73D2C">
              <w:rPr>
                <w:sz w:val="20"/>
                <w:szCs w:val="20"/>
              </w:rPr>
              <w:t xml:space="preserve"> (</w:t>
            </w:r>
            <w:r>
              <w:rPr>
                <w:sz w:val="20"/>
                <w:szCs w:val="20"/>
              </w:rPr>
              <w:t>F.C.</w:t>
            </w:r>
            <w:r w:rsidRPr="00A73D2C">
              <w:rPr>
                <w:sz w:val="20"/>
                <w:szCs w:val="20"/>
              </w:rPr>
              <w:t>) (Ci</w:t>
            </w:r>
            <w:r>
              <w:rPr>
                <w:sz w:val="20"/>
                <w:szCs w:val="20"/>
              </w:rPr>
              <w:t>v</w:t>
            </w:r>
            <w:r w:rsidRPr="00A73D2C">
              <w:rPr>
                <w:sz w:val="20"/>
                <w:szCs w:val="20"/>
              </w:rPr>
              <w:t>il) (</w:t>
            </w:r>
            <w:r>
              <w:rPr>
                <w:sz w:val="20"/>
                <w:szCs w:val="20"/>
              </w:rPr>
              <w:t>By Leave</w:t>
            </w:r>
            <w:r w:rsidRPr="00A73D2C">
              <w:rPr>
                <w:sz w:val="20"/>
                <w:szCs w:val="20"/>
              </w:rPr>
              <w:t>)</w:t>
            </w:r>
          </w:p>
          <w:p w:rsidR="00676C73" w:rsidRPr="00A73D2C" w:rsidRDefault="00676C73" w:rsidP="008B19E4">
            <w:pPr>
              <w:rPr>
                <w:sz w:val="20"/>
                <w:szCs w:val="20"/>
              </w:rPr>
            </w:pPr>
          </w:p>
        </w:tc>
      </w:tr>
      <w:tr w:rsidR="00676C73" w:rsidRPr="00A73D2C" w:rsidTr="008B19E4">
        <w:trPr>
          <w:cantSplit/>
        </w:trPr>
        <w:tc>
          <w:tcPr>
            <w:tcW w:w="1458" w:type="dxa"/>
          </w:tcPr>
          <w:p w:rsidR="00676C73" w:rsidRPr="00A73D2C" w:rsidRDefault="00676C73" w:rsidP="008B19E4">
            <w:pPr>
              <w:rPr>
                <w:sz w:val="20"/>
                <w:szCs w:val="20"/>
              </w:rPr>
            </w:pPr>
            <w:r w:rsidRPr="00A73D2C">
              <w:rPr>
                <w:sz w:val="20"/>
                <w:szCs w:val="20"/>
              </w:rPr>
              <w:t>Coram :</w:t>
            </w:r>
          </w:p>
        </w:tc>
        <w:tc>
          <w:tcPr>
            <w:tcW w:w="8118" w:type="dxa"/>
          </w:tcPr>
          <w:p w:rsidR="00676C73" w:rsidRDefault="00952409" w:rsidP="008B19E4">
            <w:pPr>
              <w:rPr>
                <w:rStyle w:val="SCCCoramChar"/>
                <w:sz w:val="20"/>
                <w:szCs w:val="20"/>
                <w:lang w:val="en-CA"/>
              </w:rPr>
            </w:pPr>
            <w:r w:rsidRPr="00952409">
              <w:rPr>
                <w:rStyle w:val="SCCCoramChar"/>
                <w:sz w:val="20"/>
                <w:szCs w:val="20"/>
                <w:lang w:val="en-CA"/>
              </w:rPr>
              <w:t>McLachlin C.J. and Moldaver and Gascon JJ.</w:t>
            </w:r>
          </w:p>
          <w:p w:rsidR="00952409" w:rsidRPr="00A73D2C" w:rsidRDefault="00952409" w:rsidP="008B19E4">
            <w:pPr>
              <w:rPr>
                <w:sz w:val="20"/>
                <w:szCs w:val="20"/>
                <w:u w:val="single"/>
              </w:rPr>
            </w:pPr>
          </w:p>
        </w:tc>
      </w:tr>
      <w:tr w:rsidR="00676C73" w:rsidRPr="00002704" w:rsidTr="008B19E4">
        <w:trPr>
          <w:cantSplit/>
        </w:trPr>
        <w:tc>
          <w:tcPr>
            <w:tcW w:w="9576" w:type="dxa"/>
            <w:gridSpan w:val="2"/>
          </w:tcPr>
          <w:p w:rsidR="00952409" w:rsidRDefault="00952409" w:rsidP="00952409">
            <w:pPr>
              <w:pStyle w:val="SCCShortJudgment"/>
            </w:pPr>
            <w:r>
              <w:t>The motion for an extension of time to serve and file the application for leave to appeal is granted.  The motion for interim relief is dismissed.  The application for leave to appeal from the judgment of the Federal Court of Appeal, Number 15-A-9, dated April 14, 2015, is dismissed for want of jurisdiction.</w:t>
            </w:r>
          </w:p>
          <w:p w:rsidR="00952409" w:rsidRDefault="00952409" w:rsidP="00952409">
            <w:pPr>
              <w:pStyle w:val="SCCShortJudgment"/>
              <w:ind w:firstLine="0"/>
            </w:pPr>
          </w:p>
          <w:p w:rsidR="00676C73" w:rsidRPr="00A73D2C" w:rsidRDefault="00952409" w:rsidP="00952409">
            <w:pPr>
              <w:pStyle w:val="SCCShortJudgment"/>
              <w:rPr>
                <w:szCs w:val="20"/>
                <w:lang w:val="fr-CA"/>
              </w:rPr>
            </w:pPr>
            <w:r>
              <w:t xml:space="preserve">La </w:t>
            </w:r>
            <w:proofErr w:type="spellStart"/>
            <w:r>
              <w:t>requête</w:t>
            </w:r>
            <w:proofErr w:type="spellEnd"/>
            <w:r>
              <w:t xml:space="preserve"> </w:t>
            </w:r>
            <w:proofErr w:type="spellStart"/>
            <w:r>
              <w:t>en</w:t>
            </w:r>
            <w:proofErr w:type="spellEnd"/>
            <w:r>
              <w:t xml:space="preserve"> prorogation de signification et de </w:t>
            </w:r>
            <w:proofErr w:type="spellStart"/>
            <w:r>
              <w:t>dépôt</w:t>
            </w:r>
            <w:proofErr w:type="spellEnd"/>
            <w:r>
              <w:t xml:space="preserve"> de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w:t>
            </w:r>
            <w:proofErr w:type="spellStart"/>
            <w:r>
              <w:t>est</w:t>
            </w:r>
            <w:proofErr w:type="spellEnd"/>
            <w:r>
              <w:t xml:space="preserve"> </w:t>
            </w:r>
            <w:proofErr w:type="spellStart"/>
            <w:r>
              <w:t>accueillie</w:t>
            </w:r>
            <w:proofErr w:type="spellEnd"/>
            <w:r>
              <w:t xml:space="preserve">.  La </w:t>
            </w:r>
            <w:proofErr w:type="spellStart"/>
            <w:r>
              <w:t>requête</w:t>
            </w:r>
            <w:proofErr w:type="spellEnd"/>
            <w:r>
              <w:t xml:space="preserve"> pour </w:t>
            </w:r>
            <w:proofErr w:type="spellStart"/>
            <w:r>
              <w:t>mesure</w:t>
            </w:r>
            <w:proofErr w:type="spellEnd"/>
            <w:r>
              <w:t xml:space="preserve"> </w:t>
            </w:r>
            <w:proofErr w:type="spellStart"/>
            <w:r>
              <w:t>provisoire</w:t>
            </w:r>
            <w:proofErr w:type="spellEnd"/>
            <w:r>
              <w:t xml:space="preserve"> </w:t>
            </w:r>
            <w:proofErr w:type="spellStart"/>
            <w:r>
              <w:t>est</w:t>
            </w:r>
            <w:proofErr w:type="spellEnd"/>
            <w:r>
              <w:t xml:space="preserve"> </w:t>
            </w:r>
            <w:proofErr w:type="spellStart"/>
            <w:r>
              <w:t>rejetée</w:t>
            </w:r>
            <w:proofErr w:type="spellEnd"/>
            <w:r>
              <w:t xml:space="preserve">.  La </w:t>
            </w:r>
            <w:proofErr w:type="spellStart"/>
            <w:r>
              <w:t>demande</w:t>
            </w:r>
            <w:proofErr w:type="spellEnd"/>
            <w:r>
              <w:t xml:space="preserve"> </w:t>
            </w:r>
            <w:proofErr w:type="spellStart"/>
            <w:r>
              <w:t>d’autorisation</w:t>
            </w:r>
            <w:proofErr w:type="spellEnd"/>
            <w:r>
              <w:t xml:space="preserve"> </w:t>
            </w:r>
            <w:proofErr w:type="spellStart"/>
            <w:r>
              <w:t>d’appel</w:t>
            </w:r>
            <w:proofErr w:type="spellEnd"/>
            <w:r>
              <w:t xml:space="preserve"> de </w:t>
            </w:r>
            <w:proofErr w:type="spellStart"/>
            <w:r>
              <w:t>l’arrêt</w:t>
            </w:r>
            <w:proofErr w:type="spellEnd"/>
            <w:r>
              <w:t xml:space="preserve"> de la </w:t>
            </w:r>
            <w:proofErr w:type="spellStart"/>
            <w:r>
              <w:t>Cour</w:t>
            </w:r>
            <w:proofErr w:type="spellEnd"/>
            <w:r>
              <w:t xml:space="preserve"> </w:t>
            </w:r>
            <w:proofErr w:type="spellStart"/>
            <w:r>
              <w:t>d’appel</w:t>
            </w:r>
            <w:proofErr w:type="spellEnd"/>
            <w:r>
              <w:t xml:space="preserve"> </w:t>
            </w:r>
            <w:proofErr w:type="spellStart"/>
            <w:r>
              <w:t>fédérale</w:t>
            </w:r>
            <w:proofErr w:type="spellEnd"/>
            <w:r>
              <w:t xml:space="preserve">, </w:t>
            </w:r>
            <w:proofErr w:type="spellStart"/>
            <w:r>
              <w:t>numéro</w:t>
            </w:r>
            <w:proofErr w:type="spellEnd"/>
            <w:r>
              <w:t xml:space="preserve"> 15-A-9, </w:t>
            </w:r>
            <w:proofErr w:type="spellStart"/>
            <w:r>
              <w:t>daté</w:t>
            </w:r>
            <w:proofErr w:type="spellEnd"/>
            <w:r>
              <w:t xml:space="preserve"> du 14 </w:t>
            </w:r>
            <w:proofErr w:type="spellStart"/>
            <w:r>
              <w:t>avril</w:t>
            </w:r>
            <w:proofErr w:type="spellEnd"/>
            <w:r>
              <w:t xml:space="preserve"> 2015, </w:t>
            </w:r>
            <w:proofErr w:type="spellStart"/>
            <w:r>
              <w:t>est</w:t>
            </w:r>
            <w:proofErr w:type="spellEnd"/>
            <w:r>
              <w:t xml:space="preserve"> </w:t>
            </w:r>
            <w:proofErr w:type="spellStart"/>
            <w:r>
              <w:t>rejetée</w:t>
            </w:r>
            <w:proofErr w:type="spellEnd"/>
            <w:r>
              <w:t xml:space="preserve"> pour </w:t>
            </w:r>
            <w:proofErr w:type="spellStart"/>
            <w:r>
              <w:t>défaut</w:t>
            </w:r>
            <w:proofErr w:type="spellEnd"/>
            <w:r>
              <w:t xml:space="preserve"> de </w:t>
            </w:r>
            <w:proofErr w:type="spellStart"/>
            <w:r>
              <w:t>compétence</w:t>
            </w:r>
            <w:proofErr w:type="spellEnd"/>
            <w:r>
              <w:t>.</w:t>
            </w:r>
          </w:p>
        </w:tc>
      </w:tr>
    </w:tbl>
    <w:p w:rsidR="00676C73" w:rsidRPr="0016547E" w:rsidRDefault="00676C73" w:rsidP="00676C73">
      <w:pPr>
        <w:rPr>
          <w:sz w:val="20"/>
          <w:szCs w:val="20"/>
          <w:lang w:val="fr-CA"/>
        </w:rPr>
      </w:pPr>
    </w:p>
    <w:p w:rsidR="00676C73" w:rsidRPr="001B157C" w:rsidRDefault="00676C73" w:rsidP="00676C73">
      <w:pPr>
        <w:rPr>
          <w:sz w:val="20"/>
          <w:szCs w:val="20"/>
          <w:u w:val="single"/>
        </w:rPr>
      </w:pPr>
      <w:r w:rsidRPr="001B157C">
        <w:rPr>
          <w:sz w:val="20"/>
          <w:szCs w:val="20"/>
          <w:u w:val="single"/>
        </w:rPr>
        <w:t>CASE SUMMARY</w:t>
      </w:r>
    </w:p>
    <w:p w:rsidR="00676C73" w:rsidRDefault="00676C73" w:rsidP="00676C7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76C73" w:rsidRPr="00E007CB" w:rsidTr="008B19E4">
        <w:tc>
          <w:tcPr>
            <w:tcW w:w="5000" w:type="pct"/>
            <w:gridSpan w:val="3"/>
          </w:tcPr>
          <w:p w:rsidR="00676C73" w:rsidRDefault="00676C73" w:rsidP="008B19E4">
            <w:pPr>
              <w:jc w:val="both"/>
              <w:rPr>
                <w:sz w:val="20"/>
              </w:rPr>
            </w:pPr>
            <w:r w:rsidRPr="007F2DB8">
              <w:rPr>
                <w:sz w:val="20"/>
              </w:rPr>
              <w:t>Civil procedure – Time – Several applicants in separate actions seeking extensions of time to appeal Federal Court order in another case concerning validity of and interim exemption from new regulations pertaining to use of medical marijuana – Federal Court of Appeal dismissing motions – Whether members of class affected by a Federal Court ruling should have a right of appeal – Whether Federal Court of Appeal erred in dismissing appeal – Whether applicant should be granted interim exemption pending adjudication of application for leave to appeal.</w:t>
            </w:r>
          </w:p>
          <w:p w:rsidR="00676C73" w:rsidRPr="007F2DB8" w:rsidRDefault="00676C73" w:rsidP="008B19E4">
            <w:pPr>
              <w:jc w:val="both"/>
              <w:rPr>
                <w:sz w:val="20"/>
              </w:rPr>
            </w:pPr>
          </w:p>
        </w:tc>
      </w:tr>
      <w:tr w:rsidR="00676C73" w:rsidRPr="00E007CB" w:rsidTr="008B19E4">
        <w:tc>
          <w:tcPr>
            <w:tcW w:w="5000" w:type="pct"/>
            <w:gridSpan w:val="3"/>
          </w:tcPr>
          <w:p w:rsidR="00676C73" w:rsidRPr="007F2DB8" w:rsidRDefault="00676C73" w:rsidP="00676C73">
            <w:pPr>
              <w:jc w:val="both"/>
              <w:rPr>
                <w:sz w:val="20"/>
              </w:rPr>
            </w:pPr>
            <w:r w:rsidRPr="007F2DB8">
              <w:rPr>
                <w:sz w:val="20"/>
              </w:rPr>
              <w:t>The applicant had been issued a permit that allowed her to grow and use marijuana for personal, medicinal purposes. The grower permit regime was replaced in April, 2014 and thereafter permit-holders were required to purchase marijuana from licenced commercial producers. Many of those permit-holders commenced actions in the Federal Court, challenging the new legislative provisions. All of the actions except one were stayed and it proceeded to trial. Some of those plaintiffs were also granted interlocutory injunctive relief, exempting them from the new regime.               The applicant brought a motion for an extension of time to appeal the December 30, 2014 Federal Court order in the related case.</w:t>
            </w:r>
          </w:p>
          <w:p w:rsidR="00676C73" w:rsidRPr="00E007CB" w:rsidRDefault="00676C73" w:rsidP="008B19E4">
            <w:pPr>
              <w:jc w:val="both"/>
              <w:rPr>
                <w:rFonts w:eastAsia="Calibri"/>
                <w:sz w:val="20"/>
              </w:rPr>
            </w:pPr>
          </w:p>
        </w:tc>
      </w:tr>
      <w:tr w:rsidR="00676C73" w:rsidRPr="00E007CB" w:rsidTr="008B19E4">
        <w:trPr>
          <w:cantSplit/>
        </w:trPr>
        <w:tc>
          <w:tcPr>
            <w:tcW w:w="2427" w:type="pct"/>
          </w:tcPr>
          <w:p w:rsidR="00676C73" w:rsidRPr="007F2DB8" w:rsidRDefault="00676C73" w:rsidP="00676C73">
            <w:pPr>
              <w:jc w:val="both"/>
              <w:rPr>
                <w:sz w:val="20"/>
              </w:rPr>
            </w:pPr>
            <w:r w:rsidRPr="007F2DB8">
              <w:rPr>
                <w:sz w:val="20"/>
              </w:rPr>
              <w:t>March 21, 2014</w:t>
            </w:r>
          </w:p>
          <w:p w:rsidR="00676C73" w:rsidRPr="007F2DB8" w:rsidRDefault="00676C73" w:rsidP="00676C73">
            <w:pPr>
              <w:jc w:val="both"/>
              <w:rPr>
                <w:sz w:val="20"/>
              </w:rPr>
            </w:pPr>
            <w:r w:rsidRPr="007F2DB8">
              <w:rPr>
                <w:sz w:val="20"/>
              </w:rPr>
              <w:t>Federal Court</w:t>
            </w:r>
          </w:p>
          <w:p w:rsidR="00676C73" w:rsidRPr="007F2DB8" w:rsidRDefault="00676C73" w:rsidP="00676C73">
            <w:pPr>
              <w:jc w:val="both"/>
              <w:rPr>
                <w:sz w:val="20"/>
              </w:rPr>
            </w:pPr>
            <w:r w:rsidRPr="007F2DB8">
              <w:rPr>
                <w:sz w:val="20"/>
              </w:rPr>
              <w:t>(Manson J.)</w:t>
            </w:r>
          </w:p>
          <w:p w:rsidR="00676C73" w:rsidRPr="00E007CB" w:rsidRDefault="00C232E1" w:rsidP="00676C73">
            <w:pPr>
              <w:jc w:val="both"/>
              <w:rPr>
                <w:rFonts w:eastAsia="Calibri"/>
                <w:sz w:val="20"/>
              </w:rPr>
            </w:pPr>
            <w:hyperlink r:id="rId76" w:history="1">
              <w:r w:rsidR="00676C73" w:rsidRPr="007F2DB8">
                <w:rPr>
                  <w:rStyle w:val="Hyperlink"/>
                  <w:sz w:val="20"/>
                </w:rPr>
                <w:t>2014 FC 1260</w:t>
              </w:r>
            </w:hyperlink>
          </w:p>
        </w:tc>
        <w:tc>
          <w:tcPr>
            <w:tcW w:w="243" w:type="pct"/>
          </w:tcPr>
          <w:p w:rsidR="00676C73" w:rsidRPr="00E007CB" w:rsidRDefault="00676C73" w:rsidP="008B19E4">
            <w:pPr>
              <w:jc w:val="both"/>
              <w:rPr>
                <w:rFonts w:eastAsia="Calibri"/>
                <w:sz w:val="20"/>
              </w:rPr>
            </w:pPr>
          </w:p>
        </w:tc>
        <w:tc>
          <w:tcPr>
            <w:tcW w:w="2330" w:type="pct"/>
          </w:tcPr>
          <w:p w:rsidR="00676C73" w:rsidRPr="007F2DB8" w:rsidRDefault="00676C73" w:rsidP="00676C73">
            <w:pPr>
              <w:jc w:val="both"/>
              <w:rPr>
                <w:sz w:val="20"/>
              </w:rPr>
            </w:pPr>
            <w:r w:rsidRPr="007F2DB8">
              <w:rPr>
                <w:sz w:val="20"/>
              </w:rPr>
              <w:t xml:space="preserve">In </w:t>
            </w:r>
            <w:r w:rsidRPr="007F2DB8">
              <w:rPr>
                <w:i/>
                <w:sz w:val="20"/>
              </w:rPr>
              <w:t>Allard et al. v. Canada</w:t>
            </w:r>
            <w:r w:rsidRPr="007F2DB8">
              <w:rPr>
                <w:sz w:val="20"/>
              </w:rPr>
              <w:t xml:space="preserve">, 2014 FC 1260, plaintiffs’ motion for interlocutory injunction or interlocutory constitutional exemption from provisions of </w:t>
            </w:r>
            <w:r w:rsidRPr="007F2DB8">
              <w:rPr>
                <w:i/>
                <w:sz w:val="20"/>
              </w:rPr>
              <w:t>Marijuana for Medical Purposes Regulations</w:t>
            </w:r>
            <w:r w:rsidRPr="007F2DB8">
              <w:rPr>
                <w:sz w:val="20"/>
              </w:rPr>
              <w:t>, SOR/2013-119 granted in part</w:t>
            </w:r>
          </w:p>
          <w:p w:rsidR="00676C73" w:rsidRPr="00E007CB" w:rsidRDefault="00676C73" w:rsidP="008B19E4">
            <w:pPr>
              <w:jc w:val="both"/>
              <w:rPr>
                <w:rFonts w:eastAsia="Calibri"/>
                <w:sz w:val="20"/>
              </w:rPr>
            </w:pPr>
          </w:p>
        </w:tc>
      </w:tr>
      <w:tr w:rsidR="00676C73" w:rsidRPr="00E007CB" w:rsidTr="008B19E4">
        <w:trPr>
          <w:cantSplit/>
        </w:trPr>
        <w:tc>
          <w:tcPr>
            <w:tcW w:w="2427" w:type="pct"/>
          </w:tcPr>
          <w:p w:rsidR="00676C73" w:rsidRPr="007F2DB8" w:rsidRDefault="00676C73" w:rsidP="008B19E4">
            <w:pPr>
              <w:jc w:val="both"/>
              <w:rPr>
                <w:sz w:val="20"/>
              </w:rPr>
            </w:pPr>
            <w:r w:rsidRPr="007F2DB8">
              <w:rPr>
                <w:sz w:val="20"/>
              </w:rPr>
              <w:t>April 14, 2015</w:t>
            </w:r>
          </w:p>
          <w:p w:rsidR="00676C73" w:rsidRPr="007F2DB8" w:rsidRDefault="00676C73" w:rsidP="008B19E4">
            <w:pPr>
              <w:jc w:val="both"/>
              <w:rPr>
                <w:sz w:val="20"/>
              </w:rPr>
            </w:pPr>
            <w:r w:rsidRPr="007F2DB8">
              <w:rPr>
                <w:sz w:val="20"/>
              </w:rPr>
              <w:t>Federal Court of Appeal</w:t>
            </w:r>
          </w:p>
          <w:p w:rsidR="00676C73" w:rsidRPr="007F2DB8" w:rsidRDefault="00676C73" w:rsidP="008B19E4">
            <w:pPr>
              <w:jc w:val="both"/>
              <w:rPr>
                <w:sz w:val="20"/>
              </w:rPr>
            </w:pPr>
            <w:r w:rsidRPr="007F2DB8">
              <w:rPr>
                <w:sz w:val="20"/>
              </w:rPr>
              <w:t>(Dawson J.A.)</w:t>
            </w:r>
          </w:p>
          <w:p w:rsidR="00676C73" w:rsidRPr="00E007CB" w:rsidRDefault="00676C73" w:rsidP="008B19E4">
            <w:pPr>
              <w:jc w:val="both"/>
              <w:rPr>
                <w:rFonts w:eastAsia="Calibri"/>
                <w:sz w:val="20"/>
              </w:rPr>
            </w:pPr>
            <w:r w:rsidRPr="007F2DB8">
              <w:rPr>
                <w:sz w:val="20"/>
              </w:rPr>
              <w:t>Unreported</w:t>
            </w:r>
            <w:r w:rsidRPr="00E007CB">
              <w:rPr>
                <w:rFonts w:eastAsia="Calibri"/>
                <w:sz w:val="20"/>
              </w:rPr>
              <w:t xml:space="preserve"> </w:t>
            </w:r>
          </w:p>
        </w:tc>
        <w:tc>
          <w:tcPr>
            <w:tcW w:w="243" w:type="pct"/>
          </w:tcPr>
          <w:p w:rsidR="00676C73" w:rsidRPr="00E007CB" w:rsidRDefault="00676C73" w:rsidP="008B19E4">
            <w:pPr>
              <w:jc w:val="both"/>
              <w:rPr>
                <w:rFonts w:eastAsia="Calibri"/>
                <w:sz w:val="20"/>
              </w:rPr>
            </w:pPr>
          </w:p>
        </w:tc>
        <w:tc>
          <w:tcPr>
            <w:tcW w:w="2330" w:type="pct"/>
          </w:tcPr>
          <w:p w:rsidR="00676C73" w:rsidRPr="007F2DB8" w:rsidRDefault="00676C73" w:rsidP="008B19E4">
            <w:pPr>
              <w:jc w:val="both"/>
              <w:rPr>
                <w:sz w:val="20"/>
              </w:rPr>
            </w:pPr>
            <w:r w:rsidRPr="007F2DB8">
              <w:rPr>
                <w:sz w:val="20"/>
              </w:rPr>
              <w:t xml:space="preserve">Applicant’s motion for extension of time in which to file notice of appeal in </w:t>
            </w:r>
            <w:r w:rsidRPr="007F2DB8">
              <w:rPr>
                <w:i/>
                <w:sz w:val="20"/>
              </w:rPr>
              <w:t>Allard</w:t>
            </w:r>
            <w:r w:rsidRPr="007F2DB8">
              <w:rPr>
                <w:sz w:val="20"/>
              </w:rPr>
              <w:t xml:space="preserve"> action and for interim order preserving permit rights dismissed</w:t>
            </w:r>
          </w:p>
          <w:p w:rsidR="00676C73" w:rsidRPr="007F2DB8" w:rsidRDefault="00676C73" w:rsidP="008B19E4">
            <w:pPr>
              <w:jc w:val="both"/>
              <w:rPr>
                <w:sz w:val="20"/>
              </w:rPr>
            </w:pPr>
          </w:p>
        </w:tc>
      </w:tr>
      <w:tr w:rsidR="00676C73" w:rsidRPr="00E007CB" w:rsidTr="008B19E4">
        <w:trPr>
          <w:cantSplit/>
        </w:trPr>
        <w:tc>
          <w:tcPr>
            <w:tcW w:w="2427" w:type="pct"/>
          </w:tcPr>
          <w:p w:rsidR="00676C73" w:rsidRPr="00E007CB" w:rsidRDefault="00676C73" w:rsidP="008B19E4">
            <w:pPr>
              <w:jc w:val="both"/>
              <w:rPr>
                <w:rFonts w:eastAsia="Calibri"/>
                <w:sz w:val="20"/>
              </w:rPr>
            </w:pPr>
            <w:r>
              <w:rPr>
                <w:rFonts w:eastAsia="Calibri"/>
                <w:sz w:val="20"/>
              </w:rPr>
              <w:t>June 29</w:t>
            </w:r>
            <w:r w:rsidRPr="00E007CB">
              <w:rPr>
                <w:rFonts w:eastAsia="Calibri"/>
                <w:sz w:val="20"/>
              </w:rPr>
              <w:t>, 201</w:t>
            </w:r>
            <w:r>
              <w:rPr>
                <w:rFonts w:eastAsia="Calibri"/>
                <w:sz w:val="20"/>
              </w:rPr>
              <w:t>5</w:t>
            </w:r>
          </w:p>
          <w:p w:rsidR="00676C73" w:rsidRPr="00E007CB" w:rsidRDefault="00676C73" w:rsidP="008B19E4">
            <w:pPr>
              <w:jc w:val="both"/>
              <w:rPr>
                <w:rFonts w:eastAsia="Calibri"/>
                <w:sz w:val="20"/>
              </w:rPr>
            </w:pPr>
            <w:r w:rsidRPr="00E007CB">
              <w:rPr>
                <w:rFonts w:eastAsia="Calibri"/>
                <w:sz w:val="20"/>
              </w:rPr>
              <w:t>Supreme Court of Canada</w:t>
            </w:r>
          </w:p>
        </w:tc>
        <w:tc>
          <w:tcPr>
            <w:tcW w:w="243" w:type="pct"/>
          </w:tcPr>
          <w:p w:rsidR="00676C73" w:rsidRPr="00E007CB" w:rsidRDefault="00676C73" w:rsidP="008B19E4">
            <w:pPr>
              <w:jc w:val="both"/>
              <w:rPr>
                <w:rFonts w:eastAsia="Calibri"/>
                <w:sz w:val="20"/>
              </w:rPr>
            </w:pPr>
          </w:p>
        </w:tc>
        <w:tc>
          <w:tcPr>
            <w:tcW w:w="2330" w:type="pct"/>
          </w:tcPr>
          <w:p w:rsidR="00676C73" w:rsidRPr="007F2DB8" w:rsidRDefault="00676C73" w:rsidP="008B19E4">
            <w:pPr>
              <w:jc w:val="both"/>
              <w:rPr>
                <w:sz w:val="20"/>
              </w:rPr>
            </w:pPr>
            <w:r w:rsidRPr="007F2DB8">
              <w:rPr>
                <w:sz w:val="20"/>
              </w:rPr>
              <w:t>Motion for extension of time in which to serve and file application for leave to appeal  and application for leave to appeal filed</w:t>
            </w:r>
          </w:p>
        </w:tc>
      </w:tr>
    </w:tbl>
    <w:p w:rsidR="00676C73" w:rsidRDefault="00676C73" w:rsidP="00676C73">
      <w:pPr>
        <w:rPr>
          <w:sz w:val="20"/>
          <w:szCs w:val="20"/>
        </w:rPr>
      </w:pPr>
    </w:p>
    <w:p w:rsidR="00676C73" w:rsidRPr="00C50A5C" w:rsidRDefault="00C232E1" w:rsidP="00676C73">
      <w:pPr>
        <w:rPr>
          <w:sz w:val="20"/>
          <w:szCs w:val="20"/>
        </w:rPr>
      </w:pPr>
      <w:r>
        <w:rPr>
          <w:sz w:val="20"/>
          <w:szCs w:val="20"/>
          <w:lang w:val="fr-CA"/>
        </w:rPr>
        <w:pict>
          <v:rect id="_x0000_i1078" style="width:2in;height:1pt" o:hrpct="0" o:hralign="center" o:hrstd="t" o:hrnoshade="t" o:hr="t" fillcolor="black [3213]" stroked="f"/>
        </w:pict>
      </w:r>
    </w:p>
    <w:p w:rsidR="00676C73" w:rsidRDefault="00676C73" w:rsidP="00676C73">
      <w:pPr>
        <w:rPr>
          <w:sz w:val="20"/>
          <w:szCs w:val="20"/>
        </w:rPr>
      </w:pPr>
    </w:p>
    <w:p w:rsidR="00676C73" w:rsidRPr="001B157C" w:rsidRDefault="00676C73" w:rsidP="00676C73">
      <w:pPr>
        <w:rPr>
          <w:sz w:val="20"/>
          <w:szCs w:val="20"/>
          <w:u w:val="single"/>
          <w:lang w:val="fr-CA"/>
        </w:rPr>
      </w:pPr>
      <w:r w:rsidRPr="001B157C">
        <w:rPr>
          <w:sz w:val="20"/>
          <w:szCs w:val="20"/>
          <w:u w:val="single"/>
          <w:lang w:val="fr-CA"/>
        </w:rPr>
        <w:t>RÉSUMÉ DE L’AFFAIRE</w:t>
      </w:r>
    </w:p>
    <w:p w:rsidR="00676C73" w:rsidRDefault="00676C73" w:rsidP="00676C73">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76C73" w:rsidRPr="00002704" w:rsidTr="008B19E4">
        <w:tc>
          <w:tcPr>
            <w:tcW w:w="5000" w:type="pct"/>
            <w:gridSpan w:val="3"/>
          </w:tcPr>
          <w:p w:rsidR="00676C73" w:rsidRDefault="00676C73" w:rsidP="008B19E4">
            <w:pPr>
              <w:jc w:val="both"/>
              <w:rPr>
                <w:sz w:val="20"/>
                <w:lang w:val="fr-CA"/>
              </w:rPr>
            </w:pPr>
            <w:r w:rsidRPr="007F2DB8">
              <w:rPr>
                <w:sz w:val="20"/>
                <w:lang w:val="fr-CA"/>
              </w:rPr>
              <w:t xml:space="preserve">Procédure civile – Délais – Plusieurs demandeurs, dans des actions distinctes, sollicitent des prorogations de délai pour interjeter appel d’une ordonnance de la Cour fédérale dans une autre affaire concernant la validité du nouveau règlement relatif à l’usage de la marihuana à des fins médicales et une exemption provisoire à l’égard de ce règlement – La Cour d’appel fédérale a rejeté les requêtes – Les membres du groupe touché par le jugement de la Cour fédérale devraient-ils </w:t>
            </w:r>
            <w:r w:rsidRPr="007F2DB8">
              <w:rPr>
                <w:sz w:val="20"/>
                <w:lang w:val="fr-CA"/>
              </w:rPr>
              <w:lastRenderedPageBreak/>
              <w:t xml:space="preserve">avoir un droit d’appel? – La Cour d’appel </w:t>
            </w:r>
            <w:proofErr w:type="gramStart"/>
            <w:r w:rsidRPr="007F2DB8">
              <w:rPr>
                <w:sz w:val="20"/>
                <w:lang w:val="fr-CA"/>
              </w:rPr>
              <w:t>fédérale</w:t>
            </w:r>
            <w:proofErr w:type="gramEnd"/>
            <w:r w:rsidRPr="007F2DB8">
              <w:rPr>
                <w:sz w:val="20"/>
                <w:lang w:val="fr-CA"/>
              </w:rPr>
              <w:t xml:space="preserve"> a-t-elle eu tort de rejeter l’appel? – Y </w:t>
            </w:r>
            <w:proofErr w:type="spellStart"/>
            <w:r w:rsidRPr="007F2DB8">
              <w:rPr>
                <w:sz w:val="20"/>
                <w:lang w:val="fr-CA"/>
              </w:rPr>
              <w:t>a-t-il</w:t>
            </w:r>
            <w:proofErr w:type="spellEnd"/>
            <w:r w:rsidRPr="007F2DB8">
              <w:rPr>
                <w:sz w:val="20"/>
                <w:lang w:val="fr-CA"/>
              </w:rPr>
              <w:t xml:space="preserve"> lieu d’accorder à la demanderesse une exemption provisoire en attendant qu’il soit statué sur la demande d’autorisation d’appel?</w:t>
            </w:r>
          </w:p>
          <w:p w:rsidR="00676C73" w:rsidRPr="007F2DB8" w:rsidRDefault="00676C73" w:rsidP="008B19E4">
            <w:pPr>
              <w:jc w:val="both"/>
              <w:rPr>
                <w:sz w:val="20"/>
                <w:lang w:val="fr-CA"/>
              </w:rPr>
            </w:pPr>
          </w:p>
        </w:tc>
      </w:tr>
      <w:tr w:rsidR="00676C73" w:rsidRPr="00E007CB" w:rsidTr="008B19E4">
        <w:tc>
          <w:tcPr>
            <w:tcW w:w="5000" w:type="pct"/>
            <w:gridSpan w:val="3"/>
          </w:tcPr>
          <w:p w:rsidR="00676C73" w:rsidRPr="007F2DB8" w:rsidRDefault="00676C73" w:rsidP="00676C73">
            <w:pPr>
              <w:jc w:val="both"/>
              <w:rPr>
                <w:sz w:val="20"/>
                <w:lang w:val="fr-CA"/>
              </w:rPr>
            </w:pPr>
            <w:r w:rsidRPr="007F2DB8">
              <w:rPr>
                <w:sz w:val="20"/>
                <w:lang w:val="fr-CA"/>
              </w:rPr>
              <w:lastRenderedPageBreak/>
              <w:t>La demanderesse s’était vu octroyer un permis qui lui permettait de produire et d’utiliser de la marihuana à des fins personnelles et médicales. En avril 2014, le régime de permis de production a été remplacé et dorénavant, les titulaires de permis devaient acheter de la marihuana de producteurs commerciaux autorisés. Plusieurs titulaires de ces permis ont intenté des actions en  Cour fédérale, contestant les nouvelles dispositions législatives. Toutes ces actions sauf une ont été suspendues et cette dernière est allée à procès. Certains demandeurs se sont vu accorder une injonction interlocutoire, les exemptant du nouveau régime.  La demanderesse a présenté une requête en prorogation de délai pour interjeter appel de l’ordonnance prononcée le 30 décembre 2014 par la Cour fédérale dans l’affaire connexe.</w:t>
            </w:r>
          </w:p>
          <w:p w:rsidR="00676C73" w:rsidRPr="00E007CB" w:rsidRDefault="00676C73" w:rsidP="008B19E4">
            <w:pPr>
              <w:jc w:val="both"/>
              <w:rPr>
                <w:sz w:val="20"/>
                <w:lang w:val="fr-CA"/>
              </w:rPr>
            </w:pPr>
          </w:p>
        </w:tc>
      </w:tr>
      <w:tr w:rsidR="00676C73" w:rsidRPr="00002704" w:rsidTr="008B19E4">
        <w:trPr>
          <w:cantSplit/>
        </w:trPr>
        <w:tc>
          <w:tcPr>
            <w:tcW w:w="2427" w:type="pct"/>
          </w:tcPr>
          <w:p w:rsidR="00676C73" w:rsidRPr="007F2DB8" w:rsidRDefault="00676C73" w:rsidP="008B19E4">
            <w:pPr>
              <w:jc w:val="both"/>
              <w:rPr>
                <w:sz w:val="20"/>
                <w:lang w:val="fr-CA"/>
              </w:rPr>
            </w:pPr>
            <w:r w:rsidRPr="007F2DB8">
              <w:rPr>
                <w:sz w:val="20"/>
                <w:lang w:val="fr-CA"/>
              </w:rPr>
              <w:t>21 mars 2014</w:t>
            </w:r>
          </w:p>
          <w:p w:rsidR="00676C73" w:rsidRPr="007F2DB8" w:rsidRDefault="00676C73" w:rsidP="008B19E4">
            <w:pPr>
              <w:jc w:val="both"/>
              <w:rPr>
                <w:sz w:val="20"/>
                <w:lang w:val="fr-CA"/>
              </w:rPr>
            </w:pPr>
            <w:r w:rsidRPr="007F2DB8">
              <w:rPr>
                <w:sz w:val="20"/>
                <w:lang w:val="fr-CA"/>
              </w:rPr>
              <w:t>Cour fédérale</w:t>
            </w:r>
          </w:p>
          <w:p w:rsidR="00676C73" w:rsidRPr="007F2DB8" w:rsidRDefault="00676C73" w:rsidP="008B19E4">
            <w:pPr>
              <w:jc w:val="both"/>
              <w:rPr>
                <w:sz w:val="20"/>
                <w:lang w:val="fr-CA"/>
              </w:rPr>
            </w:pPr>
            <w:r w:rsidRPr="007F2DB8">
              <w:rPr>
                <w:sz w:val="20"/>
                <w:lang w:val="fr-CA"/>
              </w:rPr>
              <w:t xml:space="preserve">(Juge </w:t>
            </w:r>
            <w:proofErr w:type="spellStart"/>
            <w:r w:rsidRPr="007F2DB8">
              <w:rPr>
                <w:sz w:val="20"/>
                <w:lang w:val="fr-CA"/>
              </w:rPr>
              <w:t>Manson</w:t>
            </w:r>
            <w:proofErr w:type="spellEnd"/>
            <w:r w:rsidRPr="007F2DB8">
              <w:rPr>
                <w:sz w:val="20"/>
                <w:lang w:val="fr-CA"/>
              </w:rPr>
              <w:t>)</w:t>
            </w:r>
          </w:p>
          <w:p w:rsidR="00676C73" w:rsidRPr="00E007CB" w:rsidRDefault="00C232E1" w:rsidP="008B19E4">
            <w:pPr>
              <w:jc w:val="both"/>
              <w:rPr>
                <w:rFonts w:eastAsia="Calibri"/>
                <w:sz w:val="20"/>
                <w:lang w:val="fr-CA"/>
              </w:rPr>
            </w:pPr>
            <w:hyperlink r:id="rId77" w:history="1">
              <w:r w:rsidR="00676C73" w:rsidRPr="007F2DB8">
                <w:rPr>
                  <w:rStyle w:val="Hyperlink"/>
                  <w:sz w:val="20"/>
                  <w:lang w:val="fr-CA"/>
                </w:rPr>
                <w:t>2014 FC 1260</w:t>
              </w:r>
            </w:hyperlink>
          </w:p>
        </w:tc>
        <w:tc>
          <w:tcPr>
            <w:tcW w:w="243" w:type="pct"/>
          </w:tcPr>
          <w:p w:rsidR="00676C73" w:rsidRPr="00E007CB" w:rsidRDefault="00676C73" w:rsidP="008B19E4">
            <w:pPr>
              <w:jc w:val="both"/>
              <w:rPr>
                <w:rFonts w:eastAsia="Calibri"/>
                <w:sz w:val="20"/>
                <w:lang w:val="fr-CA"/>
              </w:rPr>
            </w:pPr>
          </w:p>
        </w:tc>
        <w:tc>
          <w:tcPr>
            <w:tcW w:w="2330" w:type="pct"/>
          </w:tcPr>
          <w:p w:rsidR="00676C73" w:rsidRPr="007F2DB8" w:rsidRDefault="00676C73" w:rsidP="00676C73">
            <w:pPr>
              <w:jc w:val="both"/>
              <w:rPr>
                <w:sz w:val="20"/>
                <w:lang w:val="fr-CA"/>
              </w:rPr>
            </w:pPr>
            <w:r w:rsidRPr="007F2DB8">
              <w:rPr>
                <w:sz w:val="20"/>
                <w:lang w:val="fr-CA"/>
              </w:rPr>
              <w:t xml:space="preserve">Dans </w:t>
            </w:r>
            <w:r w:rsidRPr="007F2DB8">
              <w:rPr>
                <w:i/>
                <w:sz w:val="20"/>
                <w:lang w:val="fr-CA"/>
              </w:rPr>
              <w:t>Allard et al. c. Canada</w:t>
            </w:r>
            <w:r w:rsidRPr="007F2DB8">
              <w:rPr>
                <w:sz w:val="20"/>
                <w:lang w:val="fr-CA"/>
              </w:rPr>
              <w:t xml:space="preserve">, 2014 FC 1260, jugement accueillant en partie la requête des demandeurs en première instance en injonction interlocutoire ou en exemption constitutionnelle interlocutoire à l’égard des dispositions du </w:t>
            </w:r>
            <w:r w:rsidRPr="007F2DB8">
              <w:rPr>
                <w:i/>
                <w:sz w:val="20"/>
                <w:lang w:val="fr-CA"/>
              </w:rPr>
              <w:t>Règlement sur la marihuana à des fins médicales</w:t>
            </w:r>
            <w:r w:rsidRPr="007F2DB8">
              <w:rPr>
                <w:sz w:val="20"/>
                <w:lang w:val="fr-CA"/>
              </w:rPr>
              <w:t xml:space="preserve">, DORS/2013-119 </w:t>
            </w:r>
          </w:p>
          <w:p w:rsidR="00676C73" w:rsidRPr="0026164C" w:rsidRDefault="00676C73" w:rsidP="008B19E4">
            <w:pPr>
              <w:jc w:val="both"/>
              <w:rPr>
                <w:sz w:val="20"/>
                <w:lang w:val="fr-CA"/>
              </w:rPr>
            </w:pPr>
          </w:p>
        </w:tc>
      </w:tr>
      <w:tr w:rsidR="00676C73" w:rsidRPr="00002704" w:rsidTr="008B19E4">
        <w:trPr>
          <w:cantSplit/>
        </w:trPr>
        <w:tc>
          <w:tcPr>
            <w:tcW w:w="2427" w:type="pct"/>
          </w:tcPr>
          <w:p w:rsidR="00676C73" w:rsidRPr="007F2DB8" w:rsidRDefault="00676C73" w:rsidP="008B19E4">
            <w:pPr>
              <w:jc w:val="both"/>
              <w:rPr>
                <w:sz w:val="20"/>
                <w:lang w:val="fr-CA"/>
              </w:rPr>
            </w:pPr>
            <w:r w:rsidRPr="007F2DB8">
              <w:rPr>
                <w:sz w:val="20"/>
                <w:lang w:val="fr-CA"/>
              </w:rPr>
              <w:t>14 avril 2015</w:t>
            </w:r>
          </w:p>
          <w:p w:rsidR="00676C73" w:rsidRPr="007F2DB8" w:rsidRDefault="00676C73" w:rsidP="008B19E4">
            <w:pPr>
              <w:jc w:val="both"/>
              <w:rPr>
                <w:sz w:val="20"/>
                <w:lang w:val="fr-CA"/>
              </w:rPr>
            </w:pPr>
            <w:r w:rsidRPr="007F2DB8">
              <w:rPr>
                <w:sz w:val="20"/>
                <w:lang w:val="fr-CA"/>
              </w:rPr>
              <w:t>Cour d’appel fédérale</w:t>
            </w:r>
          </w:p>
          <w:p w:rsidR="00676C73" w:rsidRPr="007F2DB8" w:rsidRDefault="00676C73" w:rsidP="008B19E4">
            <w:pPr>
              <w:jc w:val="both"/>
              <w:rPr>
                <w:sz w:val="20"/>
                <w:lang w:val="fr-CA"/>
              </w:rPr>
            </w:pPr>
            <w:r w:rsidRPr="007F2DB8">
              <w:rPr>
                <w:sz w:val="20"/>
                <w:lang w:val="fr-CA"/>
              </w:rPr>
              <w:t>(Juge Dawson)</w:t>
            </w:r>
          </w:p>
          <w:p w:rsidR="00676C73" w:rsidRPr="00E007CB" w:rsidRDefault="00676C73" w:rsidP="008B19E4">
            <w:pPr>
              <w:jc w:val="both"/>
              <w:rPr>
                <w:rFonts w:eastAsia="Calibri"/>
                <w:sz w:val="20"/>
                <w:lang w:val="fr-CA"/>
              </w:rPr>
            </w:pPr>
            <w:r w:rsidRPr="007F2DB8">
              <w:rPr>
                <w:sz w:val="20"/>
                <w:lang w:val="fr-CA"/>
              </w:rPr>
              <w:t>Non publié</w:t>
            </w:r>
            <w:r w:rsidRPr="00E007CB">
              <w:rPr>
                <w:rFonts w:eastAsia="Calibri"/>
                <w:sz w:val="20"/>
                <w:lang w:val="fr-CA"/>
              </w:rPr>
              <w:t xml:space="preserve"> </w:t>
            </w:r>
          </w:p>
        </w:tc>
        <w:tc>
          <w:tcPr>
            <w:tcW w:w="243" w:type="pct"/>
          </w:tcPr>
          <w:p w:rsidR="00676C73" w:rsidRPr="00E007CB" w:rsidRDefault="00676C73" w:rsidP="008B19E4">
            <w:pPr>
              <w:jc w:val="both"/>
              <w:rPr>
                <w:rFonts w:eastAsia="Calibri"/>
                <w:sz w:val="20"/>
                <w:lang w:val="fr-CA"/>
              </w:rPr>
            </w:pPr>
          </w:p>
        </w:tc>
        <w:tc>
          <w:tcPr>
            <w:tcW w:w="2330" w:type="pct"/>
          </w:tcPr>
          <w:p w:rsidR="00676C73" w:rsidRPr="007F2DB8" w:rsidRDefault="00676C73" w:rsidP="00676C73">
            <w:pPr>
              <w:jc w:val="both"/>
              <w:rPr>
                <w:sz w:val="20"/>
                <w:lang w:val="fr-CA"/>
              </w:rPr>
            </w:pPr>
            <w:r w:rsidRPr="007F2DB8">
              <w:rPr>
                <w:sz w:val="20"/>
                <w:lang w:val="fr-CA"/>
              </w:rPr>
              <w:t xml:space="preserve">Rejet de la requête de la demanderesse en prorogation du délai en vue de déposer un avis d’appel dans l’action </w:t>
            </w:r>
            <w:r w:rsidRPr="007F2DB8">
              <w:rPr>
                <w:i/>
                <w:sz w:val="20"/>
                <w:lang w:val="fr-CA"/>
              </w:rPr>
              <w:t>Allard</w:t>
            </w:r>
            <w:r w:rsidRPr="007F2DB8">
              <w:rPr>
                <w:sz w:val="20"/>
                <w:lang w:val="fr-CA"/>
              </w:rPr>
              <w:t xml:space="preserve"> et en vue d’obtenir une ordonnance provisoire maintenant les droits conférés par le permis</w:t>
            </w:r>
          </w:p>
          <w:p w:rsidR="00676C73" w:rsidRPr="00E007CB" w:rsidRDefault="00676C73" w:rsidP="008B19E4">
            <w:pPr>
              <w:jc w:val="both"/>
              <w:rPr>
                <w:rFonts w:eastAsia="Calibri"/>
                <w:sz w:val="20"/>
                <w:lang w:val="fr-CA"/>
              </w:rPr>
            </w:pPr>
          </w:p>
        </w:tc>
      </w:tr>
      <w:tr w:rsidR="00676C73" w:rsidRPr="00E007CB" w:rsidTr="008B19E4">
        <w:trPr>
          <w:cantSplit/>
        </w:trPr>
        <w:tc>
          <w:tcPr>
            <w:tcW w:w="2427" w:type="pct"/>
          </w:tcPr>
          <w:p w:rsidR="00676C73" w:rsidRPr="007F2DB8" w:rsidRDefault="00676C73" w:rsidP="00676C73">
            <w:pPr>
              <w:jc w:val="both"/>
              <w:rPr>
                <w:sz w:val="20"/>
                <w:lang w:val="fr-CA"/>
              </w:rPr>
            </w:pPr>
            <w:r w:rsidRPr="007F2DB8">
              <w:rPr>
                <w:sz w:val="20"/>
                <w:lang w:val="fr-CA"/>
              </w:rPr>
              <w:t xml:space="preserve">Le </w:t>
            </w:r>
            <w:r>
              <w:rPr>
                <w:sz w:val="20"/>
                <w:lang w:val="fr-CA"/>
              </w:rPr>
              <w:t>29 juin</w:t>
            </w:r>
            <w:r w:rsidRPr="007F2DB8">
              <w:rPr>
                <w:sz w:val="20"/>
                <w:lang w:val="fr-CA"/>
              </w:rPr>
              <w:t xml:space="preserve"> 2015</w:t>
            </w:r>
          </w:p>
          <w:p w:rsidR="00676C73" w:rsidRPr="00E007CB" w:rsidRDefault="00676C73" w:rsidP="00676C73">
            <w:pPr>
              <w:jc w:val="both"/>
              <w:rPr>
                <w:rFonts w:eastAsia="Calibri"/>
                <w:sz w:val="20"/>
                <w:lang w:val="fr-CA"/>
              </w:rPr>
            </w:pPr>
            <w:r w:rsidRPr="00E007CB">
              <w:rPr>
                <w:rFonts w:eastAsia="Calibri"/>
                <w:sz w:val="20"/>
                <w:lang w:val="fr-CA"/>
              </w:rPr>
              <w:t>Cour suprême du Canada</w:t>
            </w:r>
          </w:p>
        </w:tc>
        <w:tc>
          <w:tcPr>
            <w:tcW w:w="243" w:type="pct"/>
          </w:tcPr>
          <w:p w:rsidR="00676C73" w:rsidRPr="00E007CB" w:rsidRDefault="00676C73" w:rsidP="00676C73">
            <w:pPr>
              <w:jc w:val="both"/>
              <w:rPr>
                <w:rFonts w:eastAsia="Calibri"/>
                <w:sz w:val="20"/>
                <w:lang w:val="fr-CA"/>
              </w:rPr>
            </w:pPr>
          </w:p>
        </w:tc>
        <w:tc>
          <w:tcPr>
            <w:tcW w:w="2330" w:type="pct"/>
          </w:tcPr>
          <w:p w:rsidR="00676C73" w:rsidRPr="007F2DB8" w:rsidRDefault="00676C73" w:rsidP="00676C73">
            <w:pPr>
              <w:jc w:val="both"/>
              <w:rPr>
                <w:sz w:val="20"/>
                <w:lang w:val="fr-CA"/>
              </w:rPr>
            </w:pPr>
            <w:r w:rsidRPr="007F2DB8">
              <w:rPr>
                <w:sz w:val="20"/>
                <w:lang w:val="fr-CA"/>
              </w:rPr>
              <w:t>Dépôt de la requête en prorogation du délai de signification et de dépôt de la demande d’autorisation d’appel et de la demande d’autorisation d’appel</w:t>
            </w:r>
          </w:p>
        </w:tc>
      </w:tr>
    </w:tbl>
    <w:p w:rsidR="00676C73" w:rsidRDefault="00676C73" w:rsidP="00676C73">
      <w:pPr>
        <w:rPr>
          <w:sz w:val="20"/>
          <w:szCs w:val="20"/>
        </w:rPr>
      </w:pPr>
    </w:p>
    <w:p w:rsidR="00676C73" w:rsidRDefault="00C232E1" w:rsidP="00676C73">
      <w:pPr>
        <w:rPr>
          <w:sz w:val="20"/>
          <w:szCs w:val="20"/>
        </w:rPr>
      </w:pPr>
      <w:r>
        <w:rPr>
          <w:sz w:val="20"/>
          <w:szCs w:val="20"/>
          <w:lang w:val="fr-CA"/>
        </w:rPr>
        <w:pict>
          <v:rect id="_x0000_i1079" style="width:2in;height:1pt" o:hrpct="0" o:hralign="center" o:hrstd="t" o:hrnoshade="t" o:hr="t" fillcolor="black [3213]" stroked="f"/>
        </w:pict>
      </w:r>
    </w:p>
    <w:p w:rsidR="00676C73" w:rsidRDefault="00676C73" w:rsidP="00676C73">
      <w:pPr>
        <w:rPr>
          <w:sz w:val="20"/>
          <w:szCs w:val="20"/>
        </w:rPr>
      </w:pPr>
    </w:p>
    <w:p w:rsidR="00183FD2" w:rsidRDefault="00183FD2" w:rsidP="00183FD2">
      <w:pPr>
        <w:rPr>
          <w:sz w:val="20"/>
          <w:szCs w:val="20"/>
          <w:lang w:val="fr-CA"/>
        </w:rPr>
      </w:pPr>
    </w:p>
    <w:p w:rsidR="00196004" w:rsidRPr="00C50A5C" w:rsidRDefault="00196004"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rFonts w:cs="Times New Roman"/>
          <w:sz w:val="20"/>
          <w:szCs w:val="20"/>
        </w:rPr>
      </w:pPr>
    </w:p>
    <w:p w:rsidR="00022B50" w:rsidRPr="00F932AA" w:rsidRDefault="00022B50" w:rsidP="00022B50">
      <w:pPr>
        <w:tabs>
          <w:tab w:val="left" w:pos="-1440"/>
          <w:tab w:val="left" w:pos="-720"/>
        </w:tabs>
        <w:jc w:val="both"/>
        <w:rPr>
          <w:rFonts w:eastAsia="Times New Roman" w:cs="Times New Roman"/>
          <w:sz w:val="20"/>
          <w:szCs w:val="20"/>
          <w:lang w:val="fr-CA" w:eastAsia="en-CA"/>
        </w:rPr>
      </w:pPr>
    </w:p>
    <w:p w:rsidR="00022B50" w:rsidRPr="00F932AA" w:rsidRDefault="00022B50" w:rsidP="00022B50">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26.10.2015</w:t>
      </w:r>
    </w:p>
    <w:p w:rsidR="00022B50" w:rsidRPr="00F932AA" w:rsidRDefault="00022B50" w:rsidP="00022B50">
      <w:pPr>
        <w:tabs>
          <w:tab w:val="left" w:pos="-1440"/>
          <w:tab w:val="left" w:pos="-720"/>
        </w:tabs>
        <w:jc w:val="both"/>
        <w:rPr>
          <w:rFonts w:eastAsia="Times New Roman" w:cs="Times New Roman"/>
          <w:sz w:val="20"/>
          <w:szCs w:val="20"/>
          <w:lang w:val="fr-CA" w:eastAsia="en-CA"/>
        </w:rPr>
      </w:pPr>
    </w:p>
    <w:p w:rsidR="00022B50" w:rsidRPr="00F932AA" w:rsidRDefault="00022B50" w:rsidP="00022B50">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Before / Devant:   MOLDAVER J. / LE JUGE MOLDAVER</w:t>
      </w:r>
    </w:p>
    <w:p w:rsidR="00022B50" w:rsidRPr="00F932AA" w:rsidRDefault="00022B50" w:rsidP="00022B50">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2840"/>
        <w:gridCol w:w="1134"/>
        <w:gridCol w:w="4213"/>
      </w:tblGrid>
      <w:tr w:rsidR="00022B50" w:rsidRPr="00F932AA" w:rsidTr="00576D0E">
        <w:tc>
          <w:tcPr>
            <w:tcW w:w="4272" w:type="dxa"/>
            <w:gridSpan w:val="2"/>
          </w:tcPr>
          <w:p w:rsidR="00022B50" w:rsidRPr="00F932AA" w:rsidRDefault="00022B50" w:rsidP="00576D0E">
            <w:pPr>
              <w:jc w:val="both"/>
              <w:rPr>
                <w:b/>
              </w:rPr>
            </w:pPr>
            <w:r w:rsidRPr="00F932AA">
              <w:rPr>
                <w:b/>
                <w:lang w:val="en-US"/>
              </w:rPr>
              <w:t>Order on interventions with respect to oral argument</w:t>
            </w:r>
          </w:p>
        </w:tc>
        <w:tc>
          <w:tcPr>
            <w:tcW w:w="1134" w:type="dxa"/>
          </w:tcPr>
          <w:p w:rsidR="00022B50" w:rsidRPr="00F932AA" w:rsidRDefault="00022B50" w:rsidP="00576D0E"/>
          <w:p w:rsidR="00022B50" w:rsidRPr="00F932AA" w:rsidRDefault="00022B50" w:rsidP="00576D0E"/>
          <w:p w:rsidR="00022B50" w:rsidRPr="00F932AA" w:rsidRDefault="00022B50" w:rsidP="00576D0E"/>
        </w:tc>
        <w:tc>
          <w:tcPr>
            <w:tcW w:w="4213" w:type="dxa"/>
          </w:tcPr>
          <w:p w:rsidR="00022B50" w:rsidRPr="00F932AA" w:rsidRDefault="00022B50" w:rsidP="00576D0E">
            <w:pPr>
              <w:jc w:val="both"/>
              <w:rPr>
                <w:b/>
                <w:lang w:val="fr-CA"/>
              </w:rPr>
            </w:pPr>
            <w:r w:rsidRPr="00F932AA">
              <w:rPr>
                <w:b/>
                <w:bCs/>
                <w:color w:val="000000"/>
                <w:lang w:val="fr-CA"/>
              </w:rPr>
              <w:t>Ordonnance relative à la présentation d’une plaidoirie orale par les intervenants</w:t>
            </w:r>
          </w:p>
        </w:tc>
      </w:tr>
      <w:tr w:rsidR="00022B50" w:rsidRPr="00F932AA" w:rsidTr="00576D0E">
        <w:trPr>
          <w:trHeight w:hRule="exact" w:val="360"/>
        </w:trPr>
        <w:tc>
          <w:tcPr>
            <w:tcW w:w="1432" w:type="dxa"/>
          </w:tcPr>
          <w:p w:rsidR="00022B50" w:rsidRPr="00F932AA" w:rsidRDefault="00022B50" w:rsidP="00576D0E">
            <w:r w:rsidRPr="00F932AA">
              <w:t>RE:</w:t>
            </w:r>
          </w:p>
        </w:tc>
        <w:tc>
          <w:tcPr>
            <w:tcW w:w="2840" w:type="dxa"/>
          </w:tcPr>
          <w:p w:rsidR="00022B50" w:rsidRPr="00F932AA" w:rsidRDefault="00022B50" w:rsidP="00576D0E">
            <w:r w:rsidRPr="00F932AA">
              <w:t>Animal Justice</w:t>
            </w:r>
          </w:p>
        </w:tc>
        <w:tc>
          <w:tcPr>
            <w:tcW w:w="1134" w:type="dxa"/>
          </w:tcPr>
          <w:p w:rsidR="00022B50" w:rsidRPr="00F932AA" w:rsidRDefault="00022B50" w:rsidP="00576D0E"/>
        </w:tc>
        <w:tc>
          <w:tcPr>
            <w:tcW w:w="4213" w:type="dxa"/>
          </w:tcPr>
          <w:p w:rsidR="00022B50" w:rsidRPr="00F932AA" w:rsidRDefault="00022B50" w:rsidP="00576D0E"/>
        </w:tc>
      </w:tr>
      <w:tr w:rsidR="00022B50" w:rsidRPr="00F932AA" w:rsidTr="00576D0E">
        <w:tc>
          <w:tcPr>
            <w:tcW w:w="1432" w:type="dxa"/>
          </w:tcPr>
          <w:p w:rsidR="00022B50" w:rsidRPr="00F932AA" w:rsidRDefault="00022B50" w:rsidP="00576D0E"/>
        </w:tc>
        <w:tc>
          <w:tcPr>
            <w:tcW w:w="2840" w:type="dxa"/>
          </w:tcPr>
          <w:p w:rsidR="00022B50" w:rsidRPr="00F932AA" w:rsidRDefault="00022B50" w:rsidP="00576D0E"/>
        </w:tc>
        <w:tc>
          <w:tcPr>
            <w:tcW w:w="1134" w:type="dxa"/>
          </w:tcPr>
          <w:p w:rsidR="00022B50" w:rsidRPr="00F932AA" w:rsidRDefault="00022B50" w:rsidP="00576D0E"/>
        </w:tc>
        <w:tc>
          <w:tcPr>
            <w:tcW w:w="4213" w:type="dxa"/>
          </w:tcPr>
          <w:p w:rsidR="00022B50" w:rsidRPr="00F932AA" w:rsidRDefault="00022B50" w:rsidP="00576D0E"/>
        </w:tc>
      </w:tr>
      <w:tr w:rsidR="00022B50" w:rsidRPr="00F932AA" w:rsidTr="00576D0E">
        <w:tc>
          <w:tcPr>
            <w:tcW w:w="1432" w:type="dxa"/>
          </w:tcPr>
          <w:p w:rsidR="00022B50" w:rsidRPr="00F932AA" w:rsidRDefault="00022B50" w:rsidP="00576D0E">
            <w:r w:rsidRPr="00F932AA">
              <w:t>IN / DANS :</w:t>
            </w:r>
          </w:p>
        </w:tc>
        <w:tc>
          <w:tcPr>
            <w:tcW w:w="2840" w:type="dxa"/>
          </w:tcPr>
          <w:p w:rsidR="00022B50" w:rsidRPr="00F932AA" w:rsidRDefault="00022B50" w:rsidP="00576D0E">
            <w:r w:rsidRPr="00F932AA">
              <w:t>Her Majesty the Queen</w:t>
            </w:r>
          </w:p>
          <w:p w:rsidR="00022B50" w:rsidRPr="00F932AA" w:rsidRDefault="00022B50" w:rsidP="00576D0E"/>
          <w:p w:rsidR="00022B50" w:rsidRPr="00F932AA" w:rsidRDefault="00022B50" w:rsidP="00576D0E">
            <w:r w:rsidRPr="00F932AA">
              <w:tab/>
              <w:t>v. (36450)</w:t>
            </w:r>
          </w:p>
          <w:p w:rsidR="00022B50" w:rsidRPr="00F932AA" w:rsidRDefault="00022B50" w:rsidP="00576D0E"/>
          <w:p w:rsidR="00022B50" w:rsidRPr="00F932AA" w:rsidRDefault="00022B50" w:rsidP="00576D0E">
            <w:r w:rsidRPr="00F932AA">
              <w:t>D.L.W. (Crim.) (B.C.)</w:t>
            </w:r>
          </w:p>
          <w:p w:rsidR="00022B50" w:rsidRPr="00F932AA" w:rsidRDefault="00022B50" w:rsidP="00576D0E"/>
        </w:tc>
        <w:tc>
          <w:tcPr>
            <w:tcW w:w="1134" w:type="dxa"/>
          </w:tcPr>
          <w:p w:rsidR="00022B50" w:rsidRPr="00F932AA" w:rsidRDefault="00022B50" w:rsidP="00576D0E"/>
        </w:tc>
        <w:tc>
          <w:tcPr>
            <w:tcW w:w="4213" w:type="dxa"/>
          </w:tcPr>
          <w:p w:rsidR="00022B50" w:rsidRPr="00F932AA" w:rsidRDefault="00022B50" w:rsidP="00576D0E"/>
        </w:tc>
      </w:tr>
    </w:tbl>
    <w:p w:rsidR="00022B50" w:rsidRPr="00F932AA" w:rsidRDefault="00022B50" w:rsidP="00022B50">
      <w:pPr>
        <w:jc w:val="both"/>
        <w:rPr>
          <w:rFonts w:eastAsia="Times New Roman" w:cs="Times New Roman"/>
          <w:sz w:val="20"/>
          <w:szCs w:val="20"/>
          <w:lang w:eastAsia="en-CA"/>
        </w:rPr>
      </w:pPr>
    </w:p>
    <w:p w:rsidR="00022B50" w:rsidRPr="00F932AA" w:rsidRDefault="00022B50" w:rsidP="00022B50">
      <w:pPr>
        <w:spacing w:line="232" w:lineRule="auto"/>
        <w:rPr>
          <w:rFonts w:eastAsia="Times New Roman" w:cs="Times New Roman"/>
          <w:b/>
          <w:bCs/>
          <w:sz w:val="20"/>
          <w:szCs w:val="20"/>
          <w:lang w:val="en-US" w:eastAsia="en-CA"/>
        </w:rPr>
      </w:pPr>
      <w:r w:rsidRPr="00F932AA">
        <w:rPr>
          <w:rFonts w:eastAsia="Times New Roman" w:cs="Times New Roman"/>
          <w:b/>
          <w:bCs/>
          <w:sz w:val="20"/>
          <w:szCs w:val="20"/>
          <w:lang w:val="en-US" w:eastAsia="en-CA"/>
        </w:rPr>
        <w:t xml:space="preserve">FURTHER TO THE ORDER </w:t>
      </w:r>
      <w:r w:rsidRPr="00F932AA">
        <w:rPr>
          <w:rFonts w:eastAsia="Times New Roman" w:cs="Times New Roman"/>
          <w:bCs/>
          <w:sz w:val="20"/>
          <w:szCs w:val="20"/>
          <w:lang w:val="en-US" w:eastAsia="en-CA"/>
        </w:rPr>
        <w:t>dated September 21, 2015, granting leave to intervene to</w:t>
      </w:r>
      <w:r w:rsidRPr="00F932AA">
        <w:rPr>
          <w:rFonts w:eastAsia="Times New Roman" w:cs="Times New Roman"/>
          <w:sz w:val="20"/>
          <w:szCs w:val="20"/>
          <w:lang w:val="en-US" w:eastAsia="en-CA"/>
        </w:rPr>
        <w:t xml:space="preserve"> Animal Justice</w:t>
      </w:r>
      <w:r w:rsidRPr="00F932AA">
        <w:rPr>
          <w:rFonts w:eastAsia="Times New Roman" w:cs="Times New Roman"/>
          <w:bCs/>
          <w:sz w:val="20"/>
          <w:szCs w:val="20"/>
          <w:lang w:val="en-US" w:eastAsia="en-CA"/>
        </w:rPr>
        <w:t>;</w:t>
      </w:r>
    </w:p>
    <w:p w:rsidR="00022B50" w:rsidRPr="00F932AA" w:rsidRDefault="00022B50" w:rsidP="00022B50">
      <w:pPr>
        <w:spacing w:line="232" w:lineRule="auto"/>
        <w:rPr>
          <w:rFonts w:eastAsia="Times New Roman" w:cs="Times New Roman"/>
          <w:b/>
          <w:bCs/>
          <w:sz w:val="20"/>
          <w:szCs w:val="20"/>
          <w:lang w:val="en-US" w:eastAsia="en-CA"/>
        </w:rPr>
      </w:pPr>
    </w:p>
    <w:p w:rsidR="00022B50" w:rsidRPr="00F932AA" w:rsidRDefault="00022B50" w:rsidP="00022B50">
      <w:pPr>
        <w:rPr>
          <w:rFonts w:eastAsia="Times New Roman" w:cs="Times New Roman"/>
          <w:sz w:val="20"/>
          <w:szCs w:val="20"/>
          <w:lang w:eastAsia="en-CA"/>
        </w:rPr>
      </w:pPr>
      <w:r w:rsidRPr="00F932AA">
        <w:rPr>
          <w:rFonts w:eastAsia="Times New Roman" w:cs="Times New Roman"/>
          <w:b/>
          <w:bCs/>
          <w:sz w:val="20"/>
          <w:szCs w:val="20"/>
          <w:lang w:val="en-US" w:eastAsia="en-CA"/>
        </w:rPr>
        <w:t xml:space="preserve">IT IS HEREBY ORDERED THAT </w:t>
      </w:r>
      <w:r w:rsidRPr="00F932AA">
        <w:rPr>
          <w:rFonts w:eastAsia="Times New Roman" w:cs="Times New Roman"/>
          <w:bCs/>
          <w:sz w:val="20"/>
          <w:szCs w:val="20"/>
          <w:lang w:val="en-US" w:eastAsia="en-CA"/>
        </w:rPr>
        <w:t>the said intervener is granted permission to present oral argument not exceeding ten (10) minutes at the hearing of the appeal.</w:t>
      </w:r>
    </w:p>
    <w:p w:rsidR="00022B50" w:rsidRPr="00F932AA" w:rsidRDefault="00022B50" w:rsidP="00022B50">
      <w:pPr>
        <w:rPr>
          <w:rFonts w:eastAsia="Times New Roman" w:cs="Times New Roman"/>
          <w:sz w:val="20"/>
          <w:szCs w:val="20"/>
          <w:lang w:eastAsia="en-CA"/>
        </w:rPr>
      </w:pPr>
    </w:p>
    <w:p w:rsidR="00022B50" w:rsidRPr="00F932AA" w:rsidRDefault="00022B50" w:rsidP="00022B50">
      <w:pPr>
        <w:rPr>
          <w:rFonts w:eastAsia="Times New Roman" w:cs="Times New Roman"/>
          <w:sz w:val="20"/>
          <w:szCs w:val="20"/>
          <w:lang w:eastAsia="en-CA"/>
        </w:rPr>
      </w:pPr>
    </w:p>
    <w:p w:rsidR="00022B50" w:rsidRPr="00F932AA" w:rsidRDefault="00022B50" w:rsidP="00022B50">
      <w:pPr>
        <w:rPr>
          <w:rFonts w:eastAsia="Times New Roman" w:cs="Times New Roman"/>
          <w:sz w:val="20"/>
          <w:szCs w:val="20"/>
          <w:lang w:eastAsia="en-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r w:rsidRPr="00F932AA">
        <w:rPr>
          <w:rFonts w:eastAsiaTheme="minorEastAsia" w:cs="Times New Roman"/>
          <w:b/>
          <w:bCs/>
          <w:sz w:val="20"/>
          <w:szCs w:val="20"/>
          <w:lang w:val="fr-CA"/>
        </w:rPr>
        <w:t xml:space="preserve">À LA SUITE DE L’ORDONNANCE </w:t>
      </w:r>
      <w:r w:rsidRPr="00F932AA">
        <w:rPr>
          <w:rFonts w:eastAsiaTheme="minorEastAsia" w:cs="Times New Roman"/>
          <w:bCs/>
          <w:sz w:val="20"/>
          <w:szCs w:val="20"/>
          <w:lang w:val="fr-CA"/>
        </w:rPr>
        <w:t xml:space="preserve">datée du 21 septembre 2015 autorisant </w:t>
      </w:r>
      <w:r w:rsidRPr="00F932AA">
        <w:rPr>
          <w:rFonts w:eastAsiaTheme="minorEastAsia" w:cs="Times New Roman"/>
          <w:sz w:val="20"/>
          <w:szCs w:val="20"/>
          <w:lang w:val="fr-CA"/>
        </w:rPr>
        <w:t>Animal Justice</w:t>
      </w:r>
      <w:r w:rsidRPr="00F932AA">
        <w:rPr>
          <w:rFonts w:eastAsiaTheme="minorEastAsia" w:cs="Times New Roman"/>
          <w:bCs/>
          <w:sz w:val="20"/>
          <w:szCs w:val="20"/>
          <w:lang w:val="fr-CA"/>
        </w:rPr>
        <w:t xml:space="preserve"> à intervenir;</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bCs/>
          <w:sz w:val="20"/>
          <w:szCs w:val="20"/>
          <w:lang w:val="fr-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Cs/>
          <w:sz w:val="20"/>
          <w:szCs w:val="20"/>
          <w:lang w:val="fr-CA"/>
        </w:rPr>
      </w:pPr>
      <w:r w:rsidRPr="00F932AA">
        <w:rPr>
          <w:rFonts w:eastAsiaTheme="minorEastAsia" w:cs="Times New Roman"/>
          <w:b/>
          <w:bCs/>
          <w:sz w:val="20"/>
          <w:szCs w:val="20"/>
          <w:lang w:val="fr-CA"/>
        </w:rPr>
        <w:t xml:space="preserve">IL EST ORDONNÉ QUE </w:t>
      </w:r>
      <w:r w:rsidRPr="00F932AA">
        <w:rPr>
          <w:rFonts w:eastAsiaTheme="minorEastAsia" w:cs="Times New Roman"/>
          <w:bCs/>
          <w:sz w:val="20"/>
          <w:szCs w:val="20"/>
          <w:lang w:val="fr-CA"/>
        </w:rPr>
        <w:t>cet intervenante pourra présenter une plaidoirie orale d’au plus dix (10) minutes lors de l’audition de l’appel.</w:t>
      </w:r>
    </w:p>
    <w:p w:rsidR="00022B50" w:rsidRPr="00F932AA" w:rsidRDefault="00022B50" w:rsidP="00022B50">
      <w:pPr>
        <w:rPr>
          <w:rFonts w:eastAsia="Times New Roman" w:cs="Times New Roman"/>
          <w:sz w:val="20"/>
          <w:szCs w:val="20"/>
          <w:lang w:val="fr-FR" w:eastAsia="en-CA"/>
        </w:rPr>
      </w:pPr>
    </w:p>
    <w:p w:rsidR="00022B50" w:rsidRPr="00F932AA" w:rsidRDefault="00C232E1" w:rsidP="00022B50">
      <w:pPr>
        <w:rPr>
          <w:rFonts w:eastAsia="Times New Roman" w:cs="Times New Roman"/>
          <w:sz w:val="20"/>
          <w:szCs w:val="20"/>
          <w:lang w:eastAsia="en-CA"/>
        </w:rPr>
      </w:pPr>
      <w:r>
        <w:rPr>
          <w:rFonts w:eastAsia="Times New Roman" w:cs="Times New Roman"/>
          <w:sz w:val="20"/>
          <w:szCs w:val="20"/>
          <w:lang w:val="fr-CA" w:eastAsia="en-CA"/>
        </w:rPr>
        <w:pict>
          <v:rect id="_x0000_i1082" style="width:2in;height:1pt" o:hrpct="0" o:hralign="center" o:hrstd="t" o:hrnoshade="t" o:hr="t" fillcolor="black [3213]" stroked="f"/>
        </w:pict>
      </w:r>
    </w:p>
    <w:p w:rsidR="00022B50" w:rsidRPr="00F932AA" w:rsidRDefault="00022B50" w:rsidP="00022B50">
      <w:pPr>
        <w:tabs>
          <w:tab w:val="left" w:pos="-1440"/>
          <w:tab w:val="left" w:pos="-720"/>
        </w:tabs>
        <w:jc w:val="both"/>
        <w:rPr>
          <w:rFonts w:eastAsia="Times New Roman" w:cs="Times New Roman"/>
          <w:sz w:val="20"/>
          <w:szCs w:val="20"/>
          <w:lang w:val="fr-CA" w:eastAsia="en-CA"/>
        </w:rPr>
      </w:pPr>
    </w:p>
    <w:p w:rsidR="00022B50" w:rsidRPr="00F932AA" w:rsidRDefault="00022B50" w:rsidP="00022B50">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26.10.2015</w:t>
      </w:r>
    </w:p>
    <w:p w:rsidR="00022B50" w:rsidRPr="00F932AA" w:rsidRDefault="00022B50" w:rsidP="00022B50">
      <w:pPr>
        <w:tabs>
          <w:tab w:val="left" w:pos="-1440"/>
          <w:tab w:val="left" w:pos="-720"/>
        </w:tabs>
        <w:jc w:val="both"/>
        <w:rPr>
          <w:rFonts w:eastAsia="Times New Roman" w:cs="Times New Roman"/>
          <w:sz w:val="20"/>
          <w:szCs w:val="20"/>
          <w:lang w:val="fr-CA" w:eastAsia="en-CA"/>
        </w:rPr>
      </w:pPr>
    </w:p>
    <w:p w:rsidR="00022B50" w:rsidRPr="00F932AA" w:rsidRDefault="00022B50" w:rsidP="00022B50">
      <w:pPr>
        <w:tabs>
          <w:tab w:val="left" w:pos="-1440"/>
          <w:tab w:val="left" w:pos="-720"/>
        </w:tabs>
        <w:jc w:val="both"/>
        <w:rPr>
          <w:rFonts w:eastAsia="Times New Roman" w:cs="Times New Roman"/>
          <w:sz w:val="20"/>
          <w:szCs w:val="20"/>
          <w:lang w:eastAsia="en-CA"/>
        </w:rPr>
      </w:pPr>
      <w:r w:rsidRPr="00F932AA">
        <w:rPr>
          <w:rFonts w:eastAsia="Times New Roman" w:cs="Times New Roman"/>
          <w:sz w:val="20"/>
          <w:szCs w:val="20"/>
          <w:lang w:val="fr-CA" w:eastAsia="en-CA"/>
        </w:rPr>
        <w:t xml:space="preserve">Before / Devant :   </w:t>
      </w:r>
      <w:r w:rsidRPr="00F932AA">
        <w:rPr>
          <w:rFonts w:eastAsia="Times New Roman" w:cs="Times New Roman"/>
          <w:sz w:val="20"/>
          <w:szCs w:val="20"/>
          <w:lang w:eastAsia="en-CA"/>
        </w:rPr>
        <w:t>THE REGISTRAR / LE REGISTRAIRE</w:t>
      </w:r>
    </w:p>
    <w:p w:rsidR="00022B50" w:rsidRPr="00F932AA" w:rsidRDefault="00022B50" w:rsidP="00022B50">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022B50" w:rsidRPr="00F932AA" w:rsidTr="00576D0E">
        <w:trPr>
          <w:trHeight w:val="151"/>
        </w:trPr>
        <w:tc>
          <w:tcPr>
            <w:tcW w:w="4245" w:type="dxa"/>
          </w:tcPr>
          <w:p w:rsidR="00022B50" w:rsidRPr="00F932AA" w:rsidRDefault="00022B50" w:rsidP="00576D0E">
            <w:pPr>
              <w:tabs>
                <w:tab w:val="left" w:pos="-1440"/>
                <w:tab w:val="left" w:pos="-720"/>
              </w:tabs>
              <w:jc w:val="both"/>
              <w:rPr>
                <w:lang w:val="en-US"/>
              </w:rPr>
            </w:pPr>
            <w:r w:rsidRPr="00F932AA">
              <w:rPr>
                <w:b/>
                <w:bCs/>
                <w:color w:val="000000"/>
                <w:lang w:val="en-GB"/>
              </w:rPr>
              <w:t>Motion to file a lengthy memorandum of argument</w:t>
            </w:r>
          </w:p>
          <w:p w:rsidR="00022B50" w:rsidRPr="00F932AA" w:rsidRDefault="00022B50" w:rsidP="00576D0E">
            <w:pPr>
              <w:tabs>
                <w:tab w:val="left" w:pos="-1440"/>
                <w:tab w:val="left" w:pos="-720"/>
              </w:tabs>
              <w:jc w:val="both"/>
              <w:rPr>
                <w:lang w:val="fr-CA"/>
              </w:rPr>
            </w:pPr>
            <w:r w:rsidRPr="00F932AA">
              <w:rPr>
                <w:lang w:val="en-US"/>
              </w:rPr>
              <w:fldChar w:fldCharType="begin"/>
            </w:r>
            <w:r w:rsidRPr="00F932AA">
              <w:rPr>
                <w:lang w:val="fr-CA"/>
              </w:rPr>
              <w:instrText xml:space="preserve"> SEQ CHAPTER \h \r 1</w:instrText>
            </w:r>
            <w:r w:rsidRPr="00F932AA">
              <w:rPr>
                <w:lang w:val="en-US"/>
              </w:rPr>
              <w:fldChar w:fldCharType="end"/>
            </w:r>
          </w:p>
        </w:tc>
        <w:tc>
          <w:tcPr>
            <w:tcW w:w="1141" w:type="dxa"/>
          </w:tcPr>
          <w:p w:rsidR="00022B50" w:rsidRPr="00F932AA" w:rsidRDefault="00022B50" w:rsidP="00576D0E">
            <w:pPr>
              <w:jc w:val="both"/>
              <w:rPr>
                <w:lang w:val="fr-CA"/>
              </w:rPr>
            </w:pPr>
          </w:p>
          <w:p w:rsidR="00022B50" w:rsidRPr="00F932AA" w:rsidRDefault="00022B50" w:rsidP="00576D0E">
            <w:pPr>
              <w:jc w:val="both"/>
              <w:rPr>
                <w:lang w:val="fr-CA"/>
              </w:rPr>
            </w:pPr>
          </w:p>
        </w:tc>
        <w:tc>
          <w:tcPr>
            <w:tcW w:w="4233" w:type="dxa"/>
          </w:tcPr>
          <w:p w:rsidR="00022B50" w:rsidRPr="00F932AA" w:rsidRDefault="00022B50" w:rsidP="00576D0E">
            <w:pPr>
              <w:rPr>
                <w:b/>
              </w:rPr>
            </w:pPr>
            <w:r w:rsidRPr="00F932AA">
              <w:rPr>
                <w:b/>
                <w:bCs/>
                <w:color w:val="000000"/>
                <w:lang w:val="fr-CA"/>
              </w:rPr>
              <w:t>Requête en vue de déposer un mémoire volumineux</w:t>
            </w:r>
          </w:p>
        </w:tc>
      </w:tr>
      <w:tr w:rsidR="00022B50" w:rsidRPr="00F932AA" w:rsidTr="00576D0E">
        <w:trPr>
          <w:trHeight w:val="150"/>
        </w:trPr>
        <w:tc>
          <w:tcPr>
            <w:tcW w:w="4245" w:type="dxa"/>
          </w:tcPr>
          <w:p w:rsidR="00022B50" w:rsidRPr="00F932AA" w:rsidRDefault="00022B50" w:rsidP="00576D0E">
            <w:r w:rsidRPr="00F932AA">
              <w:t>Dwayne Mullings</w:t>
            </w:r>
          </w:p>
          <w:p w:rsidR="00022B50" w:rsidRPr="00F932AA" w:rsidRDefault="00022B50" w:rsidP="00576D0E"/>
          <w:p w:rsidR="00022B50" w:rsidRPr="00F932AA" w:rsidRDefault="00022B50" w:rsidP="00576D0E">
            <w:r w:rsidRPr="00F932AA">
              <w:tab/>
              <w:t>v. (36494)</w:t>
            </w:r>
          </w:p>
          <w:p w:rsidR="00022B50" w:rsidRPr="00F932AA" w:rsidRDefault="00022B50" w:rsidP="00576D0E"/>
          <w:p w:rsidR="00022B50" w:rsidRPr="00F932AA" w:rsidRDefault="00022B50" w:rsidP="00576D0E">
            <w:pPr>
              <w:rPr>
                <w:lang w:val="fr-CA"/>
              </w:rPr>
            </w:pPr>
            <w:r w:rsidRPr="00F932AA">
              <w:t>Her Majesty the Queen (Ont.)</w:t>
            </w:r>
          </w:p>
        </w:tc>
        <w:tc>
          <w:tcPr>
            <w:tcW w:w="1141" w:type="dxa"/>
          </w:tcPr>
          <w:p w:rsidR="00022B50" w:rsidRPr="00F932AA" w:rsidRDefault="00022B50" w:rsidP="00576D0E">
            <w:pPr>
              <w:jc w:val="both"/>
              <w:rPr>
                <w:lang w:val="fr-CA"/>
              </w:rPr>
            </w:pPr>
          </w:p>
        </w:tc>
        <w:tc>
          <w:tcPr>
            <w:tcW w:w="4233" w:type="dxa"/>
          </w:tcPr>
          <w:p w:rsidR="00022B50" w:rsidRPr="00F932AA" w:rsidRDefault="00022B50" w:rsidP="00576D0E">
            <w:pPr>
              <w:jc w:val="both"/>
              <w:rPr>
                <w:lang w:val="fr-CA"/>
              </w:rPr>
            </w:pPr>
          </w:p>
        </w:tc>
      </w:tr>
    </w:tbl>
    <w:p w:rsidR="00022B50" w:rsidRPr="00F932AA" w:rsidRDefault="00022B50" w:rsidP="00022B50">
      <w:pPr>
        <w:tabs>
          <w:tab w:val="left" w:pos="-1440"/>
          <w:tab w:val="left" w:pos="-720"/>
        </w:tabs>
        <w:jc w:val="both"/>
        <w:rPr>
          <w:rFonts w:eastAsia="Times New Roman" w:cs="Times New Roman"/>
          <w:sz w:val="20"/>
          <w:szCs w:val="20"/>
          <w:lang w:eastAsia="en-CA"/>
        </w:rPr>
      </w:pPr>
    </w:p>
    <w:p w:rsidR="00022B50" w:rsidRPr="00F932AA" w:rsidRDefault="00022B50" w:rsidP="00022B50">
      <w:pPr>
        <w:tabs>
          <w:tab w:val="left" w:pos="-1440"/>
          <w:tab w:val="left" w:pos="-720"/>
        </w:tabs>
        <w:jc w:val="both"/>
        <w:rPr>
          <w:rFonts w:eastAsia="Times New Roman" w:cs="Times New Roman"/>
          <w:sz w:val="20"/>
          <w:szCs w:val="20"/>
          <w:lang w:eastAsia="en-CA"/>
        </w:rPr>
      </w:pPr>
      <w:r w:rsidRPr="00F932AA">
        <w:rPr>
          <w:rFonts w:eastAsia="Times New Roman" w:cs="Times New Roman"/>
          <w:b/>
          <w:sz w:val="20"/>
          <w:szCs w:val="20"/>
          <w:lang w:eastAsia="en-CA"/>
        </w:rPr>
        <w:t>GRANTED / ACCORDÉE</w:t>
      </w:r>
    </w:p>
    <w:p w:rsidR="00022B50" w:rsidRPr="00F932AA" w:rsidRDefault="00022B50" w:rsidP="00022B50">
      <w:pPr>
        <w:tabs>
          <w:tab w:val="left" w:pos="-1440"/>
          <w:tab w:val="left" w:pos="-720"/>
        </w:tabs>
        <w:jc w:val="both"/>
        <w:rPr>
          <w:rFonts w:eastAsia="Times New Roman" w:cs="Times New Roman"/>
          <w:sz w:val="20"/>
          <w:szCs w:val="20"/>
          <w:lang w:eastAsia="en-CA"/>
        </w:rPr>
      </w:pPr>
    </w:p>
    <w:p w:rsidR="00022B50" w:rsidRPr="00F932AA" w:rsidRDefault="00022B50" w:rsidP="00022B50">
      <w:pPr>
        <w:spacing w:line="233" w:lineRule="auto"/>
        <w:jc w:val="both"/>
        <w:rPr>
          <w:rFonts w:eastAsia="Times New Roman" w:cs="Times New Roman"/>
          <w:sz w:val="20"/>
          <w:szCs w:val="20"/>
          <w:lang w:val="fr-CA" w:eastAsia="en-CA"/>
        </w:rPr>
      </w:pPr>
      <w:r w:rsidRPr="00F932AA">
        <w:rPr>
          <w:rFonts w:eastAsia="Times New Roman" w:cs="Times New Roman"/>
          <w:b/>
          <w:sz w:val="20"/>
          <w:szCs w:val="20"/>
          <w:lang w:val="fr-CA" w:eastAsia="en-CA"/>
        </w:rPr>
        <w:t>UPON APPLICATION</w:t>
      </w:r>
      <w:r w:rsidRPr="00F932AA">
        <w:rPr>
          <w:rFonts w:eastAsia="Times New Roman" w:cs="Times New Roman"/>
          <w:sz w:val="20"/>
          <w:szCs w:val="20"/>
          <w:lang w:val="fr-CA" w:eastAsia="en-CA"/>
        </w:rPr>
        <w:t xml:space="preserve"> made on </w:t>
      </w:r>
      <w:proofErr w:type="spellStart"/>
      <w:r w:rsidRPr="00F932AA">
        <w:rPr>
          <w:rFonts w:eastAsia="Times New Roman" w:cs="Times New Roman"/>
          <w:sz w:val="20"/>
          <w:szCs w:val="20"/>
          <w:lang w:val="fr-CA" w:eastAsia="en-CA"/>
        </w:rPr>
        <w:t>behalf</w:t>
      </w:r>
      <w:proofErr w:type="spellEnd"/>
      <w:r w:rsidRPr="00F932AA">
        <w:rPr>
          <w:rFonts w:eastAsia="Times New Roman" w:cs="Times New Roman"/>
          <w:sz w:val="20"/>
          <w:szCs w:val="20"/>
          <w:lang w:val="fr-CA" w:eastAsia="en-CA"/>
        </w:rPr>
        <w:t xml:space="preserve"> of the </w:t>
      </w:r>
      <w:proofErr w:type="spellStart"/>
      <w:r w:rsidRPr="00F932AA">
        <w:rPr>
          <w:rFonts w:eastAsia="Times New Roman" w:cs="Times New Roman"/>
          <w:sz w:val="20"/>
          <w:szCs w:val="20"/>
          <w:lang w:val="fr-CA" w:eastAsia="en-CA"/>
        </w:rPr>
        <w:t>Respondent</w:t>
      </w:r>
      <w:proofErr w:type="spellEnd"/>
      <w:r w:rsidRPr="00F932AA">
        <w:rPr>
          <w:rFonts w:eastAsia="Times New Roman" w:cs="Times New Roman"/>
          <w:sz w:val="20"/>
          <w:szCs w:val="20"/>
          <w:lang w:val="fr-CA" w:eastAsia="en-CA"/>
        </w:rPr>
        <w:t xml:space="preserve"> </w:t>
      </w:r>
      <w:proofErr w:type="spellStart"/>
      <w:r w:rsidRPr="00F932AA">
        <w:rPr>
          <w:rFonts w:eastAsia="Times New Roman" w:cs="Times New Roman"/>
          <w:sz w:val="20"/>
          <w:szCs w:val="20"/>
          <w:lang w:val="fr-CA" w:eastAsia="en-CA"/>
        </w:rPr>
        <w:t>pursuant</w:t>
      </w:r>
      <w:proofErr w:type="spellEnd"/>
      <w:r w:rsidRPr="00F932AA">
        <w:rPr>
          <w:rFonts w:eastAsia="Times New Roman" w:cs="Times New Roman"/>
          <w:sz w:val="20"/>
          <w:szCs w:val="20"/>
          <w:lang w:val="fr-CA" w:eastAsia="en-CA"/>
        </w:rPr>
        <w:t xml:space="preserve"> to the provisions of </w:t>
      </w:r>
      <w:proofErr w:type="spellStart"/>
      <w:r w:rsidRPr="00F932AA">
        <w:rPr>
          <w:rFonts w:eastAsia="Times New Roman" w:cs="Times New Roman"/>
          <w:sz w:val="20"/>
          <w:szCs w:val="20"/>
          <w:lang w:val="fr-CA" w:eastAsia="en-CA"/>
        </w:rPr>
        <w:t>rule</w:t>
      </w:r>
      <w:proofErr w:type="spellEnd"/>
      <w:r w:rsidRPr="00F932AA">
        <w:rPr>
          <w:rFonts w:eastAsia="Times New Roman" w:cs="Times New Roman"/>
          <w:sz w:val="20"/>
          <w:szCs w:val="20"/>
          <w:lang w:val="fr-CA" w:eastAsia="en-CA"/>
        </w:rPr>
        <w:t xml:space="preserve"> 3, for an </w:t>
      </w:r>
      <w:proofErr w:type="spellStart"/>
      <w:r w:rsidRPr="00F932AA">
        <w:rPr>
          <w:rFonts w:eastAsia="Times New Roman" w:cs="Times New Roman"/>
          <w:sz w:val="20"/>
          <w:szCs w:val="20"/>
          <w:lang w:val="fr-CA" w:eastAsia="en-CA"/>
        </w:rPr>
        <w:t>Order</w:t>
      </w:r>
      <w:proofErr w:type="spellEnd"/>
      <w:r w:rsidRPr="00F932AA">
        <w:rPr>
          <w:rFonts w:eastAsia="Times New Roman" w:cs="Times New Roman"/>
          <w:sz w:val="20"/>
          <w:szCs w:val="20"/>
          <w:lang w:val="fr-CA" w:eastAsia="en-CA"/>
        </w:rPr>
        <w:t xml:space="preserve"> </w:t>
      </w:r>
      <w:proofErr w:type="spellStart"/>
      <w:r w:rsidRPr="00F932AA">
        <w:rPr>
          <w:rFonts w:eastAsia="Times New Roman" w:cs="Times New Roman"/>
          <w:sz w:val="20"/>
          <w:szCs w:val="20"/>
          <w:lang w:val="fr-CA" w:eastAsia="en-CA"/>
        </w:rPr>
        <w:t>permitting</w:t>
      </w:r>
      <w:proofErr w:type="spellEnd"/>
      <w:r w:rsidRPr="00F932AA">
        <w:rPr>
          <w:rFonts w:eastAsia="Times New Roman" w:cs="Times New Roman"/>
          <w:sz w:val="20"/>
          <w:szCs w:val="20"/>
          <w:lang w:val="fr-CA" w:eastAsia="en-CA"/>
        </w:rPr>
        <w:t xml:space="preserve"> the </w:t>
      </w:r>
      <w:proofErr w:type="spellStart"/>
      <w:r w:rsidRPr="00F932AA">
        <w:rPr>
          <w:rFonts w:eastAsia="Times New Roman" w:cs="Times New Roman"/>
          <w:sz w:val="20"/>
          <w:szCs w:val="20"/>
          <w:lang w:val="fr-CA" w:eastAsia="en-CA"/>
        </w:rPr>
        <w:t>Respondent</w:t>
      </w:r>
      <w:proofErr w:type="spellEnd"/>
      <w:r w:rsidRPr="00F932AA">
        <w:rPr>
          <w:rFonts w:eastAsia="Times New Roman" w:cs="Times New Roman"/>
          <w:sz w:val="20"/>
          <w:szCs w:val="20"/>
          <w:lang w:val="fr-CA" w:eastAsia="en-CA"/>
        </w:rPr>
        <w:t xml:space="preserve"> to file </w:t>
      </w:r>
      <w:proofErr w:type="gramStart"/>
      <w:r w:rsidRPr="00F932AA">
        <w:rPr>
          <w:rFonts w:eastAsia="Times New Roman" w:cs="Times New Roman"/>
          <w:sz w:val="20"/>
          <w:szCs w:val="20"/>
          <w:lang w:val="fr-CA" w:eastAsia="en-CA"/>
        </w:rPr>
        <w:t>a</w:t>
      </w:r>
      <w:proofErr w:type="gramEnd"/>
      <w:r w:rsidRPr="00F932AA">
        <w:rPr>
          <w:rFonts w:eastAsia="Times New Roman" w:cs="Times New Roman"/>
          <w:sz w:val="20"/>
          <w:szCs w:val="20"/>
          <w:lang w:val="fr-CA" w:eastAsia="en-CA"/>
        </w:rPr>
        <w:t xml:space="preserve"> </w:t>
      </w:r>
      <w:proofErr w:type="spellStart"/>
      <w:r w:rsidRPr="00F932AA">
        <w:rPr>
          <w:rFonts w:eastAsia="Times New Roman" w:cs="Times New Roman"/>
          <w:sz w:val="20"/>
          <w:szCs w:val="20"/>
          <w:lang w:val="fr-CA" w:eastAsia="en-CA"/>
        </w:rPr>
        <w:t>Response</w:t>
      </w:r>
      <w:proofErr w:type="spellEnd"/>
      <w:r w:rsidRPr="00F932AA">
        <w:rPr>
          <w:rFonts w:eastAsia="Times New Roman" w:cs="Times New Roman"/>
          <w:sz w:val="20"/>
          <w:szCs w:val="20"/>
          <w:lang w:val="fr-CA" w:eastAsia="en-CA"/>
        </w:rPr>
        <w:t xml:space="preserve"> in </w:t>
      </w:r>
      <w:proofErr w:type="spellStart"/>
      <w:r w:rsidRPr="00F932AA">
        <w:rPr>
          <w:rFonts w:eastAsia="Times New Roman" w:cs="Times New Roman"/>
          <w:sz w:val="20"/>
          <w:szCs w:val="20"/>
          <w:lang w:val="fr-CA" w:eastAsia="en-CA"/>
        </w:rPr>
        <w:t>excess</w:t>
      </w:r>
      <w:proofErr w:type="spellEnd"/>
      <w:r w:rsidRPr="00F932AA">
        <w:rPr>
          <w:rFonts w:eastAsia="Times New Roman" w:cs="Times New Roman"/>
          <w:sz w:val="20"/>
          <w:szCs w:val="20"/>
          <w:lang w:val="fr-CA" w:eastAsia="en-CA"/>
        </w:rPr>
        <w:t xml:space="preserve"> of 20 pages,</w:t>
      </w:r>
    </w:p>
    <w:p w:rsidR="00022B50" w:rsidRPr="00F932AA" w:rsidRDefault="00022B50" w:rsidP="00022B50">
      <w:pPr>
        <w:spacing w:line="233" w:lineRule="auto"/>
        <w:jc w:val="both"/>
        <w:rPr>
          <w:rFonts w:eastAsia="Times New Roman" w:cs="Times New Roman"/>
          <w:sz w:val="20"/>
          <w:szCs w:val="20"/>
          <w:lang w:val="fr-CA" w:eastAsia="en-CA"/>
        </w:rPr>
      </w:pPr>
    </w:p>
    <w:p w:rsidR="00022B50" w:rsidRPr="00F932AA" w:rsidRDefault="00022B50" w:rsidP="00022B50">
      <w:pPr>
        <w:spacing w:line="233" w:lineRule="auto"/>
        <w:ind w:left="720" w:hanging="720"/>
        <w:jc w:val="both"/>
        <w:rPr>
          <w:rFonts w:eastAsia="Times New Roman" w:cs="Times New Roman"/>
          <w:sz w:val="20"/>
          <w:szCs w:val="20"/>
          <w:lang w:val="fr-CA" w:eastAsia="en-CA"/>
        </w:rPr>
      </w:pPr>
      <w:r w:rsidRPr="00F932AA">
        <w:rPr>
          <w:rFonts w:eastAsia="Times New Roman" w:cs="Times New Roman"/>
          <w:sz w:val="20"/>
          <w:szCs w:val="20"/>
          <w:lang w:val="fr-CA" w:eastAsia="en-CA"/>
        </w:rPr>
        <w:t>1.</w:t>
      </w:r>
      <w:r w:rsidRPr="00F932AA">
        <w:rPr>
          <w:rFonts w:eastAsia="Times New Roman" w:cs="Times New Roman"/>
          <w:sz w:val="20"/>
          <w:szCs w:val="20"/>
          <w:lang w:val="fr-CA" w:eastAsia="en-CA"/>
        </w:rPr>
        <w:tab/>
      </w:r>
      <w:r w:rsidRPr="00F932AA">
        <w:rPr>
          <w:rFonts w:eastAsia="Times New Roman" w:cs="Times New Roman"/>
          <w:b/>
          <w:sz w:val="20"/>
          <w:szCs w:val="20"/>
          <w:lang w:val="fr-CA" w:eastAsia="en-CA"/>
        </w:rPr>
        <w:t>IT IS HEREBY ORDERED</w:t>
      </w:r>
      <w:r w:rsidRPr="00F932AA">
        <w:rPr>
          <w:rFonts w:eastAsia="Times New Roman" w:cs="Times New Roman"/>
          <w:sz w:val="20"/>
          <w:szCs w:val="20"/>
          <w:lang w:val="fr-CA" w:eastAsia="en-CA"/>
        </w:rPr>
        <w:t xml:space="preserve"> </w:t>
      </w:r>
      <w:proofErr w:type="spellStart"/>
      <w:r w:rsidRPr="00F932AA">
        <w:rPr>
          <w:rFonts w:eastAsia="Times New Roman" w:cs="Times New Roman"/>
          <w:sz w:val="20"/>
          <w:szCs w:val="20"/>
          <w:lang w:val="fr-CA" w:eastAsia="en-CA"/>
        </w:rPr>
        <w:t>that</w:t>
      </w:r>
      <w:proofErr w:type="spellEnd"/>
      <w:r w:rsidRPr="00F932AA">
        <w:rPr>
          <w:rFonts w:eastAsia="Times New Roman" w:cs="Times New Roman"/>
          <w:sz w:val="20"/>
          <w:szCs w:val="20"/>
          <w:lang w:val="fr-CA" w:eastAsia="en-CA"/>
        </w:rPr>
        <w:t xml:space="preserve"> the </w:t>
      </w:r>
      <w:proofErr w:type="spellStart"/>
      <w:r w:rsidRPr="00F932AA">
        <w:rPr>
          <w:rFonts w:eastAsia="Times New Roman" w:cs="Times New Roman"/>
          <w:sz w:val="20"/>
          <w:szCs w:val="20"/>
          <w:lang w:val="fr-CA" w:eastAsia="en-CA"/>
        </w:rPr>
        <w:t>Respondent</w:t>
      </w:r>
      <w:proofErr w:type="spellEnd"/>
      <w:r w:rsidRPr="00F932AA">
        <w:rPr>
          <w:rFonts w:eastAsia="Times New Roman" w:cs="Times New Roman"/>
          <w:sz w:val="20"/>
          <w:szCs w:val="20"/>
          <w:lang w:val="fr-CA" w:eastAsia="en-CA"/>
        </w:rPr>
        <w:t xml:space="preserve"> </w:t>
      </w:r>
      <w:proofErr w:type="spellStart"/>
      <w:r w:rsidRPr="00F932AA">
        <w:rPr>
          <w:rFonts w:eastAsia="Times New Roman" w:cs="Times New Roman"/>
          <w:sz w:val="20"/>
          <w:szCs w:val="20"/>
          <w:lang w:val="fr-CA" w:eastAsia="en-CA"/>
        </w:rPr>
        <w:t>be</w:t>
      </w:r>
      <w:proofErr w:type="spellEnd"/>
      <w:r w:rsidRPr="00F932AA">
        <w:rPr>
          <w:rFonts w:eastAsia="Times New Roman" w:cs="Times New Roman"/>
          <w:sz w:val="20"/>
          <w:szCs w:val="20"/>
          <w:lang w:val="fr-CA" w:eastAsia="en-CA"/>
        </w:rPr>
        <w:t xml:space="preserve"> </w:t>
      </w:r>
      <w:proofErr w:type="spellStart"/>
      <w:r w:rsidRPr="00F932AA">
        <w:rPr>
          <w:rFonts w:eastAsia="Times New Roman" w:cs="Times New Roman"/>
          <w:sz w:val="20"/>
          <w:szCs w:val="20"/>
          <w:lang w:val="fr-CA" w:eastAsia="en-CA"/>
        </w:rPr>
        <w:t>permitted</w:t>
      </w:r>
      <w:proofErr w:type="spellEnd"/>
      <w:r w:rsidRPr="00F932AA">
        <w:rPr>
          <w:rFonts w:eastAsia="Times New Roman" w:cs="Times New Roman"/>
          <w:sz w:val="20"/>
          <w:szCs w:val="20"/>
          <w:lang w:val="fr-CA" w:eastAsia="en-CA"/>
        </w:rPr>
        <w:t xml:space="preserve"> to file a </w:t>
      </w:r>
      <w:proofErr w:type="spellStart"/>
      <w:r w:rsidRPr="00F932AA">
        <w:rPr>
          <w:rFonts w:eastAsia="Times New Roman" w:cs="Times New Roman"/>
          <w:sz w:val="20"/>
          <w:szCs w:val="20"/>
          <w:lang w:val="fr-CA" w:eastAsia="en-CA"/>
        </w:rPr>
        <w:t>Response</w:t>
      </w:r>
      <w:proofErr w:type="spellEnd"/>
      <w:r w:rsidRPr="00F932AA">
        <w:rPr>
          <w:rFonts w:eastAsia="Times New Roman" w:cs="Times New Roman"/>
          <w:sz w:val="20"/>
          <w:szCs w:val="20"/>
          <w:lang w:val="fr-CA" w:eastAsia="en-CA"/>
        </w:rPr>
        <w:t xml:space="preserve"> in </w:t>
      </w:r>
      <w:proofErr w:type="spellStart"/>
      <w:r w:rsidRPr="00F932AA">
        <w:rPr>
          <w:rFonts w:eastAsia="Times New Roman" w:cs="Times New Roman"/>
          <w:sz w:val="20"/>
          <w:szCs w:val="20"/>
          <w:lang w:val="fr-CA" w:eastAsia="en-CA"/>
        </w:rPr>
        <w:t>excess</w:t>
      </w:r>
      <w:proofErr w:type="spellEnd"/>
      <w:r w:rsidRPr="00F932AA">
        <w:rPr>
          <w:rFonts w:eastAsia="Times New Roman" w:cs="Times New Roman"/>
          <w:sz w:val="20"/>
          <w:szCs w:val="20"/>
          <w:lang w:val="fr-CA" w:eastAsia="en-CA"/>
        </w:rPr>
        <w:t xml:space="preserve"> of 20 pages, </w:t>
      </w:r>
      <w:proofErr w:type="spellStart"/>
      <w:r w:rsidRPr="00F932AA">
        <w:rPr>
          <w:rFonts w:eastAsia="Times New Roman" w:cs="Times New Roman"/>
          <w:sz w:val="20"/>
          <w:szCs w:val="20"/>
          <w:lang w:val="fr-CA" w:eastAsia="en-CA"/>
        </w:rPr>
        <w:t>namely</w:t>
      </w:r>
      <w:proofErr w:type="spellEnd"/>
      <w:r w:rsidRPr="00F932AA">
        <w:rPr>
          <w:rFonts w:eastAsia="Times New Roman" w:cs="Times New Roman"/>
          <w:sz w:val="20"/>
          <w:szCs w:val="20"/>
          <w:lang w:val="fr-CA" w:eastAsia="en-CA"/>
        </w:rPr>
        <w:t xml:space="preserve"> 26 pages.</w:t>
      </w:r>
    </w:p>
    <w:p w:rsidR="00022B50" w:rsidRPr="00F932AA" w:rsidRDefault="00022B50" w:rsidP="00022B50">
      <w:pPr>
        <w:spacing w:line="233" w:lineRule="auto"/>
        <w:jc w:val="both"/>
        <w:rPr>
          <w:rFonts w:eastAsia="Times New Roman" w:cs="Times New Roman"/>
          <w:sz w:val="20"/>
          <w:szCs w:val="20"/>
          <w:lang w:val="fr-CA" w:eastAsia="en-CA"/>
        </w:rPr>
      </w:pPr>
    </w:p>
    <w:p w:rsidR="00022B50" w:rsidRPr="00F932AA" w:rsidRDefault="00022B50" w:rsidP="00022B50">
      <w:pPr>
        <w:spacing w:line="233" w:lineRule="auto"/>
        <w:jc w:val="both"/>
        <w:rPr>
          <w:rFonts w:eastAsia="Times New Roman" w:cs="Times New Roman"/>
          <w:sz w:val="20"/>
          <w:szCs w:val="20"/>
          <w:lang w:val="fr-CA" w:eastAsia="en-CA"/>
        </w:rPr>
      </w:pPr>
    </w:p>
    <w:p w:rsidR="00022B50" w:rsidRPr="00F932AA" w:rsidRDefault="00022B50" w:rsidP="00022B50">
      <w:pPr>
        <w:spacing w:line="233" w:lineRule="auto"/>
        <w:jc w:val="both"/>
        <w:rPr>
          <w:rFonts w:eastAsia="Times New Roman" w:cs="Times New Roman"/>
          <w:sz w:val="20"/>
          <w:szCs w:val="20"/>
          <w:lang w:val="fr-CA" w:eastAsia="en-CA"/>
        </w:rPr>
      </w:pPr>
    </w:p>
    <w:p w:rsidR="00022B50" w:rsidRPr="00F932AA" w:rsidRDefault="00022B50" w:rsidP="00022B50">
      <w:pPr>
        <w:spacing w:line="233" w:lineRule="auto"/>
        <w:jc w:val="both"/>
        <w:rPr>
          <w:rFonts w:eastAsia="Times New Roman" w:cs="Times New Roman"/>
          <w:sz w:val="20"/>
          <w:szCs w:val="20"/>
          <w:lang w:val="fr-CA" w:eastAsia="en-CA"/>
        </w:rPr>
      </w:pPr>
      <w:r w:rsidRPr="00F932AA">
        <w:rPr>
          <w:rFonts w:eastAsia="Times New Roman" w:cs="Times New Roman"/>
          <w:b/>
          <w:sz w:val="20"/>
          <w:szCs w:val="20"/>
          <w:lang w:val="fr-CA" w:eastAsia="en-CA"/>
        </w:rPr>
        <w:lastRenderedPageBreak/>
        <w:t>À LA SUITE DE LA DEMANDE</w:t>
      </w:r>
      <w:r w:rsidRPr="00F932AA">
        <w:rPr>
          <w:rFonts w:eastAsia="Times New Roman" w:cs="Times New Roman"/>
          <w:sz w:val="20"/>
          <w:szCs w:val="20"/>
          <w:lang w:val="fr-CA" w:eastAsia="en-CA"/>
        </w:rPr>
        <w:t xml:space="preserve"> présentée au nom de l’intimée, en application des dispositions de l’art. 3 des Règles, visant à obtenir l’autorisation de déposer une réponse de plus de 20 pages, </w:t>
      </w:r>
    </w:p>
    <w:p w:rsidR="00022B50" w:rsidRPr="00F932AA" w:rsidRDefault="00022B50" w:rsidP="00022B50">
      <w:pPr>
        <w:spacing w:line="233" w:lineRule="auto"/>
        <w:jc w:val="both"/>
        <w:rPr>
          <w:rFonts w:eastAsia="Times New Roman" w:cs="Times New Roman"/>
          <w:sz w:val="20"/>
          <w:szCs w:val="20"/>
          <w:lang w:val="fr-CA" w:eastAsia="en-CA"/>
        </w:rPr>
      </w:pPr>
    </w:p>
    <w:p w:rsidR="00022B50" w:rsidRPr="00F932AA" w:rsidRDefault="00022B50" w:rsidP="00022B50">
      <w:pPr>
        <w:spacing w:line="233" w:lineRule="auto"/>
        <w:ind w:left="720" w:hanging="720"/>
        <w:jc w:val="both"/>
        <w:rPr>
          <w:rFonts w:eastAsia="Times New Roman" w:cs="Times New Roman"/>
          <w:sz w:val="20"/>
          <w:szCs w:val="20"/>
          <w:lang w:val="fr-CA" w:eastAsia="en-CA"/>
        </w:rPr>
      </w:pPr>
      <w:r w:rsidRPr="00F932AA">
        <w:rPr>
          <w:rFonts w:eastAsia="Times New Roman" w:cs="Times New Roman"/>
          <w:sz w:val="20"/>
          <w:szCs w:val="20"/>
          <w:lang w:val="fr-CA" w:eastAsia="en-CA"/>
        </w:rPr>
        <w:t>1.</w:t>
      </w:r>
      <w:r w:rsidRPr="00F932AA">
        <w:rPr>
          <w:rFonts w:eastAsia="Times New Roman" w:cs="Times New Roman"/>
          <w:sz w:val="20"/>
          <w:szCs w:val="20"/>
          <w:lang w:val="fr-CA" w:eastAsia="en-CA"/>
        </w:rPr>
        <w:tab/>
      </w:r>
      <w:r w:rsidRPr="00F932AA">
        <w:rPr>
          <w:rFonts w:eastAsia="Times New Roman" w:cs="Times New Roman"/>
          <w:b/>
          <w:sz w:val="20"/>
          <w:szCs w:val="20"/>
          <w:lang w:val="fr-CA" w:eastAsia="en-CA"/>
        </w:rPr>
        <w:t>IL EST PAR LA PRÉSENTE ORDONNÉ</w:t>
      </w:r>
      <w:r w:rsidRPr="00F932AA">
        <w:rPr>
          <w:rFonts w:eastAsia="Times New Roman" w:cs="Times New Roman"/>
          <w:sz w:val="20"/>
          <w:szCs w:val="20"/>
          <w:lang w:val="fr-CA" w:eastAsia="en-CA"/>
        </w:rPr>
        <w:t xml:space="preserve"> que l’intimée est autorisée à déposer une réponse de plus de 20 pages, soit de 26 pages.</w:t>
      </w:r>
    </w:p>
    <w:p w:rsidR="00022B50" w:rsidRPr="00F932AA" w:rsidRDefault="00022B50" w:rsidP="00022B50">
      <w:pPr>
        <w:spacing w:line="233" w:lineRule="auto"/>
        <w:jc w:val="both"/>
        <w:rPr>
          <w:rFonts w:eastAsia="Times New Roman" w:cs="Times New Roman"/>
          <w:sz w:val="20"/>
          <w:szCs w:val="20"/>
          <w:lang w:val="fr-CA" w:eastAsia="en-CA"/>
        </w:rPr>
      </w:pPr>
    </w:p>
    <w:p w:rsidR="00022B50" w:rsidRPr="006E5D7C" w:rsidRDefault="00C232E1" w:rsidP="00022B50">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3" style="width:2in;height:1pt" o:hrpct="0" o:hralign="center" o:hrstd="t" o:hrnoshade="t" o:hr="t" fillcolor="black [3213]" stroked="f"/>
        </w:pict>
      </w:r>
    </w:p>
    <w:p w:rsidR="00022B50" w:rsidRDefault="00022B50" w:rsidP="00890FEB">
      <w:pPr>
        <w:rPr>
          <w:rFonts w:cs="Times New Roman"/>
          <w:sz w:val="20"/>
          <w:szCs w:val="20"/>
        </w:rPr>
      </w:pPr>
    </w:p>
    <w:p w:rsidR="00F932AA" w:rsidRPr="00F932AA" w:rsidRDefault="00F932AA" w:rsidP="00F932AA">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28.10.2015</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tabs>
          <w:tab w:val="left" w:pos="-1440"/>
          <w:tab w:val="left" w:pos="-720"/>
        </w:tabs>
        <w:jc w:val="both"/>
        <w:rPr>
          <w:rFonts w:eastAsia="Times New Roman" w:cs="Times New Roman"/>
          <w:sz w:val="20"/>
          <w:szCs w:val="20"/>
          <w:lang w:eastAsia="en-CA"/>
        </w:rPr>
      </w:pPr>
      <w:r w:rsidRPr="00F932AA">
        <w:rPr>
          <w:rFonts w:eastAsia="Times New Roman" w:cs="Times New Roman"/>
          <w:sz w:val="20"/>
          <w:szCs w:val="20"/>
          <w:lang w:val="fr-CA" w:eastAsia="en-CA"/>
        </w:rPr>
        <w:t xml:space="preserve">Before / Devant:   </w:t>
      </w:r>
      <w:r w:rsidRPr="00F932AA">
        <w:rPr>
          <w:rFonts w:eastAsia="Times New Roman" w:cs="Times New Roman"/>
          <w:sz w:val="20"/>
          <w:szCs w:val="20"/>
          <w:lang w:eastAsia="en-CA"/>
        </w:rPr>
        <w:t>GASCON J. / LE JUGE GASCON</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F932AA" w:rsidRPr="00F932AA" w:rsidTr="00F37688">
        <w:trPr>
          <w:trHeight w:val="151"/>
        </w:trPr>
        <w:tc>
          <w:tcPr>
            <w:tcW w:w="4338" w:type="dxa"/>
          </w:tcPr>
          <w:p w:rsidR="00F932AA" w:rsidRPr="00F932AA" w:rsidRDefault="00F932AA" w:rsidP="00F932AA">
            <w:pPr>
              <w:rPr>
                <w:lang w:val="fr-CA"/>
              </w:rPr>
            </w:pPr>
            <w:r w:rsidRPr="00F932AA">
              <w:rPr>
                <w:b/>
                <w:bCs/>
                <w:lang w:val="en-US"/>
              </w:rPr>
              <w:t>Motion to extend the time</w:t>
            </w:r>
            <w:r w:rsidRPr="00F932AA">
              <w:rPr>
                <w:lang w:val="en-US"/>
              </w:rPr>
              <w:fldChar w:fldCharType="begin"/>
            </w:r>
            <w:r w:rsidRPr="00F932AA">
              <w:rPr>
                <w:lang w:val="fr-CA"/>
              </w:rPr>
              <w:instrText xml:space="preserve"> SEQ CHAPTER \h \r 1</w:instrText>
            </w:r>
            <w:r w:rsidRPr="00F932AA">
              <w:rPr>
                <w:lang w:val="en-US"/>
              </w:rPr>
              <w:fldChar w:fldCharType="end"/>
            </w:r>
          </w:p>
        </w:tc>
        <w:tc>
          <w:tcPr>
            <w:tcW w:w="1170" w:type="dxa"/>
          </w:tcPr>
          <w:p w:rsidR="00F932AA" w:rsidRPr="00F932AA" w:rsidRDefault="00F932AA" w:rsidP="00F932AA">
            <w:pPr>
              <w:jc w:val="both"/>
              <w:rPr>
                <w:lang w:val="fr-CA"/>
              </w:rPr>
            </w:pPr>
          </w:p>
          <w:p w:rsidR="00F932AA" w:rsidRPr="00F932AA" w:rsidRDefault="00F932AA" w:rsidP="00F932AA">
            <w:pPr>
              <w:jc w:val="both"/>
              <w:rPr>
                <w:lang w:val="fr-CA"/>
              </w:rPr>
            </w:pPr>
          </w:p>
        </w:tc>
        <w:tc>
          <w:tcPr>
            <w:tcW w:w="4327" w:type="dxa"/>
          </w:tcPr>
          <w:p w:rsidR="00F932AA" w:rsidRPr="00F932AA" w:rsidRDefault="00F932AA" w:rsidP="00F932AA">
            <w:pPr>
              <w:rPr>
                <w:b/>
                <w:lang w:val="fr-CA"/>
              </w:rPr>
            </w:pPr>
            <w:r w:rsidRPr="00F932AA">
              <w:rPr>
                <w:b/>
                <w:bCs/>
                <w:lang w:val="fr-CA"/>
              </w:rPr>
              <w:t>Requête en prorogation du délai</w:t>
            </w:r>
            <w:r w:rsidRPr="00F932AA">
              <w:rPr>
                <w:lang w:val="en-US"/>
              </w:rPr>
              <w:fldChar w:fldCharType="begin"/>
            </w:r>
            <w:r w:rsidRPr="00F932AA">
              <w:rPr>
                <w:lang w:val="fr-CA"/>
              </w:rPr>
              <w:instrText xml:space="preserve"> SEQ CHAPTER \h \r 1</w:instrText>
            </w:r>
            <w:r w:rsidRPr="00F932AA">
              <w:rPr>
                <w:lang w:val="en-US"/>
              </w:rPr>
              <w:fldChar w:fldCharType="end"/>
            </w:r>
            <w:r w:rsidRPr="00F932AA">
              <w:rPr>
                <w:b/>
                <w:lang w:val="en-US"/>
              </w:rPr>
              <w:fldChar w:fldCharType="begin"/>
            </w:r>
            <w:r w:rsidRPr="00F932AA">
              <w:rPr>
                <w:b/>
                <w:lang w:val="fr-CA"/>
              </w:rPr>
              <w:instrText xml:space="preserve"> SEQ CHAPTER \h \r 1</w:instrText>
            </w:r>
            <w:r w:rsidRPr="00F932AA">
              <w:rPr>
                <w:b/>
                <w:lang w:val="en-US"/>
              </w:rPr>
              <w:fldChar w:fldCharType="end"/>
            </w:r>
            <w:r w:rsidRPr="00F932AA">
              <w:rPr>
                <w:b/>
                <w:lang w:val="en-US"/>
              </w:rPr>
              <w:fldChar w:fldCharType="begin"/>
            </w:r>
            <w:r w:rsidRPr="00F932AA">
              <w:rPr>
                <w:b/>
                <w:lang w:val="fr-CA"/>
              </w:rPr>
              <w:instrText xml:space="preserve"> SEQ CHAPTER \h \r 1</w:instrText>
            </w:r>
            <w:r w:rsidRPr="00F932AA">
              <w:rPr>
                <w:b/>
                <w:lang w:val="en-US"/>
              </w:rPr>
              <w:fldChar w:fldCharType="end"/>
            </w:r>
          </w:p>
        </w:tc>
      </w:tr>
      <w:tr w:rsidR="00F932AA" w:rsidRPr="00F932AA" w:rsidTr="00F37688">
        <w:trPr>
          <w:trHeight w:val="150"/>
        </w:trPr>
        <w:tc>
          <w:tcPr>
            <w:tcW w:w="4338" w:type="dxa"/>
          </w:tcPr>
          <w:p w:rsidR="00F932AA" w:rsidRPr="00F932AA" w:rsidRDefault="00F932AA" w:rsidP="00F932AA">
            <w:pPr>
              <w:tabs>
                <w:tab w:val="left" w:pos="-1440"/>
                <w:tab w:val="left" w:pos="-720"/>
              </w:tabs>
              <w:jc w:val="both"/>
              <w:rPr>
                <w:lang w:val="fr-CA"/>
              </w:rPr>
            </w:pPr>
            <w:r w:rsidRPr="00F932AA">
              <w:rPr>
                <w:lang w:val="fr-CA"/>
              </w:rPr>
              <w:t xml:space="preserve">Lapointe </w:t>
            </w:r>
            <w:proofErr w:type="spellStart"/>
            <w:r w:rsidRPr="00F932AA">
              <w:rPr>
                <w:lang w:val="fr-CA"/>
              </w:rPr>
              <w:t>Rosenstein</w:t>
            </w:r>
            <w:proofErr w:type="spellEnd"/>
            <w:r w:rsidRPr="00F932AA">
              <w:rPr>
                <w:lang w:val="fr-CA"/>
              </w:rPr>
              <w:t xml:space="preserve"> Marchand </w:t>
            </w:r>
            <w:proofErr w:type="spellStart"/>
            <w:r w:rsidRPr="00F932AA">
              <w:rPr>
                <w:lang w:val="fr-CA"/>
              </w:rPr>
              <w:t>Melançon</w:t>
            </w:r>
            <w:proofErr w:type="spellEnd"/>
            <w:r w:rsidRPr="00F932AA">
              <w:rPr>
                <w:lang w:val="fr-CA"/>
              </w:rPr>
              <w:t xml:space="preserve"> S.E.N.C.R.L. et autres</w:t>
            </w:r>
          </w:p>
          <w:p w:rsidR="00F932AA" w:rsidRPr="00F932AA" w:rsidRDefault="00F932AA" w:rsidP="00F932AA">
            <w:pPr>
              <w:tabs>
                <w:tab w:val="left" w:pos="-1440"/>
                <w:tab w:val="left" w:pos="-720"/>
              </w:tabs>
              <w:jc w:val="both"/>
              <w:rPr>
                <w:lang w:val="fr-CA"/>
              </w:rPr>
            </w:pPr>
          </w:p>
          <w:p w:rsidR="00F932AA" w:rsidRPr="00F932AA" w:rsidRDefault="00F932AA" w:rsidP="00F932AA">
            <w:pPr>
              <w:tabs>
                <w:tab w:val="left" w:pos="-1440"/>
                <w:tab w:val="left" w:pos="-720"/>
              </w:tabs>
              <w:jc w:val="both"/>
              <w:rPr>
                <w:lang w:val="fr-CA"/>
              </w:rPr>
            </w:pPr>
            <w:r w:rsidRPr="00F932AA">
              <w:rPr>
                <w:lang w:val="fr-CA"/>
              </w:rPr>
              <w:tab/>
              <w:t>c. (36087)</w:t>
            </w:r>
          </w:p>
          <w:p w:rsidR="00F932AA" w:rsidRPr="00F932AA" w:rsidRDefault="00F932AA" w:rsidP="00F932AA">
            <w:pPr>
              <w:tabs>
                <w:tab w:val="left" w:pos="-1440"/>
                <w:tab w:val="left" w:pos="-720"/>
              </w:tabs>
              <w:jc w:val="both"/>
              <w:rPr>
                <w:lang w:val="fr-CA"/>
              </w:rPr>
            </w:pPr>
          </w:p>
          <w:p w:rsidR="00F932AA" w:rsidRPr="00F932AA" w:rsidRDefault="00F932AA" w:rsidP="00F932AA">
            <w:pPr>
              <w:tabs>
                <w:tab w:val="left" w:pos="-1440"/>
                <w:tab w:val="left" w:pos="-720"/>
              </w:tabs>
              <w:jc w:val="both"/>
              <w:rPr>
                <w:lang w:val="fr-CA"/>
              </w:rPr>
            </w:pPr>
            <w:proofErr w:type="spellStart"/>
            <w:r w:rsidRPr="00F932AA">
              <w:rPr>
                <w:lang w:val="fr-CA"/>
              </w:rPr>
              <w:t>Cassels</w:t>
            </w:r>
            <w:proofErr w:type="spellEnd"/>
            <w:r w:rsidRPr="00F932AA">
              <w:rPr>
                <w:lang w:val="fr-CA"/>
              </w:rPr>
              <w:t xml:space="preserve"> </w:t>
            </w:r>
            <w:proofErr w:type="spellStart"/>
            <w:r w:rsidRPr="00F932AA">
              <w:rPr>
                <w:lang w:val="fr-CA"/>
              </w:rPr>
              <w:t>Brock</w:t>
            </w:r>
            <w:proofErr w:type="spellEnd"/>
            <w:r w:rsidRPr="00F932AA">
              <w:rPr>
                <w:lang w:val="fr-CA"/>
              </w:rPr>
              <w:t xml:space="preserve"> &amp; </w:t>
            </w:r>
            <w:proofErr w:type="spellStart"/>
            <w:r w:rsidRPr="00F932AA">
              <w:rPr>
                <w:lang w:val="fr-CA"/>
              </w:rPr>
              <w:t>Blackwell</w:t>
            </w:r>
            <w:proofErr w:type="spellEnd"/>
            <w:r w:rsidRPr="00F932AA">
              <w:rPr>
                <w:lang w:val="fr-CA"/>
              </w:rPr>
              <w:t xml:space="preserve"> LLP (Ont.)</w:t>
            </w:r>
          </w:p>
        </w:tc>
        <w:tc>
          <w:tcPr>
            <w:tcW w:w="1170" w:type="dxa"/>
          </w:tcPr>
          <w:p w:rsidR="00F932AA" w:rsidRPr="00F932AA" w:rsidRDefault="00F932AA" w:rsidP="00F932AA">
            <w:pPr>
              <w:jc w:val="both"/>
              <w:rPr>
                <w:lang w:val="fr-CA"/>
              </w:rPr>
            </w:pPr>
          </w:p>
        </w:tc>
        <w:tc>
          <w:tcPr>
            <w:tcW w:w="4327" w:type="dxa"/>
          </w:tcPr>
          <w:p w:rsidR="00F932AA" w:rsidRPr="00F932AA" w:rsidRDefault="00F932AA" w:rsidP="00F932AA">
            <w:pPr>
              <w:jc w:val="both"/>
              <w:rPr>
                <w:lang w:val="fr-CA"/>
              </w:rPr>
            </w:pPr>
          </w:p>
        </w:tc>
      </w:tr>
    </w:tbl>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tabs>
          <w:tab w:val="left" w:pos="-1440"/>
          <w:tab w:val="left" w:pos="-720"/>
        </w:tabs>
        <w:jc w:val="both"/>
        <w:rPr>
          <w:rFonts w:eastAsia="Times New Roman" w:cs="Times New Roman"/>
          <w:sz w:val="20"/>
          <w:szCs w:val="20"/>
          <w:lang w:val="fr-CA" w:eastAsia="en-CA"/>
        </w:rPr>
      </w:pPr>
      <w:r w:rsidRPr="00F932AA">
        <w:rPr>
          <w:rFonts w:eastAsia="Times New Roman" w:cs="Times New Roman"/>
          <w:b/>
          <w:sz w:val="20"/>
          <w:szCs w:val="20"/>
          <w:lang w:val="fr-CA" w:eastAsia="en-CA"/>
        </w:rPr>
        <w:t>GRANTED / ACCORDÉE</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widowControl w:val="0"/>
        <w:autoSpaceDE w:val="0"/>
        <w:autoSpaceDN w:val="0"/>
        <w:adjustRightInd w:val="0"/>
        <w:spacing w:line="232" w:lineRule="auto"/>
        <w:jc w:val="both"/>
        <w:rPr>
          <w:rFonts w:eastAsia="Times New Roman" w:cs="Times New Roman"/>
          <w:b/>
          <w:bCs/>
          <w:sz w:val="20"/>
          <w:szCs w:val="20"/>
          <w:lang w:val="fr-CA"/>
        </w:rPr>
      </w:pPr>
      <w:r w:rsidRPr="00F932AA">
        <w:rPr>
          <w:rFonts w:eastAsia="Times New Roman" w:cs="Times New Roman"/>
          <w:b/>
          <w:sz w:val="20"/>
          <w:szCs w:val="20"/>
          <w:lang w:val="fr-CA"/>
        </w:rPr>
        <w:t xml:space="preserve">À LA SUITE DE LA DEMANDE </w:t>
      </w:r>
      <w:r w:rsidRPr="00F932AA">
        <w:rPr>
          <w:rFonts w:eastAsia="Times New Roman" w:cs="Times New Roman"/>
          <w:sz w:val="20"/>
          <w:szCs w:val="20"/>
          <w:lang w:val="fr-CA"/>
        </w:rPr>
        <w:t>présentée par l’intimée en prorogation du délai pour déposer son mémoire, dossier et son recueil de sources au 8 octobre 2015, et pour obtenir une ordonnance en vertu de la règle 71(3) pour plaider à l'audition de l'appel;</w:t>
      </w:r>
    </w:p>
    <w:p w:rsidR="00F932AA" w:rsidRPr="00F932AA" w:rsidRDefault="00F932AA" w:rsidP="00F932AA">
      <w:pPr>
        <w:widowControl w:val="0"/>
        <w:autoSpaceDE w:val="0"/>
        <w:autoSpaceDN w:val="0"/>
        <w:adjustRightInd w:val="0"/>
        <w:spacing w:line="232" w:lineRule="auto"/>
        <w:jc w:val="both"/>
        <w:rPr>
          <w:rFonts w:eastAsia="Times New Roman" w:cs="Times New Roman"/>
          <w:b/>
          <w:bCs/>
          <w:sz w:val="20"/>
          <w:szCs w:val="20"/>
          <w:lang w:val="fr-CA"/>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fr-CA"/>
        </w:rPr>
      </w:pPr>
      <w:r w:rsidRPr="00F932AA">
        <w:rPr>
          <w:rFonts w:eastAsia="Times New Roman" w:cs="Times New Roman"/>
          <w:b/>
          <w:bCs/>
          <w:sz w:val="20"/>
          <w:szCs w:val="20"/>
          <w:lang w:val="fr-CA"/>
        </w:rPr>
        <w:t xml:space="preserve">ET APRÈS EXAMEN </w:t>
      </w:r>
      <w:r w:rsidRPr="00F932AA">
        <w:rPr>
          <w:rFonts w:eastAsia="Times New Roman" w:cs="Times New Roman"/>
          <w:sz w:val="20"/>
          <w:szCs w:val="20"/>
          <w:lang w:val="fr-CA"/>
        </w:rPr>
        <w:t xml:space="preserve">des documents déposés; </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fr-CA"/>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fr-CA"/>
        </w:rPr>
      </w:pPr>
      <w:r w:rsidRPr="00F932AA">
        <w:rPr>
          <w:rFonts w:eastAsia="Times New Roman" w:cs="Times New Roman"/>
          <w:b/>
          <w:sz w:val="20"/>
          <w:szCs w:val="20"/>
          <w:lang w:val="fr-CA"/>
        </w:rPr>
        <w:t xml:space="preserve">ET APRÈS AVOIR NOTÉ </w:t>
      </w:r>
      <w:r w:rsidRPr="00F932AA">
        <w:rPr>
          <w:rFonts w:eastAsia="Times New Roman" w:cs="Times New Roman"/>
          <w:sz w:val="20"/>
          <w:szCs w:val="20"/>
          <w:lang w:val="fr-CA"/>
        </w:rPr>
        <w:t>le consentement des appelants;</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fr-CA"/>
        </w:rPr>
      </w:pPr>
    </w:p>
    <w:p w:rsidR="00F932AA" w:rsidRPr="00F932AA" w:rsidRDefault="00F932AA" w:rsidP="00F932AA">
      <w:pPr>
        <w:widowControl w:val="0"/>
        <w:autoSpaceDE w:val="0"/>
        <w:autoSpaceDN w:val="0"/>
        <w:adjustRightInd w:val="0"/>
        <w:spacing w:line="228" w:lineRule="auto"/>
        <w:ind w:left="-23"/>
        <w:jc w:val="both"/>
        <w:rPr>
          <w:rFonts w:eastAsia="Times New Roman" w:cs="Times New Roman"/>
          <w:b/>
          <w:bCs/>
          <w:sz w:val="20"/>
          <w:szCs w:val="20"/>
          <w:lang w:val="fr-CA"/>
        </w:rPr>
      </w:pPr>
      <w:r w:rsidRPr="00F932AA">
        <w:rPr>
          <w:rFonts w:eastAsia="Times New Roman" w:cs="Times New Roman"/>
          <w:b/>
          <w:bCs/>
          <w:sz w:val="20"/>
          <w:szCs w:val="20"/>
          <w:lang w:val="fr-CA"/>
        </w:rPr>
        <w:t>IL EST ORDONNÉ QUE:</w:t>
      </w:r>
    </w:p>
    <w:p w:rsidR="00F932AA" w:rsidRPr="00F932AA" w:rsidRDefault="00F932AA" w:rsidP="00F932AA">
      <w:pPr>
        <w:widowControl w:val="0"/>
        <w:autoSpaceDE w:val="0"/>
        <w:autoSpaceDN w:val="0"/>
        <w:adjustRightInd w:val="0"/>
        <w:spacing w:line="228" w:lineRule="auto"/>
        <w:ind w:left="-23"/>
        <w:jc w:val="both"/>
        <w:rPr>
          <w:rFonts w:eastAsia="Times New Roman" w:cs="Times New Roman"/>
          <w:b/>
          <w:bCs/>
          <w:sz w:val="20"/>
          <w:szCs w:val="20"/>
          <w:lang w:val="fr-CA"/>
        </w:rPr>
      </w:pPr>
    </w:p>
    <w:p w:rsidR="00F932AA" w:rsidRPr="00F932AA" w:rsidRDefault="00F932AA" w:rsidP="00F932AA">
      <w:pPr>
        <w:widowControl w:val="0"/>
        <w:autoSpaceDE w:val="0"/>
        <w:autoSpaceDN w:val="0"/>
        <w:adjustRightInd w:val="0"/>
        <w:rPr>
          <w:rFonts w:eastAsia="Times New Roman" w:cs="Times New Roman"/>
          <w:sz w:val="20"/>
          <w:szCs w:val="20"/>
          <w:lang w:val="fr-CA"/>
        </w:rPr>
      </w:pPr>
      <w:r w:rsidRPr="00F932AA">
        <w:rPr>
          <w:rFonts w:eastAsia="Times New Roman" w:cs="Times New Roman"/>
          <w:bCs/>
          <w:sz w:val="20"/>
          <w:szCs w:val="20"/>
          <w:lang w:val="fr-CA"/>
        </w:rPr>
        <w:t>La requête est accueillie</w:t>
      </w:r>
      <w:r w:rsidRPr="00F932AA">
        <w:rPr>
          <w:rFonts w:eastAsia="Times New Roman" w:cs="Times New Roman"/>
          <w:sz w:val="20"/>
          <w:szCs w:val="20"/>
          <w:lang w:val="fr-CA"/>
        </w:rPr>
        <w:t>.</w:t>
      </w:r>
    </w:p>
    <w:p w:rsidR="00F932AA" w:rsidRPr="00F932AA" w:rsidRDefault="00F932AA" w:rsidP="00F932AA">
      <w:pPr>
        <w:widowControl w:val="0"/>
        <w:autoSpaceDE w:val="0"/>
        <w:autoSpaceDN w:val="0"/>
        <w:adjustRightInd w:val="0"/>
        <w:rPr>
          <w:rFonts w:eastAsia="Times New Roman" w:cs="Times New Roman"/>
          <w:sz w:val="20"/>
          <w:szCs w:val="20"/>
          <w:lang w:val="fr-CA"/>
        </w:rPr>
      </w:pPr>
    </w:p>
    <w:p w:rsidR="00F932AA" w:rsidRPr="00F932AA" w:rsidRDefault="00F932AA" w:rsidP="00F932AA">
      <w:pPr>
        <w:widowControl w:val="0"/>
        <w:autoSpaceDE w:val="0"/>
        <w:autoSpaceDN w:val="0"/>
        <w:adjustRightInd w:val="0"/>
        <w:rPr>
          <w:rFonts w:eastAsia="Times New Roman" w:cs="Times New Roman"/>
          <w:sz w:val="20"/>
          <w:szCs w:val="20"/>
          <w:lang w:val="fr-CA"/>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rPr>
      </w:pPr>
      <w:r w:rsidRPr="00F932AA">
        <w:rPr>
          <w:rFonts w:eastAsia="Times New Roman" w:cs="Times New Roman"/>
          <w:b/>
          <w:sz w:val="20"/>
          <w:szCs w:val="20"/>
          <w:lang w:val="en-US"/>
        </w:rPr>
        <w:t xml:space="preserve">UPON APPLICATION </w:t>
      </w:r>
      <w:r w:rsidRPr="00F932AA">
        <w:rPr>
          <w:rFonts w:eastAsia="Times New Roman" w:cs="Times New Roman"/>
          <w:sz w:val="20"/>
          <w:szCs w:val="20"/>
          <w:lang w:val="en-US"/>
        </w:rPr>
        <w:t xml:space="preserve">by </w:t>
      </w:r>
      <w:r w:rsidRPr="00F932AA">
        <w:rPr>
          <w:rFonts w:eastAsia="Times New Roman" w:cs="Times New Roman"/>
          <w:sz w:val="20"/>
          <w:szCs w:val="20"/>
        </w:rPr>
        <w:t>the respondent for an order extending the time to file its Factum, Record and Book of Authorities to October 8, 2015, and for an order pursuant to Rule 71(3) permitting oral argument at the hearing of the appeal;</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bCs/>
          <w:sz w:val="20"/>
          <w:szCs w:val="20"/>
          <w:lang w:val="en-US"/>
        </w:rPr>
        <w:t>AND THE MATERIAL FILED</w:t>
      </w:r>
      <w:r w:rsidRPr="00F932AA">
        <w:rPr>
          <w:rFonts w:eastAsia="Times New Roman" w:cs="Times New Roman"/>
          <w:sz w:val="20"/>
          <w:szCs w:val="20"/>
          <w:lang w:val="en-US"/>
        </w:rPr>
        <w:t xml:space="preserve"> having been read;</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sz w:val="20"/>
          <w:szCs w:val="20"/>
          <w:lang w:val="en-US"/>
        </w:rPr>
        <w:t>AND NOTING</w:t>
      </w:r>
      <w:r w:rsidRPr="00F932AA">
        <w:rPr>
          <w:rFonts w:eastAsia="Times New Roman" w:cs="Times New Roman"/>
          <w:sz w:val="20"/>
          <w:szCs w:val="20"/>
          <w:lang w:val="en-US"/>
        </w:rPr>
        <w:t xml:space="preserve"> the consent of the appellants;</w:t>
      </w:r>
    </w:p>
    <w:p w:rsidR="00F932AA" w:rsidRPr="00F932AA" w:rsidRDefault="00F932AA" w:rsidP="00F932AA">
      <w:pPr>
        <w:widowControl w:val="0"/>
        <w:autoSpaceDE w:val="0"/>
        <w:autoSpaceDN w:val="0"/>
        <w:adjustRightInd w:val="0"/>
        <w:spacing w:line="232" w:lineRule="auto"/>
        <w:rPr>
          <w:rFonts w:eastAsia="Times New Roman" w:cs="Times New Roman"/>
          <w:sz w:val="20"/>
          <w:szCs w:val="20"/>
          <w:lang w:val="en-US"/>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bCs/>
          <w:sz w:val="20"/>
          <w:szCs w:val="20"/>
          <w:lang w:val="en-US"/>
        </w:rPr>
        <w:t>IT IS HEREBY ORDERED THAT:</w:t>
      </w:r>
    </w:p>
    <w:p w:rsidR="00F932AA" w:rsidRPr="00F932AA" w:rsidRDefault="00F932AA" w:rsidP="00F932AA">
      <w:pPr>
        <w:widowControl w:val="0"/>
        <w:autoSpaceDE w:val="0"/>
        <w:autoSpaceDN w:val="0"/>
        <w:adjustRightInd w:val="0"/>
        <w:spacing w:line="232" w:lineRule="auto"/>
        <w:rPr>
          <w:rFonts w:eastAsia="Times New Roman" w:cs="Times New Roman"/>
          <w:sz w:val="20"/>
          <w:szCs w:val="20"/>
          <w:lang w:val="en-US"/>
        </w:rPr>
      </w:pPr>
    </w:p>
    <w:p w:rsidR="00F932AA" w:rsidRPr="00F932AA" w:rsidRDefault="00F932AA" w:rsidP="00F932AA">
      <w:pPr>
        <w:widowControl w:val="0"/>
        <w:autoSpaceDE w:val="0"/>
        <w:autoSpaceDN w:val="0"/>
        <w:adjustRightInd w:val="0"/>
        <w:rPr>
          <w:rFonts w:eastAsia="Times New Roman" w:cs="Times New Roman"/>
          <w:sz w:val="20"/>
          <w:szCs w:val="20"/>
          <w:lang w:val="fr-CA"/>
        </w:rPr>
      </w:pPr>
      <w:r w:rsidRPr="00F932AA">
        <w:rPr>
          <w:rFonts w:eastAsia="Times New Roman" w:cs="Times New Roman"/>
          <w:sz w:val="20"/>
          <w:szCs w:val="20"/>
          <w:lang w:val="fr-CA"/>
        </w:rPr>
        <w:t xml:space="preserve">The motion </w:t>
      </w:r>
      <w:proofErr w:type="spellStart"/>
      <w:r w:rsidRPr="00F932AA">
        <w:rPr>
          <w:rFonts w:eastAsia="Times New Roman" w:cs="Times New Roman"/>
          <w:sz w:val="20"/>
          <w:szCs w:val="20"/>
          <w:lang w:val="fr-CA"/>
        </w:rPr>
        <w:t>is</w:t>
      </w:r>
      <w:proofErr w:type="spellEnd"/>
      <w:r w:rsidRPr="00F932AA">
        <w:rPr>
          <w:rFonts w:eastAsia="Times New Roman" w:cs="Times New Roman"/>
          <w:sz w:val="20"/>
          <w:szCs w:val="20"/>
          <w:lang w:val="fr-CA"/>
        </w:rPr>
        <w:t xml:space="preserve"> </w:t>
      </w:r>
      <w:proofErr w:type="spellStart"/>
      <w:r w:rsidRPr="00F932AA">
        <w:rPr>
          <w:rFonts w:eastAsia="Times New Roman" w:cs="Times New Roman"/>
          <w:sz w:val="20"/>
          <w:szCs w:val="20"/>
          <w:lang w:val="fr-CA"/>
        </w:rPr>
        <w:t>granted</w:t>
      </w:r>
      <w:proofErr w:type="spellEnd"/>
      <w:r w:rsidRPr="00F932AA">
        <w:rPr>
          <w:rFonts w:eastAsia="Times New Roman" w:cs="Times New Roman"/>
          <w:sz w:val="20"/>
          <w:szCs w:val="20"/>
          <w:lang w:val="fr-CA"/>
        </w:rPr>
        <w:t>.</w:t>
      </w:r>
    </w:p>
    <w:p w:rsidR="00F932AA" w:rsidRPr="00F932AA" w:rsidRDefault="00F932AA" w:rsidP="00F932AA">
      <w:pPr>
        <w:tabs>
          <w:tab w:val="left" w:pos="-1440"/>
          <w:tab w:val="left" w:pos="-720"/>
        </w:tabs>
        <w:jc w:val="both"/>
        <w:rPr>
          <w:rFonts w:eastAsia="Times New Roman" w:cs="Times New Roman"/>
          <w:sz w:val="20"/>
          <w:szCs w:val="20"/>
          <w:lang w:eastAsia="en-CA"/>
        </w:rPr>
      </w:pPr>
    </w:p>
    <w:p w:rsidR="00F932AA" w:rsidRPr="00F932AA" w:rsidRDefault="00C232E1" w:rsidP="00F932AA">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EC5631" w:rsidRDefault="00EC5631">
      <w:pPr>
        <w:rPr>
          <w:rFonts w:eastAsia="Times New Roman" w:cs="Times New Roman"/>
          <w:sz w:val="20"/>
          <w:szCs w:val="20"/>
          <w:lang w:eastAsia="en-CA"/>
        </w:rPr>
      </w:pPr>
      <w:r>
        <w:rPr>
          <w:rFonts w:eastAsia="Times New Roman" w:cs="Times New Roman"/>
          <w:sz w:val="20"/>
          <w:szCs w:val="20"/>
          <w:lang w:eastAsia="en-CA"/>
        </w:rPr>
        <w:br w:type="page"/>
      </w:r>
    </w:p>
    <w:p w:rsidR="00F932AA" w:rsidRPr="00F932AA" w:rsidRDefault="00F932AA" w:rsidP="00F932AA">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lastRenderedPageBreak/>
        <w:t>28.10.2015</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Before / Devant :   CÔTÉ J. / LA JUGE CÔTÉ</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0"/>
        <w:gridCol w:w="1138"/>
        <w:gridCol w:w="4224"/>
      </w:tblGrid>
      <w:tr w:rsidR="00F932AA" w:rsidRPr="00F932AA" w:rsidTr="00F37688">
        <w:trPr>
          <w:trHeight w:hRule="exact" w:val="702"/>
        </w:trPr>
        <w:tc>
          <w:tcPr>
            <w:tcW w:w="4257" w:type="dxa"/>
            <w:gridSpan w:val="2"/>
          </w:tcPr>
          <w:p w:rsidR="00F932AA" w:rsidRPr="00F932AA" w:rsidRDefault="00F932AA" w:rsidP="00F932AA">
            <w:pPr>
              <w:rPr>
                <w:b/>
                <w:lang w:val="en-US"/>
              </w:rPr>
            </w:pPr>
            <w:r w:rsidRPr="00F932AA">
              <w:rPr>
                <w:b/>
                <w:lang w:val="en-US"/>
              </w:rPr>
              <w:t>Order on interventions with respect to oral argument</w:t>
            </w:r>
          </w:p>
        </w:tc>
        <w:tc>
          <w:tcPr>
            <w:tcW w:w="1138" w:type="dxa"/>
          </w:tcPr>
          <w:p w:rsidR="00F932AA" w:rsidRPr="00F932AA" w:rsidRDefault="00F932AA" w:rsidP="00F932AA"/>
          <w:p w:rsidR="00F932AA" w:rsidRPr="00F932AA" w:rsidRDefault="00F932AA" w:rsidP="00F932AA"/>
          <w:p w:rsidR="00F932AA" w:rsidRPr="00F932AA" w:rsidRDefault="00F932AA" w:rsidP="00F932AA"/>
        </w:tc>
        <w:tc>
          <w:tcPr>
            <w:tcW w:w="4224" w:type="dxa"/>
          </w:tcPr>
          <w:p w:rsidR="00F932AA" w:rsidRPr="00F932AA" w:rsidRDefault="00F932AA" w:rsidP="00F932AA">
            <w:r w:rsidRPr="00F932AA">
              <w:rPr>
                <w:b/>
                <w:bCs/>
                <w:color w:val="000000"/>
                <w:lang w:val="fr-CA"/>
              </w:rPr>
              <w:t>Ordonnance relative à la présentation d’une plaidoirie orale par les intervenants</w:t>
            </w:r>
          </w:p>
        </w:tc>
      </w:tr>
      <w:tr w:rsidR="00F932AA" w:rsidRPr="00F932AA" w:rsidTr="00F37688">
        <w:trPr>
          <w:trHeight w:hRule="exact" w:val="495"/>
        </w:trPr>
        <w:tc>
          <w:tcPr>
            <w:tcW w:w="1347" w:type="dxa"/>
          </w:tcPr>
          <w:p w:rsidR="00F932AA" w:rsidRPr="00F932AA" w:rsidRDefault="00F932AA" w:rsidP="00F932AA">
            <w:r w:rsidRPr="00F932AA">
              <w:t>BY / PAR</w:t>
            </w:r>
          </w:p>
        </w:tc>
        <w:tc>
          <w:tcPr>
            <w:tcW w:w="2910" w:type="dxa"/>
          </w:tcPr>
          <w:p w:rsidR="00F932AA" w:rsidRPr="00F932AA" w:rsidRDefault="00F932AA" w:rsidP="00F932AA">
            <w:r w:rsidRPr="00F932AA">
              <w:rPr>
                <w:lang w:val="en-US"/>
              </w:rPr>
              <w:t>British Columbia Civil Liberties Association;</w:t>
            </w:r>
          </w:p>
        </w:tc>
        <w:tc>
          <w:tcPr>
            <w:tcW w:w="1138" w:type="dxa"/>
          </w:tcPr>
          <w:p w:rsidR="00F932AA" w:rsidRPr="00F932AA" w:rsidRDefault="00F932AA" w:rsidP="00F932AA"/>
        </w:tc>
        <w:tc>
          <w:tcPr>
            <w:tcW w:w="4224" w:type="dxa"/>
          </w:tcPr>
          <w:p w:rsidR="00F932AA" w:rsidRPr="00F932AA" w:rsidRDefault="00F932AA" w:rsidP="00F932AA"/>
        </w:tc>
      </w:tr>
      <w:tr w:rsidR="00F932AA" w:rsidRPr="00F932AA" w:rsidTr="00F37688">
        <w:trPr>
          <w:trHeight w:hRule="exact" w:val="576"/>
        </w:trPr>
        <w:tc>
          <w:tcPr>
            <w:tcW w:w="1347" w:type="dxa"/>
          </w:tcPr>
          <w:p w:rsidR="00F932AA" w:rsidRPr="00F932AA" w:rsidRDefault="00F932AA" w:rsidP="00F932AA"/>
        </w:tc>
        <w:tc>
          <w:tcPr>
            <w:tcW w:w="2910" w:type="dxa"/>
          </w:tcPr>
          <w:p w:rsidR="00F932AA" w:rsidRPr="00F932AA" w:rsidRDefault="00F932AA" w:rsidP="00F932AA">
            <w:pPr>
              <w:rPr>
                <w:lang w:val="en-US"/>
              </w:rPr>
            </w:pPr>
            <w:r w:rsidRPr="00F932AA">
              <w:rPr>
                <w:lang w:val="en-US"/>
              </w:rPr>
              <w:t>Criminal Lawyers’ Association (Ontario);</w:t>
            </w:r>
          </w:p>
        </w:tc>
        <w:tc>
          <w:tcPr>
            <w:tcW w:w="1138" w:type="dxa"/>
          </w:tcPr>
          <w:p w:rsidR="00F932AA" w:rsidRPr="00F932AA" w:rsidRDefault="00F932AA" w:rsidP="00F932AA"/>
        </w:tc>
        <w:tc>
          <w:tcPr>
            <w:tcW w:w="4224" w:type="dxa"/>
          </w:tcPr>
          <w:p w:rsidR="00F932AA" w:rsidRPr="00F932AA" w:rsidRDefault="00F932AA" w:rsidP="00F932AA"/>
        </w:tc>
      </w:tr>
      <w:tr w:rsidR="00F932AA" w:rsidRPr="00F932AA" w:rsidTr="00F37688">
        <w:trPr>
          <w:trHeight w:hRule="exact" w:val="576"/>
        </w:trPr>
        <w:tc>
          <w:tcPr>
            <w:tcW w:w="1347" w:type="dxa"/>
          </w:tcPr>
          <w:p w:rsidR="00F932AA" w:rsidRPr="00F932AA" w:rsidRDefault="00F932AA" w:rsidP="00F932AA"/>
        </w:tc>
        <w:tc>
          <w:tcPr>
            <w:tcW w:w="2910" w:type="dxa"/>
          </w:tcPr>
          <w:p w:rsidR="00F932AA" w:rsidRPr="00F932AA" w:rsidRDefault="00F932AA" w:rsidP="00F932AA">
            <w:pPr>
              <w:rPr>
                <w:lang w:val="en-US"/>
              </w:rPr>
            </w:pPr>
            <w:r w:rsidRPr="00F932AA">
              <w:rPr>
                <w:lang w:val="en-US"/>
              </w:rPr>
              <w:t>West Coast Prison Justice Society;</w:t>
            </w:r>
          </w:p>
        </w:tc>
        <w:tc>
          <w:tcPr>
            <w:tcW w:w="1138" w:type="dxa"/>
          </w:tcPr>
          <w:p w:rsidR="00F932AA" w:rsidRPr="00F932AA" w:rsidRDefault="00F932AA" w:rsidP="00F932AA"/>
        </w:tc>
        <w:tc>
          <w:tcPr>
            <w:tcW w:w="4224" w:type="dxa"/>
          </w:tcPr>
          <w:p w:rsidR="00F932AA" w:rsidRPr="00F932AA" w:rsidRDefault="00F932AA" w:rsidP="00F932AA"/>
        </w:tc>
      </w:tr>
      <w:tr w:rsidR="00F932AA" w:rsidRPr="00F932AA" w:rsidTr="00F37688">
        <w:trPr>
          <w:trHeight w:hRule="exact" w:val="378"/>
        </w:trPr>
        <w:tc>
          <w:tcPr>
            <w:tcW w:w="1347" w:type="dxa"/>
          </w:tcPr>
          <w:p w:rsidR="00F932AA" w:rsidRPr="00F932AA" w:rsidRDefault="00F932AA" w:rsidP="00F932AA"/>
        </w:tc>
        <w:tc>
          <w:tcPr>
            <w:tcW w:w="2910" w:type="dxa"/>
          </w:tcPr>
          <w:p w:rsidR="00F932AA" w:rsidRPr="00F932AA" w:rsidRDefault="00F932AA" w:rsidP="00F932AA">
            <w:pPr>
              <w:rPr>
                <w:lang w:val="en-US"/>
              </w:rPr>
            </w:pPr>
            <w:r w:rsidRPr="00F932AA">
              <w:rPr>
                <w:lang w:val="en-US"/>
              </w:rPr>
              <w:t>John Howard Society of Canada;</w:t>
            </w:r>
          </w:p>
        </w:tc>
        <w:tc>
          <w:tcPr>
            <w:tcW w:w="1138" w:type="dxa"/>
          </w:tcPr>
          <w:p w:rsidR="00F932AA" w:rsidRPr="00F932AA" w:rsidRDefault="00F932AA" w:rsidP="00F932AA"/>
        </w:tc>
        <w:tc>
          <w:tcPr>
            <w:tcW w:w="4224" w:type="dxa"/>
          </w:tcPr>
          <w:p w:rsidR="00F932AA" w:rsidRPr="00F932AA" w:rsidRDefault="00F932AA" w:rsidP="00F932AA"/>
        </w:tc>
      </w:tr>
      <w:tr w:rsidR="00F932AA" w:rsidRPr="00F932AA" w:rsidTr="00F37688">
        <w:trPr>
          <w:trHeight w:hRule="exact" w:val="540"/>
        </w:trPr>
        <w:tc>
          <w:tcPr>
            <w:tcW w:w="1347" w:type="dxa"/>
          </w:tcPr>
          <w:p w:rsidR="00F932AA" w:rsidRPr="00F932AA" w:rsidRDefault="00F932AA" w:rsidP="00F932AA"/>
        </w:tc>
        <w:tc>
          <w:tcPr>
            <w:tcW w:w="2910" w:type="dxa"/>
          </w:tcPr>
          <w:p w:rsidR="00F932AA" w:rsidRPr="00F932AA" w:rsidRDefault="00F932AA" w:rsidP="00F932AA">
            <w:pPr>
              <w:rPr>
                <w:lang w:val="en-US"/>
              </w:rPr>
            </w:pPr>
            <w:r w:rsidRPr="00F932AA">
              <w:rPr>
                <w:lang w:val="en-US"/>
              </w:rPr>
              <w:t>Aboriginal Legal Service of Toronto Inc.</w:t>
            </w:r>
          </w:p>
        </w:tc>
        <w:tc>
          <w:tcPr>
            <w:tcW w:w="1138" w:type="dxa"/>
          </w:tcPr>
          <w:p w:rsidR="00F932AA" w:rsidRPr="00F932AA" w:rsidRDefault="00F932AA" w:rsidP="00F932AA"/>
        </w:tc>
        <w:tc>
          <w:tcPr>
            <w:tcW w:w="4224" w:type="dxa"/>
          </w:tcPr>
          <w:p w:rsidR="00F932AA" w:rsidRPr="00F932AA" w:rsidRDefault="00F932AA" w:rsidP="00F932AA"/>
        </w:tc>
      </w:tr>
      <w:tr w:rsidR="00F932AA" w:rsidRPr="00F932AA" w:rsidTr="00F37688">
        <w:tc>
          <w:tcPr>
            <w:tcW w:w="1347" w:type="dxa"/>
          </w:tcPr>
          <w:p w:rsidR="00F932AA" w:rsidRPr="00F932AA" w:rsidRDefault="00F932AA" w:rsidP="00F932AA"/>
        </w:tc>
        <w:tc>
          <w:tcPr>
            <w:tcW w:w="2910" w:type="dxa"/>
          </w:tcPr>
          <w:p w:rsidR="00F932AA" w:rsidRPr="00F932AA" w:rsidRDefault="00F932AA" w:rsidP="00F932AA">
            <w:pPr>
              <w:rPr>
                <w:lang w:val="en-US"/>
              </w:rPr>
            </w:pPr>
          </w:p>
        </w:tc>
        <w:tc>
          <w:tcPr>
            <w:tcW w:w="1138" w:type="dxa"/>
          </w:tcPr>
          <w:p w:rsidR="00F932AA" w:rsidRPr="00F932AA" w:rsidRDefault="00F932AA" w:rsidP="00F932AA"/>
        </w:tc>
        <w:tc>
          <w:tcPr>
            <w:tcW w:w="4224" w:type="dxa"/>
          </w:tcPr>
          <w:p w:rsidR="00F932AA" w:rsidRPr="00F932AA" w:rsidRDefault="00F932AA" w:rsidP="00F932AA"/>
        </w:tc>
      </w:tr>
      <w:tr w:rsidR="00F932AA" w:rsidRPr="00F932AA" w:rsidTr="00F37688">
        <w:tc>
          <w:tcPr>
            <w:tcW w:w="1347" w:type="dxa"/>
          </w:tcPr>
          <w:p w:rsidR="00F932AA" w:rsidRPr="00F932AA" w:rsidRDefault="00F932AA" w:rsidP="00F932AA">
            <w:r w:rsidRPr="00F932AA">
              <w:t>IN / DANS :</w:t>
            </w:r>
          </w:p>
        </w:tc>
        <w:tc>
          <w:tcPr>
            <w:tcW w:w="2910" w:type="dxa"/>
          </w:tcPr>
          <w:p w:rsidR="00F932AA" w:rsidRPr="00F932AA" w:rsidRDefault="00F932AA" w:rsidP="00F932AA">
            <w:r w:rsidRPr="00F932AA">
              <w:t>Her Majesty the Queen</w:t>
            </w:r>
          </w:p>
          <w:p w:rsidR="00F932AA" w:rsidRPr="00F932AA" w:rsidRDefault="00F932AA" w:rsidP="00F932AA"/>
          <w:p w:rsidR="00F932AA" w:rsidRPr="00F932AA" w:rsidRDefault="00F932AA" w:rsidP="00F932AA">
            <w:r w:rsidRPr="00F932AA">
              <w:tab/>
              <w:t>v. (36162)</w:t>
            </w:r>
          </w:p>
          <w:p w:rsidR="00F932AA" w:rsidRPr="00F932AA" w:rsidRDefault="00F932AA" w:rsidP="00F932AA"/>
          <w:p w:rsidR="00F932AA" w:rsidRPr="00F932AA" w:rsidRDefault="00F932AA" w:rsidP="00F932AA">
            <w:proofErr w:type="spellStart"/>
            <w:r w:rsidRPr="00F932AA">
              <w:t>Hamidreza</w:t>
            </w:r>
            <w:proofErr w:type="spellEnd"/>
            <w:r w:rsidRPr="00F932AA">
              <w:t xml:space="preserve"> </w:t>
            </w:r>
            <w:proofErr w:type="spellStart"/>
            <w:r w:rsidRPr="00F932AA">
              <w:t>Safarzadeh-Markhali</w:t>
            </w:r>
            <w:proofErr w:type="spellEnd"/>
            <w:r w:rsidRPr="00F932AA">
              <w:t xml:space="preserve"> (Crim.) (Ont.)</w:t>
            </w:r>
          </w:p>
        </w:tc>
        <w:tc>
          <w:tcPr>
            <w:tcW w:w="1138" w:type="dxa"/>
          </w:tcPr>
          <w:p w:rsidR="00F932AA" w:rsidRPr="00F932AA" w:rsidRDefault="00F932AA" w:rsidP="00F932AA"/>
        </w:tc>
        <w:tc>
          <w:tcPr>
            <w:tcW w:w="4224" w:type="dxa"/>
          </w:tcPr>
          <w:p w:rsidR="00F932AA" w:rsidRPr="00F932AA" w:rsidRDefault="00F932AA" w:rsidP="00F932AA"/>
        </w:tc>
      </w:tr>
    </w:tbl>
    <w:p w:rsidR="00F932AA" w:rsidRPr="00F932AA" w:rsidRDefault="00F932AA" w:rsidP="00F932AA">
      <w:pPr>
        <w:tabs>
          <w:tab w:val="left" w:pos="-1440"/>
          <w:tab w:val="left" w:pos="-720"/>
        </w:tabs>
        <w:jc w:val="both"/>
        <w:rPr>
          <w:rFonts w:eastAsia="Times New Roman" w:cs="Times New Roman"/>
          <w:sz w:val="20"/>
          <w:szCs w:val="20"/>
          <w:lang w:eastAsia="en-CA"/>
        </w:rPr>
      </w:pP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
          <w:bCs/>
          <w:sz w:val="20"/>
          <w:szCs w:val="20"/>
          <w:lang w:val="en-US"/>
        </w:rPr>
      </w:pPr>
      <w:r w:rsidRPr="00F932AA">
        <w:rPr>
          <w:rFonts w:eastAsia="Times New Roman" w:cs="Times New Roman"/>
          <w:b/>
          <w:bCs/>
          <w:sz w:val="20"/>
          <w:szCs w:val="20"/>
          <w:lang w:val="en-US"/>
        </w:rPr>
        <w:t xml:space="preserve">FURTHER TO THE ORDER </w:t>
      </w:r>
      <w:r w:rsidRPr="00F932AA">
        <w:rPr>
          <w:rFonts w:eastAsia="Times New Roman" w:cs="Times New Roman"/>
          <w:bCs/>
          <w:sz w:val="20"/>
          <w:szCs w:val="20"/>
          <w:lang w:val="en-US"/>
        </w:rPr>
        <w:t>dated August 26, 2015, granting leave to intervene to</w:t>
      </w:r>
      <w:r w:rsidRPr="00F932AA">
        <w:rPr>
          <w:rFonts w:eastAsia="Times New Roman" w:cs="Times New Roman"/>
          <w:sz w:val="20"/>
          <w:szCs w:val="20"/>
          <w:lang w:val="en-US"/>
        </w:rPr>
        <w:t xml:space="preserve"> the British Columbia Civil Liberties Association, the Criminal Lawyers’ Association of Ontario, the West Coast Prison Justice Society, the John Howard Society of Canada and Aboriginal Legal Services Toronto Inc.</w:t>
      </w:r>
      <w:r w:rsidRPr="00F932AA">
        <w:rPr>
          <w:rFonts w:eastAsia="Times New Roman" w:cs="Times New Roman"/>
          <w:bCs/>
          <w:sz w:val="20"/>
          <w:szCs w:val="20"/>
          <w:lang w:val="en-US"/>
        </w:rPr>
        <w:t>;</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b/>
          <w:bCs/>
          <w:sz w:val="20"/>
          <w:szCs w:val="20"/>
          <w:lang w:val="en-US"/>
        </w:rPr>
      </w:pP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bCs/>
          <w:sz w:val="20"/>
          <w:szCs w:val="20"/>
          <w:lang w:val="en-US"/>
        </w:rPr>
        <w:t xml:space="preserve">IT IS HEREBY FURTHER ORDERED THAT </w:t>
      </w:r>
      <w:r w:rsidRPr="00F932AA">
        <w:rPr>
          <w:rFonts w:eastAsia="Times New Roman" w:cs="Times New Roman"/>
          <w:bCs/>
          <w:sz w:val="20"/>
          <w:szCs w:val="20"/>
          <w:lang w:val="en-US"/>
        </w:rPr>
        <w:t>the said interveners are each granted permission to present oral argument not exceeding five (5) minutes at the hearing of the appeal.</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F932AA" w:rsidRPr="00F932AA" w:rsidRDefault="00F932AA" w:rsidP="00F932AA">
      <w:pPr>
        <w:tabs>
          <w:tab w:val="left" w:pos="-1440"/>
          <w:tab w:val="left" w:pos="-720"/>
        </w:tabs>
        <w:jc w:val="both"/>
        <w:rPr>
          <w:rFonts w:eastAsia="Times New Roman" w:cs="Times New Roman"/>
          <w:sz w:val="20"/>
          <w:szCs w:val="20"/>
          <w:lang w:val="en-US" w:eastAsia="en-CA"/>
        </w:rPr>
      </w:pPr>
    </w:p>
    <w:p w:rsidR="00F932AA" w:rsidRPr="00F932AA" w:rsidRDefault="00F932AA" w:rsidP="00F932AA">
      <w:pPr>
        <w:tabs>
          <w:tab w:val="left" w:pos="-1440"/>
          <w:tab w:val="left" w:pos="-720"/>
        </w:tabs>
        <w:jc w:val="both"/>
        <w:rPr>
          <w:rFonts w:eastAsia="Times New Roman" w:cs="Times New Roman"/>
          <w:sz w:val="20"/>
          <w:szCs w:val="20"/>
          <w:lang w:val="en-US" w:eastAsia="en-CA"/>
        </w:rPr>
      </w:pP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b/>
          <w:sz w:val="20"/>
          <w:szCs w:val="20"/>
          <w:lang w:val="fr-CA"/>
        </w:rPr>
        <w:t>À LA SUITE DE L’ORDONNANCE</w:t>
      </w:r>
      <w:r w:rsidRPr="00F932AA">
        <w:rPr>
          <w:rFonts w:eastAsiaTheme="minorEastAsia" w:cs="Times New Roman"/>
          <w:sz w:val="20"/>
          <w:szCs w:val="20"/>
          <w:lang w:val="fr-CA"/>
        </w:rPr>
        <w:t xml:space="preserve"> datée du 26 août 2015 autorisant l’Association des libertés civiles de la Colombie-Britannique, la </w:t>
      </w:r>
      <w:proofErr w:type="spellStart"/>
      <w:r w:rsidRPr="00F932AA">
        <w:rPr>
          <w:rFonts w:eastAsiaTheme="minorEastAsia" w:cs="Times New Roman"/>
          <w:sz w:val="20"/>
          <w:szCs w:val="20"/>
          <w:lang w:val="fr-CA"/>
        </w:rPr>
        <w:t>Criminal</w:t>
      </w:r>
      <w:proofErr w:type="spellEnd"/>
      <w:r w:rsidRPr="00F932AA">
        <w:rPr>
          <w:rFonts w:eastAsiaTheme="minorEastAsia" w:cs="Times New Roman"/>
          <w:sz w:val="20"/>
          <w:szCs w:val="20"/>
          <w:lang w:val="fr-CA"/>
        </w:rPr>
        <w:t xml:space="preserve"> </w:t>
      </w:r>
      <w:proofErr w:type="spellStart"/>
      <w:r w:rsidRPr="00F932AA">
        <w:rPr>
          <w:rFonts w:eastAsiaTheme="minorEastAsia" w:cs="Times New Roman"/>
          <w:sz w:val="20"/>
          <w:szCs w:val="20"/>
          <w:lang w:val="fr-CA"/>
        </w:rPr>
        <w:t>Lawyers</w:t>
      </w:r>
      <w:proofErr w:type="spellEnd"/>
      <w:r w:rsidRPr="00F932AA">
        <w:rPr>
          <w:rFonts w:eastAsiaTheme="minorEastAsia" w:cs="Times New Roman"/>
          <w:sz w:val="20"/>
          <w:szCs w:val="20"/>
          <w:lang w:val="fr-CA"/>
        </w:rPr>
        <w:t xml:space="preserve">’ Association of Ontario, la West </w:t>
      </w:r>
      <w:proofErr w:type="spellStart"/>
      <w:r w:rsidRPr="00F932AA">
        <w:rPr>
          <w:rFonts w:eastAsiaTheme="minorEastAsia" w:cs="Times New Roman"/>
          <w:sz w:val="20"/>
          <w:szCs w:val="20"/>
          <w:lang w:val="fr-CA"/>
        </w:rPr>
        <w:t>Coast</w:t>
      </w:r>
      <w:proofErr w:type="spellEnd"/>
      <w:r w:rsidRPr="00F932AA">
        <w:rPr>
          <w:rFonts w:eastAsiaTheme="minorEastAsia" w:cs="Times New Roman"/>
          <w:sz w:val="20"/>
          <w:szCs w:val="20"/>
          <w:lang w:val="fr-CA"/>
        </w:rPr>
        <w:t xml:space="preserve"> Prison Justice Society, la Société John Howard du Canada et les </w:t>
      </w:r>
      <w:proofErr w:type="spellStart"/>
      <w:r w:rsidRPr="00F932AA">
        <w:rPr>
          <w:rFonts w:eastAsiaTheme="minorEastAsia" w:cs="Times New Roman"/>
          <w:sz w:val="20"/>
          <w:szCs w:val="20"/>
          <w:lang w:val="fr-CA"/>
        </w:rPr>
        <w:t>Aboriginal</w:t>
      </w:r>
      <w:proofErr w:type="spellEnd"/>
      <w:r w:rsidRPr="00F932AA">
        <w:rPr>
          <w:rFonts w:eastAsiaTheme="minorEastAsia" w:cs="Times New Roman"/>
          <w:sz w:val="20"/>
          <w:szCs w:val="20"/>
          <w:lang w:val="fr-CA"/>
        </w:rPr>
        <w:t xml:space="preserve"> </w:t>
      </w:r>
      <w:proofErr w:type="spellStart"/>
      <w:r w:rsidRPr="00F932AA">
        <w:rPr>
          <w:rFonts w:eastAsiaTheme="minorEastAsia" w:cs="Times New Roman"/>
          <w:sz w:val="20"/>
          <w:szCs w:val="20"/>
          <w:lang w:val="fr-CA"/>
        </w:rPr>
        <w:t>Legal</w:t>
      </w:r>
      <w:proofErr w:type="spellEnd"/>
      <w:r w:rsidRPr="00F932AA">
        <w:rPr>
          <w:rFonts w:eastAsiaTheme="minorEastAsia" w:cs="Times New Roman"/>
          <w:sz w:val="20"/>
          <w:szCs w:val="20"/>
          <w:lang w:val="fr-CA"/>
        </w:rPr>
        <w:t xml:space="preserve"> Services of Toronto Inc. à intervenir;</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b/>
          <w:sz w:val="20"/>
          <w:szCs w:val="20"/>
          <w:lang w:val="fr-CA"/>
        </w:rPr>
        <w:t>IL EST EN OUTRE ORDONNÉ QUE</w:t>
      </w:r>
      <w:r w:rsidRPr="00F932AA">
        <w:rPr>
          <w:rFonts w:eastAsiaTheme="minorEastAsia" w:cs="Times New Roman"/>
          <w:sz w:val="20"/>
          <w:szCs w:val="20"/>
          <w:lang w:val="fr-CA"/>
        </w:rPr>
        <w:t xml:space="preserve"> les intervenants en question sont autorisés à présenter chacun une plaidoirie orale d’au plus cinq (5) minutes lors de l’audition de l’appel.</w:t>
      </w:r>
    </w:p>
    <w:p w:rsidR="00F932AA" w:rsidRPr="00F932AA" w:rsidRDefault="00F932AA" w:rsidP="00F932AA">
      <w:pPr>
        <w:tabs>
          <w:tab w:val="left" w:pos="-1440"/>
          <w:tab w:val="left" w:pos="-720"/>
        </w:tabs>
        <w:jc w:val="both"/>
        <w:rPr>
          <w:rFonts w:eastAsia="Times New Roman" w:cs="Times New Roman"/>
          <w:sz w:val="20"/>
          <w:szCs w:val="20"/>
          <w:lang w:val="fr-FR" w:eastAsia="en-CA"/>
        </w:rPr>
      </w:pPr>
    </w:p>
    <w:p w:rsidR="00F932AA" w:rsidRPr="00F932AA" w:rsidRDefault="00C232E1" w:rsidP="00F932A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EC5631" w:rsidRDefault="00EC5631">
      <w:pPr>
        <w:rPr>
          <w:rFonts w:eastAsia="Times New Roman" w:cs="Times New Roman"/>
          <w:sz w:val="20"/>
          <w:szCs w:val="20"/>
          <w:lang w:val="fr-CA" w:eastAsia="en-CA"/>
        </w:rPr>
      </w:pPr>
      <w:r>
        <w:rPr>
          <w:rFonts w:eastAsia="Times New Roman" w:cs="Times New Roman"/>
          <w:sz w:val="20"/>
          <w:szCs w:val="20"/>
          <w:lang w:val="fr-CA" w:eastAsia="en-CA"/>
        </w:rPr>
        <w:br w:type="page"/>
      </w:r>
    </w:p>
    <w:p w:rsidR="00F932AA" w:rsidRPr="00F932AA" w:rsidRDefault="00F932AA" w:rsidP="00F932AA">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lastRenderedPageBreak/>
        <w:t>28.10.2015</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tabs>
          <w:tab w:val="left" w:pos="-1440"/>
          <w:tab w:val="left" w:pos="-720"/>
        </w:tabs>
        <w:jc w:val="both"/>
        <w:rPr>
          <w:rFonts w:eastAsia="Times New Roman" w:cs="Times New Roman"/>
          <w:b/>
          <w:bCs/>
          <w:sz w:val="20"/>
          <w:szCs w:val="20"/>
          <w:lang w:val="en-GB" w:eastAsia="en-CA"/>
        </w:rPr>
      </w:pPr>
      <w:r w:rsidRPr="00F932AA">
        <w:rPr>
          <w:rFonts w:eastAsia="Times New Roman" w:cs="Times New Roman"/>
          <w:sz w:val="20"/>
          <w:szCs w:val="20"/>
          <w:lang w:val="fr-CA" w:eastAsia="en-CA"/>
        </w:rPr>
        <w:t>Before / Devant :   CROMWELL J. / LE JUGE CROMWELL</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6"/>
        <w:gridCol w:w="1137"/>
        <w:gridCol w:w="4220"/>
      </w:tblGrid>
      <w:tr w:rsidR="00F932AA" w:rsidRPr="00F932AA" w:rsidTr="00F37688">
        <w:tc>
          <w:tcPr>
            <w:tcW w:w="4338" w:type="dxa"/>
            <w:gridSpan w:val="2"/>
          </w:tcPr>
          <w:p w:rsidR="00F932AA" w:rsidRPr="00F932AA" w:rsidRDefault="00F932AA" w:rsidP="00F932AA">
            <w:pPr>
              <w:jc w:val="both"/>
              <w:rPr>
                <w:b/>
              </w:rPr>
            </w:pPr>
            <w:r w:rsidRPr="00F932AA">
              <w:rPr>
                <w:b/>
                <w:lang w:val="en-US"/>
              </w:rPr>
              <w:t>Order on interventions with respect to oral argument</w:t>
            </w:r>
          </w:p>
        </w:tc>
        <w:tc>
          <w:tcPr>
            <w:tcW w:w="1170" w:type="dxa"/>
          </w:tcPr>
          <w:p w:rsidR="00F932AA" w:rsidRPr="00F932AA" w:rsidRDefault="00F932AA" w:rsidP="00F932AA"/>
          <w:p w:rsidR="00F932AA" w:rsidRPr="00F932AA" w:rsidRDefault="00F932AA" w:rsidP="00F932AA"/>
          <w:p w:rsidR="00F932AA" w:rsidRPr="00F932AA" w:rsidRDefault="00F932AA" w:rsidP="00F932AA"/>
        </w:tc>
        <w:tc>
          <w:tcPr>
            <w:tcW w:w="4327" w:type="dxa"/>
          </w:tcPr>
          <w:p w:rsidR="00F932AA" w:rsidRPr="00F932AA" w:rsidRDefault="00F932AA" w:rsidP="00F932AA">
            <w:pPr>
              <w:jc w:val="both"/>
              <w:rPr>
                <w:b/>
                <w:lang w:val="fr-CA"/>
              </w:rPr>
            </w:pPr>
            <w:r w:rsidRPr="00F932AA">
              <w:rPr>
                <w:b/>
                <w:bCs/>
                <w:color w:val="000000"/>
                <w:lang w:val="fr-CA"/>
              </w:rPr>
              <w:t>Ordonnance relative à la présentation d’une plaidoirie orale par les intervenants</w:t>
            </w:r>
          </w:p>
        </w:tc>
      </w:tr>
      <w:tr w:rsidR="00F932AA" w:rsidRPr="00F932AA" w:rsidTr="00F37688">
        <w:trPr>
          <w:trHeight w:hRule="exact" w:val="558"/>
        </w:trPr>
        <w:tc>
          <w:tcPr>
            <w:tcW w:w="1368" w:type="dxa"/>
          </w:tcPr>
          <w:p w:rsidR="00F932AA" w:rsidRPr="00F932AA" w:rsidRDefault="00F932AA" w:rsidP="00F932AA">
            <w:r w:rsidRPr="00F932AA">
              <w:t>RE:</w:t>
            </w:r>
          </w:p>
        </w:tc>
        <w:tc>
          <w:tcPr>
            <w:tcW w:w="2970" w:type="dxa"/>
          </w:tcPr>
          <w:p w:rsidR="00F932AA" w:rsidRPr="00F932AA" w:rsidRDefault="00F932AA" w:rsidP="00F932AA">
            <w:r w:rsidRPr="00F932AA">
              <w:rPr>
                <w:lang w:val="en-US"/>
              </w:rPr>
              <w:t>Criminal Lawyers’ Association of Ontario;</w:t>
            </w:r>
          </w:p>
        </w:tc>
        <w:tc>
          <w:tcPr>
            <w:tcW w:w="1170" w:type="dxa"/>
          </w:tcPr>
          <w:p w:rsidR="00F932AA" w:rsidRPr="00F932AA" w:rsidRDefault="00F932AA" w:rsidP="00F932AA"/>
        </w:tc>
        <w:tc>
          <w:tcPr>
            <w:tcW w:w="4327" w:type="dxa"/>
          </w:tcPr>
          <w:p w:rsidR="00F932AA" w:rsidRPr="00F932AA" w:rsidRDefault="00F932AA" w:rsidP="00F932AA"/>
        </w:tc>
      </w:tr>
      <w:tr w:rsidR="00F932AA" w:rsidRPr="00F932AA" w:rsidTr="00F37688">
        <w:trPr>
          <w:trHeight w:hRule="exact" w:val="819"/>
        </w:trPr>
        <w:tc>
          <w:tcPr>
            <w:tcW w:w="1368" w:type="dxa"/>
          </w:tcPr>
          <w:p w:rsidR="00F932AA" w:rsidRPr="00F932AA" w:rsidRDefault="00F932AA" w:rsidP="00F932AA"/>
        </w:tc>
        <w:tc>
          <w:tcPr>
            <w:tcW w:w="2970" w:type="dxa"/>
          </w:tcPr>
          <w:p w:rsidR="00F932AA" w:rsidRPr="00F932AA" w:rsidRDefault="00F932AA" w:rsidP="00F932AA">
            <w:r w:rsidRPr="00F932AA">
              <w:rPr>
                <w:lang w:val="en-US"/>
              </w:rPr>
              <w:t xml:space="preserve">Transparency International Canada Inc. and Transparency International </w:t>
            </w:r>
            <w:proofErr w:type="spellStart"/>
            <w:r w:rsidRPr="00F932AA">
              <w:rPr>
                <w:lang w:val="en-US"/>
              </w:rPr>
              <w:t>e.V</w:t>
            </w:r>
            <w:proofErr w:type="spellEnd"/>
            <w:r w:rsidRPr="00F932AA">
              <w:rPr>
                <w:lang w:val="en-US"/>
              </w:rPr>
              <w:t>.;</w:t>
            </w:r>
          </w:p>
        </w:tc>
        <w:tc>
          <w:tcPr>
            <w:tcW w:w="1170" w:type="dxa"/>
          </w:tcPr>
          <w:p w:rsidR="00F932AA" w:rsidRPr="00F932AA" w:rsidRDefault="00F932AA" w:rsidP="00F932AA"/>
        </w:tc>
        <w:tc>
          <w:tcPr>
            <w:tcW w:w="4327" w:type="dxa"/>
          </w:tcPr>
          <w:p w:rsidR="00F932AA" w:rsidRPr="00F932AA" w:rsidRDefault="00F932AA" w:rsidP="00F932AA"/>
        </w:tc>
      </w:tr>
      <w:tr w:rsidR="00F932AA" w:rsidRPr="00F932AA" w:rsidTr="00F37688">
        <w:trPr>
          <w:trHeight w:hRule="exact" w:val="576"/>
        </w:trPr>
        <w:tc>
          <w:tcPr>
            <w:tcW w:w="1368" w:type="dxa"/>
          </w:tcPr>
          <w:p w:rsidR="00F932AA" w:rsidRPr="00F932AA" w:rsidRDefault="00F932AA" w:rsidP="00F932AA"/>
        </w:tc>
        <w:tc>
          <w:tcPr>
            <w:tcW w:w="2970" w:type="dxa"/>
          </w:tcPr>
          <w:p w:rsidR="00F932AA" w:rsidRPr="00F932AA" w:rsidRDefault="00F932AA" w:rsidP="00F932AA">
            <w:r w:rsidRPr="00F932AA">
              <w:rPr>
                <w:lang w:val="en-US"/>
              </w:rPr>
              <w:t>British Columbia Civil Liberties Association;</w:t>
            </w:r>
          </w:p>
        </w:tc>
        <w:tc>
          <w:tcPr>
            <w:tcW w:w="1170" w:type="dxa"/>
          </w:tcPr>
          <w:p w:rsidR="00F932AA" w:rsidRPr="00F932AA" w:rsidRDefault="00F932AA" w:rsidP="00F932AA"/>
        </w:tc>
        <w:tc>
          <w:tcPr>
            <w:tcW w:w="4327" w:type="dxa"/>
          </w:tcPr>
          <w:p w:rsidR="00F932AA" w:rsidRPr="00F932AA" w:rsidRDefault="00F932AA" w:rsidP="00F932AA"/>
        </w:tc>
      </w:tr>
      <w:tr w:rsidR="00F932AA" w:rsidRPr="00F932AA" w:rsidTr="00F37688">
        <w:trPr>
          <w:trHeight w:hRule="exact" w:val="2124"/>
        </w:trPr>
        <w:tc>
          <w:tcPr>
            <w:tcW w:w="1368" w:type="dxa"/>
          </w:tcPr>
          <w:p w:rsidR="00F932AA" w:rsidRPr="00F932AA" w:rsidRDefault="00F932AA" w:rsidP="00F932AA"/>
        </w:tc>
        <w:tc>
          <w:tcPr>
            <w:tcW w:w="2970" w:type="dxa"/>
          </w:tcPr>
          <w:p w:rsidR="00F932AA" w:rsidRPr="00F932AA" w:rsidRDefault="00F932AA" w:rsidP="00F932AA">
            <w:r w:rsidRPr="00F932AA">
              <w:t>European Bank for Reconstruction and Development, Organisation for Economic Co-Operation and Development, African Development Bank Group, Asian Development Bank, Inter-American Development Bank and Nordic Investment Bank</w:t>
            </w:r>
          </w:p>
        </w:tc>
        <w:tc>
          <w:tcPr>
            <w:tcW w:w="1170" w:type="dxa"/>
          </w:tcPr>
          <w:p w:rsidR="00F932AA" w:rsidRPr="00F932AA" w:rsidRDefault="00F932AA" w:rsidP="00F932AA"/>
        </w:tc>
        <w:tc>
          <w:tcPr>
            <w:tcW w:w="4327" w:type="dxa"/>
          </w:tcPr>
          <w:p w:rsidR="00F932AA" w:rsidRPr="00F932AA" w:rsidRDefault="00F932AA" w:rsidP="00F932AA"/>
        </w:tc>
      </w:tr>
      <w:tr w:rsidR="00F932AA" w:rsidRPr="00F932AA" w:rsidTr="00F37688">
        <w:tc>
          <w:tcPr>
            <w:tcW w:w="1368" w:type="dxa"/>
          </w:tcPr>
          <w:p w:rsidR="00F932AA" w:rsidRPr="00F932AA" w:rsidRDefault="00F932AA" w:rsidP="00F932AA"/>
        </w:tc>
        <w:tc>
          <w:tcPr>
            <w:tcW w:w="2970" w:type="dxa"/>
          </w:tcPr>
          <w:p w:rsidR="00F932AA" w:rsidRPr="00F932AA" w:rsidRDefault="00F932AA" w:rsidP="00F932AA"/>
        </w:tc>
        <w:tc>
          <w:tcPr>
            <w:tcW w:w="1170" w:type="dxa"/>
          </w:tcPr>
          <w:p w:rsidR="00F932AA" w:rsidRPr="00F932AA" w:rsidRDefault="00F932AA" w:rsidP="00F932AA"/>
        </w:tc>
        <w:tc>
          <w:tcPr>
            <w:tcW w:w="4327" w:type="dxa"/>
          </w:tcPr>
          <w:p w:rsidR="00F932AA" w:rsidRPr="00F932AA" w:rsidRDefault="00F932AA" w:rsidP="00F932AA"/>
        </w:tc>
      </w:tr>
      <w:tr w:rsidR="00F932AA" w:rsidRPr="00F932AA" w:rsidTr="00F37688">
        <w:tc>
          <w:tcPr>
            <w:tcW w:w="1368" w:type="dxa"/>
          </w:tcPr>
          <w:p w:rsidR="00F932AA" w:rsidRPr="00F932AA" w:rsidRDefault="00F932AA" w:rsidP="00F932AA">
            <w:r w:rsidRPr="00F932AA">
              <w:t>IN / DANS :</w:t>
            </w:r>
          </w:p>
        </w:tc>
        <w:tc>
          <w:tcPr>
            <w:tcW w:w="2970" w:type="dxa"/>
          </w:tcPr>
          <w:p w:rsidR="00F932AA" w:rsidRPr="00F932AA" w:rsidRDefault="00F932AA" w:rsidP="00F932AA">
            <w:pPr>
              <w:rPr>
                <w:lang w:val="fr-CA"/>
              </w:rPr>
            </w:pPr>
            <w:r w:rsidRPr="00F932AA">
              <w:rPr>
                <w:lang w:val="fr-CA"/>
              </w:rPr>
              <w:t>World Bank Group</w:t>
            </w:r>
          </w:p>
          <w:p w:rsidR="00F932AA" w:rsidRPr="00F932AA" w:rsidRDefault="00F932AA" w:rsidP="00F932AA">
            <w:pPr>
              <w:rPr>
                <w:lang w:val="fr-CA"/>
              </w:rPr>
            </w:pPr>
          </w:p>
          <w:p w:rsidR="00F932AA" w:rsidRPr="00F932AA" w:rsidRDefault="00F932AA" w:rsidP="00F932AA">
            <w:pPr>
              <w:rPr>
                <w:lang w:val="fr-CA"/>
              </w:rPr>
            </w:pPr>
            <w:r w:rsidRPr="00F932AA">
              <w:rPr>
                <w:lang w:val="fr-CA"/>
              </w:rPr>
              <w:tab/>
              <w:t>v. (36315)</w:t>
            </w:r>
          </w:p>
          <w:p w:rsidR="00F932AA" w:rsidRPr="00F932AA" w:rsidRDefault="00F932AA" w:rsidP="00F932AA">
            <w:pPr>
              <w:rPr>
                <w:lang w:val="fr-CA"/>
              </w:rPr>
            </w:pPr>
          </w:p>
          <w:p w:rsidR="00F932AA" w:rsidRPr="00F932AA" w:rsidRDefault="00F932AA" w:rsidP="00F932AA">
            <w:r w:rsidRPr="00F932AA">
              <w:rPr>
                <w:lang w:val="fr-CA"/>
              </w:rPr>
              <w:t>Kevin Wallace et al. (</w:t>
            </w:r>
            <w:proofErr w:type="spellStart"/>
            <w:r w:rsidRPr="00F932AA">
              <w:rPr>
                <w:lang w:val="fr-CA"/>
              </w:rPr>
              <w:t>Crim</w:t>
            </w:r>
            <w:proofErr w:type="spellEnd"/>
            <w:r w:rsidRPr="00F932AA">
              <w:rPr>
                <w:lang w:val="fr-CA"/>
              </w:rPr>
              <w:t>.) (Ont.)</w:t>
            </w:r>
          </w:p>
        </w:tc>
        <w:tc>
          <w:tcPr>
            <w:tcW w:w="1170" w:type="dxa"/>
          </w:tcPr>
          <w:p w:rsidR="00F932AA" w:rsidRPr="00F932AA" w:rsidRDefault="00F932AA" w:rsidP="00F932AA"/>
        </w:tc>
        <w:tc>
          <w:tcPr>
            <w:tcW w:w="4327" w:type="dxa"/>
          </w:tcPr>
          <w:p w:rsidR="00F932AA" w:rsidRPr="00F932AA" w:rsidRDefault="00F932AA" w:rsidP="00F932AA"/>
        </w:tc>
      </w:tr>
    </w:tbl>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bCs/>
          <w:sz w:val="20"/>
          <w:szCs w:val="20"/>
          <w:lang w:val="en-US"/>
        </w:rPr>
        <w:t xml:space="preserve">FURTHER TO THE ORDER </w:t>
      </w:r>
      <w:r w:rsidRPr="00F932AA">
        <w:rPr>
          <w:rFonts w:eastAsia="Times New Roman" w:cs="Times New Roman"/>
          <w:bCs/>
          <w:sz w:val="20"/>
          <w:szCs w:val="20"/>
          <w:lang w:val="en-US"/>
        </w:rPr>
        <w:t xml:space="preserve">dated October 7, 2015, granting leave to intervene to </w:t>
      </w:r>
      <w:r w:rsidRPr="00F932AA">
        <w:rPr>
          <w:rFonts w:eastAsia="Times New Roman" w:cs="Times New Roman"/>
          <w:sz w:val="20"/>
          <w:szCs w:val="20"/>
          <w:lang w:val="en-US"/>
        </w:rPr>
        <w:t xml:space="preserve">the Criminal Lawyers’ Association (Ontario), Transparency International Canada Inc. and Transparency International </w:t>
      </w:r>
      <w:proofErr w:type="spellStart"/>
      <w:r w:rsidRPr="00F932AA">
        <w:rPr>
          <w:rFonts w:eastAsia="Times New Roman" w:cs="Times New Roman"/>
          <w:sz w:val="20"/>
          <w:szCs w:val="20"/>
          <w:lang w:val="en-US"/>
        </w:rPr>
        <w:t>e.V</w:t>
      </w:r>
      <w:proofErr w:type="spellEnd"/>
      <w:r w:rsidRPr="00F932AA">
        <w:rPr>
          <w:rFonts w:eastAsia="Times New Roman" w:cs="Times New Roman"/>
          <w:sz w:val="20"/>
          <w:szCs w:val="20"/>
          <w:lang w:val="en-US"/>
        </w:rPr>
        <w:t xml:space="preserve">. (joint), the British Columbia Civil Liberties Association, and the European Bank for Reconstruction and Development, </w:t>
      </w:r>
      <w:proofErr w:type="spellStart"/>
      <w:r w:rsidRPr="00F932AA">
        <w:rPr>
          <w:rFonts w:eastAsia="Times New Roman" w:cs="Times New Roman"/>
          <w:sz w:val="20"/>
          <w:szCs w:val="20"/>
          <w:lang w:val="en-US"/>
        </w:rPr>
        <w:t>Organisation</w:t>
      </w:r>
      <w:proofErr w:type="spellEnd"/>
      <w:r w:rsidRPr="00F932AA">
        <w:rPr>
          <w:rFonts w:eastAsia="Times New Roman" w:cs="Times New Roman"/>
          <w:sz w:val="20"/>
          <w:szCs w:val="20"/>
          <w:lang w:val="en-US"/>
        </w:rPr>
        <w:t xml:space="preserve"> for Economic Co-Operation and Development, the African Development Bank Group, the Asian Development Bank, the Inter-American Development Bank and Nordic Investment Bank (joint);</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p>
    <w:p w:rsidR="00F932AA" w:rsidRPr="00F932AA" w:rsidRDefault="00F932AA" w:rsidP="00F932AA">
      <w:pPr>
        <w:widowControl w:val="0"/>
        <w:autoSpaceDE w:val="0"/>
        <w:autoSpaceDN w:val="0"/>
        <w:adjustRightInd w:val="0"/>
        <w:spacing w:line="232" w:lineRule="auto"/>
        <w:jc w:val="both"/>
        <w:rPr>
          <w:rFonts w:eastAsia="Times New Roman" w:cs="Times New Roman"/>
          <w:b/>
          <w:bCs/>
          <w:sz w:val="20"/>
          <w:szCs w:val="20"/>
          <w:lang w:val="en-US"/>
        </w:rPr>
      </w:pPr>
      <w:r w:rsidRPr="00F932AA">
        <w:rPr>
          <w:rFonts w:eastAsia="Times New Roman" w:cs="Times New Roman"/>
          <w:b/>
          <w:bCs/>
          <w:sz w:val="20"/>
          <w:szCs w:val="20"/>
          <w:lang w:val="en-US"/>
        </w:rPr>
        <w:t>IT IS HEREBY ORDERED THAT:</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p>
    <w:p w:rsidR="00F932AA" w:rsidRPr="00F932AA" w:rsidRDefault="00F932AA" w:rsidP="00F932AA">
      <w:pPr>
        <w:widowControl w:val="0"/>
        <w:autoSpaceDE w:val="0"/>
        <w:autoSpaceDN w:val="0"/>
        <w:adjustRightInd w:val="0"/>
        <w:spacing w:line="230" w:lineRule="auto"/>
        <w:rPr>
          <w:rFonts w:eastAsia="Times New Roman" w:cs="Times New Roman"/>
          <w:sz w:val="20"/>
          <w:szCs w:val="20"/>
          <w:lang w:val="en-US"/>
        </w:rPr>
      </w:pPr>
      <w:r w:rsidRPr="00F932AA">
        <w:rPr>
          <w:rFonts w:eastAsia="Times New Roman" w:cs="Times New Roman"/>
          <w:bCs/>
          <w:sz w:val="20"/>
          <w:szCs w:val="20"/>
          <w:lang w:val="en-US"/>
        </w:rPr>
        <w:t>The four (4) interveners</w:t>
      </w:r>
      <w:r w:rsidRPr="00F932AA">
        <w:rPr>
          <w:rFonts w:eastAsia="Times New Roman" w:cs="Times New Roman"/>
          <w:sz w:val="20"/>
          <w:szCs w:val="20"/>
          <w:lang w:val="en-US"/>
        </w:rPr>
        <w:t xml:space="preserve"> or groups of interveners </w:t>
      </w:r>
      <w:r w:rsidRPr="00F932AA">
        <w:rPr>
          <w:rFonts w:eastAsia="Times New Roman" w:cs="Times New Roman"/>
          <w:sz w:val="20"/>
          <w:szCs w:val="20"/>
        </w:rPr>
        <w:t xml:space="preserve">are each granted permission to present oral argument not exceeding ten (10) minutes at the hearing of the appeal. </w:t>
      </w:r>
    </w:p>
    <w:p w:rsidR="00F932AA" w:rsidRPr="00F932AA" w:rsidRDefault="00F932AA" w:rsidP="00F932AA">
      <w:pPr>
        <w:widowControl w:val="0"/>
        <w:autoSpaceDE w:val="0"/>
        <w:autoSpaceDN w:val="0"/>
        <w:adjustRightInd w:val="0"/>
        <w:spacing w:line="232" w:lineRule="auto"/>
        <w:jc w:val="both"/>
        <w:rPr>
          <w:rFonts w:eastAsia="Times New Roman" w:cs="Times New Roman"/>
          <w:sz w:val="20"/>
          <w:szCs w:val="20"/>
          <w:lang w:val="en-US"/>
        </w:rPr>
      </w:pPr>
    </w:p>
    <w:p w:rsidR="00F932AA" w:rsidRPr="00F932AA" w:rsidRDefault="00F932AA" w:rsidP="00F932AA">
      <w:pPr>
        <w:spacing w:line="233" w:lineRule="auto"/>
        <w:rPr>
          <w:rFonts w:eastAsia="Times New Roman" w:cs="Times New Roman"/>
          <w:sz w:val="20"/>
          <w:szCs w:val="20"/>
          <w:lang w:val="fr-CA" w:eastAsia="en-CA"/>
        </w:rPr>
      </w:pPr>
    </w:p>
    <w:p w:rsidR="00F932AA" w:rsidRPr="00F932AA" w:rsidRDefault="00F932AA" w:rsidP="00F932AA">
      <w:pPr>
        <w:spacing w:line="233" w:lineRule="auto"/>
        <w:rPr>
          <w:rFonts w:eastAsia="Times New Roman" w:cs="Times New Roman"/>
          <w:sz w:val="20"/>
          <w:szCs w:val="20"/>
          <w:lang w:val="fr-CA" w:eastAsia="en-CA"/>
        </w:rPr>
      </w:pPr>
    </w:p>
    <w:p w:rsidR="00F932AA" w:rsidRPr="00F932AA" w:rsidRDefault="00F932AA" w:rsidP="00F932AA">
      <w:pPr>
        <w:widowControl w:val="0"/>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b/>
          <w:sz w:val="20"/>
          <w:szCs w:val="20"/>
          <w:lang w:val="fr-CA"/>
        </w:rPr>
        <w:t>À LA SUITE L’ORDONNANCE</w:t>
      </w:r>
      <w:r w:rsidRPr="00F932AA">
        <w:rPr>
          <w:rFonts w:eastAsiaTheme="minorEastAsia" w:cs="Times New Roman"/>
          <w:sz w:val="20"/>
          <w:szCs w:val="20"/>
          <w:lang w:val="fr-CA"/>
        </w:rPr>
        <w:t xml:space="preserve"> datée du 7 octobre 2015 autorisant la </w:t>
      </w:r>
      <w:proofErr w:type="spellStart"/>
      <w:r w:rsidRPr="00F932AA">
        <w:rPr>
          <w:rFonts w:eastAsiaTheme="minorEastAsia" w:cs="Times New Roman"/>
          <w:sz w:val="20"/>
          <w:szCs w:val="20"/>
          <w:lang w:val="fr-CA"/>
        </w:rPr>
        <w:t>Criminal</w:t>
      </w:r>
      <w:proofErr w:type="spellEnd"/>
      <w:r w:rsidRPr="00F932AA">
        <w:rPr>
          <w:rFonts w:eastAsiaTheme="minorEastAsia" w:cs="Times New Roman"/>
          <w:sz w:val="20"/>
          <w:szCs w:val="20"/>
          <w:lang w:val="fr-CA"/>
        </w:rPr>
        <w:t xml:space="preserve"> </w:t>
      </w:r>
      <w:proofErr w:type="spellStart"/>
      <w:r w:rsidRPr="00F932AA">
        <w:rPr>
          <w:rFonts w:eastAsiaTheme="minorEastAsia" w:cs="Times New Roman"/>
          <w:sz w:val="20"/>
          <w:szCs w:val="20"/>
          <w:lang w:val="fr-CA"/>
        </w:rPr>
        <w:t>Lawyers</w:t>
      </w:r>
      <w:proofErr w:type="spellEnd"/>
      <w:r w:rsidRPr="00F932AA">
        <w:rPr>
          <w:rFonts w:eastAsiaTheme="minorEastAsia" w:cs="Times New Roman"/>
          <w:sz w:val="20"/>
          <w:szCs w:val="20"/>
          <w:lang w:val="fr-CA"/>
        </w:rPr>
        <w:t xml:space="preserve">' Association (Ontario), la </w:t>
      </w:r>
      <w:proofErr w:type="spellStart"/>
      <w:r w:rsidRPr="00F932AA">
        <w:rPr>
          <w:rFonts w:eastAsiaTheme="minorEastAsia" w:cs="Times New Roman"/>
          <w:sz w:val="20"/>
          <w:szCs w:val="20"/>
          <w:lang w:val="fr-CA"/>
        </w:rPr>
        <w:t>Transparency</w:t>
      </w:r>
      <w:proofErr w:type="spellEnd"/>
      <w:r w:rsidRPr="00F932AA">
        <w:rPr>
          <w:rFonts w:eastAsiaTheme="minorEastAsia" w:cs="Times New Roman"/>
          <w:sz w:val="20"/>
          <w:szCs w:val="20"/>
          <w:lang w:val="fr-CA"/>
        </w:rPr>
        <w:t xml:space="preserve"> International Canada Inc. et la </w:t>
      </w:r>
      <w:proofErr w:type="spellStart"/>
      <w:r w:rsidRPr="00F932AA">
        <w:rPr>
          <w:rFonts w:eastAsiaTheme="minorEastAsia" w:cs="Times New Roman"/>
          <w:sz w:val="20"/>
          <w:szCs w:val="20"/>
          <w:lang w:val="fr-CA"/>
        </w:rPr>
        <w:t>Transparency</w:t>
      </w:r>
      <w:proofErr w:type="spellEnd"/>
      <w:r w:rsidRPr="00F932AA">
        <w:rPr>
          <w:rFonts w:eastAsiaTheme="minorEastAsia" w:cs="Times New Roman"/>
          <w:sz w:val="20"/>
          <w:szCs w:val="20"/>
          <w:lang w:val="fr-CA"/>
        </w:rPr>
        <w:t xml:space="preserve"> International </w:t>
      </w:r>
      <w:proofErr w:type="spellStart"/>
      <w:r w:rsidRPr="00F932AA">
        <w:rPr>
          <w:rFonts w:eastAsiaTheme="minorEastAsia" w:cs="Times New Roman"/>
          <w:sz w:val="20"/>
          <w:szCs w:val="20"/>
          <w:lang w:val="fr-CA"/>
        </w:rPr>
        <w:t>e.V.</w:t>
      </w:r>
      <w:proofErr w:type="spellEnd"/>
      <w:r w:rsidRPr="00F932AA">
        <w:rPr>
          <w:rFonts w:eastAsiaTheme="minorEastAsia" w:cs="Times New Roman"/>
          <w:sz w:val="20"/>
          <w:szCs w:val="20"/>
          <w:lang w:val="fr-CA"/>
        </w:rPr>
        <w:t xml:space="preserve"> (conjointement), l’Association des libertés civiles de la Colombie-Britannique, ainsi que la Banque européenne pour la reconstruction et le développement, l’Organisation de coopération et développement économique, la Banque africaine de développement, la Banque asiatique de développement, la Banque interaméricaine de développement et la Banque nordique d’investissement (conjointement) à intervenir dans l’appel;</w:t>
      </w:r>
    </w:p>
    <w:p w:rsidR="00D76C77" w:rsidRDefault="00D76C77">
      <w:pPr>
        <w:rPr>
          <w:rFonts w:eastAsiaTheme="minorEastAsia" w:cs="Times New Roman"/>
          <w:sz w:val="20"/>
          <w:szCs w:val="20"/>
          <w:lang w:val="fr-CA"/>
        </w:rPr>
      </w:pPr>
      <w:r>
        <w:rPr>
          <w:rFonts w:eastAsiaTheme="minorEastAsia" w:cs="Times New Roman"/>
          <w:sz w:val="20"/>
          <w:szCs w:val="20"/>
          <w:lang w:val="fr-CA"/>
        </w:rPr>
        <w:br w:type="page"/>
      </w:r>
    </w:p>
    <w:p w:rsidR="00F932AA" w:rsidRPr="00F932AA" w:rsidRDefault="00F932AA" w:rsidP="00F932AA">
      <w:pPr>
        <w:widowControl w:val="0"/>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b/>
          <w:sz w:val="20"/>
          <w:szCs w:val="20"/>
          <w:lang w:val="fr-CA"/>
        </w:rPr>
        <w:lastRenderedPageBreak/>
        <w:t>IL EST EN OUTRE ORDONNÉ QUE :</w:t>
      </w:r>
      <w:r w:rsidRPr="00F932AA">
        <w:rPr>
          <w:rFonts w:eastAsiaTheme="minorEastAsia" w:cs="Times New Roman"/>
          <w:sz w:val="20"/>
          <w:szCs w:val="20"/>
          <w:lang w:val="fr-CA"/>
        </w:rPr>
        <w:t xml:space="preserve"> </w:t>
      </w:r>
    </w:p>
    <w:p w:rsidR="00F932AA" w:rsidRPr="00F932AA" w:rsidRDefault="00F932AA" w:rsidP="00F932AA">
      <w:pPr>
        <w:widowControl w:val="0"/>
        <w:autoSpaceDE w:val="0"/>
        <w:autoSpaceDN w:val="0"/>
        <w:adjustRightInd w:val="0"/>
        <w:spacing w:line="233" w:lineRule="auto"/>
        <w:jc w:val="both"/>
        <w:rPr>
          <w:rFonts w:eastAsiaTheme="minorEastAsia" w:cs="Times New Roman"/>
          <w:sz w:val="20"/>
          <w:szCs w:val="20"/>
          <w:lang w:val="fr-CA"/>
        </w:rPr>
      </w:pPr>
    </w:p>
    <w:p w:rsidR="00F932AA" w:rsidRPr="00F932AA" w:rsidRDefault="00F932AA" w:rsidP="00F932AA">
      <w:pPr>
        <w:widowControl w:val="0"/>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sz w:val="20"/>
          <w:szCs w:val="20"/>
          <w:lang w:val="fr-CA"/>
        </w:rPr>
        <w:t>Les quatre (4) intervenantes ou groupes d’intervenantes sont autorisés à présenter chacune une plaidoirie orale d’au plus dix (10) minutes lors de l’audition de l’appel.</w:t>
      </w:r>
    </w:p>
    <w:p w:rsidR="00F932AA" w:rsidRPr="00F932AA" w:rsidRDefault="00F932AA" w:rsidP="00F932AA">
      <w:pPr>
        <w:spacing w:line="233" w:lineRule="auto"/>
        <w:jc w:val="both"/>
        <w:rPr>
          <w:rFonts w:eastAsia="Times New Roman" w:cs="Times New Roman"/>
          <w:sz w:val="20"/>
          <w:szCs w:val="20"/>
          <w:lang w:val="en-US" w:eastAsia="en-CA"/>
        </w:rPr>
      </w:pPr>
    </w:p>
    <w:p w:rsidR="00F932AA" w:rsidRPr="00F932AA" w:rsidRDefault="00C232E1" w:rsidP="00F932A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28.10.2015</w:t>
      </w:r>
    </w:p>
    <w:p w:rsidR="00F932AA" w:rsidRPr="00F932AA" w:rsidRDefault="00F932AA" w:rsidP="00F932AA">
      <w:pPr>
        <w:tabs>
          <w:tab w:val="left" w:pos="-1440"/>
          <w:tab w:val="left" w:pos="-720"/>
        </w:tabs>
        <w:jc w:val="both"/>
        <w:rPr>
          <w:rFonts w:eastAsia="Times New Roman" w:cs="Times New Roman"/>
          <w:sz w:val="20"/>
          <w:szCs w:val="20"/>
          <w:lang w:val="fr-CA" w:eastAsia="en-CA"/>
        </w:rPr>
      </w:pPr>
    </w:p>
    <w:p w:rsidR="00F932AA" w:rsidRPr="00F932AA" w:rsidRDefault="00F932AA" w:rsidP="00F932AA">
      <w:pPr>
        <w:tabs>
          <w:tab w:val="left" w:pos="-1440"/>
          <w:tab w:val="left" w:pos="-720"/>
        </w:tabs>
        <w:jc w:val="both"/>
        <w:rPr>
          <w:rFonts w:eastAsia="Times New Roman" w:cs="Times New Roman"/>
          <w:sz w:val="20"/>
          <w:szCs w:val="20"/>
          <w:lang w:eastAsia="en-CA"/>
        </w:rPr>
      </w:pPr>
      <w:r w:rsidRPr="00F932AA">
        <w:rPr>
          <w:rFonts w:eastAsia="Times New Roman" w:cs="Times New Roman"/>
          <w:sz w:val="20"/>
          <w:szCs w:val="20"/>
          <w:lang w:val="fr-CA" w:eastAsia="en-CA"/>
        </w:rPr>
        <w:t xml:space="preserve">Before / Devant :   </w:t>
      </w:r>
      <w:r w:rsidRPr="00F932AA">
        <w:rPr>
          <w:rFonts w:eastAsia="Times New Roman" w:cs="Times New Roman"/>
          <w:sz w:val="20"/>
          <w:szCs w:val="20"/>
          <w:lang w:eastAsia="en-CA"/>
        </w:rPr>
        <w:t>THE CHIEF JUSTICE / LA JUGE EN CHEF</w:t>
      </w:r>
    </w:p>
    <w:p w:rsidR="00F932AA" w:rsidRPr="00F932AA" w:rsidRDefault="00F932AA" w:rsidP="00F932AA">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F932AA" w:rsidRPr="00F932AA" w:rsidTr="00F37688">
        <w:trPr>
          <w:trHeight w:val="151"/>
        </w:trPr>
        <w:tc>
          <w:tcPr>
            <w:tcW w:w="4245" w:type="dxa"/>
          </w:tcPr>
          <w:p w:rsidR="00F932AA" w:rsidRPr="00F932AA" w:rsidRDefault="00F932AA" w:rsidP="00F932AA">
            <w:pPr>
              <w:rPr>
                <w:lang w:val="en-US"/>
              </w:rPr>
            </w:pPr>
            <w:r w:rsidRPr="00F932AA">
              <w:rPr>
                <w:b/>
                <w:bCs/>
                <w:lang w:val="en-US"/>
              </w:rPr>
              <w:t>Order</w:t>
            </w:r>
          </w:p>
          <w:p w:rsidR="00F932AA" w:rsidRPr="00F932AA" w:rsidRDefault="00F932AA" w:rsidP="00F932AA">
            <w:pPr>
              <w:tabs>
                <w:tab w:val="left" w:pos="-1440"/>
                <w:tab w:val="left" w:pos="-720"/>
              </w:tabs>
              <w:jc w:val="both"/>
              <w:rPr>
                <w:lang w:val="fr-CA"/>
              </w:rPr>
            </w:pPr>
            <w:r w:rsidRPr="00F932AA">
              <w:rPr>
                <w:lang w:val="en-US"/>
              </w:rPr>
              <w:fldChar w:fldCharType="begin"/>
            </w:r>
            <w:r w:rsidRPr="00F932AA">
              <w:rPr>
                <w:lang w:val="fr-CA"/>
              </w:rPr>
              <w:instrText xml:space="preserve"> SEQ CHAPTER \h \r 1</w:instrText>
            </w:r>
            <w:r w:rsidRPr="00F932AA">
              <w:rPr>
                <w:lang w:val="en-US"/>
              </w:rPr>
              <w:fldChar w:fldCharType="end"/>
            </w:r>
          </w:p>
        </w:tc>
        <w:tc>
          <w:tcPr>
            <w:tcW w:w="1141" w:type="dxa"/>
          </w:tcPr>
          <w:p w:rsidR="00F932AA" w:rsidRPr="00F932AA" w:rsidRDefault="00F932AA" w:rsidP="00F932AA">
            <w:pPr>
              <w:jc w:val="both"/>
              <w:rPr>
                <w:lang w:val="fr-CA"/>
              </w:rPr>
            </w:pPr>
          </w:p>
          <w:p w:rsidR="00F932AA" w:rsidRPr="00F932AA" w:rsidRDefault="00F932AA" w:rsidP="00F932AA">
            <w:pPr>
              <w:jc w:val="both"/>
              <w:rPr>
                <w:lang w:val="fr-CA"/>
              </w:rPr>
            </w:pPr>
          </w:p>
        </w:tc>
        <w:tc>
          <w:tcPr>
            <w:tcW w:w="4233" w:type="dxa"/>
          </w:tcPr>
          <w:p w:rsidR="00F932AA" w:rsidRPr="00F932AA" w:rsidRDefault="00F932AA" w:rsidP="00F932AA">
            <w:pPr>
              <w:rPr>
                <w:b/>
              </w:rPr>
            </w:pPr>
            <w:r w:rsidRPr="00F932AA">
              <w:rPr>
                <w:b/>
              </w:rPr>
              <w:t>Ordonnance</w:t>
            </w:r>
          </w:p>
        </w:tc>
      </w:tr>
      <w:tr w:rsidR="00F932AA" w:rsidRPr="00F932AA" w:rsidTr="00F37688">
        <w:trPr>
          <w:trHeight w:val="150"/>
        </w:trPr>
        <w:tc>
          <w:tcPr>
            <w:tcW w:w="4245" w:type="dxa"/>
          </w:tcPr>
          <w:p w:rsidR="00F932AA" w:rsidRPr="00F932AA" w:rsidRDefault="00F932AA" w:rsidP="00F932AA">
            <w:r w:rsidRPr="00F932AA">
              <w:t>Her Majesty the Queen</w:t>
            </w:r>
          </w:p>
          <w:p w:rsidR="00F932AA" w:rsidRPr="00F932AA" w:rsidRDefault="00F932AA" w:rsidP="00F932AA"/>
          <w:p w:rsidR="00F932AA" w:rsidRPr="00F932AA" w:rsidRDefault="00F932AA" w:rsidP="00F932AA">
            <w:r w:rsidRPr="00F932AA">
              <w:tab/>
              <w:t>v. (36435)</w:t>
            </w:r>
          </w:p>
          <w:p w:rsidR="00F932AA" w:rsidRPr="00F932AA" w:rsidRDefault="00F932AA" w:rsidP="00F932AA"/>
          <w:p w:rsidR="00F932AA" w:rsidRPr="00F932AA" w:rsidRDefault="00F932AA" w:rsidP="00F932AA">
            <w:pPr>
              <w:rPr>
                <w:lang w:val="fr-CA"/>
              </w:rPr>
            </w:pPr>
            <w:r w:rsidRPr="00F932AA">
              <w:t xml:space="preserve">Oswald Oliver </w:t>
            </w:r>
            <w:proofErr w:type="spellStart"/>
            <w:r w:rsidRPr="00F932AA">
              <w:t>Villaroman</w:t>
            </w:r>
            <w:proofErr w:type="spellEnd"/>
            <w:r w:rsidRPr="00F932AA">
              <w:t xml:space="preserve"> (Crim.) (Alta.)</w:t>
            </w:r>
          </w:p>
        </w:tc>
        <w:tc>
          <w:tcPr>
            <w:tcW w:w="1141" w:type="dxa"/>
          </w:tcPr>
          <w:p w:rsidR="00F932AA" w:rsidRPr="00F932AA" w:rsidRDefault="00F932AA" w:rsidP="00F932AA">
            <w:pPr>
              <w:jc w:val="both"/>
              <w:rPr>
                <w:lang w:val="fr-CA"/>
              </w:rPr>
            </w:pPr>
          </w:p>
        </w:tc>
        <w:tc>
          <w:tcPr>
            <w:tcW w:w="4233" w:type="dxa"/>
          </w:tcPr>
          <w:p w:rsidR="00F932AA" w:rsidRPr="00F932AA" w:rsidRDefault="00F932AA" w:rsidP="00F932AA">
            <w:pPr>
              <w:jc w:val="both"/>
              <w:rPr>
                <w:lang w:val="fr-CA"/>
              </w:rPr>
            </w:pPr>
          </w:p>
        </w:tc>
      </w:tr>
    </w:tbl>
    <w:p w:rsidR="00F932AA" w:rsidRPr="00F932AA" w:rsidRDefault="00F932AA" w:rsidP="00F932AA">
      <w:pPr>
        <w:tabs>
          <w:tab w:val="left" w:pos="-1440"/>
          <w:tab w:val="left" w:pos="-720"/>
        </w:tabs>
        <w:jc w:val="both"/>
        <w:rPr>
          <w:rFonts w:eastAsia="Times New Roman" w:cs="Times New Roman"/>
          <w:sz w:val="20"/>
          <w:szCs w:val="20"/>
          <w:lang w:eastAsia="en-CA"/>
        </w:rPr>
      </w:pP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rPr>
      </w:pPr>
      <w:r w:rsidRPr="00F932AA">
        <w:rPr>
          <w:rFonts w:eastAsia="Times New Roman" w:cs="Times New Roman"/>
          <w:b/>
          <w:sz w:val="20"/>
          <w:szCs w:val="20"/>
          <w:lang w:val="en-US"/>
        </w:rPr>
        <w:t>IT IS HEREBY ORDERED THAT:</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imes New Roman" w:cs="Times New Roman"/>
          <w:sz w:val="20"/>
          <w:szCs w:val="20"/>
          <w:lang w:val="en-US"/>
        </w:rPr>
      </w:pPr>
    </w:p>
    <w:p w:rsidR="00F932AA" w:rsidRPr="00F932AA" w:rsidRDefault="00F932AA" w:rsidP="00F932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F932AA">
        <w:rPr>
          <w:rFonts w:eastAsia="Times New Roman" w:cs="Times New Roman"/>
          <w:sz w:val="20"/>
          <w:szCs w:val="20"/>
          <w:lang w:val="en-US"/>
        </w:rPr>
        <w:t>The appellant’s record, factum and book of authorities shall be served and filed on or before November 24, 2015.</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imes New Roman" w:cs="Times New Roman"/>
          <w:sz w:val="20"/>
          <w:szCs w:val="20"/>
          <w:lang w:val="en-US"/>
        </w:rPr>
      </w:pPr>
    </w:p>
    <w:p w:rsidR="00F932AA" w:rsidRPr="00F932AA" w:rsidRDefault="00F932AA" w:rsidP="00F932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F932AA">
        <w:rPr>
          <w:rFonts w:eastAsia="Times New Roman" w:cs="Times New Roman"/>
          <w:sz w:val="20"/>
          <w:szCs w:val="20"/>
          <w:lang w:val="en-US"/>
        </w:rPr>
        <w:t xml:space="preserve">Any person wishing to intervene in this appeal under Rule 55 of the </w:t>
      </w:r>
      <w:r w:rsidRPr="00F932AA">
        <w:rPr>
          <w:rFonts w:eastAsia="Times New Roman" w:cs="Times New Roman"/>
          <w:i/>
          <w:sz w:val="20"/>
          <w:szCs w:val="20"/>
          <w:lang w:val="en-US"/>
        </w:rPr>
        <w:t>Rules of the Supreme Court of Canada</w:t>
      </w:r>
      <w:r w:rsidRPr="00F932AA">
        <w:rPr>
          <w:rFonts w:eastAsia="Times New Roman" w:cs="Times New Roman"/>
          <w:sz w:val="20"/>
          <w:szCs w:val="20"/>
          <w:lang w:val="en-US"/>
        </w:rPr>
        <w:t xml:space="preserve"> shall serve and file a motion for leave to intervene on or before December 22, 2015. </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sz w:val="20"/>
          <w:szCs w:val="20"/>
          <w:lang w:val="en-US"/>
        </w:rPr>
      </w:pPr>
    </w:p>
    <w:p w:rsidR="00F932AA" w:rsidRPr="00F932AA" w:rsidRDefault="00F932AA" w:rsidP="00F932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F932AA">
        <w:rPr>
          <w:rFonts w:eastAsia="Times New Roman" w:cs="Times New Roman"/>
          <w:sz w:val="20"/>
          <w:szCs w:val="20"/>
          <w:lang w:val="en-US"/>
        </w:rPr>
        <w:t>The appellant and respondent shall serve and file their responses, if any, to the motions for leave to intervene on or before January 5, 2016.</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sz w:val="20"/>
          <w:szCs w:val="20"/>
          <w:lang w:val="en-US"/>
        </w:rPr>
      </w:pPr>
    </w:p>
    <w:p w:rsidR="00F932AA" w:rsidRPr="00F932AA" w:rsidRDefault="00F932AA" w:rsidP="00F932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F932AA">
        <w:rPr>
          <w:rFonts w:eastAsia="Times New Roman" w:cs="Times New Roman"/>
          <w:sz w:val="20"/>
          <w:szCs w:val="20"/>
          <w:lang w:val="en-US"/>
        </w:rPr>
        <w:t>Replies to any responses to the motions for leave to intervene shall be served and filed on or before January 7, 2016.</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imes New Roman" w:cs="Times New Roman"/>
          <w:sz w:val="20"/>
          <w:szCs w:val="20"/>
          <w:lang w:val="en-US"/>
        </w:rPr>
      </w:pPr>
    </w:p>
    <w:p w:rsidR="00F932AA" w:rsidRPr="00F932AA" w:rsidRDefault="00F932AA" w:rsidP="00F932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sz w:val="20"/>
          <w:szCs w:val="20"/>
          <w:lang w:val="en-US"/>
        </w:rPr>
      </w:pPr>
      <w:r w:rsidRPr="00F932AA">
        <w:rPr>
          <w:rFonts w:eastAsia="Times New Roman" w:cs="Times New Roman"/>
          <w:sz w:val="20"/>
          <w:szCs w:val="20"/>
          <w:lang w:val="en-US"/>
        </w:rPr>
        <w:t>The respondent’s record, factum and book of authorities shall be served and filed on or before February 8, 2016.</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imes New Roman" w:cs="Times New Roman"/>
          <w:sz w:val="20"/>
          <w:szCs w:val="20"/>
          <w:lang w:val="en-US"/>
        </w:rPr>
      </w:pPr>
    </w:p>
    <w:p w:rsidR="00F932AA" w:rsidRPr="00F932AA" w:rsidRDefault="00F932AA" w:rsidP="00F932AA">
      <w:pPr>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imes New Roman" w:cs="Times New Roman"/>
          <w:bCs/>
          <w:sz w:val="20"/>
          <w:szCs w:val="20"/>
          <w:lang w:val="en-US"/>
        </w:rPr>
      </w:pPr>
      <w:r w:rsidRPr="00F932AA">
        <w:rPr>
          <w:rFonts w:eastAsia="Times New Roman" w:cs="Times New Roman"/>
          <w:bCs/>
          <w:sz w:val="20"/>
          <w:szCs w:val="20"/>
          <w:lang w:val="en-US"/>
        </w:rPr>
        <w:t xml:space="preserve">Any interveners granted leave to intervene under Rule 59 of the </w:t>
      </w:r>
      <w:r w:rsidRPr="00F932AA">
        <w:rPr>
          <w:rFonts w:eastAsia="Times New Roman" w:cs="Times New Roman"/>
          <w:bCs/>
          <w:i/>
          <w:sz w:val="20"/>
          <w:szCs w:val="20"/>
          <w:lang w:val="en-US"/>
        </w:rPr>
        <w:t>Rules of the Supreme Court of Canada</w:t>
      </w:r>
      <w:r w:rsidRPr="00F932AA">
        <w:rPr>
          <w:rFonts w:eastAsia="Times New Roman" w:cs="Times New Roman"/>
          <w:bCs/>
          <w:sz w:val="20"/>
          <w:szCs w:val="20"/>
          <w:lang w:val="en-US"/>
        </w:rPr>
        <w:t xml:space="preserve"> shall serve and file their factum and book of authorities on or before February 11, 2016.</w:t>
      </w:r>
    </w:p>
    <w:p w:rsidR="00F932AA" w:rsidRPr="00F932AA" w:rsidRDefault="00F932AA" w:rsidP="00F932AA">
      <w:pPr>
        <w:spacing w:line="233" w:lineRule="auto"/>
        <w:jc w:val="both"/>
        <w:rPr>
          <w:rFonts w:eastAsia="Times New Roman" w:cs="Times New Roman"/>
          <w:sz w:val="20"/>
          <w:szCs w:val="20"/>
          <w:lang w:val="en-US" w:eastAsia="en-CA"/>
        </w:rPr>
      </w:pPr>
    </w:p>
    <w:p w:rsidR="00F932AA" w:rsidRPr="00F932AA" w:rsidRDefault="00F932AA" w:rsidP="00F932AA">
      <w:pPr>
        <w:spacing w:line="233" w:lineRule="auto"/>
        <w:jc w:val="both"/>
        <w:rPr>
          <w:rFonts w:eastAsia="Times New Roman" w:cs="Times New Roman"/>
          <w:sz w:val="20"/>
          <w:szCs w:val="20"/>
          <w:lang w:val="en-US" w:eastAsia="en-CA"/>
        </w:rPr>
      </w:pPr>
    </w:p>
    <w:p w:rsidR="00F932AA" w:rsidRPr="00F932AA" w:rsidRDefault="00F932AA" w:rsidP="00F932AA">
      <w:pPr>
        <w:spacing w:line="233" w:lineRule="auto"/>
        <w:jc w:val="both"/>
        <w:rPr>
          <w:rFonts w:eastAsia="Times New Roman" w:cs="Times New Roman"/>
          <w:sz w:val="20"/>
          <w:szCs w:val="20"/>
          <w:lang w:val="en-US" w:eastAsia="en-CA"/>
        </w:rPr>
      </w:pPr>
    </w:p>
    <w:p w:rsidR="00F932AA" w:rsidRPr="00F932AA" w:rsidRDefault="00F932AA" w:rsidP="00F932AA">
      <w:pPr>
        <w:tabs>
          <w:tab w:val="right" w:pos="9360"/>
        </w:tabs>
        <w:autoSpaceDE w:val="0"/>
        <w:autoSpaceDN w:val="0"/>
        <w:adjustRightInd w:val="0"/>
        <w:rPr>
          <w:rFonts w:eastAsiaTheme="minorEastAsia" w:cs="Times New Roman"/>
          <w:b/>
          <w:sz w:val="20"/>
          <w:szCs w:val="20"/>
          <w:lang w:val="fr-CA"/>
        </w:rPr>
      </w:pPr>
      <w:r w:rsidRPr="00F932AA">
        <w:rPr>
          <w:rFonts w:eastAsiaTheme="minorEastAsia" w:cs="Times New Roman"/>
          <w:b/>
          <w:sz w:val="20"/>
          <w:szCs w:val="20"/>
          <w:lang w:val="fr-CA"/>
        </w:rPr>
        <w:t xml:space="preserve">IL EST PAR LA PRÉSENTE ORDONNÉ QUE : </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eastAsiaTheme="minorEastAsia" w:cs="Times New Roman"/>
          <w:sz w:val="20"/>
          <w:szCs w:val="20"/>
          <w:lang w:val="en-US"/>
        </w:rPr>
      </w:pPr>
    </w:p>
    <w:p w:rsidR="00F932AA" w:rsidRPr="00F932AA" w:rsidRDefault="00F932AA" w:rsidP="00F932AA">
      <w:pPr>
        <w:widowControl w:val="0"/>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F932AA">
        <w:rPr>
          <w:rFonts w:eastAsiaTheme="minorEastAsia" w:cs="Times New Roman"/>
          <w:sz w:val="20"/>
          <w:szCs w:val="20"/>
          <w:lang w:val="fr-CA"/>
        </w:rPr>
        <w:t>Le dossier, le mémoire et le recueil de sources de l’appelante soient signifiés et déposés au plus tard le 24 novembre 2015.</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eastAsiaTheme="minorEastAsia" w:cs="Times New Roman"/>
          <w:sz w:val="20"/>
          <w:szCs w:val="20"/>
          <w:lang w:val="fr-CA"/>
        </w:rPr>
      </w:pPr>
    </w:p>
    <w:p w:rsidR="00F932AA" w:rsidRPr="00F932AA" w:rsidRDefault="00F932AA" w:rsidP="00F932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F932AA">
        <w:rPr>
          <w:rFonts w:eastAsiaTheme="minorEastAsia" w:cs="Times New Roman"/>
          <w:sz w:val="20"/>
          <w:szCs w:val="20"/>
          <w:lang w:val="fr-CA"/>
        </w:rPr>
        <w:t xml:space="preserve">Toute personne qui souhaite intervenir dans le présent appel en vertu de l’art. 55 des </w:t>
      </w:r>
      <w:r w:rsidRPr="00F932AA">
        <w:rPr>
          <w:rFonts w:eastAsiaTheme="minorEastAsia" w:cs="Times New Roman"/>
          <w:i/>
          <w:sz w:val="20"/>
          <w:szCs w:val="20"/>
          <w:lang w:val="fr-CA"/>
        </w:rPr>
        <w:t>Règles de la Cour suprême du Canada</w:t>
      </w:r>
      <w:r w:rsidRPr="00F932AA">
        <w:rPr>
          <w:rFonts w:eastAsiaTheme="minorEastAsia" w:cs="Times New Roman"/>
          <w:sz w:val="20"/>
          <w:szCs w:val="20"/>
          <w:lang w:val="fr-CA"/>
        </w:rPr>
        <w:t xml:space="preserve"> signifie et dépose une requête en autorisation d’intervenir au plus tard le 22 décembre 2015. </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F932AA" w:rsidRPr="00F932AA" w:rsidRDefault="00F932AA" w:rsidP="00F932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F932AA">
        <w:rPr>
          <w:rFonts w:eastAsiaTheme="minorEastAsia" w:cs="Times New Roman"/>
          <w:sz w:val="20"/>
          <w:szCs w:val="20"/>
          <w:lang w:val="fr-CA"/>
        </w:rPr>
        <w:t>L’appelante et l’intimé signifie et dépose leurs réponses, le cas échéant, aux requêtes en autorisation d’intervenir au plus tard le 5 janvier 2016.</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F932AA" w:rsidRPr="00F932AA" w:rsidRDefault="00F932AA" w:rsidP="00F932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en-US"/>
        </w:rPr>
      </w:pPr>
      <w:r w:rsidRPr="00F932AA">
        <w:rPr>
          <w:rFonts w:eastAsiaTheme="minorEastAsia" w:cs="Times New Roman"/>
          <w:sz w:val="20"/>
          <w:szCs w:val="20"/>
          <w:lang w:val="fr-CA"/>
        </w:rPr>
        <w:t xml:space="preserve">Les répliques aux réponses aux requêtes en autorisation d’intervenir soient signifiées et déposées au plus tard le 7 janvier 2016.  </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eastAsiaTheme="minorEastAsia" w:cs="Times New Roman"/>
          <w:sz w:val="20"/>
          <w:szCs w:val="20"/>
          <w:lang w:val="en-US"/>
        </w:rPr>
      </w:pPr>
    </w:p>
    <w:p w:rsidR="00F932AA" w:rsidRPr="00F932AA" w:rsidRDefault="00F932AA" w:rsidP="00F932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sz w:val="20"/>
          <w:szCs w:val="20"/>
          <w:lang w:val="fr-CA"/>
        </w:rPr>
      </w:pPr>
      <w:r w:rsidRPr="00F932AA">
        <w:rPr>
          <w:rFonts w:eastAsiaTheme="minorEastAsia" w:cs="Times New Roman"/>
          <w:sz w:val="20"/>
          <w:szCs w:val="20"/>
          <w:lang w:val="fr-CA"/>
        </w:rPr>
        <w:lastRenderedPageBreak/>
        <w:t>Le dossier, le mémoire et le recueil de sources de l’intimé soient signifiés et déposés au plus tard le 8 février 2016.</w:t>
      </w:r>
    </w:p>
    <w:p w:rsidR="00F932AA" w:rsidRPr="00F932AA" w:rsidRDefault="00F932AA" w:rsidP="00F93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rPr>
          <w:rFonts w:eastAsiaTheme="minorEastAsia" w:cs="Times New Roman"/>
          <w:sz w:val="20"/>
          <w:szCs w:val="20"/>
          <w:lang w:val="fr-CA"/>
        </w:rPr>
      </w:pPr>
    </w:p>
    <w:p w:rsidR="00F932AA" w:rsidRPr="00F932AA" w:rsidRDefault="00F932AA" w:rsidP="00F932AA">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eastAsiaTheme="minorEastAsia" w:cs="Times New Roman"/>
          <w:bCs/>
          <w:sz w:val="20"/>
          <w:szCs w:val="20"/>
          <w:lang w:val="fr-CA"/>
        </w:rPr>
      </w:pPr>
      <w:r w:rsidRPr="00F932AA">
        <w:rPr>
          <w:rFonts w:eastAsiaTheme="minorEastAsia" w:cs="Times New Roman"/>
          <w:bCs/>
          <w:sz w:val="20"/>
          <w:szCs w:val="20"/>
          <w:lang w:val="fr-CA"/>
        </w:rPr>
        <w:t xml:space="preserve">Tout intervenant autorisé à intervenir en application de l’art. 59 des </w:t>
      </w:r>
      <w:r w:rsidRPr="00F932AA">
        <w:rPr>
          <w:rFonts w:eastAsiaTheme="minorEastAsia" w:cs="Times New Roman"/>
          <w:bCs/>
          <w:i/>
          <w:sz w:val="20"/>
          <w:szCs w:val="20"/>
          <w:lang w:val="fr-CA"/>
        </w:rPr>
        <w:t>Règles de la Cour suprême du Canada</w:t>
      </w:r>
      <w:r w:rsidRPr="00F932AA">
        <w:rPr>
          <w:rFonts w:eastAsiaTheme="minorEastAsia" w:cs="Times New Roman"/>
          <w:bCs/>
          <w:sz w:val="20"/>
          <w:szCs w:val="20"/>
          <w:lang w:val="fr-CA"/>
        </w:rPr>
        <w:t xml:space="preserve"> signifie et dépose ses mémoire et recueil de sources au plus tard le 11 février 2016.</w:t>
      </w:r>
    </w:p>
    <w:p w:rsidR="00F932AA" w:rsidRPr="00F932AA" w:rsidRDefault="00F932AA" w:rsidP="00F932AA">
      <w:pPr>
        <w:spacing w:line="233" w:lineRule="auto"/>
        <w:jc w:val="both"/>
        <w:rPr>
          <w:rFonts w:eastAsia="Times New Roman" w:cs="Times New Roman"/>
          <w:sz w:val="20"/>
          <w:szCs w:val="20"/>
          <w:lang w:val="fr-CA" w:eastAsia="en-CA"/>
        </w:rPr>
      </w:pPr>
    </w:p>
    <w:p w:rsidR="00F932AA" w:rsidRPr="00F932AA" w:rsidRDefault="00C232E1" w:rsidP="00F932A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en-US" w:eastAsia="en-CA"/>
        </w:rPr>
      </w:pPr>
    </w:p>
    <w:p w:rsidR="00022B50" w:rsidRPr="00F932AA" w:rsidRDefault="00022B50" w:rsidP="00022B50">
      <w:pPr>
        <w:tabs>
          <w:tab w:val="left" w:pos="-1440"/>
          <w:tab w:val="left" w:pos="-720"/>
        </w:tabs>
        <w:jc w:val="both"/>
        <w:rPr>
          <w:rFonts w:eastAsia="Times New Roman" w:cs="Times New Roman"/>
          <w:sz w:val="20"/>
          <w:szCs w:val="20"/>
          <w:lang w:val="fr-CA" w:eastAsia="en-CA"/>
        </w:rPr>
      </w:pPr>
      <w:r w:rsidRPr="00F932AA">
        <w:rPr>
          <w:rFonts w:eastAsia="Times New Roman" w:cs="Times New Roman"/>
          <w:sz w:val="20"/>
          <w:szCs w:val="20"/>
          <w:lang w:val="fr-CA" w:eastAsia="en-CA"/>
        </w:rPr>
        <w:t>29.10.2015</w:t>
      </w:r>
    </w:p>
    <w:p w:rsidR="00022B50" w:rsidRPr="00F932AA" w:rsidRDefault="00022B50" w:rsidP="00022B50">
      <w:pPr>
        <w:tabs>
          <w:tab w:val="left" w:pos="-1440"/>
          <w:tab w:val="left" w:pos="-720"/>
        </w:tabs>
        <w:jc w:val="both"/>
        <w:rPr>
          <w:rFonts w:eastAsia="Times New Roman" w:cs="Times New Roman"/>
          <w:sz w:val="20"/>
          <w:szCs w:val="20"/>
          <w:lang w:val="fr-CA" w:eastAsia="en-CA"/>
        </w:rPr>
      </w:pPr>
    </w:p>
    <w:p w:rsidR="00022B50" w:rsidRPr="00F932AA" w:rsidRDefault="00022B50" w:rsidP="00022B50">
      <w:pPr>
        <w:tabs>
          <w:tab w:val="left" w:pos="-1440"/>
          <w:tab w:val="left" w:pos="-720"/>
        </w:tabs>
        <w:jc w:val="both"/>
        <w:rPr>
          <w:rFonts w:eastAsia="Times New Roman" w:cs="Times New Roman"/>
          <w:sz w:val="20"/>
          <w:szCs w:val="20"/>
          <w:lang w:eastAsia="en-CA"/>
        </w:rPr>
      </w:pPr>
      <w:r w:rsidRPr="00F932AA">
        <w:rPr>
          <w:rFonts w:eastAsia="Times New Roman" w:cs="Times New Roman"/>
          <w:sz w:val="20"/>
          <w:szCs w:val="20"/>
          <w:lang w:val="fr-CA" w:eastAsia="en-CA"/>
        </w:rPr>
        <w:t xml:space="preserve">Before / Devant :   </w:t>
      </w:r>
      <w:r w:rsidRPr="00F932AA">
        <w:rPr>
          <w:rFonts w:eastAsia="Times New Roman" w:cs="Times New Roman"/>
          <w:sz w:val="20"/>
          <w:szCs w:val="20"/>
          <w:lang w:eastAsia="en-CA"/>
        </w:rPr>
        <w:t>THE CHIEF JUSTICE / LA JUGE EN CHEF</w:t>
      </w:r>
    </w:p>
    <w:p w:rsidR="00022B50" w:rsidRPr="00F932AA" w:rsidRDefault="00022B50" w:rsidP="00022B50">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022B50" w:rsidRPr="00F932AA" w:rsidTr="00576D0E">
        <w:trPr>
          <w:trHeight w:val="151"/>
        </w:trPr>
        <w:tc>
          <w:tcPr>
            <w:tcW w:w="4245" w:type="dxa"/>
          </w:tcPr>
          <w:p w:rsidR="00022B50" w:rsidRPr="00F932AA" w:rsidRDefault="00022B50" w:rsidP="00576D0E">
            <w:pPr>
              <w:rPr>
                <w:lang w:val="en-US"/>
              </w:rPr>
            </w:pPr>
            <w:r w:rsidRPr="00F932AA">
              <w:rPr>
                <w:b/>
                <w:bCs/>
                <w:lang w:val="en-US"/>
              </w:rPr>
              <w:t>Motion for directions</w:t>
            </w:r>
          </w:p>
          <w:p w:rsidR="00022B50" w:rsidRPr="00F932AA" w:rsidRDefault="00022B50" w:rsidP="00576D0E">
            <w:pPr>
              <w:tabs>
                <w:tab w:val="left" w:pos="-1440"/>
                <w:tab w:val="left" w:pos="-720"/>
              </w:tabs>
              <w:jc w:val="both"/>
              <w:rPr>
                <w:lang w:val="fr-CA"/>
              </w:rPr>
            </w:pPr>
            <w:r w:rsidRPr="00F932AA">
              <w:rPr>
                <w:lang w:val="en-US"/>
              </w:rPr>
              <w:fldChar w:fldCharType="begin"/>
            </w:r>
            <w:r w:rsidRPr="00F932AA">
              <w:rPr>
                <w:lang w:val="fr-CA"/>
              </w:rPr>
              <w:instrText xml:space="preserve"> SEQ CHAPTER \h \r 1</w:instrText>
            </w:r>
            <w:r w:rsidRPr="00F932AA">
              <w:rPr>
                <w:lang w:val="en-US"/>
              </w:rPr>
              <w:fldChar w:fldCharType="end"/>
            </w:r>
          </w:p>
        </w:tc>
        <w:tc>
          <w:tcPr>
            <w:tcW w:w="1141" w:type="dxa"/>
          </w:tcPr>
          <w:p w:rsidR="00022B50" w:rsidRPr="00F932AA" w:rsidRDefault="00022B50" w:rsidP="00576D0E">
            <w:pPr>
              <w:jc w:val="both"/>
              <w:rPr>
                <w:lang w:val="fr-CA"/>
              </w:rPr>
            </w:pPr>
          </w:p>
          <w:p w:rsidR="00022B50" w:rsidRPr="00F932AA" w:rsidRDefault="00022B50" w:rsidP="00576D0E">
            <w:pPr>
              <w:jc w:val="both"/>
              <w:rPr>
                <w:lang w:val="fr-CA"/>
              </w:rPr>
            </w:pPr>
          </w:p>
        </w:tc>
        <w:tc>
          <w:tcPr>
            <w:tcW w:w="4233" w:type="dxa"/>
          </w:tcPr>
          <w:p w:rsidR="00022B50" w:rsidRPr="00F932AA" w:rsidRDefault="00022B50" w:rsidP="00576D0E">
            <w:pPr>
              <w:rPr>
                <w:b/>
              </w:rPr>
            </w:pPr>
            <w:r w:rsidRPr="00F932AA">
              <w:rPr>
                <w:b/>
                <w:bCs/>
                <w:lang w:val="fr-CA"/>
              </w:rPr>
              <w:t>Requête en vue d’obtenir des instructions</w:t>
            </w:r>
          </w:p>
        </w:tc>
      </w:tr>
      <w:tr w:rsidR="00022B50" w:rsidRPr="00F932AA" w:rsidTr="00576D0E">
        <w:trPr>
          <w:trHeight w:val="150"/>
        </w:trPr>
        <w:tc>
          <w:tcPr>
            <w:tcW w:w="4245" w:type="dxa"/>
          </w:tcPr>
          <w:p w:rsidR="00022B50" w:rsidRPr="00F932AA" w:rsidRDefault="00022B50" w:rsidP="00576D0E">
            <w:r w:rsidRPr="00F932AA">
              <w:t>Her Majesty the Queen</w:t>
            </w:r>
          </w:p>
          <w:p w:rsidR="00022B50" w:rsidRPr="00F932AA" w:rsidRDefault="00022B50" w:rsidP="00576D0E"/>
          <w:p w:rsidR="00022B50" w:rsidRPr="00F932AA" w:rsidRDefault="00022B50" w:rsidP="00576D0E">
            <w:r w:rsidRPr="00F932AA">
              <w:tab/>
              <w:t>v. (36162)</w:t>
            </w:r>
          </w:p>
          <w:p w:rsidR="00022B50" w:rsidRPr="00F932AA" w:rsidRDefault="00022B50" w:rsidP="00576D0E"/>
          <w:p w:rsidR="00022B50" w:rsidRPr="00F932AA" w:rsidRDefault="00022B50" w:rsidP="00576D0E">
            <w:pPr>
              <w:rPr>
                <w:lang w:val="fr-CA"/>
              </w:rPr>
            </w:pPr>
            <w:proofErr w:type="spellStart"/>
            <w:r w:rsidRPr="00F932AA">
              <w:t>Hamidreza</w:t>
            </w:r>
            <w:proofErr w:type="spellEnd"/>
            <w:r w:rsidRPr="00F932AA">
              <w:t xml:space="preserve"> </w:t>
            </w:r>
            <w:proofErr w:type="spellStart"/>
            <w:r w:rsidRPr="00F932AA">
              <w:t>Safarzadeh-Markhali</w:t>
            </w:r>
            <w:proofErr w:type="spellEnd"/>
            <w:r w:rsidRPr="00F932AA">
              <w:t xml:space="preserve"> (Crim.) (Ont.)</w:t>
            </w:r>
          </w:p>
        </w:tc>
        <w:tc>
          <w:tcPr>
            <w:tcW w:w="1141" w:type="dxa"/>
          </w:tcPr>
          <w:p w:rsidR="00022B50" w:rsidRPr="00F932AA" w:rsidRDefault="00022B50" w:rsidP="00576D0E">
            <w:pPr>
              <w:jc w:val="both"/>
              <w:rPr>
                <w:lang w:val="fr-CA"/>
              </w:rPr>
            </w:pPr>
          </w:p>
        </w:tc>
        <w:tc>
          <w:tcPr>
            <w:tcW w:w="4233" w:type="dxa"/>
          </w:tcPr>
          <w:p w:rsidR="00022B50" w:rsidRPr="00F932AA" w:rsidRDefault="00022B50" w:rsidP="00576D0E">
            <w:pPr>
              <w:jc w:val="both"/>
              <w:rPr>
                <w:lang w:val="fr-CA"/>
              </w:rPr>
            </w:pPr>
          </w:p>
        </w:tc>
      </w:tr>
    </w:tbl>
    <w:p w:rsidR="00022B50" w:rsidRPr="00F932AA" w:rsidRDefault="00022B50" w:rsidP="00022B50">
      <w:pPr>
        <w:tabs>
          <w:tab w:val="left" w:pos="-1440"/>
          <w:tab w:val="left" w:pos="-720"/>
        </w:tabs>
        <w:jc w:val="both"/>
        <w:rPr>
          <w:rFonts w:eastAsia="Times New Roman" w:cs="Times New Roman"/>
          <w:sz w:val="20"/>
          <w:szCs w:val="20"/>
          <w:lang w:eastAsia="en-CA"/>
        </w:rPr>
      </w:pPr>
    </w:p>
    <w:p w:rsidR="00022B50" w:rsidRPr="00F932AA" w:rsidRDefault="00022B50" w:rsidP="00022B50">
      <w:pPr>
        <w:tabs>
          <w:tab w:val="left" w:pos="-1440"/>
          <w:tab w:val="left" w:pos="-720"/>
        </w:tabs>
        <w:jc w:val="both"/>
        <w:rPr>
          <w:rFonts w:eastAsia="Times New Roman" w:cs="Times New Roman"/>
          <w:sz w:val="20"/>
          <w:szCs w:val="20"/>
          <w:lang w:eastAsia="en-CA"/>
        </w:rPr>
      </w:pPr>
      <w:r w:rsidRPr="00F932AA">
        <w:rPr>
          <w:rFonts w:eastAsia="Times New Roman" w:cs="Times New Roman"/>
          <w:b/>
          <w:sz w:val="20"/>
          <w:szCs w:val="20"/>
          <w:lang w:eastAsia="en-CA"/>
        </w:rPr>
        <w:t>ALLOWED IN PART / ACCUEILLI EN PARTIE</w:t>
      </w:r>
    </w:p>
    <w:p w:rsidR="00022B50" w:rsidRPr="00F932AA" w:rsidRDefault="00022B50" w:rsidP="00022B50">
      <w:pPr>
        <w:tabs>
          <w:tab w:val="left" w:pos="-1440"/>
          <w:tab w:val="left" w:pos="-720"/>
        </w:tabs>
        <w:jc w:val="both"/>
        <w:rPr>
          <w:rFonts w:eastAsia="Times New Roman" w:cs="Times New Roman"/>
          <w:sz w:val="20"/>
          <w:szCs w:val="20"/>
          <w:lang w:eastAsia="en-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rPr>
      </w:pPr>
      <w:r w:rsidRPr="00F932AA">
        <w:rPr>
          <w:rFonts w:eastAsia="Times New Roman" w:cs="Times New Roman"/>
          <w:b/>
          <w:bCs/>
          <w:sz w:val="20"/>
          <w:szCs w:val="20"/>
          <w:lang w:val="en-US"/>
        </w:rPr>
        <w:t>UPON APPLICATION</w:t>
      </w:r>
      <w:r w:rsidRPr="00F932AA">
        <w:rPr>
          <w:rFonts w:eastAsia="Times New Roman" w:cs="Times New Roman"/>
          <w:sz w:val="20"/>
          <w:szCs w:val="20"/>
        </w:rPr>
        <w:t xml:space="preserve"> by the appellant for an order for directions regarding 1) whether the hearing of the appeal fixed for November 4, 2015 will be adjourned and 2) the delivery by the parties and the interveners of written submissions and, if necessary, oral submissions on the questions of mootness and whether it remains in the interests of justice for the Court to hear the appeal</w:t>
      </w:r>
      <w:r w:rsidRPr="00F932AA">
        <w:rPr>
          <w:rFonts w:eastAsia="Times New Roman" w:cs="Times New Roman"/>
          <w:sz w:val="20"/>
          <w:szCs w:val="20"/>
          <w:lang w:val="en-US"/>
        </w:rPr>
        <w:t>;</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bCs/>
          <w:sz w:val="20"/>
          <w:szCs w:val="20"/>
          <w:lang w:val="en-US"/>
        </w:rPr>
        <w:t>AND THE MATERIAL FILED</w:t>
      </w:r>
      <w:r w:rsidRPr="00F932AA">
        <w:rPr>
          <w:rFonts w:eastAsia="Times New Roman" w:cs="Times New Roman"/>
          <w:sz w:val="20"/>
          <w:szCs w:val="20"/>
          <w:lang w:val="en-US"/>
        </w:rPr>
        <w:t xml:space="preserve"> having been read;</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rFonts w:eastAsia="Times New Roman" w:cs="Times New Roman"/>
          <w:sz w:val="20"/>
          <w:szCs w:val="20"/>
          <w:lang w:val="en-US"/>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r w:rsidRPr="00F932AA">
        <w:rPr>
          <w:rFonts w:eastAsia="Times New Roman" w:cs="Times New Roman"/>
          <w:b/>
          <w:bCs/>
          <w:sz w:val="20"/>
          <w:szCs w:val="20"/>
          <w:lang w:val="en-US"/>
        </w:rPr>
        <w:t>IT IS HEREBY ORDERED THAT:</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022B50" w:rsidRPr="00F932AA" w:rsidRDefault="00022B50" w:rsidP="00022B5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imes New Roman" w:cs="Times New Roman"/>
          <w:sz w:val="20"/>
          <w:szCs w:val="20"/>
          <w:lang w:val="en-US"/>
        </w:rPr>
      </w:pPr>
      <w:r w:rsidRPr="00F932AA">
        <w:rPr>
          <w:rFonts w:eastAsia="Times New Roman" w:cs="Times New Roman"/>
          <w:sz w:val="20"/>
          <w:szCs w:val="20"/>
          <w:lang w:val="en-US"/>
        </w:rPr>
        <w:t>The application for an adjournment of the hearing is dismissed.</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imes New Roman" w:cs="Times New Roman"/>
          <w:sz w:val="20"/>
          <w:szCs w:val="20"/>
          <w:lang w:val="en-US"/>
        </w:rPr>
      </w:pPr>
    </w:p>
    <w:p w:rsidR="00022B50" w:rsidRPr="00F932AA" w:rsidRDefault="00022B50" w:rsidP="00022B50">
      <w:pPr>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contextualSpacing/>
        <w:jc w:val="both"/>
        <w:rPr>
          <w:rFonts w:eastAsia="Times New Roman" w:cs="Times New Roman"/>
          <w:sz w:val="20"/>
          <w:szCs w:val="20"/>
          <w:lang w:val="en-US"/>
        </w:rPr>
      </w:pPr>
      <w:r w:rsidRPr="00F932AA">
        <w:rPr>
          <w:rFonts w:eastAsia="Times New Roman" w:cs="Times New Roman"/>
          <w:sz w:val="20"/>
          <w:szCs w:val="20"/>
          <w:lang w:val="en-US"/>
        </w:rPr>
        <w:t xml:space="preserve">The appellant and respondent may address </w:t>
      </w:r>
      <w:r w:rsidRPr="00F932AA">
        <w:rPr>
          <w:rFonts w:eastAsia="Times New Roman" w:cs="Times New Roman"/>
          <w:sz w:val="20"/>
          <w:szCs w:val="20"/>
        </w:rPr>
        <w:t>the question of mootness orally in the time allotted to them for their submissions at the hearing of the appeal</w:t>
      </w:r>
      <w:r w:rsidRPr="00F932AA">
        <w:rPr>
          <w:rFonts w:eastAsia="Times New Roman" w:cs="Times New Roman"/>
          <w:sz w:val="20"/>
          <w:szCs w:val="20"/>
          <w:lang w:val="en-US"/>
        </w:rPr>
        <w:t>.</w:t>
      </w:r>
    </w:p>
    <w:p w:rsidR="00022B50" w:rsidRPr="00F932AA" w:rsidRDefault="00022B50" w:rsidP="00022B50">
      <w:pPr>
        <w:spacing w:line="233" w:lineRule="auto"/>
        <w:jc w:val="both"/>
        <w:rPr>
          <w:rFonts w:eastAsia="Times New Roman" w:cs="Times New Roman"/>
          <w:sz w:val="20"/>
          <w:szCs w:val="20"/>
          <w:lang w:val="en-US" w:eastAsia="en-CA"/>
        </w:rPr>
      </w:pPr>
    </w:p>
    <w:p w:rsidR="00022B50" w:rsidRPr="00F932AA" w:rsidRDefault="00022B50" w:rsidP="00022B50">
      <w:pPr>
        <w:spacing w:line="233" w:lineRule="auto"/>
        <w:jc w:val="both"/>
        <w:rPr>
          <w:rFonts w:eastAsia="Times New Roman" w:cs="Times New Roman"/>
          <w:sz w:val="20"/>
          <w:szCs w:val="20"/>
          <w:lang w:val="en-US" w:eastAsia="en-CA"/>
        </w:rPr>
      </w:pPr>
    </w:p>
    <w:p w:rsidR="00022B50" w:rsidRPr="00F932AA" w:rsidRDefault="00022B50" w:rsidP="00022B50">
      <w:pPr>
        <w:spacing w:line="233" w:lineRule="auto"/>
        <w:jc w:val="both"/>
        <w:rPr>
          <w:rFonts w:eastAsia="Times New Roman" w:cs="Times New Roman"/>
          <w:sz w:val="20"/>
          <w:szCs w:val="20"/>
          <w:lang w:val="en-US" w:eastAsia="en-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b/>
          <w:sz w:val="20"/>
          <w:szCs w:val="20"/>
          <w:lang w:val="fr-CA"/>
        </w:rPr>
        <w:t>À LA SUITE DE LA DEMANDE</w:t>
      </w:r>
      <w:r w:rsidRPr="00F932AA">
        <w:rPr>
          <w:rFonts w:eastAsiaTheme="minorEastAsia" w:cs="Times New Roman"/>
          <w:sz w:val="20"/>
          <w:szCs w:val="20"/>
          <w:lang w:val="fr-CA"/>
        </w:rPr>
        <w:t xml:space="preserve"> présentée par l’appelante visant l’obtention de directives 1) quant à savoir si l’audition de l’appel fixée au 4 novembre 2015 sera ajournée et 2) quant à la présentation par les parties et les intervenants d’observations écrites et, au besoin, d’observations orales sur la question du caractère théorique de la cause et sur celle de savoir s’il est toujours dans l’intérêt de la justice que la Cour entende l’appel;</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r w:rsidRPr="00F932AA">
        <w:rPr>
          <w:rFonts w:eastAsiaTheme="minorEastAsia" w:cs="Times New Roman"/>
          <w:b/>
          <w:sz w:val="20"/>
          <w:szCs w:val="20"/>
          <w:lang w:val="fr-CA"/>
        </w:rPr>
        <w:t>ET APRÈS EXAMEN</w:t>
      </w:r>
      <w:r w:rsidRPr="00F932AA">
        <w:rPr>
          <w:rFonts w:eastAsiaTheme="minorEastAsia" w:cs="Times New Roman"/>
          <w:sz w:val="20"/>
          <w:szCs w:val="20"/>
          <w:lang w:val="fr-CA"/>
        </w:rPr>
        <w:t xml:space="preserve"> des documents déposés;</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r w:rsidRPr="00F932AA">
        <w:rPr>
          <w:rFonts w:eastAsiaTheme="minorEastAsia" w:cs="Times New Roman"/>
          <w:b/>
          <w:sz w:val="20"/>
          <w:szCs w:val="20"/>
          <w:lang w:val="fr-CA"/>
        </w:rPr>
        <w:t>IL EST ORDONNÉ CE QUI SUIT :</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b/>
          <w:sz w:val="20"/>
          <w:szCs w:val="20"/>
          <w:lang w:val="fr-CA"/>
        </w:rPr>
      </w:pP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en-US"/>
        </w:rPr>
      </w:pPr>
    </w:p>
    <w:p w:rsidR="00022B50" w:rsidRPr="00F932AA" w:rsidRDefault="00022B50" w:rsidP="00022B5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F932AA">
        <w:rPr>
          <w:rFonts w:eastAsiaTheme="minorEastAsia" w:cs="Times New Roman"/>
          <w:sz w:val="20"/>
          <w:szCs w:val="20"/>
          <w:lang w:val="fr-CA"/>
        </w:rPr>
        <w:t xml:space="preserve">La requête en ajournement de l’audition est rejetée. </w:t>
      </w:r>
    </w:p>
    <w:p w:rsidR="00022B50" w:rsidRPr="00F932AA" w:rsidRDefault="00022B50" w:rsidP="00022B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cs="Times New Roman"/>
          <w:sz w:val="20"/>
          <w:szCs w:val="20"/>
          <w:lang w:val="fr-CA"/>
        </w:rPr>
      </w:pPr>
    </w:p>
    <w:p w:rsidR="00022B50" w:rsidRPr="00F932AA" w:rsidRDefault="00022B50" w:rsidP="00022B50">
      <w:pPr>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contextualSpacing/>
        <w:jc w:val="both"/>
        <w:rPr>
          <w:rFonts w:eastAsiaTheme="minorEastAsia" w:cs="Times New Roman"/>
          <w:sz w:val="20"/>
          <w:szCs w:val="20"/>
          <w:lang w:val="fr-CA"/>
        </w:rPr>
      </w:pPr>
      <w:r w:rsidRPr="00F932AA">
        <w:rPr>
          <w:rFonts w:eastAsiaTheme="minorEastAsia" w:cs="Times New Roman"/>
          <w:sz w:val="20"/>
          <w:szCs w:val="20"/>
          <w:lang w:val="fr-CA"/>
        </w:rPr>
        <w:t xml:space="preserve">L’appelante et l’intimé pourront traiter de la question du caractère théorique de la cause oralement durant le temps qui leur est alloué pour présenter leurs observations lors de l’audition de l’appel. </w:t>
      </w:r>
    </w:p>
    <w:p w:rsidR="00022B50" w:rsidRPr="00F932AA" w:rsidRDefault="00022B50" w:rsidP="00022B50">
      <w:pPr>
        <w:spacing w:line="233" w:lineRule="auto"/>
        <w:jc w:val="both"/>
        <w:rPr>
          <w:rFonts w:eastAsia="Times New Roman" w:cs="Times New Roman"/>
          <w:sz w:val="20"/>
          <w:szCs w:val="20"/>
          <w:lang w:val="fr-CA" w:eastAsia="en-CA"/>
        </w:rPr>
      </w:pPr>
    </w:p>
    <w:p w:rsidR="00022B50" w:rsidRPr="006E5D7C" w:rsidRDefault="00C232E1" w:rsidP="00022B50">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CA2DEA"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70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0951BD" w:rsidP="005F1ED8">
            <w:pPr>
              <w:rPr>
                <w:sz w:val="20"/>
                <w:szCs w:val="20"/>
              </w:rPr>
            </w:pPr>
            <w:r>
              <w:rPr>
                <w:sz w:val="20"/>
                <w:szCs w:val="20"/>
              </w:rPr>
              <w:t>30</w:t>
            </w:r>
            <w:r w:rsidR="0086340B" w:rsidRPr="003B3977">
              <w:rPr>
                <w:sz w:val="20"/>
                <w:szCs w:val="20"/>
              </w:rPr>
              <w:t>.1</w:t>
            </w:r>
            <w:r>
              <w:rPr>
                <w:sz w:val="20"/>
                <w:szCs w:val="20"/>
              </w:rPr>
              <w:t>0</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0951BD" w:rsidP="005F1ED8">
            <w:pPr>
              <w:rPr>
                <w:b/>
                <w:sz w:val="20"/>
                <w:szCs w:val="20"/>
              </w:rPr>
            </w:pPr>
            <w:r>
              <w:rPr>
                <w:b/>
                <w:sz w:val="20"/>
                <w:szCs w:val="20"/>
              </w:rPr>
              <w:t xml:space="preserve">John Thomas </w:t>
            </w:r>
            <w:proofErr w:type="spellStart"/>
            <w:r>
              <w:rPr>
                <w:b/>
                <w:sz w:val="20"/>
                <w:szCs w:val="20"/>
              </w:rPr>
              <w:t>Shaoulle</w:t>
            </w:r>
            <w:proofErr w:type="spellEnd"/>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0951BD">
              <w:rPr>
                <w:b/>
                <w:sz w:val="20"/>
                <w:szCs w:val="20"/>
              </w:rPr>
              <w:t>6704</w:t>
            </w:r>
            <w:r w:rsidRPr="003B3977">
              <w:rPr>
                <w:b/>
                <w:sz w:val="20"/>
                <w:szCs w:val="20"/>
              </w:rPr>
              <w:t>)</w:t>
            </w:r>
          </w:p>
          <w:p w:rsidR="0086340B" w:rsidRPr="003B3977" w:rsidRDefault="0086340B" w:rsidP="005F1ED8">
            <w:pPr>
              <w:rPr>
                <w:b/>
                <w:sz w:val="20"/>
                <w:szCs w:val="20"/>
              </w:rPr>
            </w:pPr>
          </w:p>
          <w:p w:rsidR="0086340B" w:rsidRPr="003B3977" w:rsidRDefault="000951BD" w:rsidP="005F1ED8">
            <w:pPr>
              <w:rPr>
                <w:b/>
                <w:sz w:val="20"/>
                <w:szCs w:val="20"/>
              </w:rPr>
            </w:pPr>
            <w:r>
              <w:rPr>
                <w:b/>
                <w:sz w:val="20"/>
                <w:szCs w:val="20"/>
              </w:rPr>
              <w:t>Her Majesty the Queen</w:t>
            </w:r>
            <w:r w:rsidR="0086340B" w:rsidRPr="003B3977">
              <w:rPr>
                <w:b/>
                <w:sz w:val="20"/>
                <w:szCs w:val="20"/>
              </w:rPr>
              <w:t xml:space="preserve"> (</w:t>
            </w:r>
            <w:r>
              <w:rPr>
                <w:b/>
                <w:sz w:val="20"/>
                <w:szCs w:val="20"/>
              </w:rPr>
              <w:t>Sask</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0951BD">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C232E1" w:rsidP="005F1ED8">
            <w:pPr>
              <w:rPr>
                <w:sz w:val="20"/>
                <w:szCs w:val="20"/>
                <w:lang w:val="fr-CA"/>
              </w:rPr>
            </w:pPr>
            <w:r>
              <w:rPr>
                <w:sz w:val="20"/>
                <w:szCs w:val="20"/>
                <w:lang w:val="fr-CA"/>
              </w:rPr>
              <w:pict>
                <v:rect id="_x0000_i1091"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0951BD" w:rsidRDefault="000951BD" w:rsidP="00F40249">
      <w:pPr>
        <w:rPr>
          <w:sz w:val="20"/>
          <w:szCs w:val="20"/>
        </w:rPr>
      </w:pPr>
    </w:p>
    <w:p w:rsidR="000951BD" w:rsidRDefault="000951BD"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90"/>
          <w:headerReference w:type="default" r:id="rId91"/>
          <w:footerReference w:type="even" r:id="rId92"/>
          <w:footerReference w:type="default" r:id="rId93"/>
          <w:headerReference w:type="first" r:id="rId94"/>
          <w:footerReference w:type="first" r:id="rId9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270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1867CA" w:rsidP="007C47C2">
      <w:pPr>
        <w:widowControl w:val="0"/>
        <w:rPr>
          <w:sz w:val="20"/>
          <w:szCs w:val="20"/>
          <w:lang w:val="fr-CA"/>
        </w:rPr>
      </w:pPr>
      <w:r>
        <w:rPr>
          <w:sz w:val="20"/>
          <w:szCs w:val="20"/>
          <w:lang w:val="fr-CA"/>
        </w:rPr>
        <w:t>03</w:t>
      </w:r>
      <w:r w:rsidR="007C47C2" w:rsidRPr="00C97437">
        <w:rPr>
          <w:sz w:val="20"/>
          <w:szCs w:val="20"/>
          <w:lang w:val="fr-CA"/>
        </w:rPr>
        <w:t>.</w:t>
      </w:r>
      <w:r>
        <w:rPr>
          <w:sz w:val="20"/>
          <w:szCs w:val="20"/>
          <w:lang w:val="fr-CA"/>
        </w:rPr>
        <w:t>11</w:t>
      </w:r>
      <w:r w:rsidR="007C47C2" w:rsidRPr="00C97437">
        <w:rPr>
          <w:sz w:val="20"/>
          <w:szCs w:val="20"/>
          <w:lang w:val="fr-CA"/>
        </w:rPr>
        <w:t>.201</w:t>
      </w:r>
      <w:r>
        <w:rPr>
          <w:sz w:val="20"/>
          <w:szCs w:val="20"/>
          <w:lang w:val="fr-CA"/>
        </w:rPr>
        <w:t>5</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Pr="00E75133">
        <w:rPr>
          <w:sz w:val="20"/>
          <w:szCs w:val="20"/>
          <w:u w:val="single"/>
          <w:lang w:val="fr-CA"/>
        </w:rPr>
        <w:t xml:space="preserve">La juge en chef McLachlin et les juges </w:t>
      </w:r>
      <w:r w:rsidR="001867CA">
        <w:rPr>
          <w:sz w:val="20"/>
          <w:szCs w:val="20"/>
          <w:u w:val="single"/>
          <w:lang w:val="fr-CA"/>
        </w:rPr>
        <w:t>Abella</w:t>
      </w:r>
      <w:r w:rsidRPr="00E75133">
        <w:rPr>
          <w:sz w:val="20"/>
          <w:szCs w:val="20"/>
          <w:u w:val="single"/>
          <w:lang w:val="fr-CA"/>
        </w:rPr>
        <w:t xml:space="preserve">, </w:t>
      </w:r>
      <w:r w:rsidR="001867CA">
        <w:rPr>
          <w:sz w:val="20"/>
          <w:szCs w:val="20"/>
          <w:u w:val="single"/>
          <w:lang w:val="fr-CA"/>
        </w:rPr>
        <w:t>Cromwell</w:t>
      </w:r>
      <w:r w:rsidRPr="00E75133">
        <w:rPr>
          <w:sz w:val="20"/>
          <w:szCs w:val="20"/>
          <w:u w:val="single"/>
          <w:lang w:val="fr-CA"/>
        </w:rPr>
        <w:t xml:space="preserve">, </w:t>
      </w:r>
      <w:r w:rsidR="001867CA">
        <w:rPr>
          <w:sz w:val="20"/>
          <w:szCs w:val="20"/>
          <w:u w:val="single"/>
          <w:lang w:val="fr-CA"/>
        </w:rPr>
        <w:t>Moldaver</w:t>
      </w:r>
      <w:r w:rsidRPr="00E75133">
        <w:rPr>
          <w:sz w:val="20"/>
          <w:szCs w:val="20"/>
          <w:u w:val="single"/>
          <w:lang w:val="fr-CA"/>
        </w:rPr>
        <w:t xml:space="preserve">, </w:t>
      </w:r>
      <w:r w:rsidR="001867CA">
        <w:rPr>
          <w:sz w:val="20"/>
          <w:szCs w:val="20"/>
          <w:u w:val="single"/>
          <w:lang w:val="fr-CA"/>
        </w:rPr>
        <w:t>Karakatsanis</w:t>
      </w:r>
      <w:r w:rsidRPr="00E75133">
        <w:rPr>
          <w:sz w:val="20"/>
          <w:szCs w:val="20"/>
          <w:u w:val="single"/>
          <w:lang w:val="fr-CA"/>
        </w:rPr>
        <w:t xml:space="preserve">, </w:t>
      </w:r>
      <w:r w:rsidR="001867CA">
        <w:rPr>
          <w:sz w:val="20"/>
          <w:szCs w:val="20"/>
          <w:u w:val="single"/>
          <w:lang w:val="fr-CA"/>
        </w:rPr>
        <w:t>Wagner</w:t>
      </w:r>
      <w:r w:rsidRPr="00E75133">
        <w:rPr>
          <w:sz w:val="20"/>
          <w:szCs w:val="20"/>
          <w:u w:val="single"/>
          <w:lang w:val="fr-CA"/>
        </w:rPr>
        <w:t xml:space="preserve"> et </w:t>
      </w:r>
      <w:r w:rsidR="001867CA">
        <w:rPr>
          <w:sz w:val="20"/>
          <w:szCs w:val="20"/>
          <w:u w:val="single"/>
          <w:lang w:val="fr-CA"/>
        </w:rPr>
        <w:t>Gascon</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9F22F4">
        <w:tc>
          <w:tcPr>
            <w:tcW w:w="4380" w:type="dxa"/>
            <w:tcMar>
              <w:left w:w="0" w:type="dxa"/>
              <w:right w:w="0" w:type="dxa"/>
            </w:tcMar>
          </w:tcPr>
          <w:p w:rsidR="007C47C2" w:rsidRDefault="00723D29" w:rsidP="009F22F4">
            <w:pPr>
              <w:widowControl w:val="0"/>
              <w:rPr>
                <w:b/>
                <w:sz w:val="20"/>
                <w:szCs w:val="20"/>
                <w:lang w:val="fr-CA"/>
              </w:rPr>
            </w:pPr>
            <w:r>
              <w:rPr>
                <w:b/>
                <w:sz w:val="20"/>
                <w:szCs w:val="20"/>
                <w:lang w:val="fr-CA"/>
              </w:rPr>
              <w:t>Procureur</w:t>
            </w:r>
            <w:r w:rsidR="007C47C2" w:rsidRPr="00E75133">
              <w:rPr>
                <w:b/>
                <w:sz w:val="20"/>
                <w:szCs w:val="20"/>
                <w:lang w:val="fr-CA"/>
              </w:rPr>
              <w:t xml:space="preserve"> </w:t>
            </w:r>
            <w:r>
              <w:rPr>
                <w:b/>
                <w:sz w:val="20"/>
                <w:szCs w:val="20"/>
                <w:lang w:val="fr-CA"/>
              </w:rPr>
              <w:t>général du Canada</w:t>
            </w:r>
            <w:r w:rsidR="007C47C2" w:rsidRPr="00E75133">
              <w:rPr>
                <w:b/>
                <w:sz w:val="20"/>
                <w:szCs w:val="20"/>
                <w:lang w:val="fr-CA"/>
              </w:rPr>
              <w:t xml:space="preserve"> </w:t>
            </w:r>
            <w:r>
              <w:rPr>
                <w:b/>
                <w:sz w:val="20"/>
                <w:szCs w:val="20"/>
                <w:lang w:val="fr-CA"/>
              </w:rPr>
              <w:t>et autre</w:t>
            </w:r>
          </w:p>
          <w:p w:rsidR="007C47C2" w:rsidRDefault="007C47C2" w:rsidP="009F22F4">
            <w:pPr>
              <w:widowControl w:val="0"/>
              <w:rPr>
                <w:b/>
                <w:sz w:val="20"/>
                <w:szCs w:val="20"/>
                <w:lang w:val="fr-CA"/>
              </w:rPr>
            </w:pPr>
          </w:p>
          <w:p w:rsidR="007C47C2" w:rsidRDefault="007C47C2" w:rsidP="009F22F4">
            <w:pPr>
              <w:widowControl w:val="0"/>
              <w:rPr>
                <w:b/>
                <w:sz w:val="20"/>
                <w:szCs w:val="20"/>
                <w:lang w:val="fr-CA"/>
              </w:rPr>
            </w:pPr>
            <w:r>
              <w:rPr>
                <w:b/>
                <w:sz w:val="20"/>
                <w:szCs w:val="20"/>
                <w:lang w:val="fr-CA"/>
              </w:rPr>
              <w:tab/>
            </w:r>
            <w:r w:rsidRPr="00E75133">
              <w:rPr>
                <w:b/>
                <w:sz w:val="20"/>
                <w:szCs w:val="20"/>
                <w:lang w:val="fr-CA"/>
              </w:rPr>
              <w:t xml:space="preserve">c. </w:t>
            </w:r>
            <w:r w:rsidRPr="00E75133">
              <w:rPr>
                <w:sz w:val="20"/>
                <w:szCs w:val="20"/>
                <w:lang w:val="fr-CA"/>
              </w:rPr>
              <w:t>(</w:t>
            </w:r>
            <w:hyperlink r:id="rId96" w:history="1">
              <w:r w:rsidRPr="00E75133">
                <w:rPr>
                  <w:rStyle w:val="Hyperlink"/>
                  <w:sz w:val="20"/>
                  <w:szCs w:val="20"/>
                  <w:lang w:val="fr-CA"/>
                </w:rPr>
                <w:t>35</w:t>
              </w:r>
              <w:r w:rsidR="00723D29">
                <w:rPr>
                  <w:rStyle w:val="Hyperlink"/>
                  <w:sz w:val="20"/>
                  <w:szCs w:val="20"/>
                  <w:lang w:val="fr-CA"/>
                </w:rPr>
                <w:t>892</w:t>
              </w:r>
            </w:hyperlink>
            <w:r w:rsidRPr="00E75133">
              <w:rPr>
                <w:sz w:val="20"/>
                <w:szCs w:val="20"/>
                <w:lang w:val="fr-CA"/>
              </w:rPr>
              <w:t>)</w:t>
            </w:r>
          </w:p>
          <w:p w:rsidR="007C47C2" w:rsidRDefault="007C47C2" w:rsidP="009F22F4">
            <w:pPr>
              <w:widowControl w:val="0"/>
              <w:rPr>
                <w:b/>
                <w:sz w:val="20"/>
                <w:szCs w:val="20"/>
                <w:lang w:val="fr-CA"/>
              </w:rPr>
            </w:pPr>
          </w:p>
          <w:p w:rsidR="00723D29" w:rsidRDefault="00723D29" w:rsidP="009F22F4">
            <w:pPr>
              <w:widowControl w:val="0"/>
              <w:rPr>
                <w:b/>
                <w:sz w:val="20"/>
                <w:szCs w:val="20"/>
                <w:lang w:val="fr-CA"/>
              </w:rPr>
            </w:pPr>
            <w:r>
              <w:rPr>
                <w:b/>
                <w:sz w:val="20"/>
                <w:szCs w:val="20"/>
                <w:lang w:val="fr-CA"/>
              </w:rPr>
              <w:t>Chambre des notaires du Québec et autre</w:t>
            </w:r>
          </w:p>
          <w:p w:rsidR="007C47C2" w:rsidRPr="00EA0658" w:rsidRDefault="007C47C2" w:rsidP="009F22F4">
            <w:pPr>
              <w:widowControl w:val="0"/>
              <w:rPr>
                <w:sz w:val="20"/>
                <w:szCs w:val="20"/>
                <w:lang w:val="fr-CA"/>
              </w:rPr>
            </w:pPr>
            <w:r w:rsidRPr="00E75133">
              <w:rPr>
                <w:b/>
                <w:sz w:val="20"/>
                <w:szCs w:val="20"/>
                <w:lang w:val="fr-CA"/>
              </w:rPr>
              <w:t>(</w:t>
            </w:r>
            <w:proofErr w:type="spellStart"/>
            <w:r w:rsidRPr="00E75133">
              <w:rPr>
                <w:b/>
                <w:sz w:val="20"/>
                <w:szCs w:val="20"/>
                <w:lang w:val="fr-CA"/>
              </w:rPr>
              <w:t>Qc</w:t>
            </w:r>
            <w:proofErr w:type="spellEnd"/>
            <w:r w:rsidRPr="00E75133">
              <w:rPr>
                <w:b/>
                <w:sz w:val="20"/>
                <w:szCs w:val="20"/>
                <w:lang w:val="fr-CA"/>
              </w:rPr>
              <w:t>) (Civile) (Autorisation)</w:t>
            </w:r>
            <w:r w:rsidRPr="00E75133">
              <w:rPr>
                <w:sz w:val="20"/>
                <w:szCs w:val="20"/>
                <w:lang w:val="fr-CA"/>
              </w:rPr>
              <w:t xml:space="preserve"> </w:t>
            </w:r>
          </w:p>
        </w:tc>
        <w:tc>
          <w:tcPr>
            <w:tcW w:w="720" w:type="dxa"/>
            <w:tcMar>
              <w:left w:w="0" w:type="dxa"/>
              <w:right w:w="0" w:type="dxa"/>
            </w:tcMar>
          </w:tcPr>
          <w:p w:rsidR="007C47C2" w:rsidRPr="00EA0658" w:rsidRDefault="007C47C2" w:rsidP="009F22F4">
            <w:pPr>
              <w:widowControl w:val="0"/>
              <w:jc w:val="center"/>
              <w:rPr>
                <w:sz w:val="20"/>
                <w:szCs w:val="20"/>
                <w:lang w:val="fr-CA"/>
              </w:rPr>
            </w:pPr>
          </w:p>
        </w:tc>
        <w:tc>
          <w:tcPr>
            <w:tcW w:w="4380" w:type="dxa"/>
            <w:tcMar>
              <w:left w:w="0" w:type="dxa"/>
              <w:right w:w="0" w:type="dxa"/>
            </w:tcMar>
          </w:tcPr>
          <w:p w:rsidR="007C47C2" w:rsidRDefault="00747379" w:rsidP="009F22F4">
            <w:pPr>
              <w:rPr>
                <w:sz w:val="20"/>
                <w:szCs w:val="20"/>
                <w:lang w:val="fr-CA"/>
              </w:rPr>
            </w:pPr>
            <w:r>
              <w:rPr>
                <w:sz w:val="20"/>
                <w:szCs w:val="20"/>
                <w:lang w:val="fr-CA"/>
              </w:rPr>
              <w:t xml:space="preserve">Marc Ribeiro, Christopher </w:t>
            </w:r>
            <w:proofErr w:type="spellStart"/>
            <w:r>
              <w:rPr>
                <w:sz w:val="20"/>
                <w:szCs w:val="20"/>
                <w:lang w:val="fr-CA"/>
              </w:rPr>
              <w:t>Rupar</w:t>
            </w:r>
            <w:proofErr w:type="spellEnd"/>
            <w:r w:rsidR="007C47C2" w:rsidRPr="008A09CD">
              <w:rPr>
                <w:sz w:val="20"/>
                <w:szCs w:val="20"/>
                <w:lang w:val="fr-CA"/>
              </w:rPr>
              <w:t xml:space="preserve"> </w:t>
            </w:r>
            <w:r w:rsidR="007C47C2">
              <w:rPr>
                <w:sz w:val="20"/>
                <w:szCs w:val="20"/>
                <w:lang w:val="fr-CA"/>
              </w:rPr>
              <w:t xml:space="preserve">et </w:t>
            </w:r>
            <w:r>
              <w:rPr>
                <w:sz w:val="20"/>
                <w:szCs w:val="20"/>
                <w:lang w:val="fr-CA"/>
              </w:rPr>
              <w:t xml:space="preserve">Chantal Comtois </w:t>
            </w:r>
            <w:r w:rsidR="007C47C2">
              <w:rPr>
                <w:sz w:val="20"/>
                <w:szCs w:val="20"/>
                <w:lang w:val="fr-CA"/>
              </w:rPr>
              <w:t>p</w:t>
            </w:r>
            <w:r w:rsidR="007C47C2" w:rsidRPr="008A09CD">
              <w:rPr>
                <w:sz w:val="20"/>
                <w:szCs w:val="20"/>
                <w:lang w:val="fr-CA"/>
              </w:rPr>
              <w:t>our l</w:t>
            </w:r>
            <w:r>
              <w:rPr>
                <w:sz w:val="20"/>
                <w:szCs w:val="20"/>
                <w:lang w:val="fr-CA"/>
              </w:rPr>
              <w:t xml:space="preserve">es </w:t>
            </w:r>
            <w:r w:rsidR="007C47C2" w:rsidRPr="008A09CD">
              <w:rPr>
                <w:sz w:val="20"/>
                <w:szCs w:val="20"/>
                <w:lang w:val="fr-CA"/>
              </w:rPr>
              <w:t>appelant</w:t>
            </w:r>
            <w:r>
              <w:rPr>
                <w:sz w:val="20"/>
                <w:szCs w:val="20"/>
                <w:lang w:val="fr-CA"/>
              </w:rPr>
              <w:t>s</w:t>
            </w:r>
            <w:r w:rsidR="007C47C2">
              <w:rPr>
                <w:sz w:val="20"/>
                <w:szCs w:val="20"/>
                <w:lang w:val="fr-CA"/>
              </w:rPr>
              <w:t>.</w:t>
            </w:r>
          </w:p>
          <w:p w:rsidR="007C47C2" w:rsidRDefault="007C47C2" w:rsidP="009F22F4">
            <w:pPr>
              <w:rPr>
                <w:sz w:val="20"/>
                <w:szCs w:val="20"/>
                <w:lang w:val="fr-CA"/>
              </w:rPr>
            </w:pPr>
          </w:p>
          <w:p w:rsidR="007C47C2" w:rsidRDefault="00747379" w:rsidP="00747379">
            <w:pPr>
              <w:widowControl w:val="0"/>
              <w:jc w:val="both"/>
              <w:rPr>
                <w:sz w:val="20"/>
                <w:szCs w:val="20"/>
                <w:lang w:val="fr-CA"/>
              </w:rPr>
            </w:pPr>
            <w:r>
              <w:rPr>
                <w:sz w:val="20"/>
                <w:szCs w:val="20"/>
                <w:lang w:val="fr-CA"/>
              </w:rPr>
              <w:t xml:space="preserve">Raymond </w:t>
            </w:r>
            <w:proofErr w:type="spellStart"/>
            <w:r>
              <w:rPr>
                <w:sz w:val="20"/>
                <w:szCs w:val="20"/>
                <w:lang w:val="fr-CA"/>
              </w:rPr>
              <w:t>Doray</w:t>
            </w:r>
            <w:proofErr w:type="spellEnd"/>
            <w:r w:rsidR="007C47C2">
              <w:rPr>
                <w:sz w:val="20"/>
                <w:szCs w:val="20"/>
                <w:lang w:val="fr-CA"/>
              </w:rPr>
              <w:t xml:space="preserve"> et </w:t>
            </w:r>
            <w:proofErr w:type="spellStart"/>
            <w:r>
              <w:rPr>
                <w:sz w:val="20"/>
                <w:szCs w:val="20"/>
                <w:lang w:val="fr-CA"/>
              </w:rPr>
              <w:t>Loic</w:t>
            </w:r>
            <w:proofErr w:type="spellEnd"/>
            <w:r>
              <w:rPr>
                <w:sz w:val="20"/>
                <w:szCs w:val="20"/>
                <w:lang w:val="fr-CA"/>
              </w:rPr>
              <w:t xml:space="preserve"> </w:t>
            </w:r>
            <w:proofErr w:type="spellStart"/>
            <w:r>
              <w:rPr>
                <w:sz w:val="20"/>
                <w:szCs w:val="20"/>
                <w:lang w:val="fr-CA"/>
              </w:rPr>
              <w:t>Berdnikoff</w:t>
            </w:r>
            <w:proofErr w:type="spellEnd"/>
            <w:r>
              <w:rPr>
                <w:sz w:val="20"/>
                <w:szCs w:val="20"/>
                <w:lang w:val="fr-CA"/>
              </w:rPr>
              <w:t xml:space="preserve"> </w:t>
            </w:r>
            <w:r w:rsidR="007C47C2">
              <w:rPr>
                <w:sz w:val="20"/>
                <w:szCs w:val="20"/>
                <w:lang w:val="fr-CA"/>
              </w:rPr>
              <w:t>p</w:t>
            </w:r>
            <w:r w:rsidR="007C47C2" w:rsidRPr="008A09CD">
              <w:rPr>
                <w:sz w:val="20"/>
                <w:szCs w:val="20"/>
                <w:lang w:val="fr-CA"/>
              </w:rPr>
              <w:t>our l’intimée</w:t>
            </w:r>
            <w:r>
              <w:rPr>
                <w:sz w:val="20"/>
                <w:szCs w:val="20"/>
                <w:lang w:val="fr-CA"/>
              </w:rPr>
              <w:t xml:space="preserve"> Chambre des notaires du Québec</w:t>
            </w:r>
            <w:r w:rsidR="007C47C2">
              <w:rPr>
                <w:sz w:val="20"/>
                <w:szCs w:val="20"/>
                <w:lang w:val="fr-CA"/>
              </w:rPr>
              <w:t>.</w:t>
            </w:r>
          </w:p>
          <w:p w:rsidR="00747379" w:rsidRDefault="00747379" w:rsidP="00747379">
            <w:pPr>
              <w:widowControl w:val="0"/>
              <w:jc w:val="both"/>
              <w:rPr>
                <w:sz w:val="20"/>
                <w:szCs w:val="20"/>
                <w:lang w:val="fr-CA"/>
              </w:rPr>
            </w:pPr>
          </w:p>
          <w:p w:rsidR="00747379" w:rsidRDefault="00747379" w:rsidP="00747379">
            <w:pPr>
              <w:widowControl w:val="0"/>
              <w:jc w:val="both"/>
              <w:rPr>
                <w:sz w:val="20"/>
                <w:szCs w:val="20"/>
                <w:lang w:val="fr-CA"/>
              </w:rPr>
            </w:pPr>
            <w:r>
              <w:rPr>
                <w:sz w:val="20"/>
                <w:szCs w:val="20"/>
                <w:lang w:val="fr-CA"/>
              </w:rPr>
              <w:t xml:space="preserve">Giuseppe </w:t>
            </w:r>
            <w:proofErr w:type="spellStart"/>
            <w:r>
              <w:rPr>
                <w:sz w:val="20"/>
                <w:szCs w:val="20"/>
                <w:lang w:val="fr-CA"/>
              </w:rPr>
              <w:t>Battista</w:t>
            </w:r>
            <w:proofErr w:type="spellEnd"/>
            <w:r>
              <w:rPr>
                <w:sz w:val="20"/>
                <w:szCs w:val="20"/>
                <w:lang w:val="fr-CA"/>
              </w:rPr>
              <w:t xml:space="preserve"> pour l’intimé Barreau du Québec.</w:t>
            </w:r>
          </w:p>
          <w:p w:rsidR="00747379" w:rsidRDefault="00747379" w:rsidP="00747379">
            <w:pPr>
              <w:widowControl w:val="0"/>
              <w:jc w:val="both"/>
              <w:rPr>
                <w:sz w:val="20"/>
                <w:szCs w:val="20"/>
                <w:lang w:val="fr-CA"/>
              </w:rPr>
            </w:pPr>
          </w:p>
          <w:p w:rsidR="00747379" w:rsidRDefault="00747379" w:rsidP="00747379">
            <w:pPr>
              <w:widowControl w:val="0"/>
              <w:jc w:val="both"/>
              <w:rPr>
                <w:sz w:val="20"/>
                <w:szCs w:val="20"/>
                <w:lang w:val="fr-CA"/>
              </w:rPr>
            </w:pPr>
            <w:r>
              <w:rPr>
                <w:sz w:val="20"/>
                <w:szCs w:val="20"/>
                <w:lang w:val="fr-CA"/>
              </w:rPr>
              <w:t xml:space="preserve">Pierre Bienvenu and Andres Garin for the </w:t>
            </w:r>
            <w:proofErr w:type="spellStart"/>
            <w:r>
              <w:rPr>
                <w:sz w:val="20"/>
                <w:szCs w:val="20"/>
                <w:lang w:val="fr-CA"/>
              </w:rPr>
              <w:t>intervener</w:t>
            </w:r>
            <w:proofErr w:type="spellEnd"/>
            <w:r>
              <w:rPr>
                <w:sz w:val="20"/>
                <w:szCs w:val="20"/>
                <w:lang w:val="fr-CA"/>
              </w:rPr>
              <w:t xml:space="preserve"> </w:t>
            </w:r>
            <w:proofErr w:type="spellStart"/>
            <w:r>
              <w:rPr>
                <w:sz w:val="20"/>
                <w:szCs w:val="20"/>
                <w:lang w:val="fr-CA"/>
              </w:rPr>
              <w:t>Advocates</w:t>
            </w:r>
            <w:proofErr w:type="spellEnd"/>
            <w:r>
              <w:rPr>
                <w:sz w:val="20"/>
                <w:szCs w:val="20"/>
                <w:lang w:val="fr-CA"/>
              </w:rPr>
              <w:t>’ Society.</w:t>
            </w:r>
          </w:p>
          <w:p w:rsidR="00747379" w:rsidRDefault="00747379" w:rsidP="00747379">
            <w:pPr>
              <w:widowControl w:val="0"/>
              <w:jc w:val="both"/>
              <w:rPr>
                <w:sz w:val="20"/>
                <w:szCs w:val="20"/>
                <w:lang w:val="fr-CA"/>
              </w:rPr>
            </w:pPr>
          </w:p>
          <w:p w:rsidR="00747379" w:rsidRDefault="00747379" w:rsidP="00747379">
            <w:pPr>
              <w:widowControl w:val="0"/>
              <w:jc w:val="both"/>
              <w:rPr>
                <w:sz w:val="20"/>
                <w:szCs w:val="20"/>
                <w:lang w:val="fr-CA"/>
              </w:rPr>
            </w:pPr>
            <w:r>
              <w:rPr>
                <w:sz w:val="20"/>
                <w:szCs w:val="20"/>
                <w:lang w:val="fr-CA"/>
              </w:rPr>
              <w:t xml:space="preserve">Mahmud Jamal, Alexandre Fallon and W. David </w:t>
            </w:r>
            <w:proofErr w:type="spellStart"/>
            <w:r>
              <w:rPr>
                <w:sz w:val="20"/>
                <w:szCs w:val="20"/>
                <w:lang w:val="fr-CA"/>
              </w:rPr>
              <w:t>Rankin</w:t>
            </w:r>
            <w:proofErr w:type="spellEnd"/>
            <w:r>
              <w:rPr>
                <w:sz w:val="20"/>
                <w:szCs w:val="20"/>
                <w:lang w:val="fr-CA"/>
              </w:rPr>
              <w:t xml:space="preserve"> for the </w:t>
            </w:r>
            <w:proofErr w:type="spellStart"/>
            <w:r>
              <w:rPr>
                <w:sz w:val="20"/>
                <w:szCs w:val="20"/>
                <w:lang w:val="fr-CA"/>
              </w:rPr>
              <w:t>intervener</w:t>
            </w:r>
            <w:proofErr w:type="spellEnd"/>
            <w:r>
              <w:rPr>
                <w:sz w:val="20"/>
                <w:szCs w:val="20"/>
                <w:lang w:val="fr-CA"/>
              </w:rPr>
              <w:t xml:space="preserve"> Canadian Bar Association.</w:t>
            </w:r>
          </w:p>
          <w:p w:rsidR="00747379" w:rsidRDefault="00747379" w:rsidP="00747379">
            <w:pPr>
              <w:widowControl w:val="0"/>
              <w:jc w:val="both"/>
              <w:rPr>
                <w:sz w:val="20"/>
                <w:szCs w:val="20"/>
                <w:lang w:val="fr-CA"/>
              </w:rPr>
            </w:pPr>
          </w:p>
          <w:p w:rsidR="00747379" w:rsidRDefault="00747379" w:rsidP="00747379">
            <w:pPr>
              <w:widowControl w:val="0"/>
              <w:jc w:val="both"/>
              <w:rPr>
                <w:sz w:val="20"/>
                <w:szCs w:val="20"/>
                <w:lang w:val="fr-CA"/>
              </w:rPr>
            </w:pPr>
            <w:r>
              <w:rPr>
                <w:sz w:val="20"/>
                <w:szCs w:val="20"/>
                <w:lang w:val="fr-CA"/>
              </w:rPr>
              <w:t xml:space="preserve">John B. </w:t>
            </w:r>
            <w:proofErr w:type="spellStart"/>
            <w:r>
              <w:rPr>
                <w:sz w:val="20"/>
                <w:szCs w:val="20"/>
                <w:lang w:val="fr-CA"/>
              </w:rPr>
              <w:t>L</w:t>
            </w:r>
            <w:r w:rsidR="003A0BAE">
              <w:rPr>
                <w:sz w:val="20"/>
                <w:szCs w:val="20"/>
                <w:lang w:val="fr-CA"/>
              </w:rPr>
              <w:t>a</w:t>
            </w:r>
            <w:r>
              <w:rPr>
                <w:sz w:val="20"/>
                <w:szCs w:val="20"/>
                <w:lang w:val="fr-CA"/>
              </w:rPr>
              <w:t>skin</w:t>
            </w:r>
            <w:proofErr w:type="spellEnd"/>
            <w:r>
              <w:rPr>
                <w:sz w:val="20"/>
                <w:szCs w:val="20"/>
                <w:lang w:val="fr-CA"/>
              </w:rPr>
              <w:t xml:space="preserve"> and Yael </w:t>
            </w:r>
            <w:proofErr w:type="spellStart"/>
            <w:r>
              <w:rPr>
                <w:sz w:val="20"/>
                <w:szCs w:val="20"/>
                <w:lang w:val="fr-CA"/>
              </w:rPr>
              <w:t>Bienenstock</w:t>
            </w:r>
            <w:proofErr w:type="spellEnd"/>
            <w:r>
              <w:rPr>
                <w:sz w:val="20"/>
                <w:szCs w:val="20"/>
                <w:lang w:val="fr-CA"/>
              </w:rPr>
              <w:t xml:space="preserve"> for the </w:t>
            </w:r>
            <w:proofErr w:type="spellStart"/>
            <w:r>
              <w:rPr>
                <w:sz w:val="20"/>
                <w:szCs w:val="20"/>
                <w:lang w:val="fr-CA"/>
              </w:rPr>
              <w:t>intervener</w:t>
            </w:r>
            <w:proofErr w:type="spellEnd"/>
            <w:r>
              <w:rPr>
                <w:sz w:val="20"/>
                <w:szCs w:val="20"/>
                <w:lang w:val="fr-CA"/>
              </w:rPr>
              <w:t xml:space="preserve"> </w:t>
            </w:r>
            <w:proofErr w:type="spellStart"/>
            <w:r>
              <w:rPr>
                <w:sz w:val="20"/>
                <w:szCs w:val="20"/>
                <w:lang w:val="fr-CA"/>
              </w:rPr>
              <w:t>Federation</w:t>
            </w:r>
            <w:proofErr w:type="spellEnd"/>
            <w:r>
              <w:rPr>
                <w:sz w:val="20"/>
                <w:szCs w:val="20"/>
                <w:lang w:val="fr-CA"/>
              </w:rPr>
              <w:t xml:space="preserve"> of Law </w:t>
            </w:r>
            <w:proofErr w:type="spellStart"/>
            <w:r>
              <w:rPr>
                <w:sz w:val="20"/>
                <w:szCs w:val="20"/>
                <w:lang w:val="fr-CA"/>
              </w:rPr>
              <w:t>Societies</w:t>
            </w:r>
            <w:proofErr w:type="spellEnd"/>
            <w:r>
              <w:rPr>
                <w:sz w:val="20"/>
                <w:szCs w:val="20"/>
                <w:lang w:val="fr-CA"/>
              </w:rPr>
              <w:t xml:space="preserve"> of Canada</w:t>
            </w:r>
          </w:p>
          <w:p w:rsidR="00747379" w:rsidRDefault="00747379" w:rsidP="00747379">
            <w:pPr>
              <w:widowControl w:val="0"/>
              <w:jc w:val="both"/>
              <w:rPr>
                <w:sz w:val="20"/>
                <w:szCs w:val="20"/>
                <w:lang w:val="fr-CA"/>
              </w:rPr>
            </w:pPr>
          </w:p>
          <w:p w:rsidR="00747379" w:rsidRPr="00EA0658" w:rsidRDefault="00747379" w:rsidP="00747379">
            <w:pPr>
              <w:widowControl w:val="0"/>
              <w:jc w:val="both"/>
              <w:rPr>
                <w:sz w:val="20"/>
                <w:szCs w:val="20"/>
                <w:lang w:val="fr-CA"/>
              </w:rPr>
            </w:pPr>
            <w:r>
              <w:rPr>
                <w:sz w:val="20"/>
                <w:szCs w:val="20"/>
                <w:lang w:val="fr-CA"/>
              </w:rPr>
              <w:t xml:space="preserve">Brian </w:t>
            </w:r>
            <w:proofErr w:type="spellStart"/>
            <w:r>
              <w:rPr>
                <w:sz w:val="20"/>
                <w:szCs w:val="20"/>
                <w:lang w:val="fr-CA"/>
              </w:rPr>
              <w:t>Gover</w:t>
            </w:r>
            <w:proofErr w:type="spellEnd"/>
            <w:r>
              <w:rPr>
                <w:sz w:val="20"/>
                <w:szCs w:val="20"/>
                <w:lang w:val="fr-CA"/>
              </w:rPr>
              <w:t xml:space="preserve">, Justin </w:t>
            </w:r>
            <w:proofErr w:type="spellStart"/>
            <w:r>
              <w:rPr>
                <w:sz w:val="20"/>
                <w:szCs w:val="20"/>
                <w:lang w:val="fr-CA"/>
              </w:rPr>
              <w:t>Safayeni</w:t>
            </w:r>
            <w:proofErr w:type="spellEnd"/>
            <w:r>
              <w:rPr>
                <w:sz w:val="20"/>
                <w:szCs w:val="20"/>
                <w:lang w:val="fr-CA"/>
              </w:rPr>
              <w:t xml:space="preserve"> and Carlo Di Carlo for the </w:t>
            </w:r>
            <w:proofErr w:type="spellStart"/>
            <w:r>
              <w:rPr>
                <w:sz w:val="20"/>
                <w:szCs w:val="20"/>
                <w:lang w:val="fr-CA"/>
              </w:rPr>
              <w:t>intervener</w:t>
            </w:r>
            <w:proofErr w:type="spellEnd"/>
            <w:r>
              <w:rPr>
                <w:sz w:val="20"/>
                <w:szCs w:val="20"/>
                <w:lang w:val="fr-CA"/>
              </w:rPr>
              <w:t xml:space="preserve"> </w:t>
            </w:r>
            <w:proofErr w:type="spellStart"/>
            <w:r>
              <w:rPr>
                <w:sz w:val="20"/>
                <w:szCs w:val="20"/>
                <w:lang w:val="fr-CA"/>
              </w:rPr>
              <w:t>Criminal</w:t>
            </w:r>
            <w:proofErr w:type="spellEnd"/>
            <w:r>
              <w:rPr>
                <w:sz w:val="20"/>
                <w:szCs w:val="20"/>
                <w:lang w:val="fr-CA"/>
              </w:rPr>
              <w:t xml:space="preserve"> </w:t>
            </w:r>
            <w:proofErr w:type="spellStart"/>
            <w:r>
              <w:rPr>
                <w:sz w:val="20"/>
                <w:szCs w:val="20"/>
                <w:lang w:val="fr-CA"/>
              </w:rPr>
              <w:t>Lawyers</w:t>
            </w:r>
            <w:proofErr w:type="spellEnd"/>
            <w:r>
              <w:rPr>
                <w:sz w:val="20"/>
                <w:szCs w:val="20"/>
                <w:lang w:val="fr-CA"/>
              </w:rPr>
              <w:t>’ Association</w:t>
            </w:r>
          </w:p>
        </w:tc>
      </w:tr>
    </w:tbl>
    <w:p w:rsidR="007C47C2" w:rsidRPr="00EA0658"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9F22F4">
        <w:tc>
          <w:tcPr>
            <w:tcW w:w="4380" w:type="dxa"/>
            <w:tcMar>
              <w:left w:w="0" w:type="dxa"/>
              <w:right w:w="0" w:type="dxa"/>
            </w:tcMar>
          </w:tcPr>
          <w:p w:rsidR="007C47C2" w:rsidRPr="00CC4D84" w:rsidRDefault="007C47C2" w:rsidP="009F22F4">
            <w:pPr>
              <w:widowControl w:val="0"/>
              <w:jc w:val="both"/>
              <w:rPr>
                <w:b/>
                <w:sz w:val="20"/>
                <w:szCs w:val="20"/>
                <w:u w:val="single"/>
              </w:rPr>
            </w:pPr>
            <w:r w:rsidRPr="00CC4D84">
              <w:rPr>
                <w:b/>
                <w:sz w:val="20"/>
                <w:szCs w:val="20"/>
                <w:u w:val="single"/>
              </w:rPr>
              <w:t>Nature of the case:</w:t>
            </w:r>
          </w:p>
          <w:p w:rsidR="007C47C2" w:rsidRPr="001A663B" w:rsidRDefault="007C47C2" w:rsidP="009F22F4">
            <w:pPr>
              <w:widowControl w:val="0"/>
              <w:jc w:val="both"/>
              <w:rPr>
                <w:b/>
                <w:sz w:val="20"/>
                <w:szCs w:val="20"/>
              </w:rPr>
            </w:pPr>
          </w:p>
          <w:p w:rsidR="007C47C2" w:rsidRPr="00C1697B" w:rsidRDefault="00723D29" w:rsidP="009F22F4">
            <w:pPr>
              <w:widowControl w:val="0"/>
              <w:jc w:val="both"/>
              <w:rPr>
                <w:b/>
                <w:sz w:val="20"/>
                <w:szCs w:val="20"/>
              </w:rPr>
            </w:pPr>
            <w:r w:rsidRPr="00723D29">
              <w:rPr>
                <w:sz w:val="20"/>
                <w:szCs w:val="20"/>
              </w:rPr>
              <w:t>Charter of Rights - Constitutional law - Search and seizure - Taxation - Investigations - Whether s. 231.2(1), s. 231.7 and definition of “solicitor-client privilege” in s. 232(1) of Income Tax Act, R.S.C. 1985, c. 1 (5th Supp.) (“ITA”), infringe right guaranteed by s. 7 of Canadian Charter of Rights and Freedoms insofar as they apply to advocate or notary - Whether s. 231.2(1), s. 231.7 and definition of “solicitor-client privilege” in s. 232(1) of ITA infringe right guaranteed by s. 8 of Canadian Charter insofar as they apply to advocate or notary - If so, whether infringements are reasonable limits prescribed by law as can be demonstrably justified in free and democratic society within meaning of s. 1 of Canadian Charter.</w:t>
            </w:r>
          </w:p>
        </w:tc>
        <w:tc>
          <w:tcPr>
            <w:tcW w:w="720" w:type="dxa"/>
            <w:tcMar>
              <w:left w:w="0" w:type="dxa"/>
              <w:right w:w="0" w:type="dxa"/>
            </w:tcMar>
          </w:tcPr>
          <w:p w:rsidR="007C47C2" w:rsidRPr="00C1697B" w:rsidRDefault="007C47C2" w:rsidP="009F22F4">
            <w:pPr>
              <w:widowControl w:val="0"/>
              <w:jc w:val="center"/>
              <w:rPr>
                <w:sz w:val="20"/>
                <w:szCs w:val="20"/>
              </w:rPr>
            </w:pPr>
          </w:p>
        </w:tc>
        <w:tc>
          <w:tcPr>
            <w:tcW w:w="4380" w:type="dxa"/>
            <w:tcMar>
              <w:left w:w="0" w:type="dxa"/>
              <w:right w:w="0" w:type="dxa"/>
            </w:tcMar>
          </w:tcPr>
          <w:p w:rsidR="007C47C2" w:rsidRPr="00CC4D84" w:rsidRDefault="007C47C2" w:rsidP="009F22F4">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9F22F4">
            <w:pPr>
              <w:widowControl w:val="0"/>
              <w:jc w:val="both"/>
              <w:rPr>
                <w:sz w:val="20"/>
                <w:szCs w:val="20"/>
                <w:lang w:val="fr-CA"/>
              </w:rPr>
            </w:pPr>
          </w:p>
          <w:p w:rsidR="007C47C2" w:rsidRPr="00C1697B" w:rsidRDefault="00723D29" w:rsidP="00723D29">
            <w:pPr>
              <w:widowControl w:val="0"/>
              <w:jc w:val="both"/>
              <w:rPr>
                <w:sz w:val="20"/>
                <w:szCs w:val="20"/>
                <w:lang w:val="fr-CA"/>
              </w:rPr>
            </w:pPr>
            <w:r w:rsidRPr="00723D29">
              <w:rPr>
                <w:sz w:val="20"/>
                <w:szCs w:val="20"/>
                <w:lang w:val="fr-CA"/>
              </w:rPr>
              <w:t xml:space="preserve">Charte des droits - Droit constitutionnel - Fouilles, perquisitions et saisies - Droit fiscal - Enquêtes - Dans la mesure où le par. 231.2(1), l’art. 231.7 et la définition de « privilège des communications entre client et avocat » énoncée au </w:t>
            </w:r>
            <w:proofErr w:type="spellStart"/>
            <w:r w:rsidRPr="00723D29">
              <w:rPr>
                <w:sz w:val="20"/>
                <w:szCs w:val="20"/>
                <w:lang w:val="fr-CA"/>
              </w:rPr>
              <w:t>par</w:t>
            </w:r>
            <w:proofErr w:type="spellEnd"/>
            <w:r w:rsidRPr="00723D29">
              <w:rPr>
                <w:sz w:val="20"/>
                <w:szCs w:val="20"/>
                <w:lang w:val="fr-CA"/>
              </w:rPr>
              <w:t xml:space="preserve">. 232(1) de la Loi de l’impôt sur le revenu, L.R.C. 1985, c. 1 (5e suppl.) (« LIR »), visent un avocat ou un notaire, ces dispositions portent-elles atteinte à un droit garanti par l’art. 7 de la Charte canadienne des droits et libertés? Dans la mesure où le par. 231.2(1), l’art. 231.7 et la définition de « privilège des communications entre client et avocat » énoncée au </w:t>
            </w:r>
            <w:proofErr w:type="spellStart"/>
            <w:r w:rsidRPr="00723D29">
              <w:rPr>
                <w:sz w:val="20"/>
                <w:szCs w:val="20"/>
                <w:lang w:val="fr-CA"/>
              </w:rPr>
              <w:t>par</w:t>
            </w:r>
            <w:proofErr w:type="spellEnd"/>
            <w:r w:rsidRPr="00723D29">
              <w:rPr>
                <w:sz w:val="20"/>
                <w:szCs w:val="20"/>
                <w:lang w:val="fr-CA"/>
              </w:rPr>
              <w:t>. 232(1) de la LIR, visent un avocat ou un notaire, ces dispositions portent-elles atteinte au droit garanti par l’art. 8 de la Charte canadienne? - Dans l’affirmative, s’agit-il d’atteintes portées par une règle de droit dans des limites qui sont raisonnables et dont la justification peut se démontrer dans le cadre d’une société libre et démocratique suivant l’article premier de la Charte canadienne?</w:t>
            </w:r>
          </w:p>
        </w:tc>
      </w:tr>
    </w:tbl>
    <w:p w:rsidR="007C47C2" w:rsidRDefault="007C47C2" w:rsidP="007C47C2">
      <w:pPr>
        <w:widowControl w:val="0"/>
        <w:rPr>
          <w:sz w:val="20"/>
          <w:szCs w:val="20"/>
          <w:lang w:val="fr-CA"/>
        </w:rPr>
      </w:pPr>
    </w:p>
    <w:p w:rsidR="002A27D1" w:rsidRDefault="00C232E1" w:rsidP="002A27D1">
      <w:pPr>
        <w:widowControl w:val="0"/>
        <w:rPr>
          <w:sz w:val="20"/>
          <w:szCs w:val="20"/>
        </w:rPr>
      </w:pPr>
      <w:r>
        <w:rPr>
          <w:sz w:val="20"/>
          <w:szCs w:val="20"/>
          <w:lang w:val="fr-CA"/>
        </w:rPr>
        <w:pict>
          <v:rect id="_x0000_i1094" style="width:2in;height:1pt" o:hrpct="0" o:hralign="center" o:hrstd="t" o:hrnoshade="t" o:hr="t" fillcolor="black [3213]" stroked="f"/>
        </w:pict>
      </w:r>
    </w:p>
    <w:p w:rsidR="00E708C2" w:rsidRDefault="00E708C2">
      <w:pPr>
        <w:rPr>
          <w:sz w:val="20"/>
          <w:szCs w:val="20"/>
        </w:rPr>
      </w:pPr>
      <w:r>
        <w:rPr>
          <w:sz w:val="20"/>
          <w:szCs w:val="20"/>
        </w:rPr>
        <w:br w:type="page"/>
      </w:r>
    </w:p>
    <w:p w:rsidR="007C47C2" w:rsidRPr="00C50A5C" w:rsidRDefault="00C63D54" w:rsidP="007C47C2">
      <w:pPr>
        <w:widowControl w:val="0"/>
        <w:rPr>
          <w:sz w:val="20"/>
          <w:szCs w:val="20"/>
        </w:rPr>
      </w:pPr>
      <w:r>
        <w:rPr>
          <w:sz w:val="20"/>
          <w:szCs w:val="20"/>
        </w:rPr>
        <w:lastRenderedPageBreak/>
        <w:t>04</w:t>
      </w:r>
      <w:r w:rsidR="007C47C2" w:rsidRPr="00C50A5C">
        <w:rPr>
          <w:sz w:val="20"/>
          <w:szCs w:val="20"/>
        </w:rPr>
        <w:t>.</w:t>
      </w:r>
      <w:r>
        <w:rPr>
          <w:sz w:val="20"/>
          <w:szCs w:val="20"/>
        </w:rPr>
        <w:t>11</w:t>
      </w:r>
      <w:r w:rsidR="007C47C2" w:rsidRPr="00C50A5C">
        <w:rPr>
          <w:sz w:val="20"/>
          <w:szCs w:val="20"/>
        </w:rPr>
        <w:t>.201</w:t>
      </w:r>
      <w:r>
        <w:rPr>
          <w:sz w:val="20"/>
          <w:szCs w:val="20"/>
        </w:rPr>
        <w:t>5</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r w:rsidR="00C63D54">
        <w:rPr>
          <w:sz w:val="20"/>
          <w:szCs w:val="20"/>
          <w:u w:val="single"/>
        </w:rPr>
        <w:t>McLachlin C.J. and</w:t>
      </w:r>
      <w:r w:rsidRPr="00C50A5C">
        <w:rPr>
          <w:sz w:val="20"/>
          <w:szCs w:val="20"/>
          <w:u w:val="single"/>
        </w:rPr>
        <w:t xml:space="preserve"> </w:t>
      </w:r>
      <w:r>
        <w:rPr>
          <w:sz w:val="20"/>
          <w:szCs w:val="20"/>
          <w:u w:val="single"/>
        </w:rPr>
        <w:t>Abella, C</w:t>
      </w:r>
      <w:r w:rsidR="00C63D54">
        <w:rPr>
          <w:sz w:val="20"/>
          <w:szCs w:val="20"/>
          <w:u w:val="single"/>
        </w:rPr>
        <w:t xml:space="preserve">romwell, Moldaver, Karakatsanis, Wagner, Gascon, Côté </w:t>
      </w:r>
      <w:r>
        <w:rPr>
          <w:sz w:val="20"/>
          <w:szCs w:val="20"/>
          <w:u w:val="single"/>
        </w:rPr>
        <w:t xml:space="preserve">and </w:t>
      </w:r>
      <w:r w:rsidR="00C63D54">
        <w:rPr>
          <w:sz w:val="20"/>
          <w:szCs w:val="20"/>
          <w:u w:val="single"/>
        </w:rPr>
        <w:t xml:space="preserve">Brown </w:t>
      </w:r>
      <w:r w:rsidRPr="00C50A5C">
        <w:rPr>
          <w:sz w:val="20"/>
          <w:szCs w:val="20"/>
          <w:u w:val="single"/>
        </w:rPr>
        <w:t>JJ.</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9F22F4">
        <w:tc>
          <w:tcPr>
            <w:tcW w:w="4380" w:type="dxa"/>
            <w:tcMar>
              <w:left w:w="0" w:type="dxa"/>
              <w:right w:w="0" w:type="dxa"/>
            </w:tcMar>
          </w:tcPr>
          <w:p w:rsidR="007C47C2" w:rsidRPr="00C50A5C" w:rsidRDefault="007C47C2" w:rsidP="009F22F4">
            <w:pPr>
              <w:widowControl w:val="0"/>
              <w:jc w:val="both"/>
              <w:rPr>
                <w:b/>
                <w:sz w:val="20"/>
                <w:szCs w:val="20"/>
              </w:rPr>
            </w:pPr>
            <w:r>
              <w:rPr>
                <w:b/>
                <w:sz w:val="20"/>
                <w:szCs w:val="20"/>
              </w:rPr>
              <w:t>Her Majesty the Queen</w:t>
            </w:r>
          </w:p>
          <w:p w:rsidR="007C47C2" w:rsidRPr="00C50A5C" w:rsidRDefault="007C47C2" w:rsidP="009F22F4">
            <w:pPr>
              <w:widowControl w:val="0"/>
              <w:jc w:val="both"/>
              <w:rPr>
                <w:b/>
                <w:sz w:val="20"/>
                <w:szCs w:val="20"/>
              </w:rPr>
            </w:pPr>
          </w:p>
          <w:p w:rsidR="007C47C2" w:rsidRPr="00C50A5C" w:rsidRDefault="007C47C2" w:rsidP="009F22F4">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97" w:history="1">
              <w:r w:rsidRPr="00765D4A">
                <w:rPr>
                  <w:rStyle w:val="Hyperlink"/>
                  <w:sz w:val="20"/>
                  <w:szCs w:val="20"/>
                </w:rPr>
                <w:t>3</w:t>
              </w:r>
              <w:r w:rsidR="00BC479A">
                <w:rPr>
                  <w:rStyle w:val="Hyperlink"/>
                  <w:sz w:val="20"/>
                  <w:szCs w:val="20"/>
                </w:rPr>
                <w:t>6162</w:t>
              </w:r>
            </w:hyperlink>
            <w:r w:rsidRPr="00765D4A">
              <w:rPr>
                <w:sz w:val="20"/>
                <w:szCs w:val="20"/>
              </w:rPr>
              <w:t>)</w:t>
            </w:r>
          </w:p>
          <w:p w:rsidR="007C47C2" w:rsidRPr="00C50A5C" w:rsidRDefault="007C47C2" w:rsidP="009F22F4">
            <w:pPr>
              <w:widowControl w:val="0"/>
              <w:jc w:val="both"/>
              <w:rPr>
                <w:b/>
                <w:sz w:val="20"/>
                <w:szCs w:val="20"/>
              </w:rPr>
            </w:pPr>
          </w:p>
          <w:p w:rsidR="007C47C2" w:rsidRPr="00893C7B" w:rsidRDefault="00BC479A" w:rsidP="00BC479A">
            <w:pPr>
              <w:widowControl w:val="0"/>
              <w:jc w:val="both"/>
              <w:rPr>
                <w:sz w:val="20"/>
                <w:szCs w:val="20"/>
              </w:rPr>
            </w:pPr>
            <w:proofErr w:type="spellStart"/>
            <w:r>
              <w:rPr>
                <w:b/>
                <w:sz w:val="20"/>
                <w:szCs w:val="20"/>
              </w:rPr>
              <w:t>Hamidreza</w:t>
            </w:r>
            <w:proofErr w:type="spellEnd"/>
            <w:r>
              <w:rPr>
                <w:b/>
                <w:sz w:val="20"/>
                <w:szCs w:val="20"/>
              </w:rPr>
              <w:t xml:space="preserve"> </w:t>
            </w:r>
            <w:proofErr w:type="spellStart"/>
            <w:r>
              <w:rPr>
                <w:b/>
                <w:sz w:val="20"/>
                <w:szCs w:val="20"/>
              </w:rPr>
              <w:t>Safarzadeh-Markhali</w:t>
            </w:r>
            <w:proofErr w:type="spellEnd"/>
            <w:r w:rsidR="007C47C2" w:rsidRPr="00072C86">
              <w:rPr>
                <w:b/>
                <w:sz w:val="20"/>
                <w:szCs w:val="20"/>
              </w:rPr>
              <w:t xml:space="preserve"> (</w:t>
            </w:r>
            <w:r>
              <w:rPr>
                <w:b/>
                <w:sz w:val="20"/>
                <w:szCs w:val="20"/>
              </w:rPr>
              <w:t>Ont</w:t>
            </w:r>
            <w:r w:rsidR="007C47C2" w:rsidRPr="00072C86">
              <w:rPr>
                <w:b/>
                <w:sz w:val="20"/>
                <w:szCs w:val="20"/>
              </w:rPr>
              <w:t xml:space="preserve">.) </w:t>
            </w:r>
            <w:r w:rsidR="007C47C2" w:rsidRPr="00C50A5C">
              <w:rPr>
                <w:b/>
                <w:sz w:val="20"/>
                <w:szCs w:val="20"/>
              </w:rPr>
              <w:t>(C</w:t>
            </w:r>
            <w:r w:rsidR="007C47C2">
              <w:rPr>
                <w:b/>
                <w:sz w:val="20"/>
                <w:szCs w:val="20"/>
              </w:rPr>
              <w:t>r</w:t>
            </w:r>
            <w:r w:rsidR="007C47C2" w:rsidRPr="00C50A5C">
              <w:rPr>
                <w:b/>
                <w:sz w:val="20"/>
                <w:szCs w:val="20"/>
              </w:rPr>
              <w:t>i</w:t>
            </w:r>
            <w:r w:rsidR="007C47C2">
              <w:rPr>
                <w:b/>
                <w:sz w:val="20"/>
                <w:szCs w:val="20"/>
              </w:rPr>
              <w:t>m</w:t>
            </w:r>
            <w:r w:rsidR="007C47C2" w:rsidRPr="00C50A5C">
              <w:rPr>
                <w:b/>
                <w:sz w:val="20"/>
                <w:szCs w:val="20"/>
              </w:rPr>
              <w:t>i</w:t>
            </w:r>
            <w:r w:rsidR="007C47C2">
              <w:rPr>
                <w:b/>
                <w:sz w:val="20"/>
                <w:szCs w:val="20"/>
              </w:rPr>
              <w:t>na</w:t>
            </w:r>
            <w:r w:rsidR="007C47C2" w:rsidRPr="00C50A5C">
              <w:rPr>
                <w:b/>
                <w:sz w:val="20"/>
                <w:szCs w:val="20"/>
              </w:rPr>
              <w:t>l) (</w:t>
            </w:r>
            <w:r>
              <w:rPr>
                <w:b/>
                <w:sz w:val="20"/>
                <w:szCs w:val="20"/>
              </w:rPr>
              <w:t>By Leave</w:t>
            </w:r>
            <w:r w:rsidR="007C47C2" w:rsidRPr="00C50A5C">
              <w:rPr>
                <w:b/>
                <w:sz w:val="20"/>
                <w:szCs w:val="20"/>
              </w:rPr>
              <w:t>)</w:t>
            </w:r>
          </w:p>
        </w:tc>
        <w:tc>
          <w:tcPr>
            <w:tcW w:w="720" w:type="dxa"/>
            <w:tcMar>
              <w:left w:w="0" w:type="dxa"/>
              <w:right w:w="0" w:type="dxa"/>
            </w:tcMar>
          </w:tcPr>
          <w:p w:rsidR="007C47C2" w:rsidRPr="00893C7B" w:rsidRDefault="007C47C2" w:rsidP="009F22F4">
            <w:pPr>
              <w:widowControl w:val="0"/>
              <w:jc w:val="center"/>
              <w:rPr>
                <w:sz w:val="20"/>
                <w:szCs w:val="20"/>
              </w:rPr>
            </w:pPr>
          </w:p>
        </w:tc>
        <w:tc>
          <w:tcPr>
            <w:tcW w:w="4380" w:type="dxa"/>
            <w:tcMar>
              <w:left w:w="0" w:type="dxa"/>
              <w:right w:w="0" w:type="dxa"/>
            </w:tcMar>
          </w:tcPr>
          <w:p w:rsidR="007C47C2" w:rsidRPr="000F31EA" w:rsidRDefault="00A9568E" w:rsidP="009F22F4">
            <w:pPr>
              <w:jc w:val="both"/>
              <w:rPr>
                <w:sz w:val="20"/>
                <w:szCs w:val="20"/>
              </w:rPr>
            </w:pPr>
            <w:r>
              <w:rPr>
                <w:sz w:val="20"/>
                <w:szCs w:val="20"/>
              </w:rPr>
              <w:t>Roger A. Pinnock</w:t>
            </w:r>
            <w:r w:rsidR="007C47C2">
              <w:rPr>
                <w:sz w:val="20"/>
                <w:szCs w:val="20"/>
              </w:rPr>
              <w:t xml:space="preserve"> f</w:t>
            </w:r>
            <w:r w:rsidR="007C47C2" w:rsidRPr="000F31EA">
              <w:rPr>
                <w:sz w:val="20"/>
                <w:szCs w:val="20"/>
              </w:rPr>
              <w:t xml:space="preserve">or the </w:t>
            </w:r>
            <w:r w:rsidR="007C47C2">
              <w:rPr>
                <w:sz w:val="20"/>
                <w:szCs w:val="20"/>
              </w:rPr>
              <w:t>a</w:t>
            </w:r>
            <w:r w:rsidR="007C47C2" w:rsidRPr="000F31EA">
              <w:rPr>
                <w:sz w:val="20"/>
                <w:szCs w:val="20"/>
              </w:rPr>
              <w:t>ppellant.</w:t>
            </w:r>
          </w:p>
          <w:p w:rsidR="007C47C2" w:rsidRPr="000F31EA" w:rsidRDefault="007C47C2" w:rsidP="009F22F4">
            <w:pPr>
              <w:jc w:val="both"/>
              <w:rPr>
                <w:sz w:val="20"/>
                <w:szCs w:val="20"/>
              </w:rPr>
            </w:pPr>
          </w:p>
          <w:p w:rsidR="007C47C2" w:rsidRDefault="00A9568E" w:rsidP="00A9568E">
            <w:pPr>
              <w:widowControl w:val="0"/>
              <w:jc w:val="both"/>
              <w:rPr>
                <w:sz w:val="20"/>
                <w:szCs w:val="20"/>
              </w:rPr>
            </w:pPr>
            <w:proofErr w:type="spellStart"/>
            <w:r>
              <w:rPr>
                <w:sz w:val="20"/>
                <w:szCs w:val="20"/>
              </w:rPr>
              <w:t>Sharlene</w:t>
            </w:r>
            <w:proofErr w:type="spellEnd"/>
            <w:r>
              <w:rPr>
                <w:sz w:val="20"/>
                <w:szCs w:val="20"/>
              </w:rPr>
              <w:t xml:space="preserve"> </w:t>
            </w:r>
            <w:proofErr w:type="spellStart"/>
            <w:r>
              <w:rPr>
                <w:sz w:val="20"/>
                <w:szCs w:val="20"/>
              </w:rPr>
              <w:t>Telles</w:t>
            </w:r>
            <w:proofErr w:type="spellEnd"/>
            <w:r>
              <w:rPr>
                <w:sz w:val="20"/>
                <w:szCs w:val="20"/>
              </w:rPr>
              <w:t xml:space="preserve">-Langdon and Kathryn </w:t>
            </w:r>
            <w:proofErr w:type="spellStart"/>
            <w:r>
              <w:rPr>
                <w:sz w:val="20"/>
                <w:szCs w:val="20"/>
              </w:rPr>
              <w:t>Hucal</w:t>
            </w:r>
            <w:proofErr w:type="spellEnd"/>
            <w:r w:rsidR="007C47C2">
              <w:rPr>
                <w:sz w:val="20"/>
                <w:szCs w:val="20"/>
              </w:rPr>
              <w:t xml:space="preserve"> f</w:t>
            </w:r>
            <w:r w:rsidR="007C47C2" w:rsidRPr="000F31EA">
              <w:rPr>
                <w:sz w:val="20"/>
                <w:szCs w:val="20"/>
              </w:rPr>
              <w:t>or the</w:t>
            </w:r>
            <w:r>
              <w:rPr>
                <w:sz w:val="20"/>
                <w:szCs w:val="20"/>
              </w:rPr>
              <w:t xml:space="preserve"> intervener Attorney General of Canada</w:t>
            </w:r>
            <w:r w:rsidR="007C47C2" w:rsidRPr="000F31EA">
              <w:rPr>
                <w:sz w:val="20"/>
                <w:szCs w:val="20"/>
              </w:rPr>
              <w:t>.</w:t>
            </w:r>
          </w:p>
          <w:p w:rsidR="00A9568E" w:rsidRDefault="00A9568E" w:rsidP="00A9568E">
            <w:pPr>
              <w:widowControl w:val="0"/>
              <w:jc w:val="both"/>
              <w:rPr>
                <w:sz w:val="20"/>
                <w:szCs w:val="20"/>
              </w:rPr>
            </w:pPr>
          </w:p>
          <w:p w:rsidR="00A9568E" w:rsidRDefault="00A9568E" w:rsidP="00A9568E">
            <w:pPr>
              <w:widowControl w:val="0"/>
              <w:jc w:val="both"/>
              <w:rPr>
                <w:sz w:val="20"/>
                <w:szCs w:val="20"/>
              </w:rPr>
            </w:pPr>
            <w:r>
              <w:rPr>
                <w:sz w:val="20"/>
                <w:szCs w:val="20"/>
              </w:rPr>
              <w:t xml:space="preserve">Jill R. Presser, Andrew </w:t>
            </w:r>
            <w:proofErr w:type="spellStart"/>
            <w:r>
              <w:rPr>
                <w:sz w:val="20"/>
                <w:szCs w:val="20"/>
              </w:rPr>
              <w:t>Menchynski</w:t>
            </w:r>
            <w:proofErr w:type="spellEnd"/>
            <w:r>
              <w:rPr>
                <w:sz w:val="20"/>
                <w:szCs w:val="20"/>
              </w:rPr>
              <w:t xml:space="preserve"> and Timothy J. Lutes for the respondent.</w:t>
            </w:r>
          </w:p>
          <w:p w:rsidR="00A9568E" w:rsidRDefault="00A9568E" w:rsidP="00A9568E">
            <w:pPr>
              <w:widowControl w:val="0"/>
              <w:jc w:val="both"/>
              <w:rPr>
                <w:sz w:val="20"/>
                <w:szCs w:val="20"/>
              </w:rPr>
            </w:pPr>
          </w:p>
          <w:p w:rsidR="00A9568E" w:rsidRDefault="00A9568E" w:rsidP="00A9568E">
            <w:pPr>
              <w:widowControl w:val="0"/>
              <w:jc w:val="both"/>
              <w:rPr>
                <w:sz w:val="20"/>
                <w:szCs w:val="20"/>
              </w:rPr>
            </w:pPr>
            <w:r>
              <w:rPr>
                <w:sz w:val="20"/>
                <w:szCs w:val="20"/>
              </w:rPr>
              <w:t xml:space="preserve">Nader R. Hasan and Justin </w:t>
            </w:r>
            <w:proofErr w:type="spellStart"/>
            <w:r>
              <w:rPr>
                <w:sz w:val="20"/>
                <w:szCs w:val="20"/>
              </w:rPr>
              <w:t>Safayeni</w:t>
            </w:r>
            <w:proofErr w:type="spellEnd"/>
            <w:r>
              <w:rPr>
                <w:sz w:val="20"/>
                <w:szCs w:val="20"/>
              </w:rPr>
              <w:t xml:space="preserve"> for the intervener British Columbia Civil Liberties Association.</w:t>
            </w:r>
          </w:p>
          <w:p w:rsidR="00A9568E" w:rsidRDefault="00A9568E" w:rsidP="00A9568E">
            <w:pPr>
              <w:widowControl w:val="0"/>
              <w:jc w:val="both"/>
              <w:rPr>
                <w:sz w:val="20"/>
                <w:szCs w:val="20"/>
              </w:rPr>
            </w:pPr>
          </w:p>
          <w:p w:rsidR="00A9568E" w:rsidRDefault="00A9568E" w:rsidP="00A9568E">
            <w:pPr>
              <w:widowControl w:val="0"/>
              <w:jc w:val="both"/>
              <w:rPr>
                <w:sz w:val="20"/>
                <w:szCs w:val="20"/>
              </w:rPr>
            </w:pPr>
            <w:r>
              <w:rPr>
                <w:sz w:val="20"/>
                <w:szCs w:val="20"/>
              </w:rPr>
              <w:t>Ingrid Grand for the intervener Criminal Lawyers’ Association (Ontario).</w:t>
            </w:r>
          </w:p>
          <w:p w:rsidR="00A9568E" w:rsidRDefault="00A9568E" w:rsidP="00A9568E">
            <w:pPr>
              <w:widowControl w:val="0"/>
              <w:jc w:val="both"/>
              <w:rPr>
                <w:sz w:val="20"/>
                <w:szCs w:val="20"/>
              </w:rPr>
            </w:pPr>
          </w:p>
          <w:p w:rsidR="00A9568E" w:rsidRDefault="00A9568E" w:rsidP="00A9568E">
            <w:pPr>
              <w:widowControl w:val="0"/>
              <w:jc w:val="both"/>
              <w:rPr>
                <w:sz w:val="20"/>
                <w:szCs w:val="20"/>
              </w:rPr>
            </w:pPr>
            <w:r>
              <w:rPr>
                <w:sz w:val="20"/>
                <w:szCs w:val="20"/>
              </w:rPr>
              <w:t>Andrew S. Faith and Jeffrey Haylock for the intervener John Howard Society of Canada.</w:t>
            </w:r>
          </w:p>
          <w:p w:rsidR="00A9568E" w:rsidRDefault="00A9568E" w:rsidP="00A9568E">
            <w:pPr>
              <w:widowControl w:val="0"/>
              <w:jc w:val="both"/>
              <w:rPr>
                <w:sz w:val="20"/>
                <w:szCs w:val="20"/>
              </w:rPr>
            </w:pPr>
          </w:p>
          <w:p w:rsidR="00A9568E" w:rsidRDefault="00A9568E" w:rsidP="00A9568E">
            <w:pPr>
              <w:widowControl w:val="0"/>
              <w:jc w:val="both"/>
              <w:rPr>
                <w:sz w:val="20"/>
                <w:szCs w:val="20"/>
              </w:rPr>
            </w:pPr>
            <w:r>
              <w:rPr>
                <w:sz w:val="20"/>
                <w:szCs w:val="20"/>
              </w:rPr>
              <w:t>Greg J. Allen and Kenneth K. Leung for the intervener West Coast Prison Justice Society.</w:t>
            </w:r>
          </w:p>
          <w:p w:rsidR="00A9568E" w:rsidRDefault="00A9568E" w:rsidP="00A9568E">
            <w:pPr>
              <w:widowControl w:val="0"/>
              <w:jc w:val="both"/>
              <w:rPr>
                <w:sz w:val="20"/>
                <w:szCs w:val="20"/>
              </w:rPr>
            </w:pPr>
          </w:p>
          <w:p w:rsidR="00A9568E" w:rsidRPr="00C50A5C" w:rsidRDefault="00A9568E" w:rsidP="00A9568E">
            <w:pPr>
              <w:widowControl w:val="0"/>
              <w:jc w:val="both"/>
              <w:rPr>
                <w:sz w:val="20"/>
                <w:szCs w:val="20"/>
              </w:rPr>
            </w:pPr>
            <w:r>
              <w:rPr>
                <w:sz w:val="20"/>
                <w:szCs w:val="20"/>
              </w:rPr>
              <w:t xml:space="preserve">Jonathan </w:t>
            </w:r>
            <w:proofErr w:type="spellStart"/>
            <w:r>
              <w:rPr>
                <w:sz w:val="20"/>
                <w:szCs w:val="20"/>
              </w:rPr>
              <w:t>Rudin</w:t>
            </w:r>
            <w:proofErr w:type="spellEnd"/>
            <w:r>
              <w:rPr>
                <w:sz w:val="20"/>
                <w:szCs w:val="20"/>
              </w:rPr>
              <w:t xml:space="preserve"> and Emily Hill for the intervener Aboriginal Legal Services of Toronto Inc.</w:t>
            </w:r>
          </w:p>
        </w:tc>
      </w:tr>
    </w:tbl>
    <w:p w:rsidR="007C47C2" w:rsidRDefault="007C47C2" w:rsidP="007C47C2">
      <w:pPr>
        <w:widowControl w:val="0"/>
      </w:pPr>
    </w:p>
    <w:p w:rsidR="007C47C2" w:rsidRPr="0085476B" w:rsidRDefault="00BC479A" w:rsidP="007C47C2">
      <w:pPr>
        <w:widowControl w:val="0"/>
        <w:rPr>
          <w:sz w:val="20"/>
          <w:szCs w:val="20"/>
        </w:rPr>
      </w:pPr>
      <w:r>
        <w:rPr>
          <w:b/>
          <w:sz w:val="20"/>
          <w:szCs w:val="20"/>
        </w:rPr>
        <w:t>RESERVED</w:t>
      </w:r>
      <w:r w:rsidR="007C47C2" w:rsidRPr="0085476B">
        <w:rPr>
          <w:b/>
          <w:sz w:val="20"/>
          <w:szCs w:val="20"/>
        </w:rPr>
        <w:t xml:space="preserve"> / </w:t>
      </w:r>
      <w:r>
        <w:rPr>
          <w:b/>
          <w:sz w:val="20"/>
          <w:szCs w:val="20"/>
        </w:rPr>
        <w:t>EN DÉLIBÉRÉ</w:t>
      </w:r>
    </w:p>
    <w:p w:rsidR="007C47C2" w:rsidRPr="005E31A3"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9F22F4">
        <w:tc>
          <w:tcPr>
            <w:tcW w:w="4380" w:type="dxa"/>
            <w:tcMar>
              <w:left w:w="0" w:type="dxa"/>
              <w:right w:w="0" w:type="dxa"/>
            </w:tcMar>
          </w:tcPr>
          <w:p w:rsidR="007C47C2" w:rsidRPr="00CC4D84" w:rsidRDefault="007C47C2" w:rsidP="009F22F4">
            <w:pPr>
              <w:widowControl w:val="0"/>
              <w:jc w:val="both"/>
              <w:rPr>
                <w:b/>
                <w:sz w:val="20"/>
                <w:szCs w:val="20"/>
                <w:u w:val="single"/>
              </w:rPr>
            </w:pPr>
            <w:r w:rsidRPr="00CC4D84">
              <w:rPr>
                <w:b/>
                <w:sz w:val="20"/>
                <w:szCs w:val="20"/>
                <w:u w:val="single"/>
              </w:rPr>
              <w:t>Nature of the case:</w:t>
            </w:r>
          </w:p>
          <w:p w:rsidR="007C47C2" w:rsidRPr="00C1697B" w:rsidRDefault="007C47C2" w:rsidP="009F22F4">
            <w:pPr>
              <w:widowControl w:val="0"/>
              <w:jc w:val="both"/>
              <w:rPr>
                <w:b/>
                <w:sz w:val="20"/>
                <w:szCs w:val="20"/>
              </w:rPr>
            </w:pPr>
          </w:p>
          <w:p w:rsidR="007C47C2" w:rsidRPr="004F19C5" w:rsidRDefault="004F19C5" w:rsidP="009F22F4">
            <w:pPr>
              <w:widowControl w:val="0"/>
              <w:jc w:val="both"/>
              <w:rPr>
                <w:b/>
                <w:sz w:val="20"/>
                <w:szCs w:val="20"/>
              </w:rPr>
            </w:pPr>
            <w:r w:rsidRPr="004F19C5">
              <w:rPr>
                <w:i/>
                <w:sz w:val="20"/>
                <w:szCs w:val="20"/>
              </w:rPr>
              <w:t>Charter of Rights and Freedoms</w:t>
            </w:r>
            <w:r w:rsidRPr="004F19C5">
              <w:rPr>
                <w:sz w:val="20"/>
                <w:szCs w:val="20"/>
              </w:rPr>
              <w:t xml:space="preserve"> - Liberty - Criminal law - Sentencing - Credit for pre-trial custody - In determining length of a sentence, a court may credit the convicted offender one day for each day spent in custody as a result of the offence - If circumstances justify it, enhanced credit of one and one-half days for each day spent in custody may be available - Enhanced credit not available if accused was denied bail and justice presiding over bail hearing stated in the record that the reason was the accused’s prior criminal record - Whether limitation on the availability of enhanced credit for time spent in custody infringes s. 7 of the </w:t>
            </w:r>
            <w:r w:rsidRPr="004F19C5">
              <w:rPr>
                <w:i/>
                <w:sz w:val="20"/>
                <w:szCs w:val="20"/>
              </w:rPr>
              <w:t>Charter</w:t>
            </w:r>
            <w:r w:rsidRPr="004F19C5">
              <w:rPr>
                <w:sz w:val="20"/>
                <w:szCs w:val="20"/>
              </w:rPr>
              <w:t xml:space="preserve"> - If so, whether limitation is saved by s. 1 of the</w:t>
            </w:r>
            <w:r w:rsidRPr="004F19C5">
              <w:rPr>
                <w:i/>
                <w:sz w:val="20"/>
                <w:szCs w:val="20"/>
              </w:rPr>
              <w:t xml:space="preserve"> Charter</w:t>
            </w:r>
            <w:r w:rsidRPr="004F19C5">
              <w:rPr>
                <w:sz w:val="20"/>
                <w:szCs w:val="20"/>
              </w:rPr>
              <w:t xml:space="preserve"> - </w:t>
            </w:r>
            <w:r w:rsidRPr="004F19C5">
              <w:rPr>
                <w:i/>
                <w:sz w:val="20"/>
                <w:szCs w:val="20"/>
              </w:rPr>
              <w:t>Truth in Sentencing Act</w:t>
            </w:r>
            <w:hyperlink r:id="rId98" w:anchor="sec719subsec3.1_smooth" w:history="1">
              <w:r w:rsidRPr="004F19C5">
                <w:rPr>
                  <w:sz w:val="20"/>
                  <w:szCs w:val="20"/>
                </w:rPr>
                <w:t xml:space="preserve">, S.C. 2009, c. 29 - </w:t>
              </w:r>
              <w:r w:rsidRPr="004F19C5">
                <w:rPr>
                  <w:i/>
                  <w:sz w:val="20"/>
                  <w:szCs w:val="20"/>
                </w:rPr>
                <w:t>Criminal Code</w:t>
              </w:r>
              <w:r w:rsidRPr="004F19C5">
                <w:rPr>
                  <w:sz w:val="20"/>
                  <w:szCs w:val="20"/>
                </w:rPr>
                <w:t>, R.S.C. 1985, c. C-46, ss. 719(3)</w:t>
              </w:r>
            </w:hyperlink>
            <w:r w:rsidRPr="004F19C5">
              <w:rPr>
                <w:sz w:val="20"/>
                <w:szCs w:val="20"/>
              </w:rPr>
              <w:t>, 719(3.1).</w:t>
            </w:r>
          </w:p>
        </w:tc>
        <w:tc>
          <w:tcPr>
            <w:tcW w:w="720" w:type="dxa"/>
            <w:tcMar>
              <w:left w:w="0" w:type="dxa"/>
              <w:right w:w="0" w:type="dxa"/>
            </w:tcMar>
          </w:tcPr>
          <w:p w:rsidR="007C47C2" w:rsidRPr="00C1697B" w:rsidRDefault="007C47C2" w:rsidP="009F22F4">
            <w:pPr>
              <w:widowControl w:val="0"/>
              <w:jc w:val="center"/>
              <w:rPr>
                <w:sz w:val="20"/>
                <w:szCs w:val="20"/>
              </w:rPr>
            </w:pPr>
          </w:p>
        </w:tc>
        <w:tc>
          <w:tcPr>
            <w:tcW w:w="4380" w:type="dxa"/>
            <w:tcMar>
              <w:left w:w="0" w:type="dxa"/>
              <w:right w:w="0" w:type="dxa"/>
            </w:tcMar>
          </w:tcPr>
          <w:p w:rsidR="007C47C2" w:rsidRPr="00CC4D84" w:rsidRDefault="007C47C2" w:rsidP="009F22F4">
            <w:pPr>
              <w:widowControl w:val="0"/>
              <w:jc w:val="both"/>
              <w:rPr>
                <w:b/>
                <w:sz w:val="20"/>
                <w:szCs w:val="20"/>
                <w:u w:val="single"/>
                <w:lang w:val="fr-CA"/>
              </w:rPr>
            </w:pPr>
            <w:r w:rsidRPr="00CC4D84">
              <w:rPr>
                <w:b/>
                <w:sz w:val="20"/>
                <w:szCs w:val="20"/>
                <w:u w:val="single"/>
                <w:lang w:val="fr-CA"/>
              </w:rPr>
              <w:t>Nature de la cause :</w:t>
            </w:r>
          </w:p>
          <w:p w:rsidR="007C47C2" w:rsidRPr="004F19C5" w:rsidRDefault="007C47C2" w:rsidP="009F22F4">
            <w:pPr>
              <w:widowControl w:val="0"/>
              <w:jc w:val="both"/>
              <w:rPr>
                <w:sz w:val="20"/>
                <w:szCs w:val="20"/>
                <w:lang w:val="fr-CA"/>
              </w:rPr>
            </w:pPr>
          </w:p>
          <w:p w:rsidR="007C47C2" w:rsidRPr="00C1697B" w:rsidRDefault="004F19C5" w:rsidP="009F22F4">
            <w:pPr>
              <w:widowControl w:val="0"/>
              <w:jc w:val="both"/>
              <w:rPr>
                <w:sz w:val="20"/>
                <w:szCs w:val="20"/>
                <w:lang w:val="fr-CA"/>
              </w:rPr>
            </w:pPr>
            <w:r w:rsidRPr="004F19C5">
              <w:rPr>
                <w:i/>
                <w:sz w:val="20"/>
                <w:szCs w:val="20"/>
                <w:lang w:val="fr-CA"/>
              </w:rPr>
              <w:t>Charte des droits et libertés</w:t>
            </w:r>
            <w:r w:rsidRPr="004F19C5">
              <w:rPr>
                <w:sz w:val="20"/>
                <w:szCs w:val="20"/>
                <w:lang w:val="fr-CA"/>
              </w:rPr>
              <w:t xml:space="preserve"> - Droit à la liberté - Droit criminel - Détermination de la peine - Temps alloué pour détention sous garde avant le procès - Pour fixer la durée d’une peine, le tribunal peut allouer au contrevenant déclaré coupable d’une infraction un jour pour chaque jour passé sous garde par suite de l’infraction - Si les circonstances le justifient, le tribunal peut octroyer un crédit majoré d’un jour et demi pour chaque jour passé sous garde - Toutefois, ce crédit majoré ne peut être octroyé si l’accusé s’est vu refuser une mise en liberté sous caution et si le juge qui présidait l’enquête sur la mise en liberté a inscrit au dossier que la mise en liberté a été refusée en raison du casier judiciaire de l’accusé - La limite apportée à la possibilité d’octroyer un crédit majoré pour le temps passé sous garde contrevient-elle à l’art. 7 de la </w:t>
            </w:r>
            <w:r w:rsidRPr="004F19C5">
              <w:rPr>
                <w:i/>
                <w:sz w:val="20"/>
                <w:szCs w:val="20"/>
                <w:lang w:val="fr-CA"/>
              </w:rPr>
              <w:t>Charte</w:t>
            </w:r>
            <w:r w:rsidRPr="004F19C5">
              <w:rPr>
                <w:sz w:val="20"/>
                <w:szCs w:val="20"/>
                <w:lang w:val="fr-CA"/>
              </w:rPr>
              <w:t xml:space="preserve">? - Dans l’affirmative, est-elle justifiée au regard de l’article premier de la </w:t>
            </w:r>
            <w:r w:rsidRPr="004F19C5">
              <w:rPr>
                <w:i/>
                <w:sz w:val="20"/>
                <w:szCs w:val="20"/>
                <w:lang w:val="fr-CA"/>
              </w:rPr>
              <w:t>Charte</w:t>
            </w:r>
            <w:r w:rsidRPr="004F19C5">
              <w:rPr>
                <w:sz w:val="20"/>
                <w:szCs w:val="20"/>
                <w:lang w:val="fr-CA"/>
              </w:rPr>
              <w:t xml:space="preserve">? - </w:t>
            </w:r>
            <w:r w:rsidRPr="004F19C5">
              <w:rPr>
                <w:i/>
                <w:sz w:val="20"/>
                <w:szCs w:val="20"/>
                <w:lang w:val="fr-CA"/>
              </w:rPr>
              <w:t>Loi sur l’adéquation de la peine et du crime</w:t>
            </w:r>
            <w:hyperlink r:id="rId99" w:anchor="sec719subsec3.1_smooth" w:history="1">
              <w:r w:rsidRPr="004F19C5">
                <w:rPr>
                  <w:sz w:val="20"/>
                  <w:szCs w:val="20"/>
                  <w:lang w:val="fr-CA"/>
                </w:rPr>
                <w:t xml:space="preserve">, L.C. 2009, ch. 29 - </w:t>
              </w:r>
              <w:r w:rsidRPr="004F19C5">
                <w:rPr>
                  <w:i/>
                  <w:sz w:val="20"/>
                  <w:szCs w:val="20"/>
                  <w:lang w:val="fr-CA"/>
                </w:rPr>
                <w:t>Code criminel</w:t>
              </w:r>
              <w:r w:rsidRPr="004F19C5">
                <w:rPr>
                  <w:sz w:val="20"/>
                  <w:szCs w:val="20"/>
                  <w:lang w:val="fr-CA"/>
                </w:rPr>
                <w:t>, L.R.C. 1985, ch. C-46, par. 719(3)</w:t>
              </w:r>
            </w:hyperlink>
            <w:r w:rsidRPr="004F19C5">
              <w:rPr>
                <w:sz w:val="20"/>
                <w:szCs w:val="20"/>
                <w:lang w:val="fr-CA"/>
              </w:rPr>
              <w:t xml:space="preserve"> et 719(3.1).</w:t>
            </w:r>
          </w:p>
        </w:tc>
      </w:tr>
    </w:tbl>
    <w:p w:rsidR="007C47C2" w:rsidRDefault="007C47C2" w:rsidP="007C47C2">
      <w:pPr>
        <w:widowControl w:val="0"/>
        <w:rPr>
          <w:sz w:val="20"/>
          <w:szCs w:val="20"/>
          <w:lang w:val="fr-CA"/>
        </w:rPr>
      </w:pPr>
    </w:p>
    <w:p w:rsidR="00732DB7" w:rsidRPr="00C1697B" w:rsidRDefault="00C232E1" w:rsidP="00732DB7">
      <w:pPr>
        <w:widowControl w:val="0"/>
        <w:rPr>
          <w:sz w:val="20"/>
          <w:szCs w:val="20"/>
          <w:lang w:val="fr-CA"/>
        </w:rPr>
      </w:pPr>
      <w:r>
        <w:rPr>
          <w:sz w:val="20"/>
          <w:szCs w:val="20"/>
          <w:lang w:val="fr-CA"/>
        </w:rPr>
        <w:pict>
          <v:rect id="_x0000_i1095" style="width:2in;height:1pt" o:hrpct="0" o:hralign="center" o:hrstd="t" o:hrnoshade="t" o:hr="t" fillcolor="black [3213]" stroked="f"/>
        </w:pict>
      </w:r>
    </w:p>
    <w:p w:rsidR="00732DB7" w:rsidRPr="00C1697B" w:rsidRDefault="00732DB7" w:rsidP="00732DB7">
      <w:pPr>
        <w:widowControl w:val="0"/>
        <w:rPr>
          <w:sz w:val="20"/>
          <w:szCs w:val="20"/>
          <w:lang w:val="fr-CA"/>
        </w:rPr>
        <w:sectPr w:rsidR="00732DB7" w:rsidRPr="00C1697B" w:rsidSect="00732DB7">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720" w:footer="960"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9F22F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F22F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F22F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DECEMBER - DÉCEMBRE</w:t>
            </w:r>
          </w:p>
        </w:tc>
      </w:tr>
      <w:tr w:rsidR="008902B1" w:rsidRPr="002E0C7E" w:rsidTr="009F22F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r>
      <w:tr w:rsidR="008902B1" w:rsidRPr="002E0C7E" w:rsidTr="009F22F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M</w:t>
            </w:r>
          </w:p>
          <w:p w:rsidR="008902B1" w:rsidRPr="002E0C7E" w:rsidRDefault="008902B1" w:rsidP="009F22F4">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r>
      <w:tr w:rsidR="008902B1" w:rsidRPr="002E0C7E" w:rsidTr="009F22F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9F22F4">
            <w:pPr>
              <w:widowControl w:val="0"/>
              <w:jc w:val="center"/>
              <w:rPr>
                <w:rFonts w:ascii="Arial" w:hAnsi="Arial"/>
                <w:b/>
                <w:sz w:val="14"/>
              </w:rPr>
            </w:pPr>
            <w:r>
              <w:rPr>
                <w:rFonts w:ascii="Arial" w:hAnsi="Arial"/>
                <w:b/>
                <w:sz w:val="14"/>
              </w:rPr>
              <w:t>M</w:t>
            </w:r>
          </w:p>
          <w:p w:rsidR="008902B1" w:rsidRPr="002E0C7E" w:rsidRDefault="008902B1" w:rsidP="009F22F4">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9F22F4">
            <w:pPr>
              <w:widowControl w:val="0"/>
              <w:jc w:val="center"/>
              <w:rPr>
                <w:rFonts w:ascii="Arial" w:hAnsi="Arial"/>
                <w:b/>
                <w:sz w:val="14"/>
              </w:rPr>
            </w:pPr>
            <w:r w:rsidRPr="002A4724">
              <w:rPr>
                <w:rFonts w:ascii="Arial" w:hAnsi="Arial"/>
                <w:b/>
                <w:sz w:val="14"/>
              </w:rPr>
              <w:t>H</w:t>
            </w:r>
          </w:p>
          <w:p w:rsidR="008902B1" w:rsidRPr="002E0C7E" w:rsidRDefault="008902B1" w:rsidP="009F22F4">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12</w:t>
            </w:r>
          </w:p>
        </w:tc>
      </w:tr>
      <w:tr w:rsidR="008902B1" w:rsidRPr="002E0C7E" w:rsidTr="009F22F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9F22F4">
            <w:pPr>
              <w:widowControl w:val="0"/>
              <w:jc w:val="center"/>
              <w:rPr>
                <w:rFonts w:ascii="Arial" w:hAnsi="Arial"/>
                <w:b/>
                <w:sz w:val="14"/>
              </w:rPr>
            </w:pPr>
            <w:r>
              <w:rPr>
                <w:rFonts w:ascii="Arial" w:hAnsi="Arial"/>
                <w:b/>
                <w:sz w:val="14"/>
              </w:rPr>
              <w:t>H</w:t>
            </w: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19</w:t>
            </w:r>
          </w:p>
        </w:tc>
      </w:tr>
      <w:tr w:rsidR="008902B1" w:rsidRPr="002E0C7E" w:rsidTr="009F22F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9F22F4">
            <w:pPr>
              <w:widowControl w:val="0"/>
              <w:jc w:val="center"/>
              <w:rPr>
                <w:rFonts w:ascii="Arial" w:hAnsi="Arial"/>
                <w:b/>
                <w:sz w:val="14"/>
              </w:rPr>
            </w:pPr>
            <w:r>
              <w:rPr>
                <w:rFonts w:ascii="Arial" w:hAnsi="Arial"/>
                <w:b/>
                <w:sz w:val="14"/>
              </w:rPr>
              <w:t>H</w:t>
            </w:r>
          </w:p>
          <w:p w:rsidR="008902B1" w:rsidRPr="002E0C7E" w:rsidRDefault="008902B1" w:rsidP="009F22F4">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9F22F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9F22F4">
            <w:pPr>
              <w:widowControl w:val="0"/>
              <w:jc w:val="center"/>
              <w:rPr>
                <w:rFonts w:ascii="Arial" w:hAnsi="Arial"/>
                <w:b/>
                <w:sz w:val="14"/>
              </w:rPr>
            </w:pPr>
            <w:r w:rsidRPr="002A4724">
              <w:rPr>
                <w:rFonts w:ascii="Arial" w:hAnsi="Arial"/>
                <w:b/>
                <w:sz w:val="14"/>
              </w:rPr>
              <w:t>M</w:t>
            </w:r>
          </w:p>
          <w:p w:rsidR="008902B1" w:rsidRPr="002E0C7E" w:rsidRDefault="008902B1" w:rsidP="009F22F4">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9F22F4">
            <w:pPr>
              <w:widowControl w:val="0"/>
              <w:jc w:val="center"/>
              <w:rPr>
                <w:rFonts w:ascii="Arial" w:hAnsi="Arial"/>
                <w:b/>
                <w:sz w:val="14"/>
              </w:rPr>
            </w:pPr>
            <w:r>
              <w:rPr>
                <w:rFonts w:ascii="Arial" w:hAnsi="Arial"/>
                <w:b/>
                <w:sz w:val="14"/>
              </w:rPr>
              <w:t>H</w:t>
            </w:r>
          </w:p>
          <w:p w:rsidR="008902B1" w:rsidRPr="002E0C7E" w:rsidRDefault="008902B1" w:rsidP="009F22F4">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9F22F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F22F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F22F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MARCH - MARS</w:t>
            </w:r>
          </w:p>
        </w:tc>
      </w:tr>
      <w:tr w:rsidR="008902B1" w:rsidRPr="002E0C7E" w:rsidTr="009F22F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9F22F4">
            <w:pPr>
              <w:widowControl w:val="0"/>
              <w:jc w:val="center"/>
              <w:rPr>
                <w:rFonts w:ascii="Arial" w:hAnsi="Arial"/>
                <w:b/>
                <w:sz w:val="14"/>
              </w:rPr>
            </w:pPr>
            <w:r w:rsidRPr="00CD2D42">
              <w:rPr>
                <w:rFonts w:ascii="Arial" w:hAnsi="Arial"/>
                <w:b/>
                <w:sz w:val="14"/>
              </w:rPr>
              <w:t>H</w:t>
            </w: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12</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9F22F4">
            <w:pPr>
              <w:widowControl w:val="0"/>
              <w:jc w:val="center"/>
              <w:rPr>
                <w:rFonts w:ascii="Arial" w:hAnsi="Arial"/>
                <w:b/>
                <w:sz w:val="14"/>
              </w:rPr>
            </w:pPr>
            <w:r>
              <w:rPr>
                <w:rFonts w:ascii="Arial" w:hAnsi="Arial"/>
                <w:b/>
                <w:sz w:val="14"/>
              </w:rPr>
              <w:t>M</w:t>
            </w: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9F22F4">
            <w:pPr>
              <w:widowControl w:val="0"/>
              <w:jc w:val="center"/>
              <w:rPr>
                <w:rFonts w:ascii="Arial" w:hAnsi="Arial"/>
                <w:b/>
                <w:sz w:val="14"/>
              </w:rPr>
            </w:pPr>
            <w:r>
              <w:rPr>
                <w:rFonts w:ascii="Arial" w:hAnsi="Arial"/>
                <w:b/>
                <w:sz w:val="14"/>
              </w:rPr>
              <w:t>M</w:t>
            </w: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9F22F4">
            <w:pPr>
              <w:widowControl w:val="0"/>
              <w:jc w:val="center"/>
              <w:rPr>
                <w:rFonts w:ascii="Arial" w:hAnsi="Arial"/>
                <w:b/>
                <w:sz w:val="14"/>
              </w:rPr>
            </w:pPr>
            <w:r>
              <w:rPr>
                <w:rFonts w:ascii="Arial" w:hAnsi="Arial"/>
                <w:b/>
                <w:sz w:val="14"/>
              </w:rPr>
              <w:t>M</w:t>
            </w:r>
          </w:p>
          <w:p w:rsidR="008902B1" w:rsidRPr="002E0C7E" w:rsidRDefault="008902B1" w:rsidP="009F22F4">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9F22F4">
            <w:pPr>
              <w:widowControl w:val="0"/>
              <w:jc w:val="center"/>
              <w:rPr>
                <w:rFonts w:ascii="Arial" w:hAnsi="Arial"/>
                <w:b/>
                <w:sz w:val="14"/>
              </w:rPr>
            </w:pPr>
            <w:r>
              <w:rPr>
                <w:rFonts w:ascii="Arial" w:hAnsi="Arial"/>
                <w:b/>
                <w:sz w:val="14"/>
              </w:rPr>
              <w:t>H</w:t>
            </w: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9F22F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9F22F4">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9F22F4">
            <w:pPr>
              <w:widowControl w:val="0"/>
              <w:jc w:val="center"/>
              <w:rPr>
                <w:rFonts w:ascii="Arial" w:hAnsi="Arial"/>
                <w:b/>
                <w:sz w:val="14"/>
              </w:rPr>
            </w:pPr>
            <w:r>
              <w:rPr>
                <w:rFonts w:ascii="Arial" w:hAnsi="Arial"/>
                <w:b/>
                <w:sz w:val="14"/>
              </w:rPr>
              <w:t>H</w:t>
            </w:r>
          </w:p>
          <w:p w:rsidR="008902B1" w:rsidRPr="002E0C7E" w:rsidRDefault="008902B1" w:rsidP="009F22F4">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9F22F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F22F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9F22F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9F22F4">
            <w:pPr>
              <w:widowControl w:val="0"/>
              <w:jc w:val="center"/>
              <w:rPr>
                <w:rFonts w:ascii="Arial" w:hAnsi="Arial"/>
                <w:sz w:val="14"/>
              </w:rPr>
            </w:pPr>
            <w:r w:rsidRPr="002E0C7E">
              <w:rPr>
                <w:rFonts w:ascii="Arial" w:hAnsi="Arial"/>
                <w:b/>
                <w:sz w:val="14"/>
              </w:rPr>
              <w:t>JUNE - JUIN</w:t>
            </w:r>
          </w:p>
        </w:tc>
      </w:tr>
      <w:tr w:rsidR="008902B1" w:rsidRPr="002E0C7E" w:rsidTr="009F22F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S</w:t>
            </w:r>
          </w:p>
          <w:p w:rsidR="008902B1" w:rsidRPr="002E0C7E" w:rsidRDefault="008902B1" w:rsidP="009F22F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M</w:t>
            </w:r>
          </w:p>
          <w:p w:rsidR="008902B1" w:rsidRPr="002E0C7E" w:rsidRDefault="008902B1" w:rsidP="009F22F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W</w:t>
            </w:r>
          </w:p>
          <w:p w:rsidR="008902B1" w:rsidRPr="002E0C7E" w:rsidRDefault="008902B1" w:rsidP="009F22F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T</w:t>
            </w:r>
          </w:p>
          <w:p w:rsidR="008902B1" w:rsidRPr="002E0C7E" w:rsidRDefault="008902B1" w:rsidP="009F22F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sidRPr="002E0C7E">
              <w:rPr>
                <w:rFonts w:ascii="Arial" w:hAnsi="Arial"/>
                <w:sz w:val="14"/>
              </w:rPr>
              <w:t>F</w:t>
            </w:r>
          </w:p>
          <w:p w:rsidR="008902B1" w:rsidRPr="002E0C7E" w:rsidRDefault="008902B1" w:rsidP="009F22F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r>
              <w:rPr>
                <w:rFonts w:ascii="Arial" w:hAnsi="Arial"/>
                <w:sz w:val="14"/>
              </w:rPr>
              <w:t>S</w:t>
            </w:r>
          </w:p>
          <w:p w:rsidR="008902B1" w:rsidRPr="002E0C7E" w:rsidRDefault="008902B1" w:rsidP="009F22F4">
            <w:pPr>
              <w:widowControl w:val="0"/>
              <w:jc w:val="center"/>
              <w:rPr>
                <w:rFonts w:ascii="Arial" w:hAnsi="Arial"/>
                <w:sz w:val="14"/>
              </w:rPr>
            </w:pPr>
            <w:r>
              <w:rPr>
                <w:rFonts w:ascii="Arial" w:hAnsi="Arial"/>
                <w:sz w:val="14"/>
              </w:rPr>
              <w:t>S</w:t>
            </w:r>
          </w:p>
        </w:tc>
      </w:tr>
      <w:tr w:rsidR="008902B1" w:rsidRPr="002E0C7E" w:rsidTr="009F22F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11</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9F22F4">
            <w:pPr>
              <w:widowControl w:val="0"/>
              <w:jc w:val="center"/>
              <w:rPr>
                <w:rFonts w:ascii="Arial" w:hAnsi="Arial"/>
                <w:b/>
                <w:sz w:val="14"/>
              </w:rPr>
            </w:pPr>
          </w:p>
          <w:p w:rsidR="008902B1" w:rsidRPr="002E0C7E" w:rsidRDefault="008902B1" w:rsidP="009F22F4">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9F22F4">
            <w:pPr>
              <w:widowControl w:val="0"/>
              <w:jc w:val="center"/>
              <w:rPr>
                <w:rFonts w:ascii="Arial" w:hAnsi="Arial"/>
                <w:b/>
                <w:sz w:val="14"/>
              </w:rPr>
            </w:pPr>
            <w:r w:rsidRPr="002453E3">
              <w:rPr>
                <w:rFonts w:ascii="Arial" w:hAnsi="Arial"/>
                <w:b/>
                <w:sz w:val="14"/>
              </w:rPr>
              <w:t>M</w:t>
            </w: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9F22F4">
            <w:pPr>
              <w:widowControl w:val="0"/>
              <w:jc w:val="center"/>
              <w:rPr>
                <w:rFonts w:ascii="Arial" w:hAnsi="Arial"/>
                <w:b/>
                <w:sz w:val="14"/>
              </w:rPr>
            </w:pPr>
            <w:r>
              <w:rPr>
                <w:rFonts w:ascii="Arial" w:hAnsi="Arial"/>
                <w:b/>
                <w:sz w:val="14"/>
              </w:rPr>
              <w:t>M</w:t>
            </w: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18</w:t>
            </w:r>
          </w:p>
        </w:tc>
      </w:tr>
      <w:tr w:rsidR="008902B1" w:rsidRPr="002E0C7E" w:rsidTr="009F22F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9F22F4">
            <w:pPr>
              <w:widowControl w:val="0"/>
              <w:jc w:val="center"/>
              <w:rPr>
                <w:rFonts w:ascii="Arial" w:hAnsi="Arial"/>
                <w:b/>
                <w:sz w:val="14"/>
              </w:rPr>
            </w:pPr>
            <w:r w:rsidRPr="0049680E">
              <w:rPr>
                <w:rFonts w:ascii="Arial" w:hAnsi="Arial"/>
                <w:b/>
                <w:sz w:val="14"/>
              </w:rPr>
              <w:t>M</w:t>
            </w:r>
          </w:p>
          <w:p w:rsidR="008902B1" w:rsidRPr="002E0C7E" w:rsidRDefault="008902B1" w:rsidP="009F22F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9F22F4">
            <w:pPr>
              <w:widowControl w:val="0"/>
              <w:jc w:val="center"/>
              <w:rPr>
                <w:rFonts w:ascii="Arial" w:hAnsi="Arial"/>
                <w:b/>
                <w:sz w:val="14"/>
              </w:rPr>
            </w:pPr>
            <w:r>
              <w:rPr>
                <w:rFonts w:ascii="Arial" w:hAnsi="Arial"/>
                <w:b/>
                <w:sz w:val="14"/>
              </w:rPr>
              <w:t>H</w:t>
            </w:r>
          </w:p>
          <w:p w:rsidR="008902B1" w:rsidRPr="002E0C7E" w:rsidRDefault="008902B1" w:rsidP="009F22F4">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9F22F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9F22F4">
            <w:pPr>
              <w:widowControl w:val="0"/>
              <w:jc w:val="center"/>
              <w:rPr>
                <w:rFonts w:ascii="Arial" w:hAnsi="Arial"/>
                <w:sz w:val="14"/>
              </w:rPr>
            </w:pPr>
          </w:p>
          <w:p w:rsidR="008902B1" w:rsidRPr="002E0C7E" w:rsidRDefault="008902B1" w:rsidP="009F22F4">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9F22F4">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9F22F4">
            <w:pPr>
              <w:widowControl w:val="0"/>
              <w:rPr>
                <w:rFonts w:ascii="Arial" w:hAnsi="Arial"/>
                <w:sz w:val="16"/>
              </w:rPr>
            </w:pPr>
            <w:r w:rsidRPr="002E0C7E">
              <w:rPr>
                <w:rFonts w:ascii="Arial" w:hAnsi="Arial"/>
                <w:sz w:val="16"/>
              </w:rPr>
              <w:t>Sittings of the court:</w:t>
            </w:r>
          </w:p>
          <w:p w:rsidR="008902B1" w:rsidRPr="002E0C7E" w:rsidRDefault="008902B1" w:rsidP="009F22F4">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9F22F4">
            <w:pPr>
              <w:widowControl w:val="0"/>
              <w:rPr>
                <w:rFonts w:ascii="Arial" w:hAnsi="Arial"/>
                <w:sz w:val="16"/>
              </w:rPr>
            </w:pPr>
          </w:p>
          <w:p w:rsidR="008902B1" w:rsidRPr="002E0C7E" w:rsidRDefault="008902B1" w:rsidP="009F22F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9F22F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9F22F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9F22F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9F22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6"/>
      <w:footerReference w:type="default" r:id="rId10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16" w:rsidRDefault="00774C16" w:rsidP="00A87207">
      <w:r>
        <w:separator/>
      </w:r>
    </w:p>
  </w:endnote>
  <w:endnote w:type="continuationSeparator" w:id="0">
    <w:p w:rsidR="00774C16" w:rsidRDefault="00774C1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pPr>
      <w:pStyle w:val="Footer"/>
      <w:rPr>
        <w:lang w:val="fr-CA"/>
      </w:rPr>
    </w:pPr>
    <w:r>
      <w:rPr>
        <w:lang w:val="fr-CA"/>
      </w:rPr>
      <w:pict>
        <v:rect id="_x0000_i1081" style="width:480.95pt;height:1pt" o:hralign="center" o:hrstd="t" o:hrnoshade="t" o:hr="t" fillcolor="black [3213]" stroked="f"/>
      </w:pict>
    </w:r>
  </w:p>
  <w:p w:rsidR="00774C16" w:rsidRDefault="00774C16" w:rsidP="00245129">
    <w:pPr>
      <w:tabs>
        <w:tab w:val="center" w:pos="4680"/>
      </w:tabs>
    </w:pPr>
    <w:r>
      <w:tab/>
    </w:r>
    <w:r w:rsidRPr="0009648D">
      <w:t xml:space="preserve">- </w:t>
    </w:r>
    <w:r>
      <w:fldChar w:fldCharType="begin"/>
    </w:r>
    <w:r>
      <w:instrText xml:space="preserve"> PAGE   \* MERGEFORMAT </w:instrText>
    </w:r>
    <w:r>
      <w:fldChar w:fldCharType="separate"/>
    </w:r>
    <w:r w:rsidR="00C232E1">
      <w:rPr>
        <w:noProof/>
      </w:rPr>
      <w:t>1604</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4C16" w:rsidRDefault="00774C1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755F22">
    <w:pPr>
      <w:tabs>
        <w:tab w:val="left" w:pos="-1440"/>
        <w:tab w:val="left" w:pos="-720"/>
      </w:tabs>
    </w:pPr>
    <w:r>
      <w:pict>
        <v:rect id="_x0000_i1089" style="width:480.95pt;height:1pt" o:hralign="center" o:hrstd="t" o:hrnoshade="t" o:hr="t" fillcolor="black [3213]" stroked="f"/>
      </w:pict>
    </w:r>
  </w:p>
  <w:p w:rsidR="00774C16" w:rsidRDefault="00774C16" w:rsidP="00EB2B90">
    <w:pPr>
      <w:tabs>
        <w:tab w:val="center" w:pos="4680"/>
      </w:tabs>
    </w:pPr>
    <w:r>
      <w:tab/>
      <w:t xml:space="preserve">- </w:t>
    </w:r>
    <w:r>
      <w:fldChar w:fldCharType="begin"/>
    </w:r>
    <w:r>
      <w:instrText xml:space="preserve"> PAGE   \* MERGEFORMAT </w:instrText>
    </w:r>
    <w:r>
      <w:fldChar w:fldCharType="separate"/>
    </w:r>
    <w:r w:rsidR="00C232E1">
      <w:rPr>
        <w:noProof/>
      </w:rPr>
      <w:t>1638</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EB2B90">
    <w:pPr>
      <w:tabs>
        <w:tab w:val="center" w:pos="4680"/>
      </w:tabs>
    </w:pPr>
    <w:r>
      <w:pict>
        <v:rect id="_x0000_i1090" style="width:480.95pt;height:1pt" o:hralign="center" o:hrstd="t" o:hrnoshade="t" o:hr="t" fillcolor="black [3213]" stroked="f"/>
      </w:pict>
    </w:r>
  </w:p>
  <w:p w:rsidR="00774C16" w:rsidRPr="0031432F" w:rsidRDefault="00774C16" w:rsidP="00EB2B90">
    <w:pPr>
      <w:tabs>
        <w:tab w:val="center" w:pos="4680"/>
      </w:tabs>
    </w:pPr>
    <w:r>
      <w:tab/>
      <w:t xml:space="preserve">- </w:t>
    </w:r>
    <w:r>
      <w:fldChar w:fldCharType="begin"/>
    </w:r>
    <w:r>
      <w:instrText xml:space="preserve"> PAGE   \* MERGEFORMAT </w:instrText>
    </w:r>
    <w:r>
      <w:fldChar w:fldCharType="separate"/>
    </w:r>
    <w:r w:rsidR="00C232E1">
      <w:rPr>
        <w:noProof/>
      </w:rPr>
      <w:t>1633</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4C16" w:rsidRDefault="00774C1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2" style="width:480.95pt;height:1pt" o:hralign="center" o:hrstd="t" o:hrnoshade="t" o:hr="t" fillcolor="black [3213]" stroked="f"/>
      </w:pict>
    </w:r>
  </w:p>
  <w:p w:rsidR="00774C16" w:rsidRDefault="00774C1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pPr>
      <w:pStyle w:val="Footer"/>
      <w:rPr>
        <w:lang w:val="fr-CA"/>
      </w:rPr>
    </w:pPr>
    <w:r>
      <w:rPr>
        <w:lang w:val="fr-CA"/>
      </w:rPr>
      <w:pict>
        <v:rect id="_x0000_i1093" style="width:480.95pt;height:1pt" o:hralign="center" o:hrstd="t" o:hrnoshade="t" o:hr="t" fillcolor="black [3213]" stroked="f"/>
      </w:pict>
    </w:r>
  </w:p>
  <w:p w:rsidR="00774C16" w:rsidRDefault="00774C16" w:rsidP="00EB2B90">
    <w:pPr>
      <w:tabs>
        <w:tab w:val="center" w:pos="4680"/>
      </w:tabs>
    </w:pPr>
    <w:r>
      <w:tab/>
      <w:t xml:space="preserve">- </w:t>
    </w:r>
    <w:r>
      <w:fldChar w:fldCharType="begin"/>
    </w:r>
    <w:r>
      <w:instrText xml:space="preserve"> PAGE   \* MERGEFORMAT </w:instrText>
    </w:r>
    <w:r>
      <w:fldChar w:fldCharType="separate"/>
    </w:r>
    <w:r w:rsidR="00C232E1">
      <w:rPr>
        <w:noProof/>
      </w:rPr>
      <w:t>1639</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4C16" w:rsidRDefault="00774C1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732DB7">
    <w:r>
      <w:pict>
        <v:rect id="_x0000_i1096" style="width:480.95pt;height:1pt" o:hralign="center" o:hrstd="t" o:hrnoshade="t" o:hr="t" fillcolor="black" stroked="f"/>
      </w:pict>
    </w:r>
  </w:p>
  <w:p w:rsidR="00774C16" w:rsidRDefault="00774C16">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pPr>
      <w:pStyle w:val="Footer"/>
    </w:pPr>
    <w:r>
      <w:pict>
        <v:rect id="_x0000_i1097" style="width:480.95pt;height:1pt" o:hralign="center" o:hrstd="t" o:hrnoshade="t" o:hr="t" fillcolor="black" stroked="f"/>
      </w:pict>
    </w:r>
  </w:p>
  <w:p w:rsidR="00774C16" w:rsidRPr="00283C52" w:rsidRDefault="00774C16">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Pr="00924065" w:rsidRDefault="00774C1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A87207">
    <w:pPr>
      <w:pStyle w:val="Footer"/>
    </w:pPr>
    <w:r>
      <w:pict>
        <v:rect id="_x0000_i1042" style="width:480.95pt;height:1pt" o:hralign="center" o:hrstd="t" o:hrnoshade="t" o:hr="t" fillcolor="black [3213]" stroked="f"/>
      </w:pict>
    </w:r>
  </w:p>
  <w:p w:rsidR="00774C16" w:rsidRPr="00B7374B" w:rsidRDefault="00774C1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232E1">
      <w:rPr>
        <w:noProof/>
        <w:szCs w:val="24"/>
      </w:rPr>
      <w:t>1602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755F22">
    <w:pPr>
      <w:tabs>
        <w:tab w:val="left" w:pos="-1440"/>
        <w:tab w:val="left" w:pos="-720"/>
      </w:tabs>
    </w:pPr>
    <w:r>
      <w:pict>
        <v:rect id="_x0000_i1043" style="width:480.95pt;height:1pt" o:hralign="center" o:hrstd="t" o:hrnoshade="t" o:hr="t" fillcolor="black [3213]" stroked="f"/>
      </w:pict>
    </w:r>
  </w:p>
  <w:p w:rsidR="00774C16" w:rsidRPr="00954D22" w:rsidRDefault="00774C1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232E1">
      <w:rPr>
        <w:noProof/>
        <w:szCs w:val="24"/>
      </w:rPr>
      <w:t>1600</w:t>
    </w:r>
    <w:r>
      <w:rPr>
        <w:szCs w:val="24"/>
      </w:rPr>
      <w:fldChar w:fldCharType="end"/>
    </w:r>
    <w:r w:rsidRPr="00954D22">
      <w:rPr>
        <w:szCs w:val="24"/>
      </w:rPr>
      <w:t xml:space="preserve"> -</w:t>
    </w:r>
  </w:p>
  <w:p w:rsidR="00774C16" w:rsidRDefault="00774C1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A87207">
    <w:pPr>
      <w:pStyle w:val="Footer"/>
    </w:pPr>
    <w:r>
      <w:pict>
        <v:rect id="_x0000_i1046" style="width:480.95pt;height:1pt" o:hralign="center" o:hrstd="t" o:hrnoshade="t" o:hr="t" fillcolor="black [3213]" stroked="f"/>
      </w:pict>
    </w:r>
  </w:p>
  <w:p w:rsidR="00774C16" w:rsidRPr="00B7374B" w:rsidRDefault="00774C1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774C16" w:rsidRPr="00954D22" w:rsidRDefault="00774C1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232E1">
      <w:rPr>
        <w:noProof/>
        <w:szCs w:val="24"/>
      </w:rPr>
      <w:t>1603</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74C16" w:rsidRDefault="00774C1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C232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774C16" w:rsidRPr="0009648D" w:rsidRDefault="00774C16" w:rsidP="00ED7E83">
    <w:pPr>
      <w:tabs>
        <w:tab w:val="center" w:pos="4680"/>
      </w:tabs>
    </w:pPr>
    <w:r>
      <w:tab/>
    </w:r>
    <w:r w:rsidRPr="0009648D">
      <w:t xml:space="preserve">- </w:t>
    </w:r>
    <w:r>
      <w:fldChar w:fldCharType="begin"/>
    </w:r>
    <w:r>
      <w:instrText xml:space="preserve"> PAGE   \* MERGEFORMAT </w:instrText>
    </w:r>
    <w:r>
      <w:fldChar w:fldCharType="separate"/>
    </w:r>
    <w:r w:rsidR="00C232E1">
      <w:rPr>
        <w:noProof/>
      </w:rPr>
      <w:t>1618</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16" w:rsidRDefault="00774C16" w:rsidP="00A87207">
      <w:r>
        <w:separator/>
      </w:r>
    </w:p>
  </w:footnote>
  <w:footnote w:type="continuationSeparator" w:id="0">
    <w:p w:rsidR="00774C16" w:rsidRDefault="00774C1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74C16">
      <w:tc>
        <w:tcPr>
          <w:tcW w:w="4230" w:type="dxa"/>
          <w:tcMar>
            <w:left w:w="0" w:type="dxa"/>
            <w:right w:w="0" w:type="dxa"/>
          </w:tcMar>
        </w:tcPr>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74C16"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4C16"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74C16">
      <w:trPr>
        <w:gridAfter w:val="2"/>
        <w:wAfter w:w="5250" w:type="dxa"/>
      </w:trPr>
      <w:tc>
        <w:tcPr>
          <w:tcW w:w="4230" w:type="dxa"/>
          <w:tcMar>
            <w:left w:w="0" w:type="dxa"/>
            <w:right w:w="0" w:type="dxa"/>
          </w:tcMar>
        </w:tcPr>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74C16"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74C16" w:rsidRPr="00755F22" w:rsidTr="00245129">
      <w:tc>
        <w:tcPr>
          <w:tcW w:w="4230" w:type="dxa"/>
          <w:tcMar>
            <w:left w:w="0" w:type="dxa"/>
            <w:right w:w="0" w:type="dxa"/>
          </w:tcMar>
        </w:tcPr>
        <w:p w:rsidR="00774C16" w:rsidRPr="00755F22" w:rsidRDefault="00774C16" w:rsidP="00831CA9">
          <w:pPr>
            <w:keepNext/>
            <w:keepLines/>
            <w:rPr>
              <w:sz w:val="20"/>
              <w:szCs w:val="20"/>
            </w:rPr>
          </w:pPr>
          <w:r w:rsidRPr="00755F22">
            <w:rPr>
              <w:sz w:val="20"/>
              <w:szCs w:val="20"/>
            </w:rPr>
            <w:t>MOTIONS</w:t>
          </w:r>
        </w:p>
      </w:tc>
      <w:tc>
        <w:tcPr>
          <w:tcW w:w="1170" w:type="dxa"/>
          <w:tcMar>
            <w:left w:w="0" w:type="dxa"/>
            <w:right w:w="0" w:type="dxa"/>
          </w:tcMar>
        </w:tcPr>
        <w:p w:rsidR="00774C16" w:rsidRPr="00755F22" w:rsidRDefault="00774C16" w:rsidP="00831CA9">
          <w:pPr>
            <w:keepLines/>
            <w:jc w:val="center"/>
            <w:rPr>
              <w:sz w:val="20"/>
              <w:szCs w:val="20"/>
            </w:rPr>
          </w:pPr>
        </w:p>
        <w:p w:rsidR="00774C16" w:rsidRPr="00755F22" w:rsidRDefault="00774C16" w:rsidP="00831CA9">
          <w:pPr>
            <w:keepLines/>
            <w:tabs>
              <w:tab w:val="left" w:pos="-1440"/>
              <w:tab w:val="left" w:pos="-720"/>
            </w:tabs>
            <w:jc w:val="center"/>
            <w:rPr>
              <w:sz w:val="20"/>
              <w:szCs w:val="20"/>
            </w:rPr>
          </w:pPr>
        </w:p>
      </w:tc>
      <w:tc>
        <w:tcPr>
          <w:tcW w:w="4080" w:type="dxa"/>
          <w:tcMar>
            <w:left w:w="0" w:type="dxa"/>
            <w:right w:w="0" w:type="dxa"/>
          </w:tcMar>
        </w:tcPr>
        <w:p w:rsidR="00774C16" w:rsidRPr="00BA6468" w:rsidRDefault="00774C16" w:rsidP="00BA6468">
          <w:pPr>
            <w:keepLines/>
            <w:rPr>
              <w:sz w:val="20"/>
              <w:szCs w:val="20"/>
              <w:lang w:val="fr-CA"/>
            </w:rPr>
          </w:pPr>
          <w:r w:rsidRPr="00BA6468">
            <w:rPr>
              <w:sz w:val="20"/>
              <w:szCs w:val="20"/>
              <w:lang w:val="fr-CA"/>
            </w:rPr>
            <w:t>REQUÊTES</w:t>
          </w:r>
        </w:p>
      </w:tc>
    </w:tr>
  </w:tbl>
  <w:p w:rsidR="00774C16" w:rsidRDefault="00774C1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74C16" w:rsidRPr="00002704">
      <w:tc>
        <w:tcPr>
          <w:tcW w:w="4200" w:type="dxa"/>
          <w:tcMar>
            <w:left w:w="0" w:type="dxa"/>
            <w:right w:w="0" w:type="dxa"/>
          </w:tcMar>
        </w:tcPr>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4C16" w:rsidRPr="00B01A03"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74C16" w:rsidRPr="00B01A03"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74C16" w:rsidRPr="00B01A03"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74C16" w:rsidRPr="00002704" w:rsidTr="00245129">
      <w:tc>
        <w:tcPr>
          <w:tcW w:w="4200" w:type="dxa"/>
          <w:tcMar>
            <w:left w:w="0" w:type="dxa"/>
            <w:right w:w="0" w:type="dxa"/>
          </w:tcMar>
        </w:tcPr>
        <w:p w:rsidR="00774C16" w:rsidRPr="00F40249" w:rsidRDefault="00774C1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74C16" w:rsidRDefault="00774C16" w:rsidP="00102926">
          <w:pPr>
            <w:keepNext/>
            <w:keepLines/>
            <w:tabs>
              <w:tab w:val="left" w:pos="-1440"/>
              <w:tab w:val="left" w:pos="-720"/>
            </w:tabs>
            <w:jc w:val="center"/>
            <w:rPr>
              <w:sz w:val="20"/>
              <w:szCs w:val="20"/>
            </w:rPr>
          </w:pPr>
        </w:p>
        <w:p w:rsidR="00774C16" w:rsidRDefault="00774C16" w:rsidP="00102926">
          <w:pPr>
            <w:keepNext/>
            <w:keepLines/>
            <w:tabs>
              <w:tab w:val="left" w:pos="-1440"/>
              <w:tab w:val="left" w:pos="-720"/>
            </w:tabs>
            <w:jc w:val="center"/>
            <w:rPr>
              <w:sz w:val="20"/>
              <w:szCs w:val="20"/>
            </w:rPr>
          </w:pPr>
        </w:p>
        <w:p w:rsidR="00774C16" w:rsidRPr="00F40249" w:rsidRDefault="00774C16" w:rsidP="00102926">
          <w:pPr>
            <w:keepNext/>
            <w:keepLines/>
            <w:tabs>
              <w:tab w:val="left" w:pos="-1440"/>
              <w:tab w:val="left" w:pos="-720"/>
            </w:tabs>
            <w:jc w:val="center"/>
            <w:rPr>
              <w:sz w:val="20"/>
              <w:szCs w:val="20"/>
            </w:rPr>
          </w:pPr>
        </w:p>
      </w:tc>
      <w:tc>
        <w:tcPr>
          <w:tcW w:w="4230" w:type="dxa"/>
          <w:tcMar>
            <w:left w:w="0" w:type="dxa"/>
            <w:right w:w="0" w:type="dxa"/>
          </w:tcMar>
        </w:tcPr>
        <w:p w:rsidR="00774C16" w:rsidRPr="00F40249" w:rsidRDefault="00774C1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74C16" w:rsidRPr="00B01A03" w:rsidRDefault="00774C1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74C16" w:rsidRPr="00002704">
      <w:tc>
        <w:tcPr>
          <w:tcW w:w="4200" w:type="dxa"/>
          <w:tcMar>
            <w:left w:w="0" w:type="dxa"/>
            <w:right w:w="0" w:type="dxa"/>
          </w:tcMar>
        </w:tcPr>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4C16" w:rsidRPr="00283C52"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74C16" w:rsidRPr="00283C52"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74C16" w:rsidRPr="00283C52"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74C16" w:rsidRPr="00002704" w:rsidTr="00245129">
      <w:tc>
        <w:tcPr>
          <w:tcW w:w="4200" w:type="dxa"/>
          <w:tcMar>
            <w:left w:w="0" w:type="dxa"/>
            <w:right w:w="0" w:type="dxa"/>
          </w:tcMar>
        </w:tcPr>
        <w:p w:rsidR="00774C16" w:rsidRPr="00732DB7" w:rsidRDefault="00774C16"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774C16" w:rsidRPr="00732DB7" w:rsidRDefault="00774C16" w:rsidP="00732DB7">
          <w:pPr>
            <w:keepNext/>
            <w:keepLines/>
            <w:tabs>
              <w:tab w:val="left" w:pos="-1440"/>
              <w:tab w:val="left" w:pos="-720"/>
            </w:tabs>
            <w:jc w:val="center"/>
            <w:rPr>
              <w:sz w:val="20"/>
              <w:szCs w:val="20"/>
            </w:rPr>
          </w:pPr>
        </w:p>
        <w:p w:rsidR="00774C16" w:rsidRPr="00732DB7" w:rsidRDefault="00774C16" w:rsidP="00732DB7">
          <w:pPr>
            <w:keepNext/>
            <w:keepLines/>
            <w:tabs>
              <w:tab w:val="left" w:pos="-1440"/>
              <w:tab w:val="left" w:pos="-720"/>
            </w:tabs>
            <w:jc w:val="center"/>
            <w:rPr>
              <w:sz w:val="20"/>
              <w:szCs w:val="20"/>
            </w:rPr>
          </w:pPr>
        </w:p>
        <w:p w:rsidR="00774C16" w:rsidRPr="00732DB7" w:rsidRDefault="00774C16" w:rsidP="00732DB7">
          <w:pPr>
            <w:keepNext/>
            <w:keepLines/>
            <w:tabs>
              <w:tab w:val="left" w:pos="-1440"/>
              <w:tab w:val="left" w:pos="-720"/>
            </w:tabs>
            <w:jc w:val="center"/>
            <w:rPr>
              <w:sz w:val="20"/>
              <w:szCs w:val="20"/>
            </w:rPr>
          </w:pPr>
        </w:p>
      </w:tc>
      <w:tc>
        <w:tcPr>
          <w:tcW w:w="4080" w:type="dxa"/>
          <w:tcMar>
            <w:left w:w="0" w:type="dxa"/>
            <w:right w:w="0" w:type="dxa"/>
          </w:tcMar>
        </w:tcPr>
        <w:p w:rsidR="00774C16" w:rsidRPr="00732DB7" w:rsidRDefault="00774C1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74C16" w:rsidRPr="00283C52" w:rsidRDefault="00774C1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74C16" w:rsidRPr="0044776A" w:rsidTr="00245129">
      <w:tc>
        <w:tcPr>
          <w:tcW w:w="4290" w:type="dxa"/>
          <w:tcMar>
            <w:left w:w="0" w:type="dxa"/>
            <w:right w:w="0" w:type="dxa"/>
          </w:tcMar>
        </w:tcPr>
        <w:p w:rsidR="00774C16" w:rsidRPr="0044776A" w:rsidRDefault="00774C1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74C16" w:rsidRPr="0044776A" w:rsidRDefault="00774C16" w:rsidP="002E2327">
          <w:pPr>
            <w:keepNext/>
            <w:keepLines/>
            <w:tabs>
              <w:tab w:val="left" w:pos="-1440"/>
              <w:tab w:val="left" w:pos="-720"/>
            </w:tabs>
            <w:jc w:val="center"/>
            <w:rPr>
              <w:sz w:val="20"/>
              <w:szCs w:val="20"/>
            </w:rPr>
          </w:pPr>
        </w:p>
        <w:p w:rsidR="00774C16" w:rsidRPr="0044776A" w:rsidRDefault="00774C16" w:rsidP="002E2327">
          <w:pPr>
            <w:keepNext/>
            <w:keepLines/>
            <w:tabs>
              <w:tab w:val="left" w:pos="-1440"/>
              <w:tab w:val="left" w:pos="-720"/>
            </w:tabs>
            <w:jc w:val="center"/>
            <w:rPr>
              <w:sz w:val="20"/>
              <w:szCs w:val="20"/>
            </w:rPr>
          </w:pPr>
        </w:p>
        <w:p w:rsidR="00774C16" w:rsidRPr="0044776A" w:rsidRDefault="00774C16" w:rsidP="002E2327">
          <w:pPr>
            <w:keepNext/>
            <w:keepLines/>
            <w:tabs>
              <w:tab w:val="left" w:pos="-1440"/>
              <w:tab w:val="left" w:pos="-720"/>
            </w:tabs>
            <w:jc w:val="center"/>
            <w:rPr>
              <w:sz w:val="20"/>
              <w:szCs w:val="20"/>
            </w:rPr>
          </w:pPr>
        </w:p>
      </w:tc>
      <w:tc>
        <w:tcPr>
          <w:tcW w:w="4320" w:type="dxa"/>
          <w:tcMar>
            <w:left w:w="0" w:type="dxa"/>
            <w:right w:w="0" w:type="dxa"/>
          </w:tcMar>
        </w:tcPr>
        <w:p w:rsidR="00774C16" w:rsidRPr="0044776A" w:rsidRDefault="00774C16" w:rsidP="002E2327">
          <w:pPr>
            <w:keepLines/>
            <w:rPr>
              <w:sz w:val="20"/>
              <w:szCs w:val="20"/>
              <w:lang w:val="fr-CA"/>
            </w:rPr>
          </w:pPr>
          <w:r w:rsidRPr="0044776A">
            <w:rPr>
              <w:sz w:val="20"/>
              <w:szCs w:val="20"/>
              <w:lang w:val="fr-CA"/>
            </w:rPr>
            <w:t>DEMANDES D'AUTORISATION D'APPEL DÉPOSÉES</w:t>
          </w:r>
        </w:p>
      </w:tc>
    </w:tr>
  </w:tbl>
  <w:p w:rsidR="00774C16" w:rsidRDefault="00774C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74C16" w:rsidRPr="00002704" w:rsidTr="00245129">
      <w:tc>
        <w:tcPr>
          <w:tcW w:w="4200" w:type="dxa"/>
          <w:tcMar>
            <w:left w:w="0" w:type="dxa"/>
            <w:right w:w="0" w:type="dxa"/>
          </w:tcMar>
        </w:tcPr>
        <w:p w:rsidR="00774C16" w:rsidRPr="0044776A" w:rsidRDefault="00774C16" w:rsidP="0044776A">
          <w:pPr>
            <w:keepNext/>
            <w:keepLines/>
            <w:widowControl w:val="0"/>
            <w:rPr>
              <w:sz w:val="20"/>
              <w:szCs w:val="20"/>
            </w:rPr>
          </w:pPr>
          <w:r>
            <w:rPr>
              <w:sz w:val="20"/>
              <w:szCs w:val="20"/>
            </w:rPr>
            <w:t>APPLICATIONS FOR LEAVE</w:t>
          </w:r>
        </w:p>
        <w:p w:rsidR="00774C16" w:rsidRPr="0044776A" w:rsidRDefault="00774C1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74C16" w:rsidRPr="0044776A" w:rsidRDefault="00774C16" w:rsidP="0044776A">
          <w:pPr>
            <w:keepNext/>
            <w:keepLines/>
            <w:widowControl w:val="0"/>
            <w:jc w:val="center"/>
            <w:rPr>
              <w:sz w:val="20"/>
              <w:szCs w:val="20"/>
            </w:rPr>
          </w:pPr>
        </w:p>
        <w:p w:rsidR="00774C16" w:rsidRPr="0044776A" w:rsidRDefault="00774C16" w:rsidP="0044776A">
          <w:pPr>
            <w:keepNext/>
            <w:keepLines/>
            <w:widowControl w:val="0"/>
            <w:jc w:val="center"/>
            <w:rPr>
              <w:sz w:val="20"/>
              <w:szCs w:val="20"/>
            </w:rPr>
          </w:pPr>
        </w:p>
        <w:p w:rsidR="00774C16" w:rsidRPr="0044776A" w:rsidRDefault="00774C16" w:rsidP="0044776A">
          <w:pPr>
            <w:keepNext/>
            <w:keepLines/>
            <w:widowControl w:val="0"/>
            <w:jc w:val="center"/>
            <w:rPr>
              <w:sz w:val="20"/>
              <w:szCs w:val="20"/>
            </w:rPr>
          </w:pPr>
        </w:p>
      </w:tc>
      <w:tc>
        <w:tcPr>
          <w:tcW w:w="4080" w:type="dxa"/>
          <w:tcMar>
            <w:left w:w="0" w:type="dxa"/>
            <w:right w:w="0" w:type="dxa"/>
          </w:tcMar>
        </w:tcPr>
        <w:p w:rsidR="00774C16" w:rsidRPr="0044776A" w:rsidRDefault="00774C16" w:rsidP="0044776A">
          <w:pPr>
            <w:keepLines/>
            <w:widowControl w:val="0"/>
            <w:rPr>
              <w:sz w:val="20"/>
              <w:szCs w:val="20"/>
              <w:lang w:val="fr-CA"/>
            </w:rPr>
          </w:pPr>
          <w:r w:rsidRPr="0044776A">
            <w:rPr>
              <w:sz w:val="20"/>
              <w:szCs w:val="20"/>
              <w:lang w:val="fr-CA"/>
            </w:rPr>
            <w:t>DEMANDES SOUMISES À LA COUR DEPUIS LA DERNIÈRE PARUTION</w:t>
          </w:r>
        </w:p>
        <w:p w:rsidR="00774C16" w:rsidRPr="0044776A" w:rsidRDefault="00774C16" w:rsidP="0044776A">
          <w:pPr>
            <w:widowControl w:val="0"/>
            <w:rPr>
              <w:sz w:val="20"/>
              <w:szCs w:val="20"/>
              <w:lang w:val="fr-CA"/>
            </w:rPr>
          </w:pPr>
        </w:p>
      </w:tc>
    </w:tr>
  </w:tbl>
  <w:p w:rsidR="00774C16" w:rsidRPr="002E2327" w:rsidRDefault="00774C1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16" w:rsidRDefault="00774C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74C16" w:rsidRPr="00002704">
      <w:tc>
        <w:tcPr>
          <w:tcW w:w="4200" w:type="dxa"/>
          <w:tcMar>
            <w:left w:w="0" w:type="dxa"/>
            <w:right w:w="0" w:type="dxa"/>
          </w:tcMar>
        </w:tcPr>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74C16"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74C16"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74C16" w:rsidRPr="00FF6BA5"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74C16" w:rsidRPr="00FF6BA5"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74C16" w:rsidRPr="00FF6BA5"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74C16" w:rsidRPr="00FF6BA5" w:rsidRDefault="0077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74C16" w:rsidRPr="00002704" w:rsidTr="00245129">
      <w:tc>
        <w:tcPr>
          <w:tcW w:w="4200" w:type="dxa"/>
          <w:tcMar>
            <w:left w:w="0" w:type="dxa"/>
            <w:right w:w="0" w:type="dxa"/>
          </w:tcMar>
        </w:tcPr>
        <w:p w:rsidR="00774C16" w:rsidRPr="00755F22"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74C16" w:rsidRPr="00755F22" w:rsidRDefault="00774C1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74C16" w:rsidRPr="00755F22" w:rsidRDefault="00774C1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74C16" w:rsidRPr="00755F22" w:rsidRDefault="00774C1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74C16" w:rsidRPr="00755F22" w:rsidRDefault="00774C1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74C16" w:rsidRPr="00755F22" w:rsidRDefault="00774C1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74C16" w:rsidRPr="00FF6BA5" w:rsidRDefault="00774C1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F14BD"/>
    <w:multiLevelType w:val="hybridMultilevel"/>
    <w:tmpl w:val="3D44B1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E3494E"/>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B8549E"/>
    <w:multiLevelType w:val="hybridMultilevel"/>
    <w:tmpl w:val="13C60B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A8F35E7"/>
    <w:multiLevelType w:val="hybridMultilevel"/>
    <w:tmpl w:val="26D07F08"/>
    <w:lvl w:ilvl="0" w:tplc="3F1EB66E">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5" w15:restartNumberingAfterBreak="0">
    <w:nsid w:val="4AB71DD4"/>
    <w:multiLevelType w:val="hybridMultilevel"/>
    <w:tmpl w:val="3D44B1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3204A60"/>
    <w:multiLevelType w:val="hybridMultilevel"/>
    <w:tmpl w:val="CF30F682"/>
    <w:lvl w:ilvl="0" w:tplc="C172E06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2C4420"/>
    <w:multiLevelType w:val="hybridMultilevel"/>
    <w:tmpl w:val="7B560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DC5D37"/>
    <w:multiLevelType w:val="hybridMultilevel"/>
    <w:tmpl w:val="4DEE3192"/>
    <w:lvl w:ilvl="0" w:tplc="2FF4F53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86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F3"/>
    <w:rsid w:val="00002704"/>
    <w:rsid w:val="00002F58"/>
    <w:rsid w:val="00020DC3"/>
    <w:rsid w:val="00022B50"/>
    <w:rsid w:val="0003223B"/>
    <w:rsid w:val="000327B2"/>
    <w:rsid w:val="00034408"/>
    <w:rsid w:val="0004528B"/>
    <w:rsid w:val="00064FBA"/>
    <w:rsid w:val="000760FF"/>
    <w:rsid w:val="00090BF3"/>
    <w:rsid w:val="00091FA6"/>
    <w:rsid w:val="000951BD"/>
    <w:rsid w:val="00096BD9"/>
    <w:rsid w:val="000A3868"/>
    <w:rsid w:val="000B3C9A"/>
    <w:rsid w:val="000B40A2"/>
    <w:rsid w:val="000B40F9"/>
    <w:rsid w:val="000B455F"/>
    <w:rsid w:val="000B4624"/>
    <w:rsid w:val="000C0ACD"/>
    <w:rsid w:val="000C0D2A"/>
    <w:rsid w:val="000C5CE8"/>
    <w:rsid w:val="000D46A2"/>
    <w:rsid w:val="000E27A5"/>
    <w:rsid w:val="000E2959"/>
    <w:rsid w:val="000F0B60"/>
    <w:rsid w:val="000F59E1"/>
    <w:rsid w:val="000F66FC"/>
    <w:rsid w:val="00102926"/>
    <w:rsid w:val="0010587F"/>
    <w:rsid w:val="00110C8D"/>
    <w:rsid w:val="00111C6B"/>
    <w:rsid w:val="0012102B"/>
    <w:rsid w:val="0013369E"/>
    <w:rsid w:val="001346D6"/>
    <w:rsid w:val="00156EC4"/>
    <w:rsid w:val="00164E6D"/>
    <w:rsid w:val="00166143"/>
    <w:rsid w:val="00183454"/>
    <w:rsid w:val="00183FD2"/>
    <w:rsid w:val="001867CA"/>
    <w:rsid w:val="00196004"/>
    <w:rsid w:val="001B157C"/>
    <w:rsid w:val="001B4006"/>
    <w:rsid w:val="001B5C23"/>
    <w:rsid w:val="001C4572"/>
    <w:rsid w:val="001D0D5F"/>
    <w:rsid w:val="001D27DE"/>
    <w:rsid w:val="001D59AD"/>
    <w:rsid w:val="001D5FFD"/>
    <w:rsid w:val="001D6B8C"/>
    <w:rsid w:val="001F1F83"/>
    <w:rsid w:val="001F40DF"/>
    <w:rsid w:val="001F6B2D"/>
    <w:rsid w:val="00200CA2"/>
    <w:rsid w:val="002021A9"/>
    <w:rsid w:val="0020769E"/>
    <w:rsid w:val="002139A7"/>
    <w:rsid w:val="00215F7C"/>
    <w:rsid w:val="0022323B"/>
    <w:rsid w:val="00235C9C"/>
    <w:rsid w:val="002410B8"/>
    <w:rsid w:val="00242AEE"/>
    <w:rsid w:val="00245129"/>
    <w:rsid w:val="00245879"/>
    <w:rsid w:val="002519F1"/>
    <w:rsid w:val="00263722"/>
    <w:rsid w:val="00267FD5"/>
    <w:rsid w:val="00274D34"/>
    <w:rsid w:val="00283ED8"/>
    <w:rsid w:val="002868D0"/>
    <w:rsid w:val="002A008C"/>
    <w:rsid w:val="002A27D1"/>
    <w:rsid w:val="002A4AFA"/>
    <w:rsid w:val="002B516C"/>
    <w:rsid w:val="002D637C"/>
    <w:rsid w:val="002D72EB"/>
    <w:rsid w:val="002E2327"/>
    <w:rsid w:val="002E3583"/>
    <w:rsid w:val="002E5576"/>
    <w:rsid w:val="002F33DD"/>
    <w:rsid w:val="00316EFD"/>
    <w:rsid w:val="00331B52"/>
    <w:rsid w:val="003359D3"/>
    <w:rsid w:val="00355967"/>
    <w:rsid w:val="003764C0"/>
    <w:rsid w:val="003765E5"/>
    <w:rsid w:val="003803F9"/>
    <w:rsid w:val="00382C47"/>
    <w:rsid w:val="00384384"/>
    <w:rsid w:val="003866AE"/>
    <w:rsid w:val="003A0BAE"/>
    <w:rsid w:val="003B3977"/>
    <w:rsid w:val="003C03BF"/>
    <w:rsid w:val="003D5223"/>
    <w:rsid w:val="003E1D4C"/>
    <w:rsid w:val="003F186C"/>
    <w:rsid w:val="004137A0"/>
    <w:rsid w:val="00416F38"/>
    <w:rsid w:val="00422D9A"/>
    <w:rsid w:val="0043272A"/>
    <w:rsid w:val="00432989"/>
    <w:rsid w:val="00433CEC"/>
    <w:rsid w:val="00440E24"/>
    <w:rsid w:val="0044776A"/>
    <w:rsid w:val="00460AFC"/>
    <w:rsid w:val="0047282C"/>
    <w:rsid w:val="00472A3F"/>
    <w:rsid w:val="0047471F"/>
    <w:rsid w:val="0048051C"/>
    <w:rsid w:val="004B195E"/>
    <w:rsid w:val="004B66B4"/>
    <w:rsid w:val="004B7F60"/>
    <w:rsid w:val="004C1AAC"/>
    <w:rsid w:val="004D2673"/>
    <w:rsid w:val="004E1E0A"/>
    <w:rsid w:val="004E265B"/>
    <w:rsid w:val="004F090E"/>
    <w:rsid w:val="004F19C5"/>
    <w:rsid w:val="004F697F"/>
    <w:rsid w:val="00501F3C"/>
    <w:rsid w:val="00522080"/>
    <w:rsid w:val="0052229C"/>
    <w:rsid w:val="00527CC7"/>
    <w:rsid w:val="00533506"/>
    <w:rsid w:val="00571CA4"/>
    <w:rsid w:val="00582136"/>
    <w:rsid w:val="00585B46"/>
    <w:rsid w:val="0058727A"/>
    <w:rsid w:val="005926C1"/>
    <w:rsid w:val="005C4DFE"/>
    <w:rsid w:val="005C6840"/>
    <w:rsid w:val="005F0F6F"/>
    <w:rsid w:val="005F1ED8"/>
    <w:rsid w:val="005F263E"/>
    <w:rsid w:val="005F4F19"/>
    <w:rsid w:val="005F5194"/>
    <w:rsid w:val="00600252"/>
    <w:rsid w:val="00612A40"/>
    <w:rsid w:val="00624A49"/>
    <w:rsid w:val="0062714A"/>
    <w:rsid w:val="00634AE4"/>
    <w:rsid w:val="00642723"/>
    <w:rsid w:val="00663FD6"/>
    <w:rsid w:val="00666D8C"/>
    <w:rsid w:val="00675479"/>
    <w:rsid w:val="006759F6"/>
    <w:rsid w:val="00676C73"/>
    <w:rsid w:val="00680709"/>
    <w:rsid w:val="00681F61"/>
    <w:rsid w:val="00683153"/>
    <w:rsid w:val="00696BF9"/>
    <w:rsid w:val="00697C62"/>
    <w:rsid w:val="006A329B"/>
    <w:rsid w:val="006A3A34"/>
    <w:rsid w:val="006A7EB8"/>
    <w:rsid w:val="006B1C9C"/>
    <w:rsid w:val="006B6926"/>
    <w:rsid w:val="006C3F47"/>
    <w:rsid w:val="006C5F7A"/>
    <w:rsid w:val="006E06AF"/>
    <w:rsid w:val="006E2A00"/>
    <w:rsid w:val="006E2F92"/>
    <w:rsid w:val="006E7BB0"/>
    <w:rsid w:val="006F350F"/>
    <w:rsid w:val="006F572A"/>
    <w:rsid w:val="007063BD"/>
    <w:rsid w:val="00710B10"/>
    <w:rsid w:val="00723D29"/>
    <w:rsid w:val="00732DB7"/>
    <w:rsid w:val="0074238B"/>
    <w:rsid w:val="00745EF7"/>
    <w:rsid w:val="00747379"/>
    <w:rsid w:val="00755F22"/>
    <w:rsid w:val="00757EFC"/>
    <w:rsid w:val="00766E4A"/>
    <w:rsid w:val="00774C16"/>
    <w:rsid w:val="007807FD"/>
    <w:rsid w:val="007820CE"/>
    <w:rsid w:val="00782AE4"/>
    <w:rsid w:val="0079724F"/>
    <w:rsid w:val="007A2980"/>
    <w:rsid w:val="007A3EAE"/>
    <w:rsid w:val="007C04FC"/>
    <w:rsid w:val="007C0F2A"/>
    <w:rsid w:val="007C144A"/>
    <w:rsid w:val="007C3DB0"/>
    <w:rsid w:val="007C47C2"/>
    <w:rsid w:val="007D3E0F"/>
    <w:rsid w:val="007E4282"/>
    <w:rsid w:val="007F387B"/>
    <w:rsid w:val="007F7ABC"/>
    <w:rsid w:val="00802863"/>
    <w:rsid w:val="008112A9"/>
    <w:rsid w:val="00815B3C"/>
    <w:rsid w:val="0081610A"/>
    <w:rsid w:val="008206BB"/>
    <w:rsid w:val="00821C0F"/>
    <w:rsid w:val="0082783A"/>
    <w:rsid w:val="00831CA9"/>
    <w:rsid w:val="008360B1"/>
    <w:rsid w:val="008446EC"/>
    <w:rsid w:val="00845581"/>
    <w:rsid w:val="00850E1F"/>
    <w:rsid w:val="0085476B"/>
    <w:rsid w:val="0086340B"/>
    <w:rsid w:val="008671F9"/>
    <w:rsid w:val="0087782A"/>
    <w:rsid w:val="008902B1"/>
    <w:rsid w:val="00890FEB"/>
    <w:rsid w:val="00895E7E"/>
    <w:rsid w:val="008A5C1A"/>
    <w:rsid w:val="008B19E4"/>
    <w:rsid w:val="008B7A18"/>
    <w:rsid w:val="008C5206"/>
    <w:rsid w:val="008D292F"/>
    <w:rsid w:val="008E03DC"/>
    <w:rsid w:val="008E0D0E"/>
    <w:rsid w:val="008E77AB"/>
    <w:rsid w:val="008F4A40"/>
    <w:rsid w:val="008F599D"/>
    <w:rsid w:val="00902E51"/>
    <w:rsid w:val="00913766"/>
    <w:rsid w:val="00924065"/>
    <w:rsid w:val="00930D68"/>
    <w:rsid w:val="00932DB4"/>
    <w:rsid w:val="00941A4B"/>
    <w:rsid w:val="00946242"/>
    <w:rsid w:val="0095096B"/>
    <w:rsid w:val="00952409"/>
    <w:rsid w:val="00961694"/>
    <w:rsid w:val="00970CD3"/>
    <w:rsid w:val="009723FA"/>
    <w:rsid w:val="00984546"/>
    <w:rsid w:val="00996510"/>
    <w:rsid w:val="009D1F15"/>
    <w:rsid w:val="009D36A0"/>
    <w:rsid w:val="009D555E"/>
    <w:rsid w:val="009F22F4"/>
    <w:rsid w:val="009F3024"/>
    <w:rsid w:val="009F39BA"/>
    <w:rsid w:val="009F6E9F"/>
    <w:rsid w:val="00A0355E"/>
    <w:rsid w:val="00A12270"/>
    <w:rsid w:val="00A20376"/>
    <w:rsid w:val="00A2199E"/>
    <w:rsid w:val="00A375D1"/>
    <w:rsid w:val="00A51D10"/>
    <w:rsid w:val="00A52A83"/>
    <w:rsid w:val="00A57063"/>
    <w:rsid w:val="00A6552C"/>
    <w:rsid w:val="00A85A8D"/>
    <w:rsid w:val="00A87207"/>
    <w:rsid w:val="00A935AA"/>
    <w:rsid w:val="00A9568E"/>
    <w:rsid w:val="00A956D3"/>
    <w:rsid w:val="00AB2201"/>
    <w:rsid w:val="00AC180F"/>
    <w:rsid w:val="00AC778A"/>
    <w:rsid w:val="00AD1D34"/>
    <w:rsid w:val="00AD3259"/>
    <w:rsid w:val="00AE0039"/>
    <w:rsid w:val="00AF1715"/>
    <w:rsid w:val="00AF3904"/>
    <w:rsid w:val="00B010C0"/>
    <w:rsid w:val="00B4740D"/>
    <w:rsid w:val="00B54A47"/>
    <w:rsid w:val="00B61629"/>
    <w:rsid w:val="00B7374B"/>
    <w:rsid w:val="00B74196"/>
    <w:rsid w:val="00B808DA"/>
    <w:rsid w:val="00B90DC0"/>
    <w:rsid w:val="00BA116A"/>
    <w:rsid w:val="00BA158E"/>
    <w:rsid w:val="00BA5582"/>
    <w:rsid w:val="00BA6468"/>
    <w:rsid w:val="00BB1D44"/>
    <w:rsid w:val="00BC479A"/>
    <w:rsid w:val="00BD06DA"/>
    <w:rsid w:val="00BD4217"/>
    <w:rsid w:val="00BD70C3"/>
    <w:rsid w:val="00BE11CF"/>
    <w:rsid w:val="00BE2F31"/>
    <w:rsid w:val="00BF25F3"/>
    <w:rsid w:val="00BF639A"/>
    <w:rsid w:val="00C1697B"/>
    <w:rsid w:val="00C21644"/>
    <w:rsid w:val="00C21CB5"/>
    <w:rsid w:val="00C22405"/>
    <w:rsid w:val="00C232E1"/>
    <w:rsid w:val="00C3309D"/>
    <w:rsid w:val="00C46376"/>
    <w:rsid w:val="00C50A5C"/>
    <w:rsid w:val="00C50FDF"/>
    <w:rsid w:val="00C5718E"/>
    <w:rsid w:val="00C63381"/>
    <w:rsid w:val="00C63D54"/>
    <w:rsid w:val="00C65909"/>
    <w:rsid w:val="00C73D06"/>
    <w:rsid w:val="00C73E1B"/>
    <w:rsid w:val="00C759B4"/>
    <w:rsid w:val="00C764FD"/>
    <w:rsid w:val="00C77713"/>
    <w:rsid w:val="00C85BB7"/>
    <w:rsid w:val="00CA2DEA"/>
    <w:rsid w:val="00CB34B7"/>
    <w:rsid w:val="00CB3520"/>
    <w:rsid w:val="00CB43D5"/>
    <w:rsid w:val="00CC159B"/>
    <w:rsid w:val="00CC21E6"/>
    <w:rsid w:val="00CC4D84"/>
    <w:rsid w:val="00CC66F1"/>
    <w:rsid w:val="00CD41B1"/>
    <w:rsid w:val="00CE198A"/>
    <w:rsid w:val="00CF08C8"/>
    <w:rsid w:val="00CF48B8"/>
    <w:rsid w:val="00D004FC"/>
    <w:rsid w:val="00D217AC"/>
    <w:rsid w:val="00D4008E"/>
    <w:rsid w:val="00D634F2"/>
    <w:rsid w:val="00D64901"/>
    <w:rsid w:val="00D76BDF"/>
    <w:rsid w:val="00D76C77"/>
    <w:rsid w:val="00D818B6"/>
    <w:rsid w:val="00D862C1"/>
    <w:rsid w:val="00D93B50"/>
    <w:rsid w:val="00D94028"/>
    <w:rsid w:val="00D94670"/>
    <w:rsid w:val="00DA46F6"/>
    <w:rsid w:val="00DC1D28"/>
    <w:rsid w:val="00DD0B49"/>
    <w:rsid w:val="00DE0502"/>
    <w:rsid w:val="00DE349D"/>
    <w:rsid w:val="00DF213A"/>
    <w:rsid w:val="00E06811"/>
    <w:rsid w:val="00E06DFA"/>
    <w:rsid w:val="00E10A8F"/>
    <w:rsid w:val="00E20A0A"/>
    <w:rsid w:val="00E240C2"/>
    <w:rsid w:val="00E356C7"/>
    <w:rsid w:val="00E41A5A"/>
    <w:rsid w:val="00E45FE4"/>
    <w:rsid w:val="00E5206E"/>
    <w:rsid w:val="00E54A4F"/>
    <w:rsid w:val="00E631AD"/>
    <w:rsid w:val="00E64FA7"/>
    <w:rsid w:val="00E708C2"/>
    <w:rsid w:val="00E770CB"/>
    <w:rsid w:val="00E903A1"/>
    <w:rsid w:val="00E919DD"/>
    <w:rsid w:val="00E93865"/>
    <w:rsid w:val="00E940EB"/>
    <w:rsid w:val="00E9703F"/>
    <w:rsid w:val="00EA70D2"/>
    <w:rsid w:val="00EB2B90"/>
    <w:rsid w:val="00EC5631"/>
    <w:rsid w:val="00ED2B58"/>
    <w:rsid w:val="00ED7E83"/>
    <w:rsid w:val="00EE091F"/>
    <w:rsid w:val="00EF2ADB"/>
    <w:rsid w:val="00EF4B63"/>
    <w:rsid w:val="00F0068D"/>
    <w:rsid w:val="00F0576D"/>
    <w:rsid w:val="00F14E6D"/>
    <w:rsid w:val="00F15EA8"/>
    <w:rsid w:val="00F16C8D"/>
    <w:rsid w:val="00F26C61"/>
    <w:rsid w:val="00F31881"/>
    <w:rsid w:val="00F3316B"/>
    <w:rsid w:val="00F33CCE"/>
    <w:rsid w:val="00F37688"/>
    <w:rsid w:val="00F40249"/>
    <w:rsid w:val="00F526C8"/>
    <w:rsid w:val="00F67DF4"/>
    <w:rsid w:val="00F761A3"/>
    <w:rsid w:val="00F80D65"/>
    <w:rsid w:val="00F82CA5"/>
    <w:rsid w:val="00F9272D"/>
    <w:rsid w:val="00F932AA"/>
    <w:rsid w:val="00F9443D"/>
    <w:rsid w:val="00F9518C"/>
    <w:rsid w:val="00FA316E"/>
    <w:rsid w:val="00FA3373"/>
    <w:rsid w:val="00FA59EF"/>
    <w:rsid w:val="00FB19A2"/>
    <w:rsid w:val="00FD57C2"/>
    <w:rsid w:val="00FF62D7"/>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NormalWeb">
    <w:name w:val="Normal (Web)"/>
    <w:basedOn w:val="Normal"/>
    <w:uiPriority w:val="99"/>
    <w:unhideWhenUsed/>
    <w:rsid w:val="005C4DFE"/>
    <w:pPr>
      <w:spacing w:before="100" w:beforeAutospacing="1" w:after="100" w:afterAutospacing="1"/>
    </w:pPr>
    <w:rPr>
      <w:rFonts w:eastAsia="Times New Roman" w:cs="Times New Roman"/>
      <w:szCs w:val="24"/>
      <w:lang w:val="en-US"/>
    </w:rPr>
  </w:style>
  <w:style w:type="character" w:customStyle="1" w:styleId="documentstaticurl">
    <w:name w:val="documentstaticurl"/>
    <w:basedOn w:val="DefaultParagraphFont"/>
    <w:rsid w:val="005C4DFE"/>
  </w:style>
  <w:style w:type="paragraph" w:customStyle="1" w:styleId="SCCBanSummary">
    <w:name w:val="SCC.BanSummary"/>
    <w:basedOn w:val="Normal"/>
    <w:next w:val="Normal"/>
    <w:link w:val="SCCBanSummaryChar"/>
    <w:rsid w:val="00416F38"/>
    <w:pPr>
      <w:jc w:val="both"/>
    </w:pPr>
    <w:rPr>
      <w:rFonts w:eastAsia="Calibri" w:cs="Times New Roman"/>
      <w:smallCaps/>
    </w:rPr>
  </w:style>
  <w:style w:type="character" w:customStyle="1" w:styleId="SCCBanSummaryChar">
    <w:name w:val="SCC.BanSummary Char"/>
    <w:basedOn w:val="DefaultParagraphFont"/>
    <w:link w:val="SCCBanSummary"/>
    <w:rsid w:val="00416F38"/>
    <w:rPr>
      <w:rFonts w:eastAsia="Calibri" w:cs="Times New Roman"/>
      <w:smallCaps/>
      <w:lang w:val="en-CA"/>
    </w:rPr>
  </w:style>
  <w:style w:type="character" w:customStyle="1" w:styleId="citationcar">
    <w:name w:val="citationcar"/>
    <w:basedOn w:val="DefaultParagraphFont"/>
    <w:rsid w:val="00961694"/>
  </w:style>
  <w:style w:type="paragraph" w:styleId="BalloonText">
    <w:name w:val="Balloon Text"/>
    <w:basedOn w:val="Normal"/>
    <w:link w:val="BalloonTextChar"/>
    <w:uiPriority w:val="99"/>
    <w:semiHidden/>
    <w:unhideWhenUsed/>
    <w:rsid w:val="001D2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DE"/>
    <w:rPr>
      <w:rFonts w:ascii="Segoe UI" w:hAnsi="Segoe UI" w:cs="Segoe UI"/>
      <w:sz w:val="18"/>
      <w:szCs w:val="18"/>
      <w:lang w:val="en-CA"/>
    </w:rPr>
  </w:style>
  <w:style w:type="table" w:customStyle="1" w:styleId="TableGrid2">
    <w:name w:val="Table Grid2"/>
    <w:basedOn w:val="TableNormal"/>
    <w:next w:val="TableGrid"/>
    <w:uiPriority w:val="59"/>
    <w:rsid w:val="00F932A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sc/doc/2013/2013bcsc1074/2013bcsc1074.html" TargetMode="External"/><Relationship Id="rId21" Type="http://schemas.openxmlformats.org/officeDocument/2006/relationships/footer" Target="footer6.xml"/><Relationship Id="rId42" Type="http://schemas.openxmlformats.org/officeDocument/2006/relationships/hyperlink" Target="https://www.canlii.org/en/nl/nlsctd/doc/2012/2012canlii53959/2012canlii53959.html?searchUrlHash=AAAAAQAQMjAxMiBOTFREKEcpIDEzMgAAAAAB&amp;resultIndex=8" TargetMode="External"/><Relationship Id="rId47" Type="http://schemas.openxmlformats.org/officeDocument/2006/relationships/hyperlink" Target="https://www.canlii.org/en/nl/nlca/doc/2015/2015nlca21/2015nlca21.html?searchUrlHash=AAAAAQAQMjAxMiBOTFREKEcpIDEzMwAAAAAB&amp;resultIndex=1" TargetMode="External"/><Relationship Id="rId63" Type="http://schemas.openxmlformats.org/officeDocument/2006/relationships/hyperlink" Target="http://www.canlii.org/en/bc/bcca/doc/2015/2015bcca270/2015bcca270.html?autocompleteStr=2015%20bcca%20270&amp;autocompletePos=1" TargetMode="External"/><Relationship Id="rId68" Type="http://schemas.openxmlformats.org/officeDocument/2006/relationships/hyperlink" Target="http://www.canlii.org/fr/ca/legis/lois/lc-2003-c-22-art-12-et-13/derniere/lc-2003-c-22-art-12-et-13.html" TargetMode="External"/><Relationship Id="rId84" Type="http://schemas.openxmlformats.org/officeDocument/2006/relationships/header" Target="header11.xml"/><Relationship Id="rId89"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on/onca/doc/2014/2014onca737/2014onca737.html?autocompleteStr=2014%20ONCA%20737&amp;autocompletePos=1" TargetMode="External"/><Relationship Id="rId107" Type="http://schemas.openxmlformats.org/officeDocument/2006/relationships/footer" Target="footer20.xml"/><Relationship Id="rId11" Type="http://schemas.openxmlformats.org/officeDocument/2006/relationships/header" Target="header2.xml"/><Relationship Id="rId24" Type="http://schemas.openxmlformats.org/officeDocument/2006/relationships/hyperlink" Target="http://www.canlii.org/en/bc/bcsc/doc/2013/2013bcsc1074/2013bcsc1074.html" TargetMode="External"/><Relationship Id="rId32" Type="http://schemas.openxmlformats.org/officeDocument/2006/relationships/hyperlink" Target="https://www.canlii.org/en/on/onca/doc/2014/2014onca737/2014onca737.html?autocompleteStr=2014%20ONCA%20737&amp;autocompletePos=1" TargetMode="External"/><Relationship Id="rId37" Type="http://schemas.openxmlformats.org/officeDocument/2006/relationships/hyperlink" Target="http://www.canlii.org/en/on/onca/doc/2015/2015onca158/2015onca158.html" TargetMode="External"/><Relationship Id="rId40" Type="http://schemas.openxmlformats.org/officeDocument/2006/relationships/hyperlink" Target="http://canlii.ca/t/gg37w" TargetMode="External"/><Relationship Id="rId45" Type="http://schemas.openxmlformats.org/officeDocument/2006/relationships/hyperlink" Target="https://www.canlii.org/en/nl/nlsctd/doc/2012/2012canlii53959/2012canlii53959.html?searchUrlHash=AAAAAQAQMjAxMiBOTFREKEcpIDEzMgAAAAAB&amp;resultIndex=8" TargetMode="External"/><Relationship Id="rId53" Type="http://schemas.openxmlformats.org/officeDocument/2006/relationships/hyperlink" Target="http://www.canlii.org/en/ab/abca/doc/2014/2014abca39/2014abca39.html?resultIndex=1" TargetMode="External"/><Relationship Id="rId58" Type="http://schemas.openxmlformats.org/officeDocument/2006/relationships/hyperlink" Target="http://canlii.ca/t/gg37w" TargetMode="External"/><Relationship Id="rId66" Type="http://schemas.openxmlformats.org/officeDocument/2006/relationships/hyperlink" Target="http://www.canlii.org/en/ca/fct/doc/2014/2014fc400/2014fc400.html" TargetMode="External"/><Relationship Id="rId74" Type="http://schemas.openxmlformats.org/officeDocument/2006/relationships/hyperlink" Target="http://canlii.ca/t/gg37w" TargetMode="External"/><Relationship Id="rId79" Type="http://schemas.openxmlformats.org/officeDocument/2006/relationships/header" Target="header9.xml"/><Relationship Id="rId87" Type="http://schemas.openxmlformats.org/officeDocument/2006/relationships/footer" Target="footer12.xml"/><Relationship Id="rId102"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http://www.canlii.org/en/bc/bcca/doc/2015/2015bcca270/2015bcca270.html?autocompleteStr=2015%20bcca%20270&amp;autocompletePos=1" TargetMode="External"/><Relationship Id="rId82" Type="http://schemas.openxmlformats.org/officeDocument/2006/relationships/header" Target="header10.xml"/><Relationship Id="rId90" Type="http://schemas.openxmlformats.org/officeDocument/2006/relationships/header" Target="header14.xml"/><Relationship Id="rId95" Type="http://schemas.openxmlformats.org/officeDocument/2006/relationships/footer" Target="footer1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en/bc/bcca/doc/2014/2014bcca61/2014bcca61.html" TargetMode="External"/><Relationship Id="rId30" Type="http://schemas.openxmlformats.org/officeDocument/2006/relationships/hyperlink" Target="https://www.canlii.org/en/on/onca/doc/2014/2014onca925/2014onca925.html?autocompleteStr=2014%20ONCA%20925&amp;autocompletePos=1" TargetMode="External"/><Relationship Id="rId35" Type="http://schemas.openxmlformats.org/officeDocument/2006/relationships/hyperlink" Target="http://www.canlii.org/en/on/onca/doc/2015/2015onca158/2015onca158.html" TargetMode="External"/><Relationship Id="rId43" Type="http://schemas.openxmlformats.org/officeDocument/2006/relationships/hyperlink" Target="https://www.canlii.org/en/nl/nlsctd/doc/2012/2012canlii53958/2012canlii53958.html?searchUrlHash=AAAAAQAQMjAxMiBOTFREKEcpIDEzMwAAAAAB&amp;resultIndex=3" TargetMode="External"/><Relationship Id="rId48" Type="http://schemas.openxmlformats.org/officeDocument/2006/relationships/hyperlink" Target="http://canlii.ca/t/gfrqt" TargetMode="External"/><Relationship Id="rId56" Type="http://schemas.openxmlformats.org/officeDocument/2006/relationships/hyperlink" Target="http://canlii.ca/t/g3gp7" TargetMode="External"/><Relationship Id="rId64" Type="http://schemas.openxmlformats.org/officeDocument/2006/relationships/hyperlink" Target="http://www.canlii.org/fr/ca/legis/lois/lc-2003-c-22-art-2/derniere/lc-2003-c-22-art-2.html" TargetMode="External"/><Relationship Id="rId69" Type="http://schemas.openxmlformats.org/officeDocument/2006/relationships/hyperlink" Target="http://www.canlii.org/fr/ca/cfpi/doc/2014/2014cf400/2014cf400.html" TargetMode="External"/><Relationship Id="rId77" Type="http://schemas.openxmlformats.org/officeDocument/2006/relationships/hyperlink" Target="http://canlii.ca/t/gg37w" TargetMode="External"/><Relationship Id="rId100" Type="http://schemas.openxmlformats.org/officeDocument/2006/relationships/header" Target="header17.xml"/><Relationship Id="rId105" Type="http://schemas.openxmlformats.org/officeDocument/2006/relationships/footer" Target="footer19.xml"/><Relationship Id="rId8" Type="http://schemas.openxmlformats.org/officeDocument/2006/relationships/hyperlink" Target="http://www.scc-csc.ca" TargetMode="External"/><Relationship Id="rId51" Type="http://schemas.openxmlformats.org/officeDocument/2006/relationships/hyperlink" Target="http://canlii.ca/t/gj37h" TargetMode="External"/><Relationship Id="rId72" Type="http://schemas.openxmlformats.org/officeDocument/2006/relationships/hyperlink" Target="http://www.canlii.org/fr/qc/qccs/doc/2015/2015qccs156/2015qccs156.html?searchUrlHash=AAAAAQATbWlsdW5vdmljIGLDqWxhbmdlcgAAAAAB&amp;resultIndex=1" TargetMode="External"/><Relationship Id="rId80" Type="http://schemas.openxmlformats.org/officeDocument/2006/relationships/footer" Target="footer8.xml"/><Relationship Id="rId85" Type="http://schemas.openxmlformats.org/officeDocument/2006/relationships/header" Target="header12.xml"/><Relationship Id="rId93" Type="http://schemas.openxmlformats.org/officeDocument/2006/relationships/footer" Target="footer15.xml"/><Relationship Id="rId98" Type="http://schemas.openxmlformats.org/officeDocument/2006/relationships/hyperlink" Target="http://www.canlii.org/en/ca/laws/stat/rsc-1985-c-c-46/latest/rsc-1985-c-c-46.html"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en/bc/bcca/doc/2014/2014bcca61/2014bcca61.html" TargetMode="External"/><Relationship Id="rId33" Type="http://schemas.openxmlformats.org/officeDocument/2006/relationships/hyperlink" Target="https://www.canlii.org/en/on/onca/doc/2014/2014onca925/2014onca925.html?autocompleteStr=2014%20ONCA%20925&amp;autocompletePos=1" TargetMode="External"/><Relationship Id="rId38" Type="http://schemas.openxmlformats.org/officeDocument/2006/relationships/hyperlink" Target="http://canlii.ca/t/gg37w" TargetMode="External"/><Relationship Id="rId46" Type="http://schemas.openxmlformats.org/officeDocument/2006/relationships/hyperlink" Target="https://www.canlii.org/en/nl/nlsctd/doc/2012/2012canlii53958/2012canlii53958.html?searchUrlHash=AAAAAQAQMjAxMiBOTFREKEcpIDEzMwAAAAAB&amp;resultIndex=3" TargetMode="External"/><Relationship Id="rId59" Type="http://schemas.openxmlformats.org/officeDocument/2006/relationships/hyperlink" Target="http://canlii.ca/t/gg37w" TargetMode="External"/><Relationship Id="rId67" Type="http://schemas.openxmlformats.org/officeDocument/2006/relationships/hyperlink" Target="http://www.canlii.org/fr/ca/legis/lois/lc-2003-c-22-art-2/derniere/lc-2003-c-22-art-2.html" TargetMode="External"/><Relationship Id="rId103" Type="http://schemas.openxmlformats.org/officeDocument/2006/relationships/footer" Target="footer18.xml"/><Relationship Id="rId108"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canlii.ca/t/gg37w" TargetMode="External"/><Relationship Id="rId54" Type="http://schemas.openxmlformats.org/officeDocument/2006/relationships/hyperlink" Target="http://canlii.ca/t/g3gp7" TargetMode="External"/><Relationship Id="rId62" Type="http://schemas.openxmlformats.org/officeDocument/2006/relationships/hyperlink" Target="http://www.canlii.org/en/bc/bcsc/doc/2007/2007bcsc1940/2007bcsc1940.html?autocompleteStr=2007%20bcsc%201940&amp;autocompletePos=1" TargetMode="External"/><Relationship Id="rId70" Type="http://schemas.openxmlformats.org/officeDocument/2006/relationships/hyperlink" Target="http://www.canlii.org/fr/qc/qccs/doc/2015/2015qccs156/2015qccs156.html?searchUrlHash=AAAAAQATbWlsdW5vdmljIGLDqWxhbmdlcgAAAAAB&amp;resultIndex=1" TargetMode="External"/><Relationship Id="rId75" Type="http://schemas.openxmlformats.org/officeDocument/2006/relationships/hyperlink" Target="http://canlii.ca/t/gg37w" TargetMode="External"/><Relationship Id="rId83" Type="http://schemas.openxmlformats.org/officeDocument/2006/relationships/footer" Target="footer10.xml"/><Relationship Id="rId88" Type="http://schemas.openxmlformats.org/officeDocument/2006/relationships/header" Target="header13.xml"/><Relationship Id="rId91" Type="http://schemas.openxmlformats.org/officeDocument/2006/relationships/header" Target="header15.xml"/><Relationship Id="rId96" Type="http://schemas.openxmlformats.org/officeDocument/2006/relationships/hyperlink" Target="http://www.scc-csc.ca/case-dossier/info/sum-som-fra.aspx?cas=3589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s://www.canlii.org/en/on/onsc/doc/2013/2013onsc1995/2013onsc1995.html?autocompleteStr=2013%20ONSC%201995&amp;autocompletePos=1" TargetMode="External"/><Relationship Id="rId36" Type="http://schemas.openxmlformats.org/officeDocument/2006/relationships/hyperlink" Target="http://www.canlii.org/en/on/onsc/doc/2013/2013onsc3053/2013onsc3053.html" TargetMode="External"/><Relationship Id="rId49" Type="http://schemas.openxmlformats.org/officeDocument/2006/relationships/hyperlink" Target="http://canlii.ca/t/gj37h" TargetMode="External"/><Relationship Id="rId57" Type="http://schemas.openxmlformats.org/officeDocument/2006/relationships/hyperlink" Target="http://canlii.ca/t/ghjh3" TargetMode="External"/><Relationship Id="rId106" Type="http://schemas.openxmlformats.org/officeDocument/2006/relationships/header" Target="header20.xml"/><Relationship Id="rId10" Type="http://schemas.openxmlformats.org/officeDocument/2006/relationships/header" Target="header1.xml"/><Relationship Id="rId31" Type="http://schemas.openxmlformats.org/officeDocument/2006/relationships/hyperlink" Target="https://www.canlii.org/en/on/onsc/doc/2013/2013onsc1995/2013onsc1995.html?autocompleteStr=2013%20ONSC%201995&amp;autocompletePos=1" TargetMode="External"/><Relationship Id="rId44" Type="http://schemas.openxmlformats.org/officeDocument/2006/relationships/hyperlink" Target="https://www.canlii.org/en/nl/nlca/doc/2015/2015nlca21/2015nlca21.html?searchUrlHash=AAAAAQAQMjAxMiBOTFREKEcpIDEzMwAAAAAB&amp;resultIndex=1" TargetMode="External"/><Relationship Id="rId52" Type="http://schemas.openxmlformats.org/officeDocument/2006/relationships/hyperlink" Target="http://www.canlii.org/en/ab/abca/doc/2014/2014abca39/2014abca39.html?resultIndex=1" TargetMode="External"/><Relationship Id="rId60" Type="http://schemas.openxmlformats.org/officeDocument/2006/relationships/hyperlink" Target="http://www.canlii.org/en/bc/bcsc/doc/2007/2007bcsc1940/2007bcsc1940.html?autocompleteStr=2007%20bcsc%201940&amp;autocompletePos=1" TargetMode="External"/><Relationship Id="rId65" Type="http://schemas.openxmlformats.org/officeDocument/2006/relationships/hyperlink" Target="http://www.canlii.org/fr/ca/legis/lois/lc-2003-c-22-art-12-et-13/derniere/lc-2003-c-22-art-12-et-13.html" TargetMode="External"/><Relationship Id="rId73" Type="http://schemas.openxmlformats.org/officeDocument/2006/relationships/hyperlink" Target="http://www.canlii.org/fr/qc/qcca/doc/2015/2015qcca282/2015qcca282.html?searchUrlHash=AAAAAQATbWlsdW5vdmljIGLDqWxhbmdlcgAAAAAB&amp;resultIndex=6" TargetMode="External"/><Relationship Id="rId78" Type="http://schemas.openxmlformats.org/officeDocument/2006/relationships/header" Target="header8.xml"/><Relationship Id="rId81" Type="http://schemas.openxmlformats.org/officeDocument/2006/relationships/footer" Target="footer9.xml"/><Relationship Id="rId86" Type="http://schemas.openxmlformats.org/officeDocument/2006/relationships/footer" Target="footer11.xml"/><Relationship Id="rId94" Type="http://schemas.openxmlformats.org/officeDocument/2006/relationships/header" Target="header16.xml"/><Relationship Id="rId99" Type="http://schemas.openxmlformats.org/officeDocument/2006/relationships/hyperlink" Target="http://www.canlii.org/en/ca/laws/stat/rsc-1985-c-c-46/latest/rsc-1985-c-c-46.html" TargetMode="External"/><Relationship Id="rId10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canlii.ca/t/gg37w" TargetMode="External"/><Relationship Id="rId109" Type="http://schemas.openxmlformats.org/officeDocument/2006/relationships/theme" Target="theme/theme1.xml"/><Relationship Id="rId34" Type="http://schemas.openxmlformats.org/officeDocument/2006/relationships/hyperlink" Target="http://www.canlii.org/en/on/onsc/doc/2013/2013onsc3053/2013onsc3053.html" TargetMode="External"/><Relationship Id="rId50" Type="http://schemas.openxmlformats.org/officeDocument/2006/relationships/hyperlink" Target="http://canlii.ca/t/gfrqt" TargetMode="External"/><Relationship Id="rId55" Type="http://schemas.openxmlformats.org/officeDocument/2006/relationships/hyperlink" Target="http://canlii.ca/t/ghjh3" TargetMode="External"/><Relationship Id="rId76" Type="http://schemas.openxmlformats.org/officeDocument/2006/relationships/hyperlink" Target="http://canlii.ca/t/gg37w" TargetMode="External"/><Relationship Id="rId97" Type="http://schemas.openxmlformats.org/officeDocument/2006/relationships/hyperlink" Target="http://www.scc-csc.ca/case-dossier/info/sum-som-eng.aspx?cas=36162" TargetMode="External"/><Relationship Id="rId104" Type="http://schemas.openxmlformats.org/officeDocument/2006/relationships/header" Target="header19.xml"/><Relationship Id="rId7" Type="http://schemas.openxmlformats.org/officeDocument/2006/relationships/image" Target="media/image1.wmf"/><Relationship Id="rId71" Type="http://schemas.openxmlformats.org/officeDocument/2006/relationships/hyperlink" Target="http://www.canlii.org/fr/qc/qcca/doc/2015/2015qcca282/2015qcca282.html?searchUrlHash=AAAAAQATbWlsdW5vdmljIGLDqWxhbmdlcgAAAAAB&amp;resultIndex=6" TargetMode="External"/><Relationship Id="rId9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17427</Words>
  <Characters>99340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2015-10-29T18:54:00Z</dcterms:created>
  <dcterms:modified xsi:type="dcterms:W3CDTF">2016-02-18T13:58:00Z</dcterms:modified>
</cp:coreProperties>
</file>