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E7387C"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7387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7387C"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E7387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7387C"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E7387C"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E7387C"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r w:rsidR="00E7387C">
              <w:fldChar w:fldCharType="begin"/>
            </w:r>
            <w:r w:rsidR="00E7387C" w:rsidRPr="00E7387C">
              <w:rPr>
                <w:lang w:val="fr-CA"/>
              </w:rPr>
              <w:instrText xml:space="preserve"> HYPERLINK "http://www.scc-csc.ca" </w:instrText>
            </w:r>
            <w:r w:rsidR="00E7387C">
              <w:fldChar w:fldCharType="separate"/>
            </w:r>
            <w:r w:rsidR="0081473A" w:rsidRPr="00DB53DA">
              <w:rPr>
                <w:rStyle w:val="Hyperlink"/>
                <w:rFonts w:ascii="Arial" w:hAnsi="Arial" w:cs="Arial"/>
                <w:i/>
                <w:sz w:val="20"/>
                <w:szCs w:val="20"/>
                <w:lang w:val="fr-CA"/>
              </w:rPr>
              <w:t>www.scc-csc.ca</w:t>
            </w:r>
            <w:r w:rsidR="00E7387C">
              <w:rPr>
                <w:rStyle w:val="Hyperlink"/>
                <w:rFonts w:ascii="Arial" w:hAnsi="Arial" w:cs="Arial"/>
                <w:i/>
                <w:sz w:val="20"/>
                <w:szCs w:val="20"/>
                <w:lang w:val="fr-CA"/>
              </w:rPr>
              <w:fldChar w:fldCharType="end"/>
            </w:r>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894E6D" w:rsidP="00F0068D">
      <w:pPr>
        <w:pBdr>
          <w:bottom w:val="single" w:sz="6" w:space="1" w:color="auto"/>
        </w:pBdr>
        <w:tabs>
          <w:tab w:val="center" w:pos="4680"/>
          <w:tab w:val="right" w:pos="9360"/>
        </w:tabs>
        <w:rPr>
          <w:lang w:val="fr-CA"/>
        </w:rPr>
      </w:pPr>
      <w:r>
        <w:rPr>
          <w:lang w:val="fr-CA"/>
        </w:rPr>
        <w:t>March 17</w:t>
      </w:r>
      <w:r w:rsidR="00440E24" w:rsidRPr="00675479">
        <w:rPr>
          <w:lang w:val="fr-CA"/>
        </w:rPr>
        <w:t>, 201</w:t>
      </w:r>
      <w:r w:rsidR="00E8544A">
        <w:rPr>
          <w:lang w:val="fr-CA"/>
        </w:rPr>
        <w:t>7</w:t>
      </w:r>
      <w:r w:rsidR="00F0068D" w:rsidRPr="00675479">
        <w:rPr>
          <w:lang w:val="fr-CA"/>
        </w:rPr>
        <w:tab/>
      </w:r>
      <w:r>
        <w:rPr>
          <w:lang w:val="fr-CA"/>
        </w:rPr>
        <w:t>455</w:t>
      </w:r>
      <w:r w:rsidR="00F0068D" w:rsidRPr="00675479">
        <w:rPr>
          <w:lang w:val="fr-CA"/>
        </w:rPr>
        <w:t xml:space="preserve"> - </w:t>
      </w:r>
      <w:r w:rsidR="00E36428">
        <w:rPr>
          <w:lang w:val="fr-CA"/>
        </w:rPr>
        <w:t>489</w:t>
      </w:r>
      <w:r w:rsidR="00440E24" w:rsidRPr="00675479">
        <w:rPr>
          <w:lang w:val="fr-CA"/>
        </w:rPr>
        <w:tab/>
      </w:r>
      <w:r w:rsidR="00440E24" w:rsidRPr="002E2327">
        <w:rPr>
          <w:lang w:val="fr-CA"/>
        </w:rPr>
        <w:t>Le</w:t>
      </w:r>
      <w:r w:rsidR="00C73D06">
        <w:rPr>
          <w:lang w:val="fr-CA"/>
        </w:rPr>
        <w:t xml:space="preserve"> </w:t>
      </w:r>
      <w:r>
        <w:rPr>
          <w:lang w:val="fr-CA"/>
        </w:rPr>
        <w:t>17 mars</w:t>
      </w:r>
      <w:r w:rsidR="00440E24" w:rsidRPr="002E2327">
        <w:rPr>
          <w:lang w:val="fr-CA"/>
        </w:rPr>
        <w:t xml:space="preserve"> 201</w:t>
      </w:r>
      <w:r w:rsidR="00E8544A">
        <w:rPr>
          <w:lang w:val="fr-CA"/>
        </w:rPr>
        <w:t>7</w:t>
      </w:r>
    </w:p>
    <w:p w:rsidR="00440E24" w:rsidRPr="00675479" w:rsidRDefault="00440E24" w:rsidP="00440E24">
      <w:pPr>
        <w:pBdr>
          <w:bottom w:val="single" w:sz="6" w:space="1" w:color="auto"/>
        </w:pBdr>
        <w:tabs>
          <w:tab w:val="right" w:pos="9360"/>
        </w:tabs>
        <w:rPr>
          <w:lang w:val="fr-CA"/>
        </w:rPr>
      </w:pPr>
    </w:p>
    <w:p w:rsidR="00440E24" w:rsidRPr="00E8544A" w:rsidRDefault="00440E24" w:rsidP="00440E24">
      <w:pPr>
        <w:pBdr>
          <w:bottom w:val="single" w:sz="6" w:space="1" w:color="auto"/>
        </w:pBdr>
        <w:tabs>
          <w:tab w:val="right" w:pos="9360"/>
        </w:tabs>
        <w:rPr>
          <w:sz w:val="18"/>
          <w:szCs w:val="18"/>
          <w:lang w:val="fr-CA"/>
        </w:rPr>
      </w:pPr>
      <w:r w:rsidRPr="00E8544A">
        <w:rPr>
          <w:sz w:val="18"/>
          <w:szCs w:val="18"/>
          <w:lang w:val="fr-CA"/>
        </w:rPr>
        <w:t>© Supreme Court of Canada (</w:t>
      </w:r>
      <w:r w:rsidR="0030050B" w:rsidRPr="00E8544A">
        <w:rPr>
          <w:sz w:val="18"/>
          <w:szCs w:val="18"/>
          <w:lang w:val="fr-CA"/>
        </w:rPr>
        <w:t>201</w:t>
      </w:r>
      <w:r w:rsidR="00E8544A">
        <w:rPr>
          <w:sz w:val="18"/>
          <w:szCs w:val="18"/>
          <w:lang w:val="fr-CA"/>
        </w:rPr>
        <w:t>7</w:t>
      </w:r>
      <w:r w:rsidRPr="00E8544A">
        <w:rPr>
          <w:sz w:val="18"/>
          <w:szCs w:val="18"/>
          <w:lang w:val="fr-CA"/>
        </w:rPr>
        <w:t>)</w:t>
      </w:r>
      <w:r w:rsidRPr="00E8544A">
        <w:rPr>
          <w:sz w:val="18"/>
          <w:szCs w:val="18"/>
          <w:lang w:val="fr-CA"/>
        </w:rPr>
        <w:tab/>
        <w:t>© Cour suprême du Canada (</w:t>
      </w:r>
      <w:r w:rsidR="0030050B" w:rsidRPr="00E8544A">
        <w:rPr>
          <w:sz w:val="18"/>
          <w:szCs w:val="18"/>
          <w:lang w:val="fr-CA"/>
        </w:rPr>
        <w:t>201</w:t>
      </w:r>
      <w:r w:rsidR="00E8544A">
        <w:rPr>
          <w:sz w:val="18"/>
          <w:szCs w:val="18"/>
          <w:lang w:val="fr-CA"/>
        </w:rPr>
        <w:t>7</w:t>
      </w:r>
      <w:r w:rsidRPr="00E8544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E7387C"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Default="0095096B" w:rsidP="00752A20">
            <w:pPr>
              <w:tabs>
                <w:tab w:val="left" w:pos="2496"/>
              </w:tabs>
              <w:rPr>
                <w:rFonts w:cs="Times New Roman"/>
                <w:sz w:val="20"/>
                <w:szCs w:val="20"/>
              </w:rPr>
            </w:pPr>
            <w:r w:rsidRPr="002E2327">
              <w:rPr>
                <w:rFonts w:cs="Times New Roman"/>
                <w:sz w:val="20"/>
                <w:szCs w:val="20"/>
              </w:rPr>
              <w:t>to Court since last issue</w:t>
            </w:r>
          </w:p>
          <w:p w:rsidR="00752A20" w:rsidRDefault="00752A20" w:rsidP="00752A20">
            <w:pPr>
              <w:tabs>
                <w:tab w:val="left" w:pos="2496"/>
              </w:tabs>
              <w:rPr>
                <w:rFonts w:cs="Times New Roman"/>
                <w:sz w:val="20"/>
                <w:szCs w:val="20"/>
              </w:rPr>
            </w:pPr>
          </w:p>
          <w:p w:rsidR="00752A20" w:rsidRPr="002E2327" w:rsidRDefault="00752A20" w:rsidP="00752A20">
            <w:pPr>
              <w:tabs>
                <w:tab w:val="right" w:pos="9360"/>
              </w:tabs>
              <w:rPr>
                <w:rFonts w:cs="Times New Roman"/>
                <w:sz w:val="20"/>
                <w:szCs w:val="20"/>
              </w:rPr>
            </w:pPr>
            <w:r w:rsidRPr="002E2327">
              <w:rPr>
                <w:rFonts w:cs="Times New Roman"/>
                <w:sz w:val="20"/>
                <w:szCs w:val="20"/>
              </w:rPr>
              <w:t>Oral hearing ordered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95096B">
            <w:pPr>
              <w:tabs>
                <w:tab w:val="right" w:pos="9360"/>
              </w:tabs>
              <w:rPr>
                <w:rFonts w:cs="Times New Roman"/>
                <w:sz w:val="20"/>
                <w:szCs w:val="20"/>
              </w:rPr>
            </w:pPr>
          </w:p>
          <w:p w:rsidR="00A87207" w:rsidRPr="002E2327" w:rsidRDefault="00A87207" w:rsidP="00F95A6A">
            <w:pPr>
              <w:tabs>
                <w:tab w:val="right" w:pos="9360"/>
              </w:tabs>
              <w:rPr>
                <w:rFonts w:cs="Times New Roman"/>
                <w:sz w:val="20"/>
                <w:szCs w:val="20"/>
              </w:rPr>
            </w:pPr>
          </w:p>
        </w:tc>
        <w:tc>
          <w:tcPr>
            <w:tcW w:w="1980" w:type="dxa"/>
          </w:tcPr>
          <w:p w:rsidR="0095096B" w:rsidRPr="002E2327" w:rsidRDefault="000E27A5"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752A20">
              <w:rPr>
                <w:rFonts w:cs="Times New Roman"/>
                <w:sz w:val="20"/>
                <w:szCs w:val="20"/>
              </w:rPr>
              <w:t>455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52A20" w:rsidP="0095096B">
            <w:pPr>
              <w:jc w:val="center"/>
              <w:rPr>
                <w:rFonts w:cs="Times New Roman"/>
                <w:sz w:val="20"/>
                <w:szCs w:val="20"/>
              </w:rPr>
            </w:pPr>
            <w:r>
              <w:rPr>
                <w:rFonts w:cs="Times New Roman"/>
                <w:sz w:val="20"/>
                <w:szCs w:val="20"/>
              </w:rPr>
              <w:t xml:space="preserve">456 </w:t>
            </w:r>
            <w:r w:rsidR="0095096B" w:rsidRPr="002E2327">
              <w:rPr>
                <w:rFonts w:cs="Times New Roman"/>
                <w:sz w:val="20"/>
                <w:szCs w:val="20"/>
              </w:rPr>
              <w:t>-</w:t>
            </w:r>
            <w:r>
              <w:rPr>
                <w:rFonts w:cs="Times New Roman"/>
                <w:sz w:val="20"/>
                <w:szCs w:val="20"/>
              </w:rPr>
              <w:t xml:space="preserve"> 457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52A20" w:rsidP="0095096B">
            <w:pPr>
              <w:jc w:val="center"/>
              <w:rPr>
                <w:rFonts w:cs="Times New Roman"/>
                <w:sz w:val="20"/>
                <w:szCs w:val="20"/>
              </w:rPr>
            </w:pPr>
            <w:r>
              <w:rPr>
                <w:rFonts w:cs="Times New Roman"/>
                <w:sz w:val="20"/>
                <w:szCs w:val="20"/>
              </w:rPr>
              <w:t xml:space="preserve">458 </w:t>
            </w:r>
            <w:r w:rsidR="0095096B" w:rsidRPr="002E2327">
              <w:rPr>
                <w:rFonts w:cs="Times New Roman"/>
                <w:sz w:val="20"/>
                <w:szCs w:val="20"/>
              </w:rPr>
              <w:t>-</w:t>
            </w:r>
            <w:r>
              <w:rPr>
                <w:rFonts w:cs="Times New Roman"/>
                <w:sz w:val="20"/>
                <w:szCs w:val="20"/>
              </w:rPr>
              <w:t xml:space="preserve"> 460</w:t>
            </w:r>
          </w:p>
          <w:p w:rsidR="0095096B" w:rsidRDefault="0095096B" w:rsidP="0095096B">
            <w:pPr>
              <w:jc w:val="center"/>
              <w:rPr>
                <w:rFonts w:cs="Times New Roman"/>
                <w:sz w:val="20"/>
                <w:szCs w:val="20"/>
              </w:rPr>
            </w:pPr>
          </w:p>
          <w:p w:rsidR="0095096B" w:rsidRPr="002E2327" w:rsidRDefault="00752A20" w:rsidP="0095096B">
            <w:pPr>
              <w:jc w:val="center"/>
              <w:rPr>
                <w:rFonts w:cs="Times New Roman"/>
                <w:sz w:val="20"/>
                <w:szCs w:val="20"/>
              </w:rPr>
            </w:pPr>
            <w:r>
              <w:rPr>
                <w:rFonts w:cs="Times New Roman"/>
                <w:sz w:val="20"/>
                <w:szCs w:val="20"/>
              </w:rPr>
              <w:t xml:space="preserve">461 </w:t>
            </w:r>
            <w:r w:rsidR="0095096B" w:rsidRPr="002E2327">
              <w:rPr>
                <w:rFonts w:cs="Times New Roman"/>
                <w:sz w:val="20"/>
                <w:szCs w:val="20"/>
              </w:rPr>
              <w:t>-</w:t>
            </w:r>
            <w:r>
              <w:rPr>
                <w:rFonts w:cs="Times New Roman"/>
                <w:sz w:val="20"/>
                <w:szCs w:val="20"/>
              </w:rPr>
              <w:t xml:space="preserve"> 474</w:t>
            </w:r>
          </w:p>
          <w:p w:rsidR="0095096B" w:rsidRDefault="0095096B" w:rsidP="0095096B">
            <w:pPr>
              <w:jc w:val="center"/>
              <w:rPr>
                <w:rFonts w:cs="Times New Roman"/>
                <w:sz w:val="20"/>
                <w:szCs w:val="20"/>
              </w:rPr>
            </w:pPr>
          </w:p>
          <w:p w:rsidR="00752A20" w:rsidRPr="002E2327" w:rsidRDefault="00752A20" w:rsidP="0095096B">
            <w:pPr>
              <w:jc w:val="center"/>
              <w:rPr>
                <w:rFonts w:cs="Times New Roman"/>
                <w:sz w:val="20"/>
                <w:szCs w:val="20"/>
              </w:rPr>
            </w:pPr>
          </w:p>
          <w:p w:rsidR="0095096B" w:rsidRPr="002E2327" w:rsidRDefault="00752A20" w:rsidP="0095096B">
            <w:pPr>
              <w:jc w:val="center"/>
              <w:rPr>
                <w:rFonts w:cs="Times New Roman"/>
                <w:sz w:val="20"/>
                <w:szCs w:val="20"/>
              </w:rPr>
            </w:pPr>
            <w:r>
              <w:rPr>
                <w:rFonts w:cs="Times New Roman"/>
                <w:sz w:val="20"/>
                <w:szCs w:val="20"/>
              </w:rPr>
              <w:t xml:space="preserve">475 </w:t>
            </w:r>
            <w:r w:rsidR="0095096B" w:rsidRPr="002E2327">
              <w:rPr>
                <w:rFonts w:cs="Times New Roman"/>
                <w:sz w:val="20"/>
                <w:szCs w:val="20"/>
              </w:rPr>
              <w:t>-</w:t>
            </w:r>
            <w:r>
              <w:rPr>
                <w:rFonts w:cs="Times New Roman"/>
                <w:sz w:val="20"/>
                <w:szCs w:val="20"/>
              </w:rPr>
              <w:t xml:space="preserve"> 479</w:t>
            </w:r>
          </w:p>
          <w:p w:rsidR="0095096B" w:rsidRPr="002E2327" w:rsidRDefault="0095096B" w:rsidP="0095096B">
            <w:pPr>
              <w:jc w:val="center"/>
              <w:rPr>
                <w:rFonts w:cs="Times New Roman"/>
                <w:sz w:val="20"/>
                <w:szCs w:val="20"/>
              </w:rPr>
            </w:pPr>
          </w:p>
          <w:p w:rsidR="0095096B" w:rsidRPr="002E2327" w:rsidRDefault="00752A20" w:rsidP="0095096B">
            <w:pPr>
              <w:jc w:val="center"/>
              <w:rPr>
                <w:rFonts w:cs="Times New Roman"/>
                <w:sz w:val="20"/>
                <w:szCs w:val="20"/>
              </w:rPr>
            </w:pPr>
            <w:r>
              <w:rPr>
                <w:rFonts w:cs="Times New Roman"/>
                <w:sz w:val="20"/>
                <w:szCs w:val="20"/>
              </w:rPr>
              <w:t>480</w:t>
            </w:r>
          </w:p>
          <w:p w:rsidR="0095096B" w:rsidRDefault="0095096B" w:rsidP="0095096B">
            <w:pPr>
              <w:jc w:val="center"/>
              <w:rPr>
                <w:rFonts w:cs="Times New Roman"/>
                <w:sz w:val="20"/>
                <w:szCs w:val="20"/>
              </w:rPr>
            </w:pPr>
          </w:p>
          <w:p w:rsidR="002B4929" w:rsidRPr="002E2327" w:rsidRDefault="002B4929" w:rsidP="0095096B">
            <w:pPr>
              <w:jc w:val="center"/>
              <w:rPr>
                <w:rFonts w:cs="Times New Roman"/>
                <w:sz w:val="20"/>
                <w:szCs w:val="20"/>
              </w:rPr>
            </w:pPr>
          </w:p>
          <w:p w:rsidR="0095096B" w:rsidRPr="002E2327" w:rsidRDefault="00752A20" w:rsidP="0095096B">
            <w:pPr>
              <w:jc w:val="center"/>
              <w:rPr>
                <w:rFonts w:cs="Times New Roman"/>
                <w:sz w:val="20"/>
                <w:szCs w:val="20"/>
              </w:rPr>
            </w:pPr>
            <w:r>
              <w:rPr>
                <w:rFonts w:cs="Times New Roman"/>
                <w:sz w:val="20"/>
                <w:szCs w:val="20"/>
              </w:rPr>
              <w:t>481</w:t>
            </w:r>
          </w:p>
          <w:p w:rsidR="0095096B" w:rsidRDefault="0095096B" w:rsidP="0095096B">
            <w:pPr>
              <w:jc w:val="center"/>
              <w:rPr>
                <w:rFonts w:cs="Times New Roman"/>
                <w:sz w:val="20"/>
                <w:szCs w:val="20"/>
              </w:rPr>
            </w:pPr>
          </w:p>
          <w:p w:rsidR="00752A20" w:rsidRPr="002E2327" w:rsidRDefault="00752A20" w:rsidP="0095096B">
            <w:pPr>
              <w:jc w:val="center"/>
              <w:rPr>
                <w:rFonts w:cs="Times New Roman"/>
                <w:sz w:val="20"/>
                <w:szCs w:val="20"/>
              </w:rPr>
            </w:pPr>
          </w:p>
          <w:p w:rsidR="0095096B" w:rsidRPr="002E2327" w:rsidRDefault="00752A20" w:rsidP="0095096B">
            <w:pPr>
              <w:jc w:val="center"/>
              <w:rPr>
                <w:rFonts w:cs="Times New Roman"/>
                <w:sz w:val="20"/>
                <w:szCs w:val="20"/>
              </w:rPr>
            </w:pPr>
            <w:r>
              <w:rPr>
                <w:rFonts w:cs="Times New Roman"/>
                <w:sz w:val="20"/>
                <w:szCs w:val="20"/>
              </w:rPr>
              <w:t xml:space="preserve">482 </w:t>
            </w:r>
            <w:r w:rsidR="0095096B" w:rsidRPr="002E2327">
              <w:rPr>
                <w:rFonts w:cs="Times New Roman"/>
                <w:sz w:val="20"/>
                <w:szCs w:val="20"/>
              </w:rPr>
              <w:t>-</w:t>
            </w:r>
            <w:r>
              <w:rPr>
                <w:rFonts w:cs="Times New Roman"/>
                <w:sz w:val="20"/>
                <w:szCs w:val="20"/>
              </w:rPr>
              <w:t xml:space="preserve"> 487</w:t>
            </w:r>
          </w:p>
          <w:p w:rsidR="0095096B" w:rsidRDefault="0095096B" w:rsidP="0095096B">
            <w:pPr>
              <w:jc w:val="center"/>
              <w:rPr>
                <w:rFonts w:cs="Times New Roman"/>
                <w:sz w:val="20"/>
                <w:szCs w:val="20"/>
              </w:rPr>
            </w:pPr>
          </w:p>
          <w:p w:rsidR="00752A20" w:rsidRPr="002E2327" w:rsidRDefault="00752A20" w:rsidP="0095096B">
            <w:pPr>
              <w:jc w:val="center"/>
              <w:rPr>
                <w:rFonts w:cs="Times New Roman"/>
                <w:sz w:val="20"/>
                <w:szCs w:val="20"/>
              </w:rPr>
            </w:pPr>
            <w:r>
              <w:rPr>
                <w:rFonts w:cs="Times New Roman"/>
                <w:sz w:val="20"/>
                <w:szCs w:val="20"/>
              </w:rPr>
              <w:t>488</w:t>
            </w:r>
            <w:r w:rsidR="007A7667">
              <w:rPr>
                <w:rFonts w:cs="Times New Roman"/>
                <w:sz w:val="20"/>
                <w:szCs w:val="20"/>
              </w:rPr>
              <w:t xml:space="preserve"> </w:t>
            </w:r>
            <w:r>
              <w:rPr>
                <w:rFonts w:cs="Times New Roman"/>
                <w:sz w:val="20"/>
                <w:szCs w:val="20"/>
              </w:rPr>
              <w:t>-</w:t>
            </w:r>
            <w:r w:rsidR="007A7667">
              <w:rPr>
                <w:rFonts w:cs="Times New Roman"/>
                <w:sz w:val="20"/>
                <w:szCs w:val="20"/>
              </w:rPr>
              <w:t xml:space="preserve"> </w:t>
            </w:r>
            <w:r>
              <w:rPr>
                <w:rFonts w:cs="Times New Roman"/>
                <w:sz w:val="20"/>
                <w:szCs w:val="20"/>
              </w:rPr>
              <w:t>489</w:t>
            </w:r>
          </w:p>
          <w:p w:rsidR="00A87207" w:rsidRPr="002E2327" w:rsidRDefault="00A87207" w:rsidP="002B4929">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Default="0095096B" w:rsidP="0095096B">
            <w:pPr>
              <w:rPr>
                <w:rFonts w:cs="Times New Roman"/>
                <w:sz w:val="20"/>
                <w:szCs w:val="20"/>
                <w:lang w:val="fr-CA"/>
              </w:rPr>
            </w:pPr>
            <w:r w:rsidRPr="002E2327">
              <w:rPr>
                <w:rFonts w:cs="Times New Roman"/>
                <w:sz w:val="20"/>
                <w:szCs w:val="20"/>
                <w:lang w:val="fr-CA"/>
              </w:rPr>
              <w:t>dernière parution</w:t>
            </w:r>
          </w:p>
          <w:p w:rsidR="00752A20" w:rsidRDefault="00752A20" w:rsidP="0095096B">
            <w:pPr>
              <w:rPr>
                <w:rFonts w:cs="Times New Roman"/>
                <w:sz w:val="20"/>
                <w:szCs w:val="20"/>
                <w:lang w:val="fr-CA"/>
              </w:rPr>
            </w:pPr>
          </w:p>
          <w:p w:rsidR="00752A20" w:rsidRPr="002E2327" w:rsidRDefault="00752A20" w:rsidP="00752A20">
            <w:pPr>
              <w:rPr>
                <w:rFonts w:cs="Times New Roman"/>
                <w:sz w:val="20"/>
                <w:szCs w:val="20"/>
                <w:lang w:val="fr-CA"/>
              </w:rPr>
            </w:pPr>
            <w:r w:rsidRPr="002E2327">
              <w:rPr>
                <w:rFonts w:cs="Times New Roman"/>
                <w:sz w:val="20"/>
                <w:szCs w:val="20"/>
                <w:lang w:val="fr-CA"/>
              </w:rPr>
              <w:t>Audience ordonnée</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2B4929">
            <w:pPr>
              <w:tabs>
                <w:tab w:val="right" w:pos="9360"/>
              </w:tabs>
              <w:rPr>
                <w:rFonts w:cs="Times New Roman"/>
                <w:sz w:val="20"/>
                <w:szCs w:val="20"/>
                <w:lang w:val="fr-CA"/>
              </w:rPr>
            </w:pPr>
          </w:p>
        </w:tc>
      </w:tr>
    </w:tbl>
    <w:p w:rsidR="0095096B" w:rsidRPr="00FC7A5A"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E7387C"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462675" w:rsidRDefault="00894E6D" w:rsidP="005F1ED8">
            <w:pPr>
              <w:rPr>
                <w:b/>
                <w:sz w:val="20"/>
                <w:szCs w:val="20"/>
                <w:lang w:val="fr-CA"/>
              </w:rPr>
            </w:pPr>
            <w:r w:rsidRPr="00462675">
              <w:rPr>
                <w:b/>
                <w:sz w:val="20"/>
                <w:szCs w:val="20"/>
                <w:lang w:val="fr-CA"/>
              </w:rPr>
              <w:t>Alexander S. Clark</w:t>
            </w:r>
          </w:p>
          <w:p w:rsidR="00894E6D" w:rsidRPr="00462675" w:rsidRDefault="00894E6D" w:rsidP="005F1ED8">
            <w:pPr>
              <w:rPr>
                <w:sz w:val="20"/>
                <w:szCs w:val="20"/>
                <w:lang w:val="fr-CA"/>
              </w:rPr>
            </w:pPr>
            <w:r w:rsidRPr="00462675">
              <w:rPr>
                <w:b/>
                <w:sz w:val="20"/>
                <w:szCs w:val="20"/>
                <w:lang w:val="fr-CA"/>
              </w:rPr>
              <w:tab/>
            </w:r>
            <w:r w:rsidRPr="00462675">
              <w:rPr>
                <w:sz w:val="20"/>
                <w:szCs w:val="20"/>
                <w:lang w:val="fr-CA"/>
              </w:rPr>
              <w:t>Alexander S. Clark</w:t>
            </w:r>
          </w:p>
          <w:p w:rsidR="00894E6D" w:rsidRPr="00462675" w:rsidRDefault="00894E6D" w:rsidP="005F1ED8">
            <w:pPr>
              <w:rPr>
                <w:sz w:val="20"/>
                <w:szCs w:val="20"/>
                <w:lang w:val="fr-CA"/>
              </w:rPr>
            </w:pPr>
          </w:p>
          <w:p w:rsidR="00894E6D" w:rsidRPr="00462675" w:rsidRDefault="00894E6D" w:rsidP="005F1ED8">
            <w:pPr>
              <w:rPr>
                <w:sz w:val="20"/>
                <w:szCs w:val="20"/>
                <w:lang w:val="fr-CA"/>
              </w:rPr>
            </w:pPr>
            <w:r w:rsidRPr="00462675">
              <w:rPr>
                <w:sz w:val="20"/>
                <w:szCs w:val="20"/>
                <w:lang w:val="fr-CA"/>
              </w:rPr>
              <w:tab/>
              <w:t>v. (37472)</w:t>
            </w:r>
          </w:p>
          <w:p w:rsidR="00894E6D" w:rsidRPr="00462675" w:rsidRDefault="00894E6D" w:rsidP="005F1ED8">
            <w:pPr>
              <w:rPr>
                <w:sz w:val="20"/>
                <w:szCs w:val="20"/>
                <w:lang w:val="fr-CA"/>
              </w:rPr>
            </w:pPr>
          </w:p>
          <w:p w:rsidR="00894E6D" w:rsidRDefault="00894E6D" w:rsidP="005F1ED8">
            <w:pPr>
              <w:rPr>
                <w:b/>
                <w:sz w:val="20"/>
                <w:szCs w:val="20"/>
              </w:rPr>
            </w:pPr>
            <w:r w:rsidRPr="00462675">
              <w:rPr>
                <w:b/>
                <w:sz w:val="20"/>
                <w:szCs w:val="20"/>
                <w:lang w:val="fr-CA"/>
              </w:rPr>
              <w:t xml:space="preserve">Maurizio </w:t>
            </w:r>
            <w:proofErr w:type="spellStart"/>
            <w:r w:rsidRPr="00462675">
              <w:rPr>
                <w:b/>
                <w:sz w:val="20"/>
                <w:szCs w:val="20"/>
                <w:lang w:val="fr-CA"/>
              </w:rPr>
              <w:t>Pezzente</w:t>
            </w:r>
            <w:proofErr w:type="spellEnd"/>
            <w:r w:rsidR="00E178A7" w:rsidRPr="00462675">
              <w:rPr>
                <w:b/>
                <w:sz w:val="20"/>
                <w:szCs w:val="20"/>
                <w:lang w:val="fr-CA"/>
              </w:rPr>
              <w:t xml:space="preserve"> et al.</w:t>
            </w:r>
            <w:r w:rsidRPr="00462675">
              <w:rPr>
                <w:b/>
                <w:sz w:val="20"/>
                <w:szCs w:val="20"/>
                <w:lang w:val="fr-CA"/>
              </w:rPr>
              <w:t xml:space="preserve"> </w:t>
            </w:r>
            <w:r>
              <w:rPr>
                <w:b/>
                <w:sz w:val="20"/>
                <w:szCs w:val="20"/>
              </w:rPr>
              <w:t>(Alta.)</w:t>
            </w:r>
          </w:p>
          <w:p w:rsidR="00894E6D" w:rsidRDefault="00894E6D" w:rsidP="005F1ED8">
            <w:pPr>
              <w:rPr>
                <w:sz w:val="20"/>
                <w:szCs w:val="20"/>
              </w:rPr>
            </w:pPr>
            <w:r>
              <w:rPr>
                <w:sz w:val="20"/>
                <w:szCs w:val="20"/>
              </w:rPr>
              <w:tab/>
            </w:r>
            <w:proofErr w:type="spellStart"/>
            <w:r>
              <w:rPr>
                <w:sz w:val="20"/>
                <w:szCs w:val="20"/>
              </w:rPr>
              <w:t>Rinus</w:t>
            </w:r>
            <w:proofErr w:type="spellEnd"/>
            <w:r>
              <w:rPr>
                <w:sz w:val="20"/>
                <w:szCs w:val="20"/>
              </w:rPr>
              <w:t xml:space="preserve"> de Waal</w:t>
            </w:r>
          </w:p>
          <w:p w:rsidR="00894E6D" w:rsidRDefault="00894E6D" w:rsidP="005F1ED8">
            <w:pPr>
              <w:rPr>
                <w:sz w:val="20"/>
                <w:szCs w:val="20"/>
              </w:rPr>
            </w:pPr>
            <w:r>
              <w:rPr>
                <w:sz w:val="20"/>
                <w:szCs w:val="20"/>
              </w:rPr>
              <w:tab/>
              <w:t>De Waal Law</w:t>
            </w:r>
          </w:p>
          <w:p w:rsidR="00894E6D" w:rsidRDefault="00894E6D" w:rsidP="005F1ED8">
            <w:pPr>
              <w:rPr>
                <w:sz w:val="20"/>
                <w:szCs w:val="20"/>
              </w:rPr>
            </w:pPr>
            <w:r>
              <w:rPr>
                <w:sz w:val="20"/>
                <w:szCs w:val="20"/>
              </w:rPr>
              <w:br/>
              <w:t>FILING DATE: 03.01.2017</w:t>
            </w:r>
          </w:p>
          <w:p w:rsidR="00C21644" w:rsidRPr="00A935AA" w:rsidRDefault="00E7387C"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894E6D">
            <w:pPr>
              <w:jc w:val="center"/>
              <w:rPr>
                <w:sz w:val="20"/>
                <w:szCs w:val="20"/>
              </w:rPr>
            </w:pPr>
          </w:p>
        </w:tc>
        <w:tc>
          <w:tcPr>
            <w:tcW w:w="4320" w:type="dxa"/>
            <w:shd w:val="clear" w:color="auto" w:fill="auto"/>
          </w:tcPr>
          <w:p w:rsidR="00C21644" w:rsidRPr="00E178A7" w:rsidRDefault="00C21644" w:rsidP="00894E6D">
            <w:pPr>
              <w:rPr>
                <w:sz w:val="20"/>
                <w:szCs w:val="20"/>
              </w:rPr>
            </w:pPr>
          </w:p>
        </w:tc>
      </w:tr>
      <w:tr w:rsidR="00C21644" w:rsidRPr="00A935AA" w:rsidTr="003B3977">
        <w:tc>
          <w:tcPr>
            <w:tcW w:w="4320" w:type="dxa"/>
            <w:shd w:val="clear" w:color="auto" w:fill="auto"/>
          </w:tcPr>
          <w:p w:rsidR="00C21644" w:rsidRPr="00A935AA" w:rsidRDefault="00C21644" w:rsidP="003B3977">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A935AA" w:rsidRDefault="00C21644" w:rsidP="00894E6D">
            <w:pPr>
              <w:rPr>
                <w:sz w:val="20"/>
                <w:szCs w:val="20"/>
              </w:rPr>
            </w:pPr>
          </w:p>
        </w:tc>
      </w:tr>
      <w:tr w:rsidR="00C21644" w:rsidRPr="00A935AA" w:rsidTr="003B3977">
        <w:tc>
          <w:tcPr>
            <w:tcW w:w="4320" w:type="dxa"/>
            <w:shd w:val="clear" w:color="auto" w:fill="auto"/>
          </w:tcPr>
          <w:p w:rsidR="00C21644" w:rsidRPr="00A935AA" w:rsidRDefault="00C21644"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A935AA" w:rsidRDefault="00C21644" w:rsidP="005F1ED8">
            <w:pPr>
              <w:rPr>
                <w:sz w:val="20"/>
                <w:szCs w:val="20"/>
              </w:rPr>
            </w:pPr>
          </w:p>
        </w:tc>
      </w:tr>
    </w:tbl>
    <w:p w:rsidR="00242AEE" w:rsidRDefault="00242AEE" w:rsidP="0095096B">
      <w:pPr>
        <w:tabs>
          <w:tab w:val="right" w:pos="9360"/>
        </w:tabs>
        <w:rPr>
          <w:sz w:val="20"/>
          <w:szCs w:val="20"/>
        </w:rPr>
      </w:pPr>
    </w:p>
    <w:p w:rsidR="00C01FCB" w:rsidRDefault="00C01FCB" w:rsidP="0095096B">
      <w:pPr>
        <w:tabs>
          <w:tab w:val="right" w:pos="9360"/>
        </w:tabs>
        <w:rPr>
          <w:sz w:val="20"/>
          <w:szCs w:val="20"/>
        </w:rPr>
      </w:pPr>
    </w:p>
    <w:p w:rsidR="00C01FCB" w:rsidRDefault="00C01FCB"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894E6D">
          <w:headerReference w:type="default" r:id="rId9"/>
          <w:footerReference w:type="default" r:id="rId10"/>
          <w:headerReference w:type="first" r:id="rId11"/>
          <w:footerReference w:type="first" r:id="rId12"/>
          <w:pgSz w:w="12240" w:h="15840"/>
          <w:pgMar w:top="720" w:right="965" w:bottom="1080" w:left="1656" w:header="706" w:footer="706" w:gutter="0"/>
          <w:pgNumType w:start="455"/>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E7387C"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462675">
              <w:rPr>
                <w:b/>
                <w:szCs w:val="24"/>
                <w:lang w:val="fr-CA"/>
              </w:rPr>
              <w:t>DEMANDES SOUMISES À LA COUR DEPUIS LA DERNIÈRE PA</w:t>
            </w:r>
            <w:r w:rsidRPr="001D0D5F">
              <w:rPr>
                <w:b/>
                <w:szCs w:val="24"/>
                <w:lang w:val="fr-CA"/>
              </w:rPr>
              <w:t>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E7387C" w:rsidP="00CB3520">
      <w:pPr>
        <w:widowControl w:val="0"/>
        <w:rPr>
          <w:b/>
          <w:sz w:val="20"/>
          <w:szCs w:val="20"/>
        </w:rPr>
      </w:pPr>
      <w:r>
        <w:rPr>
          <w:b/>
          <w:sz w:val="20"/>
          <w:szCs w:val="20"/>
        </w:rPr>
        <w:t>MARCH 13</w:t>
      </w:r>
      <w:r w:rsidR="00CB3520" w:rsidRPr="00C50A5C">
        <w:rPr>
          <w:b/>
          <w:sz w:val="20"/>
          <w:szCs w:val="20"/>
        </w:rPr>
        <w:t>, 201</w:t>
      </w:r>
      <w:r w:rsidR="00E8544A">
        <w:rPr>
          <w:b/>
          <w:sz w:val="20"/>
          <w:szCs w:val="20"/>
        </w:rPr>
        <w:t>7</w:t>
      </w:r>
      <w:r w:rsidR="00CB3520" w:rsidRPr="00C50A5C">
        <w:rPr>
          <w:b/>
          <w:sz w:val="20"/>
          <w:szCs w:val="20"/>
        </w:rPr>
        <w:t xml:space="preserve"> / LE </w:t>
      </w:r>
      <w:r>
        <w:rPr>
          <w:b/>
          <w:sz w:val="20"/>
          <w:szCs w:val="20"/>
        </w:rPr>
        <w:t>1</w:t>
      </w:r>
      <w:r w:rsidR="00E8544A">
        <w:rPr>
          <w:b/>
          <w:sz w:val="20"/>
          <w:szCs w:val="20"/>
        </w:rPr>
        <w:t>3</w:t>
      </w:r>
      <w:r w:rsidR="00CB3520">
        <w:rPr>
          <w:b/>
          <w:sz w:val="20"/>
          <w:szCs w:val="20"/>
        </w:rPr>
        <w:t xml:space="preserve"> </w:t>
      </w:r>
      <w:r>
        <w:rPr>
          <w:b/>
          <w:sz w:val="20"/>
          <w:szCs w:val="20"/>
        </w:rPr>
        <w:t>MARS</w:t>
      </w:r>
      <w:bookmarkStart w:id="0" w:name="_GoBack"/>
      <w:bookmarkEnd w:id="0"/>
      <w:r w:rsidR="00CB3520" w:rsidRPr="00C50A5C">
        <w:rPr>
          <w:b/>
          <w:sz w:val="20"/>
          <w:szCs w:val="20"/>
        </w:rPr>
        <w:t xml:space="preserve"> 201</w:t>
      </w:r>
      <w:r w:rsidR="00E8544A">
        <w:rPr>
          <w:b/>
          <w:sz w:val="20"/>
          <w:szCs w:val="20"/>
        </w:rPr>
        <w:t>7</w:t>
      </w:r>
    </w:p>
    <w:p w:rsidR="00762008" w:rsidRDefault="00762008" w:rsidP="002E2327">
      <w:pPr>
        <w:widowControl w:val="0"/>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605B87" w:rsidRPr="00E7387C" w:rsidTr="00E36428">
        <w:trPr>
          <w:cantSplit/>
        </w:trPr>
        <w:tc>
          <w:tcPr>
            <w:tcW w:w="508" w:type="dxa"/>
          </w:tcPr>
          <w:p w:rsidR="00605B87" w:rsidRPr="003E24D9" w:rsidRDefault="00605B87" w:rsidP="00E36428">
            <w:pPr>
              <w:rPr>
                <w:rFonts w:cs="Times New Roman"/>
                <w:sz w:val="20"/>
                <w:szCs w:val="20"/>
                <w:lang w:val="fr-CA"/>
              </w:rPr>
            </w:pPr>
          </w:p>
        </w:tc>
        <w:tc>
          <w:tcPr>
            <w:tcW w:w="810" w:type="dxa"/>
          </w:tcPr>
          <w:p w:rsidR="00605B87" w:rsidRPr="003E24D9" w:rsidRDefault="00605B87" w:rsidP="00E36428">
            <w:pPr>
              <w:rPr>
                <w:rFonts w:cs="Times New Roman"/>
                <w:sz w:val="20"/>
                <w:szCs w:val="20"/>
                <w:lang w:val="fr-CA"/>
              </w:rPr>
            </w:pPr>
          </w:p>
        </w:tc>
        <w:tc>
          <w:tcPr>
            <w:tcW w:w="8258" w:type="dxa"/>
            <w:gridSpan w:val="3"/>
          </w:tcPr>
          <w:p w:rsidR="00605B87" w:rsidRDefault="00605B87" w:rsidP="00605B87">
            <w:pPr>
              <w:jc w:val="center"/>
              <w:rPr>
                <w:b/>
                <w:bCs/>
                <w:sz w:val="20"/>
                <w:szCs w:val="20"/>
              </w:rPr>
            </w:pPr>
            <w:r>
              <w:rPr>
                <w:b/>
                <w:bCs/>
                <w:sz w:val="20"/>
                <w:szCs w:val="20"/>
              </w:rPr>
              <w:t xml:space="preserve">CORAM:  Chief Justice </w:t>
            </w:r>
            <w:proofErr w:type="spellStart"/>
            <w:r>
              <w:rPr>
                <w:b/>
                <w:bCs/>
                <w:sz w:val="20"/>
                <w:szCs w:val="20"/>
              </w:rPr>
              <w:t>McLachlin</w:t>
            </w:r>
            <w:proofErr w:type="spellEnd"/>
            <w:r>
              <w:rPr>
                <w:b/>
                <w:bCs/>
                <w:sz w:val="20"/>
                <w:szCs w:val="20"/>
              </w:rPr>
              <w:t xml:space="preserve"> and Wagner and </w:t>
            </w:r>
            <w:proofErr w:type="spellStart"/>
            <w:r>
              <w:rPr>
                <w:b/>
                <w:bCs/>
                <w:sz w:val="20"/>
                <w:szCs w:val="20"/>
              </w:rPr>
              <w:t>Gascon</w:t>
            </w:r>
            <w:proofErr w:type="spellEnd"/>
            <w:r>
              <w:rPr>
                <w:b/>
                <w:bCs/>
                <w:sz w:val="20"/>
                <w:szCs w:val="20"/>
              </w:rPr>
              <w:t xml:space="preserve"> JJ.</w:t>
            </w:r>
          </w:p>
          <w:p w:rsidR="00605B87" w:rsidRDefault="00605B87" w:rsidP="00605B87">
            <w:pPr>
              <w:jc w:val="center"/>
              <w:rPr>
                <w:sz w:val="20"/>
                <w:szCs w:val="20"/>
                <w:lang w:val="fr-CA"/>
              </w:rPr>
            </w:pPr>
            <w:r>
              <w:rPr>
                <w:b/>
                <w:bCs/>
                <w:sz w:val="20"/>
                <w:szCs w:val="20"/>
                <w:lang w:val="fr-CA"/>
              </w:rPr>
              <w:t xml:space="preserve">La juge en chef </w:t>
            </w:r>
            <w:proofErr w:type="spellStart"/>
            <w:r>
              <w:rPr>
                <w:b/>
                <w:bCs/>
                <w:sz w:val="20"/>
                <w:szCs w:val="20"/>
                <w:lang w:val="fr-CA"/>
              </w:rPr>
              <w:t>McLachlin</w:t>
            </w:r>
            <w:proofErr w:type="spellEnd"/>
            <w:r>
              <w:rPr>
                <w:b/>
                <w:bCs/>
                <w:sz w:val="20"/>
                <w:szCs w:val="20"/>
                <w:lang w:val="fr-CA"/>
              </w:rPr>
              <w:t xml:space="preserve"> et les juges Wagner et Gascon</w:t>
            </w:r>
          </w:p>
          <w:p w:rsidR="00605B87" w:rsidRPr="00605B87" w:rsidRDefault="00605B87" w:rsidP="00E36428">
            <w:pPr>
              <w:jc w:val="center"/>
              <w:rPr>
                <w:rFonts w:cs="Times New Roman"/>
                <w:b/>
                <w:sz w:val="20"/>
                <w:szCs w:val="20"/>
                <w:lang w:val="fr-CA"/>
              </w:rPr>
            </w:pPr>
          </w:p>
        </w:tc>
      </w:tr>
      <w:tr w:rsidR="00605B87" w:rsidRPr="003E24D9" w:rsidTr="00E36428">
        <w:trPr>
          <w:cantSplit/>
        </w:trPr>
        <w:tc>
          <w:tcPr>
            <w:tcW w:w="508" w:type="dxa"/>
          </w:tcPr>
          <w:p w:rsidR="00605B87" w:rsidRPr="003E24D9" w:rsidRDefault="00605B87" w:rsidP="00E36428">
            <w:pPr>
              <w:rPr>
                <w:rFonts w:cs="Times New Roman"/>
                <w:sz w:val="20"/>
                <w:szCs w:val="20"/>
              </w:rPr>
            </w:pPr>
            <w:r w:rsidRPr="003E24D9">
              <w:rPr>
                <w:rFonts w:cs="Times New Roman"/>
                <w:sz w:val="20"/>
                <w:szCs w:val="20"/>
              </w:rPr>
              <w:t>1.</w:t>
            </w:r>
          </w:p>
        </w:tc>
        <w:tc>
          <w:tcPr>
            <w:tcW w:w="810" w:type="dxa"/>
          </w:tcPr>
          <w:p w:rsidR="00605B87" w:rsidRPr="003E24D9" w:rsidRDefault="00605B87" w:rsidP="00E36428">
            <w:pPr>
              <w:rPr>
                <w:rFonts w:cs="Times New Roman"/>
                <w:sz w:val="20"/>
                <w:szCs w:val="20"/>
              </w:rPr>
            </w:pPr>
            <w:r w:rsidRPr="003E24D9">
              <w:rPr>
                <w:rFonts w:cs="Times New Roman"/>
                <w:sz w:val="20"/>
                <w:szCs w:val="20"/>
              </w:rPr>
              <w:t>37417</w:t>
            </w:r>
          </w:p>
        </w:tc>
        <w:tc>
          <w:tcPr>
            <w:tcW w:w="4050"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 xml:space="preserve">Robert Frederick </w:t>
            </w:r>
            <w:proofErr w:type="spellStart"/>
            <w:r w:rsidRPr="003E24D9">
              <w:rPr>
                <w:rFonts w:cs="Times New Roman"/>
                <w:sz w:val="20"/>
                <w:szCs w:val="20"/>
              </w:rPr>
              <w:t>Widdifield</w:t>
            </w:r>
            <w:proofErr w:type="spellEnd"/>
          </w:p>
          <w:p w:rsidR="00605B87" w:rsidRPr="003E24D9" w:rsidRDefault="00605B87" w:rsidP="00E36428">
            <w:pPr>
              <w:pStyle w:val="SCCAppellantInfoAppellantInfo"/>
              <w:rPr>
                <w:rFonts w:cs="Times New Roman"/>
                <w:sz w:val="20"/>
                <w:szCs w:val="20"/>
              </w:rPr>
            </w:pPr>
            <w:r w:rsidRPr="003E24D9">
              <w:rPr>
                <w:rFonts w:cs="Times New Roman"/>
                <w:sz w:val="20"/>
                <w:szCs w:val="20"/>
              </w:rPr>
              <w:t>(B.C.) (Criminal) (By Leave)</w:t>
            </w:r>
          </w:p>
        </w:tc>
        <w:tc>
          <w:tcPr>
            <w:tcW w:w="360" w:type="dxa"/>
          </w:tcPr>
          <w:p w:rsidR="00605B87" w:rsidRPr="003E24D9" w:rsidRDefault="00605B87" w:rsidP="00E36428">
            <w:pPr>
              <w:rPr>
                <w:rFonts w:cs="Times New Roman"/>
                <w:sz w:val="20"/>
                <w:szCs w:val="20"/>
              </w:rPr>
            </w:pPr>
            <w:r w:rsidRPr="003E24D9">
              <w:rPr>
                <w:rFonts w:cs="Times New Roman"/>
                <w:sz w:val="20"/>
                <w:szCs w:val="20"/>
              </w:rPr>
              <w:t>v.</w:t>
            </w:r>
          </w:p>
        </w:tc>
        <w:tc>
          <w:tcPr>
            <w:tcW w:w="3848"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Her Majesty the Queen</w:t>
            </w:r>
          </w:p>
        </w:tc>
      </w:tr>
      <w:tr w:rsidR="00605B87" w:rsidRPr="003E24D9" w:rsidTr="00E36428">
        <w:trPr>
          <w:cantSplit/>
        </w:trPr>
        <w:tc>
          <w:tcPr>
            <w:tcW w:w="508" w:type="dxa"/>
          </w:tcPr>
          <w:p w:rsidR="00605B87" w:rsidRPr="003E24D9" w:rsidRDefault="00605B87" w:rsidP="00E36428">
            <w:pPr>
              <w:rPr>
                <w:rFonts w:cs="Times New Roman"/>
                <w:sz w:val="20"/>
                <w:szCs w:val="20"/>
              </w:rPr>
            </w:pPr>
            <w:r w:rsidRPr="003E24D9">
              <w:rPr>
                <w:rFonts w:cs="Times New Roman"/>
                <w:sz w:val="20"/>
                <w:szCs w:val="20"/>
              </w:rPr>
              <w:t>2.</w:t>
            </w:r>
          </w:p>
        </w:tc>
        <w:tc>
          <w:tcPr>
            <w:tcW w:w="810" w:type="dxa"/>
          </w:tcPr>
          <w:p w:rsidR="00605B87" w:rsidRPr="003E24D9" w:rsidRDefault="00605B87" w:rsidP="00E36428">
            <w:pPr>
              <w:rPr>
                <w:rFonts w:cs="Times New Roman"/>
                <w:sz w:val="20"/>
                <w:szCs w:val="20"/>
              </w:rPr>
            </w:pPr>
            <w:r w:rsidRPr="003E24D9">
              <w:rPr>
                <w:rFonts w:cs="Times New Roman"/>
                <w:sz w:val="20"/>
                <w:szCs w:val="20"/>
              </w:rPr>
              <w:t>37406</w:t>
            </w:r>
          </w:p>
        </w:tc>
        <w:tc>
          <w:tcPr>
            <w:tcW w:w="4050" w:type="dxa"/>
          </w:tcPr>
          <w:p w:rsidR="00605B87" w:rsidRPr="003E24D9" w:rsidRDefault="00605B87" w:rsidP="00E36428">
            <w:pPr>
              <w:pStyle w:val="SCCAppellantInfoAppellantInfo"/>
              <w:rPr>
                <w:rFonts w:cs="Times New Roman"/>
                <w:sz w:val="20"/>
                <w:szCs w:val="20"/>
              </w:rPr>
            </w:pPr>
            <w:proofErr w:type="spellStart"/>
            <w:r w:rsidRPr="003E24D9">
              <w:rPr>
                <w:rFonts w:cs="Times New Roman"/>
                <w:sz w:val="20"/>
                <w:szCs w:val="20"/>
              </w:rPr>
              <w:t>Branka</w:t>
            </w:r>
            <w:proofErr w:type="spellEnd"/>
            <w:r w:rsidRPr="003E24D9">
              <w:rPr>
                <w:rFonts w:cs="Times New Roman"/>
                <w:sz w:val="20"/>
                <w:szCs w:val="20"/>
              </w:rPr>
              <w:t xml:space="preserve"> </w:t>
            </w:r>
            <w:proofErr w:type="spellStart"/>
            <w:r w:rsidRPr="003E24D9">
              <w:rPr>
                <w:rFonts w:cs="Times New Roman"/>
                <w:sz w:val="20"/>
                <w:szCs w:val="20"/>
              </w:rPr>
              <w:t>Kraljevic</w:t>
            </w:r>
            <w:proofErr w:type="spellEnd"/>
          </w:p>
          <w:p w:rsidR="00605B87" w:rsidRPr="003E24D9" w:rsidRDefault="00605B87" w:rsidP="00E36428">
            <w:pPr>
              <w:pStyle w:val="SCCAppellantInfoAppellantInfo"/>
              <w:rPr>
                <w:rFonts w:cs="Times New Roman"/>
                <w:sz w:val="20"/>
                <w:szCs w:val="20"/>
              </w:rPr>
            </w:pPr>
            <w:r w:rsidRPr="003E24D9">
              <w:rPr>
                <w:rFonts w:cs="Times New Roman"/>
                <w:sz w:val="20"/>
                <w:szCs w:val="20"/>
              </w:rPr>
              <w:t>(Ont.) (Criminal) (By Leave)</w:t>
            </w:r>
          </w:p>
        </w:tc>
        <w:tc>
          <w:tcPr>
            <w:tcW w:w="360" w:type="dxa"/>
          </w:tcPr>
          <w:p w:rsidR="00605B87" w:rsidRPr="003E24D9" w:rsidRDefault="00605B87" w:rsidP="00E36428">
            <w:pPr>
              <w:rPr>
                <w:rFonts w:cs="Times New Roman"/>
                <w:sz w:val="20"/>
                <w:szCs w:val="20"/>
              </w:rPr>
            </w:pPr>
            <w:r w:rsidRPr="003E24D9">
              <w:rPr>
                <w:rFonts w:cs="Times New Roman"/>
                <w:sz w:val="20"/>
                <w:szCs w:val="20"/>
              </w:rPr>
              <w:t>v.</w:t>
            </w:r>
          </w:p>
        </w:tc>
        <w:tc>
          <w:tcPr>
            <w:tcW w:w="3848"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Her Majesty the Queen</w:t>
            </w:r>
          </w:p>
        </w:tc>
      </w:tr>
      <w:tr w:rsidR="00605B87" w:rsidRPr="003E24D9" w:rsidTr="00E36428">
        <w:trPr>
          <w:cantSplit/>
        </w:trPr>
        <w:tc>
          <w:tcPr>
            <w:tcW w:w="508" w:type="dxa"/>
          </w:tcPr>
          <w:p w:rsidR="00605B87" w:rsidRPr="003E24D9" w:rsidRDefault="00605B87" w:rsidP="00E36428">
            <w:pPr>
              <w:rPr>
                <w:rFonts w:cs="Times New Roman"/>
                <w:sz w:val="20"/>
                <w:szCs w:val="20"/>
              </w:rPr>
            </w:pPr>
            <w:r w:rsidRPr="003E24D9">
              <w:rPr>
                <w:rFonts w:cs="Times New Roman"/>
                <w:sz w:val="20"/>
                <w:szCs w:val="20"/>
              </w:rPr>
              <w:t>3.</w:t>
            </w:r>
          </w:p>
        </w:tc>
        <w:tc>
          <w:tcPr>
            <w:tcW w:w="810" w:type="dxa"/>
          </w:tcPr>
          <w:p w:rsidR="00605B87" w:rsidRPr="003E24D9" w:rsidRDefault="00605B87" w:rsidP="00E36428">
            <w:pPr>
              <w:rPr>
                <w:rFonts w:cs="Times New Roman"/>
                <w:sz w:val="20"/>
                <w:szCs w:val="20"/>
              </w:rPr>
            </w:pPr>
            <w:r w:rsidRPr="003E24D9">
              <w:rPr>
                <w:rFonts w:cs="Times New Roman"/>
                <w:sz w:val="20"/>
                <w:szCs w:val="20"/>
              </w:rPr>
              <w:t>37375</w:t>
            </w:r>
          </w:p>
        </w:tc>
        <w:tc>
          <w:tcPr>
            <w:tcW w:w="4050"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Her Majesty the Queen</w:t>
            </w:r>
          </w:p>
          <w:p w:rsidR="00605B87" w:rsidRPr="003E24D9" w:rsidRDefault="00605B87" w:rsidP="00E36428">
            <w:pPr>
              <w:pStyle w:val="SCCAppellantInfoAppellantInfo"/>
              <w:rPr>
                <w:rFonts w:cs="Times New Roman"/>
                <w:sz w:val="20"/>
                <w:szCs w:val="20"/>
              </w:rPr>
            </w:pPr>
            <w:r w:rsidRPr="003E24D9">
              <w:rPr>
                <w:rFonts w:cs="Times New Roman"/>
                <w:sz w:val="20"/>
                <w:szCs w:val="20"/>
              </w:rPr>
              <w:t>(Alta.) (Criminal) (By Leave)</w:t>
            </w:r>
          </w:p>
        </w:tc>
        <w:tc>
          <w:tcPr>
            <w:tcW w:w="360" w:type="dxa"/>
          </w:tcPr>
          <w:p w:rsidR="00605B87" w:rsidRPr="003E24D9" w:rsidRDefault="00605B87" w:rsidP="00E36428">
            <w:pPr>
              <w:rPr>
                <w:rFonts w:cs="Times New Roman"/>
                <w:sz w:val="20"/>
                <w:szCs w:val="20"/>
              </w:rPr>
            </w:pPr>
            <w:r w:rsidRPr="003E24D9">
              <w:rPr>
                <w:rFonts w:cs="Times New Roman"/>
                <w:sz w:val="20"/>
                <w:szCs w:val="20"/>
              </w:rPr>
              <w:t>v.</w:t>
            </w:r>
          </w:p>
        </w:tc>
        <w:tc>
          <w:tcPr>
            <w:tcW w:w="3848"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J.F.R.</w:t>
            </w:r>
          </w:p>
        </w:tc>
      </w:tr>
      <w:tr w:rsidR="00605B87" w:rsidRPr="003E24D9" w:rsidTr="00E36428">
        <w:trPr>
          <w:cantSplit/>
        </w:trPr>
        <w:tc>
          <w:tcPr>
            <w:tcW w:w="508" w:type="dxa"/>
          </w:tcPr>
          <w:p w:rsidR="00605B87" w:rsidRPr="003E24D9" w:rsidRDefault="00605B87" w:rsidP="00E36428">
            <w:pPr>
              <w:rPr>
                <w:rFonts w:cs="Times New Roman"/>
                <w:sz w:val="20"/>
                <w:szCs w:val="20"/>
              </w:rPr>
            </w:pPr>
            <w:r w:rsidRPr="003E24D9">
              <w:rPr>
                <w:rFonts w:cs="Times New Roman"/>
                <w:sz w:val="20"/>
                <w:szCs w:val="20"/>
              </w:rPr>
              <w:t>4.</w:t>
            </w:r>
          </w:p>
        </w:tc>
        <w:tc>
          <w:tcPr>
            <w:tcW w:w="810" w:type="dxa"/>
          </w:tcPr>
          <w:p w:rsidR="00605B87" w:rsidRPr="003E24D9" w:rsidRDefault="00605B87" w:rsidP="00E36428">
            <w:pPr>
              <w:rPr>
                <w:rFonts w:cs="Times New Roman"/>
                <w:sz w:val="20"/>
                <w:szCs w:val="20"/>
              </w:rPr>
            </w:pPr>
            <w:r w:rsidRPr="003E24D9">
              <w:rPr>
                <w:rFonts w:cs="Times New Roman"/>
                <w:sz w:val="20"/>
                <w:szCs w:val="20"/>
              </w:rPr>
              <w:t>37371</w:t>
            </w:r>
          </w:p>
        </w:tc>
        <w:tc>
          <w:tcPr>
            <w:tcW w:w="4050"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Katherine Lin</w:t>
            </w:r>
          </w:p>
          <w:p w:rsidR="00605B87" w:rsidRPr="003E24D9" w:rsidRDefault="00605B87" w:rsidP="00E36428">
            <w:pPr>
              <w:pStyle w:val="SCCAppellantInfoAppellantInfo"/>
              <w:rPr>
                <w:rFonts w:cs="Times New Roman"/>
                <w:sz w:val="20"/>
                <w:szCs w:val="20"/>
              </w:rPr>
            </w:pPr>
            <w:r w:rsidRPr="003E24D9">
              <w:rPr>
                <w:rFonts w:cs="Times New Roman"/>
                <w:sz w:val="20"/>
                <w:szCs w:val="20"/>
              </w:rPr>
              <w:t>(Ont.) (Civil) (By Leave)</w:t>
            </w:r>
          </w:p>
        </w:tc>
        <w:tc>
          <w:tcPr>
            <w:tcW w:w="360" w:type="dxa"/>
          </w:tcPr>
          <w:p w:rsidR="00605B87" w:rsidRPr="003E24D9" w:rsidRDefault="00605B87" w:rsidP="00E36428">
            <w:pPr>
              <w:rPr>
                <w:rFonts w:cs="Times New Roman"/>
                <w:sz w:val="20"/>
                <w:szCs w:val="20"/>
              </w:rPr>
            </w:pPr>
            <w:r w:rsidRPr="003E24D9">
              <w:rPr>
                <w:rFonts w:cs="Times New Roman"/>
                <w:sz w:val="20"/>
                <w:szCs w:val="20"/>
              </w:rPr>
              <w:t>v.</w:t>
            </w:r>
          </w:p>
        </w:tc>
        <w:tc>
          <w:tcPr>
            <w:tcW w:w="3848"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ICBC Vancouver Head Office, et al.</w:t>
            </w:r>
          </w:p>
        </w:tc>
      </w:tr>
      <w:tr w:rsidR="00605B87" w:rsidRPr="003E24D9" w:rsidTr="00E36428">
        <w:trPr>
          <w:cantSplit/>
        </w:trPr>
        <w:tc>
          <w:tcPr>
            <w:tcW w:w="508" w:type="dxa"/>
          </w:tcPr>
          <w:p w:rsidR="00605B87" w:rsidRPr="003E24D9" w:rsidRDefault="00605B87" w:rsidP="00E36428">
            <w:pPr>
              <w:rPr>
                <w:rFonts w:cs="Times New Roman"/>
                <w:sz w:val="20"/>
                <w:szCs w:val="20"/>
              </w:rPr>
            </w:pPr>
            <w:r w:rsidRPr="003E24D9">
              <w:rPr>
                <w:rFonts w:cs="Times New Roman"/>
                <w:sz w:val="20"/>
                <w:szCs w:val="20"/>
              </w:rPr>
              <w:t>5.</w:t>
            </w:r>
          </w:p>
        </w:tc>
        <w:tc>
          <w:tcPr>
            <w:tcW w:w="810" w:type="dxa"/>
          </w:tcPr>
          <w:p w:rsidR="00605B87" w:rsidRPr="003E24D9" w:rsidRDefault="00605B87" w:rsidP="00E36428">
            <w:pPr>
              <w:rPr>
                <w:rFonts w:cs="Times New Roman"/>
                <w:sz w:val="20"/>
                <w:szCs w:val="20"/>
              </w:rPr>
            </w:pPr>
            <w:r w:rsidRPr="003E24D9">
              <w:rPr>
                <w:rFonts w:cs="Times New Roman"/>
                <w:sz w:val="20"/>
                <w:szCs w:val="20"/>
              </w:rPr>
              <w:t>37373</w:t>
            </w:r>
          </w:p>
        </w:tc>
        <w:tc>
          <w:tcPr>
            <w:tcW w:w="4050"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Cowichan Valley Regional District</w:t>
            </w:r>
          </w:p>
          <w:p w:rsidR="00605B87" w:rsidRPr="003E24D9" w:rsidRDefault="00605B87" w:rsidP="00E36428">
            <w:pPr>
              <w:pStyle w:val="SCCAppellantInfoAppellantInfo"/>
              <w:rPr>
                <w:rFonts w:cs="Times New Roman"/>
                <w:sz w:val="20"/>
                <w:szCs w:val="20"/>
              </w:rPr>
            </w:pPr>
            <w:r w:rsidRPr="003E24D9">
              <w:rPr>
                <w:rFonts w:cs="Times New Roman"/>
                <w:sz w:val="20"/>
                <w:szCs w:val="20"/>
              </w:rPr>
              <w:t>(B.C.) (Civil) (By Leave)</w:t>
            </w:r>
          </w:p>
        </w:tc>
        <w:tc>
          <w:tcPr>
            <w:tcW w:w="360" w:type="dxa"/>
          </w:tcPr>
          <w:p w:rsidR="00605B87" w:rsidRPr="003E24D9" w:rsidRDefault="00605B87" w:rsidP="00E36428">
            <w:pPr>
              <w:rPr>
                <w:rFonts w:cs="Times New Roman"/>
                <w:sz w:val="20"/>
                <w:szCs w:val="20"/>
              </w:rPr>
            </w:pPr>
            <w:r w:rsidRPr="003E24D9">
              <w:rPr>
                <w:rFonts w:cs="Times New Roman"/>
                <w:sz w:val="20"/>
                <w:szCs w:val="20"/>
              </w:rPr>
              <w:t>v.</w:t>
            </w:r>
          </w:p>
        </w:tc>
        <w:tc>
          <w:tcPr>
            <w:tcW w:w="3848"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Cobble Hill Holdings Ltd., et al.</w:t>
            </w:r>
          </w:p>
        </w:tc>
      </w:tr>
      <w:tr w:rsidR="00605B87" w:rsidRPr="00E7387C" w:rsidTr="00E36428">
        <w:trPr>
          <w:cantSplit/>
        </w:trPr>
        <w:tc>
          <w:tcPr>
            <w:tcW w:w="508" w:type="dxa"/>
          </w:tcPr>
          <w:p w:rsidR="00605B87" w:rsidRPr="003E24D9" w:rsidRDefault="00605B87" w:rsidP="00E36428">
            <w:pPr>
              <w:rPr>
                <w:rFonts w:cs="Times New Roman"/>
                <w:sz w:val="20"/>
                <w:szCs w:val="20"/>
              </w:rPr>
            </w:pPr>
            <w:r w:rsidRPr="003E24D9">
              <w:rPr>
                <w:rFonts w:cs="Times New Roman"/>
                <w:sz w:val="20"/>
                <w:szCs w:val="20"/>
              </w:rPr>
              <w:t>6.</w:t>
            </w:r>
          </w:p>
        </w:tc>
        <w:tc>
          <w:tcPr>
            <w:tcW w:w="810" w:type="dxa"/>
          </w:tcPr>
          <w:p w:rsidR="00605B87" w:rsidRPr="003E24D9" w:rsidRDefault="00605B87" w:rsidP="00E36428">
            <w:pPr>
              <w:rPr>
                <w:rFonts w:cs="Times New Roman"/>
                <w:sz w:val="20"/>
                <w:szCs w:val="20"/>
              </w:rPr>
            </w:pPr>
            <w:r w:rsidRPr="003E24D9">
              <w:rPr>
                <w:rFonts w:cs="Times New Roman"/>
                <w:sz w:val="20"/>
                <w:szCs w:val="20"/>
              </w:rPr>
              <w:t>37377</w:t>
            </w:r>
          </w:p>
        </w:tc>
        <w:tc>
          <w:tcPr>
            <w:tcW w:w="4050"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Katherine Lin</w:t>
            </w:r>
          </w:p>
          <w:p w:rsidR="00605B87" w:rsidRPr="003E24D9" w:rsidRDefault="00605B87" w:rsidP="00E36428">
            <w:pPr>
              <w:pStyle w:val="SCCAppellantInfoAppellantInfo"/>
              <w:rPr>
                <w:rFonts w:cs="Times New Roman"/>
                <w:sz w:val="20"/>
                <w:szCs w:val="20"/>
              </w:rPr>
            </w:pPr>
            <w:r w:rsidRPr="003E24D9">
              <w:rPr>
                <w:rFonts w:cs="Times New Roman"/>
                <w:sz w:val="20"/>
                <w:szCs w:val="20"/>
              </w:rPr>
              <w:t>(Ont.) (Civil) (By Leave)</w:t>
            </w:r>
          </w:p>
        </w:tc>
        <w:tc>
          <w:tcPr>
            <w:tcW w:w="360" w:type="dxa"/>
          </w:tcPr>
          <w:p w:rsidR="00605B87" w:rsidRPr="003E24D9" w:rsidRDefault="00605B87" w:rsidP="00E36428">
            <w:pPr>
              <w:rPr>
                <w:rFonts w:cs="Times New Roman"/>
                <w:sz w:val="20"/>
                <w:szCs w:val="20"/>
              </w:rPr>
            </w:pPr>
            <w:r w:rsidRPr="003E24D9">
              <w:rPr>
                <w:rFonts w:cs="Times New Roman"/>
                <w:sz w:val="20"/>
                <w:szCs w:val="20"/>
              </w:rPr>
              <w:t>v.</w:t>
            </w:r>
          </w:p>
        </w:tc>
        <w:tc>
          <w:tcPr>
            <w:tcW w:w="3848" w:type="dxa"/>
          </w:tcPr>
          <w:p w:rsidR="00605B87" w:rsidRPr="003E24D9" w:rsidRDefault="00605B87" w:rsidP="00E36428">
            <w:pPr>
              <w:pStyle w:val="SCCAppellantInfoAppellantInfo"/>
              <w:rPr>
                <w:rFonts w:cs="Times New Roman"/>
                <w:sz w:val="20"/>
                <w:szCs w:val="20"/>
                <w:lang w:val="fr-CA"/>
              </w:rPr>
            </w:pPr>
            <w:r w:rsidRPr="003E24D9">
              <w:rPr>
                <w:rFonts w:cs="Times New Roman"/>
                <w:sz w:val="20"/>
                <w:szCs w:val="20"/>
                <w:lang w:val="fr-CA"/>
              </w:rPr>
              <w:t>Song Lin Zhang, et al.</w:t>
            </w:r>
          </w:p>
        </w:tc>
      </w:tr>
      <w:tr w:rsidR="00605B87" w:rsidRPr="003E24D9" w:rsidTr="00E36428">
        <w:trPr>
          <w:cantSplit/>
        </w:trPr>
        <w:tc>
          <w:tcPr>
            <w:tcW w:w="508" w:type="dxa"/>
          </w:tcPr>
          <w:p w:rsidR="00605B87" w:rsidRPr="003E24D9" w:rsidRDefault="00605B87" w:rsidP="00E36428">
            <w:pPr>
              <w:rPr>
                <w:rFonts w:cs="Times New Roman"/>
                <w:sz w:val="20"/>
                <w:szCs w:val="20"/>
              </w:rPr>
            </w:pPr>
            <w:r w:rsidRPr="003E24D9">
              <w:rPr>
                <w:rFonts w:cs="Times New Roman"/>
                <w:sz w:val="20"/>
                <w:szCs w:val="20"/>
              </w:rPr>
              <w:t>7.</w:t>
            </w:r>
          </w:p>
        </w:tc>
        <w:tc>
          <w:tcPr>
            <w:tcW w:w="810" w:type="dxa"/>
          </w:tcPr>
          <w:p w:rsidR="00605B87" w:rsidRPr="003E24D9" w:rsidRDefault="00605B87" w:rsidP="00E36428">
            <w:pPr>
              <w:rPr>
                <w:rFonts w:cs="Times New Roman"/>
                <w:sz w:val="20"/>
                <w:szCs w:val="20"/>
              </w:rPr>
            </w:pPr>
            <w:r w:rsidRPr="003E24D9">
              <w:rPr>
                <w:rFonts w:cs="Times New Roman"/>
                <w:sz w:val="20"/>
                <w:szCs w:val="20"/>
              </w:rPr>
              <w:t>37349</w:t>
            </w:r>
          </w:p>
        </w:tc>
        <w:tc>
          <w:tcPr>
            <w:tcW w:w="4050" w:type="dxa"/>
          </w:tcPr>
          <w:p w:rsidR="00605B87" w:rsidRPr="003E24D9" w:rsidRDefault="00605B87" w:rsidP="00E36428">
            <w:pPr>
              <w:pStyle w:val="SCCAppellantInfoAppellantInfo"/>
              <w:rPr>
                <w:rFonts w:cs="Times New Roman"/>
                <w:sz w:val="20"/>
                <w:szCs w:val="20"/>
                <w:lang w:val="fr-CA"/>
              </w:rPr>
            </w:pPr>
            <w:r w:rsidRPr="003E24D9">
              <w:rPr>
                <w:rFonts w:cs="Times New Roman"/>
                <w:sz w:val="20"/>
                <w:szCs w:val="20"/>
                <w:lang w:val="fr-CA"/>
              </w:rPr>
              <w:t>9119-4654 Québec Inc.</w:t>
            </w:r>
          </w:p>
          <w:p w:rsidR="00605B87" w:rsidRPr="003E24D9" w:rsidRDefault="00605B87" w:rsidP="00E36428">
            <w:pPr>
              <w:pStyle w:val="SCCAppellantInfoAppellantInfo"/>
              <w:rPr>
                <w:rFonts w:cs="Times New Roman"/>
                <w:sz w:val="20"/>
                <w:szCs w:val="20"/>
                <w:lang w:val="fr-CA"/>
              </w:rPr>
            </w:pPr>
            <w:r w:rsidRPr="003E24D9">
              <w:rPr>
                <w:rFonts w:cs="Times New Roman"/>
                <w:sz w:val="20"/>
                <w:szCs w:val="20"/>
                <w:lang w:val="fr-CA"/>
              </w:rPr>
              <w:t>(</w:t>
            </w:r>
            <w:proofErr w:type="spellStart"/>
            <w:r w:rsidRPr="003E24D9">
              <w:rPr>
                <w:rFonts w:cs="Times New Roman"/>
                <w:sz w:val="20"/>
                <w:szCs w:val="20"/>
                <w:lang w:val="fr-CA"/>
              </w:rPr>
              <w:t>Qc</w:t>
            </w:r>
            <w:proofErr w:type="spellEnd"/>
            <w:r w:rsidRPr="003E24D9">
              <w:rPr>
                <w:rFonts w:cs="Times New Roman"/>
                <w:sz w:val="20"/>
                <w:szCs w:val="20"/>
                <w:lang w:val="fr-CA"/>
              </w:rPr>
              <w:t>) (Civile) (Autorisation)</w:t>
            </w:r>
          </w:p>
        </w:tc>
        <w:tc>
          <w:tcPr>
            <w:tcW w:w="360" w:type="dxa"/>
          </w:tcPr>
          <w:p w:rsidR="00605B87" w:rsidRPr="003E24D9" w:rsidRDefault="00605B87" w:rsidP="00E36428">
            <w:pPr>
              <w:rPr>
                <w:rFonts w:cs="Times New Roman"/>
                <w:sz w:val="20"/>
                <w:szCs w:val="20"/>
              </w:rPr>
            </w:pPr>
            <w:r w:rsidRPr="003E24D9">
              <w:rPr>
                <w:rFonts w:cs="Times New Roman"/>
                <w:sz w:val="20"/>
                <w:szCs w:val="20"/>
              </w:rPr>
              <w:t>c.</w:t>
            </w:r>
          </w:p>
        </w:tc>
        <w:tc>
          <w:tcPr>
            <w:tcW w:w="3848"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 xml:space="preserve">Jeannine </w:t>
            </w:r>
            <w:proofErr w:type="spellStart"/>
            <w:r w:rsidRPr="003E24D9">
              <w:rPr>
                <w:rFonts w:cs="Times New Roman"/>
                <w:sz w:val="20"/>
                <w:szCs w:val="20"/>
              </w:rPr>
              <w:t>Lague</w:t>
            </w:r>
            <w:proofErr w:type="spellEnd"/>
            <w:r w:rsidRPr="003E24D9">
              <w:rPr>
                <w:rFonts w:cs="Times New Roman"/>
                <w:sz w:val="20"/>
                <w:szCs w:val="20"/>
              </w:rPr>
              <w:t xml:space="preserve"> Cardinal</w:t>
            </w:r>
          </w:p>
        </w:tc>
      </w:tr>
      <w:tr w:rsidR="00605B87" w:rsidRPr="00E7387C" w:rsidTr="00E36428">
        <w:trPr>
          <w:cantSplit/>
        </w:trPr>
        <w:tc>
          <w:tcPr>
            <w:tcW w:w="508" w:type="dxa"/>
          </w:tcPr>
          <w:p w:rsidR="00605B87" w:rsidRPr="003E24D9" w:rsidRDefault="00605B87" w:rsidP="00E36428">
            <w:pPr>
              <w:rPr>
                <w:rFonts w:cs="Times New Roman"/>
                <w:sz w:val="20"/>
                <w:szCs w:val="20"/>
              </w:rPr>
            </w:pPr>
          </w:p>
        </w:tc>
        <w:tc>
          <w:tcPr>
            <w:tcW w:w="810" w:type="dxa"/>
          </w:tcPr>
          <w:p w:rsidR="00605B87" w:rsidRPr="003E24D9" w:rsidRDefault="00605B87" w:rsidP="00E36428">
            <w:pPr>
              <w:rPr>
                <w:rFonts w:cs="Times New Roman"/>
                <w:sz w:val="20"/>
                <w:szCs w:val="20"/>
              </w:rPr>
            </w:pPr>
          </w:p>
        </w:tc>
        <w:tc>
          <w:tcPr>
            <w:tcW w:w="8258" w:type="dxa"/>
            <w:gridSpan w:val="3"/>
          </w:tcPr>
          <w:p w:rsidR="00605B87" w:rsidRDefault="00605B87" w:rsidP="00605B87">
            <w:pPr>
              <w:jc w:val="center"/>
              <w:rPr>
                <w:b/>
                <w:bCs/>
                <w:sz w:val="20"/>
                <w:szCs w:val="20"/>
                <w:lang w:val="en-US"/>
              </w:rPr>
            </w:pPr>
            <w:r>
              <w:rPr>
                <w:b/>
                <w:bCs/>
                <w:sz w:val="20"/>
                <w:szCs w:val="20"/>
              </w:rPr>
              <w:t xml:space="preserve">CORAM: </w:t>
            </w:r>
            <w:proofErr w:type="spellStart"/>
            <w:r>
              <w:rPr>
                <w:b/>
                <w:bCs/>
                <w:sz w:val="20"/>
                <w:szCs w:val="20"/>
              </w:rPr>
              <w:t>Abella</w:t>
            </w:r>
            <w:proofErr w:type="spellEnd"/>
            <w:r>
              <w:rPr>
                <w:b/>
                <w:bCs/>
                <w:sz w:val="20"/>
                <w:szCs w:val="20"/>
              </w:rPr>
              <w:t xml:space="preserve">, </w:t>
            </w:r>
            <w:proofErr w:type="spellStart"/>
            <w:r>
              <w:rPr>
                <w:b/>
                <w:bCs/>
                <w:sz w:val="20"/>
                <w:szCs w:val="20"/>
              </w:rPr>
              <w:t>Karakatsanis</w:t>
            </w:r>
            <w:proofErr w:type="spellEnd"/>
            <w:r>
              <w:rPr>
                <w:b/>
                <w:bCs/>
                <w:sz w:val="20"/>
                <w:szCs w:val="20"/>
              </w:rPr>
              <w:t xml:space="preserve"> and Brown JJ.</w:t>
            </w:r>
          </w:p>
          <w:p w:rsidR="00605B87" w:rsidRDefault="00605B87" w:rsidP="00605B87">
            <w:pPr>
              <w:jc w:val="center"/>
              <w:rPr>
                <w:b/>
                <w:bCs/>
                <w:sz w:val="20"/>
                <w:szCs w:val="20"/>
                <w:lang w:val="fr-CA"/>
              </w:rPr>
            </w:pPr>
            <w:r>
              <w:rPr>
                <w:b/>
                <w:bCs/>
                <w:sz w:val="20"/>
                <w:szCs w:val="20"/>
                <w:lang w:val="fr-CA"/>
              </w:rPr>
              <w:t xml:space="preserve">Les juges Abella, </w:t>
            </w:r>
            <w:proofErr w:type="spellStart"/>
            <w:r>
              <w:rPr>
                <w:b/>
                <w:bCs/>
                <w:sz w:val="20"/>
                <w:szCs w:val="20"/>
                <w:lang w:val="fr-CA"/>
              </w:rPr>
              <w:t>Karakatsanis</w:t>
            </w:r>
            <w:proofErr w:type="spellEnd"/>
            <w:r>
              <w:rPr>
                <w:b/>
                <w:bCs/>
                <w:sz w:val="20"/>
                <w:szCs w:val="20"/>
                <w:lang w:val="fr-CA"/>
              </w:rPr>
              <w:t xml:space="preserve"> et Brown</w:t>
            </w:r>
          </w:p>
          <w:p w:rsidR="00605B87" w:rsidRPr="00605B87" w:rsidRDefault="00605B87" w:rsidP="00E36428">
            <w:pPr>
              <w:jc w:val="center"/>
              <w:rPr>
                <w:rFonts w:cs="Times New Roman"/>
                <w:b/>
                <w:sz w:val="20"/>
                <w:szCs w:val="20"/>
                <w:lang w:val="fr-CA"/>
              </w:rPr>
            </w:pPr>
          </w:p>
        </w:tc>
      </w:tr>
      <w:tr w:rsidR="00605B87" w:rsidRPr="003E24D9" w:rsidTr="00E36428">
        <w:trPr>
          <w:cantSplit/>
        </w:trPr>
        <w:tc>
          <w:tcPr>
            <w:tcW w:w="508" w:type="dxa"/>
          </w:tcPr>
          <w:p w:rsidR="00605B87" w:rsidRPr="003E24D9" w:rsidRDefault="00605B87" w:rsidP="00E36428">
            <w:pPr>
              <w:rPr>
                <w:rFonts w:cs="Times New Roman"/>
                <w:sz w:val="20"/>
                <w:szCs w:val="20"/>
              </w:rPr>
            </w:pPr>
            <w:r w:rsidRPr="003E24D9">
              <w:rPr>
                <w:rFonts w:cs="Times New Roman"/>
                <w:sz w:val="20"/>
                <w:szCs w:val="20"/>
              </w:rPr>
              <w:t>8.</w:t>
            </w:r>
          </w:p>
        </w:tc>
        <w:tc>
          <w:tcPr>
            <w:tcW w:w="810" w:type="dxa"/>
          </w:tcPr>
          <w:p w:rsidR="00605B87" w:rsidRPr="003E24D9" w:rsidRDefault="00605B87" w:rsidP="00E36428">
            <w:pPr>
              <w:rPr>
                <w:rFonts w:cs="Times New Roman"/>
                <w:sz w:val="20"/>
                <w:szCs w:val="20"/>
              </w:rPr>
            </w:pPr>
            <w:r w:rsidRPr="003E24D9">
              <w:rPr>
                <w:rFonts w:cs="Times New Roman"/>
                <w:sz w:val="20"/>
                <w:szCs w:val="20"/>
              </w:rPr>
              <w:t>37404</w:t>
            </w:r>
          </w:p>
        </w:tc>
        <w:tc>
          <w:tcPr>
            <w:tcW w:w="4050"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Ahmed Mohamed</w:t>
            </w:r>
          </w:p>
          <w:p w:rsidR="00605B87" w:rsidRPr="003E24D9" w:rsidRDefault="00605B87" w:rsidP="00E36428">
            <w:pPr>
              <w:pStyle w:val="SCCAppellantInfoAppellantInfo"/>
              <w:rPr>
                <w:rFonts w:cs="Times New Roman"/>
                <w:sz w:val="20"/>
                <w:szCs w:val="20"/>
              </w:rPr>
            </w:pPr>
            <w:r w:rsidRPr="003E24D9">
              <w:rPr>
                <w:rFonts w:cs="Times New Roman"/>
                <w:sz w:val="20"/>
                <w:szCs w:val="20"/>
              </w:rPr>
              <w:t>(Alta.) (Criminal) (By Leave)</w:t>
            </w:r>
          </w:p>
        </w:tc>
        <w:tc>
          <w:tcPr>
            <w:tcW w:w="360" w:type="dxa"/>
          </w:tcPr>
          <w:p w:rsidR="00605B87" w:rsidRPr="003E24D9" w:rsidRDefault="00605B87" w:rsidP="00E36428">
            <w:pPr>
              <w:rPr>
                <w:rFonts w:cs="Times New Roman"/>
                <w:sz w:val="20"/>
                <w:szCs w:val="20"/>
              </w:rPr>
            </w:pPr>
            <w:r w:rsidRPr="003E24D9">
              <w:rPr>
                <w:rFonts w:cs="Times New Roman"/>
                <w:sz w:val="20"/>
                <w:szCs w:val="20"/>
              </w:rPr>
              <w:t>v.</w:t>
            </w:r>
          </w:p>
        </w:tc>
        <w:tc>
          <w:tcPr>
            <w:tcW w:w="3848"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Her Majesty the Queen</w:t>
            </w:r>
          </w:p>
        </w:tc>
      </w:tr>
      <w:tr w:rsidR="00605B87" w:rsidRPr="003E24D9" w:rsidTr="00E36428">
        <w:trPr>
          <w:cantSplit/>
        </w:trPr>
        <w:tc>
          <w:tcPr>
            <w:tcW w:w="508" w:type="dxa"/>
          </w:tcPr>
          <w:p w:rsidR="00605B87" w:rsidRPr="003E24D9" w:rsidRDefault="00605B87" w:rsidP="00E36428">
            <w:pPr>
              <w:rPr>
                <w:rFonts w:cs="Times New Roman"/>
                <w:sz w:val="20"/>
                <w:szCs w:val="20"/>
              </w:rPr>
            </w:pPr>
            <w:r w:rsidRPr="003E24D9">
              <w:rPr>
                <w:rFonts w:cs="Times New Roman"/>
                <w:sz w:val="20"/>
                <w:szCs w:val="20"/>
              </w:rPr>
              <w:t>9.</w:t>
            </w:r>
          </w:p>
        </w:tc>
        <w:tc>
          <w:tcPr>
            <w:tcW w:w="810" w:type="dxa"/>
          </w:tcPr>
          <w:p w:rsidR="00605B87" w:rsidRPr="003E24D9" w:rsidRDefault="00605B87" w:rsidP="00E36428">
            <w:pPr>
              <w:rPr>
                <w:rFonts w:cs="Times New Roman"/>
                <w:sz w:val="20"/>
                <w:szCs w:val="20"/>
              </w:rPr>
            </w:pPr>
            <w:r w:rsidRPr="003E24D9">
              <w:rPr>
                <w:rFonts w:cs="Times New Roman"/>
                <w:sz w:val="20"/>
                <w:szCs w:val="20"/>
              </w:rPr>
              <w:t>37322</w:t>
            </w:r>
          </w:p>
        </w:tc>
        <w:tc>
          <w:tcPr>
            <w:tcW w:w="4050"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Her Majesty the Queen</w:t>
            </w:r>
          </w:p>
          <w:p w:rsidR="00605B87" w:rsidRPr="003E24D9" w:rsidRDefault="00605B87" w:rsidP="00E36428">
            <w:pPr>
              <w:pStyle w:val="SCCAppellantInfoAppellantInfo"/>
              <w:rPr>
                <w:rFonts w:cs="Times New Roman"/>
                <w:sz w:val="20"/>
                <w:szCs w:val="20"/>
              </w:rPr>
            </w:pPr>
            <w:r w:rsidRPr="003E24D9">
              <w:rPr>
                <w:rFonts w:cs="Times New Roman"/>
                <w:sz w:val="20"/>
                <w:szCs w:val="20"/>
              </w:rPr>
              <w:t>(Ont.) (Criminal) (By Leave)</w:t>
            </w:r>
          </w:p>
        </w:tc>
        <w:tc>
          <w:tcPr>
            <w:tcW w:w="360" w:type="dxa"/>
          </w:tcPr>
          <w:p w:rsidR="00605B87" w:rsidRPr="003E24D9" w:rsidRDefault="00605B87" w:rsidP="00E36428">
            <w:pPr>
              <w:rPr>
                <w:rFonts w:cs="Times New Roman"/>
                <w:sz w:val="20"/>
                <w:szCs w:val="20"/>
              </w:rPr>
            </w:pPr>
            <w:r w:rsidRPr="003E24D9">
              <w:rPr>
                <w:rFonts w:cs="Times New Roman"/>
                <w:sz w:val="20"/>
                <w:szCs w:val="20"/>
              </w:rPr>
              <w:t>v.</w:t>
            </w:r>
          </w:p>
        </w:tc>
        <w:tc>
          <w:tcPr>
            <w:tcW w:w="3848"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 xml:space="preserve">Charlie </w:t>
            </w:r>
            <w:proofErr w:type="spellStart"/>
            <w:r w:rsidRPr="003E24D9">
              <w:rPr>
                <w:rFonts w:cs="Times New Roman"/>
                <w:sz w:val="20"/>
                <w:szCs w:val="20"/>
              </w:rPr>
              <w:t>Manasseri</w:t>
            </w:r>
            <w:proofErr w:type="spellEnd"/>
          </w:p>
        </w:tc>
      </w:tr>
      <w:tr w:rsidR="00605B87" w:rsidRPr="003E24D9" w:rsidTr="00E36428">
        <w:trPr>
          <w:cantSplit/>
        </w:trPr>
        <w:tc>
          <w:tcPr>
            <w:tcW w:w="508" w:type="dxa"/>
          </w:tcPr>
          <w:p w:rsidR="00605B87" w:rsidRPr="003E24D9" w:rsidRDefault="00605B87" w:rsidP="00E36428">
            <w:pPr>
              <w:rPr>
                <w:rFonts w:cs="Times New Roman"/>
                <w:sz w:val="20"/>
                <w:szCs w:val="20"/>
              </w:rPr>
            </w:pPr>
            <w:r w:rsidRPr="003E24D9">
              <w:rPr>
                <w:rFonts w:cs="Times New Roman"/>
                <w:sz w:val="20"/>
                <w:szCs w:val="20"/>
              </w:rPr>
              <w:t>10.</w:t>
            </w:r>
          </w:p>
        </w:tc>
        <w:tc>
          <w:tcPr>
            <w:tcW w:w="810" w:type="dxa"/>
          </w:tcPr>
          <w:p w:rsidR="00605B87" w:rsidRPr="003E24D9" w:rsidRDefault="00605B87" w:rsidP="00E36428">
            <w:pPr>
              <w:rPr>
                <w:rFonts w:cs="Times New Roman"/>
                <w:sz w:val="20"/>
                <w:szCs w:val="20"/>
              </w:rPr>
            </w:pPr>
            <w:r w:rsidRPr="003E24D9">
              <w:rPr>
                <w:rFonts w:cs="Times New Roman"/>
                <w:sz w:val="20"/>
                <w:szCs w:val="20"/>
              </w:rPr>
              <w:t>37418</w:t>
            </w:r>
          </w:p>
        </w:tc>
        <w:tc>
          <w:tcPr>
            <w:tcW w:w="4050" w:type="dxa"/>
          </w:tcPr>
          <w:p w:rsidR="00605B87" w:rsidRPr="003E24D9" w:rsidRDefault="00605B87" w:rsidP="00E36428">
            <w:pPr>
              <w:pStyle w:val="SCCAppellantInfoAppellantInfo"/>
              <w:rPr>
                <w:rFonts w:cs="Times New Roman"/>
                <w:sz w:val="20"/>
                <w:szCs w:val="20"/>
              </w:rPr>
            </w:pPr>
            <w:proofErr w:type="spellStart"/>
            <w:r w:rsidRPr="003E24D9">
              <w:rPr>
                <w:rFonts w:cs="Times New Roman"/>
                <w:sz w:val="20"/>
                <w:szCs w:val="20"/>
              </w:rPr>
              <w:t>Kemchand</w:t>
            </w:r>
            <w:proofErr w:type="spellEnd"/>
            <w:r w:rsidRPr="003E24D9">
              <w:rPr>
                <w:rFonts w:cs="Times New Roman"/>
                <w:sz w:val="20"/>
                <w:szCs w:val="20"/>
              </w:rPr>
              <w:t xml:space="preserve"> </w:t>
            </w:r>
            <w:proofErr w:type="spellStart"/>
            <w:r w:rsidRPr="003E24D9">
              <w:rPr>
                <w:rFonts w:cs="Times New Roman"/>
                <w:sz w:val="20"/>
                <w:szCs w:val="20"/>
              </w:rPr>
              <w:t>Shiwprashad</w:t>
            </w:r>
            <w:proofErr w:type="spellEnd"/>
          </w:p>
          <w:p w:rsidR="00605B87" w:rsidRPr="003E24D9" w:rsidRDefault="00605B87" w:rsidP="00E36428">
            <w:pPr>
              <w:pStyle w:val="SCCAppellantInfoAppellantInfo"/>
              <w:rPr>
                <w:rFonts w:cs="Times New Roman"/>
                <w:sz w:val="20"/>
                <w:szCs w:val="20"/>
              </w:rPr>
            </w:pPr>
            <w:r w:rsidRPr="003E24D9">
              <w:rPr>
                <w:rFonts w:cs="Times New Roman"/>
                <w:sz w:val="20"/>
                <w:szCs w:val="20"/>
              </w:rPr>
              <w:t>(Ont.) (Criminal) (By Leave)</w:t>
            </w:r>
          </w:p>
        </w:tc>
        <w:tc>
          <w:tcPr>
            <w:tcW w:w="360" w:type="dxa"/>
          </w:tcPr>
          <w:p w:rsidR="00605B87" w:rsidRPr="003E24D9" w:rsidRDefault="00605B87" w:rsidP="00E36428">
            <w:pPr>
              <w:rPr>
                <w:rFonts w:cs="Times New Roman"/>
                <w:sz w:val="20"/>
                <w:szCs w:val="20"/>
              </w:rPr>
            </w:pPr>
            <w:r w:rsidRPr="003E24D9">
              <w:rPr>
                <w:rFonts w:cs="Times New Roman"/>
                <w:sz w:val="20"/>
                <w:szCs w:val="20"/>
              </w:rPr>
              <w:t>v.</w:t>
            </w:r>
          </w:p>
        </w:tc>
        <w:tc>
          <w:tcPr>
            <w:tcW w:w="3848"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Her Majesty the Queen</w:t>
            </w:r>
          </w:p>
        </w:tc>
      </w:tr>
      <w:tr w:rsidR="00605B87" w:rsidRPr="00E7387C" w:rsidTr="00E36428">
        <w:trPr>
          <w:cantSplit/>
        </w:trPr>
        <w:tc>
          <w:tcPr>
            <w:tcW w:w="508" w:type="dxa"/>
          </w:tcPr>
          <w:p w:rsidR="00605B87" w:rsidRPr="003E24D9" w:rsidRDefault="00605B87" w:rsidP="00E36428">
            <w:pPr>
              <w:rPr>
                <w:rFonts w:cs="Times New Roman"/>
                <w:sz w:val="20"/>
                <w:szCs w:val="20"/>
              </w:rPr>
            </w:pPr>
            <w:r w:rsidRPr="003E24D9">
              <w:rPr>
                <w:rFonts w:cs="Times New Roman"/>
                <w:sz w:val="20"/>
                <w:szCs w:val="20"/>
              </w:rPr>
              <w:t>11.</w:t>
            </w:r>
          </w:p>
        </w:tc>
        <w:tc>
          <w:tcPr>
            <w:tcW w:w="810" w:type="dxa"/>
          </w:tcPr>
          <w:p w:rsidR="00605B87" w:rsidRPr="003E24D9" w:rsidRDefault="00605B87" w:rsidP="00E36428">
            <w:pPr>
              <w:rPr>
                <w:rFonts w:cs="Times New Roman"/>
                <w:sz w:val="20"/>
                <w:szCs w:val="20"/>
              </w:rPr>
            </w:pPr>
            <w:r w:rsidRPr="003E24D9">
              <w:rPr>
                <w:rFonts w:cs="Times New Roman"/>
                <w:sz w:val="20"/>
                <w:szCs w:val="20"/>
              </w:rPr>
              <w:t>37347</w:t>
            </w:r>
          </w:p>
        </w:tc>
        <w:tc>
          <w:tcPr>
            <w:tcW w:w="4050" w:type="dxa"/>
          </w:tcPr>
          <w:p w:rsidR="00605B87" w:rsidRPr="003E24D9" w:rsidRDefault="00605B87" w:rsidP="00E36428">
            <w:pPr>
              <w:pStyle w:val="SCCAppellantInfoAppellantInfo"/>
              <w:rPr>
                <w:rFonts w:cs="Times New Roman"/>
                <w:sz w:val="20"/>
                <w:szCs w:val="20"/>
                <w:lang w:val="fr-CA"/>
              </w:rPr>
            </w:pPr>
            <w:r w:rsidRPr="003E24D9">
              <w:rPr>
                <w:rFonts w:cs="Times New Roman"/>
                <w:sz w:val="20"/>
                <w:szCs w:val="20"/>
                <w:lang w:val="fr-CA"/>
              </w:rPr>
              <w:t>Procureure générale du Québec</w:t>
            </w:r>
          </w:p>
          <w:p w:rsidR="00605B87" w:rsidRPr="003E24D9" w:rsidRDefault="00605B87" w:rsidP="00E36428">
            <w:pPr>
              <w:pStyle w:val="SCCAppellantInfoAppellantInfo"/>
              <w:rPr>
                <w:rFonts w:cs="Times New Roman"/>
                <w:sz w:val="20"/>
                <w:szCs w:val="20"/>
                <w:lang w:val="fr-CA"/>
              </w:rPr>
            </w:pPr>
            <w:r w:rsidRPr="003E24D9">
              <w:rPr>
                <w:rFonts w:cs="Times New Roman"/>
                <w:sz w:val="20"/>
                <w:szCs w:val="20"/>
                <w:lang w:val="fr-CA"/>
              </w:rPr>
              <w:t>(</w:t>
            </w:r>
            <w:proofErr w:type="spellStart"/>
            <w:r w:rsidRPr="003E24D9">
              <w:rPr>
                <w:rFonts w:cs="Times New Roman"/>
                <w:sz w:val="20"/>
                <w:szCs w:val="20"/>
                <w:lang w:val="fr-CA"/>
              </w:rPr>
              <w:t>Qc</w:t>
            </w:r>
            <w:proofErr w:type="spellEnd"/>
            <w:r w:rsidRPr="003E24D9">
              <w:rPr>
                <w:rFonts w:cs="Times New Roman"/>
                <w:sz w:val="20"/>
                <w:szCs w:val="20"/>
                <w:lang w:val="fr-CA"/>
              </w:rPr>
              <w:t>) (Civile) (Autorisation)</w:t>
            </w:r>
          </w:p>
        </w:tc>
        <w:tc>
          <w:tcPr>
            <w:tcW w:w="360" w:type="dxa"/>
          </w:tcPr>
          <w:p w:rsidR="00605B87" w:rsidRPr="003E24D9" w:rsidRDefault="00605B87" w:rsidP="00E36428">
            <w:pPr>
              <w:rPr>
                <w:rFonts w:cs="Times New Roman"/>
                <w:sz w:val="20"/>
                <w:szCs w:val="20"/>
              </w:rPr>
            </w:pPr>
            <w:r w:rsidRPr="003E24D9">
              <w:rPr>
                <w:rFonts w:cs="Times New Roman"/>
                <w:sz w:val="20"/>
                <w:szCs w:val="20"/>
              </w:rPr>
              <w:t>c.</w:t>
            </w:r>
          </w:p>
        </w:tc>
        <w:tc>
          <w:tcPr>
            <w:tcW w:w="3848" w:type="dxa"/>
          </w:tcPr>
          <w:p w:rsidR="00605B87" w:rsidRPr="003E24D9" w:rsidRDefault="00605B87" w:rsidP="00E36428">
            <w:pPr>
              <w:pStyle w:val="SCCAppellantInfoAppellantInfo"/>
              <w:rPr>
                <w:rFonts w:cs="Times New Roman"/>
                <w:sz w:val="20"/>
                <w:szCs w:val="20"/>
                <w:lang w:val="fr-CA"/>
              </w:rPr>
            </w:pPr>
            <w:r w:rsidRPr="003E24D9">
              <w:rPr>
                <w:rFonts w:cs="Times New Roman"/>
                <w:sz w:val="20"/>
                <w:szCs w:val="20"/>
                <w:lang w:val="fr-CA"/>
              </w:rPr>
              <w:t>Alliance du personnel professionnel et technique de la santé et des services sociaux, et al.</w:t>
            </w:r>
          </w:p>
        </w:tc>
      </w:tr>
      <w:tr w:rsidR="00605B87" w:rsidRPr="003E24D9" w:rsidTr="00E36428">
        <w:trPr>
          <w:cantSplit/>
        </w:trPr>
        <w:tc>
          <w:tcPr>
            <w:tcW w:w="508" w:type="dxa"/>
          </w:tcPr>
          <w:p w:rsidR="00605B87" w:rsidRPr="003E24D9" w:rsidRDefault="00605B87" w:rsidP="00E36428">
            <w:pPr>
              <w:rPr>
                <w:rFonts w:cs="Times New Roman"/>
                <w:sz w:val="20"/>
                <w:szCs w:val="20"/>
              </w:rPr>
            </w:pPr>
            <w:r w:rsidRPr="003E24D9">
              <w:rPr>
                <w:rFonts w:cs="Times New Roman"/>
                <w:sz w:val="20"/>
                <w:szCs w:val="20"/>
              </w:rPr>
              <w:t>12.</w:t>
            </w:r>
          </w:p>
        </w:tc>
        <w:tc>
          <w:tcPr>
            <w:tcW w:w="810" w:type="dxa"/>
          </w:tcPr>
          <w:p w:rsidR="00605B87" w:rsidRPr="003E24D9" w:rsidRDefault="00605B87" w:rsidP="00E36428">
            <w:pPr>
              <w:rPr>
                <w:rFonts w:cs="Times New Roman"/>
                <w:sz w:val="20"/>
                <w:szCs w:val="20"/>
              </w:rPr>
            </w:pPr>
            <w:r w:rsidRPr="003E24D9">
              <w:rPr>
                <w:rFonts w:cs="Times New Roman"/>
                <w:sz w:val="20"/>
                <w:szCs w:val="20"/>
              </w:rPr>
              <w:t>37386</w:t>
            </w:r>
          </w:p>
        </w:tc>
        <w:tc>
          <w:tcPr>
            <w:tcW w:w="4050"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 xml:space="preserve">Danilo </w:t>
            </w:r>
            <w:proofErr w:type="spellStart"/>
            <w:r w:rsidRPr="003E24D9">
              <w:rPr>
                <w:rFonts w:cs="Times New Roman"/>
                <w:sz w:val="20"/>
                <w:szCs w:val="20"/>
              </w:rPr>
              <w:t>Maala</w:t>
            </w:r>
            <w:proofErr w:type="spellEnd"/>
            <w:r w:rsidRPr="003E24D9">
              <w:rPr>
                <w:rFonts w:cs="Times New Roman"/>
                <w:sz w:val="20"/>
                <w:szCs w:val="20"/>
              </w:rPr>
              <w:t xml:space="preserve"> </w:t>
            </w:r>
            <w:proofErr w:type="spellStart"/>
            <w:r w:rsidRPr="003E24D9">
              <w:rPr>
                <w:rFonts w:cs="Times New Roman"/>
                <w:sz w:val="20"/>
                <w:szCs w:val="20"/>
              </w:rPr>
              <w:t>Almacén</w:t>
            </w:r>
            <w:proofErr w:type="spellEnd"/>
          </w:p>
          <w:p w:rsidR="00605B87" w:rsidRPr="003E24D9" w:rsidRDefault="00605B87" w:rsidP="00E36428">
            <w:pPr>
              <w:pStyle w:val="SCCAppellantInfoAppellantInfo"/>
              <w:rPr>
                <w:rFonts w:cs="Times New Roman"/>
                <w:sz w:val="20"/>
                <w:szCs w:val="20"/>
              </w:rPr>
            </w:pPr>
            <w:r w:rsidRPr="003E24D9">
              <w:rPr>
                <w:rFonts w:cs="Times New Roman"/>
                <w:sz w:val="20"/>
                <w:szCs w:val="20"/>
              </w:rPr>
              <w:t>(FC) (Civil) (By Leave)</w:t>
            </w:r>
          </w:p>
        </w:tc>
        <w:tc>
          <w:tcPr>
            <w:tcW w:w="360" w:type="dxa"/>
          </w:tcPr>
          <w:p w:rsidR="00605B87" w:rsidRPr="003E24D9" w:rsidRDefault="00605B87" w:rsidP="00E36428">
            <w:pPr>
              <w:rPr>
                <w:rFonts w:cs="Times New Roman"/>
                <w:sz w:val="20"/>
                <w:szCs w:val="20"/>
              </w:rPr>
            </w:pPr>
            <w:r w:rsidRPr="003E24D9">
              <w:rPr>
                <w:rFonts w:cs="Times New Roman"/>
                <w:sz w:val="20"/>
                <w:szCs w:val="20"/>
              </w:rPr>
              <w:t>v.</w:t>
            </w:r>
          </w:p>
        </w:tc>
        <w:tc>
          <w:tcPr>
            <w:tcW w:w="3848"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Her Majesty the Queen</w:t>
            </w:r>
          </w:p>
        </w:tc>
      </w:tr>
      <w:tr w:rsidR="00605B87" w:rsidRPr="003E24D9" w:rsidTr="00E36428">
        <w:trPr>
          <w:cantSplit/>
        </w:trPr>
        <w:tc>
          <w:tcPr>
            <w:tcW w:w="508" w:type="dxa"/>
          </w:tcPr>
          <w:p w:rsidR="00605B87" w:rsidRPr="003E24D9" w:rsidRDefault="00605B87" w:rsidP="00E36428">
            <w:pPr>
              <w:rPr>
                <w:rFonts w:cs="Times New Roman"/>
                <w:sz w:val="20"/>
                <w:szCs w:val="20"/>
              </w:rPr>
            </w:pPr>
            <w:r w:rsidRPr="003E24D9">
              <w:rPr>
                <w:rFonts w:cs="Times New Roman"/>
                <w:sz w:val="20"/>
                <w:szCs w:val="20"/>
              </w:rPr>
              <w:t>13.</w:t>
            </w:r>
          </w:p>
        </w:tc>
        <w:tc>
          <w:tcPr>
            <w:tcW w:w="810" w:type="dxa"/>
          </w:tcPr>
          <w:p w:rsidR="00605B87" w:rsidRPr="003E24D9" w:rsidRDefault="00605B87" w:rsidP="00E36428">
            <w:pPr>
              <w:rPr>
                <w:rFonts w:cs="Times New Roman"/>
                <w:sz w:val="20"/>
                <w:szCs w:val="20"/>
              </w:rPr>
            </w:pPr>
            <w:r w:rsidRPr="003E24D9">
              <w:rPr>
                <w:rFonts w:cs="Times New Roman"/>
                <w:sz w:val="20"/>
                <w:szCs w:val="20"/>
              </w:rPr>
              <w:t>37330</w:t>
            </w:r>
          </w:p>
        </w:tc>
        <w:tc>
          <w:tcPr>
            <w:tcW w:w="4050"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Gordon Teti</w:t>
            </w:r>
          </w:p>
          <w:p w:rsidR="00605B87" w:rsidRPr="003E24D9" w:rsidRDefault="00605B87" w:rsidP="00E36428">
            <w:pPr>
              <w:pStyle w:val="SCCAppellantInfoAppellantInfo"/>
              <w:rPr>
                <w:rFonts w:cs="Times New Roman"/>
                <w:sz w:val="20"/>
                <w:szCs w:val="20"/>
              </w:rPr>
            </w:pPr>
            <w:r w:rsidRPr="003E24D9">
              <w:rPr>
                <w:rFonts w:cs="Times New Roman"/>
                <w:sz w:val="20"/>
                <w:szCs w:val="20"/>
              </w:rPr>
              <w:t>(FC) (Civil) (By Leave)</w:t>
            </w:r>
          </w:p>
        </w:tc>
        <w:tc>
          <w:tcPr>
            <w:tcW w:w="360" w:type="dxa"/>
          </w:tcPr>
          <w:p w:rsidR="00605B87" w:rsidRPr="003E24D9" w:rsidRDefault="00605B87" w:rsidP="00E36428">
            <w:pPr>
              <w:rPr>
                <w:rFonts w:cs="Times New Roman"/>
                <w:sz w:val="20"/>
                <w:szCs w:val="20"/>
              </w:rPr>
            </w:pPr>
            <w:r w:rsidRPr="003E24D9">
              <w:rPr>
                <w:rFonts w:cs="Times New Roman"/>
                <w:sz w:val="20"/>
                <w:szCs w:val="20"/>
              </w:rPr>
              <w:t>v.</w:t>
            </w:r>
          </w:p>
        </w:tc>
        <w:tc>
          <w:tcPr>
            <w:tcW w:w="3848"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Attorney General of Canada</w:t>
            </w:r>
          </w:p>
        </w:tc>
      </w:tr>
      <w:tr w:rsidR="00605B87" w:rsidRPr="003E24D9" w:rsidTr="00E36428">
        <w:trPr>
          <w:cantSplit/>
        </w:trPr>
        <w:tc>
          <w:tcPr>
            <w:tcW w:w="508" w:type="dxa"/>
          </w:tcPr>
          <w:p w:rsidR="00605B87" w:rsidRPr="003E24D9" w:rsidRDefault="00605B87" w:rsidP="00E36428">
            <w:pPr>
              <w:rPr>
                <w:rFonts w:cs="Times New Roman"/>
                <w:sz w:val="20"/>
                <w:szCs w:val="20"/>
              </w:rPr>
            </w:pPr>
            <w:r w:rsidRPr="003E24D9">
              <w:rPr>
                <w:rFonts w:cs="Times New Roman"/>
                <w:sz w:val="20"/>
                <w:szCs w:val="20"/>
              </w:rPr>
              <w:t>14.</w:t>
            </w:r>
          </w:p>
        </w:tc>
        <w:tc>
          <w:tcPr>
            <w:tcW w:w="810" w:type="dxa"/>
          </w:tcPr>
          <w:p w:rsidR="00605B87" w:rsidRPr="003E24D9" w:rsidRDefault="00605B87" w:rsidP="00E36428">
            <w:pPr>
              <w:rPr>
                <w:rFonts w:cs="Times New Roman"/>
                <w:sz w:val="20"/>
                <w:szCs w:val="20"/>
              </w:rPr>
            </w:pPr>
            <w:r w:rsidRPr="003E24D9">
              <w:rPr>
                <w:rFonts w:cs="Times New Roman"/>
                <w:sz w:val="20"/>
                <w:szCs w:val="20"/>
              </w:rPr>
              <w:t>37442</w:t>
            </w:r>
          </w:p>
        </w:tc>
        <w:tc>
          <w:tcPr>
            <w:tcW w:w="4050"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 xml:space="preserve">Jens Peter </w:t>
            </w:r>
            <w:proofErr w:type="spellStart"/>
            <w:r w:rsidRPr="003E24D9">
              <w:rPr>
                <w:rFonts w:cs="Times New Roman"/>
                <w:sz w:val="20"/>
                <w:szCs w:val="20"/>
              </w:rPr>
              <w:t>Elmgreen</w:t>
            </w:r>
            <w:proofErr w:type="spellEnd"/>
          </w:p>
          <w:p w:rsidR="00605B87" w:rsidRPr="003E24D9" w:rsidRDefault="00605B87" w:rsidP="00E36428">
            <w:pPr>
              <w:pStyle w:val="SCCAppellantInfoAppellantInfo"/>
              <w:rPr>
                <w:rFonts w:cs="Times New Roman"/>
                <w:sz w:val="20"/>
                <w:szCs w:val="20"/>
              </w:rPr>
            </w:pPr>
            <w:r w:rsidRPr="003E24D9">
              <w:rPr>
                <w:rFonts w:cs="Times New Roman"/>
                <w:sz w:val="20"/>
                <w:szCs w:val="20"/>
              </w:rPr>
              <w:t>(Ont.) (Civil) (By Leave)</w:t>
            </w:r>
          </w:p>
        </w:tc>
        <w:tc>
          <w:tcPr>
            <w:tcW w:w="360" w:type="dxa"/>
          </w:tcPr>
          <w:p w:rsidR="00605B87" w:rsidRPr="003E24D9" w:rsidRDefault="00605B87" w:rsidP="00E36428">
            <w:pPr>
              <w:rPr>
                <w:rFonts w:cs="Times New Roman"/>
                <w:sz w:val="20"/>
                <w:szCs w:val="20"/>
              </w:rPr>
            </w:pPr>
            <w:r w:rsidRPr="003E24D9">
              <w:rPr>
                <w:rFonts w:cs="Times New Roman"/>
                <w:sz w:val="20"/>
                <w:szCs w:val="20"/>
              </w:rPr>
              <w:t>v.</w:t>
            </w:r>
          </w:p>
        </w:tc>
        <w:tc>
          <w:tcPr>
            <w:tcW w:w="3848"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J. William Evans</w:t>
            </w:r>
          </w:p>
        </w:tc>
      </w:tr>
    </w:tbl>
    <w:p w:rsidR="00605B87" w:rsidRDefault="00605B87">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605B87" w:rsidRPr="00E7387C" w:rsidTr="00E36428">
        <w:trPr>
          <w:cantSplit/>
        </w:trPr>
        <w:tc>
          <w:tcPr>
            <w:tcW w:w="508" w:type="dxa"/>
          </w:tcPr>
          <w:p w:rsidR="00605B87" w:rsidRPr="003E24D9" w:rsidRDefault="00605B87" w:rsidP="00E36428">
            <w:pPr>
              <w:rPr>
                <w:rFonts w:cs="Times New Roman"/>
                <w:sz w:val="20"/>
                <w:szCs w:val="20"/>
              </w:rPr>
            </w:pPr>
          </w:p>
        </w:tc>
        <w:tc>
          <w:tcPr>
            <w:tcW w:w="810" w:type="dxa"/>
          </w:tcPr>
          <w:p w:rsidR="00605B87" w:rsidRPr="003E24D9" w:rsidRDefault="00605B87" w:rsidP="00E36428">
            <w:pPr>
              <w:rPr>
                <w:rFonts w:cs="Times New Roman"/>
                <w:sz w:val="20"/>
                <w:szCs w:val="20"/>
              </w:rPr>
            </w:pPr>
          </w:p>
        </w:tc>
        <w:tc>
          <w:tcPr>
            <w:tcW w:w="8258" w:type="dxa"/>
            <w:gridSpan w:val="3"/>
          </w:tcPr>
          <w:p w:rsidR="00605B87" w:rsidRDefault="00605B87" w:rsidP="00605B87">
            <w:pPr>
              <w:jc w:val="center"/>
              <w:rPr>
                <w:b/>
                <w:bCs/>
                <w:sz w:val="20"/>
                <w:szCs w:val="20"/>
                <w:lang w:val="en-US"/>
              </w:rPr>
            </w:pPr>
            <w:r>
              <w:rPr>
                <w:b/>
                <w:bCs/>
                <w:sz w:val="20"/>
                <w:szCs w:val="20"/>
              </w:rPr>
              <w:t xml:space="preserve">CORAM: </w:t>
            </w:r>
            <w:proofErr w:type="spellStart"/>
            <w:r>
              <w:rPr>
                <w:b/>
                <w:bCs/>
                <w:sz w:val="20"/>
                <w:szCs w:val="20"/>
              </w:rPr>
              <w:t>Moldaver</w:t>
            </w:r>
            <w:proofErr w:type="spellEnd"/>
            <w:r>
              <w:rPr>
                <w:b/>
                <w:bCs/>
                <w:sz w:val="20"/>
                <w:szCs w:val="20"/>
              </w:rPr>
              <w:t xml:space="preserve">, </w:t>
            </w:r>
            <w:proofErr w:type="spellStart"/>
            <w:r>
              <w:rPr>
                <w:b/>
                <w:bCs/>
                <w:sz w:val="20"/>
                <w:szCs w:val="20"/>
              </w:rPr>
              <w:t>Côté</w:t>
            </w:r>
            <w:proofErr w:type="spellEnd"/>
            <w:r>
              <w:rPr>
                <w:b/>
                <w:bCs/>
                <w:sz w:val="20"/>
                <w:szCs w:val="20"/>
              </w:rPr>
              <w:t xml:space="preserve"> and Rowe JJ.</w:t>
            </w:r>
          </w:p>
          <w:p w:rsidR="00605B87" w:rsidRDefault="00605B87" w:rsidP="00605B87">
            <w:pPr>
              <w:jc w:val="center"/>
              <w:rPr>
                <w:b/>
                <w:bCs/>
                <w:sz w:val="20"/>
                <w:szCs w:val="20"/>
                <w:lang w:val="fr-CA"/>
              </w:rPr>
            </w:pPr>
            <w:r>
              <w:rPr>
                <w:b/>
                <w:bCs/>
                <w:sz w:val="20"/>
                <w:szCs w:val="20"/>
                <w:lang w:val="fr-CA"/>
              </w:rPr>
              <w:t xml:space="preserve">Les juges </w:t>
            </w:r>
            <w:proofErr w:type="spellStart"/>
            <w:r>
              <w:rPr>
                <w:b/>
                <w:bCs/>
                <w:sz w:val="20"/>
                <w:szCs w:val="20"/>
                <w:lang w:val="fr-CA"/>
              </w:rPr>
              <w:t>Moldaver</w:t>
            </w:r>
            <w:proofErr w:type="spellEnd"/>
            <w:r>
              <w:rPr>
                <w:b/>
                <w:bCs/>
                <w:sz w:val="20"/>
                <w:szCs w:val="20"/>
                <w:lang w:val="fr-CA"/>
              </w:rPr>
              <w:t>, Côté et Rowe</w:t>
            </w:r>
          </w:p>
          <w:p w:rsidR="00605B87" w:rsidRPr="00605B87" w:rsidRDefault="00605B87" w:rsidP="00605B87">
            <w:pPr>
              <w:tabs>
                <w:tab w:val="left" w:pos="3492"/>
              </w:tabs>
              <w:rPr>
                <w:rFonts w:cs="Times New Roman"/>
                <w:b/>
                <w:sz w:val="20"/>
                <w:szCs w:val="20"/>
                <w:lang w:val="fr-CA"/>
              </w:rPr>
            </w:pPr>
          </w:p>
        </w:tc>
      </w:tr>
      <w:tr w:rsidR="00605B87" w:rsidRPr="003E24D9" w:rsidTr="00E36428">
        <w:trPr>
          <w:cantSplit/>
        </w:trPr>
        <w:tc>
          <w:tcPr>
            <w:tcW w:w="508" w:type="dxa"/>
          </w:tcPr>
          <w:p w:rsidR="00605B87" w:rsidRPr="003E24D9" w:rsidRDefault="00605B87" w:rsidP="00E36428">
            <w:pPr>
              <w:rPr>
                <w:rFonts w:cs="Times New Roman"/>
                <w:sz w:val="20"/>
                <w:szCs w:val="20"/>
              </w:rPr>
            </w:pPr>
            <w:r w:rsidRPr="003E24D9">
              <w:rPr>
                <w:rFonts w:cs="Times New Roman"/>
                <w:sz w:val="20"/>
                <w:szCs w:val="20"/>
              </w:rPr>
              <w:t>15.</w:t>
            </w:r>
          </w:p>
        </w:tc>
        <w:tc>
          <w:tcPr>
            <w:tcW w:w="810" w:type="dxa"/>
          </w:tcPr>
          <w:p w:rsidR="00605B87" w:rsidRPr="003E24D9" w:rsidRDefault="00605B87" w:rsidP="00E36428">
            <w:pPr>
              <w:rPr>
                <w:rFonts w:cs="Times New Roman"/>
                <w:sz w:val="20"/>
                <w:szCs w:val="20"/>
              </w:rPr>
            </w:pPr>
            <w:r w:rsidRPr="003E24D9">
              <w:rPr>
                <w:rFonts w:cs="Times New Roman"/>
                <w:sz w:val="20"/>
                <w:szCs w:val="20"/>
              </w:rPr>
              <w:t>37368</w:t>
            </w:r>
          </w:p>
        </w:tc>
        <w:tc>
          <w:tcPr>
            <w:tcW w:w="4050" w:type="dxa"/>
          </w:tcPr>
          <w:p w:rsidR="00605B87" w:rsidRPr="003E24D9" w:rsidRDefault="00605B87" w:rsidP="00E36428">
            <w:pPr>
              <w:pStyle w:val="SCCAppellantInfoAppellantInfo"/>
              <w:rPr>
                <w:rFonts w:cs="Times New Roman"/>
                <w:sz w:val="20"/>
                <w:szCs w:val="20"/>
              </w:rPr>
            </w:pPr>
            <w:proofErr w:type="spellStart"/>
            <w:r w:rsidRPr="003E24D9">
              <w:rPr>
                <w:rFonts w:cs="Times New Roman"/>
                <w:sz w:val="20"/>
                <w:szCs w:val="20"/>
              </w:rPr>
              <w:t>Apotex</w:t>
            </w:r>
            <w:proofErr w:type="spellEnd"/>
            <w:r w:rsidRPr="003E24D9">
              <w:rPr>
                <w:rFonts w:cs="Times New Roman"/>
                <w:sz w:val="20"/>
                <w:szCs w:val="20"/>
              </w:rPr>
              <w:t xml:space="preserve"> Inc.</w:t>
            </w:r>
          </w:p>
          <w:p w:rsidR="00605B87" w:rsidRPr="003E24D9" w:rsidRDefault="00605B87" w:rsidP="00E36428">
            <w:pPr>
              <w:pStyle w:val="SCCAppellantInfoAppellantInfo"/>
              <w:rPr>
                <w:rFonts w:cs="Times New Roman"/>
                <w:sz w:val="20"/>
                <w:szCs w:val="20"/>
              </w:rPr>
            </w:pPr>
            <w:r w:rsidRPr="003E24D9">
              <w:rPr>
                <w:rFonts w:cs="Times New Roman"/>
                <w:sz w:val="20"/>
                <w:szCs w:val="20"/>
              </w:rPr>
              <w:t>(FC) (Civil) (By Leave)</w:t>
            </w:r>
          </w:p>
        </w:tc>
        <w:tc>
          <w:tcPr>
            <w:tcW w:w="360" w:type="dxa"/>
          </w:tcPr>
          <w:p w:rsidR="00605B87" w:rsidRPr="003E24D9" w:rsidRDefault="00605B87" w:rsidP="00E36428">
            <w:pPr>
              <w:rPr>
                <w:rFonts w:cs="Times New Roman"/>
                <w:sz w:val="20"/>
                <w:szCs w:val="20"/>
              </w:rPr>
            </w:pPr>
            <w:r w:rsidRPr="003E24D9">
              <w:rPr>
                <w:rFonts w:cs="Times New Roman"/>
                <w:sz w:val="20"/>
                <w:szCs w:val="20"/>
              </w:rPr>
              <w:t>v.</w:t>
            </w:r>
          </w:p>
        </w:tc>
        <w:tc>
          <w:tcPr>
            <w:tcW w:w="3848"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Eli Lilly Canada Inc., et al.</w:t>
            </w:r>
          </w:p>
        </w:tc>
      </w:tr>
      <w:tr w:rsidR="00605B87" w:rsidRPr="003E24D9" w:rsidTr="00E36428">
        <w:trPr>
          <w:cantSplit/>
        </w:trPr>
        <w:tc>
          <w:tcPr>
            <w:tcW w:w="508" w:type="dxa"/>
          </w:tcPr>
          <w:p w:rsidR="00605B87" w:rsidRPr="003E24D9" w:rsidRDefault="00605B87" w:rsidP="00E36428">
            <w:pPr>
              <w:rPr>
                <w:rFonts w:cs="Times New Roman"/>
                <w:sz w:val="20"/>
                <w:szCs w:val="20"/>
              </w:rPr>
            </w:pPr>
            <w:r w:rsidRPr="003E24D9">
              <w:rPr>
                <w:rFonts w:cs="Times New Roman"/>
                <w:sz w:val="20"/>
                <w:szCs w:val="20"/>
              </w:rPr>
              <w:t>16.</w:t>
            </w:r>
          </w:p>
        </w:tc>
        <w:tc>
          <w:tcPr>
            <w:tcW w:w="810" w:type="dxa"/>
          </w:tcPr>
          <w:p w:rsidR="00605B87" w:rsidRPr="003E24D9" w:rsidRDefault="00605B87" w:rsidP="00E36428">
            <w:pPr>
              <w:rPr>
                <w:rFonts w:cs="Times New Roman"/>
                <w:sz w:val="20"/>
                <w:szCs w:val="20"/>
              </w:rPr>
            </w:pPr>
            <w:r w:rsidRPr="003E24D9">
              <w:rPr>
                <w:rFonts w:cs="Times New Roman"/>
                <w:sz w:val="20"/>
                <w:szCs w:val="20"/>
              </w:rPr>
              <w:t>37394</w:t>
            </w:r>
          </w:p>
        </w:tc>
        <w:tc>
          <w:tcPr>
            <w:tcW w:w="4050"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 xml:space="preserve">Eli </w:t>
            </w:r>
            <w:proofErr w:type="spellStart"/>
            <w:r w:rsidRPr="003E24D9">
              <w:rPr>
                <w:rFonts w:cs="Times New Roman"/>
                <w:sz w:val="20"/>
                <w:szCs w:val="20"/>
              </w:rPr>
              <w:t>Humby</w:t>
            </w:r>
            <w:proofErr w:type="spellEnd"/>
            <w:r w:rsidRPr="003E24D9">
              <w:rPr>
                <w:rFonts w:cs="Times New Roman"/>
                <w:sz w:val="20"/>
                <w:szCs w:val="20"/>
              </w:rPr>
              <w:t>, et al.</w:t>
            </w:r>
          </w:p>
          <w:p w:rsidR="00605B87" w:rsidRPr="003E24D9" w:rsidRDefault="00605B87" w:rsidP="00E36428">
            <w:pPr>
              <w:pStyle w:val="SCCAppellantInfoAppellantInfo"/>
              <w:rPr>
                <w:rFonts w:cs="Times New Roman"/>
                <w:sz w:val="20"/>
                <w:szCs w:val="20"/>
              </w:rPr>
            </w:pPr>
            <w:r w:rsidRPr="003E24D9">
              <w:rPr>
                <w:rFonts w:cs="Times New Roman"/>
                <w:sz w:val="20"/>
                <w:szCs w:val="20"/>
              </w:rPr>
              <w:t>(FC) (Civil) (By Leave)</w:t>
            </w:r>
          </w:p>
        </w:tc>
        <w:tc>
          <w:tcPr>
            <w:tcW w:w="360" w:type="dxa"/>
          </w:tcPr>
          <w:p w:rsidR="00605B87" w:rsidRPr="003E24D9" w:rsidRDefault="00605B87" w:rsidP="00E36428">
            <w:pPr>
              <w:rPr>
                <w:rFonts w:cs="Times New Roman"/>
                <w:sz w:val="20"/>
                <w:szCs w:val="20"/>
              </w:rPr>
            </w:pPr>
            <w:r w:rsidRPr="003E24D9">
              <w:rPr>
                <w:rFonts w:cs="Times New Roman"/>
                <w:sz w:val="20"/>
                <w:szCs w:val="20"/>
              </w:rPr>
              <w:t>v.</w:t>
            </w:r>
          </w:p>
        </w:tc>
        <w:tc>
          <w:tcPr>
            <w:tcW w:w="3848"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Her Majesty the Queen, et al.</w:t>
            </w:r>
          </w:p>
        </w:tc>
      </w:tr>
      <w:tr w:rsidR="00605B87" w:rsidRPr="003E24D9" w:rsidTr="00E36428">
        <w:trPr>
          <w:cantSplit/>
        </w:trPr>
        <w:tc>
          <w:tcPr>
            <w:tcW w:w="508" w:type="dxa"/>
          </w:tcPr>
          <w:p w:rsidR="00605B87" w:rsidRPr="003E24D9" w:rsidRDefault="00605B87" w:rsidP="00E36428">
            <w:pPr>
              <w:rPr>
                <w:rFonts w:cs="Times New Roman"/>
                <w:sz w:val="20"/>
                <w:szCs w:val="20"/>
              </w:rPr>
            </w:pPr>
            <w:r w:rsidRPr="003E24D9">
              <w:rPr>
                <w:rFonts w:cs="Times New Roman"/>
                <w:sz w:val="20"/>
                <w:szCs w:val="20"/>
              </w:rPr>
              <w:t>17.</w:t>
            </w:r>
          </w:p>
        </w:tc>
        <w:tc>
          <w:tcPr>
            <w:tcW w:w="810" w:type="dxa"/>
          </w:tcPr>
          <w:p w:rsidR="00605B87" w:rsidRPr="003E24D9" w:rsidRDefault="00605B87" w:rsidP="00E36428">
            <w:pPr>
              <w:rPr>
                <w:rFonts w:cs="Times New Roman"/>
                <w:sz w:val="20"/>
                <w:szCs w:val="20"/>
              </w:rPr>
            </w:pPr>
            <w:r w:rsidRPr="003E24D9">
              <w:rPr>
                <w:rFonts w:cs="Times New Roman"/>
                <w:sz w:val="20"/>
                <w:szCs w:val="20"/>
              </w:rPr>
              <w:t>37274</w:t>
            </w:r>
          </w:p>
        </w:tc>
        <w:tc>
          <w:tcPr>
            <w:tcW w:w="4050"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Nova Chemicals Corporation</w:t>
            </w:r>
          </w:p>
          <w:p w:rsidR="00605B87" w:rsidRPr="003E24D9" w:rsidRDefault="00605B87" w:rsidP="00E36428">
            <w:pPr>
              <w:pStyle w:val="SCCAppellantInfoAppellantInfo"/>
              <w:rPr>
                <w:rFonts w:cs="Times New Roman"/>
                <w:sz w:val="20"/>
                <w:szCs w:val="20"/>
              </w:rPr>
            </w:pPr>
            <w:r w:rsidRPr="003E24D9">
              <w:rPr>
                <w:rFonts w:cs="Times New Roman"/>
                <w:sz w:val="20"/>
                <w:szCs w:val="20"/>
              </w:rPr>
              <w:t>(FC) (Civil) (By Leave)</w:t>
            </w:r>
          </w:p>
        </w:tc>
        <w:tc>
          <w:tcPr>
            <w:tcW w:w="360" w:type="dxa"/>
          </w:tcPr>
          <w:p w:rsidR="00605B87" w:rsidRPr="003E24D9" w:rsidRDefault="00605B87" w:rsidP="00E36428">
            <w:pPr>
              <w:rPr>
                <w:rFonts w:cs="Times New Roman"/>
                <w:sz w:val="20"/>
                <w:szCs w:val="20"/>
              </w:rPr>
            </w:pPr>
            <w:r w:rsidRPr="003E24D9">
              <w:rPr>
                <w:rFonts w:cs="Times New Roman"/>
                <w:sz w:val="20"/>
                <w:szCs w:val="20"/>
              </w:rPr>
              <w:t>v.</w:t>
            </w:r>
          </w:p>
        </w:tc>
        <w:tc>
          <w:tcPr>
            <w:tcW w:w="3848"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Dow Chemical Company, et al.</w:t>
            </w:r>
          </w:p>
        </w:tc>
      </w:tr>
      <w:tr w:rsidR="00605B87" w:rsidRPr="003E24D9" w:rsidTr="00E36428">
        <w:trPr>
          <w:cantSplit/>
        </w:trPr>
        <w:tc>
          <w:tcPr>
            <w:tcW w:w="508" w:type="dxa"/>
          </w:tcPr>
          <w:p w:rsidR="00605B87" w:rsidRPr="003E24D9" w:rsidRDefault="00605B87" w:rsidP="00E36428">
            <w:pPr>
              <w:rPr>
                <w:rFonts w:cs="Times New Roman"/>
                <w:sz w:val="20"/>
                <w:szCs w:val="20"/>
              </w:rPr>
            </w:pPr>
            <w:r w:rsidRPr="003E24D9">
              <w:rPr>
                <w:rFonts w:cs="Times New Roman"/>
                <w:sz w:val="20"/>
                <w:szCs w:val="20"/>
              </w:rPr>
              <w:t>18.</w:t>
            </w:r>
          </w:p>
        </w:tc>
        <w:tc>
          <w:tcPr>
            <w:tcW w:w="810" w:type="dxa"/>
          </w:tcPr>
          <w:p w:rsidR="00605B87" w:rsidRPr="003E24D9" w:rsidRDefault="00605B87" w:rsidP="00E36428">
            <w:pPr>
              <w:rPr>
                <w:rFonts w:cs="Times New Roman"/>
                <w:sz w:val="20"/>
                <w:szCs w:val="20"/>
              </w:rPr>
            </w:pPr>
            <w:r w:rsidRPr="003E24D9">
              <w:rPr>
                <w:rFonts w:cs="Times New Roman"/>
                <w:sz w:val="20"/>
                <w:szCs w:val="20"/>
              </w:rPr>
              <w:t>37396</w:t>
            </w:r>
          </w:p>
        </w:tc>
        <w:tc>
          <w:tcPr>
            <w:tcW w:w="4050"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TPG Technology Consulting Ltd.</w:t>
            </w:r>
          </w:p>
          <w:p w:rsidR="00605B87" w:rsidRPr="003E24D9" w:rsidRDefault="00605B87" w:rsidP="00E36428">
            <w:pPr>
              <w:pStyle w:val="SCCAppellantInfoAppellantInfo"/>
              <w:rPr>
                <w:rFonts w:cs="Times New Roman"/>
                <w:sz w:val="20"/>
                <w:szCs w:val="20"/>
              </w:rPr>
            </w:pPr>
            <w:r w:rsidRPr="003E24D9">
              <w:rPr>
                <w:rFonts w:cs="Times New Roman"/>
                <w:sz w:val="20"/>
                <w:szCs w:val="20"/>
              </w:rPr>
              <w:t>(FC) (Civil) (By Leave)</w:t>
            </w:r>
          </w:p>
        </w:tc>
        <w:tc>
          <w:tcPr>
            <w:tcW w:w="360" w:type="dxa"/>
          </w:tcPr>
          <w:p w:rsidR="00605B87" w:rsidRPr="003E24D9" w:rsidRDefault="00605B87" w:rsidP="00E36428">
            <w:pPr>
              <w:rPr>
                <w:rFonts w:cs="Times New Roman"/>
                <w:sz w:val="20"/>
                <w:szCs w:val="20"/>
              </w:rPr>
            </w:pPr>
            <w:r w:rsidRPr="003E24D9">
              <w:rPr>
                <w:rFonts w:cs="Times New Roman"/>
                <w:sz w:val="20"/>
                <w:szCs w:val="20"/>
              </w:rPr>
              <w:t>v.</w:t>
            </w:r>
          </w:p>
        </w:tc>
        <w:tc>
          <w:tcPr>
            <w:tcW w:w="3848"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Her Majesty the Queen</w:t>
            </w:r>
          </w:p>
        </w:tc>
      </w:tr>
      <w:tr w:rsidR="00605B87" w:rsidRPr="003E24D9" w:rsidTr="00E36428">
        <w:trPr>
          <w:cantSplit/>
        </w:trPr>
        <w:tc>
          <w:tcPr>
            <w:tcW w:w="508" w:type="dxa"/>
          </w:tcPr>
          <w:p w:rsidR="00605B87" w:rsidRPr="003E24D9" w:rsidRDefault="00605B87" w:rsidP="00E36428">
            <w:pPr>
              <w:rPr>
                <w:rFonts w:cs="Times New Roman"/>
                <w:sz w:val="20"/>
                <w:szCs w:val="20"/>
              </w:rPr>
            </w:pPr>
            <w:r w:rsidRPr="003E24D9">
              <w:rPr>
                <w:rFonts w:cs="Times New Roman"/>
                <w:sz w:val="20"/>
                <w:szCs w:val="20"/>
              </w:rPr>
              <w:t>19.</w:t>
            </w:r>
          </w:p>
        </w:tc>
        <w:tc>
          <w:tcPr>
            <w:tcW w:w="810" w:type="dxa"/>
          </w:tcPr>
          <w:p w:rsidR="00605B87" w:rsidRPr="003E24D9" w:rsidRDefault="00605B87" w:rsidP="00E36428">
            <w:pPr>
              <w:rPr>
                <w:rFonts w:cs="Times New Roman"/>
                <w:sz w:val="20"/>
                <w:szCs w:val="20"/>
              </w:rPr>
            </w:pPr>
            <w:r w:rsidRPr="003E24D9">
              <w:rPr>
                <w:rFonts w:cs="Times New Roman"/>
                <w:sz w:val="20"/>
                <w:szCs w:val="20"/>
              </w:rPr>
              <w:t>37389</w:t>
            </w:r>
          </w:p>
        </w:tc>
        <w:tc>
          <w:tcPr>
            <w:tcW w:w="4050"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Bill Lam</w:t>
            </w:r>
          </w:p>
          <w:p w:rsidR="00605B87" w:rsidRPr="003E24D9" w:rsidRDefault="00605B87" w:rsidP="00E36428">
            <w:pPr>
              <w:pStyle w:val="SCCAppellantInfoAppellantInfo"/>
              <w:rPr>
                <w:rFonts w:cs="Times New Roman"/>
                <w:sz w:val="20"/>
                <w:szCs w:val="20"/>
              </w:rPr>
            </w:pPr>
            <w:r w:rsidRPr="003E24D9">
              <w:rPr>
                <w:rFonts w:cs="Times New Roman"/>
                <w:sz w:val="20"/>
                <w:szCs w:val="20"/>
              </w:rPr>
              <w:t>(Ont.) (Civil) (By Leave)</w:t>
            </w:r>
          </w:p>
        </w:tc>
        <w:tc>
          <w:tcPr>
            <w:tcW w:w="360" w:type="dxa"/>
          </w:tcPr>
          <w:p w:rsidR="00605B87" w:rsidRPr="003E24D9" w:rsidRDefault="00605B87" w:rsidP="00E36428">
            <w:pPr>
              <w:rPr>
                <w:rFonts w:cs="Times New Roman"/>
                <w:sz w:val="20"/>
                <w:szCs w:val="20"/>
              </w:rPr>
            </w:pPr>
            <w:r w:rsidRPr="003E24D9">
              <w:rPr>
                <w:rFonts w:cs="Times New Roman"/>
                <w:sz w:val="20"/>
                <w:szCs w:val="20"/>
              </w:rPr>
              <w:t>v.</w:t>
            </w:r>
          </w:p>
        </w:tc>
        <w:tc>
          <w:tcPr>
            <w:tcW w:w="3848"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Her Majesty the Queen</w:t>
            </w:r>
          </w:p>
        </w:tc>
      </w:tr>
      <w:tr w:rsidR="00605B87" w:rsidRPr="003E24D9" w:rsidTr="00E36428">
        <w:trPr>
          <w:cantSplit/>
        </w:trPr>
        <w:tc>
          <w:tcPr>
            <w:tcW w:w="508" w:type="dxa"/>
          </w:tcPr>
          <w:p w:rsidR="00605B87" w:rsidRPr="003E24D9" w:rsidRDefault="00605B87" w:rsidP="00E36428">
            <w:pPr>
              <w:rPr>
                <w:rFonts w:cs="Times New Roman"/>
                <w:sz w:val="20"/>
                <w:szCs w:val="20"/>
              </w:rPr>
            </w:pPr>
            <w:r w:rsidRPr="003E24D9">
              <w:rPr>
                <w:rFonts w:cs="Times New Roman"/>
                <w:sz w:val="20"/>
                <w:szCs w:val="20"/>
              </w:rPr>
              <w:t>20.</w:t>
            </w:r>
          </w:p>
        </w:tc>
        <w:tc>
          <w:tcPr>
            <w:tcW w:w="810" w:type="dxa"/>
          </w:tcPr>
          <w:p w:rsidR="00605B87" w:rsidRPr="003E24D9" w:rsidRDefault="00605B87" w:rsidP="00E36428">
            <w:pPr>
              <w:rPr>
                <w:rFonts w:cs="Times New Roman"/>
                <w:sz w:val="20"/>
                <w:szCs w:val="20"/>
              </w:rPr>
            </w:pPr>
            <w:r w:rsidRPr="003E24D9">
              <w:rPr>
                <w:rFonts w:cs="Times New Roman"/>
                <w:sz w:val="20"/>
                <w:szCs w:val="20"/>
              </w:rPr>
              <w:t>37412</w:t>
            </w:r>
          </w:p>
        </w:tc>
        <w:tc>
          <w:tcPr>
            <w:tcW w:w="4050" w:type="dxa"/>
          </w:tcPr>
          <w:p w:rsidR="00605B87" w:rsidRPr="003E24D9" w:rsidRDefault="00605B87" w:rsidP="00E36428">
            <w:pPr>
              <w:pStyle w:val="SCCAppellantInfoAppellantInfo"/>
              <w:rPr>
                <w:rFonts w:cs="Times New Roman"/>
                <w:sz w:val="20"/>
                <w:szCs w:val="20"/>
              </w:rPr>
            </w:pPr>
            <w:r w:rsidRPr="003E24D9">
              <w:rPr>
                <w:rFonts w:cs="Times New Roman"/>
                <w:sz w:val="20"/>
                <w:szCs w:val="20"/>
              </w:rPr>
              <w:t>Ming Jian</w:t>
            </w:r>
          </w:p>
          <w:p w:rsidR="00605B87" w:rsidRPr="003E24D9" w:rsidRDefault="00605B87" w:rsidP="00E36428">
            <w:pPr>
              <w:pStyle w:val="SCCAppellantInfoAppellantInfo"/>
              <w:rPr>
                <w:rFonts w:cs="Times New Roman"/>
                <w:sz w:val="20"/>
                <w:szCs w:val="20"/>
              </w:rPr>
            </w:pPr>
            <w:r w:rsidRPr="003E24D9">
              <w:rPr>
                <w:rFonts w:cs="Times New Roman"/>
                <w:sz w:val="20"/>
                <w:szCs w:val="20"/>
              </w:rPr>
              <w:t>(Que.) (Civil) (By Leave)</w:t>
            </w:r>
          </w:p>
        </w:tc>
        <w:tc>
          <w:tcPr>
            <w:tcW w:w="360" w:type="dxa"/>
          </w:tcPr>
          <w:p w:rsidR="00605B87" w:rsidRPr="003E24D9" w:rsidRDefault="00605B87" w:rsidP="00E36428">
            <w:pPr>
              <w:rPr>
                <w:rFonts w:cs="Times New Roman"/>
                <w:sz w:val="20"/>
                <w:szCs w:val="20"/>
              </w:rPr>
            </w:pPr>
            <w:r w:rsidRPr="003E24D9">
              <w:rPr>
                <w:rFonts w:cs="Times New Roman"/>
                <w:sz w:val="20"/>
                <w:szCs w:val="20"/>
              </w:rPr>
              <w:t>v.</w:t>
            </w:r>
          </w:p>
        </w:tc>
        <w:tc>
          <w:tcPr>
            <w:tcW w:w="3848" w:type="dxa"/>
          </w:tcPr>
          <w:p w:rsidR="00605B87" w:rsidRPr="003E24D9" w:rsidRDefault="00605B87" w:rsidP="00E36428">
            <w:pPr>
              <w:pStyle w:val="SCCAppellantInfoAppellantInfo"/>
              <w:rPr>
                <w:rFonts w:cs="Times New Roman"/>
                <w:sz w:val="20"/>
                <w:szCs w:val="20"/>
              </w:rPr>
            </w:pPr>
            <w:proofErr w:type="spellStart"/>
            <w:r w:rsidRPr="003E24D9">
              <w:rPr>
                <w:rFonts w:cs="Times New Roman"/>
                <w:sz w:val="20"/>
                <w:szCs w:val="20"/>
              </w:rPr>
              <w:t>Zhi</w:t>
            </w:r>
            <w:proofErr w:type="spellEnd"/>
            <w:r w:rsidRPr="003E24D9">
              <w:rPr>
                <w:rFonts w:cs="Times New Roman"/>
                <w:sz w:val="20"/>
                <w:szCs w:val="20"/>
              </w:rPr>
              <w:t xml:space="preserve"> Long Zhang</w:t>
            </w:r>
          </w:p>
        </w:tc>
      </w:tr>
    </w:tbl>
    <w:p w:rsidR="00762008" w:rsidRPr="00C661B7" w:rsidRDefault="00762008" w:rsidP="002E2327">
      <w:pPr>
        <w:widowControl w:val="0"/>
        <w:rPr>
          <w:sz w:val="20"/>
          <w:szCs w:val="20"/>
          <w:lang w:val="fr-CA"/>
        </w:rPr>
      </w:pPr>
    </w:p>
    <w:p w:rsidR="002E2327" w:rsidRDefault="00E7387C" w:rsidP="002E2327">
      <w:pPr>
        <w:widowControl w:val="0"/>
        <w:rPr>
          <w:sz w:val="20"/>
          <w:szCs w:val="20"/>
        </w:rPr>
      </w:pPr>
      <w:r>
        <w:rPr>
          <w:sz w:val="20"/>
          <w:szCs w:val="20"/>
        </w:rPr>
        <w:pict>
          <v:rect id="_x0000_i1028"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154CD6">
      <w:pPr>
        <w:rPr>
          <w:sz w:val="20"/>
          <w:szCs w:val="20"/>
        </w:rPr>
      </w:pPr>
    </w:p>
    <w:p w:rsidR="00D94028" w:rsidRPr="00C50A5C" w:rsidRDefault="00D94028" w:rsidP="002E2327">
      <w:pPr>
        <w:widowControl w:val="0"/>
        <w:rPr>
          <w:sz w:val="20"/>
          <w:szCs w:val="20"/>
        </w:rPr>
      </w:pPr>
    </w:p>
    <w:p w:rsidR="0044776A" w:rsidRPr="00C50A5C" w:rsidRDefault="0044776A" w:rsidP="00154CD6">
      <w:pPr>
        <w:rPr>
          <w:sz w:val="20"/>
          <w:szCs w:val="20"/>
        </w:rPr>
        <w:sectPr w:rsidR="0044776A" w:rsidRPr="00C50A5C" w:rsidSect="0044776A">
          <w:headerReference w:type="default" r:id="rId13"/>
          <w:footerReference w:type="default" r:id="rId14"/>
          <w:headerReference w:type="first" r:id="rId15"/>
          <w:footerReference w:type="first" r:id="rId16"/>
          <w:pgSz w:w="12240" w:h="15840"/>
          <w:pgMar w:top="720" w:right="965" w:bottom="1080" w:left="1656"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154CD6" w:rsidRPr="001D0D5F" w:rsidTr="001854FA">
        <w:tc>
          <w:tcPr>
            <w:tcW w:w="4200" w:type="dxa"/>
            <w:shd w:val="clear" w:color="auto" w:fill="auto"/>
            <w:tcMar>
              <w:left w:w="0" w:type="dxa"/>
              <w:right w:w="0" w:type="dxa"/>
            </w:tcMar>
          </w:tcPr>
          <w:p w:rsidR="00154CD6" w:rsidRPr="001D0D5F" w:rsidRDefault="00154CD6" w:rsidP="001854FA">
            <w:pPr>
              <w:keepNext/>
              <w:keepLines/>
              <w:jc w:val="both"/>
              <w:rPr>
                <w:b/>
                <w:szCs w:val="24"/>
              </w:rPr>
            </w:pPr>
            <w:bookmarkStart w:id="1" w:name="QuickMark_1"/>
            <w:bookmarkEnd w:id="1"/>
            <w:r w:rsidRPr="001D0D5F">
              <w:rPr>
                <w:b/>
                <w:szCs w:val="24"/>
              </w:rPr>
              <w:lastRenderedPageBreak/>
              <w:t>ORAL HEARING ORDERED</w:t>
            </w:r>
          </w:p>
        </w:tc>
        <w:tc>
          <w:tcPr>
            <w:tcW w:w="1200" w:type="dxa"/>
            <w:shd w:val="clear" w:color="auto" w:fill="auto"/>
            <w:tcMar>
              <w:left w:w="0" w:type="dxa"/>
              <w:right w:w="0" w:type="dxa"/>
            </w:tcMar>
          </w:tcPr>
          <w:p w:rsidR="00154CD6" w:rsidRPr="001D0D5F" w:rsidRDefault="00154CD6" w:rsidP="001854FA">
            <w:pPr>
              <w:keepNext/>
              <w:keepLines/>
              <w:jc w:val="center"/>
              <w:rPr>
                <w:b/>
                <w:szCs w:val="24"/>
              </w:rPr>
            </w:pPr>
          </w:p>
          <w:p w:rsidR="00154CD6" w:rsidRPr="001D0D5F" w:rsidRDefault="00154CD6" w:rsidP="001854FA">
            <w:pPr>
              <w:keepNext/>
              <w:keepLines/>
              <w:jc w:val="center"/>
              <w:rPr>
                <w:b/>
                <w:szCs w:val="24"/>
              </w:rPr>
            </w:pPr>
          </w:p>
        </w:tc>
        <w:tc>
          <w:tcPr>
            <w:tcW w:w="4230" w:type="dxa"/>
            <w:shd w:val="clear" w:color="auto" w:fill="auto"/>
            <w:tcMar>
              <w:left w:w="0" w:type="dxa"/>
              <w:right w:w="0" w:type="dxa"/>
            </w:tcMar>
          </w:tcPr>
          <w:p w:rsidR="00154CD6" w:rsidRPr="00BA6468" w:rsidRDefault="00154CD6" w:rsidP="001854FA">
            <w:pPr>
              <w:keepLines/>
              <w:rPr>
                <w:szCs w:val="24"/>
                <w:lang w:val="fr-CA"/>
              </w:rPr>
            </w:pPr>
            <w:r w:rsidRPr="00BA6468">
              <w:rPr>
                <w:b/>
                <w:szCs w:val="24"/>
                <w:lang w:val="fr-CA"/>
              </w:rPr>
              <w:t>AUDIENCE ORDONNÉE</w:t>
            </w:r>
            <w:r w:rsidRPr="00BA6468">
              <w:rPr>
                <w:szCs w:val="24"/>
                <w:lang w:val="fr-CA"/>
              </w:rPr>
              <w:t xml:space="preserve"> </w:t>
            </w:r>
          </w:p>
        </w:tc>
      </w:tr>
    </w:tbl>
    <w:p w:rsidR="00154CD6" w:rsidRDefault="00154CD6" w:rsidP="00154CD6">
      <w:pPr>
        <w:rPr>
          <w:b/>
          <w:sz w:val="20"/>
          <w:szCs w:val="20"/>
        </w:rPr>
      </w:pPr>
    </w:p>
    <w:p w:rsidR="00154CD6" w:rsidRPr="005F2D90" w:rsidRDefault="00B66AE9" w:rsidP="00154CD6">
      <w:pPr>
        <w:rPr>
          <w:b/>
          <w:sz w:val="20"/>
          <w:szCs w:val="20"/>
          <w:lang w:val="fr-CA"/>
        </w:rPr>
      </w:pPr>
      <w:r>
        <w:rPr>
          <w:b/>
          <w:sz w:val="20"/>
          <w:szCs w:val="20"/>
          <w:lang w:val="fr-CA"/>
        </w:rPr>
        <w:t>MARCH 16</w:t>
      </w:r>
      <w:r w:rsidR="00154CD6" w:rsidRPr="005F2D90">
        <w:rPr>
          <w:b/>
          <w:sz w:val="20"/>
          <w:szCs w:val="20"/>
          <w:lang w:val="fr-CA"/>
        </w:rPr>
        <w:t>, 201</w:t>
      </w:r>
      <w:r w:rsidR="00154CD6">
        <w:rPr>
          <w:b/>
          <w:sz w:val="20"/>
          <w:szCs w:val="20"/>
          <w:lang w:val="fr-CA"/>
        </w:rPr>
        <w:t>7</w:t>
      </w:r>
      <w:r w:rsidR="00154CD6" w:rsidRPr="005F2D90">
        <w:rPr>
          <w:b/>
          <w:sz w:val="20"/>
          <w:szCs w:val="20"/>
          <w:lang w:val="fr-CA"/>
        </w:rPr>
        <w:t xml:space="preserve"> / LE </w:t>
      </w:r>
      <w:r>
        <w:rPr>
          <w:b/>
          <w:sz w:val="20"/>
          <w:szCs w:val="20"/>
          <w:lang w:val="fr-CA"/>
        </w:rPr>
        <w:t>16 MARS</w:t>
      </w:r>
      <w:r w:rsidR="00154CD6">
        <w:rPr>
          <w:b/>
          <w:sz w:val="20"/>
          <w:szCs w:val="20"/>
          <w:lang w:val="fr-CA"/>
        </w:rPr>
        <w:t xml:space="preserve"> 2017</w:t>
      </w:r>
    </w:p>
    <w:p w:rsidR="00154CD6" w:rsidRPr="005F2D90" w:rsidRDefault="00154CD6" w:rsidP="00154CD6">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66AE9" w:rsidRPr="00E40721" w:rsidTr="001854FA">
        <w:tc>
          <w:tcPr>
            <w:tcW w:w="543" w:type="pct"/>
          </w:tcPr>
          <w:p w:rsidR="00B66AE9" w:rsidRPr="00E40721" w:rsidRDefault="00B66AE9" w:rsidP="001854FA">
            <w:pPr>
              <w:jc w:val="both"/>
              <w:rPr>
                <w:sz w:val="20"/>
              </w:rPr>
            </w:pPr>
            <w:r w:rsidRPr="00E40721">
              <w:rPr>
                <w:rStyle w:val="SCCFileNumberChar"/>
                <w:sz w:val="20"/>
                <w:szCs w:val="20"/>
              </w:rPr>
              <w:t>37315</w:t>
            </w:r>
          </w:p>
        </w:tc>
        <w:tc>
          <w:tcPr>
            <w:tcW w:w="4457" w:type="pct"/>
            <w:gridSpan w:val="3"/>
          </w:tcPr>
          <w:p w:rsidR="00B66AE9" w:rsidRDefault="00B66AE9" w:rsidP="001854FA">
            <w:pPr>
              <w:pStyle w:val="SCCLsocParty"/>
              <w:jc w:val="both"/>
              <w:rPr>
                <w:sz w:val="20"/>
              </w:rPr>
            </w:pPr>
            <w:r w:rsidRPr="00B65BA0">
              <w:rPr>
                <w:b/>
                <w:sz w:val="20"/>
                <w:szCs w:val="20"/>
                <w:lang w:val="en-US"/>
              </w:rPr>
              <w:t>Cameron Tyler Lewis McKay v. Her Majesty the Queen - and - At</w:t>
            </w:r>
            <w:r w:rsidRPr="00E40721">
              <w:rPr>
                <w:b/>
                <w:sz w:val="20"/>
                <w:szCs w:val="20"/>
                <w:lang w:val="en-US"/>
              </w:rPr>
              <w:t>torney General of British Columbia</w:t>
            </w:r>
            <w:r>
              <w:rPr>
                <w:b/>
                <w:sz w:val="20"/>
                <w:szCs w:val="20"/>
                <w:lang w:val="en-US"/>
              </w:rPr>
              <w:t xml:space="preserve"> </w:t>
            </w:r>
            <w:r w:rsidRPr="00B65BA0">
              <w:rPr>
                <w:sz w:val="20"/>
                <w:lang w:val="en-US"/>
              </w:rPr>
              <w:t xml:space="preserve">(B.C.) </w:t>
            </w:r>
            <w:r w:rsidRPr="00E40721">
              <w:rPr>
                <w:sz w:val="20"/>
              </w:rPr>
              <w:t>(</w:t>
            </w:r>
            <w:proofErr w:type="spellStart"/>
            <w:r w:rsidRPr="00E40721">
              <w:rPr>
                <w:sz w:val="20"/>
              </w:rPr>
              <w:t>Criminal</w:t>
            </w:r>
            <w:proofErr w:type="spellEnd"/>
            <w:r w:rsidRPr="00E40721">
              <w:rPr>
                <w:sz w:val="20"/>
              </w:rPr>
              <w:t xml:space="preserve">) (By </w:t>
            </w:r>
            <w:proofErr w:type="spellStart"/>
            <w:r w:rsidRPr="00E40721">
              <w:rPr>
                <w:sz w:val="20"/>
              </w:rPr>
              <w:t>Leave</w:t>
            </w:r>
            <w:proofErr w:type="spellEnd"/>
            <w:r w:rsidRPr="00E40721">
              <w:rPr>
                <w:sz w:val="20"/>
              </w:rPr>
              <w:t>)</w:t>
            </w:r>
          </w:p>
          <w:p w:rsidR="00B66AE9" w:rsidRPr="00B66AE9" w:rsidRDefault="00B66AE9" w:rsidP="00B66AE9">
            <w:pPr>
              <w:rPr>
                <w:lang w:val="fr-CA"/>
              </w:rPr>
            </w:pPr>
          </w:p>
        </w:tc>
      </w:tr>
      <w:tr w:rsidR="00B66AE9" w:rsidRPr="00E40721" w:rsidTr="001854FA">
        <w:tc>
          <w:tcPr>
            <w:tcW w:w="543" w:type="pct"/>
          </w:tcPr>
          <w:p w:rsidR="00B66AE9" w:rsidRPr="00E40721" w:rsidRDefault="00B66AE9" w:rsidP="001854FA">
            <w:pPr>
              <w:jc w:val="both"/>
              <w:rPr>
                <w:rStyle w:val="SCCFileNumberChar"/>
                <w:sz w:val="20"/>
                <w:szCs w:val="20"/>
              </w:rPr>
            </w:pPr>
            <w:r>
              <w:rPr>
                <w:rStyle w:val="SCCFileNumberChar"/>
                <w:sz w:val="20"/>
                <w:szCs w:val="20"/>
              </w:rPr>
              <w:t>Coram:</w:t>
            </w:r>
          </w:p>
        </w:tc>
        <w:tc>
          <w:tcPr>
            <w:tcW w:w="4457" w:type="pct"/>
            <w:gridSpan w:val="3"/>
          </w:tcPr>
          <w:p w:rsidR="00B66AE9" w:rsidRDefault="00B66AE9" w:rsidP="001854FA">
            <w:pPr>
              <w:pStyle w:val="SCCLsocParty"/>
              <w:jc w:val="both"/>
              <w:rPr>
                <w:rFonts w:eastAsiaTheme="minorEastAsia"/>
                <w:sz w:val="20"/>
                <w:szCs w:val="20"/>
                <w:lang w:val="en-US" w:eastAsia="en-CA"/>
              </w:rPr>
            </w:pPr>
            <w:proofErr w:type="spellStart"/>
            <w:r w:rsidRPr="00B66AE9">
              <w:rPr>
                <w:rFonts w:eastAsiaTheme="minorEastAsia"/>
                <w:sz w:val="20"/>
                <w:szCs w:val="20"/>
                <w:lang w:val="en-US" w:eastAsia="en-CA"/>
              </w:rPr>
              <w:t>McLachlin</w:t>
            </w:r>
            <w:proofErr w:type="spellEnd"/>
            <w:r w:rsidRPr="00B66AE9">
              <w:rPr>
                <w:rFonts w:eastAsiaTheme="minorEastAsia"/>
                <w:sz w:val="20"/>
                <w:szCs w:val="20"/>
                <w:lang w:val="en-US" w:eastAsia="en-CA"/>
              </w:rPr>
              <w:t xml:space="preserve"> C.J. and </w:t>
            </w:r>
            <w:proofErr w:type="spellStart"/>
            <w:r w:rsidRPr="00B66AE9">
              <w:rPr>
                <w:rFonts w:eastAsiaTheme="minorEastAsia"/>
                <w:sz w:val="20"/>
                <w:szCs w:val="20"/>
                <w:lang w:val="en-US" w:eastAsia="en-CA"/>
              </w:rPr>
              <w:t>Abella</w:t>
            </w:r>
            <w:proofErr w:type="spellEnd"/>
            <w:r w:rsidRPr="00B66AE9">
              <w:rPr>
                <w:rFonts w:eastAsiaTheme="minorEastAsia"/>
                <w:sz w:val="20"/>
                <w:szCs w:val="20"/>
                <w:lang w:val="en-US" w:eastAsia="en-CA"/>
              </w:rPr>
              <w:t xml:space="preserve">, </w:t>
            </w:r>
            <w:proofErr w:type="spellStart"/>
            <w:r w:rsidRPr="00B66AE9">
              <w:rPr>
                <w:rFonts w:eastAsiaTheme="minorEastAsia"/>
                <w:sz w:val="20"/>
                <w:szCs w:val="20"/>
                <w:lang w:val="en-US" w:eastAsia="en-CA"/>
              </w:rPr>
              <w:t>Moldaver</w:t>
            </w:r>
            <w:proofErr w:type="spellEnd"/>
            <w:r w:rsidRPr="00B66AE9">
              <w:rPr>
                <w:rFonts w:eastAsiaTheme="minorEastAsia"/>
                <w:sz w:val="20"/>
                <w:szCs w:val="20"/>
                <w:lang w:val="en-US" w:eastAsia="en-CA"/>
              </w:rPr>
              <w:t xml:space="preserve">, </w:t>
            </w:r>
            <w:proofErr w:type="spellStart"/>
            <w:r w:rsidRPr="00B66AE9">
              <w:rPr>
                <w:rFonts w:eastAsiaTheme="minorEastAsia"/>
                <w:sz w:val="20"/>
                <w:szCs w:val="20"/>
                <w:lang w:val="en-US" w:eastAsia="en-CA"/>
              </w:rPr>
              <w:t>Karakatsanis</w:t>
            </w:r>
            <w:proofErr w:type="spellEnd"/>
            <w:r w:rsidRPr="00B66AE9">
              <w:rPr>
                <w:rFonts w:eastAsiaTheme="minorEastAsia"/>
                <w:sz w:val="20"/>
                <w:szCs w:val="20"/>
                <w:lang w:val="en-US" w:eastAsia="en-CA"/>
              </w:rPr>
              <w:t xml:space="preserve">, Wagner, </w:t>
            </w:r>
            <w:proofErr w:type="spellStart"/>
            <w:r w:rsidRPr="00B66AE9">
              <w:rPr>
                <w:rFonts w:eastAsiaTheme="minorEastAsia"/>
                <w:sz w:val="20"/>
                <w:szCs w:val="20"/>
                <w:lang w:val="en-US" w:eastAsia="en-CA"/>
              </w:rPr>
              <w:t>Gascon</w:t>
            </w:r>
            <w:proofErr w:type="spellEnd"/>
            <w:r w:rsidRPr="00B66AE9">
              <w:rPr>
                <w:rFonts w:eastAsiaTheme="minorEastAsia"/>
                <w:sz w:val="20"/>
                <w:szCs w:val="20"/>
                <w:lang w:val="en-US" w:eastAsia="en-CA"/>
              </w:rPr>
              <w:t xml:space="preserve">, </w:t>
            </w:r>
            <w:proofErr w:type="spellStart"/>
            <w:r w:rsidRPr="00B66AE9">
              <w:rPr>
                <w:rFonts w:eastAsiaTheme="minorEastAsia"/>
                <w:sz w:val="20"/>
                <w:szCs w:val="20"/>
                <w:lang w:val="en-US" w:eastAsia="en-CA"/>
              </w:rPr>
              <w:t>Côté</w:t>
            </w:r>
            <w:proofErr w:type="spellEnd"/>
            <w:r w:rsidRPr="00B66AE9">
              <w:rPr>
                <w:rFonts w:eastAsiaTheme="minorEastAsia"/>
                <w:sz w:val="20"/>
                <w:szCs w:val="20"/>
                <w:lang w:val="en-US" w:eastAsia="en-CA"/>
              </w:rPr>
              <w:t>, Brown and Rowe JJ.</w:t>
            </w:r>
          </w:p>
          <w:p w:rsidR="00B66AE9" w:rsidRPr="00B66AE9" w:rsidRDefault="00B66AE9" w:rsidP="00B66AE9">
            <w:pPr>
              <w:rPr>
                <w:lang w:val="en-US" w:eastAsia="en-CA"/>
              </w:rPr>
            </w:pPr>
          </w:p>
        </w:tc>
      </w:tr>
      <w:tr w:rsidR="00B66AE9" w:rsidRPr="00E40721" w:rsidTr="001854FA">
        <w:tc>
          <w:tcPr>
            <w:tcW w:w="5000" w:type="pct"/>
            <w:gridSpan w:val="4"/>
          </w:tcPr>
          <w:p w:rsidR="00B66AE9" w:rsidRDefault="00B66AE9" w:rsidP="001854FA">
            <w:pPr>
              <w:pStyle w:val="SCCLsocParty"/>
              <w:jc w:val="both"/>
              <w:rPr>
                <w:sz w:val="20"/>
                <w:szCs w:val="20"/>
              </w:rPr>
            </w:pPr>
            <w:r w:rsidRPr="00B66AE9">
              <w:rPr>
                <w:sz w:val="20"/>
                <w:szCs w:val="20"/>
                <w:lang w:val="en-US"/>
              </w:rPr>
              <w:t xml:space="preserve">An oral hearing of the application for leave to appeal </w:t>
            </w:r>
            <w:bookmarkStart w:id="2" w:name="BM_1_"/>
            <w:bookmarkEnd w:id="2"/>
            <w:r w:rsidRPr="00B66AE9">
              <w:rPr>
                <w:sz w:val="20"/>
                <w:szCs w:val="20"/>
                <w:lang w:val="en-US"/>
              </w:rPr>
              <w:t xml:space="preserve">is ordered in accordance with s. 43(1.2) of the </w:t>
            </w:r>
            <w:r w:rsidRPr="00B66AE9">
              <w:rPr>
                <w:i/>
                <w:sz w:val="20"/>
                <w:szCs w:val="20"/>
                <w:lang w:val="en-US"/>
              </w:rPr>
              <w:t>Supreme Court Act</w:t>
            </w:r>
            <w:r w:rsidRPr="00B66AE9">
              <w:rPr>
                <w:sz w:val="20"/>
                <w:szCs w:val="20"/>
                <w:lang w:val="en-US"/>
              </w:rPr>
              <w:t xml:space="preserve">, R.S.C., 1985, c. S-26. </w:t>
            </w:r>
            <w:r w:rsidRPr="00492F8A">
              <w:rPr>
                <w:sz w:val="20"/>
                <w:szCs w:val="20"/>
              </w:rPr>
              <w:t xml:space="preserve">The </w:t>
            </w:r>
            <w:proofErr w:type="spellStart"/>
            <w:r w:rsidRPr="00492F8A">
              <w:rPr>
                <w:sz w:val="20"/>
                <w:szCs w:val="20"/>
              </w:rPr>
              <w:t>hearing</w:t>
            </w:r>
            <w:proofErr w:type="spellEnd"/>
            <w:r w:rsidRPr="00492F8A">
              <w:rPr>
                <w:sz w:val="20"/>
                <w:szCs w:val="20"/>
              </w:rPr>
              <w:t xml:space="preserve"> date </w:t>
            </w:r>
            <w:proofErr w:type="spellStart"/>
            <w:r w:rsidRPr="00492F8A">
              <w:rPr>
                <w:sz w:val="20"/>
                <w:szCs w:val="20"/>
              </w:rPr>
              <w:t>will</w:t>
            </w:r>
            <w:proofErr w:type="spellEnd"/>
            <w:r w:rsidRPr="00492F8A">
              <w:rPr>
                <w:sz w:val="20"/>
                <w:szCs w:val="20"/>
              </w:rPr>
              <w:t xml:space="preserve"> </w:t>
            </w:r>
            <w:proofErr w:type="spellStart"/>
            <w:r w:rsidRPr="00492F8A">
              <w:rPr>
                <w:sz w:val="20"/>
                <w:szCs w:val="20"/>
              </w:rPr>
              <w:t>be</w:t>
            </w:r>
            <w:proofErr w:type="spellEnd"/>
            <w:r w:rsidRPr="00492F8A">
              <w:rPr>
                <w:sz w:val="20"/>
                <w:szCs w:val="20"/>
              </w:rPr>
              <w:t xml:space="preserve"> </w:t>
            </w:r>
            <w:proofErr w:type="spellStart"/>
            <w:r w:rsidRPr="00492F8A">
              <w:rPr>
                <w:sz w:val="20"/>
                <w:szCs w:val="20"/>
              </w:rPr>
              <w:t>fixed</w:t>
            </w:r>
            <w:proofErr w:type="spellEnd"/>
            <w:r w:rsidRPr="00492F8A">
              <w:rPr>
                <w:sz w:val="20"/>
                <w:szCs w:val="20"/>
              </w:rPr>
              <w:t xml:space="preserve"> by the </w:t>
            </w:r>
            <w:proofErr w:type="spellStart"/>
            <w:r w:rsidRPr="00492F8A">
              <w:rPr>
                <w:sz w:val="20"/>
                <w:szCs w:val="20"/>
              </w:rPr>
              <w:t>Registrar</w:t>
            </w:r>
            <w:proofErr w:type="spellEnd"/>
            <w:r w:rsidRPr="00492F8A">
              <w:rPr>
                <w:sz w:val="20"/>
                <w:szCs w:val="20"/>
              </w:rPr>
              <w:t>.</w:t>
            </w:r>
          </w:p>
          <w:p w:rsidR="00B66AE9" w:rsidRPr="00B66AE9" w:rsidRDefault="00B66AE9" w:rsidP="00B66AE9">
            <w:pPr>
              <w:rPr>
                <w:lang w:val="en-US"/>
              </w:rPr>
            </w:pPr>
          </w:p>
        </w:tc>
      </w:tr>
      <w:tr w:rsidR="00B66AE9" w:rsidRPr="00E40721" w:rsidTr="001854FA">
        <w:tc>
          <w:tcPr>
            <w:tcW w:w="5000" w:type="pct"/>
            <w:gridSpan w:val="4"/>
          </w:tcPr>
          <w:p w:rsidR="00B66AE9" w:rsidRPr="00E40721" w:rsidRDefault="00B66AE9" w:rsidP="001854FA">
            <w:pPr>
              <w:jc w:val="both"/>
              <w:rPr>
                <w:sz w:val="20"/>
              </w:rPr>
            </w:pPr>
            <w:r w:rsidRPr="00E40721">
              <w:rPr>
                <w:sz w:val="20"/>
              </w:rPr>
              <w:t>Criminal law – Evidence – Admissibility – Disclosure – Applicant’s application for disclosure order allowed in part by trial judge, edited to protect informer privilege, and application for a judicial stay of proceedings granted – Appeal allowed by Court of Appeal – Whether the Court of Appeal erred – Whether the Court of Appeal erred in concluding that Source Handler Notes and Source Debriefing Reports (relating to intelligence received from confidential informant and relied upon in an application for judicial authorization to search, which ultimately was granted and used to procure evidence later sought to be tendered against an accused) only became “first party disclosure” where the affiant on the given application for judicial authorization actually physically viewed the Source Handler Notes and Source Debriefing Reports in issue, and as a corollary that in all other circumstances those materials were instead third party records not subject to disclosure unless the accused could establish “likely relevance”.</w:t>
            </w:r>
          </w:p>
        </w:tc>
      </w:tr>
      <w:tr w:rsidR="00B66AE9" w:rsidRPr="00E40721" w:rsidTr="001854FA">
        <w:tc>
          <w:tcPr>
            <w:tcW w:w="5000" w:type="pct"/>
            <w:gridSpan w:val="4"/>
          </w:tcPr>
          <w:p w:rsidR="00B66AE9" w:rsidRPr="00E40721" w:rsidRDefault="00B66AE9" w:rsidP="001854FA">
            <w:pPr>
              <w:jc w:val="both"/>
              <w:rPr>
                <w:sz w:val="20"/>
              </w:rPr>
            </w:pPr>
          </w:p>
        </w:tc>
      </w:tr>
      <w:tr w:rsidR="00B66AE9" w:rsidRPr="00E40721" w:rsidTr="001854FA">
        <w:tc>
          <w:tcPr>
            <w:tcW w:w="5000" w:type="pct"/>
            <w:gridSpan w:val="4"/>
          </w:tcPr>
          <w:p w:rsidR="00B66AE9" w:rsidRPr="00E40721" w:rsidRDefault="00B66AE9" w:rsidP="001854FA">
            <w:pPr>
              <w:jc w:val="both"/>
              <w:rPr>
                <w:sz w:val="20"/>
              </w:rPr>
            </w:pPr>
            <w:r w:rsidRPr="00E40721">
              <w:rPr>
                <w:sz w:val="20"/>
              </w:rPr>
              <w:t xml:space="preserve">The applicant was charged with possession of cocaine for the purpose of trafficking. The charge arose from the seizure from his townhouse of approximately one kilogram of cocaine and drug trafficking paraphernalia during a search conducted by officers acting under a search warrant issued by a judicial justice, pursuant to the </w:t>
            </w:r>
            <w:r w:rsidRPr="00E40721">
              <w:rPr>
                <w:i/>
                <w:sz w:val="20"/>
              </w:rPr>
              <w:t>Controlled Drugs and Substances Act</w:t>
            </w:r>
            <w:r w:rsidRPr="00E40721">
              <w:rPr>
                <w:sz w:val="20"/>
              </w:rPr>
              <w:t xml:space="preserve">, S.C. 1996, c. 19. Months before trial, the applicant’s counsel informed the judge the only issue at trial would be the admissibility of the seized evidence, in particular whether it had been obtained in breach of s. 8 and should be excluded pursuant to s. 24(2) of the </w:t>
            </w:r>
            <w:r w:rsidRPr="00E40721">
              <w:rPr>
                <w:i/>
                <w:iCs/>
                <w:sz w:val="20"/>
              </w:rPr>
              <w:t>Charter of Rights and Freedoms</w:t>
            </w:r>
            <w:r w:rsidRPr="00E40721">
              <w:rPr>
                <w:sz w:val="20"/>
              </w:rPr>
              <w:t>. The applicant intended to challenge the sufficiency of the grounds to support the warrant and would seek to cross-examine the officer who swore the information to obtain the search warrant. Several weeks before the anticipated trial, the applicant applied for disclosure of materials relating to information provided to the police by informers. The trial judge granted the applicant’s application in part. The trial judge required the Crown to disclose documents containing the intelligence from the informers, edited, if necessary, to protect informer privilege. The Crown declined to comply with the disclosure order and the judge granted the applicant’s application for a judicial stay of proceedings. The Crown appealed the disclosure order and the consequential stay. The appeal was allowed. The disclosure order and resultant judicial stay of proceedings were set aside, and a new trial was ordered by the Court of Appeal.</w:t>
            </w:r>
          </w:p>
          <w:p w:rsidR="00B66AE9" w:rsidRPr="00E40721" w:rsidRDefault="00B66AE9" w:rsidP="001854FA">
            <w:pPr>
              <w:jc w:val="both"/>
              <w:rPr>
                <w:sz w:val="20"/>
              </w:rPr>
            </w:pPr>
          </w:p>
        </w:tc>
      </w:tr>
      <w:tr w:rsidR="00B66AE9" w:rsidRPr="00E40721" w:rsidTr="001854FA">
        <w:tc>
          <w:tcPr>
            <w:tcW w:w="2427" w:type="pct"/>
            <w:gridSpan w:val="2"/>
          </w:tcPr>
          <w:p w:rsidR="00B66AE9" w:rsidRPr="00E40721" w:rsidRDefault="00B66AE9" w:rsidP="001854FA">
            <w:pPr>
              <w:jc w:val="both"/>
              <w:rPr>
                <w:sz w:val="20"/>
              </w:rPr>
            </w:pPr>
            <w:r w:rsidRPr="00E40721">
              <w:rPr>
                <w:sz w:val="20"/>
              </w:rPr>
              <w:t>August 27, 2015</w:t>
            </w:r>
          </w:p>
          <w:p w:rsidR="00B66AE9" w:rsidRPr="00E40721" w:rsidRDefault="00B66AE9" w:rsidP="001854FA">
            <w:pPr>
              <w:jc w:val="both"/>
              <w:rPr>
                <w:sz w:val="20"/>
              </w:rPr>
            </w:pPr>
            <w:r w:rsidRPr="00E40721">
              <w:rPr>
                <w:sz w:val="20"/>
              </w:rPr>
              <w:t>Supreme Court of British Columbia</w:t>
            </w:r>
          </w:p>
          <w:p w:rsidR="00B66AE9" w:rsidRPr="00E40721" w:rsidRDefault="00B66AE9" w:rsidP="001854FA">
            <w:pPr>
              <w:jc w:val="both"/>
              <w:rPr>
                <w:sz w:val="20"/>
              </w:rPr>
            </w:pPr>
            <w:r w:rsidRPr="00E40721">
              <w:rPr>
                <w:sz w:val="20"/>
              </w:rPr>
              <w:t>(</w:t>
            </w:r>
            <w:proofErr w:type="spellStart"/>
            <w:r w:rsidRPr="00E40721">
              <w:rPr>
                <w:sz w:val="20"/>
              </w:rPr>
              <w:t>MacKenzie</w:t>
            </w:r>
            <w:proofErr w:type="spellEnd"/>
            <w:r w:rsidRPr="00E40721">
              <w:rPr>
                <w:sz w:val="20"/>
              </w:rPr>
              <w:t xml:space="preserve"> J.)</w:t>
            </w:r>
          </w:p>
          <w:p w:rsidR="00B66AE9" w:rsidRPr="00E40721" w:rsidRDefault="00B66AE9" w:rsidP="001854FA">
            <w:pPr>
              <w:jc w:val="both"/>
              <w:rPr>
                <w:sz w:val="20"/>
              </w:rPr>
            </w:pPr>
            <w:r w:rsidRPr="00E40721">
              <w:rPr>
                <w:sz w:val="20"/>
              </w:rPr>
              <w:t>2015 BCSC 1510</w:t>
            </w:r>
          </w:p>
          <w:p w:rsidR="00B66AE9" w:rsidRPr="00E40721" w:rsidRDefault="00B66AE9" w:rsidP="001854FA">
            <w:pPr>
              <w:jc w:val="both"/>
              <w:rPr>
                <w:sz w:val="20"/>
              </w:rPr>
            </w:pPr>
          </w:p>
        </w:tc>
        <w:tc>
          <w:tcPr>
            <w:tcW w:w="243" w:type="pct"/>
          </w:tcPr>
          <w:p w:rsidR="00B66AE9" w:rsidRPr="00E40721" w:rsidRDefault="00B66AE9" w:rsidP="001854FA">
            <w:pPr>
              <w:jc w:val="both"/>
              <w:rPr>
                <w:sz w:val="20"/>
              </w:rPr>
            </w:pPr>
          </w:p>
        </w:tc>
        <w:tc>
          <w:tcPr>
            <w:tcW w:w="2330" w:type="pct"/>
          </w:tcPr>
          <w:p w:rsidR="00B66AE9" w:rsidRPr="00E40721" w:rsidRDefault="00B66AE9" w:rsidP="001854FA">
            <w:pPr>
              <w:jc w:val="both"/>
              <w:rPr>
                <w:sz w:val="20"/>
              </w:rPr>
            </w:pPr>
            <w:r w:rsidRPr="00E40721">
              <w:rPr>
                <w:sz w:val="20"/>
              </w:rPr>
              <w:t>Applicant’s application for disclosure order allowed in part, application for judicial stay of proceedings granted</w:t>
            </w:r>
          </w:p>
          <w:p w:rsidR="00B66AE9" w:rsidRPr="00E40721" w:rsidRDefault="00B66AE9" w:rsidP="001854FA">
            <w:pPr>
              <w:jc w:val="both"/>
              <w:rPr>
                <w:sz w:val="20"/>
              </w:rPr>
            </w:pPr>
          </w:p>
        </w:tc>
      </w:tr>
      <w:tr w:rsidR="00B66AE9" w:rsidRPr="00E40721" w:rsidTr="001854FA">
        <w:tc>
          <w:tcPr>
            <w:tcW w:w="2427" w:type="pct"/>
            <w:gridSpan w:val="2"/>
          </w:tcPr>
          <w:p w:rsidR="00B66AE9" w:rsidRPr="00E40721" w:rsidRDefault="00B66AE9" w:rsidP="001854FA">
            <w:pPr>
              <w:jc w:val="both"/>
              <w:rPr>
                <w:sz w:val="20"/>
              </w:rPr>
            </w:pPr>
            <w:r w:rsidRPr="00E40721">
              <w:rPr>
                <w:sz w:val="20"/>
              </w:rPr>
              <w:t>September 30, 2016</w:t>
            </w:r>
          </w:p>
          <w:p w:rsidR="00B66AE9" w:rsidRPr="00E40721" w:rsidRDefault="00B66AE9" w:rsidP="001854FA">
            <w:pPr>
              <w:jc w:val="both"/>
              <w:rPr>
                <w:sz w:val="20"/>
              </w:rPr>
            </w:pPr>
            <w:r w:rsidRPr="00E40721">
              <w:rPr>
                <w:sz w:val="20"/>
              </w:rPr>
              <w:t xml:space="preserve">Court of Appeal for British Columbia </w:t>
            </w:r>
          </w:p>
          <w:p w:rsidR="00B66AE9" w:rsidRPr="00E40721" w:rsidRDefault="00B66AE9" w:rsidP="001854FA">
            <w:pPr>
              <w:jc w:val="both"/>
              <w:rPr>
                <w:sz w:val="20"/>
              </w:rPr>
            </w:pPr>
            <w:r w:rsidRPr="00E40721">
              <w:rPr>
                <w:sz w:val="20"/>
              </w:rPr>
              <w:t>(Vancouver)</w:t>
            </w:r>
          </w:p>
          <w:p w:rsidR="00B66AE9" w:rsidRPr="00E40721" w:rsidRDefault="00B66AE9" w:rsidP="001854FA">
            <w:pPr>
              <w:jc w:val="both"/>
              <w:rPr>
                <w:sz w:val="20"/>
              </w:rPr>
            </w:pPr>
            <w:r w:rsidRPr="00E40721">
              <w:rPr>
                <w:sz w:val="20"/>
              </w:rPr>
              <w:t>(</w:t>
            </w:r>
            <w:proofErr w:type="spellStart"/>
            <w:r w:rsidRPr="00E40721">
              <w:rPr>
                <w:sz w:val="20"/>
              </w:rPr>
              <w:t>Goepel</w:t>
            </w:r>
            <w:proofErr w:type="spellEnd"/>
            <w:r w:rsidRPr="00E40721">
              <w:rPr>
                <w:sz w:val="20"/>
              </w:rPr>
              <w:t xml:space="preserve">, </w:t>
            </w:r>
            <w:proofErr w:type="spellStart"/>
            <w:r w:rsidRPr="00E40721">
              <w:rPr>
                <w:sz w:val="20"/>
              </w:rPr>
              <w:t>Fenlon</w:t>
            </w:r>
            <w:proofErr w:type="spellEnd"/>
            <w:r w:rsidRPr="00E40721">
              <w:rPr>
                <w:sz w:val="20"/>
              </w:rPr>
              <w:t xml:space="preserve">, </w:t>
            </w:r>
            <w:proofErr w:type="spellStart"/>
            <w:r w:rsidRPr="00E40721">
              <w:rPr>
                <w:sz w:val="20"/>
              </w:rPr>
              <w:t>Willcock</w:t>
            </w:r>
            <w:proofErr w:type="spellEnd"/>
            <w:r w:rsidRPr="00E40721">
              <w:rPr>
                <w:sz w:val="20"/>
              </w:rPr>
              <w:t xml:space="preserve"> JJ.A.)</w:t>
            </w:r>
          </w:p>
          <w:p w:rsidR="00B66AE9" w:rsidRPr="00E40721" w:rsidRDefault="00B66AE9" w:rsidP="001854FA">
            <w:pPr>
              <w:jc w:val="both"/>
              <w:rPr>
                <w:sz w:val="20"/>
              </w:rPr>
            </w:pPr>
            <w:r w:rsidRPr="00E40721">
              <w:rPr>
                <w:sz w:val="20"/>
              </w:rPr>
              <w:t>2016 BCCA 391; CA43232</w:t>
            </w:r>
          </w:p>
          <w:p w:rsidR="00B66AE9" w:rsidRPr="00E40721" w:rsidRDefault="00E7387C" w:rsidP="001854FA">
            <w:pPr>
              <w:jc w:val="both"/>
              <w:rPr>
                <w:sz w:val="20"/>
              </w:rPr>
            </w:pPr>
            <w:hyperlink r:id="rId17" w:history="1">
              <w:r w:rsidR="00B66AE9" w:rsidRPr="00E40721">
                <w:rPr>
                  <w:rStyle w:val="Hyperlink"/>
                  <w:rFonts w:eastAsiaTheme="majorEastAsia"/>
                  <w:sz w:val="20"/>
                </w:rPr>
                <w:t>http://canlii.ca/t/gtwxt</w:t>
              </w:r>
            </w:hyperlink>
          </w:p>
          <w:p w:rsidR="00B66AE9" w:rsidRPr="00E40721" w:rsidRDefault="00B66AE9" w:rsidP="001854FA">
            <w:pPr>
              <w:jc w:val="both"/>
              <w:rPr>
                <w:sz w:val="20"/>
              </w:rPr>
            </w:pPr>
          </w:p>
        </w:tc>
        <w:tc>
          <w:tcPr>
            <w:tcW w:w="243" w:type="pct"/>
          </w:tcPr>
          <w:p w:rsidR="00B66AE9" w:rsidRPr="00E40721" w:rsidRDefault="00B66AE9" w:rsidP="001854FA">
            <w:pPr>
              <w:jc w:val="both"/>
              <w:rPr>
                <w:sz w:val="20"/>
              </w:rPr>
            </w:pPr>
          </w:p>
        </w:tc>
        <w:tc>
          <w:tcPr>
            <w:tcW w:w="2330" w:type="pct"/>
          </w:tcPr>
          <w:p w:rsidR="00B66AE9" w:rsidRPr="00E40721" w:rsidRDefault="00B66AE9" w:rsidP="001854FA">
            <w:pPr>
              <w:jc w:val="both"/>
              <w:rPr>
                <w:sz w:val="20"/>
              </w:rPr>
            </w:pPr>
            <w:r w:rsidRPr="00E40721">
              <w:rPr>
                <w:sz w:val="20"/>
              </w:rPr>
              <w:t>Appeal allowed: disclosure order and resultant judicial stay of proceedings were set aside, a new trial was ordered</w:t>
            </w:r>
          </w:p>
          <w:p w:rsidR="00B66AE9" w:rsidRPr="00E40721" w:rsidRDefault="00B66AE9" w:rsidP="001854FA">
            <w:pPr>
              <w:jc w:val="both"/>
              <w:rPr>
                <w:sz w:val="20"/>
              </w:rPr>
            </w:pPr>
          </w:p>
          <w:p w:rsidR="00B66AE9" w:rsidRPr="00E40721" w:rsidRDefault="00B66AE9" w:rsidP="001854FA">
            <w:pPr>
              <w:jc w:val="both"/>
              <w:rPr>
                <w:sz w:val="20"/>
              </w:rPr>
            </w:pPr>
          </w:p>
        </w:tc>
      </w:tr>
      <w:tr w:rsidR="00B66AE9" w:rsidRPr="00E40721" w:rsidTr="001854FA">
        <w:tc>
          <w:tcPr>
            <w:tcW w:w="2427" w:type="pct"/>
            <w:gridSpan w:val="2"/>
          </w:tcPr>
          <w:p w:rsidR="00B66AE9" w:rsidRPr="00E40721" w:rsidRDefault="00B66AE9" w:rsidP="001854FA">
            <w:pPr>
              <w:jc w:val="both"/>
              <w:rPr>
                <w:sz w:val="20"/>
              </w:rPr>
            </w:pPr>
            <w:r w:rsidRPr="00E40721">
              <w:rPr>
                <w:sz w:val="20"/>
              </w:rPr>
              <w:t>November 28, 2016</w:t>
            </w:r>
          </w:p>
          <w:p w:rsidR="00B66AE9" w:rsidRPr="00E40721" w:rsidRDefault="00B66AE9" w:rsidP="001854FA">
            <w:pPr>
              <w:jc w:val="both"/>
              <w:rPr>
                <w:sz w:val="20"/>
              </w:rPr>
            </w:pPr>
            <w:r w:rsidRPr="00E40721">
              <w:rPr>
                <w:sz w:val="20"/>
              </w:rPr>
              <w:t>Supreme Court of Canada</w:t>
            </w:r>
          </w:p>
        </w:tc>
        <w:tc>
          <w:tcPr>
            <w:tcW w:w="243" w:type="pct"/>
          </w:tcPr>
          <w:p w:rsidR="00B66AE9" w:rsidRPr="00E40721" w:rsidRDefault="00B66AE9" w:rsidP="001854FA">
            <w:pPr>
              <w:jc w:val="both"/>
              <w:rPr>
                <w:sz w:val="20"/>
              </w:rPr>
            </w:pPr>
          </w:p>
        </w:tc>
        <w:tc>
          <w:tcPr>
            <w:tcW w:w="2330" w:type="pct"/>
          </w:tcPr>
          <w:p w:rsidR="00B66AE9" w:rsidRPr="00E40721" w:rsidRDefault="00B66AE9" w:rsidP="001854FA">
            <w:pPr>
              <w:jc w:val="both"/>
              <w:rPr>
                <w:sz w:val="20"/>
              </w:rPr>
            </w:pPr>
            <w:r w:rsidRPr="00E40721">
              <w:rPr>
                <w:sz w:val="20"/>
              </w:rPr>
              <w:t>Application for leave to appeal filed</w:t>
            </w:r>
          </w:p>
          <w:p w:rsidR="00B66AE9" w:rsidRPr="00E40721" w:rsidRDefault="00B66AE9" w:rsidP="001854FA">
            <w:pPr>
              <w:jc w:val="both"/>
              <w:rPr>
                <w:sz w:val="20"/>
              </w:rPr>
            </w:pPr>
          </w:p>
        </w:tc>
      </w:tr>
    </w:tbl>
    <w:p w:rsidR="00154CD6" w:rsidRPr="00275AFA" w:rsidRDefault="00154CD6" w:rsidP="00154CD6">
      <w:pPr>
        <w:rPr>
          <w:sz w:val="20"/>
          <w:szCs w:val="20"/>
        </w:rPr>
      </w:pPr>
    </w:p>
    <w:p w:rsidR="00154CD6" w:rsidRPr="00C50A5C" w:rsidRDefault="00E7387C" w:rsidP="00154CD6">
      <w:pPr>
        <w:rPr>
          <w:sz w:val="20"/>
          <w:szCs w:val="20"/>
        </w:rPr>
      </w:pPr>
      <w:r>
        <w:rPr>
          <w:sz w:val="20"/>
          <w:szCs w:val="20"/>
          <w:lang w:val="fr-CA"/>
        </w:rPr>
        <w:pict>
          <v:rect id="_x0000_i1031" style="width:2in;height:1pt" o:hrpct="0" o:hralign="center" o:hrstd="t" o:hrnoshade="t" o:hr="t" fillcolor="black [3213]" stroked="f"/>
        </w:pict>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66AE9" w:rsidRPr="00B65BA0" w:rsidTr="001854FA">
        <w:tc>
          <w:tcPr>
            <w:tcW w:w="543" w:type="pct"/>
          </w:tcPr>
          <w:p w:rsidR="00B66AE9" w:rsidRPr="00E40721" w:rsidRDefault="00B66AE9" w:rsidP="001854FA">
            <w:pPr>
              <w:jc w:val="both"/>
              <w:rPr>
                <w:sz w:val="20"/>
                <w:lang w:val="fr-CA"/>
              </w:rPr>
            </w:pPr>
            <w:r w:rsidRPr="00E40721">
              <w:rPr>
                <w:rStyle w:val="SCCFileNumberChar"/>
                <w:sz w:val="20"/>
                <w:szCs w:val="20"/>
                <w:lang w:val="fr-CA"/>
              </w:rPr>
              <w:lastRenderedPageBreak/>
              <w:t>37315</w:t>
            </w:r>
          </w:p>
        </w:tc>
        <w:tc>
          <w:tcPr>
            <w:tcW w:w="4457" w:type="pct"/>
            <w:gridSpan w:val="3"/>
          </w:tcPr>
          <w:p w:rsidR="00B66AE9" w:rsidRPr="00E40721" w:rsidRDefault="00B66AE9" w:rsidP="001854FA">
            <w:pPr>
              <w:pStyle w:val="SCCLsocParty"/>
              <w:jc w:val="both"/>
              <w:rPr>
                <w:sz w:val="20"/>
              </w:rPr>
            </w:pPr>
            <w:r w:rsidRPr="00E40721">
              <w:rPr>
                <w:b/>
                <w:sz w:val="20"/>
                <w:szCs w:val="20"/>
              </w:rPr>
              <w:t>Cameron Tyler Lewis McKay c. Sa Majesté la Reine</w:t>
            </w:r>
            <w:r>
              <w:rPr>
                <w:b/>
                <w:sz w:val="20"/>
                <w:szCs w:val="20"/>
              </w:rPr>
              <w:t xml:space="preserve"> </w:t>
            </w:r>
            <w:r w:rsidRPr="00B65BA0">
              <w:rPr>
                <w:b/>
                <w:sz w:val="20"/>
                <w:szCs w:val="20"/>
              </w:rPr>
              <w:t xml:space="preserve">- et - </w:t>
            </w:r>
            <w:r w:rsidRPr="00E40721">
              <w:rPr>
                <w:b/>
                <w:sz w:val="20"/>
                <w:szCs w:val="20"/>
              </w:rPr>
              <w:t>Procureur général de la Colombie-Britannique</w:t>
            </w:r>
            <w:r>
              <w:rPr>
                <w:b/>
                <w:sz w:val="20"/>
                <w:szCs w:val="20"/>
              </w:rPr>
              <w:t xml:space="preserve"> </w:t>
            </w:r>
            <w:r w:rsidRPr="00E40721">
              <w:rPr>
                <w:sz w:val="20"/>
              </w:rPr>
              <w:t>(C.-B.) (Criminelle) (Sur autorisation)</w:t>
            </w:r>
          </w:p>
        </w:tc>
      </w:tr>
      <w:tr w:rsidR="00B66AE9" w:rsidRPr="00E7387C" w:rsidTr="001854FA">
        <w:tc>
          <w:tcPr>
            <w:tcW w:w="543" w:type="pct"/>
          </w:tcPr>
          <w:p w:rsidR="00B66AE9" w:rsidRPr="00E40721" w:rsidRDefault="00B66AE9" w:rsidP="001854FA">
            <w:pPr>
              <w:jc w:val="both"/>
              <w:rPr>
                <w:rStyle w:val="SCCFileNumberChar"/>
                <w:sz w:val="20"/>
                <w:szCs w:val="20"/>
                <w:lang w:val="fr-CA"/>
              </w:rPr>
            </w:pPr>
            <w:r>
              <w:rPr>
                <w:rStyle w:val="SCCFileNumberChar"/>
                <w:sz w:val="20"/>
                <w:szCs w:val="20"/>
                <w:lang w:val="fr-CA"/>
              </w:rPr>
              <w:t>Coram :</w:t>
            </w:r>
          </w:p>
        </w:tc>
        <w:tc>
          <w:tcPr>
            <w:tcW w:w="4457" w:type="pct"/>
            <w:gridSpan w:val="3"/>
          </w:tcPr>
          <w:p w:rsidR="00B66AE9" w:rsidRDefault="00B66AE9" w:rsidP="001854FA">
            <w:pPr>
              <w:pStyle w:val="SCCLsocParty"/>
              <w:jc w:val="both"/>
              <w:rPr>
                <w:rFonts w:eastAsiaTheme="minorEastAsia"/>
                <w:sz w:val="20"/>
                <w:szCs w:val="20"/>
                <w:lang w:val="fr-FR" w:eastAsia="en-CA"/>
              </w:rPr>
            </w:pPr>
            <w:r w:rsidRPr="00492F8A">
              <w:rPr>
                <w:rFonts w:eastAsiaTheme="minorEastAsia"/>
                <w:sz w:val="20"/>
                <w:szCs w:val="20"/>
                <w:lang w:val="fr-FR" w:eastAsia="en-CA"/>
              </w:rPr>
              <w:t xml:space="preserve">La juge en chef </w:t>
            </w:r>
            <w:proofErr w:type="spellStart"/>
            <w:r w:rsidRPr="00492F8A">
              <w:rPr>
                <w:rFonts w:eastAsiaTheme="minorEastAsia"/>
                <w:sz w:val="20"/>
                <w:szCs w:val="20"/>
                <w:lang w:val="fr-FR" w:eastAsia="en-CA"/>
              </w:rPr>
              <w:t>McLachlin</w:t>
            </w:r>
            <w:proofErr w:type="spellEnd"/>
            <w:r w:rsidRPr="00492F8A">
              <w:rPr>
                <w:rFonts w:eastAsiaTheme="minorEastAsia"/>
                <w:sz w:val="20"/>
                <w:szCs w:val="20"/>
                <w:lang w:val="fr-FR" w:eastAsia="en-CA"/>
              </w:rPr>
              <w:t xml:space="preserve"> et les juges Abella, </w:t>
            </w:r>
            <w:proofErr w:type="spellStart"/>
            <w:r w:rsidRPr="00492F8A">
              <w:rPr>
                <w:rFonts w:eastAsiaTheme="minorEastAsia"/>
                <w:sz w:val="20"/>
                <w:szCs w:val="20"/>
                <w:lang w:val="fr-FR" w:eastAsia="en-CA"/>
              </w:rPr>
              <w:t>Moldaver</w:t>
            </w:r>
            <w:proofErr w:type="spellEnd"/>
            <w:r w:rsidRPr="00492F8A">
              <w:rPr>
                <w:rFonts w:eastAsiaTheme="minorEastAsia"/>
                <w:sz w:val="20"/>
                <w:szCs w:val="20"/>
                <w:lang w:val="fr-FR" w:eastAsia="en-CA"/>
              </w:rPr>
              <w:t xml:space="preserve">, </w:t>
            </w:r>
            <w:proofErr w:type="spellStart"/>
            <w:r w:rsidRPr="00492F8A">
              <w:rPr>
                <w:rFonts w:eastAsiaTheme="minorEastAsia"/>
                <w:sz w:val="20"/>
                <w:szCs w:val="20"/>
                <w:lang w:val="fr-FR" w:eastAsia="en-CA"/>
              </w:rPr>
              <w:t>Karakatsanis</w:t>
            </w:r>
            <w:proofErr w:type="spellEnd"/>
            <w:r w:rsidRPr="00492F8A">
              <w:rPr>
                <w:rFonts w:eastAsiaTheme="minorEastAsia"/>
                <w:sz w:val="20"/>
                <w:szCs w:val="20"/>
                <w:lang w:val="fr-FR" w:eastAsia="en-CA"/>
              </w:rPr>
              <w:t>, Wagner, Gascon, Côté, Brown et Rowe</w:t>
            </w:r>
          </w:p>
          <w:p w:rsidR="00B66AE9" w:rsidRPr="00B66AE9" w:rsidRDefault="00B66AE9" w:rsidP="00B66AE9">
            <w:pPr>
              <w:rPr>
                <w:lang w:val="fr-FR" w:eastAsia="en-CA"/>
              </w:rPr>
            </w:pPr>
          </w:p>
        </w:tc>
      </w:tr>
      <w:tr w:rsidR="00B66AE9" w:rsidRPr="00B66AE9" w:rsidTr="001854FA">
        <w:tc>
          <w:tcPr>
            <w:tcW w:w="5000" w:type="pct"/>
            <w:gridSpan w:val="4"/>
          </w:tcPr>
          <w:p w:rsidR="00B66AE9" w:rsidRDefault="00B66AE9" w:rsidP="001854FA">
            <w:pPr>
              <w:pStyle w:val="SCCLsocParty"/>
              <w:jc w:val="both"/>
              <w:rPr>
                <w:sz w:val="20"/>
                <w:szCs w:val="20"/>
              </w:rPr>
            </w:pPr>
            <w:r w:rsidRPr="00492F8A">
              <w:rPr>
                <w:sz w:val="20"/>
                <w:szCs w:val="20"/>
              </w:rPr>
              <w:t xml:space="preserve">La tenue d’une audience pour décider la demande d’autorisation d’appel est ordonnée, conformément à l’article 43(1.2) de la </w:t>
            </w:r>
            <w:r w:rsidRPr="00492F8A">
              <w:rPr>
                <w:i/>
                <w:sz w:val="20"/>
                <w:szCs w:val="20"/>
              </w:rPr>
              <w:t>Loi sur la Cour suprême</w:t>
            </w:r>
            <w:r w:rsidRPr="00492F8A">
              <w:rPr>
                <w:sz w:val="20"/>
                <w:szCs w:val="20"/>
              </w:rPr>
              <w:t>, L.R.C., 1985, c. S-26.  La date d’audience sera fixée par le registraire.</w:t>
            </w:r>
          </w:p>
          <w:p w:rsidR="00B66AE9" w:rsidRPr="00B66AE9" w:rsidRDefault="00B66AE9" w:rsidP="00B66AE9">
            <w:pPr>
              <w:rPr>
                <w:lang w:val="fr-CA"/>
              </w:rPr>
            </w:pPr>
          </w:p>
        </w:tc>
      </w:tr>
      <w:tr w:rsidR="00B66AE9" w:rsidRPr="00E7387C" w:rsidTr="001854FA">
        <w:tc>
          <w:tcPr>
            <w:tcW w:w="5000" w:type="pct"/>
            <w:gridSpan w:val="4"/>
          </w:tcPr>
          <w:p w:rsidR="00B66AE9" w:rsidRPr="00E40721" w:rsidRDefault="00B66AE9" w:rsidP="001854FA">
            <w:pPr>
              <w:jc w:val="both"/>
              <w:rPr>
                <w:sz w:val="20"/>
                <w:lang w:val="fr-CA"/>
              </w:rPr>
            </w:pPr>
            <w:r w:rsidRPr="00E40721">
              <w:rPr>
                <w:sz w:val="20"/>
                <w:lang w:val="fr-CA"/>
              </w:rPr>
              <w:t xml:space="preserve">Droit criminel – Preuve – Admissibilité – Communication de la preuve – La demande de communication de la preuve présentée par le demandeur a été accueillie en partie par le juge du procès, caviardée pour protéger le privilège de l’indicateur, et la demande d’arrêt des procédures a été accueillie – La Cour d’appel a accueilli l’appel – La Cour d’appel a-t-elle commis une erreur? – La Cour d’appel a-t-elle eu tort de conclure que les notes de l’agent traitant et les rapports de </w:t>
            </w:r>
            <w:proofErr w:type="spellStart"/>
            <w:r w:rsidRPr="00E40721">
              <w:rPr>
                <w:sz w:val="20"/>
                <w:lang w:val="fr-CA"/>
              </w:rPr>
              <w:t>débreffage</w:t>
            </w:r>
            <w:proofErr w:type="spellEnd"/>
            <w:r w:rsidRPr="00E40721">
              <w:rPr>
                <w:sz w:val="20"/>
                <w:lang w:val="fr-CA"/>
              </w:rPr>
              <w:t xml:space="preserve"> de la source (relatifs aux renseignements reçus de l’indicateur dont l’identité est confidentielle et présentés au soutien d’une demande d’autorisation judiciaire d’effectuer une perquisition qui a en définitive été accueillie et a permis d’obtenir des éléments de preuve qu’on a voulu par la suite présenter contre un accusé) ne sont devenus une « communication par la partie principale » que lorsque l’auteur de l’affidavit au soutien de la demande d’autorisation judiciaire en cause a lui-même vu les notes de l’agent traitant et les rapports de </w:t>
            </w:r>
            <w:proofErr w:type="spellStart"/>
            <w:r w:rsidRPr="00E40721">
              <w:rPr>
                <w:sz w:val="20"/>
                <w:lang w:val="fr-CA"/>
              </w:rPr>
              <w:t>débreffage</w:t>
            </w:r>
            <w:proofErr w:type="spellEnd"/>
            <w:r w:rsidRPr="00E40721">
              <w:rPr>
                <w:sz w:val="20"/>
                <w:lang w:val="fr-CA"/>
              </w:rPr>
              <w:t xml:space="preserve"> de la source en cause, et que, corollairement, dans toutes les autres situations ces documents constituaient plutôt des documents de tiers non assujettis à la communication, à moins que l’accusé ne soit en mesure de démontrer leur « pertinence vraisemblable ».</w:t>
            </w:r>
          </w:p>
        </w:tc>
      </w:tr>
      <w:tr w:rsidR="00B66AE9" w:rsidRPr="00E7387C" w:rsidTr="001854FA">
        <w:tc>
          <w:tcPr>
            <w:tcW w:w="5000" w:type="pct"/>
            <w:gridSpan w:val="4"/>
          </w:tcPr>
          <w:p w:rsidR="00B66AE9" w:rsidRPr="00E40721" w:rsidRDefault="00B66AE9" w:rsidP="001854FA">
            <w:pPr>
              <w:jc w:val="both"/>
              <w:rPr>
                <w:sz w:val="20"/>
                <w:lang w:val="fr-CA"/>
              </w:rPr>
            </w:pPr>
          </w:p>
        </w:tc>
      </w:tr>
      <w:tr w:rsidR="00B66AE9" w:rsidRPr="00E7387C" w:rsidTr="001854FA">
        <w:tc>
          <w:tcPr>
            <w:tcW w:w="5000" w:type="pct"/>
            <w:gridSpan w:val="4"/>
          </w:tcPr>
          <w:p w:rsidR="00B66AE9" w:rsidRPr="00E40721" w:rsidRDefault="00B66AE9" w:rsidP="001854FA">
            <w:pPr>
              <w:jc w:val="both"/>
              <w:rPr>
                <w:sz w:val="20"/>
                <w:lang w:val="fr-CA"/>
              </w:rPr>
            </w:pPr>
            <w:r w:rsidRPr="00E40721">
              <w:rPr>
                <w:sz w:val="20"/>
                <w:lang w:val="fr-CA"/>
              </w:rPr>
              <w:t xml:space="preserve">Le demandeur a été accusé de possession de cocaïne en vue d’en faire le trafic. L’accusation a été portée après qu’environ 1 kilogramme de cocaïne et d’accessoires utilisés pour le trafic de drogues ont été saisis de la maison en rangée du demandeur au cours d’une perquisition effectuée par des agents agissant en exécution d’un mandat de perquisition délivré par un juge de paix en application de la </w:t>
            </w:r>
            <w:r w:rsidRPr="00E40721">
              <w:rPr>
                <w:i/>
                <w:sz w:val="20"/>
                <w:lang w:val="fr-CA"/>
              </w:rPr>
              <w:t>Loi réglementant certaines drogues et autres substances</w:t>
            </w:r>
            <w:r w:rsidRPr="00E40721">
              <w:rPr>
                <w:sz w:val="20"/>
                <w:lang w:val="fr-CA"/>
              </w:rPr>
              <w:t xml:space="preserve">, L.C. 1996, ch. 19. Plusieurs mois avant le procès, l’avocat du demandeur a informé le juge que la seule question en cause au procès serait l’admissibilité des éléments de preuve saisis, en particulier la question de savoir s’ils avaient été obtenus en violation de l’art. 8 et s’ils devaient être exclus en application du par. 24(2) de la </w:t>
            </w:r>
            <w:r w:rsidRPr="00E40721">
              <w:rPr>
                <w:i/>
                <w:iCs/>
                <w:sz w:val="20"/>
                <w:lang w:val="fr-CA"/>
              </w:rPr>
              <w:t>Charte des droits et libertés</w:t>
            </w:r>
            <w:r w:rsidRPr="00E40721">
              <w:rPr>
                <w:sz w:val="20"/>
                <w:lang w:val="fr-CA"/>
              </w:rPr>
              <w:t>. Le demandeur entendait contester la suffisance des motifs invoqués au soutien du mandat et il allait demander de contre-interroger l’agent qui avait fait la dénonciation sous serment pour obtenir le mandat de perquisition. Plusieurs semaines avant le procès prévu, le demandeur a sollicité la communication de documents relatifs à la dénonciation fournis aux policiers par des indicateurs. Le juge du procès a accueilli en partie la demande du demandeur. Le juge du procès a obligé le ministère public de communiquer les documents renfermant des renseignements obtenus des indicateurs, caviardés au besoin pour protéger le privilège de l’indicateur. Le ministère public a refusé de se conformer à l’ordonnance de communication de la preuve et le juge a accueilli la demande du demandeur en arrêt des procédures. Le ministère public a interjeté appel de l’ordonnance de communication de la preuve et de l’arrêt des procédures ordonné en conséquence. L’appel a été accueilli. La Cour d’appel a annulé l’ordonnance de communication de la preuve et l’arrêt des procédures ordonné en conséquence et elle a ordonné la tenue d’un nouveau procès.</w:t>
            </w:r>
          </w:p>
          <w:p w:rsidR="00B66AE9" w:rsidRPr="00E40721" w:rsidRDefault="00B66AE9" w:rsidP="001854FA">
            <w:pPr>
              <w:jc w:val="both"/>
              <w:rPr>
                <w:sz w:val="20"/>
                <w:lang w:val="fr-CA"/>
              </w:rPr>
            </w:pPr>
          </w:p>
        </w:tc>
      </w:tr>
      <w:tr w:rsidR="00B66AE9" w:rsidRPr="00E7387C" w:rsidTr="001854FA">
        <w:tc>
          <w:tcPr>
            <w:tcW w:w="2427" w:type="pct"/>
            <w:gridSpan w:val="2"/>
          </w:tcPr>
          <w:p w:rsidR="00B66AE9" w:rsidRPr="00E40721" w:rsidRDefault="00B66AE9" w:rsidP="001854FA">
            <w:pPr>
              <w:jc w:val="both"/>
              <w:rPr>
                <w:sz w:val="20"/>
                <w:lang w:val="fr-CA"/>
              </w:rPr>
            </w:pPr>
            <w:r w:rsidRPr="00E40721">
              <w:rPr>
                <w:sz w:val="20"/>
                <w:lang w:val="fr-CA"/>
              </w:rPr>
              <w:t>27 août 2015</w:t>
            </w:r>
          </w:p>
          <w:p w:rsidR="00B66AE9" w:rsidRPr="00E40721" w:rsidRDefault="00B66AE9" w:rsidP="001854FA">
            <w:pPr>
              <w:jc w:val="both"/>
              <w:rPr>
                <w:sz w:val="20"/>
                <w:lang w:val="fr-CA"/>
              </w:rPr>
            </w:pPr>
            <w:r w:rsidRPr="00E40721">
              <w:rPr>
                <w:sz w:val="20"/>
                <w:lang w:val="fr-CA"/>
              </w:rPr>
              <w:t>Cour suprême de la Colombie-Britannique</w:t>
            </w:r>
          </w:p>
          <w:p w:rsidR="00B66AE9" w:rsidRPr="00E40721" w:rsidRDefault="00B66AE9" w:rsidP="001854FA">
            <w:pPr>
              <w:jc w:val="both"/>
              <w:rPr>
                <w:sz w:val="20"/>
                <w:lang w:val="fr-CA"/>
              </w:rPr>
            </w:pPr>
            <w:r w:rsidRPr="00E40721">
              <w:rPr>
                <w:sz w:val="20"/>
                <w:lang w:val="fr-CA"/>
              </w:rPr>
              <w:t xml:space="preserve">(Juge </w:t>
            </w:r>
            <w:proofErr w:type="spellStart"/>
            <w:r w:rsidRPr="00E40721">
              <w:rPr>
                <w:sz w:val="20"/>
                <w:lang w:val="fr-CA"/>
              </w:rPr>
              <w:t>MacKenzie</w:t>
            </w:r>
            <w:proofErr w:type="spellEnd"/>
            <w:r w:rsidRPr="00E40721">
              <w:rPr>
                <w:sz w:val="20"/>
                <w:lang w:val="fr-CA"/>
              </w:rPr>
              <w:t>)</w:t>
            </w:r>
          </w:p>
          <w:p w:rsidR="00B66AE9" w:rsidRPr="00E40721" w:rsidRDefault="00B66AE9" w:rsidP="001854FA">
            <w:pPr>
              <w:jc w:val="both"/>
              <w:rPr>
                <w:sz w:val="20"/>
                <w:lang w:val="fr-CA"/>
              </w:rPr>
            </w:pPr>
            <w:r w:rsidRPr="00E40721">
              <w:rPr>
                <w:sz w:val="20"/>
                <w:lang w:val="fr-CA"/>
              </w:rPr>
              <w:t>2015 BCSC 1510</w:t>
            </w:r>
          </w:p>
          <w:p w:rsidR="00B66AE9" w:rsidRPr="00E40721" w:rsidRDefault="00B66AE9" w:rsidP="001854FA">
            <w:pPr>
              <w:jc w:val="both"/>
              <w:rPr>
                <w:sz w:val="20"/>
                <w:lang w:val="fr-CA"/>
              </w:rPr>
            </w:pPr>
          </w:p>
        </w:tc>
        <w:tc>
          <w:tcPr>
            <w:tcW w:w="243" w:type="pct"/>
          </w:tcPr>
          <w:p w:rsidR="00B66AE9" w:rsidRPr="00E40721" w:rsidRDefault="00B66AE9" w:rsidP="001854FA">
            <w:pPr>
              <w:jc w:val="both"/>
              <w:rPr>
                <w:sz w:val="20"/>
                <w:lang w:val="fr-CA"/>
              </w:rPr>
            </w:pPr>
          </w:p>
        </w:tc>
        <w:tc>
          <w:tcPr>
            <w:tcW w:w="2330" w:type="pct"/>
          </w:tcPr>
          <w:p w:rsidR="00B66AE9" w:rsidRPr="00E40721" w:rsidRDefault="00B66AE9" w:rsidP="001854FA">
            <w:pPr>
              <w:jc w:val="both"/>
              <w:rPr>
                <w:sz w:val="20"/>
                <w:lang w:val="fr-CA"/>
              </w:rPr>
            </w:pPr>
            <w:r w:rsidRPr="00E40721">
              <w:rPr>
                <w:sz w:val="20"/>
                <w:lang w:val="fr-CA"/>
              </w:rPr>
              <w:t xml:space="preserve">Jugement accueillant en partie la demande du demandeur de communication de la preuve et accueillant sa demande d’arrêt des procédures </w:t>
            </w:r>
          </w:p>
          <w:p w:rsidR="00B66AE9" w:rsidRPr="00E40721" w:rsidRDefault="00B66AE9" w:rsidP="001854FA">
            <w:pPr>
              <w:jc w:val="both"/>
              <w:rPr>
                <w:sz w:val="20"/>
                <w:lang w:val="fr-CA"/>
              </w:rPr>
            </w:pPr>
          </w:p>
        </w:tc>
      </w:tr>
    </w:tbl>
    <w:p w:rsidR="00B66AE9" w:rsidRPr="00E178A7" w:rsidRDefault="00B66AE9">
      <w:pPr>
        <w:rPr>
          <w:lang w:val="fr-CA"/>
        </w:rPr>
      </w:pPr>
      <w:r w:rsidRPr="00E178A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66AE9" w:rsidRPr="00E7387C" w:rsidTr="001854FA">
        <w:tc>
          <w:tcPr>
            <w:tcW w:w="2427" w:type="pct"/>
          </w:tcPr>
          <w:p w:rsidR="00B66AE9" w:rsidRPr="00E40721" w:rsidRDefault="00B66AE9" w:rsidP="001854FA">
            <w:pPr>
              <w:jc w:val="both"/>
              <w:rPr>
                <w:sz w:val="20"/>
                <w:lang w:val="fr-CA"/>
              </w:rPr>
            </w:pPr>
            <w:r w:rsidRPr="00E40721">
              <w:rPr>
                <w:sz w:val="20"/>
                <w:lang w:val="fr-CA"/>
              </w:rPr>
              <w:lastRenderedPageBreak/>
              <w:t>30 septembre 2016</w:t>
            </w:r>
          </w:p>
          <w:p w:rsidR="00B66AE9" w:rsidRPr="00E40721" w:rsidRDefault="00B66AE9" w:rsidP="001854FA">
            <w:pPr>
              <w:jc w:val="both"/>
              <w:rPr>
                <w:sz w:val="20"/>
                <w:lang w:val="fr-CA"/>
              </w:rPr>
            </w:pPr>
            <w:r w:rsidRPr="00E40721">
              <w:rPr>
                <w:sz w:val="20"/>
                <w:lang w:val="fr-CA"/>
              </w:rPr>
              <w:t>Cour d’appel de la Colombie-Britannique</w:t>
            </w:r>
          </w:p>
          <w:p w:rsidR="00B66AE9" w:rsidRPr="00E40721" w:rsidRDefault="00B66AE9" w:rsidP="001854FA">
            <w:pPr>
              <w:jc w:val="both"/>
              <w:rPr>
                <w:sz w:val="20"/>
                <w:lang w:val="fr-CA"/>
              </w:rPr>
            </w:pPr>
            <w:r w:rsidRPr="00E40721">
              <w:rPr>
                <w:sz w:val="20"/>
                <w:lang w:val="fr-CA"/>
              </w:rPr>
              <w:t>(Vancouver)</w:t>
            </w:r>
          </w:p>
          <w:p w:rsidR="00B66AE9" w:rsidRPr="00E40721" w:rsidRDefault="00B66AE9" w:rsidP="001854FA">
            <w:pPr>
              <w:jc w:val="both"/>
              <w:rPr>
                <w:sz w:val="20"/>
                <w:lang w:val="fr-CA"/>
              </w:rPr>
            </w:pPr>
            <w:r w:rsidRPr="00E40721">
              <w:rPr>
                <w:sz w:val="20"/>
                <w:lang w:val="fr-CA"/>
              </w:rPr>
              <w:t xml:space="preserve">(Juges </w:t>
            </w:r>
            <w:proofErr w:type="spellStart"/>
            <w:r w:rsidRPr="00E40721">
              <w:rPr>
                <w:sz w:val="20"/>
                <w:lang w:val="fr-CA"/>
              </w:rPr>
              <w:t>Goepel</w:t>
            </w:r>
            <w:proofErr w:type="spellEnd"/>
            <w:r w:rsidRPr="00E40721">
              <w:rPr>
                <w:sz w:val="20"/>
                <w:lang w:val="fr-CA"/>
              </w:rPr>
              <w:t xml:space="preserve">, </w:t>
            </w:r>
            <w:proofErr w:type="spellStart"/>
            <w:r w:rsidRPr="00E40721">
              <w:rPr>
                <w:sz w:val="20"/>
                <w:lang w:val="fr-CA"/>
              </w:rPr>
              <w:t>Fenlon</w:t>
            </w:r>
            <w:proofErr w:type="spellEnd"/>
            <w:r w:rsidRPr="00E40721">
              <w:rPr>
                <w:sz w:val="20"/>
                <w:lang w:val="fr-CA"/>
              </w:rPr>
              <w:t xml:space="preserve"> et </w:t>
            </w:r>
            <w:proofErr w:type="spellStart"/>
            <w:r w:rsidRPr="00E40721">
              <w:rPr>
                <w:sz w:val="20"/>
                <w:lang w:val="fr-CA"/>
              </w:rPr>
              <w:t>Willcock</w:t>
            </w:r>
            <w:proofErr w:type="spellEnd"/>
            <w:r w:rsidRPr="00E40721">
              <w:rPr>
                <w:sz w:val="20"/>
                <w:lang w:val="fr-CA"/>
              </w:rPr>
              <w:t>)</w:t>
            </w:r>
          </w:p>
          <w:p w:rsidR="00B66AE9" w:rsidRPr="00E40721" w:rsidRDefault="00B66AE9" w:rsidP="001854FA">
            <w:pPr>
              <w:jc w:val="both"/>
              <w:rPr>
                <w:sz w:val="20"/>
              </w:rPr>
            </w:pPr>
            <w:r w:rsidRPr="00E40721">
              <w:rPr>
                <w:sz w:val="20"/>
              </w:rPr>
              <w:t>2016 BCCA 391; CA43232</w:t>
            </w:r>
          </w:p>
          <w:p w:rsidR="00B66AE9" w:rsidRPr="00E40721" w:rsidRDefault="00E7387C" w:rsidP="001854FA">
            <w:pPr>
              <w:jc w:val="both"/>
              <w:rPr>
                <w:sz w:val="20"/>
              </w:rPr>
            </w:pPr>
            <w:hyperlink r:id="rId18" w:history="1">
              <w:r w:rsidR="00B66AE9" w:rsidRPr="00E40721">
                <w:rPr>
                  <w:rStyle w:val="Hyperlink"/>
                  <w:rFonts w:eastAsiaTheme="majorEastAsia"/>
                  <w:sz w:val="20"/>
                </w:rPr>
                <w:t>http://canlii.ca/t/gtwxt</w:t>
              </w:r>
            </w:hyperlink>
          </w:p>
          <w:p w:rsidR="00B66AE9" w:rsidRPr="00E40721" w:rsidRDefault="00B66AE9" w:rsidP="001854FA">
            <w:pPr>
              <w:jc w:val="both"/>
              <w:rPr>
                <w:sz w:val="20"/>
              </w:rPr>
            </w:pPr>
          </w:p>
        </w:tc>
        <w:tc>
          <w:tcPr>
            <w:tcW w:w="243" w:type="pct"/>
          </w:tcPr>
          <w:p w:rsidR="00B66AE9" w:rsidRPr="00E40721" w:rsidRDefault="00B66AE9" w:rsidP="001854FA">
            <w:pPr>
              <w:jc w:val="both"/>
              <w:rPr>
                <w:sz w:val="20"/>
              </w:rPr>
            </w:pPr>
          </w:p>
        </w:tc>
        <w:tc>
          <w:tcPr>
            <w:tcW w:w="2330" w:type="pct"/>
          </w:tcPr>
          <w:p w:rsidR="00B66AE9" w:rsidRPr="00E40721" w:rsidRDefault="00B66AE9" w:rsidP="001854FA">
            <w:pPr>
              <w:jc w:val="both"/>
              <w:rPr>
                <w:sz w:val="20"/>
                <w:lang w:val="fr-CA"/>
              </w:rPr>
            </w:pPr>
            <w:r w:rsidRPr="00E40721">
              <w:rPr>
                <w:sz w:val="20"/>
                <w:lang w:val="fr-CA"/>
              </w:rPr>
              <w:t xml:space="preserve">Arrêt accueillant l’appel, annulant l’ordonnance de communication de la preuve et l’arrêt des procédures qui en a résulté et ordonnant la tenue d’un nouveau procès </w:t>
            </w:r>
          </w:p>
          <w:p w:rsidR="00B66AE9" w:rsidRPr="00E40721" w:rsidRDefault="00B66AE9" w:rsidP="001854FA">
            <w:pPr>
              <w:jc w:val="both"/>
              <w:rPr>
                <w:sz w:val="20"/>
                <w:lang w:val="fr-CA"/>
              </w:rPr>
            </w:pPr>
          </w:p>
          <w:p w:rsidR="00B66AE9" w:rsidRPr="00E40721" w:rsidRDefault="00B66AE9" w:rsidP="001854FA">
            <w:pPr>
              <w:jc w:val="both"/>
              <w:rPr>
                <w:sz w:val="20"/>
                <w:lang w:val="fr-CA"/>
              </w:rPr>
            </w:pPr>
          </w:p>
        </w:tc>
      </w:tr>
      <w:tr w:rsidR="00B66AE9" w:rsidRPr="00E7387C" w:rsidTr="001854FA">
        <w:tc>
          <w:tcPr>
            <w:tcW w:w="2427" w:type="pct"/>
          </w:tcPr>
          <w:p w:rsidR="00B66AE9" w:rsidRPr="00E40721" w:rsidRDefault="00B66AE9" w:rsidP="001854FA">
            <w:pPr>
              <w:jc w:val="both"/>
              <w:rPr>
                <w:sz w:val="20"/>
                <w:lang w:val="fr-CA"/>
              </w:rPr>
            </w:pPr>
            <w:r w:rsidRPr="00E40721">
              <w:rPr>
                <w:sz w:val="20"/>
                <w:lang w:val="fr-CA"/>
              </w:rPr>
              <w:t>28 novembre 2016</w:t>
            </w:r>
          </w:p>
          <w:p w:rsidR="00B66AE9" w:rsidRPr="00E40721" w:rsidRDefault="00B66AE9" w:rsidP="001854FA">
            <w:pPr>
              <w:jc w:val="both"/>
              <w:rPr>
                <w:sz w:val="20"/>
                <w:lang w:val="fr-CA"/>
              </w:rPr>
            </w:pPr>
            <w:r w:rsidRPr="00E40721">
              <w:rPr>
                <w:sz w:val="20"/>
                <w:lang w:val="fr-CA"/>
              </w:rPr>
              <w:t>Cour suprême du Canada</w:t>
            </w:r>
          </w:p>
        </w:tc>
        <w:tc>
          <w:tcPr>
            <w:tcW w:w="243" w:type="pct"/>
          </w:tcPr>
          <w:p w:rsidR="00B66AE9" w:rsidRPr="00E40721" w:rsidRDefault="00B66AE9" w:rsidP="001854FA">
            <w:pPr>
              <w:jc w:val="both"/>
              <w:rPr>
                <w:sz w:val="20"/>
                <w:lang w:val="fr-CA"/>
              </w:rPr>
            </w:pPr>
          </w:p>
        </w:tc>
        <w:tc>
          <w:tcPr>
            <w:tcW w:w="2330" w:type="pct"/>
          </w:tcPr>
          <w:p w:rsidR="00B66AE9" w:rsidRPr="00E40721" w:rsidRDefault="00B66AE9" w:rsidP="001854FA">
            <w:pPr>
              <w:jc w:val="both"/>
              <w:rPr>
                <w:sz w:val="20"/>
                <w:lang w:val="fr-CA"/>
              </w:rPr>
            </w:pPr>
            <w:r w:rsidRPr="00E40721">
              <w:rPr>
                <w:sz w:val="20"/>
                <w:lang w:val="fr-CA"/>
              </w:rPr>
              <w:t>Dépôt de la demande d’autorisation d’appel</w:t>
            </w:r>
          </w:p>
          <w:p w:rsidR="00B66AE9" w:rsidRPr="00E40721" w:rsidRDefault="00B66AE9" w:rsidP="001854FA">
            <w:pPr>
              <w:jc w:val="both"/>
              <w:rPr>
                <w:sz w:val="20"/>
                <w:lang w:val="fr-CA"/>
              </w:rPr>
            </w:pPr>
          </w:p>
        </w:tc>
      </w:tr>
    </w:tbl>
    <w:p w:rsidR="00154CD6" w:rsidRPr="00B66AE9" w:rsidRDefault="00E7387C" w:rsidP="00154CD6">
      <w:pPr>
        <w:rPr>
          <w:sz w:val="20"/>
          <w:szCs w:val="20"/>
          <w:lang w:val="fr-CA"/>
        </w:rPr>
      </w:pPr>
      <w:r>
        <w:rPr>
          <w:sz w:val="20"/>
          <w:szCs w:val="20"/>
        </w:rPr>
        <w:pict>
          <v:rect id="_x0000_i1032" style="width:2in;height:1pt" o:hrpct="0" o:hralign="center" o:hrstd="t" o:hrnoshade="t" o:hr="t" fillcolor="black [3213]" stroked="f"/>
        </w:pict>
      </w:r>
    </w:p>
    <w:p w:rsidR="00154CD6" w:rsidRPr="00B66AE9" w:rsidRDefault="00154CD6" w:rsidP="00154CD6">
      <w:pPr>
        <w:rPr>
          <w:sz w:val="20"/>
          <w:szCs w:val="20"/>
          <w:lang w:val="fr-CA"/>
        </w:rPr>
      </w:pPr>
    </w:p>
    <w:p w:rsidR="00154CD6" w:rsidRPr="00B66AE9" w:rsidRDefault="00154CD6" w:rsidP="00154CD6">
      <w:pPr>
        <w:rPr>
          <w:sz w:val="20"/>
          <w:szCs w:val="20"/>
          <w:lang w:val="fr-CA"/>
        </w:rPr>
      </w:pPr>
    </w:p>
    <w:p w:rsidR="00154CD6" w:rsidRPr="00B66AE9" w:rsidRDefault="00154CD6" w:rsidP="00154CD6">
      <w:pPr>
        <w:rPr>
          <w:sz w:val="20"/>
          <w:szCs w:val="20"/>
          <w:lang w:val="fr-CA"/>
        </w:rPr>
      </w:pPr>
    </w:p>
    <w:p w:rsidR="00154CD6" w:rsidRPr="00B66AE9" w:rsidRDefault="00154CD6" w:rsidP="00154CD6">
      <w:pPr>
        <w:rPr>
          <w:sz w:val="20"/>
          <w:szCs w:val="20"/>
          <w:lang w:val="fr-CA"/>
        </w:rPr>
      </w:pPr>
    </w:p>
    <w:p w:rsidR="00154CD6" w:rsidRPr="00B66AE9" w:rsidRDefault="00154CD6" w:rsidP="00154CD6">
      <w:pPr>
        <w:rPr>
          <w:sz w:val="20"/>
          <w:szCs w:val="20"/>
          <w:lang w:val="fr-CA"/>
        </w:rPr>
        <w:sectPr w:rsidR="00154CD6" w:rsidRPr="00B66AE9"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E7387C"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B65BA0" w:rsidRDefault="008D292F" w:rsidP="008D292F">
      <w:pPr>
        <w:rPr>
          <w:b/>
          <w:sz w:val="20"/>
          <w:szCs w:val="20"/>
          <w:lang w:val="fr-CA"/>
        </w:rPr>
      </w:pPr>
    </w:p>
    <w:p w:rsidR="00B65BA0" w:rsidRPr="00B65BA0" w:rsidRDefault="00B65BA0" w:rsidP="00B65BA0">
      <w:pPr>
        <w:ind w:left="360" w:hanging="360"/>
        <w:jc w:val="both"/>
        <w:rPr>
          <w:b/>
          <w:sz w:val="20"/>
          <w:lang w:eastAsia="en-CA"/>
        </w:rPr>
      </w:pPr>
      <w:r w:rsidRPr="00B65BA0">
        <w:rPr>
          <w:b/>
          <w:sz w:val="20"/>
          <w:lang w:eastAsia="en-CA"/>
        </w:rPr>
        <w:t>MARCH 16, 2017 / LE 16 MARS 2017</w:t>
      </w:r>
    </w:p>
    <w:p w:rsidR="00B65BA0" w:rsidRDefault="00B65BA0" w:rsidP="00B65BA0">
      <w:pPr>
        <w:ind w:left="360" w:hanging="360"/>
        <w:jc w:val="both"/>
        <w:rPr>
          <w:sz w:val="20"/>
          <w:lang w:eastAsia="en-CA"/>
        </w:rPr>
      </w:pPr>
    </w:p>
    <w:tbl>
      <w:tblPr>
        <w:tblW w:w="4904" w:type="pct"/>
        <w:tblLayout w:type="fixed"/>
        <w:tblCellMar>
          <w:left w:w="0" w:type="dxa"/>
          <w:bottom w:w="99" w:type="dxa"/>
          <w:right w:w="0" w:type="dxa"/>
        </w:tblCellMar>
        <w:tblLook w:val="04A0" w:firstRow="1" w:lastRow="0" w:firstColumn="1" w:lastColumn="0" w:noHBand="0" w:noVBand="1"/>
      </w:tblPr>
      <w:tblGrid>
        <w:gridCol w:w="1034"/>
        <w:gridCol w:w="3519"/>
        <w:gridCol w:w="515"/>
        <w:gridCol w:w="4366"/>
      </w:tblGrid>
      <w:tr w:rsidR="00B65BA0" w:rsidRPr="00E40721" w:rsidTr="00B65BA0">
        <w:tc>
          <w:tcPr>
            <w:tcW w:w="548" w:type="pct"/>
          </w:tcPr>
          <w:p w:rsidR="00B65BA0" w:rsidRPr="00E40721" w:rsidRDefault="00B65BA0" w:rsidP="00B65BA0">
            <w:pPr>
              <w:jc w:val="both"/>
              <w:rPr>
                <w:sz w:val="20"/>
              </w:rPr>
            </w:pPr>
            <w:r w:rsidRPr="00E40721">
              <w:rPr>
                <w:rStyle w:val="SCCFileNumberChar"/>
                <w:sz w:val="20"/>
                <w:szCs w:val="20"/>
              </w:rPr>
              <w:t>37344</w:t>
            </w:r>
          </w:p>
        </w:tc>
        <w:tc>
          <w:tcPr>
            <w:tcW w:w="4452" w:type="pct"/>
            <w:gridSpan w:val="3"/>
          </w:tcPr>
          <w:p w:rsidR="00B65BA0" w:rsidRPr="00E40721" w:rsidRDefault="00B65BA0" w:rsidP="00B65BA0">
            <w:pPr>
              <w:pStyle w:val="SCCLsocParty"/>
              <w:jc w:val="both"/>
              <w:rPr>
                <w:b/>
                <w:sz w:val="20"/>
                <w:szCs w:val="20"/>
              </w:rPr>
            </w:pPr>
            <w:r w:rsidRPr="00E40721">
              <w:rPr>
                <w:b/>
                <w:sz w:val="20"/>
                <w:szCs w:val="20"/>
              </w:rPr>
              <w:t xml:space="preserve">Lyse Cinq-Mars, Christiane </w:t>
            </w:r>
            <w:proofErr w:type="spellStart"/>
            <w:r w:rsidRPr="00E40721">
              <w:rPr>
                <w:b/>
                <w:sz w:val="20"/>
                <w:szCs w:val="20"/>
              </w:rPr>
              <w:t>Lower</w:t>
            </w:r>
            <w:proofErr w:type="spellEnd"/>
            <w:r w:rsidRPr="00E40721">
              <w:rPr>
                <w:b/>
                <w:sz w:val="20"/>
                <w:szCs w:val="20"/>
              </w:rPr>
              <w:t xml:space="preserve">, Linda Hamel, Jocelyne </w:t>
            </w:r>
            <w:proofErr w:type="spellStart"/>
            <w:r w:rsidRPr="00E40721">
              <w:rPr>
                <w:b/>
                <w:sz w:val="20"/>
                <w:szCs w:val="20"/>
              </w:rPr>
              <w:t>Baillargeon</w:t>
            </w:r>
            <w:proofErr w:type="spellEnd"/>
            <w:r w:rsidRPr="00E40721">
              <w:rPr>
                <w:b/>
                <w:sz w:val="20"/>
                <w:szCs w:val="20"/>
              </w:rPr>
              <w:t xml:space="preserve">, </w:t>
            </w:r>
            <w:proofErr w:type="spellStart"/>
            <w:r w:rsidRPr="00E40721">
              <w:rPr>
                <w:b/>
                <w:sz w:val="20"/>
                <w:szCs w:val="20"/>
              </w:rPr>
              <w:t>Rafik</w:t>
            </w:r>
            <w:proofErr w:type="spellEnd"/>
            <w:r w:rsidRPr="00E40721">
              <w:rPr>
                <w:b/>
                <w:sz w:val="20"/>
                <w:szCs w:val="20"/>
              </w:rPr>
              <w:t xml:space="preserve"> </w:t>
            </w:r>
            <w:proofErr w:type="spellStart"/>
            <w:r w:rsidRPr="00E40721">
              <w:rPr>
                <w:b/>
                <w:sz w:val="20"/>
                <w:szCs w:val="20"/>
              </w:rPr>
              <w:t>Salama</w:t>
            </w:r>
            <w:proofErr w:type="spellEnd"/>
            <w:r w:rsidRPr="00E40721">
              <w:rPr>
                <w:b/>
                <w:sz w:val="20"/>
                <w:szCs w:val="20"/>
              </w:rPr>
              <w:t xml:space="preserve">, Diane Burke, Carmen Béland, Marjolaine </w:t>
            </w:r>
            <w:proofErr w:type="spellStart"/>
            <w:r w:rsidRPr="00E40721">
              <w:rPr>
                <w:b/>
                <w:sz w:val="20"/>
                <w:szCs w:val="20"/>
              </w:rPr>
              <w:t>Morest</w:t>
            </w:r>
            <w:proofErr w:type="spellEnd"/>
            <w:r w:rsidRPr="00E40721">
              <w:rPr>
                <w:b/>
                <w:sz w:val="20"/>
                <w:szCs w:val="20"/>
              </w:rPr>
              <w:t xml:space="preserve">, Maryse Charbonneau, Jocelyne Gingras, Pierre Arbour, Francine Major, Mustapha </w:t>
            </w:r>
            <w:proofErr w:type="spellStart"/>
            <w:r w:rsidRPr="00E40721">
              <w:rPr>
                <w:b/>
                <w:sz w:val="20"/>
                <w:szCs w:val="20"/>
              </w:rPr>
              <w:t>Bourghol</w:t>
            </w:r>
            <w:proofErr w:type="spellEnd"/>
            <w:r w:rsidRPr="00E40721">
              <w:rPr>
                <w:b/>
                <w:sz w:val="20"/>
                <w:szCs w:val="20"/>
              </w:rPr>
              <w:t xml:space="preserve">, Alain Bédard, Myriam </w:t>
            </w:r>
            <w:proofErr w:type="spellStart"/>
            <w:r w:rsidRPr="00E40721">
              <w:rPr>
                <w:b/>
                <w:sz w:val="20"/>
                <w:szCs w:val="20"/>
              </w:rPr>
              <w:t>Méchaly-Benharroch</w:t>
            </w:r>
            <w:proofErr w:type="spellEnd"/>
            <w:r w:rsidRPr="00E40721">
              <w:rPr>
                <w:b/>
                <w:sz w:val="20"/>
                <w:szCs w:val="20"/>
              </w:rPr>
              <w:t xml:space="preserve">, Louis-François Carrière, Huguette Bélanger, Chantal Séguin, Micheline Bertrand, Doris Nault, Gisèle </w:t>
            </w:r>
            <w:proofErr w:type="spellStart"/>
            <w:r w:rsidRPr="00E40721">
              <w:rPr>
                <w:b/>
                <w:sz w:val="20"/>
                <w:szCs w:val="20"/>
              </w:rPr>
              <w:t>Jauron</w:t>
            </w:r>
            <w:proofErr w:type="spellEnd"/>
            <w:r w:rsidRPr="00E40721">
              <w:rPr>
                <w:b/>
                <w:sz w:val="20"/>
                <w:szCs w:val="20"/>
              </w:rPr>
              <w:t xml:space="preserve">, Danielle Forget, Ginette St-Martin, Yves Lefebvre, Michel Boudreau, Sophie Thibodeau, André </w:t>
            </w:r>
            <w:proofErr w:type="spellStart"/>
            <w:r w:rsidRPr="00E40721">
              <w:rPr>
                <w:b/>
                <w:sz w:val="20"/>
                <w:szCs w:val="20"/>
              </w:rPr>
              <w:t>Léveillé</w:t>
            </w:r>
            <w:proofErr w:type="spellEnd"/>
            <w:r w:rsidRPr="00E40721">
              <w:rPr>
                <w:b/>
                <w:sz w:val="20"/>
                <w:szCs w:val="20"/>
              </w:rPr>
              <w:t xml:space="preserve">, Maryse Laniel, Yves Drolet, Francine St-Aubin, Bernard </w:t>
            </w:r>
            <w:proofErr w:type="spellStart"/>
            <w:r w:rsidRPr="00E40721">
              <w:rPr>
                <w:b/>
                <w:sz w:val="20"/>
                <w:szCs w:val="20"/>
              </w:rPr>
              <w:t>Laurencelle</w:t>
            </w:r>
            <w:proofErr w:type="spellEnd"/>
            <w:r w:rsidRPr="00E40721">
              <w:rPr>
                <w:b/>
                <w:sz w:val="20"/>
                <w:szCs w:val="20"/>
              </w:rPr>
              <w:t xml:space="preserve">, Jean-Pierre Fortier, Francine C. </w:t>
            </w:r>
            <w:proofErr w:type="spellStart"/>
            <w:r w:rsidRPr="00E40721">
              <w:rPr>
                <w:b/>
                <w:sz w:val="20"/>
                <w:szCs w:val="20"/>
              </w:rPr>
              <w:t>Szalai</w:t>
            </w:r>
            <w:proofErr w:type="spellEnd"/>
            <w:r w:rsidRPr="00E40721">
              <w:rPr>
                <w:b/>
                <w:sz w:val="20"/>
                <w:szCs w:val="20"/>
              </w:rPr>
              <w:t xml:space="preserve">, Pierre Léonard, Anny Gagnon, André Tremblay, Ginette Gauthier, Carole Vinet, Kamel </w:t>
            </w:r>
            <w:proofErr w:type="spellStart"/>
            <w:r w:rsidRPr="00E40721">
              <w:rPr>
                <w:b/>
                <w:sz w:val="20"/>
                <w:szCs w:val="20"/>
              </w:rPr>
              <w:t>Harrouche</w:t>
            </w:r>
            <w:proofErr w:type="spellEnd"/>
            <w:r w:rsidRPr="00E40721">
              <w:rPr>
                <w:b/>
                <w:sz w:val="20"/>
                <w:szCs w:val="20"/>
              </w:rPr>
              <w:t xml:space="preserve">, Caroline </w:t>
            </w:r>
            <w:proofErr w:type="spellStart"/>
            <w:r w:rsidRPr="00E40721">
              <w:rPr>
                <w:b/>
                <w:sz w:val="20"/>
                <w:szCs w:val="20"/>
              </w:rPr>
              <w:t>Berrouard</w:t>
            </w:r>
            <w:proofErr w:type="spellEnd"/>
            <w:r w:rsidRPr="00E40721">
              <w:rPr>
                <w:b/>
                <w:sz w:val="20"/>
                <w:szCs w:val="20"/>
              </w:rPr>
              <w:t xml:space="preserve">, Suzanne Pageau, Diane Landry, Diane </w:t>
            </w:r>
            <w:proofErr w:type="spellStart"/>
            <w:r w:rsidRPr="00E40721">
              <w:rPr>
                <w:b/>
                <w:sz w:val="20"/>
                <w:szCs w:val="20"/>
              </w:rPr>
              <w:t>Degagné</w:t>
            </w:r>
            <w:proofErr w:type="spellEnd"/>
            <w:r w:rsidRPr="00E40721">
              <w:rPr>
                <w:b/>
                <w:sz w:val="20"/>
                <w:szCs w:val="20"/>
              </w:rPr>
              <w:t xml:space="preserve">, France Séguin, Lise Lachance, Johanne Deschamps, Diane Roy, Jean-Guy </w:t>
            </w:r>
            <w:proofErr w:type="spellStart"/>
            <w:r w:rsidRPr="00E40721">
              <w:rPr>
                <w:b/>
                <w:sz w:val="20"/>
                <w:szCs w:val="20"/>
              </w:rPr>
              <w:t>Lahaie</w:t>
            </w:r>
            <w:proofErr w:type="spellEnd"/>
            <w:r w:rsidRPr="00E40721">
              <w:rPr>
                <w:b/>
                <w:sz w:val="20"/>
                <w:szCs w:val="20"/>
              </w:rPr>
              <w:t xml:space="preserve">, Marc Jasmin, Fernande </w:t>
            </w:r>
            <w:proofErr w:type="spellStart"/>
            <w:r w:rsidRPr="00E40721">
              <w:rPr>
                <w:b/>
                <w:sz w:val="20"/>
                <w:szCs w:val="20"/>
              </w:rPr>
              <w:t>Bigras</w:t>
            </w:r>
            <w:proofErr w:type="spellEnd"/>
            <w:r w:rsidRPr="00E40721">
              <w:rPr>
                <w:b/>
                <w:sz w:val="20"/>
                <w:szCs w:val="20"/>
              </w:rPr>
              <w:t xml:space="preserve">, François Pellerin, Nicole </w:t>
            </w:r>
            <w:proofErr w:type="spellStart"/>
            <w:r w:rsidRPr="00E40721">
              <w:rPr>
                <w:b/>
                <w:sz w:val="20"/>
                <w:szCs w:val="20"/>
              </w:rPr>
              <w:t>Juteau</w:t>
            </w:r>
            <w:proofErr w:type="spellEnd"/>
            <w:r w:rsidRPr="00E40721">
              <w:rPr>
                <w:b/>
                <w:sz w:val="20"/>
                <w:szCs w:val="20"/>
              </w:rPr>
              <w:t xml:space="preserve">, René Boileau, Lucie Poirier, Louise </w:t>
            </w:r>
            <w:proofErr w:type="spellStart"/>
            <w:r w:rsidRPr="00E40721">
              <w:rPr>
                <w:b/>
                <w:sz w:val="20"/>
                <w:szCs w:val="20"/>
              </w:rPr>
              <w:t>Lagacé</w:t>
            </w:r>
            <w:proofErr w:type="spellEnd"/>
            <w:r w:rsidRPr="00E40721">
              <w:rPr>
                <w:b/>
                <w:sz w:val="20"/>
                <w:szCs w:val="20"/>
              </w:rPr>
              <w:t xml:space="preserve">, Danièle </w:t>
            </w:r>
            <w:proofErr w:type="spellStart"/>
            <w:r w:rsidRPr="00E40721">
              <w:rPr>
                <w:b/>
                <w:sz w:val="20"/>
                <w:szCs w:val="20"/>
              </w:rPr>
              <w:t>Désilets</w:t>
            </w:r>
            <w:proofErr w:type="spellEnd"/>
            <w:r w:rsidRPr="00E40721">
              <w:rPr>
                <w:b/>
                <w:sz w:val="20"/>
                <w:szCs w:val="20"/>
              </w:rPr>
              <w:t xml:space="preserve">, Yamina </w:t>
            </w:r>
            <w:proofErr w:type="spellStart"/>
            <w:r w:rsidRPr="00E40721">
              <w:rPr>
                <w:b/>
                <w:sz w:val="20"/>
                <w:szCs w:val="20"/>
              </w:rPr>
              <w:t>Souami</w:t>
            </w:r>
            <w:proofErr w:type="spellEnd"/>
            <w:r w:rsidRPr="00E40721">
              <w:rPr>
                <w:b/>
                <w:sz w:val="20"/>
                <w:szCs w:val="20"/>
              </w:rPr>
              <w:t xml:space="preserve">, Suzanne </w:t>
            </w:r>
            <w:proofErr w:type="spellStart"/>
            <w:r w:rsidRPr="00E40721">
              <w:rPr>
                <w:b/>
                <w:sz w:val="20"/>
                <w:szCs w:val="20"/>
              </w:rPr>
              <w:t>Deslauriers</w:t>
            </w:r>
            <w:proofErr w:type="spellEnd"/>
            <w:r w:rsidRPr="00E40721">
              <w:rPr>
                <w:b/>
                <w:sz w:val="20"/>
                <w:szCs w:val="20"/>
              </w:rPr>
              <w:t xml:space="preserve">, France </w:t>
            </w:r>
            <w:proofErr w:type="spellStart"/>
            <w:r w:rsidRPr="00E40721">
              <w:rPr>
                <w:b/>
                <w:sz w:val="20"/>
                <w:szCs w:val="20"/>
              </w:rPr>
              <w:t>Soussana</w:t>
            </w:r>
            <w:proofErr w:type="spellEnd"/>
            <w:r w:rsidRPr="00E40721">
              <w:rPr>
                <w:b/>
                <w:sz w:val="20"/>
                <w:szCs w:val="20"/>
              </w:rPr>
              <w:t xml:space="preserve">, Nicole Lapointe, Patricia </w:t>
            </w:r>
            <w:proofErr w:type="spellStart"/>
            <w:r w:rsidRPr="00E40721">
              <w:rPr>
                <w:b/>
                <w:sz w:val="20"/>
                <w:szCs w:val="20"/>
              </w:rPr>
              <w:t>Duthilleul</w:t>
            </w:r>
            <w:proofErr w:type="spellEnd"/>
            <w:r w:rsidRPr="00E40721">
              <w:rPr>
                <w:b/>
                <w:sz w:val="20"/>
                <w:szCs w:val="20"/>
              </w:rPr>
              <w:t xml:space="preserve">, Gilles Paradis, Nicole </w:t>
            </w:r>
            <w:proofErr w:type="spellStart"/>
            <w:r w:rsidRPr="00E40721">
              <w:rPr>
                <w:b/>
                <w:sz w:val="20"/>
                <w:szCs w:val="20"/>
              </w:rPr>
              <w:t>Lecavalier</w:t>
            </w:r>
            <w:proofErr w:type="spellEnd"/>
            <w:r w:rsidRPr="00E40721">
              <w:rPr>
                <w:b/>
                <w:sz w:val="20"/>
                <w:szCs w:val="20"/>
              </w:rPr>
              <w:t xml:space="preserve">, Jean Lévesque, Richard April, Lydie Ngo </w:t>
            </w:r>
            <w:proofErr w:type="spellStart"/>
            <w:r w:rsidRPr="00E40721">
              <w:rPr>
                <w:b/>
                <w:sz w:val="20"/>
                <w:szCs w:val="20"/>
              </w:rPr>
              <w:t>Njonog</w:t>
            </w:r>
            <w:proofErr w:type="spellEnd"/>
            <w:r w:rsidRPr="00E40721">
              <w:rPr>
                <w:b/>
                <w:sz w:val="20"/>
                <w:szCs w:val="20"/>
              </w:rPr>
              <w:t xml:space="preserve">, Margit </w:t>
            </w:r>
            <w:proofErr w:type="spellStart"/>
            <w:r w:rsidRPr="00E40721">
              <w:rPr>
                <w:b/>
                <w:sz w:val="20"/>
                <w:szCs w:val="20"/>
              </w:rPr>
              <w:t>Gyongyi</w:t>
            </w:r>
            <w:proofErr w:type="spellEnd"/>
            <w:r w:rsidRPr="00E40721">
              <w:rPr>
                <w:b/>
                <w:sz w:val="20"/>
                <w:szCs w:val="20"/>
              </w:rPr>
              <w:t xml:space="preserve"> </w:t>
            </w:r>
            <w:proofErr w:type="spellStart"/>
            <w:r w:rsidRPr="00E40721">
              <w:rPr>
                <w:b/>
                <w:sz w:val="20"/>
                <w:szCs w:val="20"/>
              </w:rPr>
              <w:t>Krizbai</w:t>
            </w:r>
            <w:proofErr w:type="spellEnd"/>
            <w:r w:rsidRPr="00E40721">
              <w:rPr>
                <w:b/>
                <w:sz w:val="20"/>
                <w:szCs w:val="20"/>
              </w:rPr>
              <w:t xml:space="preserve">, Monique </w:t>
            </w:r>
            <w:proofErr w:type="spellStart"/>
            <w:r w:rsidRPr="00E40721">
              <w:rPr>
                <w:b/>
                <w:sz w:val="20"/>
                <w:szCs w:val="20"/>
              </w:rPr>
              <w:t>Dery</w:t>
            </w:r>
            <w:proofErr w:type="spellEnd"/>
            <w:r w:rsidRPr="00E40721">
              <w:rPr>
                <w:b/>
                <w:sz w:val="20"/>
                <w:szCs w:val="20"/>
              </w:rPr>
              <w:t xml:space="preserve">, Chantal Paquette, Claude </w:t>
            </w:r>
            <w:proofErr w:type="spellStart"/>
            <w:r w:rsidRPr="00E40721">
              <w:rPr>
                <w:b/>
                <w:sz w:val="20"/>
                <w:szCs w:val="20"/>
              </w:rPr>
              <w:t>Lavallée</w:t>
            </w:r>
            <w:proofErr w:type="spellEnd"/>
            <w:r w:rsidRPr="00E40721">
              <w:rPr>
                <w:b/>
                <w:sz w:val="20"/>
                <w:szCs w:val="20"/>
              </w:rPr>
              <w:t xml:space="preserve">, Françoise Fortin, Maryse Petitpas, Julie Fortin, Paule </w:t>
            </w:r>
            <w:proofErr w:type="spellStart"/>
            <w:r w:rsidRPr="00E40721">
              <w:rPr>
                <w:b/>
                <w:sz w:val="20"/>
                <w:szCs w:val="20"/>
              </w:rPr>
              <w:t>Schetagne</w:t>
            </w:r>
            <w:proofErr w:type="spellEnd"/>
            <w:r w:rsidRPr="00E40721">
              <w:rPr>
                <w:b/>
                <w:sz w:val="20"/>
                <w:szCs w:val="20"/>
              </w:rPr>
              <w:t xml:space="preserve">, Marc </w:t>
            </w:r>
            <w:proofErr w:type="spellStart"/>
            <w:r w:rsidRPr="00E40721">
              <w:rPr>
                <w:b/>
                <w:sz w:val="20"/>
                <w:szCs w:val="20"/>
              </w:rPr>
              <w:t>Morsi</w:t>
            </w:r>
            <w:proofErr w:type="spellEnd"/>
            <w:r w:rsidRPr="00E40721">
              <w:rPr>
                <w:b/>
                <w:sz w:val="20"/>
                <w:szCs w:val="20"/>
              </w:rPr>
              <w:t xml:space="preserve">, Patrick </w:t>
            </w:r>
            <w:proofErr w:type="spellStart"/>
            <w:r w:rsidRPr="00E40721">
              <w:rPr>
                <w:b/>
                <w:sz w:val="20"/>
                <w:szCs w:val="20"/>
              </w:rPr>
              <w:t>Maheux</w:t>
            </w:r>
            <w:proofErr w:type="spellEnd"/>
            <w:r>
              <w:rPr>
                <w:b/>
                <w:sz w:val="20"/>
                <w:szCs w:val="20"/>
              </w:rPr>
              <w:t xml:space="preserve"> and</w:t>
            </w:r>
            <w:r w:rsidRPr="00E40721">
              <w:rPr>
                <w:b/>
                <w:sz w:val="20"/>
                <w:szCs w:val="20"/>
              </w:rPr>
              <w:t xml:space="preserve"> Michel Hanna v. City of Montréal</w:t>
            </w:r>
            <w:r>
              <w:rPr>
                <w:b/>
                <w:sz w:val="20"/>
                <w:szCs w:val="20"/>
              </w:rPr>
              <w:t xml:space="preserve"> and </w:t>
            </w:r>
            <w:r w:rsidRPr="00E40721">
              <w:rPr>
                <w:b/>
                <w:sz w:val="20"/>
                <w:szCs w:val="20"/>
              </w:rPr>
              <w:t>Syndicat des fonctionnaires municipaux de Montréal (CUPE)</w:t>
            </w:r>
          </w:p>
          <w:p w:rsidR="00B65BA0" w:rsidRDefault="00B65BA0" w:rsidP="00B65BA0">
            <w:pPr>
              <w:jc w:val="both"/>
              <w:rPr>
                <w:sz w:val="20"/>
              </w:rPr>
            </w:pPr>
            <w:r w:rsidRPr="00E40721">
              <w:rPr>
                <w:sz w:val="20"/>
              </w:rPr>
              <w:t>(Que.) (Civil) (By Leave)</w:t>
            </w:r>
          </w:p>
          <w:p w:rsidR="00B66AE9" w:rsidRPr="00E40721" w:rsidRDefault="00B66AE9" w:rsidP="00B65BA0">
            <w:pPr>
              <w:jc w:val="both"/>
              <w:rPr>
                <w:sz w:val="20"/>
              </w:rPr>
            </w:pPr>
          </w:p>
        </w:tc>
      </w:tr>
      <w:tr w:rsidR="00B65BA0" w:rsidRPr="00E40721" w:rsidTr="00B65BA0">
        <w:tc>
          <w:tcPr>
            <w:tcW w:w="548" w:type="pct"/>
          </w:tcPr>
          <w:p w:rsidR="00B65BA0" w:rsidRPr="00E40721" w:rsidRDefault="00B65BA0" w:rsidP="00B65BA0">
            <w:pPr>
              <w:jc w:val="both"/>
              <w:rPr>
                <w:rStyle w:val="SCCFileNumberChar"/>
                <w:sz w:val="20"/>
                <w:szCs w:val="20"/>
              </w:rPr>
            </w:pPr>
            <w:r>
              <w:rPr>
                <w:rStyle w:val="SCCFileNumberChar"/>
                <w:sz w:val="20"/>
                <w:szCs w:val="20"/>
              </w:rPr>
              <w:t>Coram:</w:t>
            </w:r>
          </w:p>
        </w:tc>
        <w:tc>
          <w:tcPr>
            <w:tcW w:w="4452" w:type="pct"/>
            <w:gridSpan w:val="3"/>
          </w:tcPr>
          <w:p w:rsidR="00B65BA0" w:rsidRDefault="00B66AE9" w:rsidP="00B65BA0">
            <w:pPr>
              <w:pStyle w:val="SCCLsocParty"/>
              <w:jc w:val="both"/>
              <w:rPr>
                <w:rFonts w:eastAsiaTheme="minorEastAsia"/>
                <w:sz w:val="20"/>
                <w:szCs w:val="20"/>
                <w:lang w:val="en-US" w:eastAsia="en-CA"/>
              </w:rPr>
            </w:pPr>
            <w:proofErr w:type="spellStart"/>
            <w:r w:rsidRPr="00BE6DC7">
              <w:rPr>
                <w:rFonts w:eastAsiaTheme="minorEastAsia"/>
                <w:sz w:val="20"/>
                <w:szCs w:val="20"/>
                <w:lang w:val="en-US" w:eastAsia="en-CA"/>
              </w:rPr>
              <w:t>McLachlin</w:t>
            </w:r>
            <w:proofErr w:type="spellEnd"/>
            <w:r w:rsidRPr="00BE6DC7">
              <w:rPr>
                <w:rFonts w:eastAsiaTheme="minorEastAsia"/>
                <w:sz w:val="20"/>
                <w:szCs w:val="20"/>
                <w:lang w:val="en-US" w:eastAsia="en-CA"/>
              </w:rPr>
              <w:t xml:space="preserve"> C.J. and </w:t>
            </w:r>
            <w:proofErr w:type="spellStart"/>
            <w:r w:rsidRPr="00BE6DC7">
              <w:rPr>
                <w:rFonts w:eastAsiaTheme="minorEastAsia"/>
                <w:sz w:val="20"/>
                <w:szCs w:val="20"/>
                <w:lang w:val="en-US" w:eastAsia="en-CA"/>
              </w:rPr>
              <w:t>Abella</w:t>
            </w:r>
            <w:proofErr w:type="spellEnd"/>
            <w:r w:rsidRPr="00BE6DC7">
              <w:rPr>
                <w:rFonts w:eastAsiaTheme="minorEastAsia"/>
                <w:sz w:val="20"/>
                <w:szCs w:val="20"/>
                <w:lang w:val="en-US" w:eastAsia="en-CA"/>
              </w:rPr>
              <w:t xml:space="preserve">, </w:t>
            </w:r>
            <w:proofErr w:type="spellStart"/>
            <w:r w:rsidRPr="00BE6DC7">
              <w:rPr>
                <w:rFonts w:eastAsiaTheme="minorEastAsia"/>
                <w:sz w:val="20"/>
                <w:szCs w:val="20"/>
                <w:lang w:val="en-US" w:eastAsia="en-CA"/>
              </w:rPr>
              <w:t>Moldaver</w:t>
            </w:r>
            <w:proofErr w:type="spellEnd"/>
            <w:r w:rsidRPr="00BE6DC7">
              <w:rPr>
                <w:rFonts w:eastAsiaTheme="minorEastAsia"/>
                <w:sz w:val="20"/>
                <w:szCs w:val="20"/>
                <w:lang w:val="en-US" w:eastAsia="en-CA"/>
              </w:rPr>
              <w:t xml:space="preserve">, </w:t>
            </w:r>
            <w:proofErr w:type="spellStart"/>
            <w:r w:rsidRPr="00BE6DC7">
              <w:rPr>
                <w:rFonts w:eastAsiaTheme="minorEastAsia"/>
                <w:sz w:val="20"/>
                <w:szCs w:val="20"/>
                <w:lang w:val="en-US" w:eastAsia="en-CA"/>
              </w:rPr>
              <w:t>Karakatsanis</w:t>
            </w:r>
            <w:proofErr w:type="spellEnd"/>
            <w:r w:rsidRPr="00BE6DC7">
              <w:rPr>
                <w:rFonts w:eastAsiaTheme="minorEastAsia"/>
                <w:sz w:val="20"/>
                <w:szCs w:val="20"/>
                <w:lang w:val="en-US" w:eastAsia="en-CA"/>
              </w:rPr>
              <w:t xml:space="preserve">, Wagner, </w:t>
            </w:r>
            <w:proofErr w:type="spellStart"/>
            <w:r w:rsidRPr="00BE6DC7">
              <w:rPr>
                <w:rFonts w:eastAsiaTheme="minorEastAsia"/>
                <w:sz w:val="20"/>
                <w:szCs w:val="20"/>
                <w:lang w:val="en-US" w:eastAsia="en-CA"/>
              </w:rPr>
              <w:t>Gascon</w:t>
            </w:r>
            <w:proofErr w:type="spellEnd"/>
            <w:r w:rsidRPr="00BE6DC7">
              <w:rPr>
                <w:rFonts w:eastAsiaTheme="minorEastAsia"/>
                <w:sz w:val="20"/>
                <w:szCs w:val="20"/>
                <w:lang w:val="en-US" w:eastAsia="en-CA"/>
              </w:rPr>
              <w:t xml:space="preserve">, </w:t>
            </w:r>
            <w:proofErr w:type="spellStart"/>
            <w:r w:rsidRPr="00BE6DC7">
              <w:rPr>
                <w:rFonts w:eastAsiaTheme="minorEastAsia"/>
                <w:sz w:val="20"/>
                <w:szCs w:val="20"/>
                <w:lang w:val="en-US" w:eastAsia="en-CA"/>
              </w:rPr>
              <w:t>Côté</w:t>
            </w:r>
            <w:proofErr w:type="spellEnd"/>
            <w:r w:rsidRPr="00BE6DC7">
              <w:rPr>
                <w:rFonts w:eastAsiaTheme="minorEastAsia"/>
                <w:sz w:val="20"/>
                <w:szCs w:val="20"/>
                <w:lang w:val="en-US" w:eastAsia="en-CA"/>
              </w:rPr>
              <w:t>, Brown and Rowe JJ.</w:t>
            </w:r>
          </w:p>
          <w:p w:rsidR="00B66AE9" w:rsidRPr="00B66AE9" w:rsidRDefault="00B66AE9" w:rsidP="00B66AE9">
            <w:pPr>
              <w:rPr>
                <w:lang w:val="en-US" w:eastAsia="en-CA"/>
              </w:rPr>
            </w:pPr>
          </w:p>
        </w:tc>
      </w:tr>
      <w:tr w:rsidR="00B65BA0" w:rsidRPr="00E40721" w:rsidTr="00B65BA0">
        <w:tc>
          <w:tcPr>
            <w:tcW w:w="5000" w:type="pct"/>
            <w:gridSpan w:val="4"/>
          </w:tcPr>
          <w:p w:rsidR="00B65BA0" w:rsidRDefault="00B66AE9" w:rsidP="00B65BA0">
            <w:pPr>
              <w:pStyle w:val="SCCLsocParty"/>
              <w:jc w:val="both"/>
              <w:rPr>
                <w:sz w:val="20"/>
                <w:szCs w:val="20"/>
                <w:lang w:val="en-CA"/>
              </w:rPr>
            </w:pPr>
            <w:r w:rsidRPr="00BE6DC7">
              <w:rPr>
                <w:sz w:val="20"/>
                <w:szCs w:val="20"/>
                <w:lang w:val="en-CA"/>
              </w:rPr>
              <w:t>The application for leave to appeal from the judgment of the Court of Appeal of Quebec (Montréal), Number 500-09-025103-151, 2016 QCCA 1665, dated October 13, 2016, is dismissed with costs.</w:t>
            </w:r>
          </w:p>
          <w:p w:rsidR="00B66AE9" w:rsidRPr="00B66AE9" w:rsidRDefault="00B66AE9" w:rsidP="00B66AE9">
            <w:pPr>
              <w:rPr>
                <w:lang w:val="en-US"/>
              </w:rPr>
            </w:pPr>
          </w:p>
        </w:tc>
      </w:tr>
      <w:tr w:rsidR="00B65BA0" w:rsidRPr="00E40721" w:rsidTr="00B65BA0">
        <w:tc>
          <w:tcPr>
            <w:tcW w:w="5000" w:type="pct"/>
            <w:gridSpan w:val="4"/>
          </w:tcPr>
          <w:p w:rsidR="00B65BA0" w:rsidRPr="00E40721" w:rsidRDefault="00B65BA0" w:rsidP="00B65BA0">
            <w:pPr>
              <w:jc w:val="both"/>
              <w:rPr>
                <w:sz w:val="20"/>
              </w:rPr>
            </w:pPr>
            <w:r w:rsidRPr="00E40721">
              <w:rPr>
                <w:sz w:val="20"/>
              </w:rPr>
              <w:t xml:space="preserve">Civil procedure — Exception to dismiss action — Interest — Union’s exclusive power of representation — Employees authorized to submit their claim to arbitrator as in case of grievance under s. 47.2 of </w:t>
            </w:r>
            <w:r w:rsidRPr="00E40721">
              <w:rPr>
                <w:i/>
                <w:sz w:val="20"/>
              </w:rPr>
              <w:t>Labour Code</w:t>
            </w:r>
            <w:r w:rsidRPr="00E40721">
              <w:rPr>
                <w:sz w:val="20"/>
              </w:rPr>
              <w:t>, CQLR c. C</w:t>
            </w:r>
            <w:r w:rsidRPr="00E40721">
              <w:rPr>
                <w:sz w:val="20"/>
              </w:rPr>
              <w:noBreakHyphen/>
              <w:t xml:space="preserve">27 — Application and interpretation of </w:t>
            </w:r>
            <w:r w:rsidRPr="00E40721">
              <w:rPr>
                <w:i/>
                <w:sz w:val="20"/>
              </w:rPr>
              <w:t xml:space="preserve">Noël v. </w:t>
            </w:r>
            <w:proofErr w:type="spellStart"/>
            <w:r w:rsidRPr="00E40721">
              <w:rPr>
                <w:i/>
                <w:sz w:val="20"/>
              </w:rPr>
              <w:t>Société</w:t>
            </w:r>
            <w:proofErr w:type="spellEnd"/>
            <w:r w:rsidRPr="00E40721">
              <w:rPr>
                <w:i/>
                <w:sz w:val="20"/>
              </w:rPr>
              <w:t xml:space="preserve"> </w:t>
            </w:r>
            <w:proofErr w:type="spellStart"/>
            <w:r w:rsidRPr="00E40721">
              <w:rPr>
                <w:i/>
                <w:sz w:val="20"/>
              </w:rPr>
              <w:t>d'énergie</w:t>
            </w:r>
            <w:proofErr w:type="spellEnd"/>
            <w:r w:rsidRPr="00E40721">
              <w:rPr>
                <w:i/>
                <w:sz w:val="20"/>
              </w:rPr>
              <w:t xml:space="preserve"> de la </w:t>
            </w:r>
            <w:proofErr w:type="spellStart"/>
            <w:r w:rsidRPr="00E40721">
              <w:rPr>
                <w:i/>
                <w:sz w:val="20"/>
              </w:rPr>
              <w:t>Baie</w:t>
            </w:r>
            <w:proofErr w:type="spellEnd"/>
            <w:r w:rsidRPr="00E40721">
              <w:rPr>
                <w:i/>
                <w:sz w:val="20"/>
              </w:rPr>
              <w:t xml:space="preserve"> James</w:t>
            </w:r>
            <w:r w:rsidRPr="00E40721">
              <w:rPr>
                <w:sz w:val="20"/>
              </w:rPr>
              <w:t>, 2001 SCC 39 — Whether employee authorized to take own claim to arbitration can later apply personally for judicial review of arbitration award and, if so, whether employee can do so at certified association’s expense.</w:t>
            </w:r>
          </w:p>
        </w:tc>
      </w:tr>
      <w:tr w:rsidR="00B65BA0" w:rsidRPr="00E40721" w:rsidTr="00B65BA0">
        <w:tc>
          <w:tcPr>
            <w:tcW w:w="5000" w:type="pct"/>
            <w:gridSpan w:val="4"/>
          </w:tcPr>
          <w:p w:rsidR="00B65BA0" w:rsidRPr="00E40721" w:rsidRDefault="00B65BA0" w:rsidP="00B65BA0">
            <w:pPr>
              <w:jc w:val="both"/>
              <w:rPr>
                <w:sz w:val="20"/>
              </w:rPr>
            </w:pPr>
          </w:p>
        </w:tc>
      </w:tr>
      <w:tr w:rsidR="00B65BA0" w:rsidRPr="00E40721" w:rsidTr="00B65BA0">
        <w:tc>
          <w:tcPr>
            <w:tcW w:w="5000" w:type="pct"/>
            <w:gridSpan w:val="4"/>
          </w:tcPr>
          <w:p w:rsidR="00B65BA0" w:rsidRPr="00E40721" w:rsidRDefault="00B65BA0" w:rsidP="00B65BA0">
            <w:pPr>
              <w:jc w:val="both"/>
              <w:rPr>
                <w:sz w:val="20"/>
              </w:rPr>
            </w:pPr>
            <w:r w:rsidRPr="00E40721">
              <w:rPr>
                <w:sz w:val="20"/>
              </w:rPr>
              <w:t xml:space="preserve">The applicants were employees of the City of Montréal who were authorized under s. 47.5 of the </w:t>
            </w:r>
            <w:r w:rsidRPr="00E40721">
              <w:rPr>
                <w:i/>
                <w:sz w:val="20"/>
              </w:rPr>
              <w:t>Labour Code</w:t>
            </w:r>
            <w:r w:rsidRPr="00E40721">
              <w:rPr>
                <w:sz w:val="20"/>
              </w:rPr>
              <w:t xml:space="preserve"> to submit their claims against the City to an arbitrator, as in the case a of grievance, following a breach by the </w:t>
            </w:r>
            <w:proofErr w:type="spellStart"/>
            <w:r w:rsidRPr="00E40721">
              <w:rPr>
                <w:sz w:val="20"/>
              </w:rPr>
              <w:t>Syndicat</w:t>
            </w:r>
            <w:proofErr w:type="spellEnd"/>
            <w:r w:rsidRPr="00E40721">
              <w:rPr>
                <w:sz w:val="20"/>
              </w:rPr>
              <w:t xml:space="preserve"> des </w:t>
            </w:r>
            <w:proofErr w:type="spellStart"/>
            <w:r w:rsidRPr="00E40721">
              <w:rPr>
                <w:sz w:val="20"/>
              </w:rPr>
              <w:t>fonctionnaires</w:t>
            </w:r>
            <w:proofErr w:type="spellEnd"/>
            <w:r w:rsidRPr="00E40721">
              <w:rPr>
                <w:sz w:val="20"/>
              </w:rPr>
              <w:t xml:space="preserve"> </w:t>
            </w:r>
            <w:proofErr w:type="spellStart"/>
            <w:r w:rsidRPr="00E40721">
              <w:rPr>
                <w:sz w:val="20"/>
              </w:rPr>
              <w:t>municipaux</w:t>
            </w:r>
            <w:proofErr w:type="spellEnd"/>
            <w:r w:rsidRPr="00E40721">
              <w:rPr>
                <w:sz w:val="20"/>
              </w:rPr>
              <w:t xml:space="preserve"> de Montréal (“union”) of its duty of representation. </w:t>
            </w:r>
          </w:p>
          <w:p w:rsidR="00B65BA0" w:rsidRPr="00E40721" w:rsidRDefault="00B65BA0" w:rsidP="00B65BA0">
            <w:pPr>
              <w:jc w:val="both"/>
              <w:rPr>
                <w:sz w:val="20"/>
              </w:rPr>
            </w:pPr>
          </w:p>
          <w:p w:rsidR="00B65BA0" w:rsidRPr="00E40721" w:rsidRDefault="00B65BA0" w:rsidP="00B65BA0">
            <w:pPr>
              <w:jc w:val="both"/>
              <w:rPr>
                <w:sz w:val="20"/>
              </w:rPr>
            </w:pPr>
            <w:r w:rsidRPr="00E40721">
              <w:rPr>
                <w:sz w:val="20"/>
              </w:rPr>
              <w:t>After the arbitrator decided against them, the applicants filed an application for judicial review with the Superior Court without going to see the union first. The City of Montréal opposed the application and filed a motion to dismiss, arguing that the employees did not have the necessary capacity to take part in such proceedings in the Superior Court, since the union had the exclusive right to represent employees of the City of Montréal.</w:t>
            </w:r>
          </w:p>
          <w:p w:rsidR="00B65BA0" w:rsidRPr="00E40721" w:rsidRDefault="00B65BA0" w:rsidP="00B65BA0">
            <w:pPr>
              <w:jc w:val="both"/>
              <w:rPr>
                <w:sz w:val="20"/>
              </w:rPr>
            </w:pPr>
          </w:p>
        </w:tc>
      </w:tr>
      <w:tr w:rsidR="00B65BA0" w:rsidRPr="00E40721" w:rsidTr="00B65BA0">
        <w:tblPrEx>
          <w:tblCellMar>
            <w:bottom w:w="0" w:type="dxa"/>
          </w:tblCellMar>
        </w:tblPrEx>
        <w:tc>
          <w:tcPr>
            <w:tcW w:w="2413" w:type="pct"/>
            <w:gridSpan w:val="2"/>
          </w:tcPr>
          <w:p w:rsidR="00B65BA0" w:rsidRPr="00E40721" w:rsidRDefault="00B65BA0" w:rsidP="00B65BA0">
            <w:pPr>
              <w:jc w:val="both"/>
              <w:rPr>
                <w:sz w:val="20"/>
                <w:lang w:val="fr-CA"/>
              </w:rPr>
            </w:pPr>
            <w:proofErr w:type="spellStart"/>
            <w:r w:rsidRPr="00E40721">
              <w:rPr>
                <w:sz w:val="20"/>
                <w:lang w:val="fr-CA"/>
              </w:rPr>
              <w:t>September</w:t>
            </w:r>
            <w:proofErr w:type="spellEnd"/>
            <w:r w:rsidRPr="00E40721">
              <w:rPr>
                <w:sz w:val="20"/>
                <w:lang w:val="fr-CA"/>
              </w:rPr>
              <w:t> 17, 2013</w:t>
            </w:r>
          </w:p>
          <w:p w:rsidR="00B65BA0" w:rsidRPr="00E40721" w:rsidRDefault="00B65BA0" w:rsidP="00B65BA0">
            <w:pPr>
              <w:jc w:val="both"/>
              <w:rPr>
                <w:sz w:val="20"/>
                <w:lang w:val="fr-CA"/>
              </w:rPr>
            </w:pPr>
            <w:r w:rsidRPr="00E40721">
              <w:rPr>
                <w:sz w:val="20"/>
                <w:lang w:val="fr-CA"/>
              </w:rPr>
              <w:t>Tribunal d’arbitrage</w:t>
            </w:r>
          </w:p>
          <w:p w:rsidR="00B65BA0" w:rsidRPr="00E40721" w:rsidRDefault="00B65BA0" w:rsidP="00B65BA0">
            <w:pPr>
              <w:jc w:val="both"/>
              <w:rPr>
                <w:sz w:val="20"/>
                <w:lang w:val="fr-CA"/>
              </w:rPr>
            </w:pPr>
            <w:r w:rsidRPr="00E40721">
              <w:rPr>
                <w:sz w:val="20"/>
                <w:lang w:val="fr-CA"/>
              </w:rPr>
              <w:t>(</w:t>
            </w:r>
            <w:proofErr w:type="spellStart"/>
            <w:r w:rsidRPr="00E40721">
              <w:rPr>
                <w:sz w:val="20"/>
                <w:lang w:val="fr-CA"/>
              </w:rPr>
              <w:t>Arbitrator</w:t>
            </w:r>
            <w:proofErr w:type="spellEnd"/>
            <w:r w:rsidRPr="00E40721">
              <w:rPr>
                <w:sz w:val="20"/>
                <w:lang w:val="fr-CA"/>
              </w:rPr>
              <w:t xml:space="preserve"> Claude H. Foisy)</w:t>
            </w:r>
          </w:p>
          <w:p w:rsidR="00B65BA0" w:rsidRPr="00E40721" w:rsidRDefault="00B65BA0" w:rsidP="00B65BA0">
            <w:pPr>
              <w:jc w:val="both"/>
              <w:rPr>
                <w:sz w:val="20"/>
              </w:rPr>
            </w:pPr>
            <w:r w:rsidRPr="00E40721">
              <w:rPr>
                <w:sz w:val="20"/>
              </w:rPr>
              <w:t>AZ-51003184</w:t>
            </w:r>
          </w:p>
          <w:p w:rsidR="00B65BA0" w:rsidRPr="00E40721" w:rsidRDefault="00B65BA0" w:rsidP="00B65BA0">
            <w:pPr>
              <w:jc w:val="both"/>
              <w:rPr>
                <w:sz w:val="20"/>
              </w:rPr>
            </w:pPr>
          </w:p>
        </w:tc>
        <w:tc>
          <w:tcPr>
            <w:tcW w:w="273" w:type="pct"/>
          </w:tcPr>
          <w:p w:rsidR="00B65BA0" w:rsidRPr="00E40721" w:rsidRDefault="00B65BA0" w:rsidP="00B65BA0">
            <w:pPr>
              <w:jc w:val="both"/>
              <w:rPr>
                <w:sz w:val="20"/>
              </w:rPr>
            </w:pPr>
          </w:p>
        </w:tc>
        <w:tc>
          <w:tcPr>
            <w:tcW w:w="2314" w:type="pct"/>
          </w:tcPr>
          <w:p w:rsidR="00B65BA0" w:rsidRPr="00E40721" w:rsidRDefault="00B65BA0" w:rsidP="00B65BA0">
            <w:pPr>
              <w:jc w:val="both"/>
              <w:rPr>
                <w:sz w:val="20"/>
              </w:rPr>
            </w:pPr>
            <w:r w:rsidRPr="00E40721">
              <w:rPr>
                <w:sz w:val="20"/>
              </w:rPr>
              <w:t>Grievances dismissed</w:t>
            </w:r>
          </w:p>
        </w:tc>
      </w:tr>
      <w:tr w:rsidR="00B65BA0" w:rsidRPr="00E40721" w:rsidTr="00B65BA0">
        <w:tblPrEx>
          <w:tblCellMar>
            <w:bottom w:w="0" w:type="dxa"/>
          </w:tblCellMar>
        </w:tblPrEx>
        <w:tc>
          <w:tcPr>
            <w:tcW w:w="2413" w:type="pct"/>
            <w:gridSpan w:val="2"/>
          </w:tcPr>
          <w:p w:rsidR="00B65BA0" w:rsidRPr="00E40721" w:rsidRDefault="00B65BA0" w:rsidP="00B65BA0">
            <w:pPr>
              <w:jc w:val="both"/>
              <w:rPr>
                <w:sz w:val="20"/>
              </w:rPr>
            </w:pPr>
            <w:r w:rsidRPr="00E40721">
              <w:rPr>
                <w:sz w:val="20"/>
              </w:rPr>
              <w:t>February 12, 2016</w:t>
            </w:r>
          </w:p>
          <w:p w:rsidR="00B65BA0" w:rsidRPr="00E40721" w:rsidRDefault="00B65BA0" w:rsidP="00B65BA0">
            <w:pPr>
              <w:jc w:val="both"/>
              <w:rPr>
                <w:sz w:val="20"/>
              </w:rPr>
            </w:pPr>
            <w:r w:rsidRPr="00E40721">
              <w:rPr>
                <w:sz w:val="20"/>
              </w:rPr>
              <w:t>Quebec Superior Court</w:t>
            </w:r>
          </w:p>
          <w:p w:rsidR="00B65BA0" w:rsidRPr="00E40721" w:rsidRDefault="00B65BA0" w:rsidP="00B65BA0">
            <w:pPr>
              <w:jc w:val="both"/>
              <w:rPr>
                <w:sz w:val="20"/>
              </w:rPr>
            </w:pPr>
            <w:r w:rsidRPr="00E40721">
              <w:rPr>
                <w:sz w:val="20"/>
              </w:rPr>
              <w:t>(</w:t>
            </w:r>
            <w:proofErr w:type="spellStart"/>
            <w:r w:rsidRPr="00E40721">
              <w:rPr>
                <w:sz w:val="20"/>
              </w:rPr>
              <w:t>Yergeau</w:t>
            </w:r>
            <w:proofErr w:type="spellEnd"/>
            <w:r w:rsidRPr="00E40721">
              <w:rPr>
                <w:sz w:val="20"/>
              </w:rPr>
              <w:t xml:space="preserve"> J.)</w:t>
            </w:r>
          </w:p>
          <w:p w:rsidR="00B65BA0" w:rsidRPr="00E40721" w:rsidRDefault="00E7387C" w:rsidP="00B65BA0">
            <w:pPr>
              <w:jc w:val="both"/>
              <w:rPr>
                <w:sz w:val="20"/>
              </w:rPr>
            </w:pPr>
            <w:hyperlink r:id="rId23" w:history="1">
              <w:r w:rsidR="00B65BA0" w:rsidRPr="00E40721">
                <w:rPr>
                  <w:rStyle w:val="Hyperlink"/>
                  <w:sz w:val="20"/>
                </w:rPr>
                <w:t>2015 QCCS 415</w:t>
              </w:r>
            </w:hyperlink>
          </w:p>
          <w:p w:rsidR="00B65BA0" w:rsidRPr="00E40721" w:rsidRDefault="00B65BA0" w:rsidP="00B65BA0">
            <w:pPr>
              <w:jc w:val="both"/>
              <w:rPr>
                <w:sz w:val="20"/>
              </w:rPr>
            </w:pPr>
          </w:p>
        </w:tc>
        <w:tc>
          <w:tcPr>
            <w:tcW w:w="273" w:type="pct"/>
          </w:tcPr>
          <w:p w:rsidR="00B65BA0" w:rsidRPr="00E40721" w:rsidRDefault="00B65BA0" w:rsidP="00B65BA0">
            <w:pPr>
              <w:jc w:val="both"/>
              <w:rPr>
                <w:sz w:val="20"/>
              </w:rPr>
            </w:pPr>
          </w:p>
        </w:tc>
        <w:tc>
          <w:tcPr>
            <w:tcW w:w="2314" w:type="pct"/>
          </w:tcPr>
          <w:p w:rsidR="00B65BA0" w:rsidRPr="00E40721" w:rsidRDefault="00B65BA0" w:rsidP="00B65BA0">
            <w:pPr>
              <w:jc w:val="both"/>
              <w:rPr>
                <w:sz w:val="20"/>
              </w:rPr>
            </w:pPr>
            <w:r w:rsidRPr="00E40721">
              <w:rPr>
                <w:sz w:val="20"/>
              </w:rPr>
              <w:t xml:space="preserve">City of Montréal’s motion to dismiss allowed </w:t>
            </w:r>
          </w:p>
          <w:p w:rsidR="00B65BA0" w:rsidRPr="00E40721" w:rsidRDefault="00B65BA0" w:rsidP="00B65BA0">
            <w:pPr>
              <w:jc w:val="both"/>
              <w:rPr>
                <w:sz w:val="20"/>
              </w:rPr>
            </w:pPr>
          </w:p>
        </w:tc>
      </w:tr>
    </w:tbl>
    <w:p w:rsidR="00B66AE9" w:rsidRDefault="00B66AE9">
      <w:r>
        <w:br w:type="page"/>
      </w:r>
    </w:p>
    <w:tbl>
      <w:tblPr>
        <w:tblW w:w="4904" w:type="pct"/>
        <w:tblLayout w:type="fixed"/>
        <w:tblCellMar>
          <w:left w:w="0" w:type="dxa"/>
          <w:right w:w="0" w:type="dxa"/>
        </w:tblCellMar>
        <w:tblLook w:val="04A0" w:firstRow="1" w:lastRow="0" w:firstColumn="1" w:lastColumn="0" w:noHBand="0" w:noVBand="1"/>
      </w:tblPr>
      <w:tblGrid>
        <w:gridCol w:w="4553"/>
        <w:gridCol w:w="515"/>
        <w:gridCol w:w="4366"/>
      </w:tblGrid>
      <w:tr w:rsidR="00B65BA0" w:rsidRPr="00E40721" w:rsidTr="00B65BA0">
        <w:tc>
          <w:tcPr>
            <w:tcW w:w="2413" w:type="pct"/>
          </w:tcPr>
          <w:p w:rsidR="00B65BA0" w:rsidRPr="00E40721" w:rsidRDefault="00B65BA0" w:rsidP="00B65BA0">
            <w:pPr>
              <w:jc w:val="both"/>
              <w:rPr>
                <w:sz w:val="20"/>
              </w:rPr>
            </w:pPr>
            <w:r w:rsidRPr="00E40721">
              <w:rPr>
                <w:sz w:val="20"/>
              </w:rPr>
              <w:lastRenderedPageBreak/>
              <w:t>October 13, 2016</w:t>
            </w:r>
          </w:p>
          <w:p w:rsidR="00B65BA0" w:rsidRPr="00E40721" w:rsidRDefault="00B65BA0" w:rsidP="00B65BA0">
            <w:pPr>
              <w:jc w:val="both"/>
              <w:rPr>
                <w:sz w:val="20"/>
              </w:rPr>
            </w:pPr>
            <w:r w:rsidRPr="00E40721">
              <w:rPr>
                <w:sz w:val="20"/>
              </w:rPr>
              <w:t>Quebec Court of Appeal (Montréal)</w:t>
            </w:r>
          </w:p>
          <w:p w:rsidR="00B65BA0" w:rsidRPr="00E40721" w:rsidRDefault="00B65BA0" w:rsidP="00B65BA0">
            <w:pPr>
              <w:jc w:val="both"/>
              <w:rPr>
                <w:sz w:val="20"/>
              </w:rPr>
            </w:pPr>
            <w:r w:rsidRPr="00E40721">
              <w:rPr>
                <w:sz w:val="20"/>
              </w:rPr>
              <w:t>(</w:t>
            </w:r>
            <w:proofErr w:type="spellStart"/>
            <w:r w:rsidRPr="00E40721">
              <w:rPr>
                <w:sz w:val="20"/>
              </w:rPr>
              <w:t>Bich</w:t>
            </w:r>
            <w:proofErr w:type="spellEnd"/>
            <w:r w:rsidRPr="00E40721">
              <w:rPr>
                <w:sz w:val="20"/>
              </w:rPr>
              <w:t xml:space="preserve">, St-Pierre and </w:t>
            </w:r>
            <w:proofErr w:type="spellStart"/>
            <w:r w:rsidRPr="00E40721">
              <w:rPr>
                <w:sz w:val="20"/>
              </w:rPr>
              <w:t>Émond</w:t>
            </w:r>
            <w:proofErr w:type="spellEnd"/>
            <w:r w:rsidRPr="00E40721">
              <w:rPr>
                <w:sz w:val="20"/>
              </w:rPr>
              <w:t xml:space="preserve"> JJ.A.)</w:t>
            </w:r>
          </w:p>
          <w:p w:rsidR="00B65BA0" w:rsidRPr="00E40721" w:rsidRDefault="00E7387C" w:rsidP="00B65BA0">
            <w:pPr>
              <w:jc w:val="both"/>
              <w:rPr>
                <w:sz w:val="20"/>
              </w:rPr>
            </w:pPr>
            <w:hyperlink r:id="rId24" w:history="1">
              <w:r w:rsidR="00B65BA0" w:rsidRPr="00E40721">
                <w:rPr>
                  <w:rStyle w:val="Hyperlink"/>
                  <w:sz w:val="20"/>
                </w:rPr>
                <w:t>2016 QCCA 1665</w:t>
              </w:r>
            </w:hyperlink>
            <w:r w:rsidR="00B65BA0" w:rsidRPr="00E40721">
              <w:rPr>
                <w:sz w:val="20"/>
              </w:rPr>
              <w:t xml:space="preserve"> </w:t>
            </w:r>
          </w:p>
          <w:p w:rsidR="00B65BA0" w:rsidRPr="00E40721" w:rsidRDefault="00B65BA0" w:rsidP="00B65BA0">
            <w:pPr>
              <w:jc w:val="both"/>
              <w:rPr>
                <w:sz w:val="20"/>
              </w:rPr>
            </w:pPr>
          </w:p>
        </w:tc>
        <w:tc>
          <w:tcPr>
            <w:tcW w:w="273" w:type="pct"/>
          </w:tcPr>
          <w:p w:rsidR="00B65BA0" w:rsidRPr="00E40721" w:rsidRDefault="00B65BA0" w:rsidP="00B65BA0">
            <w:pPr>
              <w:jc w:val="both"/>
              <w:rPr>
                <w:sz w:val="20"/>
              </w:rPr>
            </w:pPr>
          </w:p>
        </w:tc>
        <w:tc>
          <w:tcPr>
            <w:tcW w:w="2314" w:type="pct"/>
          </w:tcPr>
          <w:p w:rsidR="00B65BA0" w:rsidRPr="00E40721" w:rsidRDefault="00B65BA0" w:rsidP="00B65BA0">
            <w:pPr>
              <w:jc w:val="both"/>
              <w:rPr>
                <w:sz w:val="20"/>
              </w:rPr>
            </w:pPr>
            <w:r w:rsidRPr="00E40721">
              <w:rPr>
                <w:sz w:val="20"/>
              </w:rPr>
              <w:t>Appeal dismissed</w:t>
            </w:r>
          </w:p>
        </w:tc>
      </w:tr>
      <w:tr w:rsidR="00B65BA0" w:rsidRPr="00E40721" w:rsidTr="00B65BA0">
        <w:tc>
          <w:tcPr>
            <w:tcW w:w="2413" w:type="pct"/>
          </w:tcPr>
          <w:p w:rsidR="00B65BA0" w:rsidRPr="00E40721" w:rsidRDefault="00B65BA0" w:rsidP="00B65BA0">
            <w:pPr>
              <w:jc w:val="both"/>
              <w:rPr>
                <w:sz w:val="20"/>
              </w:rPr>
            </w:pPr>
            <w:r w:rsidRPr="00E40721">
              <w:rPr>
                <w:sz w:val="20"/>
              </w:rPr>
              <w:t>December 12, 2016</w:t>
            </w:r>
          </w:p>
          <w:p w:rsidR="00B65BA0" w:rsidRPr="00E40721" w:rsidRDefault="00B65BA0" w:rsidP="00B65BA0">
            <w:pPr>
              <w:jc w:val="both"/>
              <w:rPr>
                <w:sz w:val="20"/>
              </w:rPr>
            </w:pPr>
            <w:r w:rsidRPr="00E40721">
              <w:rPr>
                <w:sz w:val="20"/>
              </w:rPr>
              <w:t>Supreme Court of Canada</w:t>
            </w:r>
          </w:p>
        </w:tc>
        <w:tc>
          <w:tcPr>
            <w:tcW w:w="273" w:type="pct"/>
          </w:tcPr>
          <w:p w:rsidR="00B65BA0" w:rsidRPr="00E40721" w:rsidRDefault="00B65BA0" w:rsidP="00B65BA0">
            <w:pPr>
              <w:jc w:val="both"/>
              <w:rPr>
                <w:sz w:val="20"/>
              </w:rPr>
            </w:pPr>
          </w:p>
        </w:tc>
        <w:tc>
          <w:tcPr>
            <w:tcW w:w="2314" w:type="pct"/>
          </w:tcPr>
          <w:p w:rsidR="00B65BA0" w:rsidRPr="00E40721" w:rsidRDefault="00B65BA0" w:rsidP="00B65BA0">
            <w:pPr>
              <w:jc w:val="both"/>
              <w:rPr>
                <w:sz w:val="20"/>
              </w:rPr>
            </w:pPr>
            <w:r w:rsidRPr="00E40721">
              <w:rPr>
                <w:sz w:val="20"/>
              </w:rPr>
              <w:t>Application for leave to appeal filed</w:t>
            </w:r>
          </w:p>
          <w:p w:rsidR="00B65BA0" w:rsidRPr="00E40721" w:rsidRDefault="00B65BA0" w:rsidP="00B65BA0">
            <w:pPr>
              <w:jc w:val="both"/>
              <w:rPr>
                <w:sz w:val="20"/>
              </w:rPr>
            </w:pPr>
          </w:p>
        </w:tc>
      </w:tr>
    </w:tbl>
    <w:p w:rsidR="00B65BA0" w:rsidRDefault="00E7387C" w:rsidP="00B65BA0">
      <w:pPr>
        <w:jc w:val="both"/>
        <w:rPr>
          <w:sz w:val="20"/>
        </w:rPr>
      </w:pPr>
      <w:r>
        <w:rPr>
          <w:sz w:val="20"/>
          <w:szCs w:val="20"/>
        </w:rPr>
        <w:pict>
          <v:rect id="_x0000_i1035" style="width:2in;height:1pt" o:hrpct="0" o:hralign="center" o:hrstd="t" o:hrnoshade="t" o:hr="t" fillcolor="black [3213]" stroked="f"/>
        </w:pict>
      </w:r>
    </w:p>
    <w:p w:rsidR="00B65BA0" w:rsidRPr="00E40721" w:rsidRDefault="00B65BA0" w:rsidP="00B65BA0">
      <w:pPr>
        <w:jc w:val="both"/>
        <w:rPr>
          <w:sz w:val="20"/>
        </w:rPr>
      </w:pPr>
    </w:p>
    <w:tbl>
      <w:tblPr>
        <w:tblW w:w="4904" w:type="pct"/>
        <w:tblLayout w:type="fixed"/>
        <w:tblCellMar>
          <w:left w:w="0" w:type="dxa"/>
          <w:bottom w:w="99" w:type="dxa"/>
          <w:right w:w="0" w:type="dxa"/>
        </w:tblCellMar>
        <w:tblLook w:val="04A0" w:firstRow="1" w:lastRow="0" w:firstColumn="1" w:lastColumn="0" w:noHBand="0" w:noVBand="1"/>
      </w:tblPr>
      <w:tblGrid>
        <w:gridCol w:w="1034"/>
        <w:gridCol w:w="3519"/>
        <w:gridCol w:w="515"/>
        <w:gridCol w:w="4366"/>
      </w:tblGrid>
      <w:tr w:rsidR="00B65BA0" w:rsidRPr="00E40721" w:rsidTr="00B65BA0">
        <w:tc>
          <w:tcPr>
            <w:tcW w:w="548" w:type="pct"/>
          </w:tcPr>
          <w:p w:rsidR="00B65BA0" w:rsidRPr="00E40721" w:rsidRDefault="00B65BA0" w:rsidP="00B65BA0">
            <w:pPr>
              <w:jc w:val="both"/>
              <w:rPr>
                <w:sz w:val="20"/>
              </w:rPr>
            </w:pPr>
            <w:r w:rsidRPr="00E40721">
              <w:rPr>
                <w:rStyle w:val="SCCFileNumberChar"/>
                <w:sz w:val="20"/>
                <w:szCs w:val="20"/>
              </w:rPr>
              <w:t>37344</w:t>
            </w:r>
          </w:p>
        </w:tc>
        <w:tc>
          <w:tcPr>
            <w:tcW w:w="4452" w:type="pct"/>
            <w:gridSpan w:val="3"/>
          </w:tcPr>
          <w:p w:rsidR="00B65BA0" w:rsidRPr="00E40721" w:rsidRDefault="00B65BA0" w:rsidP="00B65BA0">
            <w:pPr>
              <w:pStyle w:val="SCCLsocParty"/>
              <w:jc w:val="both"/>
              <w:rPr>
                <w:b/>
                <w:sz w:val="20"/>
                <w:szCs w:val="20"/>
              </w:rPr>
            </w:pPr>
            <w:r w:rsidRPr="00E40721">
              <w:rPr>
                <w:b/>
                <w:sz w:val="20"/>
                <w:szCs w:val="20"/>
              </w:rPr>
              <w:t xml:space="preserve">Lyse Cinq-Mars, Christiane </w:t>
            </w:r>
            <w:proofErr w:type="spellStart"/>
            <w:r w:rsidRPr="00E40721">
              <w:rPr>
                <w:b/>
                <w:sz w:val="20"/>
                <w:szCs w:val="20"/>
              </w:rPr>
              <w:t>Lower</w:t>
            </w:r>
            <w:proofErr w:type="spellEnd"/>
            <w:r w:rsidRPr="00E40721">
              <w:rPr>
                <w:b/>
                <w:sz w:val="20"/>
                <w:szCs w:val="20"/>
              </w:rPr>
              <w:t xml:space="preserve">, Linda Hamel, Jocelyne </w:t>
            </w:r>
            <w:proofErr w:type="spellStart"/>
            <w:r w:rsidRPr="00E40721">
              <w:rPr>
                <w:b/>
                <w:sz w:val="20"/>
                <w:szCs w:val="20"/>
              </w:rPr>
              <w:t>Baillargeon</w:t>
            </w:r>
            <w:proofErr w:type="spellEnd"/>
            <w:r w:rsidRPr="00E40721">
              <w:rPr>
                <w:b/>
                <w:sz w:val="20"/>
                <w:szCs w:val="20"/>
              </w:rPr>
              <w:t xml:space="preserve">, </w:t>
            </w:r>
            <w:proofErr w:type="spellStart"/>
            <w:r w:rsidRPr="00E40721">
              <w:rPr>
                <w:b/>
                <w:sz w:val="20"/>
                <w:szCs w:val="20"/>
              </w:rPr>
              <w:t>Rafik</w:t>
            </w:r>
            <w:proofErr w:type="spellEnd"/>
            <w:r w:rsidRPr="00E40721">
              <w:rPr>
                <w:b/>
                <w:sz w:val="20"/>
                <w:szCs w:val="20"/>
              </w:rPr>
              <w:t xml:space="preserve"> </w:t>
            </w:r>
            <w:proofErr w:type="spellStart"/>
            <w:r w:rsidRPr="00E40721">
              <w:rPr>
                <w:b/>
                <w:sz w:val="20"/>
                <w:szCs w:val="20"/>
              </w:rPr>
              <w:t>Salama</w:t>
            </w:r>
            <w:proofErr w:type="spellEnd"/>
            <w:r w:rsidRPr="00E40721">
              <w:rPr>
                <w:b/>
                <w:sz w:val="20"/>
                <w:szCs w:val="20"/>
              </w:rPr>
              <w:t xml:space="preserve">, Diane Burke, Carmen Béland, Marjolaine </w:t>
            </w:r>
            <w:proofErr w:type="spellStart"/>
            <w:r w:rsidRPr="00E40721">
              <w:rPr>
                <w:b/>
                <w:sz w:val="20"/>
                <w:szCs w:val="20"/>
              </w:rPr>
              <w:t>Morest</w:t>
            </w:r>
            <w:proofErr w:type="spellEnd"/>
            <w:r w:rsidRPr="00E40721">
              <w:rPr>
                <w:b/>
                <w:sz w:val="20"/>
                <w:szCs w:val="20"/>
              </w:rPr>
              <w:t xml:space="preserve">, Maryse Charbonneau, Jocelyne Gingras, Pierre Arbour, Francine Major, Mustapha </w:t>
            </w:r>
            <w:proofErr w:type="spellStart"/>
            <w:r w:rsidRPr="00E40721">
              <w:rPr>
                <w:b/>
                <w:sz w:val="20"/>
                <w:szCs w:val="20"/>
              </w:rPr>
              <w:t>Bourghol</w:t>
            </w:r>
            <w:proofErr w:type="spellEnd"/>
            <w:r w:rsidRPr="00E40721">
              <w:rPr>
                <w:b/>
                <w:sz w:val="20"/>
                <w:szCs w:val="20"/>
              </w:rPr>
              <w:t xml:space="preserve">, Alain Bédard, Myriam </w:t>
            </w:r>
            <w:proofErr w:type="spellStart"/>
            <w:r w:rsidRPr="00E40721">
              <w:rPr>
                <w:b/>
                <w:sz w:val="20"/>
                <w:szCs w:val="20"/>
              </w:rPr>
              <w:t>Méchaly-Benharroch</w:t>
            </w:r>
            <w:proofErr w:type="spellEnd"/>
            <w:r w:rsidRPr="00E40721">
              <w:rPr>
                <w:b/>
                <w:sz w:val="20"/>
                <w:szCs w:val="20"/>
              </w:rPr>
              <w:t xml:space="preserve">, Louis-François Carrière, Huguette Bélanger, Chantal Séguin, Micheline Bertrand, Doris Nault, Gisèle </w:t>
            </w:r>
            <w:proofErr w:type="spellStart"/>
            <w:r w:rsidRPr="00E40721">
              <w:rPr>
                <w:b/>
                <w:sz w:val="20"/>
                <w:szCs w:val="20"/>
              </w:rPr>
              <w:t>Jauron</w:t>
            </w:r>
            <w:proofErr w:type="spellEnd"/>
            <w:r w:rsidRPr="00E40721">
              <w:rPr>
                <w:b/>
                <w:sz w:val="20"/>
                <w:szCs w:val="20"/>
              </w:rPr>
              <w:t xml:space="preserve">, Danielle Forget, Ginette St-Martin, Yves Lefebvre, Michel Boudreau, Sophie Thibodeau, André </w:t>
            </w:r>
            <w:proofErr w:type="spellStart"/>
            <w:r w:rsidRPr="00E40721">
              <w:rPr>
                <w:b/>
                <w:sz w:val="20"/>
                <w:szCs w:val="20"/>
              </w:rPr>
              <w:t>Léveillé</w:t>
            </w:r>
            <w:proofErr w:type="spellEnd"/>
            <w:r w:rsidRPr="00E40721">
              <w:rPr>
                <w:b/>
                <w:sz w:val="20"/>
                <w:szCs w:val="20"/>
              </w:rPr>
              <w:t xml:space="preserve">, Maryse Laniel, Yves Drolet, Francine St-Aubin, Bernard </w:t>
            </w:r>
            <w:proofErr w:type="spellStart"/>
            <w:r w:rsidRPr="00E40721">
              <w:rPr>
                <w:b/>
                <w:sz w:val="20"/>
                <w:szCs w:val="20"/>
              </w:rPr>
              <w:t>Laurencelle</w:t>
            </w:r>
            <w:proofErr w:type="spellEnd"/>
            <w:r w:rsidRPr="00E40721">
              <w:rPr>
                <w:b/>
                <w:sz w:val="20"/>
                <w:szCs w:val="20"/>
              </w:rPr>
              <w:t xml:space="preserve">, Jean-Pierre Fortier, Francine C. </w:t>
            </w:r>
            <w:proofErr w:type="spellStart"/>
            <w:r w:rsidRPr="00E40721">
              <w:rPr>
                <w:b/>
                <w:sz w:val="20"/>
                <w:szCs w:val="20"/>
              </w:rPr>
              <w:t>Szalai</w:t>
            </w:r>
            <w:proofErr w:type="spellEnd"/>
            <w:r w:rsidRPr="00E40721">
              <w:rPr>
                <w:b/>
                <w:sz w:val="20"/>
                <w:szCs w:val="20"/>
              </w:rPr>
              <w:t xml:space="preserve">, Pierre Léonard, Anny Gagnon, André Tremblay, Ginette Gauthier, Carole Vinet, Kamel </w:t>
            </w:r>
            <w:proofErr w:type="spellStart"/>
            <w:r w:rsidRPr="00E40721">
              <w:rPr>
                <w:b/>
                <w:sz w:val="20"/>
                <w:szCs w:val="20"/>
              </w:rPr>
              <w:t>Harrouche</w:t>
            </w:r>
            <w:proofErr w:type="spellEnd"/>
            <w:r w:rsidRPr="00E40721">
              <w:rPr>
                <w:b/>
                <w:sz w:val="20"/>
                <w:szCs w:val="20"/>
              </w:rPr>
              <w:t xml:space="preserve">, Caroline </w:t>
            </w:r>
            <w:proofErr w:type="spellStart"/>
            <w:r w:rsidRPr="00E40721">
              <w:rPr>
                <w:b/>
                <w:sz w:val="20"/>
                <w:szCs w:val="20"/>
              </w:rPr>
              <w:t>Berrouard</w:t>
            </w:r>
            <w:proofErr w:type="spellEnd"/>
            <w:r w:rsidRPr="00E40721">
              <w:rPr>
                <w:b/>
                <w:sz w:val="20"/>
                <w:szCs w:val="20"/>
              </w:rPr>
              <w:t xml:space="preserve">, Suzanne Pageau, Diane Landry, Diane </w:t>
            </w:r>
            <w:proofErr w:type="spellStart"/>
            <w:r w:rsidRPr="00E40721">
              <w:rPr>
                <w:b/>
                <w:sz w:val="20"/>
                <w:szCs w:val="20"/>
              </w:rPr>
              <w:t>Degagné</w:t>
            </w:r>
            <w:proofErr w:type="spellEnd"/>
            <w:r w:rsidRPr="00E40721">
              <w:rPr>
                <w:b/>
                <w:sz w:val="20"/>
                <w:szCs w:val="20"/>
              </w:rPr>
              <w:t xml:space="preserve">, France Séguin, Lise Lachance, Johanne Deschamps, Diane Roy, Jean-Guy </w:t>
            </w:r>
            <w:proofErr w:type="spellStart"/>
            <w:r w:rsidRPr="00E40721">
              <w:rPr>
                <w:b/>
                <w:sz w:val="20"/>
                <w:szCs w:val="20"/>
              </w:rPr>
              <w:t>Lahaie</w:t>
            </w:r>
            <w:proofErr w:type="spellEnd"/>
            <w:r w:rsidRPr="00E40721">
              <w:rPr>
                <w:b/>
                <w:sz w:val="20"/>
                <w:szCs w:val="20"/>
              </w:rPr>
              <w:t xml:space="preserve">, Marc Jasmin, Fernande </w:t>
            </w:r>
            <w:proofErr w:type="spellStart"/>
            <w:r w:rsidRPr="00E40721">
              <w:rPr>
                <w:b/>
                <w:sz w:val="20"/>
                <w:szCs w:val="20"/>
              </w:rPr>
              <w:t>Bigras</w:t>
            </w:r>
            <w:proofErr w:type="spellEnd"/>
            <w:r w:rsidRPr="00E40721">
              <w:rPr>
                <w:b/>
                <w:sz w:val="20"/>
                <w:szCs w:val="20"/>
              </w:rPr>
              <w:t xml:space="preserve">, François Pellerin, Nicole </w:t>
            </w:r>
            <w:proofErr w:type="spellStart"/>
            <w:r w:rsidRPr="00E40721">
              <w:rPr>
                <w:b/>
                <w:sz w:val="20"/>
                <w:szCs w:val="20"/>
              </w:rPr>
              <w:t>Juteau</w:t>
            </w:r>
            <w:proofErr w:type="spellEnd"/>
            <w:r w:rsidRPr="00E40721">
              <w:rPr>
                <w:b/>
                <w:sz w:val="20"/>
                <w:szCs w:val="20"/>
              </w:rPr>
              <w:t xml:space="preserve">, René Boileau, Lucie Poirier, Louise </w:t>
            </w:r>
            <w:proofErr w:type="spellStart"/>
            <w:r w:rsidRPr="00E40721">
              <w:rPr>
                <w:b/>
                <w:sz w:val="20"/>
                <w:szCs w:val="20"/>
              </w:rPr>
              <w:t>Lagacé</w:t>
            </w:r>
            <w:proofErr w:type="spellEnd"/>
            <w:r w:rsidRPr="00E40721">
              <w:rPr>
                <w:b/>
                <w:sz w:val="20"/>
                <w:szCs w:val="20"/>
              </w:rPr>
              <w:t xml:space="preserve">, Danièle </w:t>
            </w:r>
            <w:proofErr w:type="spellStart"/>
            <w:r w:rsidRPr="00E40721">
              <w:rPr>
                <w:b/>
                <w:sz w:val="20"/>
                <w:szCs w:val="20"/>
              </w:rPr>
              <w:t>Désilets</w:t>
            </w:r>
            <w:proofErr w:type="spellEnd"/>
            <w:r w:rsidRPr="00E40721">
              <w:rPr>
                <w:b/>
                <w:sz w:val="20"/>
                <w:szCs w:val="20"/>
              </w:rPr>
              <w:t xml:space="preserve">, Yamina </w:t>
            </w:r>
            <w:proofErr w:type="spellStart"/>
            <w:r w:rsidRPr="00E40721">
              <w:rPr>
                <w:b/>
                <w:sz w:val="20"/>
                <w:szCs w:val="20"/>
              </w:rPr>
              <w:t>Souami</w:t>
            </w:r>
            <w:proofErr w:type="spellEnd"/>
            <w:r w:rsidRPr="00E40721">
              <w:rPr>
                <w:b/>
                <w:sz w:val="20"/>
                <w:szCs w:val="20"/>
              </w:rPr>
              <w:t xml:space="preserve">, Suzanne </w:t>
            </w:r>
            <w:proofErr w:type="spellStart"/>
            <w:r w:rsidRPr="00E40721">
              <w:rPr>
                <w:b/>
                <w:sz w:val="20"/>
                <w:szCs w:val="20"/>
              </w:rPr>
              <w:t>Deslauriers</w:t>
            </w:r>
            <w:proofErr w:type="spellEnd"/>
            <w:r w:rsidRPr="00E40721">
              <w:rPr>
                <w:b/>
                <w:sz w:val="20"/>
                <w:szCs w:val="20"/>
              </w:rPr>
              <w:t xml:space="preserve">, France </w:t>
            </w:r>
            <w:proofErr w:type="spellStart"/>
            <w:r w:rsidRPr="00E40721">
              <w:rPr>
                <w:b/>
                <w:sz w:val="20"/>
                <w:szCs w:val="20"/>
              </w:rPr>
              <w:t>Soussana</w:t>
            </w:r>
            <w:proofErr w:type="spellEnd"/>
            <w:r w:rsidRPr="00E40721">
              <w:rPr>
                <w:b/>
                <w:sz w:val="20"/>
                <w:szCs w:val="20"/>
              </w:rPr>
              <w:t xml:space="preserve">, Nicole Lapointe, Patricia </w:t>
            </w:r>
            <w:proofErr w:type="spellStart"/>
            <w:r w:rsidRPr="00E40721">
              <w:rPr>
                <w:b/>
                <w:sz w:val="20"/>
                <w:szCs w:val="20"/>
              </w:rPr>
              <w:t>Duthilleul</w:t>
            </w:r>
            <w:proofErr w:type="spellEnd"/>
            <w:r w:rsidRPr="00E40721">
              <w:rPr>
                <w:b/>
                <w:sz w:val="20"/>
                <w:szCs w:val="20"/>
              </w:rPr>
              <w:t xml:space="preserve">, Gilles Paradis, Nicole </w:t>
            </w:r>
            <w:proofErr w:type="spellStart"/>
            <w:r w:rsidRPr="00E40721">
              <w:rPr>
                <w:b/>
                <w:sz w:val="20"/>
                <w:szCs w:val="20"/>
              </w:rPr>
              <w:t>Lecavalier</w:t>
            </w:r>
            <w:proofErr w:type="spellEnd"/>
            <w:r w:rsidRPr="00E40721">
              <w:rPr>
                <w:b/>
                <w:sz w:val="20"/>
                <w:szCs w:val="20"/>
              </w:rPr>
              <w:t xml:space="preserve">, Jean Lévesque, Richard April, Lydie Ngo </w:t>
            </w:r>
            <w:proofErr w:type="spellStart"/>
            <w:r w:rsidRPr="00E40721">
              <w:rPr>
                <w:b/>
                <w:sz w:val="20"/>
                <w:szCs w:val="20"/>
              </w:rPr>
              <w:t>Njonog</w:t>
            </w:r>
            <w:proofErr w:type="spellEnd"/>
            <w:r w:rsidRPr="00E40721">
              <w:rPr>
                <w:b/>
                <w:sz w:val="20"/>
                <w:szCs w:val="20"/>
              </w:rPr>
              <w:t xml:space="preserve">, Margit </w:t>
            </w:r>
            <w:proofErr w:type="spellStart"/>
            <w:r w:rsidRPr="00E40721">
              <w:rPr>
                <w:b/>
                <w:sz w:val="20"/>
                <w:szCs w:val="20"/>
              </w:rPr>
              <w:t>Gyongyi</w:t>
            </w:r>
            <w:proofErr w:type="spellEnd"/>
            <w:r w:rsidRPr="00E40721">
              <w:rPr>
                <w:b/>
                <w:sz w:val="20"/>
                <w:szCs w:val="20"/>
              </w:rPr>
              <w:t xml:space="preserve"> </w:t>
            </w:r>
            <w:proofErr w:type="spellStart"/>
            <w:r w:rsidRPr="00E40721">
              <w:rPr>
                <w:b/>
                <w:sz w:val="20"/>
                <w:szCs w:val="20"/>
              </w:rPr>
              <w:t>Krizbai</w:t>
            </w:r>
            <w:proofErr w:type="spellEnd"/>
            <w:r w:rsidRPr="00E40721">
              <w:rPr>
                <w:b/>
                <w:sz w:val="20"/>
                <w:szCs w:val="20"/>
              </w:rPr>
              <w:t xml:space="preserve">, Monique </w:t>
            </w:r>
            <w:proofErr w:type="spellStart"/>
            <w:r w:rsidRPr="00E40721">
              <w:rPr>
                <w:b/>
                <w:sz w:val="20"/>
                <w:szCs w:val="20"/>
              </w:rPr>
              <w:t>Dery</w:t>
            </w:r>
            <w:proofErr w:type="spellEnd"/>
            <w:r w:rsidRPr="00E40721">
              <w:rPr>
                <w:b/>
                <w:sz w:val="20"/>
                <w:szCs w:val="20"/>
              </w:rPr>
              <w:t xml:space="preserve">, Chantal Paquette, Claude </w:t>
            </w:r>
            <w:proofErr w:type="spellStart"/>
            <w:r w:rsidRPr="00E40721">
              <w:rPr>
                <w:b/>
                <w:sz w:val="20"/>
                <w:szCs w:val="20"/>
              </w:rPr>
              <w:t>Lavallée</w:t>
            </w:r>
            <w:proofErr w:type="spellEnd"/>
            <w:r w:rsidRPr="00E40721">
              <w:rPr>
                <w:b/>
                <w:sz w:val="20"/>
                <w:szCs w:val="20"/>
              </w:rPr>
              <w:t xml:space="preserve">, Françoise Fortin, Maryse Petitpas, Julie Fortin, Paule </w:t>
            </w:r>
            <w:proofErr w:type="spellStart"/>
            <w:r w:rsidRPr="00E40721">
              <w:rPr>
                <w:b/>
                <w:sz w:val="20"/>
                <w:szCs w:val="20"/>
              </w:rPr>
              <w:t>Schetagne</w:t>
            </w:r>
            <w:proofErr w:type="spellEnd"/>
            <w:r w:rsidRPr="00E40721">
              <w:rPr>
                <w:b/>
                <w:sz w:val="20"/>
                <w:szCs w:val="20"/>
              </w:rPr>
              <w:t xml:space="preserve">, Marc </w:t>
            </w:r>
            <w:proofErr w:type="spellStart"/>
            <w:r w:rsidRPr="00E40721">
              <w:rPr>
                <w:b/>
                <w:sz w:val="20"/>
                <w:szCs w:val="20"/>
              </w:rPr>
              <w:t>Morsi</w:t>
            </w:r>
            <w:proofErr w:type="spellEnd"/>
            <w:r w:rsidRPr="00E40721">
              <w:rPr>
                <w:b/>
                <w:sz w:val="20"/>
                <w:szCs w:val="20"/>
              </w:rPr>
              <w:t xml:space="preserve">, Patrick </w:t>
            </w:r>
            <w:proofErr w:type="spellStart"/>
            <w:r w:rsidRPr="00E40721">
              <w:rPr>
                <w:b/>
                <w:sz w:val="20"/>
                <w:szCs w:val="20"/>
              </w:rPr>
              <w:t>Maheux</w:t>
            </w:r>
            <w:proofErr w:type="spellEnd"/>
            <w:r>
              <w:rPr>
                <w:b/>
                <w:sz w:val="20"/>
                <w:szCs w:val="20"/>
              </w:rPr>
              <w:t xml:space="preserve"> et</w:t>
            </w:r>
            <w:r w:rsidRPr="00E40721">
              <w:rPr>
                <w:b/>
                <w:sz w:val="20"/>
                <w:szCs w:val="20"/>
              </w:rPr>
              <w:t xml:space="preserve"> Mi</w:t>
            </w:r>
            <w:r>
              <w:rPr>
                <w:b/>
                <w:sz w:val="20"/>
                <w:szCs w:val="20"/>
              </w:rPr>
              <w:t>chel Hanna c. Ville de Montréal et</w:t>
            </w:r>
            <w:r w:rsidRPr="00E40721">
              <w:rPr>
                <w:b/>
                <w:sz w:val="20"/>
                <w:szCs w:val="20"/>
              </w:rPr>
              <w:t xml:space="preserve"> Syndicat des fonctionnaires municipaux de Montréal (SCFP)</w:t>
            </w:r>
          </w:p>
          <w:p w:rsidR="00B65BA0" w:rsidRPr="00E40721" w:rsidRDefault="00B65BA0" w:rsidP="00B65BA0">
            <w:pPr>
              <w:jc w:val="both"/>
              <w:rPr>
                <w:sz w:val="20"/>
              </w:rPr>
            </w:pPr>
            <w:r w:rsidRPr="00E40721">
              <w:rPr>
                <w:sz w:val="20"/>
              </w:rPr>
              <w:t>(Qc) (</w:t>
            </w:r>
            <w:proofErr w:type="spellStart"/>
            <w:r w:rsidRPr="00E40721">
              <w:rPr>
                <w:sz w:val="20"/>
              </w:rPr>
              <w:t>Civile</w:t>
            </w:r>
            <w:proofErr w:type="spellEnd"/>
            <w:r w:rsidRPr="00E40721">
              <w:rPr>
                <w:sz w:val="20"/>
              </w:rPr>
              <w:t>) (</w:t>
            </w:r>
            <w:proofErr w:type="spellStart"/>
            <w:r w:rsidRPr="00E40721">
              <w:rPr>
                <w:sz w:val="20"/>
              </w:rPr>
              <w:t>Autorisation</w:t>
            </w:r>
            <w:proofErr w:type="spellEnd"/>
            <w:r w:rsidRPr="00E40721">
              <w:rPr>
                <w:sz w:val="20"/>
              </w:rPr>
              <w:t>)</w:t>
            </w:r>
          </w:p>
        </w:tc>
      </w:tr>
      <w:tr w:rsidR="00B65BA0" w:rsidRPr="00E7387C" w:rsidTr="00B65BA0">
        <w:tc>
          <w:tcPr>
            <w:tcW w:w="548" w:type="pct"/>
          </w:tcPr>
          <w:p w:rsidR="00B65BA0" w:rsidRPr="00E40721" w:rsidRDefault="00B65BA0" w:rsidP="00B65BA0">
            <w:pPr>
              <w:jc w:val="both"/>
              <w:rPr>
                <w:rStyle w:val="SCCFileNumberChar"/>
                <w:sz w:val="20"/>
                <w:szCs w:val="20"/>
              </w:rPr>
            </w:pPr>
            <w:r>
              <w:rPr>
                <w:rStyle w:val="SCCFileNumberChar"/>
                <w:sz w:val="20"/>
                <w:szCs w:val="20"/>
              </w:rPr>
              <w:t>Coram:</w:t>
            </w:r>
          </w:p>
        </w:tc>
        <w:tc>
          <w:tcPr>
            <w:tcW w:w="4452" w:type="pct"/>
            <w:gridSpan w:val="3"/>
          </w:tcPr>
          <w:p w:rsidR="00B65BA0" w:rsidRDefault="00B66AE9" w:rsidP="00B65BA0">
            <w:pPr>
              <w:pStyle w:val="SCCLsocParty"/>
              <w:jc w:val="both"/>
              <w:rPr>
                <w:rFonts w:eastAsiaTheme="minorEastAsia"/>
                <w:sz w:val="20"/>
                <w:szCs w:val="20"/>
                <w:lang w:val="fr-FR" w:eastAsia="en-CA"/>
              </w:rPr>
            </w:pPr>
            <w:r w:rsidRPr="00BE6DC7">
              <w:rPr>
                <w:rFonts w:eastAsiaTheme="minorEastAsia"/>
                <w:sz w:val="20"/>
                <w:szCs w:val="20"/>
                <w:lang w:val="fr-FR" w:eastAsia="en-CA"/>
              </w:rPr>
              <w:t xml:space="preserve">La juge en chef </w:t>
            </w:r>
            <w:proofErr w:type="spellStart"/>
            <w:r w:rsidRPr="00BE6DC7">
              <w:rPr>
                <w:rFonts w:eastAsiaTheme="minorEastAsia"/>
                <w:sz w:val="20"/>
                <w:szCs w:val="20"/>
                <w:lang w:val="fr-FR" w:eastAsia="en-CA"/>
              </w:rPr>
              <w:t>McLachlin</w:t>
            </w:r>
            <w:proofErr w:type="spellEnd"/>
            <w:r w:rsidRPr="00BE6DC7">
              <w:rPr>
                <w:rFonts w:eastAsiaTheme="minorEastAsia"/>
                <w:sz w:val="20"/>
                <w:szCs w:val="20"/>
                <w:lang w:val="fr-FR" w:eastAsia="en-CA"/>
              </w:rPr>
              <w:t xml:space="preserve"> et les juges Abella, </w:t>
            </w:r>
            <w:proofErr w:type="spellStart"/>
            <w:r w:rsidRPr="00BE6DC7">
              <w:rPr>
                <w:rFonts w:eastAsiaTheme="minorEastAsia"/>
                <w:sz w:val="20"/>
                <w:szCs w:val="20"/>
                <w:lang w:val="fr-FR" w:eastAsia="en-CA"/>
              </w:rPr>
              <w:t>Moldaver</w:t>
            </w:r>
            <w:proofErr w:type="spellEnd"/>
            <w:r w:rsidRPr="00BE6DC7">
              <w:rPr>
                <w:rFonts w:eastAsiaTheme="minorEastAsia"/>
                <w:sz w:val="20"/>
                <w:szCs w:val="20"/>
                <w:lang w:val="fr-FR" w:eastAsia="en-CA"/>
              </w:rPr>
              <w:t xml:space="preserve">, </w:t>
            </w:r>
            <w:proofErr w:type="spellStart"/>
            <w:r w:rsidRPr="00BE6DC7">
              <w:rPr>
                <w:rFonts w:eastAsiaTheme="minorEastAsia"/>
                <w:sz w:val="20"/>
                <w:szCs w:val="20"/>
                <w:lang w:val="fr-FR" w:eastAsia="en-CA"/>
              </w:rPr>
              <w:t>Karakatsanis</w:t>
            </w:r>
            <w:proofErr w:type="spellEnd"/>
            <w:r w:rsidRPr="00BE6DC7">
              <w:rPr>
                <w:rFonts w:eastAsiaTheme="minorEastAsia"/>
                <w:sz w:val="20"/>
                <w:szCs w:val="20"/>
                <w:lang w:val="fr-FR" w:eastAsia="en-CA"/>
              </w:rPr>
              <w:t>, Wagner, Gascon, Côté, Brown et Rowe</w:t>
            </w:r>
          </w:p>
          <w:p w:rsidR="00B66AE9" w:rsidRPr="00B66AE9" w:rsidRDefault="00B66AE9" w:rsidP="00B66AE9">
            <w:pPr>
              <w:rPr>
                <w:lang w:val="fr-FR" w:eastAsia="en-CA"/>
              </w:rPr>
            </w:pPr>
          </w:p>
        </w:tc>
      </w:tr>
      <w:tr w:rsidR="00B65BA0" w:rsidRPr="00E7387C" w:rsidTr="00B65BA0">
        <w:tc>
          <w:tcPr>
            <w:tcW w:w="5000" w:type="pct"/>
            <w:gridSpan w:val="4"/>
          </w:tcPr>
          <w:p w:rsidR="00B65BA0" w:rsidRDefault="00B66AE9" w:rsidP="00B66AE9">
            <w:pPr>
              <w:pStyle w:val="SCCLsocParty"/>
              <w:tabs>
                <w:tab w:val="left" w:pos="1020"/>
              </w:tabs>
              <w:jc w:val="both"/>
              <w:rPr>
                <w:sz w:val="20"/>
                <w:szCs w:val="20"/>
              </w:rPr>
            </w:pPr>
            <w:r w:rsidRPr="00BE6DC7">
              <w:rPr>
                <w:sz w:val="20"/>
                <w:szCs w:val="20"/>
              </w:rPr>
              <w:t>La demande d’autorisation d’appel de l’arrêt de la Cour d’appel du Québec (Montréal), numéro 500-09-025103-151, 2016 QCCA 1665, daté du 13 octobre 2016, est rejetée avec dépens.</w:t>
            </w:r>
          </w:p>
          <w:p w:rsidR="00B66AE9" w:rsidRPr="00B66AE9" w:rsidRDefault="00B66AE9" w:rsidP="00B66AE9">
            <w:pPr>
              <w:rPr>
                <w:lang w:val="fr-CA"/>
              </w:rPr>
            </w:pPr>
          </w:p>
        </w:tc>
      </w:tr>
      <w:tr w:rsidR="00B65BA0" w:rsidRPr="00E7387C" w:rsidTr="00B65BA0">
        <w:tc>
          <w:tcPr>
            <w:tcW w:w="5000" w:type="pct"/>
            <w:gridSpan w:val="4"/>
          </w:tcPr>
          <w:p w:rsidR="00B65BA0" w:rsidRPr="00E40721" w:rsidRDefault="00B65BA0" w:rsidP="00B65BA0">
            <w:pPr>
              <w:jc w:val="both"/>
              <w:rPr>
                <w:sz w:val="20"/>
                <w:lang w:val="fr-CA"/>
              </w:rPr>
            </w:pPr>
            <w:r w:rsidRPr="00E40721">
              <w:rPr>
                <w:sz w:val="20"/>
                <w:lang w:val="fr-CA"/>
              </w:rPr>
              <w:t xml:space="preserve">Procédure civile — Moyen de non-recevabilité — Intérêt pour agir — Pouvoir exclusif de représentation du syndicat — Salariés autorisés à soumettre leur réclamation à un arbitre comme s’il s’agissait d’un grief selon l’article 47.2 du </w:t>
            </w:r>
            <w:r w:rsidRPr="00E40721">
              <w:rPr>
                <w:i/>
                <w:sz w:val="20"/>
                <w:lang w:val="fr-CA"/>
              </w:rPr>
              <w:t>Code du travail</w:t>
            </w:r>
            <w:r w:rsidRPr="00E40721">
              <w:rPr>
                <w:sz w:val="20"/>
                <w:lang w:val="fr-CA"/>
              </w:rPr>
              <w:t xml:space="preserve">, RLRQ c C-27 — Application et interprétation de la décision </w:t>
            </w:r>
            <w:r w:rsidRPr="00E40721">
              <w:rPr>
                <w:i/>
                <w:sz w:val="20"/>
                <w:lang w:val="fr-CA"/>
              </w:rPr>
              <w:t>Noël c. Société d’énergie de la Baie James</w:t>
            </w:r>
            <w:r w:rsidRPr="00E40721">
              <w:rPr>
                <w:sz w:val="20"/>
                <w:lang w:val="fr-CA"/>
              </w:rPr>
              <w:t>, 2001 CSC 39 — Un salarié autorisé à porter lui-même sa réclamation en arbitrage peut-il, par la suite, se pourvoir personnellement en révision judiciaire de la sentence arbitrale et si oui, peut-il le faire au frais de l’association accréditée?</w:t>
            </w:r>
          </w:p>
        </w:tc>
      </w:tr>
      <w:tr w:rsidR="00B65BA0" w:rsidRPr="00E7387C" w:rsidTr="00B65BA0">
        <w:tc>
          <w:tcPr>
            <w:tcW w:w="5000" w:type="pct"/>
            <w:gridSpan w:val="4"/>
          </w:tcPr>
          <w:p w:rsidR="00B65BA0" w:rsidRPr="00E40721" w:rsidRDefault="00B65BA0" w:rsidP="00B65BA0">
            <w:pPr>
              <w:jc w:val="both"/>
              <w:rPr>
                <w:sz w:val="20"/>
                <w:lang w:val="fr-CA"/>
              </w:rPr>
            </w:pPr>
          </w:p>
        </w:tc>
      </w:tr>
      <w:tr w:rsidR="00B65BA0" w:rsidRPr="00E7387C" w:rsidTr="00B65BA0">
        <w:tc>
          <w:tcPr>
            <w:tcW w:w="5000" w:type="pct"/>
            <w:gridSpan w:val="4"/>
          </w:tcPr>
          <w:p w:rsidR="00B65BA0" w:rsidRPr="00E40721" w:rsidRDefault="00B65BA0" w:rsidP="00B65BA0">
            <w:pPr>
              <w:jc w:val="both"/>
              <w:rPr>
                <w:sz w:val="20"/>
                <w:lang w:val="fr-CA"/>
              </w:rPr>
            </w:pPr>
            <w:r w:rsidRPr="00E40721">
              <w:rPr>
                <w:sz w:val="20"/>
                <w:lang w:val="fr-CA"/>
              </w:rPr>
              <w:t xml:space="preserve">Les demandeurs sont des employés de la Ville de Montréal qui ont obtenu l’autorisation de soumettre leurs réclamations contre celle-ci à un arbitre, comme s’il s’agissait d’un grief, en vertu de l’article 47.5 du </w:t>
            </w:r>
            <w:r w:rsidRPr="00E40721">
              <w:rPr>
                <w:i/>
                <w:sz w:val="20"/>
                <w:lang w:val="fr-CA"/>
              </w:rPr>
              <w:t>Code du travail</w:t>
            </w:r>
            <w:r w:rsidRPr="00E40721">
              <w:rPr>
                <w:sz w:val="20"/>
                <w:lang w:val="fr-CA"/>
              </w:rPr>
              <w:t>, suite à un manquement du Syndicat des fonctionnaires municipaux de Montréal (« Syndicat ») à son devoir de représentation.</w:t>
            </w:r>
          </w:p>
          <w:p w:rsidR="00B65BA0" w:rsidRPr="00E40721" w:rsidRDefault="00B65BA0" w:rsidP="00B65BA0">
            <w:pPr>
              <w:jc w:val="both"/>
              <w:rPr>
                <w:sz w:val="20"/>
                <w:lang w:val="fr-CA"/>
              </w:rPr>
            </w:pPr>
          </w:p>
          <w:p w:rsidR="00B65BA0" w:rsidRPr="00E40721" w:rsidRDefault="00B65BA0" w:rsidP="00B65BA0">
            <w:pPr>
              <w:jc w:val="both"/>
              <w:rPr>
                <w:sz w:val="20"/>
                <w:lang w:val="fr-CA"/>
              </w:rPr>
            </w:pPr>
            <w:r w:rsidRPr="00E40721">
              <w:rPr>
                <w:sz w:val="20"/>
                <w:lang w:val="fr-CA"/>
              </w:rPr>
              <w:t>Suivant la décision défavorable de l’arbitre, les demandeurs déposent une demande de révision judiciaire à la Cour supérieure, et ce, sans s’adresser préalablement au Syndicat. La Ville de Montréal s’oppose et dépose une requête en irrecevabilité, soutenant que les Salariés n’ont pas la qualité requise pour ester ainsi devant la Cour supérieure, le Syndicat détenant l’exclusivité de représentation des salariés de la Ville de Montréal.</w:t>
            </w:r>
          </w:p>
          <w:p w:rsidR="00B65BA0" w:rsidRPr="00E40721" w:rsidRDefault="00B65BA0" w:rsidP="00B65BA0">
            <w:pPr>
              <w:jc w:val="both"/>
              <w:rPr>
                <w:sz w:val="20"/>
                <w:lang w:val="fr-CA"/>
              </w:rPr>
            </w:pPr>
          </w:p>
        </w:tc>
      </w:tr>
      <w:tr w:rsidR="00B65BA0" w:rsidRPr="00E40721" w:rsidTr="00B65BA0">
        <w:tblPrEx>
          <w:tblCellMar>
            <w:bottom w:w="0" w:type="dxa"/>
          </w:tblCellMar>
        </w:tblPrEx>
        <w:tc>
          <w:tcPr>
            <w:tcW w:w="2413" w:type="pct"/>
            <w:gridSpan w:val="2"/>
          </w:tcPr>
          <w:p w:rsidR="00B65BA0" w:rsidRPr="00E40721" w:rsidRDefault="00B65BA0" w:rsidP="00B65BA0">
            <w:pPr>
              <w:jc w:val="both"/>
              <w:rPr>
                <w:sz w:val="20"/>
                <w:lang w:val="fr-CA"/>
              </w:rPr>
            </w:pPr>
            <w:r w:rsidRPr="00E40721">
              <w:rPr>
                <w:sz w:val="20"/>
                <w:lang w:val="fr-CA"/>
              </w:rPr>
              <w:t>Le 17 septembre 2013</w:t>
            </w:r>
          </w:p>
          <w:p w:rsidR="00B65BA0" w:rsidRPr="00E40721" w:rsidRDefault="00B65BA0" w:rsidP="00B65BA0">
            <w:pPr>
              <w:jc w:val="both"/>
              <w:rPr>
                <w:sz w:val="20"/>
                <w:lang w:val="fr-CA"/>
              </w:rPr>
            </w:pPr>
            <w:r w:rsidRPr="00E40721">
              <w:rPr>
                <w:sz w:val="20"/>
                <w:lang w:val="fr-CA"/>
              </w:rPr>
              <w:t>Tribunal d’arbitrage</w:t>
            </w:r>
          </w:p>
          <w:p w:rsidR="00B65BA0" w:rsidRPr="00E40721" w:rsidRDefault="00B65BA0" w:rsidP="00B65BA0">
            <w:pPr>
              <w:jc w:val="both"/>
              <w:rPr>
                <w:sz w:val="20"/>
                <w:lang w:val="fr-CA"/>
              </w:rPr>
            </w:pPr>
            <w:r w:rsidRPr="00E40721">
              <w:rPr>
                <w:sz w:val="20"/>
                <w:lang w:val="fr-CA"/>
              </w:rPr>
              <w:t>(L’arbitre Claude H. Foisy)</w:t>
            </w:r>
          </w:p>
          <w:p w:rsidR="00B65BA0" w:rsidRPr="00E40721" w:rsidRDefault="00B65BA0" w:rsidP="00B65BA0">
            <w:pPr>
              <w:jc w:val="both"/>
              <w:rPr>
                <w:sz w:val="20"/>
              </w:rPr>
            </w:pPr>
            <w:r w:rsidRPr="00E40721">
              <w:rPr>
                <w:sz w:val="20"/>
              </w:rPr>
              <w:t>AZ-51003184</w:t>
            </w:r>
          </w:p>
          <w:p w:rsidR="00B65BA0" w:rsidRPr="00E40721" w:rsidRDefault="00B65BA0" w:rsidP="00B65BA0">
            <w:pPr>
              <w:jc w:val="both"/>
              <w:rPr>
                <w:sz w:val="20"/>
              </w:rPr>
            </w:pPr>
          </w:p>
        </w:tc>
        <w:tc>
          <w:tcPr>
            <w:tcW w:w="273" w:type="pct"/>
          </w:tcPr>
          <w:p w:rsidR="00B65BA0" w:rsidRPr="00E40721" w:rsidRDefault="00B65BA0" w:rsidP="00B65BA0">
            <w:pPr>
              <w:jc w:val="both"/>
              <w:rPr>
                <w:sz w:val="20"/>
              </w:rPr>
            </w:pPr>
          </w:p>
        </w:tc>
        <w:tc>
          <w:tcPr>
            <w:tcW w:w="2314" w:type="pct"/>
          </w:tcPr>
          <w:p w:rsidR="00B65BA0" w:rsidRPr="00E40721" w:rsidRDefault="00B65BA0" w:rsidP="00B65BA0">
            <w:pPr>
              <w:jc w:val="both"/>
              <w:rPr>
                <w:sz w:val="20"/>
              </w:rPr>
            </w:pPr>
            <w:r w:rsidRPr="00E40721">
              <w:rPr>
                <w:sz w:val="20"/>
              </w:rPr>
              <w:t xml:space="preserve">Griefs </w:t>
            </w:r>
            <w:proofErr w:type="spellStart"/>
            <w:r w:rsidRPr="00E40721">
              <w:rPr>
                <w:sz w:val="20"/>
              </w:rPr>
              <w:t>rejetés</w:t>
            </w:r>
            <w:proofErr w:type="spellEnd"/>
          </w:p>
        </w:tc>
      </w:tr>
      <w:tr w:rsidR="00B65BA0" w:rsidRPr="00E7387C" w:rsidTr="00B65BA0">
        <w:tblPrEx>
          <w:tblCellMar>
            <w:bottom w:w="0" w:type="dxa"/>
          </w:tblCellMar>
        </w:tblPrEx>
        <w:tc>
          <w:tcPr>
            <w:tcW w:w="2413" w:type="pct"/>
            <w:gridSpan w:val="2"/>
          </w:tcPr>
          <w:p w:rsidR="00B65BA0" w:rsidRPr="00E40721" w:rsidRDefault="00B65BA0" w:rsidP="00B65BA0">
            <w:pPr>
              <w:jc w:val="both"/>
              <w:rPr>
                <w:sz w:val="20"/>
                <w:lang w:val="fr-CA"/>
              </w:rPr>
            </w:pPr>
            <w:r w:rsidRPr="00E40721">
              <w:rPr>
                <w:sz w:val="20"/>
                <w:lang w:val="fr-CA"/>
              </w:rPr>
              <w:t>Le 12 février 2016</w:t>
            </w:r>
          </w:p>
          <w:p w:rsidR="00B65BA0" w:rsidRPr="00E40721" w:rsidRDefault="00B65BA0" w:rsidP="00B65BA0">
            <w:pPr>
              <w:jc w:val="both"/>
              <w:rPr>
                <w:sz w:val="20"/>
                <w:lang w:val="fr-CA"/>
              </w:rPr>
            </w:pPr>
            <w:r w:rsidRPr="00E40721">
              <w:rPr>
                <w:sz w:val="20"/>
                <w:lang w:val="fr-CA"/>
              </w:rPr>
              <w:t>Cour supérieure du Québec</w:t>
            </w:r>
          </w:p>
          <w:p w:rsidR="00B65BA0" w:rsidRPr="00E40721" w:rsidRDefault="00B65BA0" w:rsidP="00B65BA0">
            <w:pPr>
              <w:jc w:val="both"/>
              <w:rPr>
                <w:sz w:val="20"/>
              </w:rPr>
            </w:pPr>
            <w:r w:rsidRPr="00E40721">
              <w:rPr>
                <w:sz w:val="20"/>
              </w:rPr>
              <w:t xml:space="preserve">(Le </w:t>
            </w:r>
            <w:proofErr w:type="spellStart"/>
            <w:r w:rsidRPr="00E40721">
              <w:rPr>
                <w:sz w:val="20"/>
              </w:rPr>
              <w:t>juge</w:t>
            </w:r>
            <w:proofErr w:type="spellEnd"/>
            <w:r w:rsidRPr="00E40721">
              <w:rPr>
                <w:sz w:val="20"/>
              </w:rPr>
              <w:t xml:space="preserve"> </w:t>
            </w:r>
            <w:proofErr w:type="spellStart"/>
            <w:r w:rsidRPr="00E40721">
              <w:rPr>
                <w:sz w:val="20"/>
              </w:rPr>
              <w:t>Yergeau</w:t>
            </w:r>
            <w:proofErr w:type="spellEnd"/>
            <w:r w:rsidRPr="00E40721">
              <w:rPr>
                <w:sz w:val="20"/>
              </w:rPr>
              <w:t>)</w:t>
            </w:r>
          </w:p>
          <w:p w:rsidR="00B65BA0" w:rsidRPr="00E40721" w:rsidRDefault="00E7387C" w:rsidP="00B65BA0">
            <w:pPr>
              <w:jc w:val="both"/>
              <w:rPr>
                <w:sz w:val="20"/>
              </w:rPr>
            </w:pPr>
            <w:hyperlink r:id="rId25" w:history="1">
              <w:r w:rsidR="00B65BA0" w:rsidRPr="00E40721">
                <w:rPr>
                  <w:rStyle w:val="Hyperlink"/>
                  <w:sz w:val="20"/>
                </w:rPr>
                <w:t>2015 QCCS 415</w:t>
              </w:r>
            </w:hyperlink>
          </w:p>
          <w:p w:rsidR="00B65BA0" w:rsidRPr="00E40721" w:rsidRDefault="00B65BA0" w:rsidP="00B65BA0">
            <w:pPr>
              <w:jc w:val="both"/>
              <w:rPr>
                <w:sz w:val="20"/>
              </w:rPr>
            </w:pPr>
          </w:p>
        </w:tc>
        <w:tc>
          <w:tcPr>
            <w:tcW w:w="273" w:type="pct"/>
          </w:tcPr>
          <w:p w:rsidR="00B65BA0" w:rsidRPr="00E40721" w:rsidRDefault="00B65BA0" w:rsidP="00B65BA0">
            <w:pPr>
              <w:jc w:val="both"/>
              <w:rPr>
                <w:sz w:val="20"/>
              </w:rPr>
            </w:pPr>
          </w:p>
        </w:tc>
        <w:tc>
          <w:tcPr>
            <w:tcW w:w="2314" w:type="pct"/>
          </w:tcPr>
          <w:p w:rsidR="00B65BA0" w:rsidRPr="00E40721" w:rsidRDefault="00B65BA0" w:rsidP="00B65BA0">
            <w:pPr>
              <w:jc w:val="both"/>
              <w:rPr>
                <w:sz w:val="20"/>
                <w:lang w:val="fr-CA"/>
              </w:rPr>
            </w:pPr>
            <w:r w:rsidRPr="00E40721">
              <w:rPr>
                <w:sz w:val="20"/>
                <w:lang w:val="fr-CA"/>
              </w:rPr>
              <w:t xml:space="preserve">Requête en irrecevabilité de la Ville de Montréal accueillie </w:t>
            </w:r>
          </w:p>
          <w:p w:rsidR="00B65BA0" w:rsidRPr="00E40721" w:rsidRDefault="00B65BA0" w:rsidP="00B65BA0">
            <w:pPr>
              <w:jc w:val="both"/>
              <w:rPr>
                <w:sz w:val="20"/>
                <w:lang w:val="fr-CA"/>
              </w:rPr>
            </w:pPr>
          </w:p>
        </w:tc>
      </w:tr>
      <w:tr w:rsidR="00B65BA0" w:rsidRPr="00E40721" w:rsidTr="00B65BA0">
        <w:tblPrEx>
          <w:tblCellMar>
            <w:bottom w:w="0" w:type="dxa"/>
          </w:tblCellMar>
        </w:tblPrEx>
        <w:tc>
          <w:tcPr>
            <w:tcW w:w="2413" w:type="pct"/>
            <w:gridSpan w:val="2"/>
          </w:tcPr>
          <w:p w:rsidR="00B65BA0" w:rsidRPr="00E40721" w:rsidRDefault="00B65BA0" w:rsidP="00B65BA0">
            <w:pPr>
              <w:jc w:val="both"/>
              <w:rPr>
                <w:sz w:val="20"/>
                <w:lang w:val="fr-CA"/>
              </w:rPr>
            </w:pPr>
            <w:r w:rsidRPr="00E40721">
              <w:rPr>
                <w:sz w:val="20"/>
                <w:lang w:val="fr-CA"/>
              </w:rPr>
              <w:t>Le 13 octobre 2016</w:t>
            </w:r>
          </w:p>
          <w:p w:rsidR="00B65BA0" w:rsidRPr="00E40721" w:rsidRDefault="00B65BA0" w:rsidP="00B65BA0">
            <w:pPr>
              <w:jc w:val="both"/>
              <w:rPr>
                <w:sz w:val="20"/>
                <w:lang w:val="fr-CA"/>
              </w:rPr>
            </w:pPr>
            <w:r w:rsidRPr="00E40721">
              <w:rPr>
                <w:sz w:val="20"/>
                <w:lang w:val="fr-CA"/>
              </w:rPr>
              <w:t>Cour d’appel du Québec (Montréal)</w:t>
            </w:r>
          </w:p>
          <w:p w:rsidR="00B65BA0" w:rsidRPr="00E40721" w:rsidRDefault="00B65BA0" w:rsidP="00B65BA0">
            <w:pPr>
              <w:jc w:val="both"/>
              <w:rPr>
                <w:sz w:val="20"/>
                <w:lang w:val="fr-CA"/>
              </w:rPr>
            </w:pPr>
            <w:r w:rsidRPr="00E40721">
              <w:rPr>
                <w:sz w:val="20"/>
                <w:lang w:val="fr-CA"/>
              </w:rPr>
              <w:t xml:space="preserve">(Les juges </w:t>
            </w:r>
            <w:proofErr w:type="spellStart"/>
            <w:r w:rsidRPr="00E40721">
              <w:rPr>
                <w:sz w:val="20"/>
                <w:lang w:val="fr-CA"/>
              </w:rPr>
              <w:t>Bich</w:t>
            </w:r>
            <w:proofErr w:type="spellEnd"/>
            <w:r w:rsidRPr="00E40721">
              <w:rPr>
                <w:sz w:val="20"/>
                <w:lang w:val="fr-CA"/>
              </w:rPr>
              <w:t xml:space="preserve">, St-Pierre et </w:t>
            </w:r>
            <w:proofErr w:type="spellStart"/>
            <w:r w:rsidRPr="00E40721">
              <w:rPr>
                <w:sz w:val="20"/>
                <w:lang w:val="fr-CA"/>
              </w:rPr>
              <w:t>Émond</w:t>
            </w:r>
            <w:proofErr w:type="spellEnd"/>
            <w:r w:rsidRPr="00E40721">
              <w:rPr>
                <w:sz w:val="20"/>
                <w:lang w:val="fr-CA"/>
              </w:rPr>
              <w:t>)</w:t>
            </w:r>
          </w:p>
          <w:p w:rsidR="00B65BA0" w:rsidRPr="00E40721" w:rsidRDefault="00E7387C" w:rsidP="00B65BA0">
            <w:pPr>
              <w:jc w:val="both"/>
              <w:rPr>
                <w:sz w:val="20"/>
              </w:rPr>
            </w:pPr>
            <w:hyperlink r:id="rId26" w:history="1">
              <w:r w:rsidR="00B65BA0" w:rsidRPr="00E40721">
                <w:rPr>
                  <w:rStyle w:val="Hyperlink"/>
                  <w:sz w:val="20"/>
                </w:rPr>
                <w:t>2016 QCCA 1665</w:t>
              </w:r>
            </w:hyperlink>
            <w:r w:rsidR="00B65BA0" w:rsidRPr="00E40721">
              <w:rPr>
                <w:sz w:val="20"/>
              </w:rPr>
              <w:t xml:space="preserve"> </w:t>
            </w:r>
          </w:p>
          <w:p w:rsidR="00B65BA0" w:rsidRPr="00E40721" w:rsidRDefault="00B65BA0" w:rsidP="00B65BA0">
            <w:pPr>
              <w:jc w:val="both"/>
              <w:rPr>
                <w:sz w:val="20"/>
              </w:rPr>
            </w:pPr>
          </w:p>
        </w:tc>
        <w:tc>
          <w:tcPr>
            <w:tcW w:w="273" w:type="pct"/>
          </w:tcPr>
          <w:p w:rsidR="00B65BA0" w:rsidRPr="00E40721" w:rsidRDefault="00B65BA0" w:rsidP="00B65BA0">
            <w:pPr>
              <w:jc w:val="both"/>
              <w:rPr>
                <w:sz w:val="20"/>
              </w:rPr>
            </w:pPr>
          </w:p>
        </w:tc>
        <w:tc>
          <w:tcPr>
            <w:tcW w:w="2314" w:type="pct"/>
          </w:tcPr>
          <w:p w:rsidR="00B65BA0" w:rsidRPr="00E40721" w:rsidRDefault="00B65BA0" w:rsidP="00B65BA0">
            <w:pPr>
              <w:jc w:val="both"/>
              <w:rPr>
                <w:sz w:val="20"/>
              </w:rPr>
            </w:pPr>
            <w:r w:rsidRPr="00E40721">
              <w:rPr>
                <w:sz w:val="20"/>
              </w:rPr>
              <w:t xml:space="preserve">Appel </w:t>
            </w:r>
            <w:proofErr w:type="spellStart"/>
            <w:r w:rsidRPr="00E40721">
              <w:rPr>
                <w:sz w:val="20"/>
              </w:rPr>
              <w:t>rejeté</w:t>
            </w:r>
            <w:proofErr w:type="spellEnd"/>
          </w:p>
        </w:tc>
      </w:tr>
      <w:tr w:rsidR="00B65BA0" w:rsidRPr="00E40721" w:rsidTr="00B65BA0">
        <w:tblPrEx>
          <w:tblCellMar>
            <w:bottom w:w="0" w:type="dxa"/>
          </w:tblCellMar>
        </w:tblPrEx>
        <w:tc>
          <w:tcPr>
            <w:tcW w:w="2413" w:type="pct"/>
            <w:gridSpan w:val="2"/>
          </w:tcPr>
          <w:p w:rsidR="00B65BA0" w:rsidRPr="00E40721" w:rsidRDefault="00B65BA0" w:rsidP="00B65BA0">
            <w:pPr>
              <w:jc w:val="both"/>
              <w:rPr>
                <w:sz w:val="20"/>
                <w:lang w:val="fr-CA"/>
              </w:rPr>
            </w:pPr>
            <w:r w:rsidRPr="00E40721">
              <w:rPr>
                <w:sz w:val="20"/>
                <w:lang w:val="fr-CA"/>
              </w:rPr>
              <w:t>Le 12 décembre 2016</w:t>
            </w:r>
          </w:p>
          <w:p w:rsidR="00B65BA0" w:rsidRPr="00E40721" w:rsidRDefault="00B65BA0" w:rsidP="00B65BA0">
            <w:pPr>
              <w:jc w:val="both"/>
              <w:rPr>
                <w:sz w:val="20"/>
                <w:lang w:val="fr-CA"/>
              </w:rPr>
            </w:pPr>
            <w:r w:rsidRPr="00E40721">
              <w:rPr>
                <w:sz w:val="20"/>
                <w:lang w:val="fr-CA"/>
              </w:rPr>
              <w:t>Cour suprême du Canada</w:t>
            </w:r>
          </w:p>
        </w:tc>
        <w:tc>
          <w:tcPr>
            <w:tcW w:w="273" w:type="pct"/>
          </w:tcPr>
          <w:p w:rsidR="00B65BA0" w:rsidRPr="00E40721" w:rsidRDefault="00B65BA0" w:rsidP="00B65BA0">
            <w:pPr>
              <w:jc w:val="both"/>
              <w:rPr>
                <w:sz w:val="20"/>
                <w:lang w:val="fr-CA"/>
              </w:rPr>
            </w:pPr>
          </w:p>
        </w:tc>
        <w:tc>
          <w:tcPr>
            <w:tcW w:w="2314" w:type="pct"/>
          </w:tcPr>
          <w:p w:rsidR="00B65BA0" w:rsidRPr="00E40721" w:rsidRDefault="00B65BA0" w:rsidP="00B65BA0">
            <w:pPr>
              <w:jc w:val="both"/>
              <w:rPr>
                <w:sz w:val="20"/>
              </w:rPr>
            </w:pPr>
            <w:proofErr w:type="spellStart"/>
            <w:r w:rsidRPr="00E40721">
              <w:rPr>
                <w:sz w:val="20"/>
              </w:rPr>
              <w:t>Demande</w:t>
            </w:r>
            <w:proofErr w:type="spellEnd"/>
            <w:r w:rsidRPr="00E40721">
              <w:rPr>
                <w:sz w:val="20"/>
              </w:rPr>
              <w:t xml:space="preserve"> </w:t>
            </w:r>
            <w:proofErr w:type="spellStart"/>
            <w:r w:rsidRPr="00E40721">
              <w:rPr>
                <w:sz w:val="20"/>
              </w:rPr>
              <w:t>d’autorisation</w:t>
            </w:r>
            <w:proofErr w:type="spellEnd"/>
            <w:r w:rsidRPr="00E40721">
              <w:rPr>
                <w:sz w:val="20"/>
              </w:rPr>
              <w:t xml:space="preserve"> </w:t>
            </w:r>
            <w:proofErr w:type="spellStart"/>
            <w:r w:rsidRPr="00E40721">
              <w:rPr>
                <w:sz w:val="20"/>
              </w:rPr>
              <w:t>d’appel</w:t>
            </w:r>
            <w:proofErr w:type="spellEnd"/>
            <w:r w:rsidRPr="00E40721">
              <w:rPr>
                <w:sz w:val="20"/>
              </w:rPr>
              <w:t xml:space="preserve"> </w:t>
            </w:r>
            <w:proofErr w:type="spellStart"/>
            <w:r w:rsidRPr="00E40721">
              <w:rPr>
                <w:sz w:val="20"/>
              </w:rPr>
              <w:t>déposée</w:t>
            </w:r>
            <w:proofErr w:type="spellEnd"/>
          </w:p>
          <w:p w:rsidR="00B65BA0" w:rsidRPr="00E40721" w:rsidRDefault="00B65BA0" w:rsidP="00B65BA0">
            <w:pPr>
              <w:jc w:val="both"/>
              <w:rPr>
                <w:sz w:val="20"/>
              </w:rPr>
            </w:pPr>
          </w:p>
        </w:tc>
      </w:tr>
    </w:tbl>
    <w:p w:rsidR="00B65BA0" w:rsidRPr="00E40721" w:rsidRDefault="00E7387C" w:rsidP="00B65BA0">
      <w:pPr>
        <w:jc w:val="both"/>
        <w:rPr>
          <w:sz w:val="20"/>
        </w:rPr>
      </w:pPr>
      <w:r>
        <w:rPr>
          <w:sz w:val="20"/>
          <w:szCs w:val="20"/>
        </w:rPr>
        <w:pict>
          <v:rect id="_x0000_i1036" style="width:2in;height:1pt" o:hrpct="0" o:hralign="center" o:hrstd="t" o:hrnoshade="t" o:hr="t" fillcolor="black [3213]" stroked="f"/>
        </w:pict>
      </w:r>
    </w:p>
    <w:p w:rsidR="00B65BA0" w:rsidRPr="00E40721" w:rsidRDefault="00B65BA0" w:rsidP="00B65BA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65BA0" w:rsidRPr="00E40721" w:rsidTr="00B65BA0">
        <w:tc>
          <w:tcPr>
            <w:tcW w:w="543" w:type="pct"/>
          </w:tcPr>
          <w:p w:rsidR="00B65BA0" w:rsidRPr="00E40721" w:rsidRDefault="00B65BA0" w:rsidP="00B65BA0">
            <w:pPr>
              <w:jc w:val="both"/>
              <w:rPr>
                <w:sz w:val="20"/>
              </w:rPr>
            </w:pPr>
            <w:r w:rsidRPr="00E40721">
              <w:rPr>
                <w:rStyle w:val="SCCFileNumberChar"/>
                <w:sz w:val="20"/>
                <w:szCs w:val="20"/>
              </w:rPr>
              <w:t>37362</w:t>
            </w:r>
          </w:p>
        </w:tc>
        <w:tc>
          <w:tcPr>
            <w:tcW w:w="4457" w:type="pct"/>
            <w:gridSpan w:val="3"/>
          </w:tcPr>
          <w:p w:rsidR="00B65BA0" w:rsidRDefault="00B65BA0" w:rsidP="00B65BA0">
            <w:pPr>
              <w:pStyle w:val="SCCLsocParty"/>
              <w:jc w:val="both"/>
              <w:rPr>
                <w:sz w:val="20"/>
                <w:lang w:val="en-CA"/>
              </w:rPr>
            </w:pPr>
            <w:r w:rsidRPr="00E40721">
              <w:rPr>
                <w:b/>
                <w:sz w:val="20"/>
                <w:szCs w:val="20"/>
                <w:lang w:val="en-CA"/>
              </w:rPr>
              <w:t>American Iron &amp; Metal LP v. Electrolux Canada Corp.</w:t>
            </w:r>
            <w:r>
              <w:rPr>
                <w:b/>
                <w:sz w:val="20"/>
                <w:szCs w:val="20"/>
                <w:lang w:val="en-CA"/>
              </w:rPr>
              <w:t xml:space="preserve"> </w:t>
            </w:r>
            <w:r w:rsidRPr="00E40721">
              <w:rPr>
                <w:sz w:val="20"/>
                <w:lang w:val="en-CA"/>
              </w:rPr>
              <w:t>(Que.) (Civil) (By Leave)</w:t>
            </w:r>
          </w:p>
          <w:p w:rsidR="00B65BA0" w:rsidRPr="00B65BA0" w:rsidRDefault="00B65BA0" w:rsidP="00B65BA0"/>
        </w:tc>
      </w:tr>
      <w:tr w:rsidR="00B65BA0" w:rsidRPr="00E40721" w:rsidTr="00B65BA0">
        <w:tc>
          <w:tcPr>
            <w:tcW w:w="543" w:type="pct"/>
          </w:tcPr>
          <w:p w:rsidR="00B65BA0" w:rsidRPr="00E40721" w:rsidRDefault="00B65BA0" w:rsidP="00B65BA0">
            <w:pPr>
              <w:jc w:val="both"/>
              <w:rPr>
                <w:rStyle w:val="SCCFileNumberChar"/>
                <w:sz w:val="20"/>
                <w:szCs w:val="20"/>
              </w:rPr>
            </w:pPr>
            <w:r>
              <w:rPr>
                <w:rStyle w:val="SCCFileNumberChar"/>
                <w:sz w:val="20"/>
                <w:szCs w:val="20"/>
              </w:rPr>
              <w:t>Coram:</w:t>
            </w:r>
          </w:p>
        </w:tc>
        <w:tc>
          <w:tcPr>
            <w:tcW w:w="4457" w:type="pct"/>
            <w:gridSpan w:val="3"/>
          </w:tcPr>
          <w:p w:rsidR="00B65BA0" w:rsidRDefault="00B66AE9" w:rsidP="00B65BA0">
            <w:pPr>
              <w:pStyle w:val="SCCLsocParty"/>
              <w:jc w:val="both"/>
              <w:rPr>
                <w:rFonts w:eastAsiaTheme="minorEastAsia"/>
                <w:sz w:val="20"/>
                <w:szCs w:val="20"/>
                <w:lang w:val="en-US" w:eastAsia="en-CA"/>
              </w:rPr>
            </w:pPr>
            <w:proofErr w:type="spellStart"/>
            <w:r w:rsidRPr="0089706C">
              <w:rPr>
                <w:rFonts w:eastAsiaTheme="minorEastAsia"/>
                <w:sz w:val="20"/>
                <w:szCs w:val="20"/>
                <w:lang w:val="en-US" w:eastAsia="en-CA"/>
              </w:rPr>
              <w:t>McLachlin</w:t>
            </w:r>
            <w:proofErr w:type="spellEnd"/>
            <w:r w:rsidRPr="0089706C">
              <w:rPr>
                <w:rFonts w:eastAsiaTheme="minorEastAsia"/>
                <w:sz w:val="20"/>
                <w:szCs w:val="20"/>
                <w:lang w:val="en-US" w:eastAsia="en-CA"/>
              </w:rPr>
              <w:t xml:space="preserve"> C.J. and </w:t>
            </w:r>
            <w:proofErr w:type="spellStart"/>
            <w:r w:rsidRPr="0089706C">
              <w:rPr>
                <w:rFonts w:eastAsiaTheme="minorEastAsia"/>
                <w:sz w:val="20"/>
                <w:szCs w:val="20"/>
                <w:lang w:val="en-US" w:eastAsia="en-CA"/>
              </w:rPr>
              <w:t>Abella</w:t>
            </w:r>
            <w:proofErr w:type="spellEnd"/>
            <w:r w:rsidRPr="0089706C">
              <w:rPr>
                <w:rFonts w:eastAsiaTheme="minorEastAsia"/>
                <w:sz w:val="20"/>
                <w:szCs w:val="20"/>
                <w:lang w:val="en-US" w:eastAsia="en-CA"/>
              </w:rPr>
              <w:t xml:space="preserve">, </w:t>
            </w:r>
            <w:proofErr w:type="spellStart"/>
            <w:r w:rsidRPr="0089706C">
              <w:rPr>
                <w:rFonts w:eastAsiaTheme="minorEastAsia"/>
                <w:sz w:val="20"/>
                <w:szCs w:val="20"/>
                <w:lang w:val="en-US" w:eastAsia="en-CA"/>
              </w:rPr>
              <w:t>Moldaver</w:t>
            </w:r>
            <w:proofErr w:type="spellEnd"/>
            <w:r w:rsidRPr="0089706C">
              <w:rPr>
                <w:rFonts w:eastAsiaTheme="minorEastAsia"/>
                <w:sz w:val="20"/>
                <w:szCs w:val="20"/>
                <w:lang w:val="en-US" w:eastAsia="en-CA"/>
              </w:rPr>
              <w:t xml:space="preserve">, </w:t>
            </w:r>
            <w:proofErr w:type="spellStart"/>
            <w:r w:rsidRPr="0089706C">
              <w:rPr>
                <w:rFonts w:eastAsiaTheme="minorEastAsia"/>
                <w:sz w:val="20"/>
                <w:szCs w:val="20"/>
                <w:lang w:val="en-US" w:eastAsia="en-CA"/>
              </w:rPr>
              <w:t>Karakatsanis</w:t>
            </w:r>
            <w:proofErr w:type="spellEnd"/>
            <w:r w:rsidRPr="0089706C">
              <w:rPr>
                <w:rFonts w:eastAsiaTheme="minorEastAsia"/>
                <w:sz w:val="20"/>
                <w:szCs w:val="20"/>
                <w:lang w:val="en-US" w:eastAsia="en-CA"/>
              </w:rPr>
              <w:t xml:space="preserve">, Wagner, </w:t>
            </w:r>
            <w:proofErr w:type="spellStart"/>
            <w:r w:rsidRPr="0089706C">
              <w:rPr>
                <w:rFonts w:eastAsiaTheme="minorEastAsia"/>
                <w:sz w:val="20"/>
                <w:szCs w:val="20"/>
                <w:lang w:val="en-US" w:eastAsia="en-CA"/>
              </w:rPr>
              <w:t>Gascon</w:t>
            </w:r>
            <w:proofErr w:type="spellEnd"/>
            <w:r w:rsidRPr="0089706C">
              <w:rPr>
                <w:rFonts w:eastAsiaTheme="minorEastAsia"/>
                <w:sz w:val="20"/>
                <w:szCs w:val="20"/>
                <w:lang w:val="en-US" w:eastAsia="en-CA"/>
              </w:rPr>
              <w:t>, Brown and Rowe JJ.</w:t>
            </w:r>
          </w:p>
          <w:p w:rsidR="00B66AE9" w:rsidRPr="00B66AE9" w:rsidRDefault="00B66AE9" w:rsidP="00B66AE9">
            <w:pPr>
              <w:rPr>
                <w:lang w:val="en-US" w:eastAsia="en-CA"/>
              </w:rPr>
            </w:pPr>
          </w:p>
        </w:tc>
      </w:tr>
      <w:tr w:rsidR="00B65BA0" w:rsidRPr="00E40721" w:rsidTr="00B65BA0">
        <w:tc>
          <w:tcPr>
            <w:tcW w:w="5000" w:type="pct"/>
            <w:gridSpan w:val="4"/>
          </w:tcPr>
          <w:p w:rsidR="00B65BA0" w:rsidRDefault="00B66AE9" w:rsidP="00B65BA0">
            <w:pPr>
              <w:pStyle w:val="SCCLsocParty"/>
              <w:jc w:val="both"/>
              <w:rPr>
                <w:sz w:val="20"/>
                <w:szCs w:val="20"/>
                <w:lang w:val="en-CA"/>
              </w:rPr>
            </w:pPr>
            <w:r w:rsidRPr="0089706C">
              <w:rPr>
                <w:sz w:val="20"/>
                <w:szCs w:val="20"/>
                <w:lang w:val="en-CA"/>
              </w:rPr>
              <w:t>The application for leave to appeal from the judgment of the Court of Appeal of Quebec (Montréal), Number 500-09-025084-153, 2016 QCCA 1692, dated October 20, 2016, is dismissed with costs.</w:t>
            </w:r>
          </w:p>
          <w:p w:rsidR="00B66AE9" w:rsidRPr="00B66AE9" w:rsidRDefault="00B66AE9" w:rsidP="00B66AE9"/>
        </w:tc>
      </w:tr>
      <w:tr w:rsidR="00B65BA0" w:rsidRPr="00E40721" w:rsidTr="00B65BA0">
        <w:tc>
          <w:tcPr>
            <w:tcW w:w="5000" w:type="pct"/>
            <w:gridSpan w:val="4"/>
          </w:tcPr>
          <w:p w:rsidR="00B65BA0" w:rsidRPr="00E40721" w:rsidRDefault="00B65BA0" w:rsidP="00B65BA0">
            <w:pPr>
              <w:jc w:val="both"/>
              <w:rPr>
                <w:sz w:val="20"/>
              </w:rPr>
            </w:pPr>
            <w:r w:rsidRPr="00E40721">
              <w:rPr>
                <w:sz w:val="20"/>
              </w:rPr>
              <w:t xml:space="preserve">Contracts – Damages – Unilateral </w:t>
            </w:r>
            <w:proofErr w:type="spellStart"/>
            <w:r w:rsidRPr="00E40721">
              <w:rPr>
                <w:sz w:val="20"/>
              </w:rPr>
              <w:t>resiliation</w:t>
            </w:r>
            <w:proofErr w:type="spellEnd"/>
            <w:r w:rsidRPr="00E40721">
              <w:rPr>
                <w:sz w:val="20"/>
              </w:rPr>
              <w:t xml:space="preserve"> – </w:t>
            </w:r>
            <w:proofErr w:type="spellStart"/>
            <w:r w:rsidRPr="00E40721">
              <w:rPr>
                <w:sz w:val="20"/>
              </w:rPr>
              <w:t>Resiliation</w:t>
            </w:r>
            <w:proofErr w:type="spellEnd"/>
            <w:r w:rsidRPr="00E40721">
              <w:rPr>
                <w:sz w:val="20"/>
              </w:rPr>
              <w:t xml:space="preserve"> of contract without reason – Determination of quantum of damages – Whether Court of Appeal established new rule of civil evidence by </w:t>
            </w:r>
            <w:r w:rsidRPr="00E40721">
              <w:rPr>
                <w:rFonts w:ascii="TimesNewRoman" w:hAnsi="TimesNewRoman" w:cs="TimesNewRoman"/>
                <w:sz w:val="20"/>
              </w:rPr>
              <w:t xml:space="preserve">requiring  creditor to provide direct proof of specific items to establish profit of which creditor deprived within meaning of art. 1611 </w:t>
            </w:r>
            <w:r w:rsidRPr="00E40721">
              <w:rPr>
                <w:rFonts w:ascii="TimesNewRoman,Italic" w:hAnsi="TimesNewRoman,Italic" w:cs="TimesNewRoman,Italic"/>
                <w:i/>
                <w:iCs/>
                <w:sz w:val="20"/>
              </w:rPr>
              <w:t>C.C.Q.</w:t>
            </w:r>
            <w:r w:rsidRPr="00E40721">
              <w:rPr>
                <w:rFonts w:ascii="TimesNewRoman,Italic" w:hAnsi="TimesNewRoman,Italic" w:cs="TimesNewRoman,Italic"/>
                <w:iCs/>
                <w:sz w:val="20"/>
              </w:rPr>
              <w:t xml:space="preserve"> </w:t>
            </w:r>
            <w:r w:rsidRPr="00E40721">
              <w:rPr>
                <w:rFonts w:ascii="TimesNewRoman,Italic" w:hAnsi="TimesNewRoman,Italic" w:cs="TimesNewRoman,Italic"/>
                <w:i/>
                <w:iCs/>
                <w:sz w:val="20"/>
              </w:rPr>
              <w:t xml:space="preserve">– </w:t>
            </w:r>
            <w:r w:rsidRPr="00E40721">
              <w:rPr>
                <w:rFonts w:ascii="TimesNewRoman,Italic" w:hAnsi="TimesNewRoman,Italic" w:cs="TimesNewRoman,Italic"/>
                <w:iCs/>
                <w:sz w:val="20"/>
              </w:rPr>
              <w:t xml:space="preserve">Whether Quebec Court of Appeal created civil law rule by restricting concept of profit of which creditor deprived within meaning of </w:t>
            </w:r>
            <w:r w:rsidRPr="00E40721">
              <w:rPr>
                <w:rFonts w:ascii="TimesNewRoman" w:hAnsi="TimesNewRoman" w:cs="TimesNewRoman"/>
                <w:sz w:val="20"/>
              </w:rPr>
              <w:t xml:space="preserve">art. 1611 </w:t>
            </w:r>
            <w:r w:rsidRPr="00E40721">
              <w:rPr>
                <w:rFonts w:ascii="TimesNewRoman,Italic" w:hAnsi="TimesNewRoman,Italic" w:cs="TimesNewRoman,Italic"/>
                <w:i/>
                <w:iCs/>
                <w:sz w:val="20"/>
              </w:rPr>
              <w:t xml:space="preserve">C.C.Q. </w:t>
            </w:r>
            <w:r w:rsidRPr="00E40721">
              <w:rPr>
                <w:rFonts w:ascii="TimesNewRoman,Italic" w:hAnsi="TimesNewRoman,Italic" w:cs="TimesNewRoman,Italic"/>
                <w:iCs/>
                <w:sz w:val="20"/>
              </w:rPr>
              <w:t xml:space="preserve">to accounting concept of loss of </w:t>
            </w:r>
            <w:r w:rsidRPr="00E40721">
              <w:rPr>
                <w:rFonts w:ascii="TimesNewRoman" w:hAnsi="TimesNewRoman" w:cs="TimesNewRoman"/>
                <w:sz w:val="20"/>
              </w:rPr>
              <w:t xml:space="preserve">profit – Whether Court of Appeal disregarded </w:t>
            </w:r>
            <w:r w:rsidRPr="00E40721">
              <w:rPr>
                <w:rFonts w:ascii="TimesNewRoman,Italic" w:hAnsi="TimesNewRoman,Italic" w:cs="TimesNewRoman,Italic"/>
                <w:i/>
                <w:iCs/>
                <w:sz w:val="20"/>
              </w:rPr>
              <w:t xml:space="preserve">Mohan </w:t>
            </w:r>
            <w:r w:rsidRPr="00E40721">
              <w:rPr>
                <w:rFonts w:ascii="TimesNewRoman,Italic" w:hAnsi="TimesNewRoman,Italic" w:cs="TimesNewRoman,Italic"/>
                <w:iCs/>
                <w:sz w:val="20"/>
              </w:rPr>
              <w:t xml:space="preserve">rule by dampening </w:t>
            </w:r>
            <w:r w:rsidRPr="00E40721">
              <w:rPr>
                <w:rFonts w:ascii="TimesNewRoman" w:hAnsi="TimesNewRoman" w:cs="TimesNewRoman"/>
                <w:sz w:val="20"/>
              </w:rPr>
              <w:t xml:space="preserve">initiative of parties that choose not to produce expert’s report </w:t>
            </w:r>
            <w:r w:rsidRPr="00E40721">
              <w:rPr>
                <w:sz w:val="20"/>
              </w:rPr>
              <w:t>–</w:t>
            </w:r>
            <w:r w:rsidRPr="00E40721">
              <w:rPr>
                <w:rFonts w:ascii="TimesNewRoman" w:hAnsi="TimesNewRoman" w:cs="TimesNewRoman"/>
                <w:sz w:val="20"/>
              </w:rPr>
              <w:t xml:space="preserve"> Whether Court of Appeal overstepped its role by reassessing evidence on quantum of damages.</w:t>
            </w:r>
          </w:p>
        </w:tc>
      </w:tr>
      <w:tr w:rsidR="00B65BA0" w:rsidRPr="00E40721" w:rsidTr="00B65BA0">
        <w:tc>
          <w:tcPr>
            <w:tcW w:w="5000" w:type="pct"/>
            <w:gridSpan w:val="4"/>
          </w:tcPr>
          <w:p w:rsidR="00B65BA0" w:rsidRPr="00E40721" w:rsidRDefault="00B65BA0" w:rsidP="00B65BA0">
            <w:pPr>
              <w:jc w:val="both"/>
              <w:rPr>
                <w:sz w:val="20"/>
              </w:rPr>
            </w:pPr>
          </w:p>
          <w:p w:rsidR="00B65BA0" w:rsidRPr="00E40721" w:rsidRDefault="00B65BA0" w:rsidP="00B65BA0">
            <w:pPr>
              <w:jc w:val="both"/>
              <w:rPr>
                <w:sz w:val="20"/>
              </w:rPr>
            </w:pPr>
            <w:r w:rsidRPr="00E40721">
              <w:rPr>
                <w:sz w:val="20"/>
              </w:rPr>
              <w:t xml:space="preserve">For decades, American Iron &amp; Metal LP (AIM), which operates an industrial scrap metal recovery business, was bound by contract to Electrolux, which sold it the scrap metal produced by its activities. The price was based on the weight and type of metal sold. In September 2012, Electrolux unexpectedly decided to </w:t>
            </w:r>
            <w:proofErr w:type="spellStart"/>
            <w:r w:rsidRPr="00E40721">
              <w:rPr>
                <w:sz w:val="20"/>
              </w:rPr>
              <w:t>resiliate</w:t>
            </w:r>
            <w:proofErr w:type="spellEnd"/>
            <w:r w:rsidRPr="00E40721">
              <w:rPr>
                <w:sz w:val="20"/>
              </w:rPr>
              <w:t xml:space="preserve"> the contract unilaterally effective the following November, even though the contract was not supposed to end until October 2014. Electrolux relied, </w:t>
            </w:r>
            <w:r w:rsidRPr="00E40721">
              <w:rPr>
                <w:i/>
                <w:sz w:val="20"/>
              </w:rPr>
              <w:t>inter alia</w:t>
            </w:r>
            <w:r w:rsidRPr="00E40721">
              <w:rPr>
                <w:sz w:val="20"/>
              </w:rPr>
              <w:t xml:space="preserve">, on failure to comply with the procedure for determining the net weight of the metal and the addition of unauthorized deductions on invoices. Believing that the contract had been </w:t>
            </w:r>
            <w:proofErr w:type="spellStart"/>
            <w:r w:rsidRPr="00E40721">
              <w:rPr>
                <w:sz w:val="20"/>
              </w:rPr>
              <w:t>resiliated</w:t>
            </w:r>
            <w:proofErr w:type="spellEnd"/>
            <w:r w:rsidRPr="00E40721">
              <w:rPr>
                <w:sz w:val="20"/>
              </w:rPr>
              <w:t xml:space="preserve"> for no valid reason and in bad faith, AIM stopped making payments for the scrap received before the contract was </w:t>
            </w:r>
            <w:proofErr w:type="spellStart"/>
            <w:r w:rsidRPr="00E40721">
              <w:rPr>
                <w:sz w:val="20"/>
              </w:rPr>
              <w:t>resiliated</w:t>
            </w:r>
            <w:proofErr w:type="spellEnd"/>
            <w:r w:rsidRPr="00E40721">
              <w:rPr>
                <w:sz w:val="20"/>
              </w:rPr>
              <w:t xml:space="preserve">. </w:t>
            </w:r>
          </w:p>
          <w:p w:rsidR="00B65BA0" w:rsidRPr="00E40721" w:rsidRDefault="00B65BA0" w:rsidP="00B65BA0">
            <w:pPr>
              <w:jc w:val="both"/>
              <w:rPr>
                <w:sz w:val="20"/>
              </w:rPr>
            </w:pPr>
          </w:p>
          <w:p w:rsidR="00B65BA0" w:rsidRPr="00E40721" w:rsidRDefault="00B65BA0" w:rsidP="00B65BA0">
            <w:pPr>
              <w:jc w:val="both"/>
              <w:rPr>
                <w:sz w:val="20"/>
              </w:rPr>
            </w:pPr>
            <w:r w:rsidRPr="00E40721">
              <w:rPr>
                <w:sz w:val="20"/>
              </w:rPr>
              <w:t>AIM claimed $1,829,084 in damages that it said it had incurred as a result of the breach of contract. Electrolux presented a cross demand requesting that AIM be ordered to pay it $641,319.18 for the unpaid sale price of the scrap metal.</w:t>
            </w:r>
          </w:p>
          <w:p w:rsidR="00B65BA0" w:rsidRPr="00E40721" w:rsidRDefault="00B65BA0" w:rsidP="00B65BA0">
            <w:pPr>
              <w:jc w:val="both"/>
              <w:rPr>
                <w:sz w:val="20"/>
              </w:rPr>
            </w:pPr>
          </w:p>
          <w:p w:rsidR="00B65BA0" w:rsidRPr="00E40721" w:rsidRDefault="00B65BA0" w:rsidP="00B65BA0">
            <w:pPr>
              <w:jc w:val="both"/>
              <w:rPr>
                <w:sz w:val="20"/>
              </w:rPr>
            </w:pPr>
            <w:r w:rsidRPr="00E40721">
              <w:rPr>
                <w:sz w:val="20"/>
              </w:rPr>
              <w:t>The Superior Court found AIM at fault and awarded Electrolux damages equal to the difference between the price paid and the sale price, minus the company’s operating costs for that activity. The Court of Appeal allowed the appeal in part.</w:t>
            </w:r>
          </w:p>
        </w:tc>
      </w:tr>
      <w:tr w:rsidR="00B65BA0" w:rsidRPr="00E40721" w:rsidTr="00B65BA0">
        <w:tc>
          <w:tcPr>
            <w:tcW w:w="5000" w:type="pct"/>
            <w:gridSpan w:val="4"/>
          </w:tcPr>
          <w:p w:rsidR="00B65BA0" w:rsidRPr="00E40721" w:rsidRDefault="00B65BA0" w:rsidP="00B65BA0">
            <w:pPr>
              <w:jc w:val="both"/>
              <w:rPr>
                <w:sz w:val="20"/>
              </w:rPr>
            </w:pPr>
          </w:p>
        </w:tc>
      </w:tr>
      <w:tr w:rsidR="00B65BA0" w:rsidRPr="00E40721" w:rsidTr="00B65BA0">
        <w:tc>
          <w:tcPr>
            <w:tcW w:w="2427" w:type="pct"/>
            <w:gridSpan w:val="2"/>
          </w:tcPr>
          <w:p w:rsidR="00B65BA0" w:rsidRPr="00E40721" w:rsidRDefault="00B65BA0" w:rsidP="00B65BA0">
            <w:pPr>
              <w:jc w:val="both"/>
              <w:rPr>
                <w:sz w:val="20"/>
              </w:rPr>
            </w:pPr>
            <w:r w:rsidRPr="00E40721">
              <w:rPr>
                <w:sz w:val="20"/>
              </w:rPr>
              <w:t>January 29, 2015</w:t>
            </w:r>
          </w:p>
          <w:p w:rsidR="00B65BA0" w:rsidRPr="00E40721" w:rsidRDefault="00B65BA0" w:rsidP="00B65BA0">
            <w:pPr>
              <w:jc w:val="both"/>
              <w:rPr>
                <w:sz w:val="20"/>
              </w:rPr>
            </w:pPr>
            <w:r w:rsidRPr="00E40721">
              <w:rPr>
                <w:sz w:val="20"/>
              </w:rPr>
              <w:t>Quebec Superior Court</w:t>
            </w:r>
          </w:p>
          <w:p w:rsidR="00B65BA0" w:rsidRPr="00E40721" w:rsidRDefault="00B65BA0" w:rsidP="00B65BA0">
            <w:pPr>
              <w:jc w:val="both"/>
              <w:rPr>
                <w:sz w:val="20"/>
              </w:rPr>
            </w:pPr>
            <w:r w:rsidRPr="00E40721">
              <w:rPr>
                <w:sz w:val="20"/>
              </w:rPr>
              <w:t>(</w:t>
            </w:r>
            <w:proofErr w:type="spellStart"/>
            <w:r w:rsidRPr="00E40721">
              <w:rPr>
                <w:sz w:val="20"/>
              </w:rPr>
              <w:t>Sansfaçon</w:t>
            </w:r>
            <w:proofErr w:type="spellEnd"/>
            <w:r w:rsidRPr="00E40721">
              <w:rPr>
                <w:sz w:val="20"/>
              </w:rPr>
              <w:t xml:space="preserve"> J.)</w:t>
            </w:r>
          </w:p>
          <w:p w:rsidR="00B65BA0" w:rsidRPr="00E40721" w:rsidRDefault="00B65BA0" w:rsidP="00B65BA0">
            <w:pPr>
              <w:jc w:val="both"/>
              <w:rPr>
                <w:sz w:val="20"/>
              </w:rPr>
            </w:pPr>
            <w:r w:rsidRPr="00E40721">
              <w:rPr>
                <w:sz w:val="20"/>
              </w:rPr>
              <w:t>2015 QCCS 245</w:t>
            </w:r>
          </w:p>
          <w:p w:rsidR="00B65BA0" w:rsidRPr="00E40721" w:rsidRDefault="00B65BA0" w:rsidP="00B65BA0">
            <w:pPr>
              <w:jc w:val="both"/>
              <w:rPr>
                <w:sz w:val="20"/>
              </w:rPr>
            </w:pPr>
          </w:p>
        </w:tc>
        <w:tc>
          <w:tcPr>
            <w:tcW w:w="243" w:type="pct"/>
          </w:tcPr>
          <w:p w:rsidR="00B65BA0" w:rsidRPr="00E40721" w:rsidRDefault="00B65BA0" w:rsidP="00B65BA0">
            <w:pPr>
              <w:jc w:val="both"/>
              <w:rPr>
                <w:sz w:val="20"/>
              </w:rPr>
            </w:pPr>
          </w:p>
        </w:tc>
        <w:tc>
          <w:tcPr>
            <w:tcW w:w="2330" w:type="pct"/>
          </w:tcPr>
          <w:p w:rsidR="00B65BA0" w:rsidRPr="00E40721" w:rsidRDefault="00B65BA0" w:rsidP="00B65BA0">
            <w:pPr>
              <w:jc w:val="both"/>
              <w:rPr>
                <w:sz w:val="20"/>
              </w:rPr>
            </w:pPr>
            <w:r w:rsidRPr="00E40721">
              <w:rPr>
                <w:sz w:val="20"/>
              </w:rPr>
              <w:t>Motion claiming damages allowed in part; cross demand claiming sum of money allowed in part</w:t>
            </w:r>
          </w:p>
        </w:tc>
      </w:tr>
      <w:tr w:rsidR="00B65BA0" w:rsidRPr="00E40721" w:rsidTr="00B65BA0">
        <w:tc>
          <w:tcPr>
            <w:tcW w:w="2427" w:type="pct"/>
            <w:gridSpan w:val="2"/>
          </w:tcPr>
          <w:p w:rsidR="00B65BA0" w:rsidRPr="00E40721" w:rsidRDefault="00B65BA0" w:rsidP="00B65BA0">
            <w:pPr>
              <w:jc w:val="both"/>
              <w:rPr>
                <w:sz w:val="20"/>
              </w:rPr>
            </w:pPr>
            <w:r w:rsidRPr="00E40721">
              <w:rPr>
                <w:sz w:val="20"/>
              </w:rPr>
              <w:lastRenderedPageBreak/>
              <w:t>October 20, 2016</w:t>
            </w:r>
          </w:p>
          <w:p w:rsidR="00B65BA0" w:rsidRPr="00E40721" w:rsidRDefault="00B65BA0" w:rsidP="00B65BA0">
            <w:pPr>
              <w:jc w:val="both"/>
              <w:rPr>
                <w:sz w:val="20"/>
              </w:rPr>
            </w:pPr>
            <w:r w:rsidRPr="00E40721">
              <w:rPr>
                <w:sz w:val="20"/>
              </w:rPr>
              <w:t>Quebec Court of Appeal (Montréal)</w:t>
            </w:r>
          </w:p>
          <w:p w:rsidR="00B65BA0" w:rsidRPr="00E40721" w:rsidRDefault="00B65BA0" w:rsidP="00B65BA0">
            <w:pPr>
              <w:jc w:val="both"/>
              <w:rPr>
                <w:sz w:val="20"/>
              </w:rPr>
            </w:pPr>
            <w:r w:rsidRPr="00E40721">
              <w:rPr>
                <w:sz w:val="20"/>
              </w:rPr>
              <w:t xml:space="preserve">(Gagnon, </w:t>
            </w:r>
            <w:proofErr w:type="spellStart"/>
            <w:r w:rsidRPr="00E40721">
              <w:rPr>
                <w:sz w:val="20"/>
              </w:rPr>
              <w:t>Marcotte</w:t>
            </w:r>
            <w:proofErr w:type="spellEnd"/>
            <w:r w:rsidRPr="00E40721">
              <w:rPr>
                <w:sz w:val="20"/>
              </w:rPr>
              <w:t xml:space="preserve"> and Schrager JJ.A.)</w:t>
            </w:r>
          </w:p>
          <w:p w:rsidR="00B65BA0" w:rsidRPr="00E40721" w:rsidRDefault="00B65BA0" w:rsidP="00B65BA0">
            <w:pPr>
              <w:jc w:val="both"/>
              <w:rPr>
                <w:sz w:val="20"/>
              </w:rPr>
            </w:pPr>
            <w:r w:rsidRPr="00E40721">
              <w:rPr>
                <w:sz w:val="20"/>
              </w:rPr>
              <w:t>2016 QCCA 1692</w:t>
            </w:r>
          </w:p>
          <w:p w:rsidR="00B65BA0" w:rsidRPr="00E40721" w:rsidRDefault="00B65BA0" w:rsidP="00B65BA0">
            <w:pPr>
              <w:jc w:val="both"/>
              <w:rPr>
                <w:sz w:val="20"/>
              </w:rPr>
            </w:pPr>
          </w:p>
        </w:tc>
        <w:tc>
          <w:tcPr>
            <w:tcW w:w="243" w:type="pct"/>
          </w:tcPr>
          <w:p w:rsidR="00B65BA0" w:rsidRPr="00E40721" w:rsidRDefault="00B65BA0" w:rsidP="00B65BA0">
            <w:pPr>
              <w:jc w:val="both"/>
              <w:rPr>
                <w:sz w:val="20"/>
              </w:rPr>
            </w:pPr>
          </w:p>
        </w:tc>
        <w:tc>
          <w:tcPr>
            <w:tcW w:w="2330" w:type="pct"/>
          </w:tcPr>
          <w:p w:rsidR="00B65BA0" w:rsidRPr="00E40721" w:rsidRDefault="00B65BA0" w:rsidP="00B65BA0">
            <w:pPr>
              <w:jc w:val="both"/>
              <w:rPr>
                <w:sz w:val="20"/>
              </w:rPr>
            </w:pPr>
            <w:r w:rsidRPr="00E40721">
              <w:rPr>
                <w:sz w:val="20"/>
              </w:rPr>
              <w:t>Appeal allowed in part</w:t>
            </w:r>
          </w:p>
          <w:p w:rsidR="00B65BA0" w:rsidRPr="00E40721" w:rsidRDefault="00B65BA0" w:rsidP="00B65BA0">
            <w:pPr>
              <w:jc w:val="both"/>
              <w:rPr>
                <w:sz w:val="20"/>
              </w:rPr>
            </w:pPr>
          </w:p>
        </w:tc>
      </w:tr>
      <w:tr w:rsidR="00B65BA0" w:rsidRPr="00E40721" w:rsidTr="00B65BA0">
        <w:tc>
          <w:tcPr>
            <w:tcW w:w="2427" w:type="pct"/>
            <w:gridSpan w:val="2"/>
          </w:tcPr>
          <w:p w:rsidR="00B65BA0" w:rsidRPr="00E40721" w:rsidRDefault="00B65BA0" w:rsidP="00B65BA0">
            <w:pPr>
              <w:jc w:val="both"/>
              <w:rPr>
                <w:sz w:val="20"/>
              </w:rPr>
            </w:pPr>
            <w:r w:rsidRPr="00E40721">
              <w:rPr>
                <w:sz w:val="20"/>
              </w:rPr>
              <w:t>December 19, 2016</w:t>
            </w:r>
          </w:p>
          <w:p w:rsidR="00B65BA0" w:rsidRPr="00E40721" w:rsidRDefault="00B65BA0" w:rsidP="00B65BA0">
            <w:pPr>
              <w:jc w:val="both"/>
              <w:rPr>
                <w:sz w:val="20"/>
              </w:rPr>
            </w:pPr>
            <w:r w:rsidRPr="00E40721">
              <w:rPr>
                <w:sz w:val="20"/>
              </w:rPr>
              <w:t>Supreme Court of Canada</w:t>
            </w:r>
          </w:p>
        </w:tc>
        <w:tc>
          <w:tcPr>
            <w:tcW w:w="243" w:type="pct"/>
          </w:tcPr>
          <w:p w:rsidR="00B65BA0" w:rsidRPr="00E40721" w:rsidRDefault="00B65BA0" w:rsidP="00B65BA0">
            <w:pPr>
              <w:jc w:val="both"/>
              <w:rPr>
                <w:sz w:val="20"/>
              </w:rPr>
            </w:pPr>
          </w:p>
        </w:tc>
        <w:tc>
          <w:tcPr>
            <w:tcW w:w="2330" w:type="pct"/>
          </w:tcPr>
          <w:p w:rsidR="00B65BA0" w:rsidRPr="00E40721" w:rsidRDefault="00B65BA0" w:rsidP="00B65BA0">
            <w:pPr>
              <w:jc w:val="both"/>
              <w:rPr>
                <w:sz w:val="20"/>
              </w:rPr>
            </w:pPr>
            <w:r w:rsidRPr="00E40721">
              <w:rPr>
                <w:sz w:val="20"/>
              </w:rPr>
              <w:t>Application for leave to appeal filed</w:t>
            </w:r>
          </w:p>
          <w:p w:rsidR="00B65BA0" w:rsidRPr="00E40721" w:rsidRDefault="00B65BA0" w:rsidP="00B65BA0">
            <w:pPr>
              <w:jc w:val="both"/>
              <w:rPr>
                <w:sz w:val="20"/>
              </w:rPr>
            </w:pPr>
          </w:p>
        </w:tc>
      </w:tr>
    </w:tbl>
    <w:p w:rsidR="00B65BA0" w:rsidRDefault="00E7387C" w:rsidP="00B65BA0">
      <w:pPr>
        <w:jc w:val="both"/>
        <w:rPr>
          <w:sz w:val="20"/>
        </w:rPr>
      </w:pPr>
      <w:r>
        <w:rPr>
          <w:sz w:val="20"/>
          <w:szCs w:val="20"/>
        </w:rPr>
        <w:pict>
          <v:rect id="_x0000_i1037" style="width:2in;height:1pt" o:hrpct="0" o:hralign="center" o:hrstd="t" o:hrnoshade="t" o:hr="t" fillcolor="black [3213]" stroked="f"/>
        </w:pict>
      </w:r>
    </w:p>
    <w:p w:rsidR="00B65BA0" w:rsidRPr="00E40721" w:rsidRDefault="00B65BA0" w:rsidP="00B65BA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65BA0" w:rsidRPr="00E7387C" w:rsidTr="00B65BA0">
        <w:tc>
          <w:tcPr>
            <w:tcW w:w="543" w:type="pct"/>
          </w:tcPr>
          <w:p w:rsidR="00B65BA0" w:rsidRPr="00E40721" w:rsidRDefault="00B65BA0" w:rsidP="00B65BA0">
            <w:pPr>
              <w:jc w:val="both"/>
              <w:rPr>
                <w:sz w:val="20"/>
              </w:rPr>
            </w:pPr>
            <w:r w:rsidRPr="00E40721">
              <w:rPr>
                <w:rStyle w:val="SCCFileNumberChar"/>
                <w:sz w:val="20"/>
                <w:szCs w:val="20"/>
              </w:rPr>
              <w:t>37362</w:t>
            </w:r>
          </w:p>
        </w:tc>
        <w:tc>
          <w:tcPr>
            <w:tcW w:w="4457" w:type="pct"/>
            <w:gridSpan w:val="3"/>
          </w:tcPr>
          <w:p w:rsidR="00B65BA0" w:rsidRDefault="00B65BA0" w:rsidP="00B65BA0">
            <w:pPr>
              <w:pStyle w:val="SCCLsocParty"/>
              <w:jc w:val="both"/>
              <w:rPr>
                <w:sz w:val="20"/>
              </w:rPr>
            </w:pPr>
            <w:r w:rsidRPr="00E40721">
              <w:rPr>
                <w:b/>
                <w:sz w:val="20"/>
                <w:szCs w:val="20"/>
              </w:rPr>
              <w:t>Fer &amp; Métaux Américains S.E.C c. Société Electrolux Canada</w:t>
            </w:r>
            <w:r>
              <w:rPr>
                <w:b/>
                <w:sz w:val="20"/>
                <w:szCs w:val="20"/>
              </w:rPr>
              <w:t xml:space="preserve"> </w:t>
            </w:r>
            <w:r w:rsidRPr="00E40721">
              <w:rPr>
                <w:sz w:val="20"/>
              </w:rPr>
              <w:t>(</w:t>
            </w:r>
            <w:proofErr w:type="spellStart"/>
            <w:r w:rsidRPr="00E40721">
              <w:rPr>
                <w:sz w:val="20"/>
              </w:rPr>
              <w:t>Qc</w:t>
            </w:r>
            <w:proofErr w:type="spellEnd"/>
            <w:r w:rsidRPr="00E40721">
              <w:rPr>
                <w:sz w:val="20"/>
              </w:rPr>
              <w:t>) (Civile) (Autorisation)</w:t>
            </w:r>
          </w:p>
          <w:p w:rsidR="00B65BA0" w:rsidRPr="00B65BA0" w:rsidRDefault="00B65BA0" w:rsidP="00B65BA0">
            <w:pPr>
              <w:rPr>
                <w:lang w:val="fr-CA"/>
              </w:rPr>
            </w:pPr>
          </w:p>
        </w:tc>
      </w:tr>
      <w:tr w:rsidR="00B65BA0" w:rsidRPr="00E7387C" w:rsidTr="00B65BA0">
        <w:tc>
          <w:tcPr>
            <w:tcW w:w="543" w:type="pct"/>
          </w:tcPr>
          <w:p w:rsidR="00B65BA0" w:rsidRPr="00E40721" w:rsidRDefault="00B65BA0" w:rsidP="00B65BA0">
            <w:pPr>
              <w:jc w:val="both"/>
              <w:rPr>
                <w:rStyle w:val="SCCFileNumberChar"/>
                <w:sz w:val="20"/>
                <w:szCs w:val="20"/>
              </w:rPr>
            </w:pPr>
            <w:r>
              <w:rPr>
                <w:rStyle w:val="SCCFileNumberChar"/>
                <w:sz w:val="20"/>
                <w:szCs w:val="20"/>
              </w:rPr>
              <w:t>Coram:</w:t>
            </w:r>
          </w:p>
        </w:tc>
        <w:tc>
          <w:tcPr>
            <w:tcW w:w="4457" w:type="pct"/>
            <w:gridSpan w:val="3"/>
          </w:tcPr>
          <w:p w:rsidR="00B65BA0" w:rsidRDefault="00B66AE9" w:rsidP="00B65BA0">
            <w:pPr>
              <w:pStyle w:val="SCCLsocParty"/>
              <w:jc w:val="both"/>
              <w:rPr>
                <w:rFonts w:eastAsiaTheme="minorEastAsia"/>
                <w:sz w:val="20"/>
                <w:szCs w:val="20"/>
                <w:lang w:val="fr-FR" w:eastAsia="en-CA"/>
              </w:rPr>
            </w:pPr>
            <w:r w:rsidRPr="0089706C">
              <w:rPr>
                <w:rFonts w:eastAsiaTheme="minorEastAsia"/>
                <w:sz w:val="20"/>
                <w:szCs w:val="20"/>
                <w:lang w:val="fr-FR" w:eastAsia="en-CA"/>
              </w:rPr>
              <w:t xml:space="preserve">La juge en chef </w:t>
            </w:r>
            <w:proofErr w:type="spellStart"/>
            <w:r w:rsidRPr="0089706C">
              <w:rPr>
                <w:rFonts w:eastAsiaTheme="minorEastAsia"/>
                <w:sz w:val="20"/>
                <w:szCs w:val="20"/>
                <w:lang w:val="fr-FR" w:eastAsia="en-CA"/>
              </w:rPr>
              <w:t>McLachlin</w:t>
            </w:r>
            <w:proofErr w:type="spellEnd"/>
            <w:r w:rsidRPr="0089706C">
              <w:rPr>
                <w:rFonts w:eastAsiaTheme="minorEastAsia"/>
                <w:sz w:val="20"/>
                <w:szCs w:val="20"/>
                <w:lang w:val="fr-FR" w:eastAsia="en-CA"/>
              </w:rPr>
              <w:t xml:space="preserve"> et les juges Abella, </w:t>
            </w:r>
            <w:proofErr w:type="spellStart"/>
            <w:r w:rsidRPr="0089706C">
              <w:rPr>
                <w:rFonts w:eastAsiaTheme="minorEastAsia"/>
                <w:sz w:val="20"/>
                <w:szCs w:val="20"/>
                <w:lang w:val="fr-FR" w:eastAsia="en-CA"/>
              </w:rPr>
              <w:t>Moldaver</w:t>
            </w:r>
            <w:proofErr w:type="spellEnd"/>
            <w:r w:rsidRPr="0089706C">
              <w:rPr>
                <w:rFonts w:eastAsiaTheme="minorEastAsia"/>
                <w:sz w:val="20"/>
                <w:szCs w:val="20"/>
                <w:lang w:val="fr-FR" w:eastAsia="en-CA"/>
              </w:rPr>
              <w:t xml:space="preserve">, </w:t>
            </w:r>
            <w:proofErr w:type="spellStart"/>
            <w:r w:rsidRPr="0089706C">
              <w:rPr>
                <w:rFonts w:eastAsiaTheme="minorEastAsia"/>
                <w:sz w:val="20"/>
                <w:szCs w:val="20"/>
                <w:lang w:val="fr-FR" w:eastAsia="en-CA"/>
              </w:rPr>
              <w:t>Karakatsanis</w:t>
            </w:r>
            <w:proofErr w:type="spellEnd"/>
            <w:r w:rsidRPr="0089706C">
              <w:rPr>
                <w:rFonts w:eastAsiaTheme="minorEastAsia"/>
                <w:sz w:val="20"/>
                <w:szCs w:val="20"/>
                <w:lang w:val="fr-FR" w:eastAsia="en-CA"/>
              </w:rPr>
              <w:t>, Wagner, Gascon, Brown et Rowe</w:t>
            </w:r>
          </w:p>
          <w:p w:rsidR="00B66AE9" w:rsidRPr="00B66AE9" w:rsidRDefault="00B66AE9" w:rsidP="00B66AE9">
            <w:pPr>
              <w:rPr>
                <w:lang w:val="fr-FR" w:eastAsia="en-CA"/>
              </w:rPr>
            </w:pPr>
          </w:p>
        </w:tc>
      </w:tr>
      <w:tr w:rsidR="00B65BA0" w:rsidRPr="00E7387C" w:rsidTr="00B65BA0">
        <w:tc>
          <w:tcPr>
            <w:tcW w:w="5000" w:type="pct"/>
            <w:gridSpan w:val="4"/>
          </w:tcPr>
          <w:p w:rsidR="00B65BA0" w:rsidRDefault="00B66AE9" w:rsidP="00B65BA0">
            <w:pPr>
              <w:pStyle w:val="SCCLsocParty"/>
              <w:jc w:val="both"/>
              <w:rPr>
                <w:sz w:val="20"/>
                <w:szCs w:val="20"/>
              </w:rPr>
            </w:pPr>
            <w:r w:rsidRPr="0089706C">
              <w:rPr>
                <w:sz w:val="20"/>
                <w:szCs w:val="20"/>
              </w:rPr>
              <w:t>La demande d’autorisation d’appel de l’arrêt de la Cour d’appel du Québec (Montréal), numéro 500-09-025084-153, 2016 QCCA 1692, daté du 20 octobre 2016, est rejetée avec dépens.</w:t>
            </w:r>
          </w:p>
          <w:p w:rsidR="00B66AE9" w:rsidRPr="00B66AE9" w:rsidRDefault="00B66AE9" w:rsidP="00B66AE9">
            <w:pPr>
              <w:rPr>
                <w:lang w:val="fr-CA"/>
              </w:rPr>
            </w:pPr>
          </w:p>
        </w:tc>
      </w:tr>
      <w:tr w:rsidR="00B65BA0" w:rsidRPr="00E7387C" w:rsidTr="00B65BA0">
        <w:tc>
          <w:tcPr>
            <w:tcW w:w="5000" w:type="pct"/>
            <w:gridSpan w:val="4"/>
          </w:tcPr>
          <w:p w:rsidR="00B65BA0" w:rsidRPr="00E40721" w:rsidRDefault="00B65BA0" w:rsidP="00B65BA0">
            <w:pPr>
              <w:jc w:val="both"/>
              <w:rPr>
                <w:sz w:val="20"/>
                <w:lang w:val="fr-CA"/>
              </w:rPr>
            </w:pPr>
            <w:r w:rsidRPr="00E40721">
              <w:rPr>
                <w:sz w:val="20"/>
                <w:lang w:val="fr-CA"/>
              </w:rPr>
              <w:t xml:space="preserve">Contrats – Dommages-intérêts – Résiliation unilatérale – Résiliation du contrat sans motif – Détermination du quantum des dommages – </w:t>
            </w:r>
            <w:r w:rsidRPr="00E40721">
              <w:rPr>
                <w:rFonts w:ascii="TimesNewRoman" w:hAnsi="TimesNewRoman" w:cs="TimesNewRoman"/>
                <w:sz w:val="20"/>
                <w:lang w:val="fr-FR"/>
              </w:rPr>
              <w:t>La Cour d’appel a-t-elle instauré une nouvelle règle de preuve civile en stipulant</w:t>
            </w:r>
            <w:r w:rsidRPr="00E40721">
              <w:rPr>
                <w:sz w:val="20"/>
                <w:lang w:val="fr-CA"/>
              </w:rPr>
              <w:t xml:space="preserve"> </w:t>
            </w:r>
            <w:r w:rsidRPr="00E40721">
              <w:rPr>
                <w:rFonts w:ascii="TimesNewRoman" w:hAnsi="TimesNewRoman" w:cs="TimesNewRoman"/>
                <w:sz w:val="20"/>
                <w:lang w:val="fr-FR"/>
              </w:rPr>
              <w:t xml:space="preserve">qu’un créancier doit faire la preuve directe d’éléments spécifiques pour établir le gain dont il est privé au sens de l’art. 1611 </w:t>
            </w:r>
            <w:proofErr w:type="spellStart"/>
            <w:r w:rsidRPr="00E40721">
              <w:rPr>
                <w:rFonts w:ascii="TimesNewRoman,Italic" w:hAnsi="TimesNewRoman,Italic" w:cs="TimesNewRoman,Italic"/>
                <w:i/>
                <w:iCs/>
                <w:sz w:val="20"/>
                <w:lang w:val="fr-FR"/>
              </w:rPr>
              <w:t>C.c.Q</w:t>
            </w:r>
            <w:proofErr w:type="spellEnd"/>
            <w:r w:rsidRPr="00E40721">
              <w:rPr>
                <w:rFonts w:ascii="TimesNewRoman,Italic" w:hAnsi="TimesNewRoman,Italic" w:cs="TimesNewRoman,Italic"/>
                <w:i/>
                <w:iCs/>
                <w:sz w:val="20"/>
                <w:lang w:val="fr-FR"/>
              </w:rPr>
              <w:t>.</w:t>
            </w:r>
            <w:r w:rsidRPr="00E40721">
              <w:rPr>
                <w:rFonts w:ascii="TimesNewRoman,Italic" w:hAnsi="TimesNewRoman,Italic" w:cs="TimesNewRoman,Italic"/>
                <w:iCs/>
                <w:sz w:val="20"/>
                <w:lang w:val="fr-FR"/>
              </w:rPr>
              <w:t xml:space="preserve">? </w:t>
            </w:r>
            <w:r w:rsidRPr="00E40721">
              <w:rPr>
                <w:rFonts w:ascii="TimesNewRoman,Italic" w:hAnsi="TimesNewRoman,Italic" w:cs="TimesNewRoman,Italic"/>
                <w:i/>
                <w:iCs/>
                <w:sz w:val="20"/>
                <w:lang w:val="fr-FR"/>
              </w:rPr>
              <w:t xml:space="preserve">– </w:t>
            </w:r>
            <w:r w:rsidRPr="00E40721">
              <w:rPr>
                <w:rFonts w:ascii="TimesNewRoman" w:hAnsi="TimesNewRoman" w:cs="TimesNewRoman"/>
                <w:sz w:val="20"/>
                <w:lang w:val="fr-FR"/>
              </w:rPr>
              <w:t xml:space="preserve">La Cour d’appel du Québec a-t-elle créé une règle de droit civil en restreignant la notion de gain dont le créancier est privé au sens de l’art. 1611 </w:t>
            </w:r>
            <w:proofErr w:type="spellStart"/>
            <w:r w:rsidRPr="00E40721">
              <w:rPr>
                <w:rFonts w:ascii="TimesNewRoman,Italic" w:hAnsi="TimesNewRoman,Italic" w:cs="TimesNewRoman,Italic"/>
                <w:i/>
                <w:iCs/>
                <w:sz w:val="20"/>
                <w:lang w:val="fr-FR"/>
              </w:rPr>
              <w:t>C.c.Q</w:t>
            </w:r>
            <w:proofErr w:type="spellEnd"/>
            <w:r w:rsidRPr="00E40721">
              <w:rPr>
                <w:rFonts w:ascii="TimesNewRoman,Italic" w:hAnsi="TimesNewRoman,Italic" w:cs="TimesNewRoman,Italic"/>
                <w:i/>
                <w:iCs/>
                <w:sz w:val="20"/>
                <w:lang w:val="fr-FR"/>
              </w:rPr>
              <w:t xml:space="preserve">. </w:t>
            </w:r>
            <w:r w:rsidRPr="00E40721">
              <w:rPr>
                <w:rFonts w:ascii="TimesNewRoman" w:hAnsi="TimesNewRoman" w:cs="TimesNewRoman"/>
                <w:sz w:val="20"/>
                <w:lang w:val="fr-FR"/>
              </w:rPr>
              <w:t xml:space="preserve">à la notion comptable de pertes de profits? – La Cour d’appel a-t-elle fait fi de la règle de </w:t>
            </w:r>
            <w:r w:rsidRPr="00E40721">
              <w:rPr>
                <w:rFonts w:ascii="TimesNewRoman,Italic" w:hAnsi="TimesNewRoman,Italic" w:cs="TimesNewRoman,Italic"/>
                <w:i/>
                <w:iCs/>
                <w:sz w:val="20"/>
                <w:lang w:val="fr-FR"/>
              </w:rPr>
              <w:t xml:space="preserve">Mohan </w:t>
            </w:r>
            <w:r w:rsidRPr="00E40721">
              <w:rPr>
                <w:rFonts w:ascii="TimesNewRoman" w:hAnsi="TimesNewRoman" w:cs="TimesNewRoman"/>
                <w:sz w:val="20"/>
                <w:lang w:val="fr-FR"/>
              </w:rPr>
              <w:t xml:space="preserve">en refroidissant l’initiative des parties qui choisissent de ne pas produire d’expertise? </w:t>
            </w:r>
            <w:r w:rsidRPr="00E40721">
              <w:rPr>
                <w:sz w:val="20"/>
                <w:lang w:val="fr-CA"/>
              </w:rPr>
              <w:t>–</w:t>
            </w:r>
            <w:r w:rsidRPr="00E40721">
              <w:rPr>
                <w:rFonts w:ascii="TimesNewRoman" w:hAnsi="TimesNewRoman" w:cs="TimesNewRoman"/>
                <w:sz w:val="20"/>
                <w:lang w:val="fr-FR"/>
              </w:rPr>
              <w:t xml:space="preserve"> La Cour d’appel a-t-elle outrepassé son rôle en réévaluant la preuve du quantum des dommages?</w:t>
            </w:r>
          </w:p>
        </w:tc>
      </w:tr>
      <w:tr w:rsidR="00B65BA0" w:rsidRPr="00E40721" w:rsidTr="00B65BA0">
        <w:tc>
          <w:tcPr>
            <w:tcW w:w="5000" w:type="pct"/>
            <w:gridSpan w:val="4"/>
          </w:tcPr>
          <w:p w:rsidR="00B65BA0" w:rsidRPr="00E40721" w:rsidRDefault="00B65BA0" w:rsidP="00B65BA0">
            <w:pPr>
              <w:jc w:val="both"/>
              <w:rPr>
                <w:sz w:val="20"/>
                <w:lang w:val="fr-CA"/>
              </w:rPr>
            </w:pPr>
          </w:p>
          <w:p w:rsidR="00B65BA0" w:rsidRPr="00E40721" w:rsidRDefault="00B65BA0" w:rsidP="00B65BA0">
            <w:pPr>
              <w:jc w:val="both"/>
              <w:rPr>
                <w:sz w:val="20"/>
                <w:lang w:val="fr-CA"/>
              </w:rPr>
            </w:pPr>
            <w:r w:rsidRPr="00E40721">
              <w:rPr>
                <w:sz w:val="20"/>
                <w:lang w:val="fr-CA"/>
              </w:rPr>
              <w:t xml:space="preserve">Depuis des décennies, Fer &amp; Métaux Américains S.E.C. (FMA), qui exploite une entreprise de récupération de résidus industriels métalliques, était liée contractuellement à Electrolux, qui lui vendait les déchets métalliques issus de ses activités. Le prix était établi en fonction du poids et du type de métal vendu. En septembre 2012, Electrolux a décidé, contre toute attente, de résilier unilatéralement le contrat à compter du mois de novembre suivant alors que celui-ci ne devait prendre fin qu’à la fin d’octobre 2014. Electrolux invoquait notamment le non-respect de la procédure pour établir le poids net des métaux ainsi que l’ajout de déductions non autorisées sur les factures. Considérant que la résiliation a été faite sans motif valable et de mauvaise foi, FMA a alors cessé d’effectuer des paiements pour les résidus reçus avant la résiliation du contrat. </w:t>
            </w:r>
          </w:p>
          <w:p w:rsidR="00B65BA0" w:rsidRPr="00E40721" w:rsidRDefault="00B65BA0" w:rsidP="00B65BA0">
            <w:pPr>
              <w:jc w:val="both"/>
              <w:rPr>
                <w:sz w:val="20"/>
                <w:lang w:val="fr-CA"/>
              </w:rPr>
            </w:pPr>
          </w:p>
          <w:p w:rsidR="00B65BA0" w:rsidRPr="00E40721" w:rsidRDefault="00B65BA0" w:rsidP="00B65BA0">
            <w:pPr>
              <w:jc w:val="both"/>
              <w:rPr>
                <w:sz w:val="20"/>
                <w:lang w:val="fr-CA"/>
              </w:rPr>
            </w:pPr>
            <w:r w:rsidRPr="00E40721">
              <w:rPr>
                <w:sz w:val="20"/>
                <w:lang w:val="fr-CA"/>
              </w:rPr>
              <w:t>FMA a réclamé des dommages de 1 829 084 $ qu’elle dit avoir subis à la suite de la rupture du contrat. Electrolux a présenté de son côté une demande reconventionnelle par laquelle elle a demandé que FMA soit condamnée à lui verser 641 319,18 $ à titre de prix de vente impayé pour l’achat de résidus de métal.</w:t>
            </w:r>
          </w:p>
          <w:p w:rsidR="00B65BA0" w:rsidRPr="00E40721" w:rsidRDefault="00B65BA0" w:rsidP="00B65BA0">
            <w:pPr>
              <w:jc w:val="both"/>
              <w:rPr>
                <w:sz w:val="20"/>
                <w:lang w:val="fr-CA"/>
              </w:rPr>
            </w:pPr>
          </w:p>
          <w:p w:rsidR="00B65BA0" w:rsidRPr="00E40721" w:rsidRDefault="00B65BA0" w:rsidP="00B65BA0">
            <w:pPr>
              <w:jc w:val="both"/>
              <w:rPr>
                <w:sz w:val="20"/>
              </w:rPr>
            </w:pPr>
            <w:r w:rsidRPr="00E40721">
              <w:rPr>
                <w:sz w:val="20"/>
                <w:lang w:val="fr-CA"/>
              </w:rPr>
              <w:t xml:space="preserve">La Cour supérieure a conclu à une conduite fautive de FMA et a accordé à Electrolux des dommages-intérêts correspondant à la différence entre le prix payé et le prix de vente, moins les coûts d’exploitation de l’entreprise pour cette activité. </w:t>
            </w:r>
            <w:r w:rsidRPr="00E40721">
              <w:rPr>
                <w:sz w:val="20"/>
              </w:rPr>
              <w:t xml:space="preserve">La </w:t>
            </w:r>
            <w:proofErr w:type="spellStart"/>
            <w:r w:rsidRPr="00E40721">
              <w:rPr>
                <w:sz w:val="20"/>
              </w:rPr>
              <w:t>Cour</w:t>
            </w:r>
            <w:proofErr w:type="spellEnd"/>
            <w:r w:rsidRPr="00E40721">
              <w:rPr>
                <w:sz w:val="20"/>
              </w:rPr>
              <w:t xml:space="preserve"> </w:t>
            </w:r>
            <w:proofErr w:type="spellStart"/>
            <w:r w:rsidRPr="00E40721">
              <w:rPr>
                <w:sz w:val="20"/>
              </w:rPr>
              <w:t>d’appel</w:t>
            </w:r>
            <w:proofErr w:type="spellEnd"/>
            <w:r w:rsidRPr="00E40721">
              <w:rPr>
                <w:sz w:val="20"/>
              </w:rPr>
              <w:t xml:space="preserve"> </w:t>
            </w:r>
            <w:proofErr w:type="gramStart"/>
            <w:r w:rsidRPr="00E40721">
              <w:rPr>
                <w:sz w:val="20"/>
              </w:rPr>
              <w:t>a</w:t>
            </w:r>
            <w:proofErr w:type="gramEnd"/>
            <w:r w:rsidRPr="00E40721">
              <w:rPr>
                <w:sz w:val="20"/>
              </w:rPr>
              <w:t xml:space="preserve"> </w:t>
            </w:r>
            <w:proofErr w:type="spellStart"/>
            <w:r w:rsidRPr="00E40721">
              <w:rPr>
                <w:sz w:val="20"/>
              </w:rPr>
              <w:t>accueilli</w:t>
            </w:r>
            <w:proofErr w:type="spellEnd"/>
            <w:r w:rsidRPr="00E40721">
              <w:rPr>
                <w:sz w:val="20"/>
              </w:rPr>
              <w:t xml:space="preserve"> </w:t>
            </w:r>
            <w:proofErr w:type="spellStart"/>
            <w:r w:rsidRPr="00E40721">
              <w:rPr>
                <w:sz w:val="20"/>
              </w:rPr>
              <w:t>en</w:t>
            </w:r>
            <w:proofErr w:type="spellEnd"/>
            <w:r w:rsidRPr="00E40721">
              <w:rPr>
                <w:sz w:val="20"/>
              </w:rPr>
              <w:t xml:space="preserve"> </w:t>
            </w:r>
            <w:proofErr w:type="spellStart"/>
            <w:r w:rsidRPr="00E40721">
              <w:rPr>
                <w:sz w:val="20"/>
              </w:rPr>
              <w:t>partie</w:t>
            </w:r>
            <w:proofErr w:type="spellEnd"/>
            <w:r w:rsidRPr="00E40721">
              <w:rPr>
                <w:sz w:val="20"/>
              </w:rPr>
              <w:t xml:space="preserve"> le </w:t>
            </w:r>
            <w:proofErr w:type="spellStart"/>
            <w:r w:rsidRPr="00E40721">
              <w:rPr>
                <w:sz w:val="20"/>
              </w:rPr>
              <w:t>pourvoi</w:t>
            </w:r>
            <w:proofErr w:type="spellEnd"/>
            <w:r w:rsidRPr="00E40721">
              <w:rPr>
                <w:sz w:val="20"/>
              </w:rPr>
              <w:t>.</w:t>
            </w:r>
          </w:p>
        </w:tc>
      </w:tr>
      <w:tr w:rsidR="00B65BA0" w:rsidRPr="00E40721" w:rsidTr="00B65BA0">
        <w:tc>
          <w:tcPr>
            <w:tcW w:w="5000" w:type="pct"/>
            <w:gridSpan w:val="4"/>
          </w:tcPr>
          <w:p w:rsidR="00B65BA0" w:rsidRPr="00E40721" w:rsidRDefault="00B65BA0" w:rsidP="00B65BA0">
            <w:pPr>
              <w:jc w:val="both"/>
              <w:rPr>
                <w:sz w:val="20"/>
              </w:rPr>
            </w:pPr>
          </w:p>
        </w:tc>
      </w:tr>
      <w:tr w:rsidR="00B65BA0" w:rsidRPr="00E7387C" w:rsidTr="00B65BA0">
        <w:tc>
          <w:tcPr>
            <w:tcW w:w="2427" w:type="pct"/>
            <w:gridSpan w:val="2"/>
          </w:tcPr>
          <w:p w:rsidR="00B65BA0" w:rsidRPr="00E40721" w:rsidRDefault="00B65BA0" w:rsidP="00B65BA0">
            <w:pPr>
              <w:jc w:val="both"/>
              <w:rPr>
                <w:sz w:val="20"/>
                <w:lang w:val="fr-CA"/>
              </w:rPr>
            </w:pPr>
            <w:r w:rsidRPr="00E40721">
              <w:rPr>
                <w:sz w:val="20"/>
                <w:lang w:val="fr-CA"/>
              </w:rPr>
              <w:t>Le 29 janvier 2015</w:t>
            </w:r>
          </w:p>
          <w:p w:rsidR="00B65BA0" w:rsidRPr="00E40721" w:rsidRDefault="00B65BA0" w:rsidP="00B65BA0">
            <w:pPr>
              <w:jc w:val="both"/>
              <w:rPr>
                <w:sz w:val="20"/>
                <w:lang w:val="fr-CA"/>
              </w:rPr>
            </w:pPr>
            <w:r w:rsidRPr="00E40721">
              <w:rPr>
                <w:sz w:val="20"/>
                <w:lang w:val="fr-CA"/>
              </w:rPr>
              <w:t>Cour supérieure du Québec</w:t>
            </w:r>
          </w:p>
          <w:p w:rsidR="00B65BA0" w:rsidRPr="00E40721" w:rsidRDefault="00B65BA0" w:rsidP="00B65BA0">
            <w:pPr>
              <w:jc w:val="both"/>
              <w:rPr>
                <w:sz w:val="20"/>
              </w:rPr>
            </w:pPr>
            <w:r w:rsidRPr="00E40721">
              <w:rPr>
                <w:sz w:val="20"/>
              </w:rPr>
              <w:t xml:space="preserve">(Le </w:t>
            </w:r>
            <w:proofErr w:type="spellStart"/>
            <w:r w:rsidRPr="00E40721">
              <w:rPr>
                <w:sz w:val="20"/>
              </w:rPr>
              <w:t>juge</w:t>
            </w:r>
            <w:proofErr w:type="spellEnd"/>
            <w:r w:rsidRPr="00E40721">
              <w:rPr>
                <w:sz w:val="20"/>
              </w:rPr>
              <w:t xml:space="preserve"> </w:t>
            </w:r>
            <w:proofErr w:type="spellStart"/>
            <w:r w:rsidRPr="00E40721">
              <w:rPr>
                <w:sz w:val="20"/>
              </w:rPr>
              <w:t>Sansfaçon</w:t>
            </w:r>
            <w:proofErr w:type="spellEnd"/>
            <w:r w:rsidRPr="00E40721">
              <w:rPr>
                <w:sz w:val="20"/>
              </w:rPr>
              <w:t>)</w:t>
            </w:r>
          </w:p>
          <w:p w:rsidR="00B65BA0" w:rsidRPr="00E40721" w:rsidRDefault="00B65BA0" w:rsidP="00B65BA0">
            <w:pPr>
              <w:jc w:val="both"/>
              <w:rPr>
                <w:sz w:val="20"/>
              </w:rPr>
            </w:pPr>
            <w:r w:rsidRPr="00E40721">
              <w:rPr>
                <w:sz w:val="20"/>
              </w:rPr>
              <w:t>2015 QCCS 245</w:t>
            </w:r>
          </w:p>
          <w:p w:rsidR="00B65BA0" w:rsidRPr="00E40721" w:rsidRDefault="00B65BA0" w:rsidP="00B65BA0">
            <w:pPr>
              <w:jc w:val="both"/>
              <w:rPr>
                <w:sz w:val="20"/>
              </w:rPr>
            </w:pPr>
          </w:p>
        </w:tc>
        <w:tc>
          <w:tcPr>
            <w:tcW w:w="243" w:type="pct"/>
          </w:tcPr>
          <w:p w:rsidR="00B65BA0" w:rsidRPr="00E40721" w:rsidRDefault="00B65BA0" w:rsidP="00B65BA0">
            <w:pPr>
              <w:jc w:val="both"/>
              <w:rPr>
                <w:sz w:val="20"/>
              </w:rPr>
            </w:pPr>
          </w:p>
        </w:tc>
        <w:tc>
          <w:tcPr>
            <w:tcW w:w="2330" w:type="pct"/>
          </w:tcPr>
          <w:p w:rsidR="00B65BA0" w:rsidRPr="00E40721" w:rsidRDefault="00B65BA0" w:rsidP="00B65BA0">
            <w:pPr>
              <w:jc w:val="both"/>
              <w:rPr>
                <w:sz w:val="20"/>
                <w:lang w:val="fr-CA"/>
              </w:rPr>
            </w:pPr>
            <w:r w:rsidRPr="00E40721">
              <w:rPr>
                <w:sz w:val="20"/>
                <w:lang w:val="fr-CA"/>
              </w:rPr>
              <w:t>Requête en réclamation de dommages-intérêts accueillie en partie. Demande reconventionnelle en réclamation d’une somme d’argent accueillie en partie.</w:t>
            </w:r>
          </w:p>
        </w:tc>
      </w:tr>
    </w:tbl>
    <w:p w:rsidR="00B66AE9" w:rsidRPr="00E178A7" w:rsidRDefault="00B66AE9">
      <w:pPr>
        <w:rPr>
          <w:lang w:val="fr-CA"/>
        </w:rPr>
      </w:pPr>
      <w:r w:rsidRPr="00E178A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65BA0" w:rsidRPr="00E40721" w:rsidTr="00B65BA0">
        <w:tc>
          <w:tcPr>
            <w:tcW w:w="2427" w:type="pct"/>
          </w:tcPr>
          <w:p w:rsidR="00B65BA0" w:rsidRPr="00E40721" w:rsidRDefault="00B65BA0" w:rsidP="00B65BA0">
            <w:pPr>
              <w:jc w:val="both"/>
              <w:rPr>
                <w:sz w:val="20"/>
                <w:lang w:val="fr-CA"/>
              </w:rPr>
            </w:pPr>
            <w:r w:rsidRPr="00E40721">
              <w:rPr>
                <w:sz w:val="20"/>
                <w:lang w:val="fr-CA"/>
              </w:rPr>
              <w:lastRenderedPageBreak/>
              <w:t>Le 20 octobre 2016</w:t>
            </w:r>
          </w:p>
          <w:p w:rsidR="00B65BA0" w:rsidRPr="00E40721" w:rsidRDefault="00B65BA0" w:rsidP="00B65BA0">
            <w:pPr>
              <w:jc w:val="both"/>
              <w:rPr>
                <w:sz w:val="20"/>
                <w:lang w:val="fr-CA"/>
              </w:rPr>
            </w:pPr>
            <w:r w:rsidRPr="00E40721">
              <w:rPr>
                <w:sz w:val="20"/>
                <w:lang w:val="fr-CA"/>
              </w:rPr>
              <w:t>Cour d’appel du Québec (Montréal)</w:t>
            </w:r>
          </w:p>
          <w:p w:rsidR="00B65BA0" w:rsidRPr="00E40721" w:rsidRDefault="00B65BA0" w:rsidP="00B65BA0">
            <w:pPr>
              <w:jc w:val="both"/>
              <w:rPr>
                <w:sz w:val="20"/>
                <w:lang w:val="fr-CA"/>
              </w:rPr>
            </w:pPr>
            <w:r w:rsidRPr="00E40721">
              <w:rPr>
                <w:sz w:val="20"/>
                <w:lang w:val="fr-CA"/>
              </w:rPr>
              <w:t xml:space="preserve">(Les juges Gagnon, Marcotte et </w:t>
            </w:r>
            <w:proofErr w:type="spellStart"/>
            <w:r w:rsidRPr="00E40721">
              <w:rPr>
                <w:sz w:val="20"/>
                <w:lang w:val="fr-CA"/>
              </w:rPr>
              <w:t>Schrager</w:t>
            </w:r>
            <w:proofErr w:type="spellEnd"/>
            <w:r w:rsidRPr="00E40721">
              <w:rPr>
                <w:sz w:val="20"/>
                <w:lang w:val="fr-CA"/>
              </w:rPr>
              <w:t>)</w:t>
            </w:r>
          </w:p>
          <w:p w:rsidR="00B65BA0" w:rsidRPr="00E40721" w:rsidRDefault="00B65BA0" w:rsidP="00B65BA0">
            <w:pPr>
              <w:jc w:val="both"/>
              <w:rPr>
                <w:sz w:val="20"/>
              </w:rPr>
            </w:pPr>
            <w:r w:rsidRPr="00E40721">
              <w:rPr>
                <w:sz w:val="20"/>
              </w:rPr>
              <w:t>2016 QCCA 1692</w:t>
            </w:r>
          </w:p>
          <w:p w:rsidR="00B65BA0" w:rsidRPr="00E40721" w:rsidRDefault="00B65BA0" w:rsidP="00B65BA0">
            <w:pPr>
              <w:jc w:val="both"/>
              <w:rPr>
                <w:sz w:val="20"/>
                <w:lang w:val="fr-FR"/>
              </w:rPr>
            </w:pPr>
          </w:p>
        </w:tc>
        <w:tc>
          <w:tcPr>
            <w:tcW w:w="243" w:type="pct"/>
          </w:tcPr>
          <w:p w:rsidR="00B65BA0" w:rsidRPr="00E40721" w:rsidRDefault="00B65BA0" w:rsidP="00B65BA0">
            <w:pPr>
              <w:jc w:val="both"/>
              <w:rPr>
                <w:sz w:val="20"/>
                <w:lang w:val="fr-FR"/>
              </w:rPr>
            </w:pPr>
          </w:p>
        </w:tc>
        <w:tc>
          <w:tcPr>
            <w:tcW w:w="2330" w:type="pct"/>
          </w:tcPr>
          <w:p w:rsidR="00B65BA0" w:rsidRPr="00E40721" w:rsidRDefault="00B65BA0" w:rsidP="00B65BA0">
            <w:pPr>
              <w:jc w:val="both"/>
              <w:rPr>
                <w:sz w:val="20"/>
              </w:rPr>
            </w:pPr>
            <w:r w:rsidRPr="00E40721">
              <w:rPr>
                <w:sz w:val="20"/>
              </w:rPr>
              <w:t xml:space="preserve">Appel </w:t>
            </w:r>
            <w:proofErr w:type="spellStart"/>
            <w:r w:rsidRPr="00E40721">
              <w:rPr>
                <w:sz w:val="20"/>
              </w:rPr>
              <w:t>accueilli</w:t>
            </w:r>
            <w:proofErr w:type="spellEnd"/>
            <w:r w:rsidRPr="00E40721">
              <w:rPr>
                <w:sz w:val="20"/>
              </w:rPr>
              <w:t xml:space="preserve"> </w:t>
            </w:r>
            <w:proofErr w:type="spellStart"/>
            <w:r w:rsidRPr="00E40721">
              <w:rPr>
                <w:sz w:val="20"/>
              </w:rPr>
              <w:t>en</w:t>
            </w:r>
            <w:proofErr w:type="spellEnd"/>
            <w:r w:rsidRPr="00E40721">
              <w:rPr>
                <w:sz w:val="20"/>
              </w:rPr>
              <w:t xml:space="preserve"> </w:t>
            </w:r>
            <w:proofErr w:type="spellStart"/>
            <w:r w:rsidRPr="00E40721">
              <w:rPr>
                <w:sz w:val="20"/>
              </w:rPr>
              <w:t>partie</w:t>
            </w:r>
            <w:proofErr w:type="spellEnd"/>
            <w:r w:rsidRPr="00E40721">
              <w:rPr>
                <w:sz w:val="20"/>
              </w:rPr>
              <w:t>.</w:t>
            </w:r>
          </w:p>
          <w:p w:rsidR="00B65BA0" w:rsidRPr="00E40721" w:rsidRDefault="00B65BA0" w:rsidP="00B65BA0">
            <w:pPr>
              <w:jc w:val="both"/>
              <w:rPr>
                <w:sz w:val="20"/>
              </w:rPr>
            </w:pPr>
          </w:p>
        </w:tc>
      </w:tr>
      <w:tr w:rsidR="00B65BA0" w:rsidRPr="00E40721" w:rsidTr="00B65BA0">
        <w:tc>
          <w:tcPr>
            <w:tcW w:w="2427" w:type="pct"/>
          </w:tcPr>
          <w:p w:rsidR="00B65BA0" w:rsidRPr="00E40721" w:rsidRDefault="00B65BA0" w:rsidP="00B65BA0">
            <w:pPr>
              <w:jc w:val="both"/>
              <w:rPr>
                <w:sz w:val="20"/>
                <w:lang w:val="fr-CA"/>
              </w:rPr>
            </w:pPr>
            <w:r w:rsidRPr="00E40721">
              <w:rPr>
                <w:sz w:val="20"/>
                <w:lang w:val="fr-CA"/>
              </w:rPr>
              <w:t>Le 19 décembre 2016</w:t>
            </w:r>
          </w:p>
          <w:p w:rsidR="00B65BA0" w:rsidRPr="00E40721" w:rsidRDefault="00B65BA0" w:rsidP="00B65BA0">
            <w:pPr>
              <w:jc w:val="both"/>
              <w:rPr>
                <w:sz w:val="20"/>
                <w:lang w:val="fr-FR"/>
              </w:rPr>
            </w:pPr>
            <w:r w:rsidRPr="00E40721">
              <w:rPr>
                <w:sz w:val="20"/>
                <w:lang w:val="fr-CA"/>
              </w:rPr>
              <w:t>Cour suprême du Canada</w:t>
            </w:r>
          </w:p>
        </w:tc>
        <w:tc>
          <w:tcPr>
            <w:tcW w:w="243" w:type="pct"/>
          </w:tcPr>
          <w:p w:rsidR="00B65BA0" w:rsidRPr="00E40721" w:rsidRDefault="00B65BA0" w:rsidP="00B65BA0">
            <w:pPr>
              <w:jc w:val="both"/>
              <w:rPr>
                <w:sz w:val="20"/>
                <w:lang w:val="fr-FR"/>
              </w:rPr>
            </w:pPr>
          </w:p>
        </w:tc>
        <w:tc>
          <w:tcPr>
            <w:tcW w:w="2330" w:type="pct"/>
          </w:tcPr>
          <w:p w:rsidR="00B65BA0" w:rsidRPr="00E40721" w:rsidRDefault="00B65BA0" w:rsidP="00B65BA0">
            <w:pPr>
              <w:jc w:val="both"/>
              <w:rPr>
                <w:sz w:val="20"/>
              </w:rPr>
            </w:pPr>
            <w:proofErr w:type="spellStart"/>
            <w:r w:rsidRPr="00E40721">
              <w:rPr>
                <w:sz w:val="20"/>
              </w:rPr>
              <w:t>Demande</w:t>
            </w:r>
            <w:proofErr w:type="spellEnd"/>
            <w:r w:rsidRPr="00E40721">
              <w:rPr>
                <w:sz w:val="20"/>
              </w:rPr>
              <w:t xml:space="preserve"> </w:t>
            </w:r>
            <w:proofErr w:type="spellStart"/>
            <w:r w:rsidRPr="00E40721">
              <w:rPr>
                <w:sz w:val="20"/>
              </w:rPr>
              <w:t>d’autorisation</w:t>
            </w:r>
            <w:proofErr w:type="spellEnd"/>
            <w:r w:rsidRPr="00E40721">
              <w:rPr>
                <w:sz w:val="20"/>
              </w:rPr>
              <w:t xml:space="preserve"> </w:t>
            </w:r>
            <w:proofErr w:type="spellStart"/>
            <w:r w:rsidRPr="00E40721">
              <w:rPr>
                <w:sz w:val="20"/>
              </w:rPr>
              <w:t>d’appel</w:t>
            </w:r>
            <w:proofErr w:type="spellEnd"/>
            <w:r w:rsidRPr="00E40721">
              <w:rPr>
                <w:sz w:val="20"/>
              </w:rPr>
              <w:t xml:space="preserve"> </w:t>
            </w:r>
            <w:proofErr w:type="spellStart"/>
            <w:r w:rsidRPr="00E40721">
              <w:rPr>
                <w:sz w:val="20"/>
              </w:rPr>
              <w:t>déposée</w:t>
            </w:r>
            <w:proofErr w:type="spellEnd"/>
            <w:r w:rsidRPr="00E40721">
              <w:rPr>
                <w:sz w:val="20"/>
              </w:rPr>
              <w:t>.</w:t>
            </w:r>
          </w:p>
          <w:p w:rsidR="00B65BA0" w:rsidRPr="00E40721" w:rsidRDefault="00B65BA0" w:rsidP="00B65BA0">
            <w:pPr>
              <w:jc w:val="both"/>
              <w:rPr>
                <w:sz w:val="20"/>
              </w:rPr>
            </w:pPr>
          </w:p>
        </w:tc>
      </w:tr>
    </w:tbl>
    <w:p w:rsidR="00B65BA0" w:rsidRPr="00E40721" w:rsidRDefault="00E7387C" w:rsidP="00B65BA0">
      <w:pPr>
        <w:jc w:val="both"/>
        <w:rPr>
          <w:sz w:val="20"/>
        </w:rPr>
      </w:pPr>
      <w:r>
        <w:rPr>
          <w:sz w:val="20"/>
          <w:szCs w:val="20"/>
        </w:rPr>
        <w:pict>
          <v:rect id="_x0000_i1038" style="width:2in;height:1pt" o:hrpct="0" o:hralign="center" o:hrstd="t" o:hrnoshade="t" o:hr="t" fillcolor="black [3213]" stroked="f"/>
        </w:pict>
      </w:r>
    </w:p>
    <w:p w:rsidR="00B65BA0" w:rsidRPr="00E40721" w:rsidRDefault="00B65BA0" w:rsidP="00B65BA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65BA0" w:rsidRPr="00E40721" w:rsidTr="00B65BA0">
        <w:tc>
          <w:tcPr>
            <w:tcW w:w="543" w:type="pct"/>
          </w:tcPr>
          <w:p w:rsidR="00B65BA0" w:rsidRPr="00E40721" w:rsidRDefault="00B65BA0" w:rsidP="00B65BA0">
            <w:pPr>
              <w:jc w:val="both"/>
              <w:rPr>
                <w:sz w:val="20"/>
              </w:rPr>
            </w:pPr>
            <w:r w:rsidRPr="00E40721">
              <w:rPr>
                <w:rStyle w:val="SCCFileNumberChar"/>
                <w:sz w:val="20"/>
                <w:szCs w:val="20"/>
              </w:rPr>
              <w:t>37348</w:t>
            </w:r>
          </w:p>
        </w:tc>
        <w:tc>
          <w:tcPr>
            <w:tcW w:w="4457" w:type="pct"/>
            <w:gridSpan w:val="3"/>
          </w:tcPr>
          <w:p w:rsidR="00B65BA0" w:rsidRPr="00E40721" w:rsidRDefault="00B65BA0" w:rsidP="00B65BA0">
            <w:pPr>
              <w:pStyle w:val="SCCLsocParty"/>
              <w:jc w:val="both"/>
              <w:rPr>
                <w:b/>
                <w:sz w:val="20"/>
                <w:szCs w:val="20"/>
                <w:lang w:val="en-US"/>
              </w:rPr>
            </w:pPr>
            <w:r w:rsidRPr="00E40721">
              <w:rPr>
                <w:b/>
                <w:sz w:val="20"/>
                <w:szCs w:val="20"/>
                <w:lang w:val="en-US"/>
              </w:rPr>
              <w:t>Association of Professors of the University of Ottawa v. University of Ottawa</w:t>
            </w:r>
          </w:p>
          <w:p w:rsidR="00B65BA0" w:rsidRDefault="00B65BA0" w:rsidP="00B65BA0">
            <w:pPr>
              <w:jc w:val="both"/>
              <w:rPr>
                <w:sz w:val="20"/>
              </w:rPr>
            </w:pPr>
            <w:r w:rsidRPr="00E40721">
              <w:rPr>
                <w:sz w:val="20"/>
              </w:rPr>
              <w:t>(Ont.) (Civil) (By Leave)</w:t>
            </w:r>
          </w:p>
          <w:p w:rsidR="00B66AE9" w:rsidRPr="00E40721" w:rsidRDefault="00B66AE9" w:rsidP="00B65BA0">
            <w:pPr>
              <w:jc w:val="both"/>
              <w:rPr>
                <w:sz w:val="20"/>
              </w:rPr>
            </w:pPr>
          </w:p>
        </w:tc>
      </w:tr>
      <w:tr w:rsidR="00B65BA0" w:rsidRPr="00E40721" w:rsidTr="00B65BA0">
        <w:tc>
          <w:tcPr>
            <w:tcW w:w="543" w:type="pct"/>
          </w:tcPr>
          <w:p w:rsidR="00B65BA0" w:rsidRPr="00E40721" w:rsidRDefault="00B65BA0" w:rsidP="00B65BA0">
            <w:pPr>
              <w:jc w:val="both"/>
              <w:rPr>
                <w:rStyle w:val="SCCFileNumberChar"/>
                <w:sz w:val="20"/>
                <w:szCs w:val="20"/>
              </w:rPr>
            </w:pPr>
            <w:r>
              <w:rPr>
                <w:rStyle w:val="SCCFileNumberChar"/>
                <w:sz w:val="20"/>
                <w:szCs w:val="20"/>
              </w:rPr>
              <w:t>Coram:</w:t>
            </w:r>
          </w:p>
        </w:tc>
        <w:tc>
          <w:tcPr>
            <w:tcW w:w="4457" w:type="pct"/>
            <w:gridSpan w:val="3"/>
          </w:tcPr>
          <w:p w:rsidR="00B65BA0" w:rsidRDefault="00B66AE9" w:rsidP="00B65BA0">
            <w:pPr>
              <w:pStyle w:val="SCCLsocParty"/>
              <w:jc w:val="both"/>
              <w:rPr>
                <w:rFonts w:eastAsiaTheme="minorEastAsia"/>
                <w:sz w:val="20"/>
                <w:szCs w:val="20"/>
                <w:lang w:val="en-US"/>
              </w:rPr>
            </w:pPr>
            <w:proofErr w:type="spellStart"/>
            <w:r w:rsidRPr="00B66AE9">
              <w:rPr>
                <w:rFonts w:eastAsiaTheme="minorEastAsia"/>
                <w:sz w:val="20"/>
                <w:szCs w:val="20"/>
                <w:lang w:val="en-US"/>
              </w:rPr>
              <w:t>McLachlin</w:t>
            </w:r>
            <w:proofErr w:type="spellEnd"/>
            <w:r w:rsidRPr="00B66AE9">
              <w:rPr>
                <w:rFonts w:eastAsiaTheme="minorEastAsia"/>
                <w:sz w:val="20"/>
                <w:szCs w:val="20"/>
                <w:lang w:val="en-US"/>
              </w:rPr>
              <w:t xml:space="preserve"> C.J. and </w:t>
            </w:r>
            <w:proofErr w:type="spellStart"/>
            <w:r w:rsidRPr="00B66AE9">
              <w:rPr>
                <w:rFonts w:eastAsiaTheme="minorEastAsia"/>
                <w:sz w:val="20"/>
                <w:szCs w:val="20"/>
                <w:lang w:val="en-US"/>
              </w:rPr>
              <w:t>Abella</w:t>
            </w:r>
            <w:proofErr w:type="spellEnd"/>
            <w:r w:rsidRPr="00B66AE9">
              <w:rPr>
                <w:rFonts w:eastAsiaTheme="minorEastAsia"/>
                <w:sz w:val="20"/>
                <w:szCs w:val="20"/>
                <w:lang w:val="en-US"/>
              </w:rPr>
              <w:t xml:space="preserve">, </w:t>
            </w:r>
            <w:proofErr w:type="spellStart"/>
            <w:r w:rsidRPr="00B66AE9">
              <w:rPr>
                <w:rFonts w:eastAsiaTheme="minorEastAsia"/>
                <w:sz w:val="20"/>
                <w:szCs w:val="20"/>
                <w:lang w:val="en-US"/>
              </w:rPr>
              <w:t>Moldaver</w:t>
            </w:r>
            <w:proofErr w:type="spellEnd"/>
            <w:r w:rsidRPr="00B66AE9">
              <w:rPr>
                <w:rFonts w:eastAsiaTheme="minorEastAsia"/>
                <w:sz w:val="20"/>
                <w:szCs w:val="20"/>
                <w:lang w:val="en-US"/>
              </w:rPr>
              <w:t xml:space="preserve">, </w:t>
            </w:r>
            <w:proofErr w:type="spellStart"/>
            <w:r w:rsidRPr="00B66AE9">
              <w:rPr>
                <w:rFonts w:eastAsiaTheme="minorEastAsia"/>
                <w:sz w:val="20"/>
                <w:szCs w:val="20"/>
                <w:lang w:val="en-US"/>
              </w:rPr>
              <w:t>Karakatsanis</w:t>
            </w:r>
            <w:proofErr w:type="spellEnd"/>
            <w:r w:rsidRPr="00B66AE9">
              <w:rPr>
                <w:rFonts w:eastAsiaTheme="minorEastAsia"/>
                <w:sz w:val="20"/>
                <w:szCs w:val="20"/>
                <w:lang w:val="en-US"/>
              </w:rPr>
              <w:t xml:space="preserve">, Wagner, </w:t>
            </w:r>
            <w:proofErr w:type="spellStart"/>
            <w:r w:rsidRPr="00B66AE9">
              <w:rPr>
                <w:rFonts w:eastAsiaTheme="minorEastAsia"/>
                <w:sz w:val="20"/>
                <w:szCs w:val="20"/>
                <w:lang w:val="en-US"/>
              </w:rPr>
              <w:t>Gascon</w:t>
            </w:r>
            <w:proofErr w:type="spellEnd"/>
            <w:r w:rsidRPr="00B66AE9">
              <w:rPr>
                <w:rFonts w:eastAsiaTheme="minorEastAsia"/>
                <w:sz w:val="20"/>
                <w:szCs w:val="20"/>
                <w:lang w:val="en-US"/>
              </w:rPr>
              <w:t xml:space="preserve">, </w:t>
            </w:r>
            <w:proofErr w:type="spellStart"/>
            <w:r w:rsidRPr="00B66AE9">
              <w:rPr>
                <w:rFonts w:eastAsiaTheme="minorEastAsia"/>
                <w:sz w:val="20"/>
                <w:szCs w:val="20"/>
                <w:lang w:val="en-US"/>
              </w:rPr>
              <w:t>Côté</w:t>
            </w:r>
            <w:proofErr w:type="spellEnd"/>
            <w:r w:rsidRPr="00B66AE9">
              <w:rPr>
                <w:rFonts w:eastAsiaTheme="minorEastAsia"/>
                <w:sz w:val="20"/>
                <w:szCs w:val="20"/>
                <w:lang w:val="en-US"/>
              </w:rPr>
              <w:t>, Brown and Rowe JJ.</w:t>
            </w:r>
          </w:p>
          <w:p w:rsidR="00B66AE9" w:rsidRPr="00B66AE9" w:rsidRDefault="00B66AE9" w:rsidP="00B66AE9">
            <w:pPr>
              <w:rPr>
                <w:lang w:val="en-US"/>
              </w:rPr>
            </w:pPr>
          </w:p>
        </w:tc>
      </w:tr>
      <w:tr w:rsidR="00B65BA0" w:rsidRPr="00E40721" w:rsidTr="00B65BA0">
        <w:tc>
          <w:tcPr>
            <w:tcW w:w="5000" w:type="pct"/>
            <w:gridSpan w:val="4"/>
          </w:tcPr>
          <w:p w:rsidR="00B65BA0" w:rsidRDefault="00B66AE9" w:rsidP="00B65BA0">
            <w:pPr>
              <w:pStyle w:val="SCCLsocParty"/>
              <w:jc w:val="both"/>
              <w:rPr>
                <w:sz w:val="20"/>
                <w:szCs w:val="20"/>
                <w:lang w:val="en-US"/>
              </w:rPr>
            </w:pPr>
            <w:r w:rsidRPr="00B66AE9">
              <w:rPr>
                <w:sz w:val="20"/>
                <w:szCs w:val="20"/>
                <w:lang w:val="en-US"/>
              </w:rPr>
              <w:t>The application for leave to appeal from the judgment of the Court of Appeal for Ontario, Number M46603, dated October 11, 2016, is dismissed with costs.</w:t>
            </w:r>
          </w:p>
          <w:p w:rsidR="00B66AE9" w:rsidRPr="00B66AE9" w:rsidRDefault="00B66AE9" w:rsidP="00B66AE9">
            <w:pPr>
              <w:rPr>
                <w:lang w:val="en-US"/>
              </w:rPr>
            </w:pPr>
          </w:p>
        </w:tc>
      </w:tr>
      <w:tr w:rsidR="00B65BA0" w:rsidRPr="00E40721" w:rsidTr="00B65BA0">
        <w:tc>
          <w:tcPr>
            <w:tcW w:w="5000" w:type="pct"/>
            <w:gridSpan w:val="4"/>
          </w:tcPr>
          <w:p w:rsidR="00B65BA0" w:rsidRPr="00E40721" w:rsidRDefault="00B65BA0" w:rsidP="00B65BA0">
            <w:pPr>
              <w:jc w:val="both"/>
              <w:rPr>
                <w:sz w:val="20"/>
              </w:rPr>
            </w:pPr>
            <w:r w:rsidRPr="00E40721">
              <w:rPr>
                <w:sz w:val="20"/>
              </w:rPr>
              <w:t>Courts — Motion to strike affidavit tendered on judicial review — Motion dismissed, but affidavit struck on judicial review of that decision — Leave to appeal that decision — Whether the test for admissibility of affidavits is subject to conflict in the appellate courts — Whether Divisional Court erred in determining that there was evidence on which the arbitrator could have made certain factual findings — Whether the Divisional Court erred in determining that the motions judge had made an error of law or a palpable and overriding error — Whether the Divisional Court erred in determining that denying the possibility of filing an affidavit is not a denial of natural justice — Whether the Divisional Court erred in determining that the Association should not, in the circumstances of this case, be permitted to provide the Court with any affidavit in support of its application for judicial review.</w:t>
            </w:r>
          </w:p>
        </w:tc>
      </w:tr>
      <w:tr w:rsidR="00B65BA0" w:rsidRPr="00E40721" w:rsidTr="00B65BA0">
        <w:tc>
          <w:tcPr>
            <w:tcW w:w="5000" w:type="pct"/>
            <w:gridSpan w:val="4"/>
          </w:tcPr>
          <w:p w:rsidR="00B65BA0" w:rsidRPr="00E40721" w:rsidRDefault="00B65BA0" w:rsidP="00B65BA0">
            <w:pPr>
              <w:jc w:val="both"/>
              <w:rPr>
                <w:sz w:val="20"/>
              </w:rPr>
            </w:pPr>
          </w:p>
        </w:tc>
      </w:tr>
      <w:tr w:rsidR="00B65BA0" w:rsidRPr="00E40721" w:rsidTr="00B65BA0">
        <w:tc>
          <w:tcPr>
            <w:tcW w:w="5000" w:type="pct"/>
            <w:gridSpan w:val="4"/>
          </w:tcPr>
          <w:p w:rsidR="00B65BA0" w:rsidRPr="00E40721" w:rsidRDefault="00B65BA0" w:rsidP="00B65BA0">
            <w:pPr>
              <w:jc w:val="both"/>
              <w:rPr>
                <w:sz w:val="20"/>
              </w:rPr>
            </w:pPr>
            <w:r w:rsidRPr="00E40721">
              <w:rPr>
                <w:sz w:val="20"/>
              </w:rPr>
              <w:t xml:space="preserve">Professor </w:t>
            </w:r>
            <w:proofErr w:type="spellStart"/>
            <w:r w:rsidRPr="00E40721">
              <w:rPr>
                <w:sz w:val="20"/>
              </w:rPr>
              <w:t>Rancourt</w:t>
            </w:r>
            <w:proofErr w:type="spellEnd"/>
            <w:r w:rsidRPr="00E40721">
              <w:rPr>
                <w:sz w:val="20"/>
              </w:rPr>
              <w:t xml:space="preserve"> was a tenured Professor at the University of Ottawa and a member of the Association of Professors of the University of Ottawa. The Association brought three grievances on his behalf. All three grievances were heard by a single arbitrator in hearings that spanned 28 dates over a two-year period. No transcript or record of the hearing was produced. The Arbitrator allowed the first grievance but denied the second and third. The Association sought judicial review and sought to file an affidavit made by its in-house legal counsel, Natasha </w:t>
            </w:r>
            <w:proofErr w:type="spellStart"/>
            <w:r w:rsidRPr="00E40721">
              <w:rPr>
                <w:sz w:val="20"/>
              </w:rPr>
              <w:t>Udell</w:t>
            </w:r>
            <w:proofErr w:type="spellEnd"/>
            <w:r w:rsidRPr="00E40721">
              <w:rPr>
                <w:sz w:val="20"/>
              </w:rPr>
              <w:t>, in support. Ms. </w:t>
            </w:r>
            <w:proofErr w:type="spellStart"/>
            <w:r w:rsidRPr="00E40721">
              <w:rPr>
                <w:sz w:val="20"/>
              </w:rPr>
              <w:t>Udell</w:t>
            </w:r>
            <w:proofErr w:type="spellEnd"/>
            <w:r w:rsidRPr="00E40721">
              <w:rPr>
                <w:sz w:val="20"/>
              </w:rPr>
              <w:t xml:space="preserve"> had been present at the arbitration on the dates addressed in her affidavit, and she affirmed, </w:t>
            </w:r>
            <w:r w:rsidRPr="00E40721">
              <w:rPr>
                <w:i/>
                <w:sz w:val="20"/>
              </w:rPr>
              <w:t>inter alia</w:t>
            </w:r>
            <w:r w:rsidRPr="00E40721">
              <w:rPr>
                <w:sz w:val="20"/>
              </w:rPr>
              <w:t xml:space="preserve">, that the Arbitrator had relied on a report prepared by a student which was not admitted for the truth of its contents, but only to be used as an </w:t>
            </w:r>
            <w:r w:rsidRPr="00E40721">
              <w:rPr>
                <w:i/>
                <w:sz w:val="20"/>
              </w:rPr>
              <w:t>aide memoire</w:t>
            </w:r>
            <w:r w:rsidRPr="00E40721">
              <w:rPr>
                <w:sz w:val="20"/>
              </w:rPr>
              <w:t xml:space="preserve"> for the Arbitrator, and had failed to comment upon and weigh certain evidence.</w:t>
            </w:r>
          </w:p>
          <w:p w:rsidR="00B65BA0" w:rsidRPr="00E40721" w:rsidRDefault="00B65BA0" w:rsidP="00B65BA0">
            <w:pPr>
              <w:jc w:val="both"/>
              <w:rPr>
                <w:sz w:val="20"/>
              </w:rPr>
            </w:pPr>
          </w:p>
          <w:p w:rsidR="00B65BA0" w:rsidRPr="00E40721" w:rsidRDefault="00B65BA0" w:rsidP="00B65BA0">
            <w:pPr>
              <w:jc w:val="both"/>
              <w:rPr>
                <w:sz w:val="20"/>
              </w:rPr>
            </w:pPr>
            <w:r w:rsidRPr="00E40721">
              <w:rPr>
                <w:sz w:val="20"/>
              </w:rPr>
              <w:t xml:space="preserve">Before the judicial review was heard, the University brought a motion to strike the </w:t>
            </w:r>
            <w:proofErr w:type="spellStart"/>
            <w:r w:rsidRPr="00E40721">
              <w:rPr>
                <w:sz w:val="20"/>
              </w:rPr>
              <w:t>Udell</w:t>
            </w:r>
            <w:proofErr w:type="spellEnd"/>
            <w:r w:rsidRPr="00E40721">
              <w:rPr>
                <w:sz w:val="20"/>
              </w:rPr>
              <w:t xml:space="preserve"> affidavit. Scott J. dismissed the motion. The University sought to vary Scott J.’s order. A panel of three judges of the Divisional Court granted the motion, striking the </w:t>
            </w:r>
            <w:proofErr w:type="spellStart"/>
            <w:r w:rsidRPr="00E40721">
              <w:rPr>
                <w:sz w:val="20"/>
              </w:rPr>
              <w:t>Udell</w:t>
            </w:r>
            <w:proofErr w:type="spellEnd"/>
            <w:r w:rsidRPr="00E40721">
              <w:rPr>
                <w:sz w:val="20"/>
              </w:rPr>
              <w:t xml:space="preserve"> affidavit in its entirety. The Association sought leave to appeal to the Court of Appeal for Ontario, which was denied.</w:t>
            </w:r>
          </w:p>
          <w:p w:rsidR="00B65BA0" w:rsidRPr="00E40721" w:rsidRDefault="00B65BA0" w:rsidP="00B65BA0">
            <w:pPr>
              <w:jc w:val="both"/>
              <w:rPr>
                <w:sz w:val="20"/>
              </w:rPr>
            </w:pPr>
          </w:p>
        </w:tc>
      </w:tr>
      <w:tr w:rsidR="00B65BA0" w:rsidRPr="00E40721" w:rsidTr="00B65BA0">
        <w:tc>
          <w:tcPr>
            <w:tcW w:w="2427" w:type="pct"/>
            <w:gridSpan w:val="2"/>
          </w:tcPr>
          <w:p w:rsidR="00B65BA0" w:rsidRPr="00E40721" w:rsidRDefault="00B65BA0" w:rsidP="00B65BA0">
            <w:pPr>
              <w:jc w:val="both"/>
              <w:rPr>
                <w:sz w:val="20"/>
              </w:rPr>
            </w:pPr>
            <w:r w:rsidRPr="00E40721">
              <w:rPr>
                <w:sz w:val="20"/>
              </w:rPr>
              <w:t>October 26, 2015</w:t>
            </w:r>
          </w:p>
          <w:p w:rsidR="00B65BA0" w:rsidRPr="00E40721" w:rsidRDefault="00B65BA0" w:rsidP="00B65BA0">
            <w:pPr>
              <w:jc w:val="both"/>
              <w:rPr>
                <w:sz w:val="20"/>
              </w:rPr>
            </w:pPr>
            <w:r w:rsidRPr="00E40721">
              <w:rPr>
                <w:sz w:val="20"/>
              </w:rPr>
              <w:t>Ontario Superior Court of Justice</w:t>
            </w:r>
          </w:p>
          <w:p w:rsidR="00B65BA0" w:rsidRPr="00E40721" w:rsidRDefault="00B65BA0" w:rsidP="00B65BA0">
            <w:pPr>
              <w:jc w:val="both"/>
              <w:rPr>
                <w:sz w:val="20"/>
              </w:rPr>
            </w:pPr>
            <w:r w:rsidRPr="00E40721">
              <w:rPr>
                <w:sz w:val="20"/>
              </w:rPr>
              <w:t>(Scott J.)</w:t>
            </w:r>
          </w:p>
          <w:p w:rsidR="00B65BA0" w:rsidRPr="00E40721" w:rsidRDefault="00B65BA0" w:rsidP="00B65BA0">
            <w:pPr>
              <w:jc w:val="both"/>
              <w:rPr>
                <w:sz w:val="20"/>
              </w:rPr>
            </w:pPr>
          </w:p>
        </w:tc>
        <w:tc>
          <w:tcPr>
            <w:tcW w:w="243" w:type="pct"/>
          </w:tcPr>
          <w:p w:rsidR="00B65BA0" w:rsidRPr="00E40721" w:rsidRDefault="00B65BA0" w:rsidP="00B65BA0">
            <w:pPr>
              <w:jc w:val="both"/>
              <w:rPr>
                <w:sz w:val="20"/>
              </w:rPr>
            </w:pPr>
          </w:p>
        </w:tc>
        <w:tc>
          <w:tcPr>
            <w:tcW w:w="2330" w:type="pct"/>
          </w:tcPr>
          <w:p w:rsidR="00B65BA0" w:rsidRPr="00E40721" w:rsidRDefault="00B65BA0" w:rsidP="00B65BA0">
            <w:pPr>
              <w:jc w:val="both"/>
              <w:rPr>
                <w:sz w:val="20"/>
              </w:rPr>
            </w:pPr>
            <w:r w:rsidRPr="00E40721">
              <w:rPr>
                <w:sz w:val="20"/>
              </w:rPr>
              <w:t>Motion to strike affidavit dismissed</w:t>
            </w:r>
          </w:p>
          <w:p w:rsidR="00B65BA0" w:rsidRPr="00E40721" w:rsidRDefault="00B65BA0" w:rsidP="00B65BA0">
            <w:pPr>
              <w:jc w:val="both"/>
              <w:rPr>
                <w:sz w:val="20"/>
              </w:rPr>
            </w:pPr>
          </w:p>
        </w:tc>
      </w:tr>
      <w:tr w:rsidR="00B65BA0" w:rsidRPr="00E40721" w:rsidTr="00B65BA0">
        <w:tc>
          <w:tcPr>
            <w:tcW w:w="2427" w:type="pct"/>
            <w:gridSpan w:val="2"/>
          </w:tcPr>
          <w:p w:rsidR="00B65BA0" w:rsidRPr="00E40721" w:rsidRDefault="00B65BA0" w:rsidP="00B65BA0">
            <w:pPr>
              <w:jc w:val="both"/>
              <w:rPr>
                <w:sz w:val="20"/>
              </w:rPr>
            </w:pPr>
            <w:r w:rsidRPr="00E40721">
              <w:rPr>
                <w:sz w:val="20"/>
              </w:rPr>
              <w:t>May 20, 2016</w:t>
            </w:r>
          </w:p>
          <w:p w:rsidR="00B65BA0" w:rsidRPr="00E40721" w:rsidRDefault="00B65BA0" w:rsidP="00B65BA0">
            <w:pPr>
              <w:jc w:val="both"/>
              <w:rPr>
                <w:sz w:val="20"/>
              </w:rPr>
            </w:pPr>
            <w:r w:rsidRPr="00E40721">
              <w:rPr>
                <w:sz w:val="20"/>
              </w:rPr>
              <w:t>Ontario Superior Court of Justice</w:t>
            </w:r>
          </w:p>
          <w:p w:rsidR="00B65BA0" w:rsidRPr="00E40721" w:rsidRDefault="00B65BA0" w:rsidP="00B65BA0">
            <w:pPr>
              <w:jc w:val="both"/>
              <w:rPr>
                <w:sz w:val="20"/>
              </w:rPr>
            </w:pPr>
            <w:r w:rsidRPr="00E40721">
              <w:rPr>
                <w:sz w:val="20"/>
              </w:rPr>
              <w:t>(</w:t>
            </w:r>
            <w:proofErr w:type="spellStart"/>
            <w:r w:rsidRPr="00E40721">
              <w:rPr>
                <w:sz w:val="20"/>
              </w:rPr>
              <w:t>Dambrot</w:t>
            </w:r>
            <w:proofErr w:type="spellEnd"/>
            <w:r w:rsidRPr="00E40721">
              <w:rPr>
                <w:sz w:val="20"/>
              </w:rPr>
              <w:t xml:space="preserve">, </w:t>
            </w:r>
            <w:proofErr w:type="spellStart"/>
            <w:r w:rsidRPr="00E40721">
              <w:rPr>
                <w:sz w:val="20"/>
              </w:rPr>
              <w:t>Horkins</w:t>
            </w:r>
            <w:proofErr w:type="spellEnd"/>
            <w:r w:rsidRPr="00E40721">
              <w:rPr>
                <w:sz w:val="20"/>
              </w:rPr>
              <w:t xml:space="preserve">, </w:t>
            </w:r>
            <w:proofErr w:type="spellStart"/>
            <w:r w:rsidRPr="00E40721">
              <w:rPr>
                <w:sz w:val="20"/>
              </w:rPr>
              <w:t>Arrell</w:t>
            </w:r>
            <w:proofErr w:type="spellEnd"/>
            <w:r w:rsidRPr="00E40721">
              <w:rPr>
                <w:sz w:val="20"/>
              </w:rPr>
              <w:t xml:space="preserve"> JJ.A.)</w:t>
            </w:r>
          </w:p>
          <w:p w:rsidR="00B65BA0" w:rsidRPr="00E40721" w:rsidRDefault="00B65BA0" w:rsidP="00B65BA0">
            <w:pPr>
              <w:jc w:val="both"/>
              <w:rPr>
                <w:sz w:val="20"/>
              </w:rPr>
            </w:pPr>
            <w:r w:rsidRPr="00E40721">
              <w:rPr>
                <w:sz w:val="20"/>
              </w:rPr>
              <w:t>2016 ONSC 2897</w:t>
            </w:r>
          </w:p>
          <w:p w:rsidR="00B65BA0" w:rsidRPr="00E40721" w:rsidRDefault="00B65BA0" w:rsidP="00B65BA0">
            <w:pPr>
              <w:jc w:val="both"/>
              <w:rPr>
                <w:sz w:val="20"/>
              </w:rPr>
            </w:pPr>
          </w:p>
        </w:tc>
        <w:tc>
          <w:tcPr>
            <w:tcW w:w="243" w:type="pct"/>
          </w:tcPr>
          <w:p w:rsidR="00B65BA0" w:rsidRPr="00E40721" w:rsidRDefault="00B65BA0" w:rsidP="00B65BA0">
            <w:pPr>
              <w:jc w:val="both"/>
              <w:rPr>
                <w:sz w:val="20"/>
              </w:rPr>
            </w:pPr>
          </w:p>
        </w:tc>
        <w:tc>
          <w:tcPr>
            <w:tcW w:w="2330" w:type="pct"/>
          </w:tcPr>
          <w:p w:rsidR="00B65BA0" w:rsidRPr="00E40721" w:rsidRDefault="00B65BA0" w:rsidP="00B65BA0">
            <w:pPr>
              <w:jc w:val="both"/>
              <w:rPr>
                <w:sz w:val="20"/>
              </w:rPr>
            </w:pPr>
            <w:r w:rsidRPr="00E40721">
              <w:rPr>
                <w:sz w:val="20"/>
              </w:rPr>
              <w:t>Judicial review allowed; affidavit struck in its entirety</w:t>
            </w:r>
          </w:p>
          <w:p w:rsidR="00B65BA0" w:rsidRPr="00E40721" w:rsidRDefault="00B65BA0" w:rsidP="00B65BA0">
            <w:pPr>
              <w:jc w:val="both"/>
              <w:rPr>
                <w:sz w:val="20"/>
              </w:rPr>
            </w:pPr>
          </w:p>
        </w:tc>
      </w:tr>
      <w:tr w:rsidR="00B65BA0" w:rsidRPr="00E40721" w:rsidTr="00B65BA0">
        <w:tc>
          <w:tcPr>
            <w:tcW w:w="2427" w:type="pct"/>
            <w:gridSpan w:val="2"/>
          </w:tcPr>
          <w:p w:rsidR="00B65BA0" w:rsidRPr="00E40721" w:rsidRDefault="00B65BA0" w:rsidP="00B65BA0">
            <w:pPr>
              <w:jc w:val="both"/>
              <w:rPr>
                <w:sz w:val="20"/>
              </w:rPr>
            </w:pPr>
            <w:r w:rsidRPr="00E40721">
              <w:rPr>
                <w:sz w:val="20"/>
              </w:rPr>
              <w:lastRenderedPageBreak/>
              <w:t>October 11, 2016</w:t>
            </w:r>
          </w:p>
          <w:p w:rsidR="00B65BA0" w:rsidRPr="00E40721" w:rsidRDefault="00B65BA0" w:rsidP="00B65BA0">
            <w:pPr>
              <w:jc w:val="both"/>
              <w:rPr>
                <w:sz w:val="20"/>
              </w:rPr>
            </w:pPr>
            <w:r w:rsidRPr="00E40721">
              <w:rPr>
                <w:sz w:val="20"/>
              </w:rPr>
              <w:t>Court of Appeal for Ontario</w:t>
            </w:r>
          </w:p>
          <w:p w:rsidR="00B65BA0" w:rsidRPr="00E40721" w:rsidRDefault="00B65BA0" w:rsidP="00B65BA0">
            <w:pPr>
              <w:jc w:val="both"/>
              <w:rPr>
                <w:sz w:val="20"/>
              </w:rPr>
            </w:pPr>
            <w:r w:rsidRPr="00E40721">
              <w:rPr>
                <w:sz w:val="20"/>
              </w:rPr>
              <w:t xml:space="preserve">(Hoy Alexandria, </w:t>
            </w:r>
            <w:proofErr w:type="spellStart"/>
            <w:r w:rsidRPr="00E40721">
              <w:rPr>
                <w:sz w:val="20"/>
              </w:rPr>
              <w:t>Benotto</w:t>
            </w:r>
            <w:proofErr w:type="spellEnd"/>
            <w:r w:rsidRPr="00E40721">
              <w:rPr>
                <w:sz w:val="20"/>
              </w:rPr>
              <w:t xml:space="preserve">, </w:t>
            </w:r>
            <w:proofErr w:type="spellStart"/>
            <w:r w:rsidRPr="00E40721">
              <w:rPr>
                <w:sz w:val="20"/>
              </w:rPr>
              <w:t>Huscroft</w:t>
            </w:r>
            <w:proofErr w:type="spellEnd"/>
            <w:r w:rsidRPr="00E40721">
              <w:rPr>
                <w:sz w:val="20"/>
              </w:rPr>
              <w:t>)</w:t>
            </w:r>
          </w:p>
          <w:p w:rsidR="00B65BA0" w:rsidRPr="00E40721" w:rsidRDefault="00B65BA0" w:rsidP="00B65BA0">
            <w:pPr>
              <w:jc w:val="both"/>
              <w:rPr>
                <w:sz w:val="20"/>
              </w:rPr>
            </w:pPr>
          </w:p>
        </w:tc>
        <w:tc>
          <w:tcPr>
            <w:tcW w:w="243" w:type="pct"/>
          </w:tcPr>
          <w:p w:rsidR="00B65BA0" w:rsidRPr="00E40721" w:rsidRDefault="00B65BA0" w:rsidP="00B65BA0">
            <w:pPr>
              <w:jc w:val="both"/>
              <w:rPr>
                <w:sz w:val="20"/>
              </w:rPr>
            </w:pPr>
          </w:p>
        </w:tc>
        <w:tc>
          <w:tcPr>
            <w:tcW w:w="2330" w:type="pct"/>
          </w:tcPr>
          <w:p w:rsidR="00B65BA0" w:rsidRPr="00E40721" w:rsidRDefault="00B65BA0" w:rsidP="00B65BA0">
            <w:pPr>
              <w:jc w:val="both"/>
              <w:rPr>
                <w:sz w:val="20"/>
              </w:rPr>
            </w:pPr>
            <w:r w:rsidRPr="00E40721">
              <w:rPr>
                <w:sz w:val="20"/>
              </w:rPr>
              <w:t>Application for leave to appeal dismissed</w:t>
            </w:r>
          </w:p>
          <w:p w:rsidR="00B65BA0" w:rsidRPr="00E40721" w:rsidRDefault="00B65BA0" w:rsidP="00B65BA0">
            <w:pPr>
              <w:jc w:val="both"/>
              <w:rPr>
                <w:sz w:val="20"/>
              </w:rPr>
            </w:pPr>
          </w:p>
        </w:tc>
      </w:tr>
      <w:tr w:rsidR="00B65BA0" w:rsidRPr="00E40721" w:rsidTr="00B65BA0">
        <w:tc>
          <w:tcPr>
            <w:tcW w:w="2427" w:type="pct"/>
            <w:gridSpan w:val="2"/>
          </w:tcPr>
          <w:p w:rsidR="00B65BA0" w:rsidRPr="00E40721" w:rsidRDefault="00B65BA0" w:rsidP="00B65BA0">
            <w:pPr>
              <w:jc w:val="both"/>
              <w:rPr>
                <w:sz w:val="20"/>
              </w:rPr>
            </w:pPr>
            <w:r w:rsidRPr="00E40721">
              <w:rPr>
                <w:sz w:val="20"/>
              </w:rPr>
              <w:t>December 12, 2016</w:t>
            </w:r>
          </w:p>
          <w:p w:rsidR="00B65BA0" w:rsidRPr="00E40721" w:rsidRDefault="00B65BA0" w:rsidP="00B65BA0">
            <w:pPr>
              <w:jc w:val="both"/>
              <w:rPr>
                <w:sz w:val="20"/>
              </w:rPr>
            </w:pPr>
            <w:r w:rsidRPr="00E40721">
              <w:rPr>
                <w:sz w:val="20"/>
              </w:rPr>
              <w:t>Supreme Court of Canada</w:t>
            </w:r>
          </w:p>
        </w:tc>
        <w:tc>
          <w:tcPr>
            <w:tcW w:w="243" w:type="pct"/>
          </w:tcPr>
          <w:p w:rsidR="00B65BA0" w:rsidRPr="00E40721" w:rsidRDefault="00B65BA0" w:rsidP="00B65BA0">
            <w:pPr>
              <w:jc w:val="both"/>
              <w:rPr>
                <w:sz w:val="20"/>
              </w:rPr>
            </w:pPr>
          </w:p>
        </w:tc>
        <w:tc>
          <w:tcPr>
            <w:tcW w:w="2330" w:type="pct"/>
          </w:tcPr>
          <w:p w:rsidR="00B65BA0" w:rsidRPr="00E40721" w:rsidRDefault="00B65BA0" w:rsidP="00B65BA0">
            <w:pPr>
              <w:jc w:val="both"/>
              <w:rPr>
                <w:sz w:val="20"/>
              </w:rPr>
            </w:pPr>
            <w:r w:rsidRPr="00E40721">
              <w:rPr>
                <w:sz w:val="20"/>
              </w:rPr>
              <w:t>Application for leave to appeal filed</w:t>
            </w:r>
          </w:p>
          <w:p w:rsidR="00B65BA0" w:rsidRPr="00E40721" w:rsidRDefault="00B65BA0" w:rsidP="00B65BA0">
            <w:pPr>
              <w:jc w:val="both"/>
              <w:rPr>
                <w:sz w:val="20"/>
              </w:rPr>
            </w:pPr>
          </w:p>
        </w:tc>
      </w:tr>
    </w:tbl>
    <w:p w:rsidR="00B65BA0" w:rsidRDefault="00E7387C" w:rsidP="00B65BA0">
      <w:pPr>
        <w:jc w:val="both"/>
        <w:rPr>
          <w:sz w:val="20"/>
        </w:rPr>
      </w:pPr>
      <w:r>
        <w:rPr>
          <w:sz w:val="20"/>
          <w:szCs w:val="20"/>
        </w:rPr>
        <w:pict>
          <v:rect id="_x0000_i1039" style="width:2in;height:1pt" o:hrpct="0" o:hralign="center" o:hrstd="t" o:hrnoshade="t" o:hr="t" fillcolor="black [3213]" stroked="f"/>
        </w:pict>
      </w:r>
    </w:p>
    <w:p w:rsidR="00B65BA0" w:rsidRPr="00E40721" w:rsidRDefault="00B65BA0" w:rsidP="00B65BA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65BA0" w:rsidRPr="00E40721" w:rsidTr="00B65BA0">
        <w:tc>
          <w:tcPr>
            <w:tcW w:w="543" w:type="pct"/>
          </w:tcPr>
          <w:p w:rsidR="00B65BA0" w:rsidRPr="00E40721" w:rsidRDefault="00B65BA0" w:rsidP="00B65BA0">
            <w:pPr>
              <w:jc w:val="both"/>
              <w:rPr>
                <w:sz w:val="20"/>
                <w:lang w:val="fr-CA"/>
              </w:rPr>
            </w:pPr>
            <w:r w:rsidRPr="00E40721">
              <w:rPr>
                <w:rStyle w:val="SCCFileNumberChar"/>
                <w:sz w:val="20"/>
                <w:szCs w:val="20"/>
                <w:lang w:val="fr-CA"/>
              </w:rPr>
              <w:t>37348</w:t>
            </w:r>
          </w:p>
        </w:tc>
        <w:tc>
          <w:tcPr>
            <w:tcW w:w="4457" w:type="pct"/>
            <w:gridSpan w:val="3"/>
          </w:tcPr>
          <w:p w:rsidR="00B65BA0" w:rsidRPr="00E40721" w:rsidRDefault="00B65BA0" w:rsidP="00B65BA0">
            <w:pPr>
              <w:pStyle w:val="SCCLsocParty"/>
              <w:jc w:val="both"/>
              <w:rPr>
                <w:b/>
                <w:sz w:val="20"/>
                <w:szCs w:val="20"/>
              </w:rPr>
            </w:pPr>
            <w:r w:rsidRPr="00E40721">
              <w:rPr>
                <w:b/>
                <w:sz w:val="20"/>
                <w:szCs w:val="20"/>
              </w:rPr>
              <w:t>Association des professeurs de l’Université d’Ottawa c. Université d’Ottawa</w:t>
            </w:r>
          </w:p>
          <w:p w:rsidR="00B65BA0" w:rsidRDefault="00B65BA0" w:rsidP="00B65BA0">
            <w:pPr>
              <w:jc w:val="both"/>
              <w:rPr>
                <w:sz w:val="20"/>
                <w:lang w:val="fr-CA"/>
              </w:rPr>
            </w:pPr>
            <w:r w:rsidRPr="00E40721">
              <w:rPr>
                <w:sz w:val="20"/>
                <w:lang w:val="fr-CA"/>
              </w:rPr>
              <w:t>(Ont.) (Civile) (Sur autorisation)</w:t>
            </w:r>
          </w:p>
          <w:p w:rsidR="00B66AE9" w:rsidRPr="00E40721" w:rsidRDefault="00B66AE9" w:rsidP="00B65BA0">
            <w:pPr>
              <w:jc w:val="both"/>
              <w:rPr>
                <w:sz w:val="20"/>
                <w:lang w:val="fr-CA"/>
              </w:rPr>
            </w:pPr>
          </w:p>
        </w:tc>
      </w:tr>
      <w:tr w:rsidR="00B65BA0" w:rsidRPr="00E7387C" w:rsidTr="00B65BA0">
        <w:tc>
          <w:tcPr>
            <w:tcW w:w="543" w:type="pct"/>
          </w:tcPr>
          <w:p w:rsidR="00B65BA0" w:rsidRPr="00E40721" w:rsidRDefault="00B65BA0" w:rsidP="00B65BA0">
            <w:pPr>
              <w:jc w:val="both"/>
              <w:rPr>
                <w:rStyle w:val="SCCFileNumberChar"/>
                <w:sz w:val="20"/>
                <w:szCs w:val="20"/>
                <w:lang w:val="fr-CA"/>
              </w:rPr>
            </w:pPr>
            <w:r>
              <w:rPr>
                <w:rStyle w:val="SCCFileNumberChar"/>
                <w:sz w:val="20"/>
                <w:szCs w:val="20"/>
                <w:lang w:val="fr-CA"/>
              </w:rPr>
              <w:t>Coram :</w:t>
            </w:r>
          </w:p>
        </w:tc>
        <w:tc>
          <w:tcPr>
            <w:tcW w:w="4457" w:type="pct"/>
            <w:gridSpan w:val="3"/>
          </w:tcPr>
          <w:p w:rsidR="00B65BA0" w:rsidRDefault="00B66AE9" w:rsidP="00B65BA0">
            <w:pPr>
              <w:pStyle w:val="SCCLsocParty"/>
              <w:jc w:val="both"/>
              <w:rPr>
                <w:rFonts w:eastAsiaTheme="minorEastAsia"/>
                <w:sz w:val="20"/>
                <w:szCs w:val="20"/>
              </w:rPr>
            </w:pPr>
            <w:r w:rsidRPr="009106EB">
              <w:rPr>
                <w:rFonts w:eastAsiaTheme="minorEastAsia"/>
                <w:sz w:val="20"/>
                <w:szCs w:val="20"/>
                <w:lang w:val="fr-FR"/>
              </w:rPr>
              <w:t xml:space="preserve">La juge en chef </w:t>
            </w:r>
            <w:proofErr w:type="spellStart"/>
            <w:r w:rsidRPr="009106EB">
              <w:rPr>
                <w:rFonts w:eastAsiaTheme="minorEastAsia"/>
                <w:sz w:val="20"/>
                <w:szCs w:val="20"/>
                <w:lang w:val="fr-FR"/>
              </w:rPr>
              <w:t>McLachlin</w:t>
            </w:r>
            <w:proofErr w:type="spellEnd"/>
            <w:r w:rsidRPr="009106EB">
              <w:rPr>
                <w:rFonts w:eastAsiaTheme="minorEastAsia"/>
                <w:sz w:val="20"/>
                <w:szCs w:val="20"/>
                <w:lang w:val="fr-FR"/>
              </w:rPr>
              <w:t xml:space="preserve"> et les juges Abella, </w:t>
            </w:r>
            <w:proofErr w:type="spellStart"/>
            <w:r w:rsidRPr="009106EB">
              <w:rPr>
                <w:rFonts w:eastAsiaTheme="minorEastAsia"/>
                <w:sz w:val="20"/>
                <w:szCs w:val="20"/>
              </w:rPr>
              <w:t>Moldaver</w:t>
            </w:r>
            <w:proofErr w:type="spellEnd"/>
            <w:r w:rsidRPr="009106EB">
              <w:rPr>
                <w:rFonts w:eastAsiaTheme="minorEastAsia"/>
                <w:sz w:val="20"/>
                <w:szCs w:val="20"/>
              </w:rPr>
              <w:t xml:space="preserve">, </w:t>
            </w:r>
            <w:proofErr w:type="spellStart"/>
            <w:r w:rsidRPr="009106EB">
              <w:rPr>
                <w:rFonts w:eastAsiaTheme="minorEastAsia"/>
                <w:sz w:val="20"/>
                <w:szCs w:val="20"/>
              </w:rPr>
              <w:t>Karakatsanis</w:t>
            </w:r>
            <w:proofErr w:type="spellEnd"/>
            <w:r w:rsidRPr="009106EB">
              <w:rPr>
                <w:rFonts w:eastAsiaTheme="minorEastAsia"/>
                <w:sz w:val="20"/>
                <w:szCs w:val="20"/>
              </w:rPr>
              <w:t>, Wagner, Gascon, Côté, Brown et Rowe</w:t>
            </w:r>
          </w:p>
          <w:p w:rsidR="00B66AE9" w:rsidRPr="00B66AE9" w:rsidRDefault="00B66AE9" w:rsidP="00B66AE9">
            <w:pPr>
              <w:rPr>
                <w:lang w:val="fr-CA"/>
              </w:rPr>
            </w:pPr>
          </w:p>
        </w:tc>
      </w:tr>
      <w:tr w:rsidR="00B65BA0" w:rsidRPr="00E7387C" w:rsidTr="00B65BA0">
        <w:tc>
          <w:tcPr>
            <w:tcW w:w="5000" w:type="pct"/>
            <w:gridSpan w:val="4"/>
          </w:tcPr>
          <w:p w:rsidR="00B65BA0" w:rsidRDefault="00B66AE9" w:rsidP="00B65BA0">
            <w:pPr>
              <w:pStyle w:val="SCCLsocParty"/>
              <w:jc w:val="both"/>
              <w:rPr>
                <w:sz w:val="20"/>
                <w:szCs w:val="20"/>
              </w:rPr>
            </w:pPr>
            <w:r w:rsidRPr="009106EB">
              <w:rPr>
                <w:sz w:val="20"/>
                <w:szCs w:val="20"/>
              </w:rPr>
              <w:t>La demande d’autorisation d’appel de l’arrêt de la Cour d’appel de l’Ontario, numéro M46603, daté du 11 octobre 2016, est rejetée avec dépens.</w:t>
            </w:r>
          </w:p>
          <w:p w:rsidR="00B66AE9" w:rsidRPr="00B66AE9" w:rsidRDefault="00B66AE9" w:rsidP="00B66AE9">
            <w:pPr>
              <w:rPr>
                <w:lang w:val="fr-CA"/>
              </w:rPr>
            </w:pPr>
          </w:p>
        </w:tc>
      </w:tr>
      <w:tr w:rsidR="00B65BA0" w:rsidRPr="00E7387C" w:rsidTr="00B65BA0">
        <w:tc>
          <w:tcPr>
            <w:tcW w:w="5000" w:type="pct"/>
            <w:gridSpan w:val="4"/>
          </w:tcPr>
          <w:p w:rsidR="00B65BA0" w:rsidRPr="00E40721" w:rsidRDefault="00B65BA0" w:rsidP="00B65BA0">
            <w:pPr>
              <w:jc w:val="both"/>
              <w:rPr>
                <w:sz w:val="20"/>
                <w:lang w:val="fr-CA"/>
              </w:rPr>
            </w:pPr>
            <w:r w:rsidRPr="00E40721">
              <w:rPr>
                <w:sz w:val="20"/>
                <w:lang w:val="fr-CA"/>
              </w:rPr>
              <w:t>Tribunaux — Motion en radiation d’un affidavit présenté à l’étape du contrôle judiciaire — Rejet de la motion, mais radiation de l’affidavit à l’étape du contrôle judiciaire de cette décision — Autorisation d’interjeter appel de cette décision — La jurisprudence des juridictions d’appel est-elle contradictoire en ce qui concerne le critère d’admissibilité des affidavits? — La Cour divisionnaire a-t-elle eu tort de conclure qu’il existait une preuve à partir de laquelle l’arbitre aurait pu tirer certaines conclusions de fait? — La Cour divisionnaire a-t-elle eu tort de conclure que le juge de première instance avait commis une erreur de droit ou une erreur manifeste et dominante? — La Cour divisionnaire a-t-elle eu tort de conclure que le refus de permettre le dépôt d’un affidavit ne constitue pas un déni de justice naturelle? — La Cour divisionnaire a-t-elle eu tort de conclure que l’Association ne doit pas être autorisée en l’espèce à fournir à la Cour un affidavit au soutien de sa demande de contrôle judiciaire?</w:t>
            </w:r>
          </w:p>
        </w:tc>
      </w:tr>
      <w:tr w:rsidR="00B65BA0" w:rsidRPr="00E7387C" w:rsidTr="00B65BA0">
        <w:tc>
          <w:tcPr>
            <w:tcW w:w="5000" w:type="pct"/>
            <w:gridSpan w:val="4"/>
          </w:tcPr>
          <w:p w:rsidR="00B65BA0" w:rsidRPr="00E40721" w:rsidRDefault="00B65BA0" w:rsidP="00B65BA0">
            <w:pPr>
              <w:jc w:val="both"/>
              <w:rPr>
                <w:sz w:val="20"/>
                <w:lang w:val="fr-CA"/>
              </w:rPr>
            </w:pPr>
          </w:p>
        </w:tc>
      </w:tr>
      <w:tr w:rsidR="00B65BA0" w:rsidRPr="00E7387C" w:rsidTr="00B65BA0">
        <w:tc>
          <w:tcPr>
            <w:tcW w:w="5000" w:type="pct"/>
            <w:gridSpan w:val="4"/>
          </w:tcPr>
          <w:p w:rsidR="00B65BA0" w:rsidRPr="00E40721" w:rsidRDefault="00B65BA0" w:rsidP="00B65BA0">
            <w:pPr>
              <w:jc w:val="both"/>
              <w:rPr>
                <w:sz w:val="20"/>
                <w:lang w:val="fr-CA"/>
              </w:rPr>
            </w:pPr>
            <w:r w:rsidRPr="00E40721">
              <w:rPr>
                <w:sz w:val="20"/>
                <w:lang w:val="fr-CA"/>
              </w:rPr>
              <w:t xml:space="preserve">Le professeur Rancourt était professeur permanent à l’Université d’Ottawa et membre de l’Association des professeurs de l’Université d’Ottawa. L’Association a présenté trois griefs en son nom. Les trois griefs ont été entendus par un arbitre siégeant seul à des audiences qui ont eu lieu à 28 dates différentes sur une période de deux ans. Aucun compte rendu ou transcription d’audience n’a été produit. L’arbitre a accueilli le premier grief, mais il a rejeté le deuxième et de troisième. L’Association a demandé le contrôle judiciaire et a voulu déposer un affidavit rédigé par son avocate à l’interne, Natasha </w:t>
            </w:r>
            <w:proofErr w:type="spellStart"/>
            <w:r w:rsidRPr="00E40721">
              <w:rPr>
                <w:sz w:val="20"/>
                <w:lang w:val="fr-CA"/>
              </w:rPr>
              <w:t>Udell</w:t>
            </w:r>
            <w:proofErr w:type="spellEnd"/>
            <w:r w:rsidRPr="00E40721">
              <w:rPr>
                <w:sz w:val="20"/>
                <w:lang w:val="fr-CA"/>
              </w:rPr>
              <w:t>, au soutien de sa demande. Maître </w:t>
            </w:r>
            <w:proofErr w:type="spellStart"/>
            <w:r w:rsidRPr="00E40721">
              <w:rPr>
                <w:sz w:val="20"/>
                <w:lang w:val="fr-CA"/>
              </w:rPr>
              <w:t>Udell</w:t>
            </w:r>
            <w:proofErr w:type="spellEnd"/>
            <w:r w:rsidRPr="00E40721">
              <w:rPr>
                <w:sz w:val="20"/>
                <w:lang w:val="fr-CA"/>
              </w:rPr>
              <w:t xml:space="preserve"> avait été présente à l’arbitrage aux dates dont il était question dans son affidavit et elle a affirmé notamment que l’arbitre s’était appuyé sur un rapport, rédigé par un étudiant, qui n’avait pas été admis comme preuve de la véracité de son contenu, mais qui ne devait servir que d’aide-mémoire à l’arbitre, et que l’arbitre avait omis de commenter et d’apprécier certains éléments de preuve.</w:t>
            </w:r>
          </w:p>
          <w:p w:rsidR="00B65BA0" w:rsidRPr="00E40721" w:rsidRDefault="00B65BA0" w:rsidP="00B65BA0">
            <w:pPr>
              <w:jc w:val="both"/>
              <w:rPr>
                <w:sz w:val="20"/>
                <w:lang w:val="fr-CA"/>
              </w:rPr>
            </w:pPr>
          </w:p>
          <w:p w:rsidR="00B65BA0" w:rsidRPr="00E40721" w:rsidRDefault="00B65BA0" w:rsidP="00B65BA0">
            <w:pPr>
              <w:jc w:val="both"/>
              <w:rPr>
                <w:sz w:val="20"/>
                <w:lang w:val="fr-CA"/>
              </w:rPr>
            </w:pPr>
            <w:r w:rsidRPr="00E40721">
              <w:rPr>
                <w:sz w:val="20"/>
                <w:lang w:val="fr-CA"/>
              </w:rPr>
              <w:t>Avant l’instruction de la demande de contrôle judiciaire, l’Université a présenté une motion en radiation de l’affidavit de M</w:t>
            </w:r>
            <w:r w:rsidRPr="00E40721">
              <w:rPr>
                <w:sz w:val="20"/>
                <w:vertAlign w:val="superscript"/>
                <w:lang w:val="fr-CA"/>
              </w:rPr>
              <w:t>e</w:t>
            </w:r>
            <w:r w:rsidRPr="00E40721">
              <w:rPr>
                <w:sz w:val="20"/>
                <w:lang w:val="fr-CA"/>
              </w:rPr>
              <w:t> </w:t>
            </w:r>
            <w:proofErr w:type="spellStart"/>
            <w:r w:rsidRPr="00E40721">
              <w:rPr>
                <w:sz w:val="20"/>
                <w:lang w:val="fr-CA"/>
              </w:rPr>
              <w:t>Udell</w:t>
            </w:r>
            <w:proofErr w:type="spellEnd"/>
            <w:r w:rsidRPr="00E40721">
              <w:rPr>
                <w:sz w:val="20"/>
                <w:lang w:val="fr-CA"/>
              </w:rPr>
              <w:t>. Le juge Scott a rejeté la motion. L’Université a présenté une motion en vue de modifier l’ordonnance du juge Scott. Une formation de trois juges de la Cour divisionnaire a accueilli la motion, annulant l’affidavit de M</w:t>
            </w:r>
            <w:r w:rsidRPr="00E40721">
              <w:rPr>
                <w:sz w:val="20"/>
                <w:vertAlign w:val="superscript"/>
                <w:lang w:val="fr-CA"/>
              </w:rPr>
              <w:t>e</w:t>
            </w:r>
            <w:r w:rsidRPr="00E40721">
              <w:rPr>
                <w:sz w:val="20"/>
                <w:lang w:val="fr-CA"/>
              </w:rPr>
              <w:t> </w:t>
            </w:r>
            <w:proofErr w:type="spellStart"/>
            <w:r w:rsidRPr="00E40721">
              <w:rPr>
                <w:sz w:val="20"/>
                <w:lang w:val="fr-CA"/>
              </w:rPr>
              <w:t>Udell</w:t>
            </w:r>
            <w:proofErr w:type="spellEnd"/>
            <w:r w:rsidRPr="00E40721">
              <w:rPr>
                <w:sz w:val="20"/>
                <w:lang w:val="fr-CA"/>
              </w:rPr>
              <w:t xml:space="preserve"> dans son entièreté. L’Association a demandé l’autorisation d’interjeter appel à la Cour d’appel de l’Ontario, mais sa demande a été rejetée.</w:t>
            </w:r>
          </w:p>
          <w:p w:rsidR="00B65BA0" w:rsidRPr="00E40721" w:rsidRDefault="00B65BA0" w:rsidP="00B65BA0">
            <w:pPr>
              <w:jc w:val="both"/>
              <w:rPr>
                <w:sz w:val="20"/>
                <w:lang w:val="fr-CA"/>
              </w:rPr>
            </w:pPr>
          </w:p>
        </w:tc>
      </w:tr>
      <w:tr w:rsidR="00B65BA0" w:rsidRPr="00E7387C" w:rsidTr="00B65BA0">
        <w:tc>
          <w:tcPr>
            <w:tcW w:w="2427" w:type="pct"/>
            <w:gridSpan w:val="2"/>
          </w:tcPr>
          <w:p w:rsidR="00B65BA0" w:rsidRPr="00E40721" w:rsidRDefault="00B65BA0" w:rsidP="00B65BA0">
            <w:pPr>
              <w:jc w:val="both"/>
              <w:rPr>
                <w:sz w:val="20"/>
                <w:lang w:val="fr-CA"/>
              </w:rPr>
            </w:pPr>
            <w:r w:rsidRPr="00E40721">
              <w:rPr>
                <w:sz w:val="20"/>
                <w:lang w:val="fr-CA"/>
              </w:rPr>
              <w:t>26 octobre 2015</w:t>
            </w:r>
          </w:p>
          <w:p w:rsidR="00B65BA0" w:rsidRPr="00E40721" w:rsidRDefault="00B65BA0" w:rsidP="00B65BA0">
            <w:pPr>
              <w:jc w:val="both"/>
              <w:rPr>
                <w:sz w:val="20"/>
                <w:lang w:val="fr-CA"/>
              </w:rPr>
            </w:pPr>
            <w:r w:rsidRPr="00E40721">
              <w:rPr>
                <w:sz w:val="20"/>
                <w:lang w:val="fr-CA"/>
              </w:rPr>
              <w:t>Cour supérieure de justice de l’Ontario</w:t>
            </w:r>
          </w:p>
          <w:p w:rsidR="00B65BA0" w:rsidRPr="00E40721" w:rsidRDefault="00B65BA0" w:rsidP="00B65BA0">
            <w:pPr>
              <w:jc w:val="both"/>
              <w:rPr>
                <w:sz w:val="20"/>
                <w:lang w:val="fr-CA"/>
              </w:rPr>
            </w:pPr>
            <w:r w:rsidRPr="00E40721">
              <w:rPr>
                <w:sz w:val="20"/>
                <w:lang w:val="fr-CA"/>
              </w:rPr>
              <w:t>(Juge Scott)</w:t>
            </w:r>
          </w:p>
          <w:p w:rsidR="00B65BA0" w:rsidRPr="00E40721" w:rsidRDefault="00B65BA0" w:rsidP="00B65BA0">
            <w:pPr>
              <w:jc w:val="both"/>
              <w:rPr>
                <w:sz w:val="20"/>
                <w:lang w:val="fr-CA"/>
              </w:rPr>
            </w:pPr>
          </w:p>
        </w:tc>
        <w:tc>
          <w:tcPr>
            <w:tcW w:w="243" w:type="pct"/>
          </w:tcPr>
          <w:p w:rsidR="00B65BA0" w:rsidRPr="00E40721" w:rsidRDefault="00B65BA0" w:rsidP="00B65BA0">
            <w:pPr>
              <w:jc w:val="both"/>
              <w:rPr>
                <w:sz w:val="20"/>
                <w:lang w:val="fr-CA"/>
              </w:rPr>
            </w:pPr>
          </w:p>
        </w:tc>
        <w:tc>
          <w:tcPr>
            <w:tcW w:w="2330" w:type="pct"/>
          </w:tcPr>
          <w:p w:rsidR="00B65BA0" w:rsidRPr="00E40721" w:rsidRDefault="00B65BA0" w:rsidP="00B65BA0">
            <w:pPr>
              <w:jc w:val="both"/>
              <w:rPr>
                <w:sz w:val="20"/>
                <w:lang w:val="fr-CA"/>
              </w:rPr>
            </w:pPr>
            <w:r w:rsidRPr="00E40721">
              <w:rPr>
                <w:sz w:val="20"/>
                <w:lang w:val="fr-CA"/>
              </w:rPr>
              <w:t>Rejet de la motion en radiation de l’affidavit</w:t>
            </w:r>
          </w:p>
          <w:p w:rsidR="00B65BA0" w:rsidRPr="00E40721" w:rsidRDefault="00B65BA0" w:rsidP="00B65BA0">
            <w:pPr>
              <w:jc w:val="both"/>
              <w:rPr>
                <w:sz w:val="20"/>
                <w:lang w:val="fr-CA"/>
              </w:rPr>
            </w:pPr>
          </w:p>
        </w:tc>
      </w:tr>
    </w:tbl>
    <w:p w:rsidR="00B66AE9" w:rsidRPr="00E178A7" w:rsidRDefault="00B66AE9">
      <w:pPr>
        <w:rPr>
          <w:lang w:val="fr-CA"/>
        </w:rPr>
      </w:pPr>
      <w:r w:rsidRPr="00E178A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65BA0" w:rsidRPr="00E7387C" w:rsidTr="00B65BA0">
        <w:tc>
          <w:tcPr>
            <w:tcW w:w="2427" w:type="pct"/>
          </w:tcPr>
          <w:p w:rsidR="00B65BA0" w:rsidRPr="00E40721" w:rsidRDefault="00B65BA0" w:rsidP="00B65BA0">
            <w:pPr>
              <w:jc w:val="both"/>
              <w:rPr>
                <w:sz w:val="20"/>
                <w:lang w:val="fr-CA"/>
              </w:rPr>
            </w:pPr>
            <w:r w:rsidRPr="00E40721">
              <w:rPr>
                <w:sz w:val="20"/>
                <w:lang w:val="fr-CA"/>
              </w:rPr>
              <w:lastRenderedPageBreak/>
              <w:t>20 mai 2016</w:t>
            </w:r>
          </w:p>
          <w:p w:rsidR="00B65BA0" w:rsidRPr="00E40721" w:rsidRDefault="00B65BA0" w:rsidP="00B65BA0">
            <w:pPr>
              <w:jc w:val="both"/>
              <w:rPr>
                <w:sz w:val="20"/>
                <w:lang w:val="fr-CA"/>
              </w:rPr>
            </w:pPr>
            <w:r w:rsidRPr="00E40721">
              <w:rPr>
                <w:sz w:val="20"/>
                <w:lang w:val="fr-CA"/>
              </w:rPr>
              <w:t>Cour supérieure de justice de l’Ontario</w:t>
            </w:r>
          </w:p>
          <w:p w:rsidR="00B65BA0" w:rsidRPr="00E40721" w:rsidRDefault="00B65BA0" w:rsidP="00B65BA0">
            <w:pPr>
              <w:jc w:val="both"/>
              <w:rPr>
                <w:sz w:val="20"/>
                <w:lang w:val="fr-CA"/>
              </w:rPr>
            </w:pPr>
            <w:r w:rsidRPr="00E40721">
              <w:rPr>
                <w:sz w:val="20"/>
                <w:lang w:val="fr-CA"/>
              </w:rPr>
              <w:t xml:space="preserve">(Juges </w:t>
            </w:r>
            <w:proofErr w:type="spellStart"/>
            <w:r w:rsidRPr="00E40721">
              <w:rPr>
                <w:sz w:val="20"/>
                <w:lang w:val="fr-CA"/>
              </w:rPr>
              <w:t>Dambrot</w:t>
            </w:r>
            <w:proofErr w:type="spellEnd"/>
            <w:r w:rsidRPr="00E40721">
              <w:rPr>
                <w:sz w:val="20"/>
                <w:lang w:val="fr-CA"/>
              </w:rPr>
              <w:t xml:space="preserve">, </w:t>
            </w:r>
            <w:proofErr w:type="spellStart"/>
            <w:r w:rsidRPr="00E40721">
              <w:rPr>
                <w:sz w:val="20"/>
                <w:lang w:val="fr-CA"/>
              </w:rPr>
              <w:t>Horkins</w:t>
            </w:r>
            <w:proofErr w:type="spellEnd"/>
            <w:r w:rsidRPr="00E40721">
              <w:rPr>
                <w:sz w:val="20"/>
                <w:lang w:val="fr-CA"/>
              </w:rPr>
              <w:t xml:space="preserve"> et </w:t>
            </w:r>
            <w:proofErr w:type="spellStart"/>
            <w:r w:rsidRPr="00E40721">
              <w:rPr>
                <w:sz w:val="20"/>
                <w:lang w:val="fr-CA"/>
              </w:rPr>
              <w:t>Arrell</w:t>
            </w:r>
            <w:proofErr w:type="spellEnd"/>
            <w:r w:rsidRPr="00E40721">
              <w:rPr>
                <w:sz w:val="20"/>
                <w:lang w:val="fr-CA"/>
              </w:rPr>
              <w:t>)</w:t>
            </w:r>
          </w:p>
          <w:p w:rsidR="00B65BA0" w:rsidRPr="00E40721" w:rsidRDefault="00B65BA0" w:rsidP="00B65BA0">
            <w:pPr>
              <w:jc w:val="both"/>
              <w:rPr>
                <w:sz w:val="20"/>
                <w:lang w:val="fr-CA"/>
              </w:rPr>
            </w:pPr>
            <w:r w:rsidRPr="00E40721">
              <w:rPr>
                <w:sz w:val="20"/>
                <w:lang w:val="fr-CA"/>
              </w:rPr>
              <w:t>2016 ONSC 2897</w:t>
            </w:r>
          </w:p>
          <w:p w:rsidR="00B65BA0" w:rsidRPr="00E40721" w:rsidRDefault="00B65BA0" w:rsidP="00B65BA0">
            <w:pPr>
              <w:jc w:val="both"/>
              <w:rPr>
                <w:sz w:val="20"/>
                <w:lang w:val="fr-CA"/>
              </w:rPr>
            </w:pPr>
          </w:p>
        </w:tc>
        <w:tc>
          <w:tcPr>
            <w:tcW w:w="243" w:type="pct"/>
          </w:tcPr>
          <w:p w:rsidR="00B65BA0" w:rsidRPr="00E40721" w:rsidRDefault="00B65BA0" w:rsidP="00B65BA0">
            <w:pPr>
              <w:jc w:val="both"/>
              <w:rPr>
                <w:sz w:val="20"/>
                <w:lang w:val="fr-CA"/>
              </w:rPr>
            </w:pPr>
          </w:p>
        </w:tc>
        <w:tc>
          <w:tcPr>
            <w:tcW w:w="2330" w:type="pct"/>
          </w:tcPr>
          <w:p w:rsidR="00B65BA0" w:rsidRPr="00E40721" w:rsidRDefault="00B65BA0" w:rsidP="00B65BA0">
            <w:pPr>
              <w:jc w:val="both"/>
              <w:rPr>
                <w:sz w:val="20"/>
                <w:lang w:val="fr-CA"/>
              </w:rPr>
            </w:pPr>
            <w:r w:rsidRPr="00E40721">
              <w:rPr>
                <w:sz w:val="20"/>
                <w:lang w:val="fr-CA"/>
              </w:rPr>
              <w:t xml:space="preserve">Jugement accueillant la demande de contrôle judiciaire et radiant l’affidavit dans son entièreté </w:t>
            </w:r>
          </w:p>
          <w:p w:rsidR="00B65BA0" w:rsidRPr="00E40721" w:rsidRDefault="00B65BA0" w:rsidP="00B65BA0">
            <w:pPr>
              <w:jc w:val="both"/>
              <w:rPr>
                <w:sz w:val="20"/>
                <w:lang w:val="fr-CA"/>
              </w:rPr>
            </w:pPr>
          </w:p>
        </w:tc>
      </w:tr>
      <w:tr w:rsidR="00B65BA0" w:rsidRPr="00E7387C" w:rsidTr="00B65BA0">
        <w:tc>
          <w:tcPr>
            <w:tcW w:w="2427" w:type="pct"/>
          </w:tcPr>
          <w:p w:rsidR="00B65BA0" w:rsidRPr="00E40721" w:rsidRDefault="00B65BA0" w:rsidP="00B65BA0">
            <w:pPr>
              <w:jc w:val="both"/>
              <w:rPr>
                <w:sz w:val="20"/>
                <w:lang w:val="fr-CA"/>
              </w:rPr>
            </w:pPr>
            <w:r w:rsidRPr="00E40721">
              <w:rPr>
                <w:sz w:val="20"/>
                <w:lang w:val="fr-CA"/>
              </w:rPr>
              <w:t>11 octobre 2016</w:t>
            </w:r>
          </w:p>
          <w:p w:rsidR="00B65BA0" w:rsidRPr="00E40721" w:rsidRDefault="00B65BA0" w:rsidP="00B65BA0">
            <w:pPr>
              <w:jc w:val="both"/>
              <w:rPr>
                <w:sz w:val="20"/>
                <w:lang w:val="fr-CA"/>
              </w:rPr>
            </w:pPr>
            <w:r w:rsidRPr="00E40721">
              <w:rPr>
                <w:sz w:val="20"/>
                <w:lang w:val="fr-CA"/>
              </w:rPr>
              <w:t>Cour d’appel de l’Ontario</w:t>
            </w:r>
          </w:p>
          <w:p w:rsidR="00B65BA0" w:rsidRPr="00E40721" w:rsidRDefault="00B65BA0" w:rsidP="00B65BA0">
            <w:pPr>
              <w:jc w:val="both"/>
              <w:rPr>
                <w:sz w:val="20"/>
                <w:lang w:val="fr-CA"/>
              </w:rPr>
            </w:pPr>
            <w:r w:rsidRPr="00E40721">
              <w:rPr>
                <w:sz w:val="20"/>
                <w:lang w:val="fr-CA"/>
              </w:rPr>
              <w:t xml:space="preserve">(Juges </w:t>
            </w:r>
            <w:proofErr w:type="spellStart"/>
            <w:r w:rsidRPr="00E40721">
              <w:rPr>
                <w:sz w:val="20"/>
                <w:lang w:val="fr-CA"/>
              </w:rPr>
              <w:t>Hoy</w:t>
            </w:r>
            <w:proofErr w:type="spellEnd"/>
            <w:r w:rsidRPr="00E40721">
              <w:rPr>
                <w:sz w:val="20"/>
                <w:lang w:val="fr-CA"/>
              </w:rPr>
              <w:t xml:space="preserve">, </w:t>
            </w:r>
            <w:proofErr w:type="spellStart"/>
            <w:r w:rsidRPr="00E40721">
              <w:rPr>
                <w:sz w:val="20"/>
                <w:lang w:val="fr-CA"/>
              </w:rPr>
              <w:t>Benotto</w:t>
            </w:r>
            <w:proofErr w:type="spellEnd"/>
            <w:r w:rsidRPr="00E40721">
              <w:rPr>
                <w:sz w:val="20"/>
                <w:lang w:val="fr-CA"/>
              </w:rPr>
              <w:t xml:space="preserve"> et </w:t>
            </w:r>
            <w:proofErr w:type="spellStart"/>
            <w:r w:rsidRPr="00E40721">
              <w:rPr>
                <w:sz w:val="20"/>
                <w:lang w:val="fr-CA"/>
              </w:rPr>
              <w:t>Huscroft</w:t>
            </w:r>
            <w:proofErr w:type="spellEnd"/>
            <w:r w:rsidRPr="00E40721">
              <w:rPr>
                <w:sz w:val="20"/>
                <w:lang w:val="fr-CA"/>
              </w:rPr>
              <w:t>)</w:t>
            </w:r>
          </w:p>
          <w:p w:rsidR="00B65BA0" w:rsidRPr="00E40721" w:rsidRDefault="00B65BA0" w:rsidP="00B65BA0">
            <w:pPr>
              <w:jc w:val="both"/>
              <w:rPr>
                <w:sz w:val="20"/>
                <w:lang w:val="fr-CA"/>
              </w:rPr>
            </w:pPr>
          </w:p>
        </w:tc>
        <w:tc>
          <w:tcPr>
            <w:tcW w:w="243" w:type="pct"/>
          </w:tcPr>
          <w:p w:rsidR="00B65BA0" w:rsidRPr="00E40721" w:rsidRDefault="00B65BA0" w:rsidP="00B65BA0">
            <w:pPr>
              <w:jc w:val="both"/>
              <w:rPr>
                <w:sz w:val="20"/>
                <w:lang w:val="fr-CA"/>
              </w:rPr>
            </w:pPr>
          </w:p>
        </w:tc>
        <w:tc>
          <w:tcPr>
            <w:tcW w:w="2330" w:type="pct"/>
          </w:tcPr>
          <w:p w:rsidR="00B65BA0" w:rsidRPr="00E40721" w:rsidRDefault="00B65BA0" w:rsidP="00B65BA0">
            <w:pPr>
              <w:jc w:val="both"/>
              <w:rPr>
                <w:sz w:val="20"/>
                <w:lang w:val="fr-CA"/>
              </w:rPr>
            </w:pPr>
            <w:r w:rsidRPr="00E40721">
              <w:rPr>
                <w:sz w:val="20"/>
                <w:lang w:val="fr-CA"/>
              </w:rPr>
              <w:t>Rejet de la motion en autorisation d’interjeter appel</w:t>
            </w:r>
          </w:p>
          <w:p w:rsidR="00B65BA0" w:rsidRPr="00E40721" w:rsidRDefault="00B65BA0" w:rsidP="00B65BA0">
            <w:pPr>
              <w:jc w:val="both"/>
              <w:rPr>
                <w:sz w:val="20"/>
                <w:lang w:val="fr-CA"/>
              </w:rPr>
            </w:pPr>
          </w:p>
        </w:tc>
      </w:tr>
      <w:tr w:rsidR="00B65BA0" w:rsidRPr="00E7387C" w:rsidTr="00B65BA0">
        <w:tc>
          <w:tcPr>
            <w:tcW w:w="2427" w:type="pct"/>
          </w:tcPr>
          <w:p w:rsidR="00B65BA0" w:rsidRPr="00E40721" w:rsidRDefault="00B65BA0" w:rsidP="00B65BA0">
            <w:pPr>
              <w:jc w:val="both"/>
              <w:rPr>
                <w:sz w:val="20"/>
                <w:lang w:val="fr-CA"/>
              </w:rPr>
            </w:pPr>
            <w:r w:rsidRPr="00E40721">
              <w:rPr>
                <w:sz w:val="20"/>
                <w:lang w:val="fr-CA"/>
              </w:rPr>
              <w:t>12 décembre 2016</w:t>
            </w:r>
          </w:p>
          <w:p w:rsidR="00B65BA0" w:rsidRPr="00E40721" w:rsidRDefault="00B65BA0" w:rsidP="00B65BA0">
            <w:pPr>
              <w:jc w:val="both"/>
              <w:rPr>
                <w:sz w:val="20"/>
                <w:lang w:val="fr-CA"/>
              </w:rPr>
            </w:pPr>
            <w:r w:rsidRPr="00E40721">
              <w:rPr>
                <w:sz w:val="20"/>
                <w:lang w:val="fr-CA"/>
              </w:rPr>
              <w:t>Cour suprême du Canada</w:t>
            </w:r>
          </w:p>
        </w:tc>
        <w:tc>
          <w:tcPr>
            <w:tcW w:w="243" w:type="pct"/>
          </w:tcPr>
          <w:p w:rsidR="00B65BA0" w:rsidRPr="00E40721" w:rsidRDefault="00B65BA0" w:rsidP="00B65BA0">
            <w:pPr>
              <w:jc w:val="both"/>
              <w:rPr>
                <w:sz w:val="20"/>
                <w:lang w:val="fr-CA"/>
              </w:rPr>
            </w:pPr>
          </w:p>
        </w:tc>
        <w:tc>
          <w:tcPr>
            <w:tcW w:w="2330" w:type="pct"/>
          </w:tcPr>
          <w:p w:rsidR="00B65BA0" w:rsidRPr="00E40721" w:rsidRDefault="00B65BA0" w:rsidP="00B65BA0">
            <w:pPr>
              <w:jc w:val="both"/>
              <w:rPr>
                <w:sz w:val="20"/>
                <w:lang w:val="fr-CA"/>
              </w:rPr>
            </w:pPr>
            <w:r w:rsidRPr="00E40721">
              <w:rPr>
                <w:sz w:val="20"/>
                <w:lang w:val="fr-CA"/>
              </w:rPr>
              <w:t>Dépôt de la demande d’autorisation d’appel</w:t>
            </w:r>
          </w:p>
          <w:p w:rsidR="00B65BA0" w:rsidRPr="00E40721" w:rsidRDefault="00B65BA0" w:rsidP="00B65BA0">
            <w:pPr>
              <w:jc w:val="both"/>
              <w:rPr>
                <w:sz w:val="20"/>
                <w:lang w:val="fr-CA"/>
              </w:rPr>
            </w:pPr>
          </w:p>
        </w:tc>
      </w:tr>
    </w:tbl>
    <w:p w:rsidR="00B65BA0" w:rsidRPr="00E40721" w:rsidRDefault="00E7387C" w:rsidP="00B65BA0">
      <w:pPr>
        <w:jc w:val="both"/>
        <w:rPr>
          <w:sz w:val="20"/>
          <w:lang w:val="fr-CA"/>
        </w:rPr>
      </w:pPr>
      <w:r>
        <w:rPr>
          <w:sz w:val="20"/>
          <w:szCs w:val="20"/>
        </w:rPr>
        <w:pict>
          <v:rect id="_x0000_i1040" style="width:2in;height:1pt" o:hrpct="0" o:hralign="center" o:hrstd="t" o:hrnoshade="t" o:hr="t" fillcolor="black [3213]" stroked="f"/>
        </w:pict>
      </w:r>
    </w:p>
    <w:p w:rsidR="00B65BA0" w:rsidRPr="00E40721" w:rsidRDefault="00B65BA0" w:rsidP="00B65BA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65BA0" w:rsidRPr="00E40721" w:rsidTr="00B65BA0">
        <w:tc>
          <w:tcPr>
            <w:tcW w:w="543" w:type="pct"/>
          </w:tcPr>
          <w:p w:rsidR="00B65BA0" w:rsidRPr="00E40721" w:rsidRDefault="00B65BA0" w:rsidP="00B65BA0">
            <w:pPr>
              <w:jc w:val="both"/>
              <w:rPr>
                <w:sz w:val="20"/>
              </w:rPr>
            </w:pPr>
            <w:r w:rsidRPr="00E40721">
              <w:rPr>
                <w:rStyle w:val="SCCFileNumberChar"/>
                <w:sz w:val="20"/>
                <w:szCs w:val="20"/>
              </w:rPr>
              <w:t>37329</w:t>
            </w:r>
          </w:p>
        </w:tc>
        <w:tc>
          <w:tcPr>
            <w:tcW w:w="4457" w:type="pct"/>
            <w:gridSpan w:val="3"/>
          </w:tcPr>
          <w:p w:rsidR="00B65BA0" w:rsidRPr="00E40721" w:rsidRDefault="00B65BA0" w:rsidP="00B65BA0">
            <w:pPr>
              <w:pStyle w:val="SCCLsocParty"/>
              <w:jc w:val="both"/>
              <w:rPr>
                <w:b/>
                <w:sz w:val="20"/>
                <w:szCs w:val="20"/>
                <w:lang w:val="en-US"/>
              </w:rPr>
            </w:pPr>
            <w:r w:rsidRPr="00E40721">
              <w:rPr>
                <w:b/>
                <w:sz w:val="20"/>
                <w:szCs w:val="20"/>
                <w:lang w:val="en-US"/>
              </w:rPr>
              <w:t>Shelby Scott Kilpatrick v. Canadian Natural Resources Ltd.</w:t>
            </w:r>
          </w:p>
          <w:p w:rsidR="00B65BA0" w:rsidRDefault="00B65BA0" w:rsidP="00B65BA0">
            <w:pPr>
              <w:jc w:val="both"/>
              <w:rPr>
                <w:sz w:val="20"/>
              </w:rPr>
            </w:pPr>
            <w:r w:rsidRPr="00E40721">
              <w:rPr>
                <w:sz w:val="20"/>
              </w:rPr>
              <w:t>(Alta.) (Civil) (By Leave)</w:t>
            </w:r>
          </w:p>
          <w:p w:rsidR="00B66AE9" w:rsidRPr="00E40721" w:rsidRDefault="00B66AE9" w:rsidP="00B65BA0">
            <w:pPr>
              <w:jc w:val="both"/>
              <w:rPr>
                <w:sz w:val="20"/>
              </w:rPr>
            </w:pPr>
          </w:p>
        </w:tc>
      </w:tr>
      <w:tr w:rsidR="00B65BA0" w:rsidRPr="00E40721" w:rsidTr="00B65BA0">
        <w:tc>
          <w:tcPr>
            <w:tcW w:w="543" w:type="pct"/>
          </w:tcPr>
          <w:p w:rsidR="00B65BA0" w:rsidRPr="00E40721" w:rsidRDefault="00B65BA0" w:rsidP="00B65BA0">
            <w:pPr>
              <w:jc w:val="both"/>
              <w:rPr>
                <w:rStyle w:val="SCCFileNumberChar"/>
                <w:sz w:val="20"/>
                <w:szCs w:val="20"/>
              </w:rPr>
            </w:pPr>
            <w:r>
              <w:rPr>
                <w:rStyle w:val="SCCFileNumberChar"/>
                <w:sz w:val="20"/>
                <w:szCs w:val="20"/>
              </w:rPr>
              <w:t>Coram:</w:t>
            </w:r>
          </w:p>
        </w:tc>
        <w:tc>
          <w:tcPr>
            <w:tcW w:w="4457" w:type="pct"/>
            <w:gridSpan w:val="3"/>
          </w:tcPr>
          <w:p w:rsidR="00B65BA0" w:rsidRDefault="00B66AE9" w:rsidP="00B65BA0">
            <w:pPr>
              <w:pStyle w:val="SCCLsocParty"/>
              <w:jc w:val="both"/>
              <w:rPr>
                <w:rFonts w:eastAsiaTheme="minorEastAsia"/>
                <w:sz w:val="20"/>
                <w:szCs w:val="20"/>
                <w:lang w:val="en-US"/>
              </w:rPr>
            </w:pPr>
            <w:proofErr w:type="spellStart"/>
            <w:r w:rsidRPr="00B66AE9">
              <w:rPr>
                <w:rFonts w:eastAsiaTheme="minorEastAsia"/>
                <w:sz w:val="20"/>
                <w:szCs w:val="20"/>
                <w:lang w:val="en-US"/>
              </w:rPr>
              <w:t>McLachlin</w:t>
            </w:r>
            <w:proofErr w:type="spellEnd"/>
            <w:r w:rsidRPr="00B66AE9">
              <w:rPr>
                <w:rFonts w:eastAsiaTheme="minorEastAsia"/>
                <w:sz w:val="20"/>
                <w:szCs w:val="20"/>
                <w:lang w:val="en-US"/>
              </w:rPr>
              <w:t xml:space="preserve"> C.J. and </w:t>
            </w:r>
            <w:proofErr w:type="spellStart"/>
            <w:r w:rsidRPr="00B66AE9">
              <w:rPr>
                <w:rFonts w:eastAsiaTheme="minorEastAsia"/>
                <w:sz w:val="20"/>
                <w:szCs w:val="20"/>
                <w:lang w:val="en-US"/>
              </w:rPr>
              <w:t>Abella</w:t>
            </w:r>
            <w:proofErr w:type="spellEnd"/>
            <w:r w:rsidRPr="00B66AE9">
              <w:rPr>
                <w:rFonts w:eastAsiaTheme="minorEastAsia"/>
                <w:sz w:val="20"/>
                <w:szCs w:val="20"/>
                <w:lang w:val="en-US"/>
              </w:rPr>
              <w:t xml:space="preserve">, </w:t>
            </w:r>
            <w:proofErr w:type="spellStart"/>
            <w:r w:rsidRPr="00B66AE9">
              <w:rPr>
                <w:rFonts w:eastAsiaTheme="minorEastAsia"/>
                <w:sz w:val="20"/>
                <w:szCs w:val="20"/>
                <w:lang w:val="en-US"/>
              </w:rPr>
              <w:t>Moldaver</w:t>
            </w:r>
            <w:proofErr w:type="spellEnd"/>
            <w:r w:rsidRPr="00B66AE9">
              <w:rPr>
                <w:rFonts w:eastAsiaTheme="minorEastAsia"/>
                <w:sz w:val="20"/>
                <w:szCs w:val="20"/>
                <w:lang w:val="en-US"/>
              </w:rPr>
              <w:t xml:space="preserve">, </w:t>
            </w:r>
            <w:proofErr w:type="spellStart"/>
            <w:r w:rsidRPr="00B66AE9">
              <w:rPr>
                <w:rFonts w:eastAsiaTheme="minorEastAsia"/>
                <w:sz w:val="20"/>
                <w:szCs w:val="20"/>
                <w:lang w:val="en-US"/>
              </w:rPr>
              <w:t>Karakatsanis</w:t>
            </w:r>
            <w:proofErr w:type="spellEnd"/>
            <w:r w:rsidRPr="00B66AE9">
              <w:rPr>
                <w:rFonts w:eastAsiaTheme="minorEastAsia"/>
                <w:sz w:val="20"/>
                <w:szCs w:val="20"/>
                <w:lang w:val="en-US"/>
              </w:rPr>
              <w:t xml:space="preserve">, Wagner, </w:t>
            </w:r>
            <w:proofErr w:type="spellStart"/>
            <w:r w:rsidRPr="00B66AE9">
              <w:rPr>
                <w:rFonts w:eastAsiaTheme="minorEastAsia"/>
                <w:sz w:val="20"/>
                <w:szCs w:val="20"/>
                <w:lang w:val="en-US"/>
              </w:rPr>
              <w:t>Gascon</w:t>
            </w:r>
            <w:proofErr w:type="spellEnd"/>
            <w:r w:rsidRPr="00B66AE9">
              <w:rPr>
                <w:rFonts w:eastAsiaTheme="minorEastAsia"/>
                <w:sz w:val="20"/>
                <w:szCs w:val="20"/>
                <w:lang w:val="en-US"/>
              </w:rPr>
              <w:t xml:space="preserve">, </w:t>
            </w:r>
            <w:proofErr w:type="spellStart"/>
            <w:r w:rsidRPr="00B66AE9">
              <w:rPr>
                <w:rFonts w:eastAsiaTheme="minorEastAsia"/>
                <w:sz w:val="20"/>
                <w:szCs w:val="20"/>
                <w:lang w:val="en-US"/>
              </w:rPr>
              <w:t>Côté</w:t>
            </w:r>
            <w:proofErr w:type="spellEnd"/>
            <w:r w:rsidRPr="00B66AE9">
              <w:rPr>
                <w:rFonts w:eastAsiaTheme="minorEastAsia"/>
                <w:sz w:val="20"/>
                <w:szCs w:val="20"/>
                <w:lang w:val="en-US"/>
              </w:rPr>
              <w:t>, Brown and Rowe JJ.</w:t>
            </w:r>
          </w:p>
          <w:p w:rsidR="00B66AE9" w:rsidRPr="00B66AE9" w:rsidRDefault="00B66AE9" w:rsidP="00B66AE9">
            <w:pPr>
              <w:rPr>
                <w:lang w:val="en-US"/>
              </w:rPr>
            </w:pPr>
          </w:p>
        </w:tc>
      </w:tr>
      <w:tr w:rsidR="00B65BA0" w:rsidRPr="00E40721" w:rsidTr="00B65BA0">
        <w:tc>
          <w:tcPr>
            <w:tcW w:w="5000" w:type="pct"/>
            <w:gridSpan w:val="4"/>
          </w:tcPr>
          <w:p w:rsidR="00B65BA0" w:rsidRDefault="00B66AE9" w:rsidP="00B65BA0">
            <w:pPr>
              <w:pStyle w:val="SCCLsocParty"/>
              <w:jc w:val="both"/>
              <w:rPr>
                <w:sz w:val="20"/>
                <w:szCs w:val="20"/>
                <w:lang w:val="en-US"/>
              </w:rPr>
            </w:pPr>
            <w:r w:rsidRPr="00B66AE9">
              <w:rPr>
                <w:sz w:val="20"/>
                <w:szCs w:val="20"/>
                <w:lang w:val="en-US"/>
              </w:rPr>
              <w:t>The application for leave to appeal from the judgment of the Court of Appeal of Alberta (Edmonton), Number 1503-0230-AC, 2016 ABCA 257, dated September 7, 2016, is dismissed with costs to the respondent.</w:t>
            </w:r>
          </w:p>
          <w:p w:rsidR="00B66AE9" w:rsidRPr="00B66AE9" w:rsidRDefault="00B66AE9" w:rsidP="00B66AE9">
            <w:pPr>
              <w:rPr>
                <w:lang w:val="en-US"/>
              </w:rPr>
            </w:pPr>
          </w:p>
        </w:tc>
      </w:tr>
      <w:tr w:rsidR="00B65BA0" w:rsidRPr="00E40721" w:rsidTr="00B65BA0">
        <w:tc>
          <w:tcPr>
            <w:tcW w:w="5000" w:type="pct"/>
            <w:gridSpan w:val="4"/>
          </w:tcPr>
          <w:p w:rsidR="00B65BA0" w:rsidRPr="00E40721" w:rsidRDefault="00B65BA0" w:rsidP="00B65BA0">
            <w:pPr>
              <w:jc w:val="both"/>
              <w:rPr>
                <w:sz w:val="20"/>
              </w:rPr>
            </w:pPr>
            <w:r w:rsidRPr="00E40721">
              <w:rPr>
                <w:sz w:val="20"/>
              </w:rPr>
              <w:t>Civil procedure — Appeals — Applicant supplying oil spill containment and recovery</w:t>
            </w:r>
            <w:r w:rsidRPr="00E40721">
              <w:rPr>
                <w:rStyle w:val="italic1"/>
                <w:color w:val="000000"/>
                <w:sz w:val="20"/>
              </w:rPr>
              <w:t xml:space="preserve"> equipment and services — Respondent occasionally hiring applicant for oil spill clean-up operations — </w:t>
            </w:r>
            <w:r w:rsidRPr="00E40721">
              <w:rPr>
                <w:sz w:val="20"/>
              </w:rPr>
              <w:t>Respondent obtaining membership with cooperative organization, providing it with oil spill containment and recovery equipment at no cost — Equipment supplied to respondent does not include competent personnel — Without competent personnel, respondent has taken unreasonable decision to put workers at risk — Corporations may not make unreasonable decisions</w:t>
            </w:r>
          </w:p>
        </w:tc>
      </w:tr>
      <w:tr w:rsidR="00B65BA0" w:rsidRPr="00E40721" w:rsidTr="00B65BA0">
        <w:tc>
          <w:tcPr>
            <w:tcW w:w="5000" w:type="pct"/>
            <w:gridSpan w:val="4"/>
          </w:tcPr>
          <w:p w:rsidR="00B65BA0" w:rsidRPr="00E40721" w:rsidRDefault="00B65BA0" w:rsidP="00B65BA0">
            <w:pPr>
              <w:jc w:val="both"/>
              <w:rPr>
                <w:sz w:val="20"/>
              </w:rPr>
            </w:pPr>
          </w:p>
        </w:tc>
      </w:tr>
      <w:tr w:rsidR="00B65BA0" w:rsidRPr="00E40721" w:rsidTr="00B65BA0">
        <w:tc>
          <w:tcPr>
            <w:tcW w:w="5000" w:type="pct"/>
            <w:gridSpan w:val="4"/>
          </w:tcPr>
          <w:p w:rsidR="00B65BA0" w:rsidRPr="00E40721" w:rsidRDefault="00B65BA0" w:rsidP="00B65BA0">
            <w:pPr>
              <w:jc w:val="both"/>
              <w:rPr>
                <w:sz w:val="20"/>
              </w:rPr>
            </w:pPr>
            <w:r w:rsidRPr="00E40721">
              <w:rPr>
                <w:sz w:val="20"/>
              </w:rPr>
              <w:t xml:space="preserve">The applicant Mr. Shelby Scott Kilpatrick provides equipment and services for clean-up and recovery operations following oil-spills and other disasters. The respondent Canadian Natural Resources Limited (“CNR”) would occasionally hire Mr. Kilpatrick for this purpose. CNR then became a member of Western Canadian Spill Services, enabling CNR to rent similar equipment at no cost. CNR decided to stop hiring Mr. Kilpatrick as a result. Mr. Kilpatrick filed a statement of claim on June 8, 2015, seeking damages for financial losses as a result of this change in business practices, and claiming that CNR was operating its equipment in an unsafe manner. CNR brought an application seeking to strike the action for failing to disclose any reasonable claim, pursuant to Rule 3.68 of the </w:t>
            </w:r>
            <w:r w:rsidRPr="00E40721">
              <w:rPr>
                <w:i/>
                <w:sz w:val="20"/>
              </w:rPr>
              <w:t>Alberta Rules of Court</w:t>
            </w:r>
            <w:r w:rsidRPr="00E40721">
              <w:rPr>
                <w:sz w:val="20"/>
              </w:rPr>
              <w:t>.</w:t>
            </w:r>
          </w:p>
          <w:p w:rsidR="00B65BA0" w:rsidRPr="00E40721" w:rsidRDefault="00B65BA0" w:rsidP="00B65BA0">
            <w:pPr>
              <w:jc w:val="both"/>
              <w:rPr>
                <w:sz w:val="20"/>
              </w:rPr>
            </w:pPr>
          </w:p>
          <w:p w:rsidR="00B65BA0" w:rsidRPr="00E40721" w:rsidRDefault="00B65BA0" w:rsidP="00B65BA0">
            <w:pPr>
              <w:jc w:val="both"/>
              <w:rPr>
                <w:sz w:val="20"/>
              </w:rPr>
            </w:pPr>
            <w:r w:rsidRPr="00E40721">
              <w:rPr>
                <w:sz w:val="20"/>
              </w:rPr>
              <w:t>On July 9, 2015, Master Smart of the Alberta Court of Queen’s Bench granted CNR’s application, and dismissed Mr. Kilpatrick’s claim in its entirety, for failing to disclose a reasonable cause of action. This decision was upheld on appeal to a chambers judge of the Court of Queen’s Bench on August 6, 2015, and by the Court of Appeal on September 7, 2016.</w:t>
            </w:r>
          </w:p>
          <w:p w:rsidR="00B65BA0" w:rsidRPr="00E40721" w:rsidRDefault="00B65BA0" w:rsidP="00B65BA0">
            <w:pPr>
              <w:jc w:val="both"/>
              <w:rPr>
                <w:sz w:val="20"/>
              </w:rPr>
            </w:pPr>
          </w:p>
        </w:tc>
      </w:tr>
      <w:tr w:rsidR="00B65BA0" w:rsidRPr="00E40721" w:rsidTr="00B65BA0">
        <w:tc>
          <w:tcPr>
            <w:tcW w:w="2427" w:type="pct"/>
            <w:gridSpan w:val="2"/>
          </w:tcPr>
          <w:p w:rsidR="00B65BA0" w:rsidRPr="00E40721" w:rsidRDefault="00B65BA0" w:rsidP="00B65BA0">
            <w:pPr>
              <w:jc w:val="both"/>
              <w:rPr>
                <w:sz w:val="20"/>
              </w:rPr>
            </w:pPr>
            <w:r w:rsidRPr="00E40721">
              <w:rPr>
                <w:sz w:val="20"/>
              </w:rPr>
              <w:t>July 9, 2015</w:t>
            </w:r>
          </w:p>
          <w:p w:rsidR="00B65BA0" w:rsidRPr="00E40721" w:rsidRDefault="00B65BA0" w:rsidP="00B65BA0">
            <w:pPr>
              <w:jc w:val="both"/>
              <w:rPr>
                <w:sz w:val="20"/>
              </w:rPr>
            </w:pPr>
            <w:r w:rsidRPr="00E40721">
              <w:rPr>
                <w:sz w:val="20"/>
              </w:rPr>
              <w:t>Court of Queen’s Bench of Alberta</w:t>
            </w:r>
          </w:p>
          <w:p w:rsidR="00B65BA0" w:rsidRPr="00E40721" w:rsidRDefault="00B65BA0" w:rsidP="00B65BA0">
            <w:pPr>
              <w:jc w:val="both"/>
              <w:rPr>
                <w:sz w:val="20"/>
              </w:rPr>
            </w:pPr>
            <w:r w:rsidRPr="00E40721">
              <w:rPr>
                <w:sz w:val="20"/>
              </w:rPr>
              <w:t>(Master Smart)</w:t>
            </w:r>
          </w:p>
          <w:p w:rsidR="00B65BA0" w:rsidRPr="00E40721" w:rsidRDefault="00B65BA0" w:rsidP="00B65BA0">
            <w:pPr>
              <w:jc w:val="both"/>
              <w:rPr>
                <w:sz w:val="20"/>
              </w:rPr>
            </w:pPr>
            <w:r w:rsidRPr="00E40721">
              <w:rPr>
                <w:sz w:val="20"/>
              </w:rPr>
              <w:t>Court File No. 1503 08505</w:t>
            </w:r>
          </w:p>
          <w:p w:rsidR="00B65BA0" w:rsidRPr="00E40721" w:rsidRDefault="00B65BA0" w:rsidP="00B65BA0">
            <w:pPr>
              <w:jc w:val="both"/>
              <w:rPr>
                <w:sz w:val="20"/>
              </w:rPr>
            </w:pPr>
          </w:p>
        </w:tc>
        <w:tc>
          <w:tcPr>
            <w:tcW w:w="243" w:type="pct"/>
          </w:tcPr>
          <w:p w:rsidR="00B65BA0" w:rsidRPr="00E40721" w:rsidRDefault="00B65BA0" w:rsidP="00B65BA0">
            <w:pPr>
              <w:jc w:val="both"/>
              <w:rPr>
                <w:sz w:val="20"/>
              </w:rPr>
            </w:pPr>
          </w:p>
        </w:tc>
        <w:tc>
          <w:tcPr>
            <w:tcW w:w="2330" w:type="pct"/>
          </w:tcPr>
          <w:p w:rsidR="00B65BA0" w:rsidRPr="00E40721" w:rsidRDefault="00B65BA0" w:rsidP="00B65BA0">
            <w:pPr>
              <w:jc w:val="both"/>
              <w:rPr>
                <w:sz w:val="20"/>
              </w:rPr>
            </w:pPr>
            <w:r w:rsidRPr="00E40721">
              <w:rPr>
                <w:sz w:val="20"/>
              </w:rPr>
              <w:t xml:space="preserve">Order dismissing statement of claim </w:t>
            </w:r>
          </w:p>
          <w:p w:rsidR="00B65BA0" w:rsidRPr="00E40721" w:rsidRDefault="00B65BA0" w:rsidP="00B65BA0">
            <w:pPr>
              <w:jc w:val="both"/>
              <w:rPr>
                <w:sz w:val="20"/>
              </w:rPr>
            </w:pPr>
          </w:p>
        </w:tc>
      </w:tr>
      <w:tr w:rsidR="00B65BA0" w:rsidRPr="00E40721" w:rsidTr="00B65BA0">
        <w:tc>
          <w:tcPr>
            <w:tcW w:w="2427" w:type="pct"/>
            <w:gridSpan w:val="2"/>
          </w:tcPr>
          <w:p w:rsidR="00B65BA0" w:rsidRPr="00E40721" w:rsidRDefault="00B65BA0" w:rsidP="00B65BA0">
            <w:pPr>
              <w:jc w:val="both"/>
              <w:rPr>
                <w:sz w:val="20"/>
              </w:rPr>
            </w:pPr>
            <w:r w:rsidRPr="00E40721">
              <w:rPr>
                <w:sz w:val="20"/>
              </w:rPr>
              <w:t>August 6, 2015</w:t>
            </w:r>
          </w:p>
          <w:p w:rsidR="00B65BA0" w:rsidRPr="00E40721" w:rsidRDefault="00B65BA0" w:rsidP="00B65BA0">
            <w:pPr>
              <w:jc w:val="both"/>
              <w:rPr>
                <w:sz w:val="20"/>
              </w:rPr>
            </w:pPr>
            <w:r w:rsidRPr="00E40721">
              <w:rPr>
                <w:sz w:val="20"/>
              </w:rPr>
              <w:t>Court of Queen’s Bench of Alberta</w:t>
            </w:r>
          </w:p>
          <w:p w:rsidR="00B65BA0" w:rsidRPr="00E40721" w:rsidRDefault="00B65BA0" w:rsidP="00B65BA0">
            <w:pPr>
              <w:jc w:val="both"/>
              <w:rPr>
                <w:sz w:val="20"/>
              </w:rPr>
            </w:pPr>
            <w:r w:rsidRPr="00E40721">
              <w:rPr>
                <w:sz w:val="20"/>
              </w:rPr>
              <w:t>(Lee J.)</w:t>
            </w:r>
          </w:p>
          <w:p w:rsidR="00B65BA0" w:rsidRPr="00E40721" w:rsidRDefault="00B65BA0" w:rsidP="00B65BA0">
            <w:pPr>
              <w:jc w:val="both"/>
              <w:rPr>
                <w:sz w:val="20"/>
              </w:rPr>
            </w:pPr>
            <w:r w:rsidRPr="00E40721">
              <w:rPr>
                <w:sz w:val="20"/>
              </w:rPr>
              <w:t xml:space="preserve">Court File No. 1503-08505 </w:t>
            </w:r>
          </w:p>
          <w:p w:rsidR="00B65BA0" w:rsidRPr="00E40721" w:rsidRDefault="00B65BA0" w:rsidP="00B65BA0">
            <w:pPr>
              <w:jc w:val="both"/>
              <w:rPr>
                <w:sz w:val="20"/>
              </w:rPr>
            </w:pPr>
          </w:p>
        </w:tc>
        <w:tc>
          <w:tcPr>
            <w:tcW w:w="243" w:type="pct"/>
          </w:tcPr>
          <w:p w:rsidR="00B65BA0" w:rsidRPr="00E40721" w:rsidRDefault="00B65BA0" w:rsidP="00B65BA0">
            <w:pPr>
              <w:jc w:val="both"/>
              <w:rPr>
                <w:sz w:val="20"/>
              </w:rPr>
            </w:pPr>
          </w:p>
        </w:tc>
        <w:tc>
          <w:tcPr>
            <w:tcW w:w="2330" w:type="pct"/>
          </w:tcPr>
          <w:p w:rsidR="00B65BA0" w:rsidRPr="00E40721" w:rsidRDefault="00B65BA0" w:rsidP="00B65BA0">
            <w:pPr>
              <w:jc w:val="both"/>
              <w:rPr>
                <w:sz w:val="20"/>
              </w:rPr>
            </w:pPr>
            <w:r w:rsidRPr="00E40721">
              <w:rPr>
                <w:sz w:val="20"/>
              </w:rPr>
              <w:t>Appeal from July 9, 2016 Order — dismissed</w:t>
            </w:r>
          </w:p>
          <w:p w:rsidR="00B65BA0" w:rsidRPr="00E40721" w:rsidRDefault="00B65BA0" w:rsidP="00B65BA0">
            <w:pPr>
              <w:jc w:val="both"/>
              <w:rPr>
                <w:sz w:val="20"/>
              </w:rPr>
            </w:pPr>
          </w:p>
        </w:tc>
      </w:tr>
      <w:tr w:rsidR="00B65BA0" w:rsidRPr="00E40721" w:rsidTr="00B65BA0">
        <w:tc>
          <w:tcPr>
            <w:tcW w:w="2427" w:type="pct"/>
            <w:gridSpan w:val="2"/>
          </w:tcPr>
          <w:p w:rsidR="00B65BA0" w:rsidRPr="00E40721" w:rsidRDefault="00B65BA0" w:rsidP="00B65BA0">
            <w:pPr>
              <w:jc w:val="both"/>
              <w:rPr>
                <w:sz w:val="20"/>
              </w:rPr>
            </w:pPr>
            <w:r w:rsidRPr="00E40721">
              <w:rPr>
                <w:sz w:val="20"/>
              </w:rPr>
              <w:t>September 7, 2016</w:t>
            </w:r>
          </w:p>
          <w:p w:rsidR="00B65BA0" w:rsidRPr="00E40721" w:rsidRDefault="00B65BA0" w:rsidP="00B65BA0">
            <w:pPr>
              <w:jc w:val="both"/>
              <w:rPr>
                <w:sz w:val="20"/>
              </w:rPr>
            </w:pPr>
            <w:r w:rsidRPr="00E40721">
              <w:rPr>
                <w:sz w:val="20"/>
              </w:rPr>
              <w:t>Court of Appeal of Alberta (Edmonton)</w:t>
            </w:r>
          </w:p>
          <w:p w:rsidR="00B65BA0" w:rsidRPr="00E40721" w:rsidRDefault="00B65BA0" w:rsidP="00B65BA0">
            <w:pPr>
              <w:jc w:val="both"/>
              <w:rPr>
                <w:sz w:val="20"/>
              </w:rPr>
            </w:pPr>
            <w:r w:rsidRPr="00E40721">
              <w:rPr>
                <w:sz w:val="20"/>
              </w:rPr>
              <w:t>(Fraser C.J.A., and Watson and Martin JJ.A.)</w:t>
            </w:r>
          </w:p>
          <w:p w:rsidR="00B65BA0" w:rsidRPr="00E40721" w:rsidRDefault="00B65BA0" w:rsidP="00B65BA0">
            <w:pPr>
              <w:jc w:val="both"/>
              <w:rPr>
                <w:sz w:val="20"/>
              </w:rPr>
            </w:pPr>
            <w:r w:rsidRPr="00E40721">
              <w:rPr>
                <w:sz w:val="20"/>
              </w:rPr>
              <w:t xml:space="preserve">Court File No. 1503-0230-AC </w:t>
            </w:r>
          </w:p>
          <w:p w:rsidR="00B65BA0" w:rsidRPr="00E40721" w:rsidRDefault="00B65BA0" w:rsidP="00B65BA0">
            <w:pPr>
              <w:jc w:val="both"/>
              <w:rPr>
                <w:sz w:val="20"/>
              </w:rPr>
            </w:pPr>
          </w:p>
        </w:tc>
        <w:tc>
          <w:tcPr>
            <w:tcW w:w="243" w:type="pct"/>
          </w:tcPr>
          <w:p w:rsidR="00B65BA0" w:rsidRPr="00E40721" w:rsidRDefault="00B65BA0" w:rsidP="00B65BA0">
            <w:pPr>
              <w:jc w:val="both"/>
              <w:rPr>
                <w:sz w:val="20"/>
              </w:rPr>
            </w:pPr>
          </w:p>
        </w:tc>
        <w:tc>
          <w:tcPr>
            <w:tcW w:w="2330" w:type="pct"/>
          </w:tcPr>
          <w:p w:rsidR="00B65BA0" w:rsidRPr="00E40721" w:rsidRDefault="00B65BA0" w:rsidP="00B65BA0">
            <w:pPr>
              <w:jc w:val="both"/>
              <w:rPr>
                <w:sz w:val="20"/>
              </w:rPr>
            </w:pPr>
            <w:r w:rsidRPr="00E40721">
              <w:rPr>
                <w:sz w:val="20"/>
              </w:rPr>
              <w:t>Appeal from August 6, 2015 Order — dismissed</w:t>
            </w:r>
          </w:p>
          <w:p w:rsidR="00B65BA0" w:rsidRPr="00E40721" w:rsidRDefault="00B65BA0" w:rsidP="00B65BA0">
            <w:pPr>
              <w:jc w:val="both"/>
              <w:rPr>
                <w:sz w:val="20"/>
              </w:rPr>
            </w:pPr>
          </w:p>
        </w:tc>
      </w:tr>
      <w:tr w:rsidR="00B65BA0" w:rsidRPr="00E40721" w:rsidTr="00B65BA0">
        <w:tc>
          <w:tcPr>
            <w:tcW w:w="2427" w:type="pct"/>
            <w:gridSpan w:val="2"/>
          </w:tcPr>
          <w:p w:rsidR="00B65BA0" w:rsidRPr="00E40721" w:rsidRDefault="00B65BA0" w:rsidP="00B65BA0">
            <w:pPr>
              <w:jc w:val="both"/>
              <w:rPr>
                <w:sz w:val="20"/>
              </w:rPr>
            </w:pPr>
            <w:r w:rsidRPr="00E40721">
              <w:rPr>
                <w:sz w:val="20"/>
              </w:rPr>
              <w:t>November 4, 2016</w:t>
            </w:r>
          </w:p>
          <w:p w:rsidR="00B65BA0" w:rsidRPr="00E40721" w:rsidRDefault="00B65BA0" w:rsidP="00B65BA0">
            <w:pPr>
              <w:jc w:val="both"/>
              <w:rPr>
                <w:sz w:val="20"/>
              </w:rPr>
            </w:pPr>
            <w:r w:rsidRPr="00E40721">
              <w:rPr>
                <w:sz w:val="20"/>
              </w:rPr>
              <w:t>Supreme Court of Canada</w:t>
            </w:r>
          </w:p>
        </w:tc>
        <w:tc>
          <w:tcPr>
            <w:tcW w:w="243" w:type="pct"/>
          </w:tcPr>
          <w:p w:rsidR="00B65BA0" w:rsidRPr="00E40721" w:rsidRDefault="00B65BA0" w:rsidP="00B65BA0">
            <w:pPr>
              <w:jc w:val="both"/>
              <w:rPr>
                <w:sz w:val="20"/>
              </w:rPr>
            </w:pPr>
          </w:p>
        </w:tc>
        <w:tc>
          <w:tcPr>
            <w:tcW w:w="2330" w:type="pct"/>
          </w:tcPr>
          <w:p w:rsidR="00B65BA0" w:rsidRPr="00E40721" w:rsidRDefault="00B65BA0" w:rsidP="00B65BA0">
            <w:pPr>
              <w:jc w:val="both"/>
              <w:rPr>
                <w:sz w:val="20"/>
              </w:rPr>
            </w:pPr>
            <w:r w:rsidRPr="00E40721">
              <w:rPr>
                <w:sz w:val="20"/>
              </w:rPr>
              <w:t>Application for leave to appeal filed</w:t>
            </w:r>
          </w:p>
        </w:tc>
      </w:tr>
    </w:tbl>
    <w:p w:rsidR="00B65BA0" w:rsidRDefault="00E7387C" w:rsidP="00B65BA0">
      <w:pPr>
        <w:jc w:val="both"/>
        <w:rPr>
          <w:sz w:val="20"/>
        </w:rPr>
      </w:pPr>
      <w:r>
        <w:rPr>
          <w:sz w:val="20"/>
          <w:szCs w:val="20"/>
        </w:rPr>
        <w:pict>
          <v:rect id="_x0000_i1041" style="width:2in;height:1pt" o:hrpct="0" o:hralign="center" o:hrstd="t" o:hrnoshade="t" o:hr="t" fillcolor="black [3213]" stroked="f"/>
        </w:pict>
      </w:r>
    </w:p>
    <w:p w:rsidR="00B65BA0" w:rsidRPr="00E40721" w:rsidRDefault="00B65BA0" w:rsidP="00B65BA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65BA0" w:rsidRPr="00E40721" w:rsidTr="00B65BA0">
        <w:tc>
          <w:tcPr>
            <w:tcW w:w="543" w:type="pct"/>
          </w:tcPr>
          <w:p w:rsidR="00B65BA0" w:rsidRPr="00E40721" w:rsidRDefault="00B65BA0" w:rsidP="00B65BA0">
            <w:pPr>
              <w:jc w:val="both"/>
              <w:rPr>
                <w:sz w:val="20"/>
                <w:lang w:val="fr-CA"/>
              </w:rPr>
            </w:pPr>
            <w:r w:rsidRPr="00E40721">
              <w:rPr>
                <w:rStyle w:val="SCCFileNumberChar"/>
                <w:sz w:val="20"/>
                <w:szCs w:val="20"/>
                <w:lang w:val="fr-CA"/>
              </w:rPr>
              <w:t>37329</w:t>
            </w:r>
          </w:p>
        </w:tc>
        <w:tc>
          <w:tcPr>
            <w:tcW w:w="4457" w:type="pct"/>
            <w:gridSpan w:val="3"/>
          </w:tcPr>
          <w:p w:rsidR="00B65BA0" w:rsidRPr="00E40721" w:rsidRDefault="00B65BA0" w:rsidP="00B65BA0">
            <w:pPr>
              <w:pStyle w:val="SCCLsocParty"/>
              <w:jc w:val="both"/>
              <w:rPr>
                <w:b/>
                <w:sz w:val="20"/>
                <w:szCs w:val="20"/>
                <w:lang w:val="en-US"/>
              </w:rPr>
            </w:pPr>
            <w:r w:rsidRPr="00E40721">
              <w:rPr>
                <w:b/>
                <w:sz w:val="20"/>
                <w:szCs w:val="20"/>
                <w:lang w:val="en-US"/>
              </w:rPr>
              <w:t>Shelby Scott Kilpatrick c. Canadian Natural Resources Ltd.</w:t>
            </w:r>
          </w:p>
          <w:p w:rsidR="00B65BA0" w:rsidRDefault="00B65BA0" w:rsidP="00B65BA0">
            <w:pPr>
              <w:jc w:val="both"/>
              <w:rPr>
                <w:sz w:val="20"/>
                <w:lang w:val="fr-CA"/>
              </w:rPr>
            </w:pPr>
            <w:r w:rsidRPr="00E40721">
              <w:rPr>
                <w:sz w:val="20"/>
                <w:lang w:val="fr-CA"/>
              </w:rPr>
              <w:t>(</w:t>
            </w:r>
            <w:proofErr w:type="spellStart"/>
            <w:r w:rsidRPr="00E40721">
              <w:rPr>
                <w:sz w:val="20"/>
                <w:lang w:val="fr-CA"/>
              </w:rPr>
              <w:t>Alb</w:t>
            </w:r>
            <w:proofErr w:type="spellEnd"/>
            <w:r w:rsidRPr="00E40721">
              <w:rPr>
                <w:sz w:val="20"/>
                <w:lang w:val="fr-CA"/>
              </w:rPr>
              <w:t>.) (Civile) (Sur autorisation)</w:t>
            </w:r>
          </w:p>
          <w:p w:rsidR="00B66AE9" w:rsidRPr="00E40721" w:rsidRDefault="00B66AE9" w:rsidP="00B65BA0">
            <w:pPr>
              <w:jc w:val="both"/>
              <w:rPr>
                <w:sz w:val="20"/>
                <w:lang w:val="fr-CA"/>
              </w:rPr>
            </w:pPr>
          </w:p>
        </w:tc>
      </w:tr>
      <w:tr w:rsidR="00B65BA0" w:rsidRPr="00E7387C" w:rsidTr="00B65BA0">
        <w:tc>
          <w:tcPr>
            <w:tcW w:w="543" w:type="pct"/>
          </w:tcPr>
          <w:p w:rsidR="00B65BA0" w:rsidRPr="00E40721" w:rsidRDefault="00B65BA0" w:rsidP="00B65BA0">
            <w:pPr>
              <w:jc w:val="both"/>
              <w:rPr>
                <w:rStyle w:val="SCCFileNumberChar"/>
                <w:sz w:val="20"/>
                <w:szCs w:val="20"/>
                <w:lang w:val="fr-CA"/>
              </w:rPr>
            </w:pPr>
            <w:r>
              <w:rPr>
                <w:rStyle w:val="SCCFileNumberChar"/>
                <w:sz w:val="20"/>
                <w:szCs w:val="20"/>
                <w:lang w:val="fr-CA"/>
              </w:rPr>
              <w:t>Coram :</w:t>
            </w:r>
          </w:p>
        </w:tc>
        <w:tc>
          <w:tcPr>
            <w:tcW w:w="4457" w:type="pct"/>
            <w:gridSpan w:val="3"/>
          </w:tcPr>
          <w:p w:rsidR="00B65BA0" w:rsidRDefault="00B66AE9" w:rsidP="00B65BA0">
            <w:pPr>
              <w:pStyle w:val="SCCLsocParty"/>
              <w:jc w:val="both"/>
              <w:rPr>
                <w:rFonts w:eastAsiaTheme="minorEastAsia"/>
                <w:sz w:val="20"/>
                <w:szCs w:val="20"/>
              </w:rPr>
            </w:pPr>
            <w:r w:rsidRPr="00F85414">
              <w:rPr>
                <w:rFonts w:eastAsiaTheme="minorEastAsia"/>
                <w:sz w:val="20"/>
                <w:szCs w:val="20"/>
                <w:lang w:val="fr-FR"/>
              </w:rPr>
              <w:t xml:space="preserve">La juge en chef </w:t>
            </w:r>
            <w:proofErr w:type="spellStart"/>
            <w:r w:rsidRPr="00F85414">
              <w:rPr>
                <w:rFonts w:eastAsiaTheme="minorEastAsia"/>
                <w:sz w:val="20"/>
                <w:szCs w:val="20"/>
                <w:lang w:val="fr-FR"/>
              </w:rPr>
              <w:t>McLachlin</w:t>
            </w:r>
            <w:proofErr w:type="spellEnd"/>
            <w:r w:rsidRPr="00F85414">
              <w:rPr>
                <w:rFonts w:eastAsiaTheme="minorEastAsia"/>
                <w:sz w:val="20"/>
                <w:szCs w:val="20"/>
                <w:lang w:val="fr-FR"/>
              </w:rPr>
              <w:t xml:space="preserve"> et les juges Abella, </w:t>
            </w:r>
            <w:proofErr w:type="spellStart"/>
            <w:r w:rsidRPr="00F85414">
              <w:rPr>
                <w:rFonts w:eastAsiaTheme="minorEastAsia"/>
                <w:sz w:val="20"/>
                <w:szCs w:val="20"/>
              </w:rPr>
              <w:t>Moldaver</w:t>
            </w:r>
            <w:proofErr w:type="spellEnd"/>
            <w:r w:rsidRPr="00F85414">
              <w:rPr>
                <w:rFonts w:eastAsiaTheme="minorEastAsia"/>
                <w:sz w:val="20"/>
                <w:szCs w:val="20"/>
              </w:rPr>
              <w:t xml:space="preserve">, </w:t>
            </w:r>
            <w:proofErr w:type="spellStart"/>
            <w:r w:rsidRPr="00F85414">
              <w:rPr>
                <w:rFonts w:eastAsiaTheme="minorEastAsia"/>
                <w:sz w:val="20"/>
                <w:szCs w:val="20"/>
              </w:rPr>
              <w:t>Karakatsanis</w:t>
            </w:r>
            <w:proofErr w:type="spellEnd"/>
            <w:r w:rsidRPr="00F85414">
              <w:rPr>
                <w:rFonts w:eastAsiaTheme="minorEastAsia"/>
                <w:sz w:val="20"/>
                <w:szCs w:val="20"/>
              </w:rPr>
              <w:t>, Wagner, Gascon, Côté, Brown et Rowe</w:t>
            </w:r>
          </w:p>
          <w:p w:rsidR="00B66AE9" w:rsidRPr="00B66AE9" w:rsidRDefault="00B66AE9" w:rsidP="00B66AE9">
            <w:pPr>
              <w:rPr>
                <w:lang w:val="fr-CA"/>
              </w:rPr>
            </w:pPr>
          </w:p>
        </w:tc>
      </w:tr>
      <w:tr w:rsidR="00B65BA0" w:rsidRPr="00E7387C" w:rsidTr="00B65BA0">
        <w:tc>
          <w:tcPr>
            <w:tcW w:w="5000" w:type="pct"/>
            <w:gridSpan w:val="4"/>
          </w:tcPr>
          <w:p w:rsidR="00B65BA0" w:rsidRDefault="00B66AE9" w:rsidP="00B65BA0">
            <w:pPr>
              <w:pStyle w:val="SCCLsocParty"/>
              <w:jc w:val="both"/>
              <w:rPr>
                <w:sz w:val="20"/>
                <w:szCs w:val="20"/>
              </w:rPr>
            </w:pPr>
            <w:r w:rsidRPr="00F85414">
              <w:rPr>
                <w:sz w:val="20"/>
                <w:szCs w:val="20"/>
              </w:rPr>
              <w:t>La demande d’autorisation d’appel de l’arrêt de la Cour d’appel de l’Alberta (Edmonton), numéro 1503-0230-AC, 2016 ABCA 257, daté du 7 septembre 2016, est rejetée avec dépens en faveur de l’intimée.</w:t>
            </w:r>
          </w:p>
          <w:p w:rsidR="00B66AE9" w:rsidRPr="00B66AE9" w:rsidRDefault="00B66AE9" w:rsidP="00B66AE9">
            <w:pPr>
              <w:rPr>
                <w:lang w:val="fr-CA"/>
              </w:rPr>
            </w:pPr>
          </w:p>
        </w:tc>
      </w:tr>
      <w:tr w:rsidR="00B65BA0" w:rsidRPr="00E7387C" w:rsidTr="00B65BA0">
        <w:tc>
          <w:tcPr>
            <w:tcW w:w="5000" w:type="pct"/>
            <w:gridSpan w:val="4"/>
          </w:tcPr>
          <w:p w:rsidR="00B65BA0" w:rsidRPr="00E40721" w:rsidRDefault="00B65BA0" w:rsidP="00B65BA0">
            <w:pPr>
              <w:jc w:val="both"/>
              <w:rPr>
                <w:sz w:val="20"/>
                <w:lang w:val="fr-CA"/>
              </w:rPr>
            </w:pPr>
            <w:r w:rsidRPr="00E40721">
              <w:rPr>
                <w:sz w:val="20"/>
                <w:lang w:val="fr-CA"/>
              </w:rPr>
              <w:t xml:space="preserve">Procédure civile — Appels — Le demandeur fournit de l’équipement et des services de retenue et de récupération du pétrole déversé accidentellement </w:t>
            </w:r>
            <w:r w:rsidRPr="00E40721">
              <w:rPr>
                <w:rStyle w:val="italic1"/>
                <w:color w:val="000000"/>
                <w:sz w:val="20"/>
                <w:lang w:val="fr-CA"/>
              </w:rPr>
              <w:t>— L’intimée engageait le demandeur à l’occasion pour des opérations de nettoyage de pétrole déversé accidentellement —</w:t>
            </w:r>
            <w:r w:rsidRPr="00E40721">
              <w:rPr>
                <w:sz w:val="20"/>
                <w:lang w:val="fr-CA"/>
              </w:rPr>
              <w:t xml:space="preserve"> L’intimée a obtenu son adhésion à une organisation coopérative, lui fournissant sans frais de l’équipement de retenue et récupération du pétrole déversé accidentellement — L’équipement fourni à l’intimée ne comprend pas de personnel compétent — Sans personnel compétent, l’intimée a pris la décision déraisonnable de mettre les travailleurs à risque — Les personnes morales ne peuvent pas prendre de décisions déraisonnables.</w:t>
            </w:r>
          </w:p>
        </w:tc>
      </w:tr>
      <w:tr w:rsidR="00B65BA0" w:rsidRPr="00E7387C" w:rsidTr="00B65BA0">
        <w:tc>
          <w:tcPr>
            <w:tcW w:w="5000" w:type="pct"/>
            <w:gridSpan w:val="4"/>
          </w:tcPr>
          <w:p w:rsidR="00B65BA0" w:rsidRPr="00E40721" w:rsidRDefault="00B65BA0" w:rsidP="00B65BA0">
            <w:pPr>
              <w:jc w:val="both"/>
              <w:rPr>
                <w:sz w:val="20"/>
                <w:lang w:val="fr-CA"/>
              </w:rPr>
            </w:pPr>
          </w:p>
        </w:tc>
      </w:tr>
      <w:tr w:rsidR="00B65BA0" w:rsidRPr="00E7387C" w:rsidTr="00B65BA0">
        <w:tc>
          <w:tcPr>
            <w:tcW w:w="5000" w:type="pct"/>
            <w:gridSpan w:val="4"/>
          </w:tcPr>
          <w:p w:rsidR="00B65BA0" w:rsidRPr="00E40721" w:rsidRDefault="00B65BA0" w:rsidP="00B65BA0">
            <w:pPr>
              <w:jc w:val="both"/>
              <w:rPr>
                <w:sz w:val="20"/>
                <w:lang w:val="fr-CA"/>
              </w:rPr>
            </w:pPr>
            <w:r w:rsidRPr="00E40721">
              <w:rPr>
                <w:sz w:val="20"/>
                <w:lang w:val="fr-CA"/>
              </w:rPr>
              <w:t xml:space="preserve">Le demandeur, M. Shelby Scott Kilpatrick, fournit de l’équipement et des services pour les opérations de nettoyage et de récupération à la suite de déversements de pétrole et d’autres catastrophes. L’intimée Canadian Natural </w:t>
            </w:r>
            <w:proofErr w:type="spellStart"/>
            <w:r w:rsidRPr="00E40721">
              <w:rPr>
                <w:sz w:val="20"/>
                <w:lang w:val="fr-CA"/>
              </w:rPr>
              <w:t>Resources</w:t>
            </w:r>
            <w:proofErr w:type="spellEnd"/>
            <w:r w:rsidRPr="00E40721">
              <w:rPr>
                <w:sz w:val="20"/>
                <w:lang w:val="fr-CA"/>
              </w:rPr>
              <w:t xml:space="preserve"> Limited (« CNR ») embauchait à l’occasion M. Kilpatrick à cette fin. CNR est alors devenue membre de Western Canadian Spill Services, permettant à CNR de louer sans frais de l’équipement semblable. En conséquence, CNR a décidé de ne plus embaucher M. Kilpatrick. Le 8 juin 2015, M. Kilpatrick a déposé une déclaration sollicitant des dommages-intérêts pour les pertes financières subies à la suite de ce changement apporté aux pratiques commerciales et alléguant que CNR faisait fonctionner son équipement de manière dangereuse. CNR a présenté une requête en radiation de l’action parce qu’elle ne révèle aucune cause d’action raisonnable, en application de la règle 3.68 des </w:t>
            </w:r>
            <w:r w:rsidRPr="00E40721">
              <w:rPr>
                <w:i/>
                <w:sz w:val="20"/>
                <w:lang w:val="fr-CA"/>
              </w:rPr>
              <w:t xml:space="preserve">Alberta </w:t>
            </w:r>
            <w:proofErr w:type="spellStart"/>
            <w:r w:rsidRPr="00E40721">
              <w:rPr>
                <w:i/>
                <w:sz w:val="20"/>
                <w:lang w:val="fr-CA"/>
              </w:rPr>
              <w:t>Rules</w:t>
            </w:r>
            <w:proofErr w:type="spellEnd"/>
            <w:r w:rsidRPr="00E40721">
              <w:rPr>
                <w:i/>
                <w:sz w:val="20"/>
                <w:lang w:val="fr-CA"/>
              </w:rPr>
              <w:t xml:space="preserve"> of Court</w:t>
            </w:r>
            <w:r w:rsidRPr="00E40721">
              <w:rPr>
                <w:sz w:val="20"/>
                <w:lang w:val="fr-CA"/>
              </w:rPr>
              <w:t>.</w:t>
            </w:r>
          </w:p>
          <w:p w:rsidR="00B65BA0" w:rsidRPr="00E40721" w:rsidRDefault="00B65BA0" w:rsidP="00B65BA0">
            <w:pPr>
              <w:jc w:val="both"/>
              <w:rPr>
                <w:sz w:val="20"/>
                <w:lang w:val="fr-CA"/>
              </w:rPr>
            </w:pPr>
          </w:p>
          <w:p w:rsidR="00B65BA0" w:rsidRPr="00E40721" w:rsidRDefault="00B65BA0" w:rsidP="00B65BA0">
            <w:pPr>
              <w:jc w:val="both"/>
              <w:rPr>
                <w:sz w:val="20"/>
                <w:lang w:val="fr-CA"/>
              </w:rPr>
            </w:pPr>
            <w:r w:rsidRPr="00E40721">
              <w:rPr>
                <w:sz w:val="20"/>
                <w:lang w:val="fr-CA"/>
              </w:rPr>
              <w:t>Le 9 juillet 2015, le protonotaire Smart de la Cour du Banc de la Reine de l’Alberta a accueilli la requête de CNR et a rejeté la demande de M. Kilpatrick dans son entièreté parce qu’elle ne révèle aucune cause d’action raisonnable. Ce jugement a été confirmé en appel à un juge siégeant en cabinet de la Cour du Banc de la Reine le 6 août 2015 et par la Cour d’appel le 7 septembre 2016.</w:t>
            </w:r>
          </w:p>
          <w:p w:rsidR="00B65BA0" w:rsidRPr="00E40721" w:rsidRDefault="00B65BA0" w:rsidP="00B65BA0">
            <w:pPr>
              <w:jc w:val="both"/>
              <w:rPr>
                <w:sz w:val="20"/>
                <w:lang w:val="fr-CA"/>
              </w:rPr>
            </w:pPr>
          </w:p>
        </w:tc>
      </w:tr>
      <w:tr w:rsidR="00B65BA0" w:rsidRPr="00E40721" w:rsidTr="00B65BA0">
        <w:tc>
          <w:tcPr>
            <w:tcW w:w="2427" w:type="pct"/>
            <w:gridSpan w:val="2"/>
          </w:tcPr>
          <w:p w:rsidR="00B65BA0" w:rsidRPr="00E40721" w:rsidRDefault="00B65BA0" w:rsidP="00B65BA0">
            <w:pPr>
              <w:jc w:val="both"/>
              <w:rPr>
                <w:sz w:val="20"/>
                <w:lang w:val="fr-CA"/>
              </w:rPr>
            </w:pPr>
            <w:r w:rsidRPr="00E40721">
              <w:rPr>
                <w:sz w:val="20"/>
                <w:lang w:val="fr-CA"/>
              </w:rPr>
              <w:t>9 juillet 2015</w:t>
            </w:r>
          </w:p>
          <w:p w:rsidR="00B65BA0" w:rsidRPr="00E40721" w:rsidRDefault="00B65BA0" w:rsidP="00B65BA0">
            <w:pPr>
              <w:jc w:val="both"/>
              <w:rPr>
                <w:sz w:val="20"/>
                <w:lang w:val="fr-CA"/>
              </w:rPr>
            </w:pPr>
            <w:r w:rsidRPr="00E40721">
              <w:rPr>
                <w:sz w:val="20"/>
                <w:lang w:val="fr-CA"/>
              </w:rPr>
              <w:t>Cour du Banc de la Reine de l’Alberta</w:t>
            </w:r>
          </w:p>
          <w:p w:rsidR="00B65BA0" w:rsidRPr="00E40721" w:rsidRDefault="00B65BA0" w:rsidP="00B65BA0">
            <w:pPr>
              <w:jc w:val="both"/>
              <w:rPr>
                <w:sz w:val="20"/>
                <w:lang w:val="fr-CA"/>
              </w:rPr>
            </w:pPr>
            <w:r w:rsidRPr="00E40721">
              <w:rPr>
                <w:sz w:val="20"/>
                <w:lang w:val="fr-CA"/>
              </w:rPr>
              <w:t>(Protonotaire Smart)</w:t>
            </w:r>
          </w:p>
          <w:p w:rsidR="00B65BA0" w:rsidRPr="00E40721" w:rsidRDefault="00B65BA0" w:rsidP="00B65BA0">
            <w:pPr>
              <w:jc w:val="both"/>
              <w:rPr>
                <w:sz w:val="20"/>
                <w:lang w:val="fr-CA"/>
              </w:rPr>
            </w:pPr>
            <w:r w:rsidRPr="00E40721">
              <w:rPr>
                <w:sz w:val="20"/>
                <w:lang w:val="fr-CA"/>
              </w:rPr>
              <w:t>N</w:t>
            </w:r>
            <w:r w:rsidRPr="00E40721">
              <w:rPr>
                <w:sz w:val="20"/>
                <w:vertAlign w:val="superscript"/>
                <w:lang w:val="fr-CA"/>
              </w:rPr>
              <w:t>o</w:t>
            </w:r>
            <w:r w:rsidRPr="00E40721">
              <w:rPr>
                <w:sz w:val="20"/>
                <w:lang w:val="fr-CA"/>
              </w:rPr>
              <w:t xml:space="preserve"> du dossier de la Cour 1503 08505</w:t>
            </w:r>
          </w:p>
          <w:p w:rsidR="00B65BA0" w:rsidRPr="00E40721" w:rsidRDefault="00B65BA0" w:rsidP="00B65BA0">
            <w:pPr>
              <w:jc w:val="both"/>
              <w:rPr>
                <w:sz w:val="20"/>
                <w:lang w:val="fr-CA"/>
              </w:rPr>
            </w:pPr>
          </w:p>
        </w:tc>
        <w:tc>
          <w:tcPr>
            <w:tcW w:w="243" w:type="pct"/>
          </w:tcPr>
          <w:p w:rsidR="00B65BA0" w:rsidRPr="00E40721" w:rsidRDefault="00B65BA0" w:rsidP="00B65BA0">
            <w:pPr>
              <w:jc w:val="both"/>
              <w:rPr>
                <w:sz w:val="20"/>
                <w:lang w:val="fr-CA"/>
              </w:rPr>
            </w:pPr>
          </w:p>
        </w:tc>
        <w:tc>
          <w:tcPr>
            <w:tcW w:w="2330" w:type="pct"/>
          </w:tcPr>
          <w:p w:rsidR="00B65BA0" w:rsidRPr="00E40721" w:rsidRDefault="00B65BA0" w:rsidP="00B65BA0">
            <w:pPr>
              <w:jc w:val="both"/>
              <w:rPr>
                <w:sz w:val="20"/>
                <w:lang w:val="fr-CA"/>
              </w:rPr>
            </w:pPr>
            <w:r w:rsidRPr="00E40721">
              <w:rPr>
                <w:sz w:val="20"/>
                <w:lang w:val="fr-CA"/>
              </w:rPr>
              <w:t>Rejet de la déclaration</w:t>
            </w:r>
          </w:p>
          <w:p w:rsidR="00B65BA0" w:rsidRPr="00E40721" w:rsidRDefault="00B65BA0" w:rsidP="00B65BA0">
            <w:pPr>
              <w:jc w:val="both"/>
              <w:rPr>
                <w:sz w:val="20"/>
                <w:lang w:val="fr-CA"/>
              </w:rPr>
            </w:pPr>
          </w:p>
        </w:tc>
      </w:tr>
    </w:tbl>
    <w:p w:rsidR="00B66AE9" w:rsidRDefault="00B66AE9">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65BA0" w:rsidRPr="00E7387C" w:rsidTr="00B65BA0">
        <w:tc>
          <w:tcPr>
            <w:tcW w:w="2427" w:type="pct"/>
          </w:tcPr>
          <w:p w:rsidR="00B65BA0" w:rsidRPr="00E40721" w:rsidRDefault="00B65BA0" w:rsidP="00B65BA0">
            <w:pPr>
              <w:jc w:val="both"/>
              <w:rPr>
                <w:sz w:val="20"/>
                <w:lang w:val="fr-CA"/>
              </w:rPr>
            </w:pPr>
            <w:r w:rsidRPr="00E40721">
              <w:rPr>
                <w:sz w:val="20"/>
                <w:lang w:val="fr-CA"/>
              </w:rPr>
              <w:lastRenderedPageBreak/>
              <w:t>6 août 2015</w:t>
            </w:r>
          </w:p>
          <w:p w:rsidR="00B65BA0" w:rsidRPr="00E40721" w:rsidRDefault="00B65BA0" w:rsidP="00B65BA0">
            <w:pPr>
              <w:jc w:val="both"/>
              <w:rPr>
                <w:sz w:val="20"/>
                <w:lang w:val="fr-CA"/>
              </w:rPr>
            </w:pPr>
            <w:r w:rsidRPr="00E40721">
              <w:rPr>
                <w:sz w:val="20"/>
                <w:lang w:val="fr-CA"/>
              </w:rPr>
              <w:t>Cour du Banc de la Reine de l’Alberta</w:t>
            </w:r>
          </w:p>
          <w:p w:rsidR="00B65BA0" w:rsidRPr="00E40721" w:rsidRDefault="00B65BA0" w:rsidP="00B65BA0">
            <w:pPr>
              <w:jc w:val="both"/>
              <w:rPr>
                <w:sz w:val="20"/>
                <w:lang w:val="fr-CA"/>
              </w:rPr>
            </w:pPr>
            <w:r w:rsidRPr="00E40721">
              <w:rPr>
                <w:sz w:val="20"/>
                <w:lang w:val="fr-CA"/>
              </w:rPr>
              <w:t>(Juge Lee)</w:t>
            </w:r>
          </w:p>
          <w:p w:rsidR="00B65BA0" w:rsidRPr="00E40721" w:rsidRDefault="00B65BA0" w:rsidP="00B65BA0">
            <w:pPr>
              <w:jc w:val="both"/>
              <w:rPr>
                <w:sz w:val="20"/>
                <w:lang w:val="fr-CA"/>
              </w:rPr>
            </w:pPr>
            <w:r w:rsidRPr="00E40721">
              <w:rPr>
                <w:sz w:val="20"/>
                <w:lang w:val="fr-CA"/>
              </w:rPr>
              <w:t>N</w:t>
            </w:r>
            <w:r w:rsidRPr="00E40721">
              <w:rPr>
                <w:sz w:val="20"/>
                <w:vertAlign w:val="superscript"/>
                <w:lang w:val="fr-CA"/>
              </w:rPr>
              <w:t>o</w:t>
            </w:r>
            <w:r w:rsidRPr="00E40721">
              <w:rPr>
                <w:sz w:val="20"/>
                <w:lang w:val="fr-CA"/>
              </w:rPr>
              <w:t xml:space="preserve"> du dossier de la Cour 1503-08505 </w:t>
            </w:r>
          </w:p>
          <w:p w:rsidR="00B65BA0" w:rsidRPr="00E40721" w:rsidRDefault="00B65BA0" w:rsidP="00B65BA0">
            <w:pPr>
              <w:jc w:val="both"/>
              <w:rPr>
                <w:sz w:val="20"/>
                <w:lang w:val="fr-CA"/>
              </w:rPr>
            </w:pPr>
          </w:p>
        </w:tc>
        <w:tc>
          <w:tcPr>
            <w:tcW w:w="243" w:type="pct"/>
          </w:tcPr>
          <w:p w:rsidR="00B65BA0" w:rsidRPr="00E40721" w:rsidRDefault="00B65BA0" w:rsidP="00B65BA0">
            <w:pPr>
              <w:jc w:val="both"/>
              <w:rPr>
                <w:sz w:val="20"/>
                <w:lang w:val="fr-CA"/>
              </w:rPr>
            </w:pPr>
          </w:p>
        </w:tc>
        <w:tc>
          <w:tcPr>
            <w:tcW w:w="2330" w:type="pct"/>
          </w:tcPr>
          <w:p w:rsidR="00B65BA0" w:rsidRPr="00E40721" w:rsidRDefault="00B65BA0" w:rsidP="00B65BA0">
            <w:pPr>
              <w:jc w:val="both"/>
              <w:rPr>
                <w:sz w:val="20"/>
                <w:lang w:val="fr-CA"/>
              </w:rPr>
            </w:pPr>
            <w:r w:rsidRPr="00E40721">
              <w:rPr>
                <w:sz w:val="20"/>
                <w:lang w:val="fr-CA"/>
              </w:rPr>
              <w:t xml:space="preserve">Rejet de l’appel de l’ordonnance du 9 juillet 2016 </w:t>
            </w:r>
          </w:p>
          <w:p w:rsidR="00B65BA0" w:rsidRPr="00E40721" w:rsidRDefault="00B65BA0" w:rsidP="00B65BA0">
            <w:pPr>
              <w:jc w:val="both"/>
              <w:rPr>
                <w:sz w:val="20"/>
                <w:lang w:val="fr-CA"/>
              </w:rPr>
            </w:pPr>
          </w:p>
        </w:tc>
      </w:tr>
      <w:tr w:rsidR="00B65BA0" w:rsidRPr="00E7387C" w:rsidTr="00B65BA0">
        <w:tc>
          <w:tcPr>
            <w:tcW w:w="2427" w:type="pct"/>
          </w:tcPr>
          <w:p w:rsidR="00B65BA0" w:rsidRPr="00E40721" w:rsidRDefault="00B65BA0" w:rsidP="00B65BA0">
            <w:pPr>
              <w:jc w:val="both"/>
              <w:rPr>
                <w:sz w:val="20"/>
                <w:lang w:val="fr-CA"/>
              </w:rPr>
            </w:pPr>
            <w:r w:rsidRPr="00E40721">
              <w:rPr>
                <w:sz w:val="20"/>
                <w:lang w:val="fr-CA"/>
              </w:rPr>
              <w:t>7 septembre 2016</w:t>
            </w:r>
          </w:p>
          <w:p w:rsidR="00B65BA0" w:rsidRPr="00E40721" w:rsidRDefault="00B65BA0" w:rsidP="00B65BA0">
            <w:pPr>
              <w:jc w:val="both"/>
              <w:rPr>
                <w:sz w:val="20"/>
                <w:lang w:val="fr-CA"/>
              </w:rPr>
            </w:pPr>
            <w:r w:rsidRPr="00E40721">
              <w:rPr>
                <w:sz w:val="20"/>
                <w:lang w:val="fr-CA"/>
              </w:rPr>
              <w:t>Cour d’appel de l’Alberta (Edmonton)</w:t>
            </w:r>
          </w:p>
          <w:p w:rsidR="00B65BA0" w:rsidRPr="00E40721" w:rsidRDefault="00B65BA0" w:rsidP="00B65BA0">
            <w:pPr>
              <w:jc w:val="both"/>
              <w:rPr>
                <w:sz w:val="20"/>
                <w:lang w:val="fr-CA"/>
              </w:rPr>
            </w:pPr>
            <w:r w:rsidRPr="00E40721">
              <w:rPr>
                <w:sz w:val="20"/>
                <w:lang w:val="fr-CA"/>
              </w:rPr>
              <w:t>(Juge en chef Fraser, juges Watson et Martin)</w:t>
            </w:r>
          </w:p>
          <w:p w:rsidR="00B65BA0" w:rsidRPr="00E40721" w:rsidRDefault="00B65BA0" w:rsidP="00B65BA0">
            <w:pPr>
              <w:jc w:val="both"/>
              <w:rPr>
                <w:sz w:val="20"/>
                <w:lang w:val="fr-CA"/>
              </w:rPr>
            </w:pPr>
            <w:r w:rsidRPr="00E40721">
              <w:rPr>
                <w:sz w:val="20"/>
                <w:lang w:val="fr-CA"/>
              </w:rPr>
              <w:t>N</w:t>
            </w:r>
            <w:r w:rsidRPr="00E40721">
              <w:rPr>
                <w:sz w:val="20"/>
                <w:vertAlign w:val="superscript"/>
                <w:lang w:val="fr-CA"/>
              </w:rPr>
              <w:t>o</w:t>
            </w:r>
            <w:r w:rsidRPr="00E40721">
              <w:rPr>
                <w:sz w:val="20"/>
                <w:lang w:val="fr-CA"/>
              </w:rPr>
              <w:t xml:space="preserve"> du dossier de la Cour 1503-0230-AC </w:t>
            </w:r>
          </w:p>
          <w:p w:rsidR="00B65BA0" w:rsidRPr="00E40721" w:rsidRDefault="00B65BA0" w:rsidP="00B65BA0">
            <w:pPr>
              <w:jc w:val="both"/>
              <w:rPr>
                <w:sz w:val="20"/>
                <w:lang w:val="fr-CA"/>
              </w:rPr>
            </w:pPr>
          </w:p>
        </w:tc>
        <w:tc>
          <w:tcPr>
            <w:tcW w:w="243" w:type="pct"/>
          </w:tcPr>
          <w:p w:rsidR="00B65BA0" w:rsidRPr="00E40721" w:rsidRDefault="00B65BA0" w:rsidP="00B65BA0">
            <w:pPr>
              <w:jc w:val="both"/>
              <w:rPr>
                <w:sz w:val="20"/>
                <w:lang w:val="fr-CA"/>
              </w:rPr>
            </w:pPr>
          </w:p>
        </w:tc>
        <w:tc>
          <w:tcPr>
            <w:tcW w:w="2330" w:type="pct"/>
          </w:tcPr>
          <w:p w:rsidR="00B65BA0" w:rsidRPr="00E40721" w:rsidRDefault="00B65BA0" w:rsidP="00B65BA0">
            <w:pPr>
              <w:jc w:val="both"/>
              <w:rPr>
                <w:sz w:val="20"/>
                <w:lang w:val="fr-CA"/>
              </w:rPr>
            </w:pPr>
            <w:r w:rsidRPr="00E40721">
              <w:rPr>
                <w:sz w:val="20"/>
                <w:lang w:val="fr-CA"/>
              </w:rPr>
              <w:t xml:space="preserve">Rejet de l’appel de l’ordonnance du 6 août 2015 </w:t>
            </w:r>
          </w:p>
          <w:p w:rsidR="00B65BA0" w:rsidRPr="00E40721" w:rsidRDefault="00B65BA0" w:rsidP="00B65BA0">
            <w:pPr>
              <w:jc w:val="both"/>
              <w:rPr>
                <w:sz w:val="20"/>
                <w:lang w:val="fr-CA"/>
              </w:rPr>
            </w:pPr>
          </w:p>
        </w:tc>
      </w:tr>
      <w:tr w:rsidR="00B65BA0" w:rsidRPr="00E7387C" w:rsidTr="00B65BA0">
        <w:tc>
          <w:tcPr>
            <w:tcW w:w="2427" w:type="pct"/>
          </w:tcPr>
          <w:p w:rsidR="00B65BA0" w:rsidRPr="00E40721" w:rsidRDefault="00B65BA0" w:rsidP="00B65BA0">
            <w:pPr>
              <w:jc w:val="both"/>
              <w:rPr>
                <w:sz w:val="20"/>
                <w:lang w:val="fr-CA"/>
              </w:rPr>
            </w:pPr>
            <w:r w:rsidRPr="00E40721">
              <w:rPr>
                <w:sz w:val="20"/>
                <w:lang w:val="fr-CA"/>
              </w:rPr>
              <w:t>4 novembre 2016</w:t>
            </w:r>
          </w:p>
          <w:p w:rsidR="00B65BA0" w:rsidRPr="00E40721" w:rsidRDefault="00B65BA0" w:rsidP="00B65BA0">
            <w:pPr>
              <w:jc w:val="both"/>
              <w:rPr>
                <w:sz w:val="20"/>
                <w:lang w:val="fr-CA"/>
              </w:rPr>
            </w:pPr>
            <w:r w:rsidRPr="00E40721">
              <w:rPr>
                <w:sz w:val="20"/>
                <w:lang w:val="fr-CA"/>
              </w:rPr>
              <w:t>Cour suprême du Canada</w:t>
            </w:r>
          </w:p>
        </w:tc>
        <w:tc>
          <w:tcPr>
            <w:tcW w:w="243" w:type="pct"/>
          </w:tcPr>
          <w:p w:rsidR="00B65BA0" w:rsidRPr="00E40721" w:rsidRDefault="00B65BA0" w:rsidP="00B65BA0">
            <w:pPr>
              <w:jc w:val="both"/>
              <w:rPr>
                <w:sz w:val="20"/>
                <w:lang w:val="fr-CA"/>
              </w:rPr>
            </w:pPr>
          </w:p>
        </w:tc>
        <w:tc>
          <w:tcPr>
            <w:tcW w:w="2330" w:type="pct"/>
          </w:tcPr>
          <w:p w:rsidR="00B65BA0" w:rsidRPr="00E40721" w:rsidRDefault="00B65BA0" w:rsidP="00B65BA0">
            <w:pPr>
              <w:jc w:val="both"/>
              <w:rPr>
                <w:sz w:val="20"/>
                <w:lang w:val="fr-CA"/>
              </w:rPr>
            </w:pPr>
            <w:r w:rsidRPr="00E40721">
              <w:rPr>
                <w:sz w:val="20"/>
                <w:lang w:val="fr-CA"/>
              </w:rPr>
              <w:t>Dépôt de la demande d’autorisation d’appel</w:t>
            </w:r>
          </w:p>
        </w:tc>
      </w:tr>
    </w:tbl>
    <w:p w:rsidR="00B65BA0" w:rsidRPr="00E40721" w:rsidRDefault="00E7387C" w:rsidP="00B65BA0">
      <w:pPr>
        <w:jc w:val="both"/>
        <w:rPr>
          <w:sz w:val="20"/>
          <w:lang w:val="fr-CA"/>
        </w:rPr>
      </w:pPr>
      <w:r>
        <w:rPr>
          <w:sz w:val="20"/>
          <w:szCs w:val="20"/>
        </w:rPr>
        <w:pict>
          <v:rect id="_x0000_i1042" style="width:2in;height:1pt" o:hrpct="0" o:hralign="center" o:hrstd="t" o:hrnoshade="t" o:hr="t" fillcolor="black [3213]" stroked="f"/>
        </w:pict>
      </w:r>
    </w:p>
    <w:p w:rsidR="00B65BA0" w:rsidRPr="00E40721" w:rsidRDefault="00B65BA0" w:rsidP="00B65BA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65BA0" w:rsidRPr="00E40721" w:rsidTr="00B65BA0">
        <w:tc>
          <w:tcPr>
            <w:tcW w:w="543" w:type="pct"/>
          </w:tcPr>
          <w:p w:rsidR="00B65BA0" w:rsidRPr="00E40721" w:rsidRDefault="00B65BA0" w:rsidP="00B65BA0">
            <w:pPr>
              <w:jc w:val="both"/>
              <w:rPr>
                <w:sz w:val="20"/>
              </w:rPr>
            </w:pPr>
            <w:r w:rsidRPr="00E40721">
              <w:rPr>
                <w:rStyle w:val="SCCFileNumberChar"/>
                <w:sz w:val="20"/>
                <w:szCs w:val="20"/>
              </w:rPr>
              <w:t>37319</w:t>
            </w:r>
          </w:p>
        </w:tc>
        <w:tc>
          <w:tcPr>
            <w:tcW w:w="4457" w:type="pct"/>
            <w:gridSpan w:val="3"/>
          </w:tcPr>
          <w:p w:rsidR="003B3735" w:rsidRPr="003B3735" w:rsidRDefault="00B65BA0" w:rsidP="003B3735">
            <w:pPr>
              <w:pStyle w:val="SCCLsocParty"/>
              <w:jc w:val="both"/>
              <w:rPr>
                <w:sz w:val="20"/>
                <w:lang w:val="en-US"/>
              </w:rPr>
            </w:pPr>
            <w:r w:rsidRPr="00B65BA0">
              <w:rPr>
                <w:b/>
                <w:sz w:val="20"/>
                <w:szCs w:val="20"/>
                <w:lang w:val="en-US"/>
              </w:rPr>
              <w:t xml:space="preserve">FCA Canada Inc. v. Fishman </w:t>
            </w:r>
            <w:proofErr w:type="spellStart"/>
            <w:r w:rsidRPr="00B65BA0">
              <w:rPr>
                <w:b/>
                <w:sz w:val="20"/>
                <w:szCs w:val="20"/>
                <w:lang w:val="en-US"/>
              </w:rPr>
              <w:t>Flanz</w:t>
            </w:r>
            <w:proofErr w:type="spellEnd"/>
            <w:r w:rsidRPr="00B65BA0">
              <w:rPr>
                <w:b/>
                <w:sz w:val="20"/>
                <w:szCs w:val="20"/>
                <w:lang w:val="en-US"/>
              </w:rPr>
              <w:t xml:space="preserve"> </w:t>
            </w:r>
            <w:proofErr w:type="spellStart"/>
            <w:r w:rsidRPr="00B65BA0">
              <w:rPr>
                <w:b/>
                <w:sz w:val="20"/>
                <w:szCs w:val="20"/>
                <w:lang w:val="en-US"/>
              </w:rPr>
              <w:t>Meland</w:t>
            </w:r>
            <w:proofErr w:type="spellEnd"/>
            <w:r w:rsidRPr="00B65BA0">
              <w:rPr>
                <w:b/>
                <w:sz w:val="20"/>
                <w:szCs w:val="20"/>
                <w:lang w:val="en-US"/>
              </w:rPr>
              <w:t xml:space="preserve"> </w:t>
            </w:r>
            <w:proofErr w:type="spellStart"/>
            <w:r w:rsidRPr="00B65BA0">
              <w:rPr>
                <w:b/>
                <w:sz w:val="20"/>
                <w:szCs w:val="20"/>
                <w:lang w:val="en-US"/>
              </w:rPr>
              <w:t>Paquin</w:t>
            </w:r>
            <w:proofErr w:type="spellEnd"/>
            <w:r w:rsidRPr="00B65BA0">
              <w:rPr>
                <w:b/>
                <w:sz w:val="20"/>
                <w:szCs w:val="20"/>
                <w:lang w:val="en-US"/>
              </w:rPr>
              <w:t xml:space="preserve"> LLP</w:t>
            </w:r>
            <w:r>
              <w:rPr>
                <w:b/>
                <w:sz w:val="20"/>
                <w:szCs w:val="20"/>
                <w:lang w:val="en-US"/>
              </w:rPr>
              <w:t xml:space="preserve"> </w:t>
            </w:r>
            <w:r w:rsidRPr="003B3735">
              <w:rPr>
                <w:sz w:val="20"/>
                <w:lang w:val="en-US"/>
              </w:rPr>
              <w:t>(Ont.) (Civil) (By Leave)</w:t>
            </w:r>
          </w:p>
        </w:tc>
      </w:tr>
      <w:tr w:rsidR="00B65BA0" w:rsidRPr="00E40721" w:rsidTr="00B65BA0">
        <w:tc>
          <w:tcPr>
            <w:tcW w:w="543" w:type="pct"/>
          </w:tcPr>
          <w:p w:rsidR="00B65BA0" w:rsidRPr="00E40721" w:rsidRDefault="00B65BA0" w:rsidP="00B65BA0">
            <w:pPr>
              <w:jc w:val="both"/>
              <w:rPr>
                <w:rStyle w:val="SCCFileNumberChar"/>
                <w:sz w:val="20"/>
                <w:szCs w:val="20"/>
              </w:rPr>
            </w:pPr>
            <w:r>
              <w:rPr>
                <w:rStyle w:val="SCCFileNumberChar"/>
                <w:sz w:val="20"/>
                <w:szCs w:val="20"/>
              </w:rPr>
              <w:t>Coram:</w:t>
            </w:r>
          </w:p>
        </w:tc>
        <w:tc>
          <w:tcPr>
            <w:tcW w:w="4457" w:type="pct"/>
            <w:gridSpan w:val="3"/>
          </w:tcPr>
          <w:p w:rsidR="00B65BA0" w:rsidRDefault="003B3735" w:rsidP="00B65BA0">
            <w:pPr>
              <w:pStyle w:val="SCCLsocParty"/>
              <w:jc w:val="both"/>
              <w:rPr>
                <w:rFonts w:eastAsiaTheme="minorEastAsia"/>
                <w:sz w:val="20"/>
                <w:szCs w:val="20"/>
                <w:lang w:val="en-US"/>
              </w:rPr>
            </w:pPr>
            <w:proofErr w:type="spellStart"/>
            <w:r w:rsidRPr="003B3735">
              <w:rPr>
                <w:rFonts w:eastAsiaTheme="minorEastAsia"/>
                <w:sz w:val="20"/>
                <w:szCs w:val="20"/>
                <w:lang w:val="en-US"/>
              </w:rPr>
              <w:t>McLachlin</w:t>
            </w:r>
            <w:proofErr w:type="spellEnd"/>
            <w:r w:rsidRPr="003B3735">
              <w:rPr>
                <w:rFonts w:eastAsiaTheme="minorEastAsia"/>
                <w:sz w:val="20"/>
                <w:szCs w:val="20"/>
                <w:lang w:val="en-US"/>
              </w:rPr>
              <w:t xml:space="preserve"> C.J. and </w:t>
            </w:r>
            <w:proofErr w:type="spellStart"/>
            <w:r w:rsidRPr="003B3735">
              <w:rPr>
                <w:rFonts w:eastAsiaTheme="minorEastAsia"/>
                <w:sz w:val="20"/>
                <w:szCs w:val="20"/>
                <w:lang w:val="en-US"/>
              </w:rPr>
              <w:t>Abella</w:t>
            </w:r>
            <w:proofErr w:type="spellEnd"/>
            <w:r w:rsidRPr="003B3735">
              <w:rPr>
                <w:rFonts w:eastAsiaTheme="minorEastAsia"/>
                <w:sz w:val="20"/>
                <w:szCs w:val="20"/>
                <w:lang w:val="en-US"/>
              </w:rPr>
              <w:t xml:space="preserve">, </w:t>
            </w:r>
            <w:proofErr w:type="spellStart"/>
            <w:r w:rsidRPr="003B3735">
              <w:rPr>
                <w:rFonts w:eastAsiaTheme="minorEastAsia"/>
                <w:sz w:val="20"/>
                <w:szCs w:val="20"/>
                <w:lang w:val="en-US"/>
              </w:rPr>
              <w:t>Moldaver</w:t>
            </w:r>
            <w:proofErr w:type="spellEnd"/>
            <w:r w:rsidRPr="003B3735">
              <w:rPr>
                <w:rFonts w:eastAsiaTheme="minorEastAsia"/>
                <w:sz w:val="20"/>
                <w:szCs w:val="20"/>
                <w:lang w:val="en-US"/>
              </w:rPr>
              <w:t xml:space="preserve">, </w:t>
            </w:r>
            <w:proofErr w:type="spellStart"/>
            <w:r w:rsidRPr="003B3735">
              <w:rPr>
                <w:rFonts w:eastAsiaTheme="minorEastAsia"/>
                <w:sz w:val="20"/>
                <w:szCs w:val="20"/>
                <w:lang w:val="en-US"/>
              </w:rPr>
              <w:t>Karakatsanis</w:t>
            </w:r>
            <w:proofErr w:type="spellEnd"/>
            <w:r w:rsidRPr="003B3735">
              <w:rPr>
                <w:rFonts w:eastAsiaTheme="minorEastAsia"/>
                <w:sz w:val="20"/>
                <w:szCs w:val="20"/>
                <w:lang w:val="en-US"/>
              </w:rPr>
              <w:t xml:space="preserve">, Wagner, </w:t>
            </w:r>
            <w:proofErr w:type="spellStart"/>
            <w:r w:rsidRPr="003B3735">
              <w:rPr>
                <w:rFonts w:eastAsiaTheme="minorEastAsia"/>
                <w:sz w:val="20"/>
                <w:szCs w:val="20"/>
                <w:lang w:val="en-US"/>
              </w:rPr>
              <w:t>Gascon</w:t>
            </w:r>
            <w:proofErr w:type="spellEnd"/>
            <w:r w:rsidRPr="003B3735">
              <w:rPr>
                <w:rFonts w:eastAsiaTheme="minorEastAsia"/>
                <w:sz w:val="20"/>
                <w:szCs w:val="20"/>
                <w:lang w:val="en-US"/>
              </w:rPr>
              <w:t xml:space="preserve">, </w:t>
            </w:r>
            <w:proofErr w:type="spellStart"/>
            <w:r w:rsidRPr="003B3735">
              <w:rPr>
                <w:rFonts w:eastAsiaTheme="minorEastAsia"/>
                <w:sz w:val="20"/>
                <w:szCs w:val="20"/>
                <w:lang w:val="en-US"/>
              </w:rPr>
              <w:t>Côté</w:t>
            </w:r>
            <w:proofErr w:type="spellEnd"/>
            <w:r w:rsidRPr="003B3735">
              <w:rPr>
                <w:rFonts w:eastAsiaTheme="minorEastAsia"/>
                <w:sz w:val="20"/>
                <w:szCs w:val="20"/>
                <w:lang w:val="en-US"/>
              </w:rPr>
              <w:t>, Brown and Rowe JJ.</w:t>
            </w:r>
          </w:p>
          <w:p w:rsidR="003B3735" w:rsidRPr="003B3735" w:rsidRDefault="003B3735" w:rsidP="003B3735">
            <w:pPr>
              <w:rPr>
                <w:lang w:val="en-US"/>
              </w:rPr>
            </w:pPr>
          </w:p>
        </w:tc>
      </w:tr>
      <w:tr w:rsidR="00B65BA0" w:rsidRPr="00E40721" w:rsidTr="00B65BA0">
        <w:tc>
          <w:tcPr>
            <w:tcW w:w="5000" w:type="pct"/>
            <w:gridSpan w:val="4"/>
          </w:tcPr>
          <w:p w:rsidR="00B65BA0" w:rsidRDefault="003B3735" w:rsidP="00B65BA0">
            <w:pPr>
              <w:pStyle w:val="SCCLsocParty"/>
              <w:jc w:val="both"/>
              <w:rPr>
                <w:sz w:val="20"/>
                <w:szCs w:val="20"/>
                <w:lang w:val="en-US"/>
              </w:rPr>
            </w:pPr>
            <w:r w:rsidRPr="003B3735">
              <w:rPr>
                <w:sz w:val="20"/>
                <w:szCs w:val="20"/>
                <w:lang w:val="en-US"/>
              </w:rPr>
              <w:t>The motion for an extension of time to serve and file the application for leave to appeal is granted.  The application for leave to appeal from the judgment of the Court of Appeal for Ontario, Number M46647, dated September 22, 2016, is dismissed with costs.</w:t>
            </w:r>
          </w:p>
          <w:p w:rsidR="003B3735" w:rsidRPr="003B3735" w:rsidRDefault="003B3735" w:rsidP="003B3735">
            <w:pPr>
              <w:rPr>
                <w:lang w:val="en-US"/>
              </w:rPr>
            </w:pPr>
          </w:p>
        </w:tc>
      </w:tr>
      <w:tr w:rsidR="00B65BA0" w:rsidRPr="00E40721" w:rsidTr="00B65BA0">
        <w:tc>
          <w:tcPr>
            <w:tcW w:w="5000" w:type="pct"/>
            <w:gridSpan w:val="4"/>
          </w:tcPr>
          <w:p w:rsidR="00B65BA0" w:rsidRPr="00E40721" w:rsidRDefault="00B65BA0" w:rsidP="00B65BA0">
            <w:pPr>
              <w:tabs>
                <w:tab w:val="left" w:pos="2400"/>
              </w:tabs>
              <w:jc w:val="both"/>
              <w:rPr>
                <w:sz w:val="20"/>
              </w:rPr>
            </w:pPr>
            <w:r w:rsidRPr="00E40721">
              <w:rPr>
                <w:sz w:val="20"/>
              </w:rPr>
              <w:t xml:space="preserve">Bankruptcy and insolvency – Order directing participating creditor to sign indemnity agreement in favour of law firm in connection with distribution of cost award – Does the court have the authority to grant an order in a </w:t>
            </w:r>
            <w:r w:rsidRPr="00E40721">
              <w:rPr>
                <w:i/>
                <w:sz w:val="20"/>
              </w:rPr>
              <w:t>Companies’ Creditors Arrangement Act</w:t>
            </w:r>
            <w:r w:rsidRPr="00E40721">
              <w:rPr>
                <w:sz w:val="20"/>
              </w:rPr>
              <w:t>, R.S.C. 1985, c. C-36 (CCAA) proceeding without consideration of the principles established at common law and equity regarding the grant of mandatory injunctive relief? – Is the Court permitted to grant mandatory orders under s. 11 of the CCAA, and if so, what are the parameters of the applicable test? – What are the limits, if any, on the scope of releases sought in CCAA proceedings outside the parameters of a proposed plan of compromise and arrangement?</w:t>
            </w:r>
          </w:p>
        </w:tc>
      </w:tr>
      <w:tr w:rsidR="00B65BA0" w:rsidRPr="00E40721" w:rsidTr="00B65BA0">
        <w:tc>
          <w:tcPr>
            <w:tcW w:w="5000" w:type="pct"/>
            <w:gridSpan w:val="4"/>
          </w:tcPr>
          <w:p w:rsidR="00B65BA0" w:rsidRPr="00E40721" w:rsidRDefault="00B65BA0" w:rsidP="00B65BA0">
            <w:pPr>
              <w:tabs>
                <w:tab w:val="left" w:pos="2400"/>
              </w:tabs>
              <w:jc w:val="both"/>
              <w:rPr>
                <w:sz w:val="20"/>
              </w:rPr>
            </w:pPr>
          </w:p>
        </w:tc>
      </w:tr>
      <w:tr w:rsidR="00B65BA0" w:rsidRPr="00E40721" w:rsidTr="00B65BA0">
        <w:tc>
          <w:tcPr>
            <w:tcW w:w="5000" w:type="pct"/>
            <w:gridSpan w:val="4"/>
          </w:tcPr>
          <w:p w:rsidR="00B65BA0" w:rsidRPr="00E40721" w:rsidRDefault="00B65BA0" w:rsidP="00B65BA0">
            <w:pPr>
              <w:jc w:val="both"/>
              <w:rPr>
                <w:sz w:val="20"/>
              </w:rPr>
            </w:pPr>
            <w:r w:rsidRPr="00E40721">
              <w:rPr>
                <w:sz w:val="20"/>
              </w:rPr>
              <w:t xml:space="preserve">The applicant FCA Canada Inc., formerly Chrysler Canada Inc., is one of the 22 participating creditors who paid the litigation costs of a class action in the Superior Court of Quebec. The action involved negligence claims against auditors who provided services to Castor Holdings Ltd., dating back over 20 years. The respondent law firm of Fishman </w:t>
            </w:r>
            <w:proofErr w:type="spellStart"/>
            <w:r w:rsidRPr="00E40721">
              <w:rPr>
                <w:sz w:val="20"/>
              </w:rPr>
              <w:t>Flanz</w:t>
            </w:r>
            <w:proofErr w:type="spellEnd"/>
            <w:r w:rsidRPr="00E40721">
              <w:rPr>
                <w:sz w:val="20"/>
              </w:rPr>
              <w:t xml:space="preserve"> </w:t>
            </w:r>
            <w:proofErr w:type="spellStart"/>
            <w:r w:rsidRPr="00E40721">
              <w:rPr>
                <w:sz w:val="20"/>
              </w:rPr>
              <w:t>Meland</w:t>
            </w:r>
            <w:proofErr w:type="spellEnd"/>
            <w:r w:rsidRPr="00E40721">
              <w:rPr>
                <w:sz w:val="20"/>
              </w:rPr>
              <w:t xml:space="preserve"> </w:t>
            </w:r>
            <w:proofErr w:type="spellStart"/>
            <w:r w:rsidRPr="00E40721">
              <w:rPr>
                <w:sz w:val="20"/>
              </w:rPr>
              <w:t>Paquin</w:t>
            </w:r>
            <w:proofErr w:type="spellEnd"/>
            <w:r w:rsidRPr="00E40721">
              <w:rPr>
                <w:sz w:val="20"/>
              </w:rPr>
              <w:t xml:space="preserve"> LLP acted for the plaintiff in the test case. The plaintiff was successful. The court in Quebec awarded significant costs of the action to the plaintiff and special fees to the law firm. </w:t>
            </w:r>
          </w:p>
          <w:p w:rsidR="00B65BA0" w:rsidRPr="00E40721" w:rsidRDefault="00B65BA0" w:rsidP="00B65BA0">
            <w:pPr>
              <w:jc w:val="both"/>
              <w:rPr>
                <w:sz w:val="20"/>
              </w:rPr>
            </w:pPr>
          </w:p>
          <w:p w:rsidR="00B65BA0" w:rsidRPr="00E40721" w:rsidRDefault="00B65BA0" w:rsidP="00B65BA0">
            <w:pPr>
              <w:jc w:val="both"/>
              <w:rPr>
                <w:sz w:val="20"/>
              </w:rPr>
            </w:pPr>
            <w:r w:rsidRPr="00E40721">
              <w:rPr>
                <w:sz w:val="20"/>
              </w:rPr>
              <w:t xml:space="preserve">Following the decision in the test case, the auditors were faced with the prospect of bankruptcy. They negotiated a settlement with the law firm which included an approval of a plan of arrangement under the </w:t>
            </w:r>
            <w:r w:rsidRPr="00E40721">
              <w:rPr>
                <w:i/>
                <w:sz w:val="20"/>
              </w:rPr>
              <w:t>Companies’ Creditors Arrangement Act</w:t>
            </w:r>
            <w:r w:rsidRPr="00E40721">
              <w:rPr>
                <w:sz w:val="20"/>
              </w:rPr>
              <w:t>, R.S.C. 1985, c. C-36 (CCAA), to resolve further claims against them. The initial order provided that the auditors would pay the cost award to the law firm in trust, and that the law firm could deal with the funds “as it sees fit”. When the law firm learned that it could incur tax liabilities in connection with the distribution of the cost award, it sought an indemnity from each participating creditor before distributing to it its proportionate share of the cost award. All creditors, with the exception of Chrysler, signed the indemnity agreement. The law firm brought a motion to compel FCA to sign an indemnity and release in its favour.</w:t>
            </w:r>
          </w:p>
        </w:tc>
      </w:tr>
      <w:tr w:rsidR="00B65BA0" w:rsidRPr="00E40721" w:rsidTr="00B65BA0">
        <w:tc>
          <w:tcPr>
            <w:tcW w:w="5000" w:type="pct"/>
            <w:gridSpan w:val="4"/>
          </w:tcPr>
          <w:p w:rsidR="00B65BA0" w:rsidRPr="00E40721" w:rsidRDefault="00B65BA0" w:rsidP="00B65BA0">
            <w:pPr>
              <w:jc w:val="both"/>
              <w:rPr>
                <w:sz w:val="20"/>
              </w:rPr>
            </w:pPr>
          </w:p>
        </w:tc>
      </w:tr>
      <w:tr w:rsidR="00B65BA0" w:rsidRPr="00E40721" w:rsidTr="00B65BA0">
        <w:tc>
          <w:tcPr>
            <w:tcW w:w="2427" w:type="pct"/>
            <w:gridSpan w:val="2"/>
          </w:tcPr>
          <w:p w:rsidR="00B65BA0" w:rsidRPr="00E40721" w:rsidRDefault="00B65BA0" w:rsidP="00B65BA0">
            <w:pPr>
              <w:jc w:val="both"/>
              <w:rPr>
                <w:sz w:val="20"/>
              </w:rPr>
            </w:pPr>
            <w:r w:rsidRPr="00E40721">
              <w:rPr>
                <w:sz w:val="20"/>
              </w:rPr>
              <w:t>June 6, 2016</w:t>
            </w:r>
          </w:p>
          <w:p w:rsidR="00B65BA0" w:rsidRPr="00E40721" w:rsidRDefault="00B65BA0" w:rsidP="00B65BA0">
            <w:pPr>
              <w:jc w:val="both"/>
              <w:rPr>
                <w:sz w:val="20"/>
              </w:rPr>
            </w:pPr>
            <w:r w:rsidRPr="00E40721">
              <w:rPr>
                <w:sz w:val="20"/>
              </w:rPr>
              <w:t>Ontario Superior Court of Justice (Commercial List)</w:t>
            </w:r>
          </w:p>
          <w:p w:rsidR="00B65BA0" w:rsidRPr="00E40721" w:rsidRDefault="00B65BA0" w:rsidP="00B65BA0">
            <w:pPr>
              <w:jc w:val="both"/>
              <w:rPr>
                <w:sz w:val="20"/>
              </w:rPr>
            </w:pPr>
            <w:r w:rsidRPr="00E40721">
              <w:rPr>
                <w:sz w:val="20"/>
              </w:rPr>
              <w:t>(</w:t>
            </w:r>
            <w:proofErr w:type="spellStart"/>
            <w:r w:rsidRPr="00E40721">
              <w:rPr>
                <w:sz w:val="20"/>
              </w:rPr>
              <w:t>Newbould</w:t>
            </w:r>
            <w:proofErr w:type="spellEnd"/>
            <w:r w:rsidRPr="00E40721">
              <w:rPr>
                <w:sz w:val="20"/>
              </w:rPr>
              <w:t xml:space="preserve"> J.)</w:t>
            </w:r>
          </w:p>
          <w:p w:rsidR="00B65BA0" w:rsidRPr="00E40721" w:rsidRDefault="00E7387C" w:rsidP="00B65BA0">
            <w:pPr>
              <w:jc w:val="both"/>
              <w:rPr>
                <w:sz w:val="20"/>
              </w:rPr>
            </w:pPr>
            <w:hyperlink r:id="rId27" w:history="1">
              <w:r w:rsidR="00B65BA0" w:rsidRPr="00E40721">
                <w:rPr>
                  <w:rStyle w:val="Hyperlink"/>
                  <w:sz w:val="20"/>
                </w:rPr>
                <w:t>2016 ONSC 3681</w:t>
              </w:r>
            </w:hyperlink>
          </w:p>
          <w:p w:rsidR="00B65BA0" w:rsidRPr="00E40721" w:rsidRDefault="00B65BA0" w:rsidP="00B65BA0">
            <w:pPr>
              <w:jc w:val="both"/>
              <w:rPr>
                <w:sz w:val="20"/>
              </w:rPr>
            </w:pPr>
          </w:p>
        </w:tc>
        <w:tc>
          <w:tcPr>
            <w:tcW w:w="243" w:type="pct"/>
          </w:tcPr>
          <w:p w:rsidR="00B65BA0" w:rsidRPr="00E40721" w:rsidRDefault="00B65BA0" w:rsidP="00B65BA0">
            <w:pPr>
              <w:jc w:val="both"/>
              <w:rPr>
                <w:sz w:val="20"/>
              </w:rPr>
            </w:pPr>
          </w:p>
        </w:tc>
        <w:tc>
          <w:tcPr>
            <w:tcW w:w="2330" w:type="pct"/>
          </w:tcPr>
          <w:p w:rsidR="00B65BA0" w:rsidRPr="00E40721" w:rsidRDefault="00B65BA0" w:rsidP="00B65BA0">
            <w:pPr>
              <w:jc w:val="both"/>
              <w:rPr>
                <w:sz w:val="20"/>
              </w:rPr>
            </w:pPr>
            <w:r w:rsidRPr="00E40721">
              <w:rPr>
                <w:sz w:val="20"/>
              </w:rPr>
              <w:t xml:space="preserve">Order directing applicant to sign indemnity agreement in favour of respondent </w:t>
            </w:r>
          </w:p>
          <w:p w:rsidR="00B65BA0" w:rsidRPr="00E40721" w:rsidRDefault="00B65BA0" w:rsidP="00B65BA0">
            <w:pPr>
              <w:jc w:val="both"/>
              <w:rPr>
                <w:sz w:val="20"/>
              </w:rPr>
            </w:pPr>
          </w:p>
        </w:tc>
      </w:tr>
      <w:tr w:rsidR="00B65BA0" w:rsidRPr="00E40721" w:rsidTr="00B65BA0">
        <w:tc>
          <w:tcPr>
            <w:tcW w:w="2427" w:type="pct"/>
            <w:gridSpan w:val="2"/>
          </w:tcPr>
          <w:p w:rsidR="00B65BA0" w:rsidRPr="00E40721" w:rsidRDefault="00B65BA0" w:rsidP="00B65BA0">
            <w:pPr>
              <w:jc w:val="both"/>
              <w:rPr>
                <w:sz w:val="20"/>
              </w:rPr>
            </w:pPr>
            <w:r w:rsidRPr="00E40721">
              <w:rPr>
                <w:sz w:val="20"/>
              </w:rPr>
              <w:lastRenderedPageBreak/>
              <w:t>September 22, 2016</w:t>
            </w:r>
          </w:p>
          <w:p w:rsidR="00B65BA0" w:rsidRPr="00E40721" w:rsidRDefault="00B65BA0" w:rsidP="00B65BA0">
            <w:pPr>
              <w:jc w:val="both"/>
              <w:rPr>
                <w:sz w:val="20"/>
              </w:rPr>
            </w:pPr>
            <w:r w:rsidRPr="00E40721">
              <w:rPr>
                <w:sz w:val="20"/>
              </w:rPr>
              <w:t>Court of Appeal for Ontario</w:t>
            </w:r>
          </w:p>
          <w:p w:rsidR="00B65BA0" w:rsidRPr="00E40721" w:rsidRDefault="00B65BA0" w:rsidP="00B65BA0">
            <w:pPr>
              <w:jc w:val="both"/>
              <w:rPr>
                <w:sz w:val="20"/>
              </w:rPr>
            </w:pPr>
            <w:r w:rsidRPr="00E40721">
              <w:rPr>
                <w:sz w:val="20"/>
              </w:rPr>
              <w:t xml:space="preserve">(Hoy A.C.J.O., </w:t>
            </w:r>
            <w:proofErr w:type="spellStart"/>
            <w:r w:rsidRPr="00E40721">
              <w:rPr>
                <w:sz w:val="20"/>
              </w:rPr>
              <w:t>Lauwers</w:t>
            </w:r>
            <w:proofErr w:type="spellEnd"/>
            <w:r w:rsidRPr="00E40721">
              <w:rPr>
                <w:sz w:val="20"/>
              </w:rPr>
              <w:t xml:space="preserve"> and </w:t>
            </w:r>
            <w:proofErr w:type="spellStart"/>
            <w:r w:rsidRPr="00E40721">
              <w:rPr>
                <w:sz w:val="20"/>
              </w:rPr>
              <w:t>Benotto</w:t>
            </w:r>
            <w:proofErr w:type="spellEnd"/>
            <w:r w:rsidRPr="00E40721">
              <w:rPr>
                <w:sz w:val="20"/>
              </w:rPr>
              <w:t xml:space="preserve"> JJ.A.)</w:t>
            </w:r>
          </w:p>
          <w:p w:rsidR="00B65BA0" w:rsidRPr="00E40721" w:rsidRDefault="00B65BA0" w:rsidP="00B65BA0">
            <w:pPr>
              <w:jc w:val="both"/>
              <w:rPr>
                <w:sz w:val="20"/>
              </w:rPr>
            </w:pPr>
            <w:r w:rsidRPr="00E40721">
              <w:rPr>
                <w:sz w:val="20"/>
              </w:rPr>
              <w:t>(unreported)</w:t>
            </w:r>
          </w:p>
          <w:p w:rsidR="00B65BA0" w:rsidRPr="00E40721" w:rsidRDefault="00B65BA0" w:rsidP="00B65BA0">
            <w:pPr>
              <w:jc w:val="both"/>
              <w:rPr>
                <w:sz w:val="20"/>
              </w:rPr>
            </w:pPr>
          </w:p>
        </w:tc>
        <w:tc>
          <w:tcPr>
            <w:tcW w:w="243" w:type="pct"/>
          </w:tcPr>
          <w:p w:rsidR="00B65BA0" w:rsidRPr="00E40721" w:rsidRDefault="00B65BA0" w:rsidP="00B65BA0">
            <w:pPr>
              <w:jc w:val="both"/>
              <w:rPr>
                <w:sz w:val="20"/>
              </w:rPr>
            </w:pPr>
          </w:p>
        </w:tc>
        <w:tc>
          <w:tcPr>
            <w:tcW w:w="2330" w:type="pct"/>
          </w:tcPr>
          <w:p w:rsidR="00B65BA0" w:rsidRPr="00E40721" w:rsidRDefault="00B65BA0" w:rsidP="00B65BA0">
            <w:pPr>
              <w:jc w:val="both"/>
              <w:rPr>
                <w:sz w:val="20"/>
              </w:rPr>
            </w:pPr>
            <w:r w:rsidRPr="00E40721">
              <w:rPr>
                <w:sz w:val="20"/>
              </w:rPr>
              <w:t xml:space="preserve">Motion for leave to appeal dismissed </w:t>
            </w:r>
          </w:p>
          <w:p w:rsidR="00B65BA0" w:rsidRPr="00E40721" w:rsidRDefault="00B65BA0" w:rsidP="00B65BA0">
            <w:pPr>
              <w:jc w:val="both"/>
              <w:rPr>
                <w:sz w:val="20"/>
              </w:rPr>
            </w:pPr>
          </w:p>
        </w:tc>
      </w:tr>
      <w:tr w:rsidR="00B65BA0" w:rsidRPr="00E40721" w:rsidTr="00B65BA0">
        <w:tc>
          <w:tcPr>
            <w:tcW w:w="2427" w:type="pct"/>
            <w:gridSpan w:val="2"/>
          </w:tcPr>
          <w:p w:rsidR="00B65BA0" w:rsidRPr="00E40721" w:rsidRDefault="00B65BA0" w:rsidP="00B65BA0">
            <w:pPr>
              <w:jc w:val="both"/>
              <w:rPr>
                <w:sz w:val="20"/>
              </w:rPr>
            </w:pPr>
            <w:r w:rsidRPr="00E40721">
              <w:rPr>
                <w:sz w:val="20"/>
              </w:rPr>
              <w:t>November 28, 2016</w:t>
            </w:r>
          </w:p>
          <w:p w:rsidR="00B65BA0" w:rsidRPr="00E40721" w:rsidRDefault="00B65BA0" w:rsidP="00B65BA0">
            <w:pPr>
              <w:jc w:val="both"/>
              <w:rPr>
                <w:sz w:val="20"/>
              </w:rPr>
            </w:pPr>
            <w:r w:rsidRPr="00E40721">
              <w:rPr>
                <w:sz w:val="20"/>
              </w:rPr>
              <w:t>Supreme Court of Canada</w:t>
            </w:r>
          </w:p>
        </w:tc>
        <w:tc>
          <w:tcPr>
            <w:tcW w:w="243" w:type="pct"/>
          </w:tcPr>
          <w:p w:rsidR="00B65BA0" w:rsidRPr="00E40721" w:rsidRDefault="00B65BA0" w:rsidP="00B65BA0">
            <w:pPr>
              <w:jc w:val="both"/>
              <w:rPr>
                <w:sz w:val="20"/>
              </w:rPr>
            </w:pPr>
          </w:p>
        </w:tc>
        <w:tc>
          <w:tcPr>
            <w:tcW w:w="2330" w:type="pct"/>
          </w:tcPr>
          <w:p w:rsidR="00B65BA0" w:rsidRPr="00E40721" w:rsidRDefault="00B65BA0" w:rsidP="00B65BA0">
            <w:pPr>
              <w:jc w:val="both"/>
              <w:rPr>
                <w:sz w:val="20"/>
              </w:rPr>
            </w:pPr>
            <w:r w:rsidRPr="00E40721">
              <w:rPr>
                <w:sz w:val="20"/>
              </w:rPr>
              <w:t>Motion to extend time to serve and file application for leave to appeal and application for leave to appeal filed</w:t>
            </w:r>
          </w:p>
        </w:tc>
      </w:tr>
    </w:tbl>
    <w:p w:rsidR="00B65BA0" w:rsidRDefault="00E7387C" w:rsidP="00B65BA0">
      <w:pPr>
        <w:jc w:val="both"/>
        <w:rPr>
          <w:sz w:val="20"/>
        </w:rPr>
      </w:pPr>
      <w:r>
        <w:rPr>
          <w:sz w:val="20"/>
          <w:szCs w:val="20"/>
        </w:rPr>
        <w:pict>
          <v:rect id="_x0000_i1043" style="width:2in;height:1pt" o:hrpct="0" o:hralign="center" o:hrstd="t" o:hrnoshade="t" o:hr="t" fillcolor="black [3213]" stroked="f"/>
        </w:pict>
      </w:r>
    </w:p>
    <w:p w:rsidR="00B65BA0" w:rsidRPr="00E40721" w:rsidRDefault="00B65BA0" w:rsidP="00B65BA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65BA0" w:rsidRPr="00E7387C" w:rsidTr="00B65BA0">
        <w:tc>
          <w:tcPr>
            <w:tcW w:w="543" w:type="pct"/>
          </w:tcPr>
          <w:p w:rsidR="00B65BA0" w:rsidRPr="00E40721" w:rsidRDefault="00B65BA0" w:rsidP="00B65BA0">
            <w:pPr>
              <w:jc w:val="both"/>
              <w:rPr>
                <w:sz w:val="20"/>
                <w:lang w:val="fr-CA"/>
              </w:rPr>
            </w:pPr>
            <w:r w:rsidRPr="00E40721">
              <w:rPr>
                <w:rStyle w:val="SCCFileNumberChar"/>
                <w:sz w:val="20"/>
                <w:szCs w:val="20"/>
                <w:lang w:val="fr-CA"/>
              </w:rPr>
              <w:t>37319</w:t>
            </w:r>
          </w:p>
        </w:tc>
        <w:tc>
          <w:tcPr>
            <w:tcW w:w="4457" w:type="pct"/>
            <w:gridSpan w:val="3"/>
          </w:tcPr>
          <w:p w:rsidR="00B65BA0" w:rsidRDefault="00B65BA0" w:rsidP="00B65BA0">
            <w:pPr>
              <w:pStyle w:val="SCCLsocParty"/>
              <w:jc w:val="both"/>
              <w:rPr>
                <w:sz w:val="20"/>
              </w:rPr>
            </w:pPr>
            <w:r w:rsidRPr="00E40721">
              <w:rPr>
                <w:b/>
                <w:sz w:val="20"/>
                <w:szCs w:val="20"/>
              </w:rPr>
              <w:t xml:space="preserve">FCA Canada Inc. c. </w:t>
            </w:r>
            <w:proofErr w:type="spellStart"/>
            <w:r w:rsidRPr="00E40721">
              <w:rPr>
                <w:b/>
                <w:sz w:val="20"/>
                <w:szCs w:val="20"/>
              </w:rPr>
              <w:t>Fishman</w:t>
            </w:r>
            <w:proofErr w:type="spellEnd"/>
            <w:r w:rsidRPr="00E40721">
              <w:rPr>
                <w:b/>
                <w:sz w:val="20"/>
                <w:szCs w:val="20"/>
              </w:rPr>
              <w:t xml:space="preserve"> </w:t>
            </w:r>
            <w:proofErr w:type="spellStart"/>
            <w:r w:rsidRPr="00E40721">
              <w:rPr>
                <w:b/>
                <w:sz w:val="20"/>
                <w:szCs w:val="20"/>
              </w:rPr>
              <w:t>Flanz</w:t>
            </w:r>
            <w:proofErr w:type="spellEnd"/>
            <w:r w:rsidRPr="00E40721">
              <w:rPr>
                <w:b/>
                <w:sz w:val="20"/>
                <w:szCs w:val="20"/>
              </w:rPr>
              <w:t xml:space="preserve"> </w:t>
            </w:r>
            <w:proofErr w:type="spellStart"/>
            <w:r w:rsidRPr="00E40721">
              <w:rPr>
                <w:b/>
                <w:sz w:val="20"/>
                <w:szCs w:val="20"/>
              </w:rPr>
              <w:t>Meland</w:t>
            </w:r>
            <w:proofErr w:type="spellEnd"/>
            <w:r w:rsidRPr="00E40721">
              <w:rPr>
                <w:b/>
                <w:sz w:val="20"/>
                <w:szCs w:val="20"/>
              </w:rPr>
              <w:t xml:space="preserve"> Paquin LLP</w:t>
            </w:r>
            <w:r>
              <w:rPr>
                <w:b/>
                <w:sz w:val="20"/>
                <w:szCs w:val="20"/>
              </w:rPr>
              <w:t xml:space="preserve"> </w:t>
            </w:r>
            <w:r w:rsidRPr="00E40721">
              <w:rPr>
                <w:sz w:val="20"/>
              </w:rPr>
              <w:t>(Ont.) (Civile) (Sur autorisation)</w:t>
            </w:r>
          </w:p>
          <w:p w:rsidR="00425EDA" w:rsidRPr="00425EDA" w:rsidRDefault="00425EDA" w:rsidP="00425EDA">
            <w:pPr>
              <w:rPr>
                <w:lang w:val="fr-CA"/>
              </w:rPr>
            </w:pPr>
          </w:p>
        </w:tc>
      </w:tr>
      <w:tr w:rsidR="00B65BA0" w:rsidRPr="00E7387C" w:rsidTr="00B65BA0">
        <w:tc>
          <w:tcPr>
            <w:tcW w:w="543" w:type="pct"/>
          </w:tcPr>
          <w:p w:rsidR="00B65BA0" w:rsidRPr="00E40721" w:rsidRDefault="00B65BA0" w:rsidP="00B65BA0">
            <w:pPr>
              <w:jc w:val="both"/>
              <w:rPr>
                <w:rStyle w:val="SCCFileNumberChar"/>
                <w:sz w:val="20"/>
                <w:szCs w:val="20"/>
                <w:lang w:val="fr-CA"/>
              </w:rPr>
            </w:pPr>
            <w:r>
              <w:rPr>
                <w:rStyle w:val="SCCFileNumberChar"/>
                <w:sz w:val="20"/>
                <w:szCs w:val="20"/>
                <w:lang w:val="fr-CA"/>
              </w:rPr>
              <w:t>Coram :</w:t>
            </w:r>
          </w:p>
        </w:tc>
        <w:tc>
          <w:tcPr>
            <w:tcW w:w="4457" w:type="pct"/>
            <w:gridSpan w:val="3"/>
          </w:tcPr>
          <w:p w:rsidR="00B65BA0" w:rsidRPr="00B65BA0" w:rsidRDefault="003B3735" w:rsidP="00B65BA0">
            <w:pPr>
              <w:pStyle w:val="SCCLsocParty"/>
              <w:jc w:val="both"/>
              <w:rPr>
                <w:sz w:val="20"/>
                <w:szCs w:val="20"/>
              </w:rPr>
            </w:pPr>
            <w:r w:rsidRPr="00280BC5">
              <w:rPr>
                <w:rFonts w:eastAsiaTheme="minorEastAsia"/>
                <w:sz w:val="20"/>
                <w:szCs w:val="20"/>
                <w:lang w:val="fr-FR"/>
              </w:rPr>
              <w:t xml:space="preserve">La juge en chef </w:t>
            </w:r>
            <w:proofErr w:type="spellStart"/>
            <w:r w:rsidRPr="00280BC5">
              <w:rPr>
                <w:rFonts w:eastAsiaTheme="minorEastAsia"/>
                <w:sz w:val="20"/>
                <w:szCs w:val="20"/>
                <w:lang w:val="fr-FR"/>
              </w:rPr>
              <w:t>McLachlin</w:t>
            </w:r>
            <w:proofErr w:type="spellEnd"/>
            <w:r w:rsidRPr="00280BC5">
              <w:rPr>
                <w:rFonts w:eastAsiaTheme="minorEastAsia"/>
                <w:sz w:val="20"/>
                <w:szCs w:val="20"/>
                <w:lang w:val="fr-FR"/>
              </w:rPr>
              <w:t xml:space="preserve"> et les juges Abella, </w:t>
            </w:r>
            <w:proofErr w:type="spellStart"/>
            <w:r w:rsidRPr="00280BC5">
              <w:rPr>
                <w:rFonts w:eastAsiaTheme="minorEastAsia"/>
                <w:sz w:val="20"/>
                <w:szCs w:val="20"/>
              </w:rPr>
              <w:t>Moldaver</w:t>
            </w:r>
            <w:proofErr w:type="spellEnd"/>
            <w:r w:rsidRPr="00280BC5">
              <w:rPr>
                <w:rFonts w:eastAsiaTheme="minorEastAsia"/>
                <w:sz w:val="20"/>
                <w:szCs w:val="20"/>
              </w:rPr>
              <w:t xml:space="preserve">, </w:t>
            </w:r>
            <w:proofErr w:type="spellStart"/>
            <w:r w:rsidRPr="00280BC5">
              <w:rPr>
                <w:rFonts w:eastAsiaTheme="minorEastAsia"/>
                <w:sz w:val="20"/>
                <w:szCs w:val="20"/>
              </w:rPr>
              <w:t>Karakatsanis</w:t>
            </w:r>
            <w:proofErr w:type="spellEnd"/>
            <w:r w:rsidRPr="00280BC5">
              <w:rPr>
                <w:rFonts w:eastAsiaTheme="minorEastAsia"/>
                <w:sz w:val="20"/>
                <w:szCs w:val="20"/>
              </w:rPr>
              <w:t>, Wagner, Gascon, Côté, Brown et Rowe</w:t>
            </w:r>
          </w:p>
        </w:tc>
      </w:tr>
      <w:tr w:rsidR="00B65BA0" w:rsidRPr="00E7387C" w:rsidTr="00B65BA0">
        <w:tc>
          <w:tcPr>
            <w:tcW w:w="5000" w:type="pct"/>
            <w:gridSpan w:val="4"/>
          </w:tcPr>
          <w:p w:rsidR="00B65BA0" w:rsidRDefault="003B3735" w:rsidP="00B65BA0">
            <w:pPr>
              <w:pStyle w:val="SCCLsocParty"/>
              <w:jc w:val="both"/>
              <w:rPr>
                <w:sz w:val="20"/>
                <w:szCs w:val="20"/>
              </w:rPr>
            </w:pPr>
            <w:r w:rsidRPr="00280BC5">
              <w:rPr>
                <w:sz w:val="20"/>
                <w:szCs w:val="20"/>
              </w:rPr>
              <w:t>La requête en prorogation du délai de signification et de dépôt de la demande d’autorisation d’appel est accueillie.  La demande d’autorisation d’appel de l’arrêt de la Cour d’appel de l’Ontario, numéro M46647, daté du 22 septembre 2016, est rejetée avec dépens.</w:t>
            </w:r>
          </w:p>
          <w:p w:rsidR="003B3735" w:rsidRPr="003B3735" w:rsidRDefault="003B3735" w:rsidP="003B3735">
            <w:pPr>
              <w:rPr>
                <w:lang w:val="fr-CA"/>
              </w:rPr>
            </w:pPr>
          </w:p>
        </w:tc>
      </w:tr>
      <w:tr w:rsidR="00B65BA0" w:rsidRPr="00E7387C" w:rsidTr="00B65BA0">
        <w:tc>
          <w:tcPr>
            <w:tcW w:w="5000" w:type="pct"/>
            <w:gridSpan w:val="4"/>
          </w:tcPr>
          <w:p w:rsidR="00B65BA0" w:rsidRPr="00E40721" w:rsidRDefault="00B65BA0" w:rsidP="00B65BA0">
            <w:pPr>
              <w:tabs>
                <w:tab w:val="left" w:pos="2400"/>
              </w:tabs>
              <w:jc w:val="both"/>
              <w:rPr>
                <w:sz w:val="20"/>
                <w:lang w:val="fr-CA"/>
              </w:rPr>
            </w:pPr>
            <w:r w:rsidRPr="00E40721">
              <w:rPr>
                <w:sz w:val="20"/>
                <w:lang w:val="fr-CA"/>
              </w:rPr>
              <w:t xml:space="preserve">Faillite et insolvabilité – Ordonnance sommant un créancier participant de signer une convention d’indemnisation en faveur d’un cabinet d’avocats en lien avec la distribution des dépens attribués. – Le tribunal </w:t>
            </w:r>
            <w:proofErr w:type="spellStart"/>
            <w:r w:rsidRPr="00E40721">
              <w:rPr>
                <w:sz w:val="20"/>
                <w:lang w:val="fr-CA"/>
              </w:rPr>
              <w:t>a-t-il</w:t>
            </w:r>
            <w:proofErr w:type="spellEnd"/>
            <w:r w:rsidRPr="00E40721">
              <w:rPr>
                <w:sz w:val="20"/>
                <w:lang w:val="fr-CA"/>
              </w:rPr>
              <w:t xml:space="preserve"> compétence pour prononcer une ordonnance dans une instance sous le régime de </w:t>
            </w:r>
            <w:r w:rsidRPr="00E40721">
              <w:rPr>
                <w:i/>
                <w:sz w:val="20"/>
                <w:lang w:val="fr-CA"/>
              </w:rPr>
              <w:t>Loi sur les arrangements avec les créanciers de compagnie</w:t>
            </w:r>
            <w:r w:rsidRPr="00E40721">
              <w:rPr>
                <w:sz w:val="20"/>
                <w:lang w:val="fr-CA"/>
              </w:rPr>
              <w:t xml:space="preserve">, L.R.C. 1985, ch. C-36 (LACC) sans prendre en compte les principes établis en </w:t>
            </w:r>
            <w:proofErr w:type="spellStart"/>
            <w:r w:rsidRPr="00E40721">
              <w:rPr>
                <w:sz w:val="20"/>
                <w:lang w:val="fr-CA"/>
              </w:rPr>
              <w:t>common</w:t>
            </w:r>
            <w:proofErr w:type="spellEnd"/>
            <w:r w:rsidRPr="00E40721">
              <w:rPr>
                <w:sz w:val="20"/>
                <w:lang w:val="fr-CA"/>
              </w:rPr>
              <w:t xml:space="preserve"> </w:t>
            </w:r>
            <w:proofErr w:type="spellStart"/>
            <w:r w:rsidRPr="00E40721">
              <w:rPr>
                <w:sz w:val="20"/>
                <w:lang w:val="fr-CA"/>
              </w:rPr>
              <w:t>law</w:t>
            </w:r>
            <w:proofErr w:type="spellEnd"/>
            <w:r w:rsidRPr="00E40721">
              <w:rPr>
                <w:sz w:val="20"/>
                <w:lang w:val="fr-CA"/>
              </w:rPr>
              <w:t xml:space="preserve"> et en </w:t>
            </w:r>
            <w:proofErr w:type="spellStart"/>
            <w:r w:rsidRPr="00E40721">
              <w:rPr>
                <w:sz w:val="20"/>
                <w:lang w:val="fr-CA"/>
              </w:rPr>
              <w:t>equity</w:t>
            </w:r>
            <w:proofErr w:type="spellEnd"/>
            <w:r w:rsidRPr="00E40721">
              <w:rPr>
                <w:sz w:val="20"/>
                <w:lang w:val="fr-CA"/>
              </w:rPr>
              <w:t xml:space="preserve"> relativement aux injonctions </w:t>
            </w:r>
            <w:proofErr w:type="spellStart"/>
            <w:r w:rsidRPr="00E40721">
              <w:rPr>
                <w:sz w:val="20"/>
                <w:lang w:val="fr-CA"/>
              </w:rPr>
              <w:t>mandatoires</w:t>
            </w:r>
            <w:proofErr w:type="spellEnd"/>
            <w:r w:rsidRPr="00E40721">
              <w:rPr>
                <w:sz w:val="20"/>
                <w:lang w:val="fr-CA"/>
              </w:rPr>
              <w:t xml:space="preserve">? – Le tribunal est-il autorisé à prononcer des ordonnances </w:t>
            </w:r>
            <w:proofErr w:type="spellStart"/>
            <w:r w:rsidRPr="00E40721">
              <w:rPr>
                <w:sz w:val="20"/>
                <w:lang w:val="fr-CA"/>
              </w:rPr>
              <w:t>mandatoires</w:t>
            </w:r>
            <w:proofErr w:type="spellEnd"/>
            <w:r w:rsidRPr="00E40721">
              <w:rPr>
                <w:sz w:val="20"/>
                <w:lang w:val="fr-CA"/>
              </w:rPr>
              <w:t xml:space="preserve"> en application de l’art. 11 de la LACC et dans l’affirmative, quels sont les paramètres du critère applicable? – Quelles sont les limites, s’il en est, touchant la portée des mainlevées demandées dans une instance sous le régime de la LCAA en dehors des paramètres d’un projet de transaction et d’arrangement?</w:t>
            </w:r>
          </w:p>
        </w:tc>
      </w:tr>
      <w:tr w:rsidR="00B65BA0" w:rsidRPr="00E7387C" w:rsidTr="00B65BA0">
        <w:tc>
          <w:tcPr>
            <w:tcW w:w="5000" w:type="pct"/>
            <w:gridSpan w:val="4"/>
          </w:tcPr>
          <w:p w:rsidR="00B65BA0" w:rsidRPr="00E40721" w:rsidRDefault="00B65BA0" w:rsidP="00B65BA0">
            <w:pPr>
              <w:tabs>
                <w:tab w:val="left" w:pos="2400"/>
              </w:tabs>
              <w:jc w:val="both"/>
              <w:rPr>
                <w:sz w:val="20"/>
                <w:lang w:val="fr-CA"/>
              </w:rPr>
            </w:pPr>
          </w:p>
        </w:tc>
      </w:tr>
      <w:tr w:rsidR="00B65BA0" w:rsidRPr="00E7387C" w:rsidTr="00B65BA0">
        <w:tc>
          <w:tcPr>
            <w:tcW w:w="5000" w:type="pct"/>
            <w:gridSpan w:val="4"/>
          </w:tcPr>
          <w:p w:rsidR="00B65BA0" w:rsidRPr="00E40721" w:rsidRDefault="00B65BA0" w:rsidP="00B65BA0">
            <w:pPr>
              <w:jc w:val="both"/>
              <w:rPr>
                <w:sz w:val="20"/>
                <w:lang w:val="fr-CA"/>
              </w:rPr>
            </w:pPr>
            <w:r w:rsidRPr="00E40721">
              <w:rPr>
                <w:sz w:val="20"/>
                <w:lang w:val="fr-CA"/>
              </w:rPr>
              <w:t xml:space="preserve">La demanderesse FCA Canada Inc., anciennement Chrysler Canada Inc., est l’un des 22 créanciers participants qui ont payé les frais de litige d’un recours collectif en Cour supérieure du Québec. L’action portait sur des allégations de négligence portées contre les vérificateurs qui avaient fourni des services à Castor Holdings Ltd. il y a plus de 20 ans. Le cabinet d’avocats intimé </w:t>
            </w:r>
            <w:proofErr w:type="spellStart"/>
            <w:r w:rsidRPr="00E40721">
              <w:rPr>
                <w:sz w:val="20"/>
                <w:lang w:val="fr-CA"/>
              </w:rPr>
              <w:t>Fishman</w:t>
            </w:r>
            <w:proofErr w:type="spellEnd"/>
            <w:r w:rsidRPr="00E40721">
              <w:rPr>
                <w:sz w:val="20"/>
                <w:lang w:val="fr-CA"/>
              </w:rPr>
              <w:t xml:space="preserve"> </w:t>
            </w:r>
            <w:proofErr w:type="spellStart"/>
            <w:r w:rsidRPr="00E40721">
              <w:rPr>
                <w:sz w:val="20"/>
                <w:lang w:val="fr-CA"/>
              </w:rPr>
              <w:t>Flanz</w:t>
            </w:r>
            <w:proofErr w:type="spellEnd"/>
            <w:r w:rsidRPr="00E40721">
              <w:rPr>
                <w:sz w:val="20"/>
                <w:lang w:val="fr-CA"/>
              </w:rPr>
              <w:t xml:space="preserve"> </w:t>
            </w:r>
            <w:proofErr w:type="spellStart"/>
            <w:r w:rsidRPr="00E40721">
              <w:rPr>
                <w:sz w:val="20"/>
                <w:lang w:val="fr-CA"/>
              </w:rPr>
              <w:t>Meland</w:t>
            </w:r>
            <w:proofErr w:type="spellEnd"/>
            <w:r w:rsidRPr="00E40721">
              <w:rPr>
                <w:sz w:val="20"/>
                <w:lang w:val="fr-CA"/>
              </w:rPr>
              <w:t xml:space="preserve"> Paquin LLP agissait pour le demandeur en première instance dans la cause type. Le demandeur en première instance a eu gain de cause. Le tribunal québécois a attribué des dépens importants de l’action au demandeur en première instance et des honoraires spéciaux au cabinet d’avocats. </w:t>
            </w:r>
          </w:p>
          <w:p w:rsidR="00B65BA0" w:rsidRPr="00E40721" w:rsidRDefault="00B65BA0" w:rsidP="00B65BA0">
            <w:pPr>
              <w:jc w:val="both"/>
              <w:rPr>
                <w:sz w:val="20"/>
                <w:lang w:val="fr-CA"/>
              </w:rPr>
            </w:pPr>
          </w:p>
          <w:p w:rsidR="00B65BA0" w:rsidRPr="00E40721" w:rsidRDefault="00B65BA0" w:rsidP="00B65BA0">
            <w:pPr>
              <w:jc w:val="both"/>
              <w:rPr>
                <w:sz w:val="20"/>
                <w:lang w:val="fr-CA"/>
              </w:rPr>
            </w:pPr>
            <w:r w:rsidRPr="00E40721">
              <w:rPr>
                <w:sz w:val="20"/>
                <w:lang w:val="fr-CA"/>
              </w:rPr>
              <w:t xml:space="preserve">À la suite du jugement dans la cause type, les vérificateurs risquaient de se retrouver en faillite. Ils ont négocié un règlement avec le cabinet d’avocats qui comprenait l’approbation d’un plan d’arrangement sous le régime de la </w:t>
            </w:r>
            <w:r w:rsidRPr="00E40721">
              <w:rPr>
                <w:i/>
                <w:sz w:val="20"/>
                <w:lang w:val="fr-CA"/>
              </w:rPr>
              <w:t>Loi sur les arrangements avec les créanciers des compagnies</w:t>
            </w:r>
            <w:r w:rsidRPr="00E40721">
              <w:rPr>
                <w:sz w:val="20"/>
                <w:lang w:val="fr-CA"/>
              </w:rPr>
              <w:t>, L.R.C. 1985, cc. C-36 (LACC), pour régler les réclamations additionnelles dirigées contre eux. L’ordonnance initiale prévoyait que les vérificateurs verseraient les dépens attribués au cabinet d’avocats en fiducie et que le cabinet d’avocats traiterait les fonds [</w:t>
            </w:r>
            <w:r w:rsidRPr="00E40721">
              <w:rPr>
                <w:smallCaps/>
                <w:sz w:val="20"/>
                <w:lang w:val="fr-CA"/>
              </w:rPr>
              <w:t>traduction</w:t>
            </w:r>
            <w:r w:rsidRPr="00E40721">
              <w:rPr>
                <w:sz w:val="20"/>
                <w:lang w:val="fr-CA"/>
              </w:rPr>
              <w:t>] « à son gré ». Lorsque le cabinet d’avocats a appris qu’il pourrait encourir des obligations fiscales en lien avec la distribution des dépens attribués, il a demandé à chaque créancier participant de l’indemniser avant de lui distribuer sa part proportionnelle des dépens attribués. Tous les créanciers, à l’exception de Chrysler, ont signé la convention d’indemnisation. Le cabinet d’avocats a présenté une motion pour contraindre FCA à signer une convention d’indemnisation et une mainlevée en sa faveur.</w:t>
            </w:r>
          </w:p>
        </w:tc>
      </w:tr>
      <w:tr w:rsidR="00B65BA0" w:rsidRPr="00E7387C" w:rsidTr="00B65BA0">
        <w:tc>
          <w:tcPr>
            <w:tcW w:w="5000" w:type="pct"/>
            <w:gridSpan w:val="4"/>
          </w:tcPr>
          <w:p w:rsidR="00B65BA0" w:rsidRPr="00E40721" w:rsidRDefault="00B65BA0" w:rsidP="00B65BA0">
            <w:pPr>
              <w:jc w:val="both"/>
              <w:rPr>
                <w:sz w:val="20"/>
                <w:lang w:val="fr-CA"/>
              </w:rPr>
            </w:pPr>
          </w:p>
        </w:tc>
      </w:tr>
      <w:tr w:rsidR="00B65BA0" w:rsidRPr="00E7387C" w:rsidTr="00B65BA0">
        <w:tc>
          <w:tcPr>
            <w:tcW w:w="2427" w:type="pct"/>
            <w:gridSpan w:val="2"/>
          </w:tcPr>
          <w:p w:rsidR="00B65BA0" w:rsidRPr="00E40721" w:rsidRDefault="00B65BA0" w:rsidP="00B65BA0">
            <w:pPr>
              <w:jc w:val="both"/>
              <w:rPr>
                <w:sz w:val="20"/>
                <w:lang w:val="fr-CA"/>
              </w:rPr>
            </w:pPr>
            <w:r w:rsidRPr="00E40721">
              <w:rPr>
                <w:sz w:val="20"/>
                <w:lang w:val="fr-CA"/>
              </w:rPr>
              <w:t>6 juin 2016</w:t>
            </w:r>
          </w:p>
          <w:p w:rsidR="00B65BA0" w:rsidRPr="00E40721" w:rsidRDefault="00B65BA0" w:rsidP="00B65BA0">
            <w:pPr>
              <w:jc w:val="both"/>
              <w:rPr>
                <w:sz w:val="20"/>
                <w:lang w:val="fr-CA"/>
              </w:rPr>
            </w:pPr>
            <w:r w:rsidRPr="00E40721">
              <w:rPr>
                <w:sz w:val="20"/>
                <w:lang w:val="fr-CA"/>
              </w:rPr>
              <w:t xml:space="preserve">Cour supérieure de justice de l’Ontario </w:t>
            </w:r>
          </w:p>
          <w:p w:rsidR="00B65BA0" w:rsidRPr="00E40721" w:rsidRDefault="00B65BA0" w:rsidP="00B65BA0">
            <w:pPr>
              <w:jc w:val="both"/>
              <w:rPr>
                <w:sz w:val="20"/>
                <w:lang w:val="fr-CA"/>
              </w:rPr>
            </w:pPr>
            <w:r w:rsidRPr="00E40721">
              <w:rPr>
                <w:sz w:val="20"/>
                <w:lang w:val="fr-CA"/>
              </w:rPr>
              <w:t>(Rôle commercial)</w:t>
            </w:r>
          </w:p>
          <w:p w:rsidR="00B65BA0" w:rsidRPr="00E40721" w:rsidRDefault="00B65BA0" w:rsidP="00B65BA0">
            <w:pPr>
              <w:jc w:val="both"/>
              <w:rPr>
                <w:sz w:val="20"/>
                <w:lang w:val="fr-CA"/>
              </w:rPr>
            </w:pPr>
            <w:r w:rsidRPr="00E40721">
              <w:rPr>
                <w:sz w:val="20"/>
                <w:lang w:val="fr-CA"/>
              </w:rPr>
              <w:t xml:space="preserve">(Juge </w:t>
            </w:r>
            <w:proofErr w:type="spellStart"/>
            <w:r w:rsidRPr="00E40721">
              <w:rPr>
                <w:sz w:val="20"/>
                <w:lang w:val="fr-CA"/>
              </w:rPr>
              <w:t>Newbould</w:t>
            </w:r>
            <w:proofErr w:type="spellEnd"/>
            <w:r w:rsidRPr="00E40721">
              <w:rPr>
                <w:sz w:val="20"/>
                <w:lang w:val="fr-CA"/>
              </w:rPr>
              <w:t>)</w:t>
            </w:r>
          </w:p>
          <w:p w:rsidR="00B65BA0" w:rsidRPr="00E40721" w:rsidRDefault="00E7387C" w:rsidP="00B65BA0">
            <w:pPr>
              <w:jc w:val="both"/>
              <w:rPr>
                <w:sz w:val="20"/>
                <w:lang w:val="fr-CA"/>
              </w:rPr>
            </w:pPr>
            <w:hyperlink r:id="rId28" w:history="1">
              <w:r w:rsidR="00B65BA0" w:rsidRPr="00E40721">
                <w:rPr>
                  <w:rStyle w:val="Hyperlink"/>
                  <w:sz w:val="20"/>
                  <w:lang w:val="fr-CA"/>
                </w:rPr>
                <w:t>2016 ONSC 3681</w:t>
              </w:r>
            </w:hyperlink>
          </w:p>
          <w:p w:rsidR="00B65BA0" w:rsidRPr="00E40721" w:rsidRDefault="00B65BA0" w:rsidP="00B65BA0">
            <w:pPr>
              <w:jc w:val="both"/>
              <w:rPr>
                <w:sz w:val="20"/>
                <w:lang w:val="fr-CA"/>
              </w:rPr>
            </w:pPr>
          </w:p>
        </w:tc>
        <w:tc>
          <w:tcPr>
            <w:tcW w:w="243" w:type="pct"/>
          </w:tcPr>
          <w:p w:rsidR="00B65BA0" w:rsidRPr="00E40721" w:rsidRDefault="00B65BA0" w:rsidP="00B65BA0">
            <w:pPr>
              <w:jc w:val="both"/>
              <w:rPr>
                <w:sz w:val="20"/>
                <w:lang w:val="fr-CA"/>
              </w:rPr>
            </w:pPr>
          </w:p>
        </w:tc>
        <w:tc>
          <w:tcPr>
            <w:tcW w:w="2330" w:type="pct"/>
          </w:tcPr>
          <w:p w:rsidR="00B65BA0" w:rsidRPr="00E40721" w:rsidRDefault="00B65BA0" w:rsidP="00B65BA0">
            <w:pPr>
              <w:jc w:val="both"/>
              <w:rPr>
                <w:sz w:val="20"/>
                <w:lang w:val="fr-CA"/>
              </w:rPr>
            </w:pPr>
            <w:r w:rsidRPr="00E40721">
              <w:rPr>
                <w:sz w:val="20"/>
                <w:lang w:val="fr-CA"/>
              </w:rPr>
              <w:t>Ordonnance sommant le demandeur de signer une convention d’indemnisation en faveur de l’intimé</w:t>
            </w:r>
          </w:p>
          <w:p w:rsidR="00B65BA0" w:rsidRPr="00E40721" w:rsidRDefault="00B65BA0" w:rsidP="00B65BA0">
            <w:pPr>
              <w:jc w:val="both"/>
              <w:rPr>
                <w:sz w:val="20"/>
                <w:lang w:val="fr-CA"/>
              </w:rPr>
            </w:pPr>
          </w:p>
        </w:tc>
      </w:tr>
      <w:tr w:rsidR="00B65BA0" w:rsidRPr="00E7387C" w:rsidTr="00B65BA0">
        <w:tc>
          <w:tcPr>
            <w:tcW w:w="2427" w:type="pct"/>
            <w:gridSpan w:val="2"/>
          </w:tcPr>
          <w:p w:rsidR="00B65BA0" w:rsidRPr="00E40721" w:rsidRDefault="00B65BA0" w:rsidP="00B65BA0">
            <w:pPr>
              <w:jc w:val="both"/>
              <w:rPr>
                <w:sz w:val="20"/>
                <w:lang w:val="fr-CA"/>
              </w:rPr>
            </w:pPr>
            <w:r w:rsidRPr="00E40721">
              <w:rPr>
                <w:sz w:val="20"/>
                <w:lang w:val="fr-CA"/>
              </w:rPr>
              <w:lastRenderedPageBreak/>
              <w:t>22 septembre 2016</w:t>
            </w:r>
          </w:p>
          <w:p w:rsidR="00B65BA0" w:rsidRPr="00E40721" w:rsidRDefault="00B65BA0" w:rsidP="00B65BA0">
            <w:pPr>
              <w:jc w:val="both"/>
              <w:rPr>
                <w:sz w:val="20"/>
                <w:lang w:val="fr-CA"/>
              </w:rPr>
            </w:pPr>
            <w:r w:rsidRPr="00E40721">
              <w:rPr>
                <w:sz w:val="20"/>
                <w:lang w:val="fr-CA"/>
              </w:rPr>
              <w:t xml:space="preserve">Cour d’appel de l’Ontario </w:t>
            </w:r>
          </w:p>
          <w:p w:rsidR="00B65BA0" w:rsidRPr="00E40721" w:rsidRDefault="00B65BA0" w:rsidP="00B65BA0">
            <w:pPr>
              <w:jc w:val="both"/>
              <w:rPr>
                <w:sz w:val="20"/>
                <w:lang w:val="fr-CA"/>
              </w:rPr>
            </w:pPr>
            <w:r w:rsidRPr="00E40721">
              <w:rPr>
                <w:sz w:val="20"/>
                <w:lang w:val="fr-CA"/>
              </w:rPr>
              <w:t xml:space="preserve">(Juge en chef adjoint </w:t>
            </w:r>
            <w:proofErr w:type="spellStart"/>
            <w:r w:rsidRPr="00E40721">
              <w:rPr>
                <w:sz w:val="20"/>
                <w:lang w:val="fr-CA"/>
              </w:rPr>
              <w:t>Hoy</w:t>
            </w:r>
            <w:proofErr w:type="spellEnd"/>
            <w:r w:rsidRPr="00E40721">
              <w:rPr>
                <w:sz w:val="20"/>
                <w:lang w:val="fr-CA"/>
              </w:rPr>
              <w:t xml:space="preserve">, juges </w:t>
            </w:r>
            <w:proofErr w:type="spellStart"/>
            <w:r w:rsidRPr="00E40721">
              <w:rPr>
                <w:sz w:val="20"/>
                <w:lang w:val="fr-CA"/>
              </w:rPr>
              <w:t>Lauwers</w:t>
            </w:r>
            <w:proofErr w:type="spellEnd"/>
            <w:r w:rsidRPr="00E40721">
              <w:rPr>
                <w:sz w:val="20"/>
                <w:lang w:val="fr-CA"/>
              </w:rPr>
              <w:t xml:space="preserve"> et </w:t>
            </w:r>
            <w:proofErr w:type="spellStart"/>
            <w:r w:rsidRPr="00E40721">
              <w:rPr>
                <w:sz w:val="20"/>
                <w:lang w:val="fr-CA"/>
              </w:rPr>
              <w:t>Benotto</w:t>
            </w:r>
            <w:proofErr w:type="spellEnd"/>
            <w:r w:rsidRPr="00E40721">
              <w:rPr>
                <w:sz w:val="20"/>
                <w:lang w:val="fr-CA"/>
              </w:rPr>
              <w:t>)</w:t>
            </w:r>
          </w:p>
          <w:p w:rsidR="00B65BA0" w:rsidRPr="00E40721" w:rsidRDefault="00B65BA0" w:rsidP="00B65BA0">
            <w:pPr>
              <w:jc w:val="both"/>
              <w:rPr>
                <w:sz w:val="20"/>
                <w:lang w:val="fr-CA"/>
              </w:rPr>
            </w:pPr>
            <w:r w:rsidRPr="00E40721">
              <w:rPr>
                <w:sz w:val="20"/>
                <w:lang w:val="fr-CA"/>
              </w:rPr>
              <w:t>(Non publié)</w:t>
            </w:r>
          </w:p>
          <w:p w:rsidR="00B65BA0" w:rsidRPr="00E40721" w:rsidRDefault="00B65BA0" w:rsidP="00B65BA0">
            <w:pPr>
              <w:jc w:val="both"/>
              <w:rPr>
                <w:sz w:val="20"/>
                <w:lang w:val="fr-CA"/>
              </w:rPr>
            </w:pPr>
          </w:p>
        </w:tc>
        <w:tc>
          <w:tcPr>
            <w:tcW w:w="243" w:type="pct"/>
          </w:tcPr>
          <w:p w:rsidR="00B65BA0" w:rsidRPr="00E40721" w:rsidRDefault="00B65BA0" w:rsidP="00B65BA0">
            <w:pPr>
              <w:jc w:val="both"/>
              <w:rPr>
                <w:sz w:val="20"/>
                <w:lang w:val="fr-CA"/>
              </w:rPr>
            </w:pPr>
          </w:p>
        </w:tc>
        <w:tc>
          <w:tcPr>
            <w:tcW w:w="2330" w:type="pct"/>
          </w:tcPr>
          <w:p w:rsidR="00B65BA0" w:rsidRPr="00E40721" w:rsidRDefault="00B65BA0" w:rsidP="00B65BA0">
            <w:pPr>
              <w:jc w:val="both"/>
              <w:rPr>
                <w:sz w:val="20"/>
                <w:lang w:val="fr-CA"/>
              </w:rPr>
            </w:pPr>
            <w:r w:rsidRPr="00E40721">
              <w:rPr>
                <w:sz w:val="20"/>
                <w:lang w:val="fr-CA"/>
              </w:rPr>
              <w:t>Rejet de la motion en autorisation d’interjeter appel</w:t>
            </w:r>
          </w:p>
        </w:tc>
      </w:tr>
      <w:tr w:rsidR="00B65BA0" w:rsidRPr="00E7387C" w:rsidTr="00B65BA0">
        <w:tc>
          <w:tcPr>
            <w:tcW w:w="2427" w:type="pct"/>
            <w:gridSpan w:val="2"/>
          </w:tcPr>
          <w:p w:rsidR="00B65BA0" w:rsidRPr="00E40721" w:rsidRDefault="00B65BA0" w:rsidP="00B65BA0">
            <w:pPr>
              <w:jc w:val="both"/>
              <w:rPr>
                <w:sz w:val="20"/>
                <w:lang w:val="fr-CA"/>
              </w:rPr>
            </w:pPr>
            <w:r w:rsidRPr="00E40721">
              <w:rPr>
                <w:sz w:val="20"/>
                <w:lang w:val="fr-CA"/>
              </w:rPr>
              <w:t>28 novembre 2016</w:t>
            </w:r>
          </w:p>
          <w:p w:rsidR="00B65BA0" w:rsidRPr="00E40721" w:rsidRDefault="00B65BA0" w:rsidP="00B65BA0">
            <w:pPr>
              <w:jc w:val="both"/>
              <w:rPr>
                <w:sz w:val="20"/>
                <w:lang w:val="fr-CA"/>
              </w:rPr>
            </w:pPr>
            <w:r w:rsidRPr="00E40721">
              <w:rPr>
                <w:sz w:val="20"/>
                <w:lang w:val="fr-CA"/>
              </w:rPr>
              <w:t>Cour suprême du Canada</w:t>
            </w:r>
          </w:p>
          <w:p w:rsidR="00B65BA0" w:rsidRPr="00E40721" w:rsidRDefault="00B65BA0" w:rsidP="00B65BA0">
            <w:pPr>
              <w:jc w:val="both"/>
              <w:rPr>
                <w:sz w:val="20"/>
                <w:lang w:val="fr-CA"/>
              </w:rPr>
            </w:pPr>
          </w:p>
        </w:tc>
        <w:tc>
          <w:tcPr>
            <w:tcW w:w="243" w:type="pct"/>
          </w:tcPr>
          <w:p w:rsidR="00B65BA0" w:rsidRPr="00E40721" w:rsidRDefault="00B65BA0" w:rsidP="00B65BA0">
            <w:pPr>
              <w:jc w:val="both"/>
              <w:rPr>
                <w:sz w:val="20"/>
                <w:lang w:val="fr-CA"/>
              </w:rPr>
            </w:pPr>
          </w:p>
        </w:tc>
        <w:tc>
          <w:tcPr>
            <w:tcW w:w="2330" w:type="pct"/>
          </w:tcPr>
          <w:p w:rsidR="00B65BA0" w:rsidRPr="00E40721" w:rsidRDefault="00B65BA0" w:rsidP="00B65BA0">
            <w:pPr>
              <w:jc w:val="both"/>
              <w:rPr>
                <w:sz w:val="20"/>
                <w:lang w:val="fr-CA"/>
              </w:rPr>
            </w:pPr>
            <w:r w:rsidRPr="00E40721">
              <w:rPr>
                <w:sz w:val="20"/>
                <w:lang w:val="fr-CA"/>
              </w:rPr>
              <w:t>Dépôt de la requête en prorogation du délai de signification et de dépôt de la demande d’autorisation d’appel et de la demande d’autorisation d’appel</w:t>
            </w:r>
          </w:p>
        </w:tc>
      </w:tr>
    </w:tbl>
    <w:p w:rsidR="00B65BA0" w:rsidRPr="00E40721" w:rsidRDefault="00E7387C" w:rsidP="00B65BA0">
      <w:pPr>
        <w:jc w:val="both"/>
        <w:rPr>
          <w:sz w:val="20"/>
          <w:lang w:val="fr-CA"/>
        </w:rPr>
      </w:pPr>
      <w:r>
        <w:rPr>
          <w:sz w:val="20"/>
          <w:szCs w:val="20"/>
        </w:rPr>
        <w:pict>
          <v:rect id="_x0000_i1044" style="width:2in;height:1pt" o:hrpct="0" o:hralign="center" o:hrstd="t" o:hrnoshade="t" o:hr="t" fillcolor="black [3213]" stroked="f"/>
        </w:pict>
      </w:r>
    </w:p>
    <w:p w:rsidR="00B65BA0" w:rsidRPr="00E40721" w:rsidRDefault="00B65BA0" w:rsidP="00B65BA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65BA0" w:rsidRPr="00E40721" w:rsidTr="00B65BA0">
        <w:tc>
          <w:tcPr>
            <w:tcW w:w="543" w:type="pct"/>
          </w:tcPr>
          <w:p w:rsidR="00B65BA0" w:rsidRPr="00E40721" w:rsidRDefault="00B65BA0" w:rsidP="00B65BA0">
            <w:pPr>
              <w:jc w:val="both"/>
              <w:rPr>
                <w:sz w:val="20"/>
              </w:rPr>
            </w:pPr>
            <w:r w:rsidRPr="00E40721">
              <w:rPr>
                <w:rStyle w:val="SCCFileNumberChar"/>
                <w:sz w:val="20"/>
                <w:szCs w:val="20"/>
              </w:rPr>
              <w:t>37307</w:t>
            </w:r>
          </w:p>
        </w:tc>
        <w:tc>
          <w:tcPr>
            <w:tcW w:w="4457" w:type="pct"/>
            <w:gridSpan w:val="3"/>
          </w:tcPr>
          <w:p w:rsidR="00B65BA0" w:rsidRDefault="00B65BA0" w:rsidP="00425EDA">
            <w:pPr>
              <w:pStyle w:val="SCCLsocParty"/>
              <w:jc w:val="both"/>
              <w:rPr>
                <w:sz w:val="20"/>
              </w:rPr>
            </w:pPr>
            <w:r w:rsidRPr="00E40721">
              <w:rPr>
                <w:b/>
                <w:sz w:val="20"/>
                <w:szCs w:val="20"/>
                <w:lang w:val="en-US"/>
              </w:rPr>
              <w:t xml:space="preserve">Rosemary Anne Hood v. Attorney General of Canada, Canadian Food Inspection Agency, Public Health Agency of Canada, Professional Institute of the Public Service of Canada Employment and Skills Development Canada </w:t>
            </w:r>
            <w:r w:rsidR="00425EDA">
              <w:rPr>
                <w:b/>
                <w:sz w:val="20"/>
                <w:szCs w:val="20"/>
                <w:lang w:val="en-US"/>
              </w:rPr>
              <w:t>–</w:t>
            </w:r>
            <w:r w:rsidRPr="00E40721">
              <w:rPr>
                <w:b/>
                <w:sz w:val="20"/>
                <w:szCs w:val="20"/>
                <w:lang w:val="en-US"/>
              </w:rPr>
              <w:t xml:space="preserve"> </w:t>
            </w:r>
            <w:proofErr w:type="spellStart"/>
            <w:r w:rsidRPr="00E40721">
              <w:rPr>
                <w:b/>
                <w:sz w:val="20"/>
                <w:szCs w:val="20"/>
                <w:lang w:val="en-US"/>
              </w:rPr>
              <w:t>Labour</w:t>
            </w:r>
            <w:proofErr w:type="spellEnd"/>
            <w:r w:rsidR="00425EDA">
              <w:rPr>
                <w:b/>
                <w:sz w:val="20"/>
                <w:szCs w:val="20"/>
                <w:lang w:val="en-US"/>
              </w:rPr>
              <w:t xml:space="preserve"> </w:t>
            </w:r>
            <w:r w:rsidRPr="00425EDA">
              <w:rPr>
                <w:sz w:val="20"/>
                <w:lang w:val="en-US"/>
              </w:rPr>
              <w:t xml:space="preserve">(F.C.) </w:t>
            </w:r>
            <w:r w:rsidRPr="00E40721">
              <w:rPr>
                <w:sz w:val="20"/>
              </w:rPr>
              <w:t xml:space="preserve">(Civil) (By </w:t>
            </w:r>
            <w:proofErr w:type="spellStart"/>
            <w:r w:rsidRPr="00E40721">
              <w:rPr>
                <w:sz w:val="20"/>
              </w:rPr>
              <w:t>Leave</w:t>
            </w:r>
            <w:proofErr w:type="spellEnd"/>
            <w:r w:rsidRPr="00E40721">
              <w:rPr>
                <w:sz w:val="20"/>
              </w:rPr>
              <w:t>)</w:t>
            </w:r>
            <w:r w:rsidR="00425EDA">
              <w:rPr>
                <w:sz w:val="20"/>
              </w:rPr>
              <w:t xml:space="preserve"> </w:t>
            </w:r>
          </w:p>
          <w:p w:rsidR="00425EDA" w:rsidRPr="00425EDA" w:rsidRDefault="00425EDA" w:rsidP="00425EDA">
            <w:pPr>
              <w:rPr>
                <w:lang w:val="fr-CA"/>
              </w:rPr>
            </w:pPr>
          </w:p>
        </w:tc>
      </w:tr>
      <w:tr w:rsidR="00425EDA" w:rsidRPr="00E40721" w:rsidTr="00B65BA0">
        <w:tc>
          <w:tcPr>
            <w:tcW w:w="543" w:type="pct"/>
          </w:tcPr>
          <w:p w:rsidR="00425EDA" w:rsidRPr="00E40721" w:rsidRDefault="00425EDA" w:rsidP="00B65BA0">
            <w:pPr>
              <w:jc w:val="both"/>
              <w:rPr>
                <w:rStyle w:val="SCCFileNumberChar"/>
                <w:sz w:val="20"/>
                <w:szCs w:val="20"/>
              </w:rPr>
            </w:pPr>
            <w:r>
              <w:rPr>
                <w:rStyle w:val="SCCFileNumberChar"/>
                <w:sz w:val="20"/>
                <w:szCs w:val="20"/>
              </w:rPr>
              <w:t>Coram:</w:t>
            </w:r>
          </w:p>
        </w:tc>
        <w:tc>
          <w:tcPr>
            <w:tcW w:w="4457" w:type="pct"/>
            <w:gridSpan w:val="3"/>
          </w:tcPr>
          <w:p w:rsidR="00425EDA" w:rsidRDefault="001854FA" w:rsidP="00425EDA">
            <w:pPr>
              <w:pStyle w:val="SCCLsocParty"/>
              <w:jc w:val="both"/>
              <w:rPr>
                <w:rFonts w:eastAsiaTheme="minorEastAsia"/>
                <w:sz w:val="20"/>
                <w:szCs w:val="20"/>
                <w:lang w:val="en-US"/>
              </w:rPr>
            </w:pPr>
            <w:proofErr w:type="spellStart"/>
            <w:r w:rsidRPr="001854FA">
              <w:rPr>
                <w:rFonts w:eastAsiaTheme="minorEastAsia"/>
                <w:sz w:val="20"/>
                <w:szCs w:val="20"/>
                <w:lang w:val="en-US"/>
              </w:rPr>
              <w:t>McLachlin</w:t>
            </w:r>
            <w:proofErr w:type="spellEnd"/>
            <w:r w:rsidRPr="001854FA">
              <w:rPr>
                <w:rFonts w:eastAsiaTheme="minorEastAsia"/>
                <w:sz w:val="20"/>
                <w:szCs w:val="20"/>
                <w:lang w:val="en-US"/>
              </w:rPr>
              <w:t xml:space="preserve"> C.J. and </w:t>
            </w:r>
            <w:proofErr w:type="spellStart"/>
            <w:r w:rsidRPr="001854FA">
              <w:rPr>
                <w:rFonts w:eastAsiaTheme="minorEastAsia"/>
                <w:sz w:val="20"/>
                <w:szCs w:val="20"/>
                <w:lang w:val="en-US"/>
              </w:rPr>
              <w:t>Abella</w:t>
            </w:r>
            <w:proofErr w:type="spellEnd"/>
            <w:r w:rsidRPr="001854FA">
              <w:rPr>
                <w:rFonts w:eastAsiaTheme="minorEastAsia"/>
                <w:sz w:val="20"/>
                <w:szCs w:val="20"/>
                <w:lang w:val="en-US"/>
              </w:rPr>
              <w:t xml:space="preserve">, </w:t>
            </w:r>
            <w:proofErr w:type="spellStart"/>
            <w:r w:rsidRPr="001854FA">
              <w:rPr>
                <w:rFonts w:eastAsiaTheme="minorEastAsia"/>
                <w:sz w:val="20"/>
                <w:szCs w:val="20"/>
                <w:lang w:val="en-US"/>
              </w:rPr>
              <w:t>Moldaver</w:t>
            </w:r>
            <w:proofErr w:type="spellEnd"/>
            <w:r w:rsidRPr="001854FA">
              <w:rPr>
                <w:rFonts w:eastAsiaTheme="minorEastAsia"/>
                <w:sz w:val="20"/>
                <w:szCs w:val="20"/>
                <w:lang w:val="en-US"/>
              </w:rPr>
              <w:t xml:space="preserve">, </w:t>
            </w:r>
            <w:proofErr w:type="spellStart"/>
            <w:r w:rsidRPr="001854FA">
              <w:rPr>
                <w:rFonts w:eastAsiaTheme="minorEastAsia"/>
                <w:sz w:val="20"/>
                <w:szCs w:val="20"/>
                <w:lang w:val="en-US"/>
              </w:rPr>
              <w:t>Karakatsanis</w:t>
            </w:r>
            <w:proofErr w:type="spellEnd"/>
            <w:r w:rsidRPr="001854FA">
              <w:rPr>
                <w:rFonts w:eastAsiaTheme="minorEastAsia"/>
                <w:sz w:val="20"/>
                <w:szCs w:val="20"/>
                <w:lang w:val="en-US"/>
              </w:rPr>
              <w:t xml:space="preserve">, Wagner, </w:t>
            </w:r>
            <w:proofErr w:type="spellStart"/>
            <w:r w:rsidRPr="001854FA">
              <w:rPr>
                <w:rFonts w:eastAsiaTheme="minorEastAsia"/>
                <w:sz w:val="20"/>
                <w:szCs w:val="20"/>
                <w:lang w:val="en-US"/>
              </w:rPr>
              <w:t>Gascon</w:t>
            </w:r>
            <w:proofErr w:type="spellEnd"/>
            <w:r w:rsidRPr="001854FA">
              <w:rPr>
                <w:rFonts w:eastAsiaTheme="minorEastAsia"/>
                <w:sz w:val="20"/>
                <w:szCs w:val="20"/>
                <w:lang w:val="en-US"/>
              </w:rPr>
              <w:t xml:space="preserve">, </w:t>
            </w:r>
            <w:proofErr w:type="spellStart"/>
            <w:r w:rsidRPr="001854FA">
              <w:rPr>
                <w:rFonts w:eastAsiaTheme="minorEastAsia"/>
                <w:sz w:val="20"/>
                <w:szCs w:val="20"/>
                <w:lang w:val="en-US"/>
              </w:rPr>
              <w:t>Côté</w:t>
            </w:r>
            <w:proofErr w:type="spellEnd"/>
            <w:r w:rsidRPr="001854FA">
              <w:rPr>
                <w:rFonts w:eastAsiaTheme="minorEastAsia"/>
                <w:sz w:val="20"/>
                <w:szCs w:val="20"/>
                <w:lang w:val="en-US"/>
              </w:rPr>
              <w:t>, Brown and Rowe JJ.</w:t>
            </w:r>
          </w:p>
          <w:p w:rsidR="001854FA" w:rsidRPr="001854FA" w:rsidRDefault="001854FA" w:rsidP="001854FA">
            <w:pPr>
              <w:rPr>
                <w:lang w:val="en-US"/>
              </w:rPr>
            </w:pPr>
          </w:p>
        </w:tc>
      </w:tr>
      <w:tr w:rsidR="00425EDA" w:rsidRPr="00E40721" w:rsidTr="00425EDA">
        <w:tc>
          <w:tcPr>
            <w:tcW w:w="5000" w:type="pct"/>
            <w:gridSpan w:val="4"/>
          </w:tcPr>
          <w:p w:rsidR="00425EDA" w:rsidRDefault="001854FA" w:rsidP="00425EDA">
            <w:pPr>
              <w:pStyle w:val="SCCLsocParty"/>
              <w:jc w:val="both"/>
              <w:rPr>
                <w:sz w:val="20"/>
                <w:szCs w:val="20"/>
                <w:lang w:val="en-US"/>
              </w:rPr>
            </w:pPr>
            <w:r w:rsidRPr="001854FA">
              <w:rPr>
                <w:sz w:val="20"/>
                <w:szCs w:val="20"/>
                <w:lang w:val="en-US"/>
              </w:rPr>
              <w:t>The application for leave to appeal from the judgment of the Federal Court of Appeal, Number A-305-15, dated June 30, 2016, is dismissed with costs in favor of the respondent, Professional Institute of the Public Service of Canada.</w:t>
            </w:r>
          </w:p>
          <w:p w:rsidR="001854FA" w:rsidRPr="001854FA" w:rsidRDefault="001854FA" w:rsidP="001854FA">
            <w:pPr>
              <w:rPr>
                <w:lang w:val="en-US"/>
              </w:rPr>
            </w:pPr>
          </w:p>
        </w:tc>
      </w:tr>
      <w:tr w:rsidR="00B65BA0" w:rsidRPr="00E40721" w:rsidTr="00B65BA0">
        <w:tc>
          <w:tcPr>
            <w:tcW w:w="5000" w:type="pct"/>
            <w:gridSpan w:val="4"/>
          </w:tcPr>
          <w:p w:rsidR="00B65BA0" w:rsidRPr="00E40721" w:rsidRDefault="00B65BA0" w:rsidP="00B65BA0">
            <w:pPr>
              <w:jc w:val="both"/>
              <w:rPr>
                <w:sz w:val="20"/>
              </w:rPr>
            </w:pPr>
            <w:r w:rsidRPr="00E40721">
              <w:rPr>
                <w:sz w:val="20"/>
              </w:rPr>
              <w:t>Civil procedure – Appeals – Employment law – Employee protection – Applicant’s appeal of interlocutory order removing one respondent as party to applicant’s judicial review proceedings, dismissed for delay – Whether lower courts and tribunals erred in failing to investigate and reconsider the effects of lack of timeliness in grievance presentation by union – Whether lower courts erred by removing the Professional Institute of the Public Service of Canada as a party to application for judicial review.</w:t>
            </w:r>
          </w:p>
        </w:tc>
      </w:tr>
      <w:tr w:rsidR="00B65BA0" w:rsidRPr="00E40721" w:rsidTr="00B65BA0">
        <w:tc>
          <w:tcPr>
            <w:tcW w:w="5000" w:type="pct"/>
            <w:gridSpan w:val="4"/>
          </w:tcPr>
          <w:p w:rsidR="00B65BA0" w:rsidRPr="00E40721" w:rsidRDefault="00B65BA0" w:rsidP="00B65BA0">
            <w:pPr>
              <w:jc w:val="both"/>
              <w:rPr>
                <w:sz w:val="20"/>
              </w:rPr>
            </w:pPr>
          </w:p>
        </w:tc>
      </w:tr>
      <w:tr w:rsidR="00B65BA0" w:rsidRPr="00E40721" w:rsidTr="00B65BA0">
        <w:tc>
          <w:tcPr>
            <w:tcW w:w="5000" w:type="pct"/>
            <w:gridSpan w:val="4"/>
          </w:tcPr>
          <w:p w:rsidR="00B65BA0" w:rsidRPr="00E40721" w:rsidRDefault="00B65BA0" w:rsidP="00B65BA0">
            <w:pPr>
              <w:jc w:val="both"/>
              <w:rPr>
                <w:sz w:val="20"/>
              </w:rPr>
            </w:pPr>
            <w:r w:rsidRPr="00E40721">
              <w:rPr>
                <w:sz w:val="20"/>
              </w:rPr>
              <w:t>The applicant applied for judicial review with respect to a decision of the Canadian Human Rights Commission to dismiss her complaint. The Professional Institute of the Public Service of Canada was granted an order removing it as a respondent in the applicant’s judicial review proceedings.  The applicant filed a notice of appeal but failed to take the necessary steps to perfect her appeal.</w:t>
            </w:r>
            <w:r>
              <w:rPr>
                <w:sz w:val="20"/>
              </w:rPr>
              <w:t xml:space="preserve"> </w:t>
            </w:r>
            <w:r w:rsidRPr="00E40721">
              <w:rPr>
                <w:sz w:val="20"/>
              </w:rPr>
              <w:t>Sta</w:t>
            </w:r>
            <w:r>
              <w:rPr>
                <w:sz w:val="20"/>
              </w:rPr>
              <w:t>tus review proceedings ensued.</w:t>
            </w:r>
          </w:p>
          <w:p w:rsidR="00B65BA0" w:rsidRPr="00E40721" w:rsidRDefault="00B65BA0" w:rsidP="00B65BA0">
            <w:pPr>
              <w:jc w:val="both"/>
              <w:rPr>
                <w:sz w:val="20"/>
              </w:rPr>
            </w:pPr>
          </w:p>
        </w:tc>
      </w:tr>
      <w:tr w:rsidR="00B65BA0" w:rsidRPr="00E40721" w:rsidTr="00B65BA0">
        <w:tc>
          <w:tcPr>
            <w:tcW w:w="2427" w:type="pct"/>
            <w:gridSpan w:val="2"/>
          </w:tcPr>
          <w:p w:rsidR="00B65BA0" w:rsidRPr="00E40721" w:rsidRDefault="00B65BA0" w:rsidP="00B65BA0">
            <w:pPr>
              <w:jc w:val="both"/>
              <w:rPr>
                <w:sz w:val="20"/>
              </w:rPr>
            </w:pPr>
            <w:r w:rsidRPr="00E40721">
              <w:rPr>
                <w:sz w:val="20"/>
              </w:rPr>
              <w:t>June 18, 2015</w:t>
            </w:r>
          </w:p>
          <w:p w:rsidR="00B65BA0" w:rsidRPr="00E40721" w:rsidRDefault="00B65BA0" w:rsidP="00B65BA0">
            <w:pPr>
              <w:jc w:val="both"/>
              <w:rPr>
                <w:sz w:val="20"/>
              </w:rPr>
            </w:pPr>
            <w:r w:rsidRPr="00E40721">
              <w:rPr>
                <w:sz w:val="20"/>
              </w:rPr>
              <w:t>Federal Court</w:t>
            </w:r>
          </w:p>
          <w:p w:rsidR="00B65BA0" w:rsidRPr="00E40721" w:rsidRDefault="00B65BA0" w:rsidP="00B65BA0">
            <w:pPr>
              <w:jc w:val="both"/>
              <w:rPr>
                <w:sz w:val="20"/>
              </w:rPr>
            </w:pPr>
            <w:r w:rsidRPr="00E40721">
              <w:rPr>
                <w:sz w:val="20"/>
              </w:rPr>
              <w:t>(Bell J.)</w:t>
            </w:r>
          </w:p>
          <w:p w:rsidR="00B65BA0" w:rsidRPr="00E40721" w:rsidRDefault="00B65BA0" w:rsidP="00B65BA0">
            <w:pPr>
              <w:jc w:val="both"/>
              <w:rPr>
                <w:sz w:val="20"/>
              </w:rPr>
            </w:pPr>
            <w:r w:rsidRPr="00E40721">
              <w:rPr>
                <w:sz w:val="20"/>
              </w:rPr>
              <w:t>Unreported</w:t>
            </w:r>
          </w:p>
          <w:p w:rsidR="00B65BA0" w:rsidRPr="00E40721" w:rsidRDefault="00B65BA0" w:rsidP="00B65BA0">
            <w:pPr>
              <w:jc w:val="both"/>
              <w:rPr>
                <w:sz w:val="20"/>
              </w:rPr>
            </w:pPr>
          </w:p>
        </w:tc>
        <w:tc>
          <w:tcPr>
            <w:tcW w:w="243" w:type="pct"/>
          </w:tcPr>
          <w:p w:rsidR="00B65BA0" w:rsidRPr="00E40721" w:rsidRDefault="00B65BA0" w:rsidP="00B65BA0">
            <w:pPr>
              <w:jc w:val="both"/>
              <w:rPr>
                <w:sz w:val="20"/>
              </w:rPr>
            </w:pPr>
          </w:p>
        </w:tc>
        <w:tc>
          <w:tcPr>
            <w:tcW w:w="2330" w:type="pct"/>
          </w:tcPr>
          <w:p w:rsidR="00B65BA0" w:rsidRPr="00E40721" w:rsidRDefault="00B65BA0" w:rsidP="00B65BA0">
            <w:pPr>
              <w:jc w:val="both"/>
              <w:rPr>
                <w:sz w:val="20"/>
              </w:rPr>
            </w:pPr>
            <w:r w:rsidRPr="00E40721">
              <w:rPr>
                <w:sz w:val="20"/>
              </w:rPr>
              <w:t xml:space="preserve">Interlocutory order removing Professional Institute of the Public Service of Canada as respondent in applicant’s judicial review proceedings </w:t>
            </w:r>
          </w:p>
          <w:p w:rsidR="00B65BA0" w:rsidRPr="00E40721" w:rsidRDefault="00B65BA0" w:rsidP="00B65BA0">
            <w:pPr>
              <w:jc w:val="both"/>
              <w:rPr>
                <w:sz w:val="20"/>
              </w:rPr>
            </w:pPr>
          </w:p>
        </w:tc>
      </w:tr>
      <w:tr w:rsidR="00B65BA0" w:rsidRPr="00E40721" w:rsidTr="00B65BA0">
        <w:tc>
          <w:tcPr>
            <w:tcW w:w="2427" w:type="pct"/>
            <w:gridSpan w:val="2"/>
          </w:tcPr>
          <w:p w:rsidR="00B65BA0" w:rsidRPr="00E40721" w:rsidRDefault="00B65BA0" w:rsidP="00B65BA0">
            <w:pPr>
              <w:jc w:val="both"/>
              <w:rPr>
                <w:sz w:val="20"/>
              </w:rPr>
            </w:pPr>
            <w:r w:rsidRPr="00E40721">
              <w:rPr>
                <w:sz w:val="20"/>
              </w:rPr>
              <w:t>June 30, 2016</w:t>
            </w:r>
          </w:p>
          <w:p w:rsidR="00B65BA0" w:rsidRPr="00E40721" w:rsidRDefault="00B65BA0" w:rsidP="00B65BA0">
            <w:pPr>
              <w:jc w:val="both"/>
              <w:rPr>
                <w:sz w:val="20"/>
              </w:rPr>
            </w:pPr>
            <w:r w:rsidRPr="00E40721">
              <w:rPr>
                <w:sz w:val="20"/>
              </w:rPr>
              <w:t>Federal Court of Appeal</w:t>
            </w:r>
          </w:p>
          <w:p w:rsidR="00B65BA0" w:rsidRPr="00E40721" w:rsidRDefault="00B65BA0" w:rsidP="00B65BA0">
            <w:pPr>
              <w:jc w:val="both"/>
              <w:rPr>
                <w:sz w:val="20"/>
              </w:rPr>
            </w:pPr>
            <w:r w:rsidRPr="00E40721">
              <w:rPr>
                <w:sz w:val="20"/>
              </w:rPr>
              <w:t xml:space="preserve">(Noël C.J., Dawson and </w:t>
            </w:r>
            <w:proofErr w:type="spellStart"/>
            <w:r w:rsidRPr="00E40721">
              <w:rPr>
                <w:sz w:val="20"/>
              </w:rPr>
              <w:t>Stratas</w:t>
            </w:r>
            <w:proofErr w:type="spellEnd"/>
            <w:r w:rsidRPr="00E40721">
              <w:rPr>
                <w:sz w:val="20"/>
              </w:rPr>
              <w:t xml:space="preserve"> JJ.A.)</w:t>
            </w:r>
          </w:p>
          <w:p w:rsidR="00B65BA0" w:rsidRPr="00E40721" w:rsidRDefault="00B65BA0" w:rsidP="00B65BA0">
            <w:pPr>
              <w:jc w:val="both"/>
              <w:rPr>
                <w:sz w:val="20"/>
              </w:rPr>
            </w:pPr>
            <w:r w:rsidRPr="00E40721">
              <w:rPr>
                <w:sz w:val="20"/>
              </w:rPr>
              <w:t>Unreported</w:t>
            </w:r>
          </w:p>
          <w:p w:rsidR="00B65BA0" w:rsidRPr="00E40721" w:rsidRDefault="00B65BA0" w:rsidP="00B65BA0">
            <w:pPr>
              <w:jc w:val="both"/>
              <w:rPr>
                <w:sz w:val="20"/>
              </w:rPr>
            </w:pPr>
          </w:p>
        </w:tc>
        <w:tc>
          <w:tcPr>
            <w:tcW w:w="243" w:type="pct"/>
          </w:tcPr>
          <w:p w:rsidR="00B65BA0" w:rsidRPr="00E40721" w:rsidRDefault="00B65BA0" w:rsidP="00B65BA0">
            <w:pPr>
              <w:jc w:val="both"/>
              <w:rPr>
                <w:sz w:val="20"/>
              </w:rPr>
            </w:pPr>
          </w:p>
        </w:tc>
        <w:tc>
          <w:tcPr>
            <w:tcW w:w="2330" w:type="pct"/>
          </w:tcPr>
          <w:p w:rsidR="00B65BA0" w:rsidRPr="00E40721" w:rsidRDefault="00B65BA0" w:rsidP="00B65BA0">
            <w:pPr>
              <w:jc w:val="both"/>
              <w:rPr>
                <w:sz w:val="20"/>
              </w:rPr>
            </w:pPr>
            <w:r w:rsidRPr="00E40721">
              <w:rPr>
                <w:sz w:val="20"/>
              </w:rPr>
              <w:t>Applicant’s appeal dismissed for delay</w:t>
            </w:r>
          </w:p>
          <w:p w:rsidR="00B65BA0" w:rsidRPr="00E40721" w:rsidRDefault="00B65BA0" w:rsidP="00B65BA0">
            <w:pPr>
              <w:jc w:val="both"/>
              <w:rPr>
                <w:sz w:val="20"/>
              </w:rPr>
            </w:pPr>
          </w:p>
        </w:tc>
      </w:tr>
      <w:tr w:rsidR="00B65BA0" w:rsidRPr="00E40721" w:rsidTr="00B65BA0">
        <w:tc>
          <w:tcPr>
            <w:tcW w:w="2427" w:type="pct"/>
            <w:gridSpan w:val="2"/>
          </w:tcPr>
          <w:p w:rsidR="00B65BA0" w:rsidRPr="00E40721" w:rsidRDefault="00B65BA0" w:rsidP="00B65BA0">
            <w:pPr>
              <w:jc w:val="both"/>
              <w:rPr>
                <w:sz w:val="20"/>
              </w:rPr>
            </w:pPr>
            <w:r w:rsidRPr="00E40721">
              <w:rPr>
                <w:sz w:val="20"/>
              </w:rPr>
              <w:t>September 29, 2016</w:t>
            </w:r>
          </w:p>
          <w:p w:rsidR="00B65BA0" w:rsidRPr="00E40721" w:rsidRDefault="00B65BA0" w:rsidP="00B65BA0">
            <w:pPr>
              <w:jc w:val="both"/>
              <w:rPr>
                <w:sz w:val="20"/>
              </w:rPr>
            </w:pPr>
            <w:r w:rsidRPr="00E40721">
              <w:rPr>
                <w:sz w:val="20"/>
              </w:rPr>
              <w:t>Supreme Court of Canada</w:t>
            </w:r>
          </w:p>
        </w:tc>
        <w:tc>
          <w:tcPr>
            <w:tcW w:w="243" w:type="pct"/>
          </w:tcPr>
          <w:p w:rsidR="00B65BA0" w:rsidRPr="00E40721" w:rsidRDefault="00B65BA0" w:rsidP="00B65BA0">
            <w:pPr>
              <w:jc w:val="both"/>
              <w:rPr>
                <w:sz w:val="20"/>
              </w:rPr>
            </w:pPr>
          </w:p>
        </w:tc>
        <w:tc>
          <w:tcPr>
            <w:tcW w:w="2330" w:type="pct"/>
          </w:tcPr>
          <w:p w:rsidR="00B65BA0" w:rsidRPr="00E40721" w:rsidRDefault="00B65BA0" w:rsidP="00B65BA0">
            <w:pPr>
              <w:jc w:val="both"/>
              <w:rPr>
                <w:sz w:val="20"/>
              </w:rPr>
            </w:pPr>
            <w:r w:rsidRPr="00E40721">
              <w:rPr>
                <w:sz w:val="20"/>
              </w:rPr>
              <w:t>Application for leave to appeal filed</w:t>
            </w:r>
          </w:p>
          <w:p w:rsidR="00B65BA0" w:rsidRPr="00E40721" w:rsidRDefault="00B65BA0" w:rsidP="00B65BA0">
            <w:pPr>
              <w:jc w:val="both"/>
              <w:rPr>
                <w:sz w:val="20"/>
              </w:rPr>
            </w:pPr>
          </w:p>
        </w:tc>
      </w:tr>
    </w:tbl>
    <w:p w:rsidR="00B65BA0" w:rsidRDefault="00E7387C" w:rsidP="00B65BA0">
      <w:pPr>
        <w:jc w:val="both"/>
        <w:rPr>
          <w:sz w:val="20"/>
        </w:rPr>
      </w:pPr>
      <w:r>
        <w:rPr>
          <w:sz w:val="20"/>
          <w:szCs w:val="20"/>
        </w:rPr>
        <w:pict>
          <v:rect id="_x0000_i1045" style="width:2in;height:1pt" o:hrpct="0" o:hralign="center" o:hrstd="t" o:hrnoshade="t" o:hr="t" fillcolor="black [3213]" stroked="f"/>
        </w:pict>
      </w:r>
    </w:p>
    <w:p w:rsidR="00B65BA0" w:rsidRPr="00E40721" w:rsidRDefault="00B65BA0" w:rsidP="00B65BA0">
      <w:pPr>
        <w:jc w:val="both"/>
        <w:rPr>
          <w:sz w:val="20"/>
        </w:rPr>
      </w:pPr>
    </w:p>
    <w:p w:rsidR="009C14E5" w:rsidRDefault="009C14E5">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65BA0" w:rsidRPr="00B65BA0" w:rsidTr="00B65BA0">
        <w:tc>
          <w:tcPr>
            <w:tcW w:w="543" w:type="pct"/>
          </w:tcPr>
          <w:p w:rsidR="00B65BA0" w:rsidRPr="00E40721" w:rsidRDefault="00B65BA0" w:rsidP="00B65BA0">
            <w:pPr>
              <w:jc w:val="both"/>
              <w:rPr>
                <w:sz w:val="20"/>
                <w:lang w:val="fr-CA"/>
              </w:rPr>
            </w:pPr>
            <w:r w:rsidRPr="00E40721">
              <w:rPr>
                <w:rStyle w:val="SCCFileNumberChar"/>
                <w:sz w:val="20"/>
                <w:szCs w:val="20"/>
                <w:lang w:val="fr-CA"/>
              </w:rPr>
              <w:lastRenderedPageBreak/>
              <w:t>37307</w:t>
            </w:r>
          </w:p>
        </w:tc>
        <w:tc>
          <w:tcPr>
            <w:tcW w:w="4457" w:type="pct"/>
            <w:gridSpan w:val="3"/>
          </w:tcPr>
          <w:p w:rsidR="00B65BA0" w:rsidRDefault="00B65BA0" w:rsidP="00425EDA">
            <w:pPr>
              <w:pStyle w:val="SCCLsocParty"/>
              <w:jc w:val="both"/>
              <w:rPr>
                <w:sz w:val="20"/>
              </w:rPr>
            </w:pPr>
            <w:r w:rsidRPr="00E40721">
              <w:rPr>
                <w:b/>
                <w:sz w:val="20"/>
                <w:szCs w:val="20"/>
              </w:rPr>
              <w:t>Rosemary Anne Hood c. Procureur général du Canada, Agence canadienne de protection des aliments, Agence de la santé publique du Canada, Institut professionnel de la fonction publique du Canada</w:t>
            </w:r>
            <w:r w:rsidR="007A7667">
              <w:rPr>
                <w:b/>
                <w:sz w:val="20"/>
                <w:szCs w:val="20"/>
              </w:rPr>
              <w:t xml:space="preserve"> et</w:t>
            </w:r>
            <w:r w:rsidRPr="00E40721">
              <w:rPr>
                <w:b/>
                <w:sz w:val="20"/>
                <w:szCs w:val="20"/>
              </w:rPr>
              <w:t xml:space="preserve"> Emploi et Développement social Canada </w:t>
            </w:r>
            <w:r w:rsidR="00425EDA">
              <w:rPr>
                <w:b/>
                <w:sz w:val="20"/>
                <w:szCs w:val="20"/>
              </w:rPr>
              <w:t>–</w:t>
            </w:r>
            <w:r w:rsidRPr="00E40721">
              <w:rPr>
                <w:b/>
                <w:sz w:val="20"/>
                <w:szCs w:val="20"/>
              </w:rPr>
              <w:t xml:space="preserve"> Travail</w:t>
            </w:r>
            <w:r w:rsidR="00425EDA">
              <w:rPr>
                <w:b/>
                <w:sz w:val="20"/>
                <w:szCs w:val="20"/>
              </w:rPr>
              <w:t xml:space="preserve"> </w:t>
            </w:r>
            <w:r w:rsidRPr="00E40721">
              <w:rPr>
                <w:sz w:val="20"/>
              </w:rPr>
              <w:t>(C</w:t>
            </w:r>
            <w:r>
              <w:rPr>
                <w:sz w:val="20"/>
              </w:rPr>
              <w:t>.</w:t>
            </w:r>
            <w:r w:rsidRPr="00E40721">
              <w:rPr>
                <w:sz w:val="20"/>
              </w:rPr>
              <w:t>F</w:t>
            </w:r>
            <w:r>
              <w:rPr>
                <w:sz w:val="20"/>
              </w:rPr>
              <w:t>.</w:t>
            </w:r>
            <w:r w:rsidRPr="00E40721">
              <w:rPr>
                <w:sz w:val="20"/>
              </w:rPr>
              <w:t>) (Civile) (Sur autorisation)</w:t>
            </w:r>
          </w:p>
          <w:p w:rsidR="00425EDA" w:rsidRPr="00425EDA" w:rsidRDefault="00425EDA" w:rsidP="00425EDA">
            <w:pPr>
              <w:rPr>
                <w:lang w:val="fr-CA"/>
              </w:rPr>
            </w:pPr>
          </w:p>
        </w:tc>
      </w:tr>
      <w:tr w:rsidR="00425EDA" w:rsidRPr="00E7387C" w:rsidTr="00425EDA">
        <w:trPr>
          <w:trHeight w:val="68"/>
        </w:trPr>
        <w:tc>
          <w:tcPr>
            <w:tcW w:w="543" w:type="pct"/>
          </w:tcPr>
          <w:p w:rsidR="00425EDA" w:rsidRPr="00E40721" w:rsidRDefault="00425EDA" w:rsidP="00B65BA0">
            <w:pPr>
              <w:jc w:val="both"/>
              <w:rPr>
                <w:rStyle w:val="SCCFileNumberChar"/>
                <w:sz w:val="20"/>
                <w:szCs w:val="20"/>
                <w:lang w:val="fr-CA"/>
              </w:rPr>
            </w:pPr>
            <w:r>
              <w:rPr>
                <w:rStyle w:val="SCCFileNumberChar"/>
                <w:sz w:val="20"/>
                <w:szCs w:val="20"/>
                <w:lang w:val="fr-CA"/>
              </w:rPr>
              <w:t>Coram :</w:t>
            </w:r>
          </w:p>
        </w:tc>
        <w:tc>
          <w:tcPr>
            <w:tcW w:w="4457" w:type="pct"/>
            <w:gridSpan w:val="3"/>
          </w:tcPr>
          <w:p w:rsidR="00425EDA" w:rsidRDefault="009C14E5" w:rsidP="00425EDA">
            <w:pPr>
              <w:pStyle w:val="SCCLsocParty"/>
              <w:jc w:val="both"/>
              <w:rPr>
                <w:rFonts w:eastAsiaTheme="minorEastAsia"/>
                <w:sz w:val="20"/>
                <w:szCs w:val="20"/>
              </w:rPr>
            </w:pPr>
            <w:r w:rsidRPr="003F60D1">
              <w:rPr>
                <w:rFonts w:eastAsiaTheme="minorEastAsia"/>
                <w:sz w:val="20"/>
                <w:szCs w:val="20"/>
                <w:lang w:val="fr-FR"/>
              </w:rPr>
              <w:t xml:space="preserve">La juge en chef </w:t>
            </w:r>
            <w:proofErr w:type="spellStart"/>
            <w:r w:rsidRPr="003F60D1">
              <w:rPr>
                <w:rFonts w:eastAsiaTheme="minorEastAsia"/>
                <w:sz w:val="20"/>
                <w:szCs w:val="20"/>
                <w:lang w:val="fr-FR"/>
              </w:rPr>
              <w:t>McLachlin</w:t>
            </w:r>
            <w:proofErr w:type="spellEnd"/>
            <w:r w:rsidRPr="003F60D1">
              <w:rPr>
                <w:rFonts w:eastAsiaTheme="minorEastAsia"/>
                <w:sz w:val="20"/>
                <w:szCs w:val="20"/>
                <w:lang w:val="fr-FR"/>
              </w:rPr>
              <w:t xml:space="preserve"> et les juges Abella, </w:t>
            </w:r>
            <w:proofErr w:type="spellStart"/>
            <w:r w:rsidRPr="003F60D1">
              <w:rPr>
                <w:rFonts w:eastAsiaTheme="minorEastAsia"/>
                <w:sz w:val="20"/>
                <w:szCs w:val="20"/>
              </w:rPr>
              <w:t>Moldaver</w:t>
            </w:r>
            <w:proofErr w:type="spellEnd"/>
            <w:r w:rsidRPr="003F60D1">
              <w:rPr>
                <w:rFonts w:eastAsiaTheme="minorEastAsia"/>
                <w:sz w:val="20"/>
                <w:szCs w:val="20"/>
              </w:rPr>
              <w:t xml:space="preserve">, </w:t>
            </w:r>
            <w:proofErr w:type="spellStart"/>
            <w:r w:rsidRPr="003F60D1">
              <w:rPr>
                <w:rFonts w:eastAsiaTheme="minorEastAsia"/>
                <w:sz w:val="20"/>
                <w:szCs w:val="20"/>
              </w:rPr>
              <w:t>Karakatsanis</w:t>
            </w:r>
            <w:proofErr w:type="spellEnd"/>
            <w:r w:rsidRPr="003F60D1">
              <w:rPr>
                <w:rFonts w:eastAsiaTheme="minorEastAsia"/>
                <w:sz w:val="20"/>
                <w:szCs w:val="20"/>
              </w:rPr>
              <w:t>, Wagner, Gascon, Côté, Brown et Rowe</w:t>
            </w:r>
          </w:p>
          <w:p w:rsidR="009C14E5" w:rsidRPr="009C14E5" w:rsidRDefault="009C14E5" w:rsidP="009C14E5">
            <w:pPr>
              <w:rPr>
                <w:lang w:val="fr-CA"/>
              </w:rPr>
            </w:pPr>
          </w:p>
        </w:tc>
      </w:tr>
      <w:tr w:rsidR="00425EDA" w:rsidRPr="00E7387C" w:rsidTr="00425EDA">
        <w:tc>
          <w:tcPr>
            <w:tcW w:w="5000" w:type="pct"/>
            <w:gridSpan w:val="4"/>
          </w:tcPr>
          <w:p w:rsidR="00425EDA" w:rsidRDefault="009C14E5" w:rsidP="00425EDA">
            <w:pPr>
              <w:pStyle w:val="SCCLsocParty"/>
              <w:jc w:val="both"/>
              <w:rPr>
                <w:sz w:val="20"/>
                <w:szCs w:val="20"/>
              </w:rPr>
            </w:pPr>
            <w:r w:rsidRPr="003F60D1">
              <w:rPr>
                <w:sz w:val="20"/>
                <w:szCs w:val="20"/>
              </w:rPr>
              <w:t>La demande d’autorisation d’appel de l’arrêt de la Cour d’appel fédérale, numéro A-305-15, daté du 30 juin 2016, est rejetée avec dépens en faveur de l’intimé, Institut professionnel de la fonction publique du Canada.</w:t>
            </w:r>
          </w:p>
          <w:p w:rsidR="009C14E5" w:rsidRPr="009C14E5" w:rsidRDefault="009C14E5" w:rsidP="009C14E5">
            <w:pPr>
              <w:rPr>
                <w:lang w:val="fr-CA"/>
              </w:rPr>
            </w:pPr>
          </w:p>
        </w:tc>
      </w:tr>
      <w:tr w:rsidR="00B65BA0" w:rsidRPr="00E7387C" w:rsidTr="00B65BA0">
        <w:tc>
          <w:tcPr>
            <w:tcW w:w="5000" w:type="pct"/>
            <w:gridSpan w:val="4"/>
          </w:tcPr>
          <w:p w:rsidR="00B65BA0" w:rsidRPr="00E40721" w:rsidRDefault="00B65BA0" w:rsidP="00B65BA0">
            <w:pPr>
              <w:jc w:val="both"/>
              <w:rPr>
                <w:sz w:val="20"/>
                <w:lang w:val="fr-CA"/>
              </w:rPr>
            </w:pPr>
            <w:r w:rsidRPr="00E40721">
              <w:rPr>
                <w:sz w:val="20"/>
                <w:lang w:val="fr-CA"/>
              </w:rPr>
              <w:t xml:space="preserve">Procédure civile – Appels – Droit de l’emploi – Protection des employés – L’appel interjeté par la demanderesse de l’ordonnance interlocutoire mettant hors de cause une partie à la demande de contrôle judiciaire de la demanderesse a été rejeté pour cause de retard – Les juridictions inférieures </w:t>
            </w:r>
            <w:proofErr w:type="spellStart"/>
            <w:r w:rsidRPr="00E40721">
              <w:rPr>
                <w:sz w:val="20"/>
                <w:lang w:val="fr-CA"/>
              </w:rPr>
              <w:t>ont-elles</w:t>
            </w:r>
            <w:proofErr w:type="spellEnd"/>
            <w:r w:rsidRPr="00E40721">
              <w:rPr>
                <w:sz w:val="20"/>
                <w:lang w:val="fr-CA"/>
              </w:rPr>
              <w:t xml:space="preserve"> eu tort de ne pas faire enquête et réexaminer les effets de la présentation tardive d’un grief par le syndicat? – Les juridictions inférieures </w:t>
            </w:r>
            <w:proofErr w:type="spellStart"/>
            <w:r w:rsidRPr="00E40721">
              <w:rPr>
                <w:sz w:val="20"/>
                <w:lang w:val="fr-CA"/>
              </w:rPr>
              <w:t>ont-elles</w:t>
            </w:r>
            <w:proofErr w:type="spellEnd"/>
            <w:r w:rsidRPr="00E40721">
              <w:rPr>
                <w:sz w:val="20"/>
                <w:lang w:val="fr-CA"/>
              </w:rPr>
              <w:t xml:space="preserve"> eu tort de mettre hors de cause l’Institut professionnel de la fonction publique du Canada en tant que partie à la demande de contrôle judiciaire? </w:t>
            </w:r>
          </w:p>
        </w:tc>
      </w:tr>
      <w:tr w:rsidR="00B65BA0" w:rsidRPr="00E7387C" w:rsidTr="00B65BA0">
        <w:tc>
          <w:tcPr>
            <w:tcW w:w="5000" w:type="pct"/>
            <w:gridSpan w:val="4"/>
          </w:tcPr>
          <w:p w:rsidR="00B65BA0" w:rsidRPr="00E40721" w:rsidRDefault="00B65BA0" w:rsidP="00B65BA0">
            <w:pPr>
              <w:jc w:val="both"/>
              <w:rPr>
                <w:sz w:val="20"/>
                <w:lang w:val="fr-CA"/>
              </w:rPr>
            </w:pPr>
          </w:p>
        </w:tc>
      </w:tr>
      <w:tr w:rsidR="00B65BA0" w:rsidRPr="00E7387C" w:rsidTr="00B65BA0">
        <w:tc>
          <w:tcPr>
            <w:tcW w:w="5000" w:type="pct"/>
            <w:gridSpan w:val="4"/>
          </w:tcPr>
          <w:p w:rsidR="00B65BA0" w:rsidRPr="00E40721" w:rsidRDefault="00B65BA0" w:rsidP="00B65BA0">
            <w:pPr>
              <w:jc w:val="both"/>
              <w:rPr>
                <w:sz w:val="20"/>
                <w:lang w:val="fr-CA"/>
              </w:rPr>
            </w:pPr>
            <w:r w:rsidRPr="00E40721">
              <w:rPr>
                <w:sz w:val="20"/>
                <w:lang w:val="fr-CA"/>
              </w:rPr>
              <w:t>La demanderesse a sollicité le contrôle judiciaire d’une décision de la Commission canadienne des droits de la personne rejetant sa plainte. L’Institut professionnel de la fonction publique du Canada a obtenu une ordonnance le mettant hors de cause comme intimé dans la demande de contrôle judiciaire de la demanderesse. La demanderesse a présenté un avis d’appel, mais elle a omis mis de prendre les mesures nécessaires pour perfectionner son appel. Une procédure d’examen de l’état de l’instance s’en est ensuivie.</w:t>
            </w:r>
          </w:p>
          <w:p w:rsidR="00B65BA0" w:rsidRPr="00E40721" w:rsidRDefault="00B65BA0" w:rsidP="00B65BA0">
            <w:pPr>
              <w:jc w:val="both"/>
              <w:rPr>
                <w:sz w:val="20"/>
                <w:lang w:val="fr-CA"/>
              </w:rPr>
            </w:pPr>
          </w:p>
        </w:tc>
      </w:tr>
      <w:tr w:rsidR="00B65BA0" w:rsidRPr="00E7387C" w:rsidTr="00B65BA0">
        <w:tc>
          <w:tcPr>
            <w:tcW w:w="2427" w:type="pct"/>
            <w:gridSpan w:val="2"/>
          </w:tcPr>
          <w:p w:rsidR="00B65BA0" w:rsidRPr="00E40721" w:rsidRDefault="00B65BA0" w:rsidP="00B65BA0">
            <w:pPr>
              <w:jc w:val="both"/>
              <w:rPr>
                <w:sz w:val="20"/>
                <w:lang w:val="fr-CA"/>
              </w:rPr>
            </w:pPr>
            <w:r w:rsidRPr="00E40721">
              <w:rPr>
                <w:sz w:val="20"/>
                <w:lang w:val="fr-CA"/>
              </w:rPr>
              <w:t>18 juin 2015</w:t>
            </w:r>
          </w:p>
          <w:p w:rsidR="00B65BA0" w:rsidRPr="00E40721" w:rsidRDefault="00B65BA0" w:rsidP="00B65BA0">
            <w:pPr>
              <w:jc w:val="both"/>
              <w:rPr>
                <w:sz w:val="20"/>
                <w:lang w:val="fr-CA"/>
              </w:rPr>
            </w:pPr>
            <w:r w:rsidRPr="00E40721">
              <w:rPr>
                <w:sz w:val="20"/>
                <w:lang w:val="fr-CA"/>
              </w:rPr>
              <w:t xml:space="preserve">Cour fédérale </w:t>
            </w:r>
          </w:p>
          <w:p w:rsidR="00B65BA0" w:rsidRPr="00E40721" w:rsidRDefault="00B65BA0" w:rsidP="00B65BA0">
            <w:pPr>
              <w:jc w:val="both"/>
              <w:rPr>
                <w:sz w:val="20"/>
                <w:lang w:val="fr-CA"/>
              </w:rPr>
            </w:pPr>
            <w:r w:rsidRPr="00E40721">
              <w:rPr>
                <w:sz w:val="20"/>
                <w:lang w:val="fr-CA"/>
              </w:rPr>
              <w:t>(Juge Bell)</w:t>
            </w:r>
          </w:p>
          <w:p w:rsidR="00B65BA0" w:rsidRPr="00E40721" w:rsidRDefault="00B65BA0" w:rsidP="00B65BA0">
            <w:pPr>
              <w:jc w:val="both"/>
              <w:rPr>
                <w:sz w:val="20"/>
                <w:lang w:val="fr-CA"/>
              </w:rPr>
            </w:pPr>
            <w:r w:rsidRPr="00E40721">
              <w:rPr>
                <w:sz w:val="20"/>
                <w:lang w:val="fr-CA"/>
              </w:rPr>
              <w:t>Non publié</w:t>
            </w:r>
          </w:p>
          <w:p w:rsidR="00B65BA0" w:rsidRPr="00E40721" w:rsidRDefault="00B65BA0" w:rsidP="00B65BA0">
            <w:pPr>
              <w:jc w:val="both"/>
              <w:rPr>
                <w:sz w:val="20"/>
                <w:lang w:val="fr-CA"/>
              </w:rPr>
            </w:pPr>
          </w:p>
        </w:tc>
        <w:tc>
          <w:tcPr>
            <w:tcW w:w="243" w:type="pct"/>
          </w:tcPr>
          <w:p w:rsidR="00B65BA0" w:rsidRPr="00E40721" w:rsidRDefault="00B65BA0" w:rsidP="00B65BA0">
            <w:pPr>
              <w:jc w:val="both"/>
              <w:rPr>
                <w:sz w:val="20"/>
                <w:lang w:val="fr-CA"/>
              </w:rPr>
            </w:pPr>
          </w:p>
        </w:tc>
        <w:tc>
          <w:tcPr>
            <w:tcW w:w="2330" w:type="pct"/>
          </w:tcPr>
          <w:p w:rsidR="00B65BA0" w:rsidRPr="00E40721" w:rsidRDefault="00B65BA0" w:rsidP="00B65BA0">
            <w:pPr>
              <w:jc w:val="both"/>
              <w:rPr>
                <w:sz w:val="20"/>
                <w:lang w:val="fr-CA"/>
              </w:rPr>
            </w:pPr>
            <w:r w:rsidRPr="00E40721">
              <w:rPr>
                <w:sz w:val="20"/>
                <w:lang w:val="fr-CA"/>
              </w:rPr>
              <w:t xml:space="preserve">Ordonnance interlocutoire mettant hors de cause d’Institut professionnel de la fonction publique du Canada comme intimé dans la demande de contrôle judiciaire de la demanderesse </w:t>
            </w:r>
          </w:p>
          <w:p w:rsidR="00B65BA0" w:rsidRPr="00E40721" w:rsidRDefault="00B65BA0" w:rsidP="00B65BA0">
            <w:pPr>
              <w:jc w:val="both"/>
              <w:rPr>
                <w:sz w:val="20"/>
                <w:lang w:val="fr-CA"/>
              </w:rPr>
            </w:pPr>
          </w:p>
        </w:tc>
      </w:tr>
      <w:tr w:rsidR="00B65BA0" w:rsidRPr="00E7387C" w:rsidTr="00B65BA0">
        <w:tc>
          <w:tcPr>
            <w:tcW w:w="2427" w:type="pct"/>
            <w:gridSpan w:val="2"/>
          </w:tcPr>
          <w:p w:rsidR="00B65BA0" w:rsidRPr="00E40721" w:rsidRDefault="00B65BA0" w:rsidP="00B65BA0">
            <w:pPr>
              <w:jc w:val="both"/>
              <w:rPr>
                <w:sz w:val="20"/>
                <w:lang w:val="fr-CA"/>
              </w:rPr>
            </w:pPr>
            <w:r w:rsidRPr="00E40721">
              <w:rPr>
                <w:sz w:val="20"/>
                <w:lang w:val="fr-CA"/>
              </w:rPr>
              <w:t xml:space="preserve">30 juin 2016 </w:t>
            </w:r>
          </w:p>
          <w:p w:rsidR="00B65BA0" w:rsidRPr="00E40721" w:rsidRDefault="00B65BA0" w:rsidP="00B65BA0">
            <w:pPr>
              <w:jc w:val="both"/>
              <w:rPr>
                <w:sz w:val="20"/>
                <w:lang w:val="fr-CA"/>
              </w:rPr>
            </w:pPr>
            <w:r w:rsidRPr="00E40721">
              <w:rPr>
                <w:sz w:val="20"/>
                <w:lang w:val="fr-CA"/>
              </w:rPr>
              <w:t xml:space="preserve">Cour d’appel fédérale </w:t>
            </w:r>
          </w:p>
          <w:p w:rsidR="00B65BA0" w:rsidRPr="00E40721" w:rsidRDefault="00B65BA0" w:rsidP="00B65BA0">
            <w:pPr>
              <w:jc w:val="both"/>
              <w:rPr>
                <w:sz w:val="20"/>
                <w:lang w:val="fr-CA"/>
              </w:rPr>
            </w:pPr>
            <w:r w:rsidRPr="00E40721">
              <w:rPr>
                <w:sz w:val="20"/>
                <w:lang w:val="fr-CA"/>
              </w:rPr>
              <w:t xml:space="preserve">(Juge en chef Noël, juges Dawson et </w:t>
            </w:r>
            <w:proofErr w:type="spellStart"/>
            <w:r w:rsidRPr="00E40721">
              <w:rPr>
                <w:sz w:val="20"/>
                <w:lang w:val="fr-CA"/>
              </w:rPr>
              <w:t>Stratas</w:t>
            </w:r>
            <w:proofErr w:type="spellEnd"/>
            <w:r w:rsidRPr="00E40721">
              <w:rPr>
                <w:sz w:val="20"/>
                <w:lang w:val="fr-CA"/>
              </w:rPr>
              <w:t>)</w:t>
            </w:r>
          </w:p>
          <w:p w:rsidR="00B65BA0" w:rsidRPr="00E40721" w:rsidRDefault="00B65BA0" w:rsidP="00B65BA0">
            <w:pPr>
              <w:jc w:val="both"/>
              <w:rPr>
                <w:sz w:val="20"/>
                <w:lang w:val="fr-CA"/>
              </w:rPr>
            </w:pPr>
            <w:r w:rsidRPr="00E40721">
              <w:rPr>
                <w:sz w:val="20"/>
                <w:lang w:val="fr-CA"/>
              </w:rPr>
              <w:t>Non publié</w:t>
            </w:r>
          </w:p>
          <w:p w:rsidR="00B65BA0" w:rsidRPr="00E40721" w:rsidRDefault="00B65BA0" w:rsidP="00B65BA0">
            <w:pPr>
              <w:jc w:val="both"/>
              <w:rPr>
                <w:sz w:val="20"/>
                <w:lang w:val="fr-CA"/>
              </w:rPr>
            </w:pPr>
          </w:p>
        </w:tc>
        <w:tc>
          <w:tcPr>
            <w:tcW w:w="243" w:type="pct"/>
          </w:tcPr>
          <w:p w:rsidR="00B65BA0" w:rsidRPr="00E40721" w:rsidRDefault="00B65BA0" w:rsidP="00B65BA0">
            <w:pPr>
              <w:jc w:val="both"/>
              <w:rPr>
                <w:sz w:val="20"/>
                <w:lang w:val="fr-CA"/>
              </w:rPr>
            </w:pPr>
          </w:p>
        </w:tc>
        <w:tc>
          <w:tcPr>
            <w:tcW w:w="2330" w:type="pct"/>
          </w:tcPr>
          <w:p w:rsidR="00B65BA0" w:rsidRPr="00E40721" w:rsidRDefault="00B65BA0" w:rsidP="00B65BA0">
            <w:pPr>
              <w:jc w:val="both"/>
              <w:rPr>
                <w:sz w:val="20"/>
                <w:lang w:val="fr-CA"/>
              </w:rPr>
            </w:pPr>
            <w:r w:rsidRPr="00E40721">
              <w:rPr>
                <w:sz w:val="20"/>
                <w:lang w:val="fr-CA"/>
              </w:rPr>
              <w:t>Rejet de l’appel de la demanderesse pour cause de retard</w:t>
            </w:r>
          </w:p>
          <w:p w:rsidR="00B65BA0" w:rsidRPr="00E40721" w:rsidRDefault="00B65BA0" w:rsidP="00B65BA0">
            <w:pPr>
              <w:jc w:val="both"/>
              <w:rPr>
                <w:sz w:val="20"/>
                <w:lang w:val="fr-CA"/>
              </w:rPr>
            </w:pPr>
          </w:p>
        </w:tc>
      </w:tr>
      <w:tr w:rsidR="00B65BA0" w:rsidRPr="00E7387C" w:rsidTr="00B65BA0">
        <w:tc>
          <w:tcPr>
            <w:tcW w:w="2427" w:type="pct"/>
            <w:gridSpan w:val="2"/>
          </w:tcPr>
          <w:p w:rsidR="00B65BA0" w:rsidRPr="00E40721" w:rsidRDefault="00B65BA0" w:rsidP="00B65BA0">
            <w:pPr>
              <w:jc w:val="both"/>
              <w:rPr>
                <w:sz w:val="20"/>
                <w:lang w:val="fr-CA"/>
              </w:rPr>
            </w:pPr>
            <w:r w:rsidRPr="00E40721">
              <w:rPr>
                <w:sz w:val="20"/>
                <w:lang w:val="fr-CA"/>
              </w:rPr>
              <w:t>29 septembre 2016</w:t>
            </w:r>
          </w:p>
          <w:p w:rsidR="00B65BA0" w:rsidRPr="00E40721" w:rsidRDefault="00B65BA0" w:rsidP="00B65BA0">
            <w:pPr>
              <w:jc w:val="both"/>
              <w:rPr>
                <w:sz w:val="20"/>
                <w:lang w:val="fr-CA"/>
              </w:rPr>
            </w:pPr>
            <w:r w:rsidRPr="00E40721">
              <w:rPr>
                <w:sz w:val="20"/>
                <w:lang w:val="fr-CA"/>
              </w:rPr>
              <w:t>Cour suprême du Canada</w:t>
            </w:r>
          </w:p>
        </w:tc>
        <w:tc>
          <w:tcPr>
            <w:tcW w:w="243" w:type="pct"/>
          </w:tcPr>
          <w:p w:rsidR="00B65BA0" w:rsidRPr="00E40721" w:rsidRDefault="00B65BA0" w:rsidP="00B65BA0">
            <w:pPr>
              <w:jc w:val="both"/>
              <w:rPr>
                <w:sz w:val="20"/>
                <w:lang w:val="fr-CA"/>
              </w:rPr>
            </w:pPr>
          </w:p>
        </w:tc>
        <w:tc>
          <w:tcPr>
            <w:tcW w:w="2330" w:type="pct"/>
          </w:tcPr>
          <w:p w:rsidR="00B65BA0" w:rsidRPr="00E40721" w:rsidRDefault="00B65BA0" w:rsidP="00B65BA0">
            <w:pPr>
              <w:jc w:val="both"/>
              <w:rPr>
                <w:sz w:val="20"/>
                <w:lang w:val="fr-CA"/>
              </w:rPr>
            </w:pPr>
            <w:r w:rsidRPr="00E40721">
              <w:rPr>
                <w:sz w:val="20"/>
                <w:lang w:val="fr-CA"/>
              </w:rPr>
              <w:t>Dépôt de la demande d’autorisation d’appel</w:t>
            </w:r>
          </w:p>
          <w:p w:rsidR="00B65BA0" w:rsidRPr="00E40721" w:rsidRDefault="00B65BA0" w:rsidP="00B65BA0">
            <w:pPr>
              <w:jc w:val="both"/>
              <w:rPr>
                <w:sz w:val="20"/>
                <w:lang w:val="fr-CA"/>
              </w:rPr>
            </w:pPr>
          </w:p>
        </w:tc>
      </w:tr>
    </w:tbl>
    <w:p w:rsidR="00B65BA0" w:rsidRPr="00E40721" w:rsidRDefault="00E7387C" w:rsidP="00B65BA0">
      <w:pPr>
        <w:jc w:val="both"/>
        <w:rPr>
          <w:sz w:val="20"/>
          <w:lang w:val="fr-CA"/>
        </w:rPr>
      </w:pPr>
      <w:r>
        <w:rPr>
          <w:sz w:val="20"/>
          <w:szCs w:val="20"/>
        </w:rPr>
        <w:pict>
          <v:rect id="_x0000_i1046" style="width:2in;height:1pt" o:hrpct="0" o:hralign="center" o:hrstd="t" o:hrnoshade="t" o:hr="t" fillcolor="black [3213]" stroked="f"/>
        </w:pict>
      </w:r>
    </w:p>
    <w:p w:rsidR="00B65BA0" w:rsidRPr="00E40721" w:rsidRDefault="00B65BA0" w:rsidP="00B65BA0">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65BA0" w:rsidRPr="00E40721" w:rsidTr="00B65BA0">
        <w:tc>
          <w:tcPr>
            <w:tcW w:w="543" w:type="pct"/>
          </w:tcPr>
          <w:p w:rsidR="00B65BA0" w:rsidRPr="00E40721" w:rsidRDefault="00B65BA0" w:rsidP="00B65BA0">
            <w:pPr>
              <w:jc w:val="both"/>
              <w:rPr>
                <w:sz w:val="20"/>
              </w:rPr>
            </w:pPr>
            <w:r w:rsidRPr="00E40721">
              <w:rPr>
                <w:rStyle w:val="SCCFileNumberChar"/>
                <w:sz w:val="20"/>
                <w:szCs w:val="20"/>
              </w:rPr>
              <w:t>37223</w:t>
            </w:r>
          </w:p>
        </w:tc>
        <w:tc>
          <w:tcPr>
            <w:tcW w:w="4457" w:type="pct"/>
            <w:gridSpan w:val="3"/>
          </w:tcPr>
          <w:p w:rsidR="00B65BA0" w:rsidRDefault="00B65BA0" w:rsidP="00425EDA">
            <w:pPr>
              <w:pStyle w:val="SCCLsocParty"/>
              <w:jc w:val="both"/>
              <w:rPr>
                <w:sz w:val="20"/>
                <w:lang w:val="en-US"/>
              </w:rPr>
            </w:pPr>
            <w:r w:rsidRPr="00E40721">
              <w:rPr>
                <w:b/>
                <w:sz w:val="20"/>
                <w:szCs w:val="20"/>
                <w:lang w:val="en-US"/>
              </w:rPr>
              <w:t xml:space="preserve">6443923 Canada Inc. </w:t>
            </w:r>
            <w:proofErr w:type="spellStart"/>
            <w:r w:rsidRPr="00E40721">
              <w:rPr>
                <w:b/>
                <w:sz w:val="20"/>
                <w:szCs w:val="20"/>
                <w:lang w:val="en-US"/>
              </w:rPr>
              <w:t>c.o.b</w:t>
            </w:r>
            <w:proofErr w:type="spellEnd"/>
            <w:r w:rsidRPr="00E40721">
              <w:rPr>
                <w:b/>
                <w:sz w:val="20"/>
                <w:szCs w:val="20"/>
                <w:lang w:val="en-US"/>
              </w:rPr>
              <w:t xml:space="preserve">. Zesty Market v. </w:t>
            </w:r>
            <w:proofErr w:type="spellStart"/>
            <w:r w:rsidRPr="00E40721">
              <w:rPr>
                <w:b/>
                <w:sz w:val="20"/>
                <w:szCs w:val="20"/>
                <w:lang w:val="en-US"/>
              </w:rPr>
              <w:t>Alireza</w:t>
            </w:r>
            <w:proofErr w:type="spellEnd"/>
            <w:r w:rsidRPr="00E40721">
              <w:rPr>
                <w:b/>
                <w:sz w:val="20"/>
                <w:szCs w:val="20"/>
                <w:lang w:val="en-US"/>
              </w:rPr>
              <w:t xml:space="preserve"> </w:t>
            </w:r>
            <w:proofErr w:type="spellStart"/>
            <w:r w:rsidRPr="00E40721">
              <w:rPr>
                <w:b/>
                <w:sz w:val="20"/>
                <w:szCs w:val="20"/>
                <w:lang w:val="en-US"/>
              </w:rPr>
              <w:t>Khodabandeh</w:t>
            </w:r>
            <w:proofErr w:type="spellEnd"/>
            <w:r w:rsidR="00425EDA">
              <w:rPr>
                <w:b/>
                <w:sz w:val="20"/>
                <w:szCs w:val="20"/>
                <w:lang w:val="en-US"/>
              </w:rPr>
              <w:t xml:space="preserve"> </w:t>
            </w:r>
            <w:r w:rsidRPr="00425EDA">
              <w:rPr>
                <w:sz w:val="20"/>
                <w:lang w:val="en-US"/>
              </w:rPr>
              <w:t>(Ont.) (Civil) (By Leave)</w:t>
            </w:r>
          </w:p>
          <w:p w:rsidR="00425EDA" w:rsidRPr="00425EDA" w:rsidRDefault="00425EDA" w:rsidP="00425EDA">
            <w:pPr>
              <w:rPr>
                <w:lang w:val="en-US"/>
              </w:rPr>
            </w:pPr>
          </w:p>
        </w:tc>
      </w:tr>
      <w:tr w:rsidR="00425EDA" w:rsidRPr="00E40721" w:rsidTr="00B65BA0">
        <w:tc>
          <w:tcPr>
            <w:tcW w:w="543" w:type="pct"/>
          </w:tcPr>
          <w:p w:rsidR="00425EDA" w:rsidRPr="00E40721" w:rsidRDefault="00425EDA" w:rsidP="00B65BA0">
            <w:pPr>
              <w:jc w:val="both"/>
              <w:rPr>
                <w:rStyle w:val="SCCFileNumberChar"/>
                <w:sz w:val="20"/>
                <w:szCs w:val="20"/>
              </w:rPr>
            </w:pPr>
            <w:r>
              <w:rPr>
                <w:rStyle w:val="SCCFileNumberChar"/>
                <w:sz w:val="20"/>
                <w:szCs w:val="20"/>
              </w:rPr>
              <w:t>Coram:</w:t>
            </w:r>
          </w:p>
        </w:tc>
        <w:tc>
          <w:tcPr>
            <w:tcW w:w="4457" w:type="pct"/>
            <w:gridSpan w:val="3"/>
          </w:tcPr>
          <w:p w:rsidR="00425EDA" w:rsidRDefault="00C23476" w:rsidP="00425EDA">
            <w:pPr>
              <w:pStyle w:val="SCCLsocParty"/>
              <w:jc w:val="both"/>
              <w:rPr>
                <w:rFonts w:eastAsiaTheme="minorEastAsia"/>
                <w:sz w:val="20"/>
                <w:szCs w:val="20"/>
                <w:lang w:val="en-US"/>
              </w:rPr>
            </w:pPr>
            <w:proofErr w:type="spellStart"/>
            <w:r w:rsidRPr="00C23476">
              <w:rPr>
                <w:rFonts w:eastAsiaTheme="minorEastAsia"/>
                <w:sz w:val="20"/>
                <w:szCs w:val="20"/>
                <w:lang w:val="en-US"/>
              </w:rPr>
              <w:t>McLachlin</w:t>
            </w:r>
            <w:proofErr w:type="spellEnd"/>
            <w:r w:rsidRPr="00C23476">
              <w:rPr>
                <w:rFonts w:eastAsiaTheme="minorEastAsia"/>
                <w:sz w:val="20"/>
                <w:szCs w:val="20"/>
                <w:lang w:val="en-US"/>
              </w:rPr>
              <w:t xml:space="preserve"> C.J. and </w:t>
            </w:r>
            <w:proofErr w:type="spellStart"/>
            <w:r w:rsidRPr="00C23476">
              <w:rPr>
                <w:rFonts w:eastAsiaTheme="minorEastAsia"/>
                <w:sz w:val="20"/>
                <w:szCs w:val="20"/>
                <w:lang w:val="en-US"/>
              </w:rPr>
              <w:t>Abella</w:t>
            </w:r>
            <w:proofErr w:type="spellEnd"/>
            <w:r w:rsidRPr="00C23476">
              <w:rPr>
                <w:rFonts w:eastAsiaTheme="minorEastAsia"/>
                <w:sz w:val="20"/>
                <w:szCs w:val="20"/>
                <w:lang w:val="en-US"/>
              </w:rPr>
              <w:t xml:space="preserve">, </w:t>
            </w:r>
            <w:proofErr w:type="spellStart"/>
            <w:r w:rsidRPr="00C23476">
              <w:rPr>
                <w:rFonts w:eastAsiaTheme="minorEastAsia"/>
                <w:sz w:val="20"/>
                <w:szCs w:val="20"/>
                <w:lang w:val="en-US"/>
              </w:rPr>
              <w:t>Moldaver</w:t>
            </w:r>
            <w:proofErr w:type="spellEnd"/>
            <w:r w:rsidRPr="00C23476">
              <w:rPr>
                <w:rFonts w:eastAsiaTheme="minorEastAsia"/>
                <w:sz w:val="20"/>
                <w:szCs w:val="20"/>
                <w:lang w:val="en-US"/>
              </w:rPr>
              <w:t xml:space="preserve">, </w:t>
            </w:r>
            <w:proofErr w:type="spellStart"/>
            <w:r w:rsidRPr="00C23476">
              <w:rPr>
                <w:rFonts w:eastAsiaTheme="minorEastAsia"/>
                <w:sz w:val="20"/>
                <w:szCs w:val="20"/>
                <w:lang w:val="en-US"/>
              </w:rPr>
              <w:t>Karakatsanis</w:t>
            </w:r>
            <w:proofErr w:type="spellEnd"/>
            <w:r w:rsidRPr="00C23476">
              <w:rPr>
                <w:rFonts w:eastAsiaTheme="minorEastAsia"/>
                <w:sz w:val="20"/>
                <w:szCs w:val="20"/>
                <w:lang w:val="en-US"/>
              </w:rPr>
              <w:t xml:space="preserve">, Wagner, </w:t>
            </w:r>
            <w:proofErr w:type="spellStart"/>
            <w:r w:rsidRPr="00C23476">
              <w:rPr>
                <w:rFonts w:eastAsiaTheme="minorEastAsia"/>
                <w:sz w:val="20"/>
                <w:szCs w:val="20"/>
                <w:lang w:val="en-US"/>
              </w:rPr>
              <w:t>Gascon</w:t>
            </w:r>
            <w:proofErr w:type="spellEnd"/>
            <w:r w:rsidRPr="00C23476">
              <w:rPr>
                <w:rFonts w:eastAsiaTheme="minorEastAsia"/>
                <w:sz w:val="20"/>
                <w:szCs w:val="20"/>
                <w:lang w:val="en-US"/>
              </w:rPr>
              <w:t xml:space="preserve">, </w:t>
            </w:r>
            <w:proofErr w:type="spellStart"/>
            <w:r w:rsidRPr="00C23476">
              <w:rPr>
                <w:rFonts w:eastAsiaTheme="minorEastAsia"/>
                <w:sz w:val="20"/>
                <w:szCs w:val="20"/>
                <w:lang w:val="en-US"/>
              </w:rPr>
              <w:t>Côté</w:t>
            </w:r>
            <w:proofErr w:type="spellEnd"/>
            <w:r w:rsidRPr="00C23476">
              <w:rPr>
                <w:rFonts w:eastAsiaTheme="minorEastAsia"/>
                <w:sz w:val="20"/>
                <w:szCs w:val="20"/>
                <w:lang w:val="en-US"/>
              </w:rPr>
              <w:t>, Brown and Rowe JJ.</w:t>
            </w:r>
          </w:p>
          <w:p w:rsidR="00C23476" w:rsidRPr="00C23476" w:rsidRDefault="00C23476" w:rsidP="00C23476">
            <w:pPr>
              <w:rPr>
                <w:lang w:val="en-US"/>
              </w:rPr>
            </w:pPr>
          </w:p>
        </w:tc>
      </w:tr>
      <w:tr w:rsidR="00425EDA" w:rsidRPr="00E40721" w:rsidTr="00425EDA">
        <w:tc>
          <w:tcPr>
            <w:tcW w:w="5000" w:type="pct"/>
            <w:gridSpan w:val="4"/>
          </w:tcPr>
          <w:p w:rsidR="00425EDA" w:rsidRPr="00C23476" w:rsidRDefault="00C23476" w:rsidP="00425EDA">
            <w:pPr>
              <w:pStyle w:val="SCCLsocParty"/>
              <w:jc w:val="both"/>
              <w:rPr>
                <w:sz w:val="20"/>
                <w:szCs w:val="20"/>
                <w:lang w:val="en-US"/>
              </w:rPr>
            </w:pPr>
            <w:r w:rsidRPr="00C23476">
              <w:rPr>
                <w:sz w:val="20"/>
                <w:szCs w:val="20"/>
                <w:lang w:val="en-US"/>
              </w:rPr>
              <w:t>The application for leave to appeal from the judgment of the Court of Appeal for Ontario, Number C61564, 2016 ONCA 561, dated July 11, 2016, is dismissed without costs.</w:t>
            </w:r>
          </w:p>
          <w:p w:rsidR="00C23476" w:rsidRPr="00C23476" w:rsidRDefault="00C23476" w:rsidP="00C23476">
            <w:pPr>
              <w:rPr>
                <w:lang w:val="en-US"/>
              </w:rPr>
            </w:pPr>
          </w:p>
        </w:tc>
      </w:tr>
      <w:tr w:rsidR="00B65BA0" w:rsidRPr="00E40721" w:rsidTr="00B65BA0">
        <w:tc>
          <w:tcPr>
            <w:tcW w:w="5000" w:type="pct"/>
            <w:gridSpan w:val="4"/>
          </w:tcPr>
          <w:p w:rsidR="00B65BA0" w:rsidRPr="00E40721" w:rsidRDefault="00B65BA0" w:rsidP="00B65BA0">
            <w:pPr>
              <w:pStyle w:val="SCCBanSummary"/>
              <w:rPr>
                <w:sz w:val="20"/>
                <w:szCs w:val="20"/>
              </w:rPr>
            </w:pPr>
            <w:r w:rsidRPr="00E40721">
              <w:rPr>
                <w:sz w:val="20"/>
                <w:szCs w:val="20"/>
              </w:rPr>
              <w:t>(Publication ban in case)</w:t>
            </w:r>
          </w:p>
          <w:p w:rsidR="00B65BA0" w:rsidRPr="00E40721" w:rsidRDefault="00B65BA0" w:rsidP="00B65BA0">
            <w:pPr>
              <w:jc w:val="both"/>
              <w:rPr>
                <w:sz w:val="20"/>
              </w:rPr>
            </w:pPr>
          </w:p>
          <w:p w:rsidR="00B65BA0" w:rsidRPr="00E40721" w:rsidRDefault="00B65BA0" w:rsidP="00B65BA0">
            <w:pPr>
              <w:jc w:val="both"/>
              <w:rPr>
                <w:sz w:val="20"/>
              </w:rPr>
            </w:pPr>
            <w:r w:rsidRPr="00E40721">
              <w:rPr>
                <w:sz w:val="20"/>
              </w:rPr>
              <w:t xml:space="preserve">Judgments and orders — Summary judgments — Whether the lower courts erred in concluding that there was no evidence to be tried — Whether the lower courts erred in concluding that no substantial injustice was done by dismissing the claim but allowing the counterclaim to go forward — Whether the audiotaped information was correctly found to be </w:t>
            </w:r>
            <w:r w:rsidRPr="00E40721">
              <w:rPr>
                <w:sz w:val="20"/>
              </w:rPr>
              <w:lastRenderedPageBreak/>
              <w:t>hearsay — Whether the motions judge incorrectly drew an adverse inference from the failure to call certain witnesses — Whether the financial information and documentation presented could constitute circumstantial evidence of stealing — Whether the lower courts erred in not considering the evidence of a monetary transfer to Iran as corroborative of the financial information and documentation presented — Whether the Court of Appeal erred in its reliance on the jury decision in a related criminal case — Whether the Court of Appeal erred in not allowing the appeal based on the nature and extent of the fundamental errors of the motions judge, taken cumulatively.</w:t>
            </w:r>
          </w:p>
        </w:tc>
      </w:tr>
      <w:tr w:rsidR="00B65BA0" w:rsidRPr="00E40721" w:rsidTr="00B65BA0">
        <w:tc>
          <w:tcPr>
            <w:tcW w:w="5000" w:type="pct"/>
            <w:gridSpan w:val="4"/>
          </w:tcPr>
          <w:p w:rsidR="00B65BA0" w:rsidRPr="00E40721" w:rsidRDefault="00B65BA0" w:rsidP="00B65BA0">
            <w:pPr>
              <w:jc w:val="both"/>
              <w:rPr>
                <w:sz w:val="20"/>
              </w:rPr>
            </w:pPr>
          </w:p>
        </w:tc>
      </w:tr>
      <w:tr w:rsidR="00B65BA0" w:rsidRPr="00E40721" w:rsidTr="00B65BA0">
        <w:tc>
          <w:tcPr>
            <w:tcW w:w="5000" w:type="pct"/>
            <w:gridSpan w:val="4"/>
          </w:tcPr>
          <w:p w:rsidR="00B65BA0" w:rsidRPr="00E40721" w:rsidRDefault="00B65BA0" w:rsidP="00B65BA0">
            <w:pPr>
              <w:jc w:val="both"/>
              <w:rPr>
                <w:sz w:val="20"/>
              </w:rPr>
            </w:pPr>
            <w:r w:rsidRPr="00E40721">
              <w:rPr>
                <w:sz w:val="20"/>
              </w:rPr>
              <w:t xml:space="preserve">6443923 Canada Inc., </w:t>
            </w:r>
            <w:proofErr w:type="spellStart"/>
            <w:r w:rsidRPr="00E40721">
              <w:rPr>
                <w:sz w:val="20"/>
              </w:rPr>
              <w:t>c.o.b</w:t>
            </w:r>
            <w:proofErr w:type="spellEnd"/>
            <w:r w:rsidRPr="00E40721">
              <w:rPr>
                <w:sz w:val="20"/>
              </w:rPr>
              <w:t>. as Zesty Market, contended that the Respondent took advantage of his status as a trusted employee and stole money from one of the convenience stores it operates. The statement of claim alleged that the Respondent had been caught stealing money from the safe in one of Zesty Market’s stores on February 12, 2008, that he stole money from Zesty Market at a rate of approximately $300 per shift, and that he did not reimburse Zesty Market, even though he was asked to do so. The Respondent denied any theft from Zesty Market.</w:t>
            </w:r>
          </w:p>
          <w:p w:rsidR="00B65BA0" w:rsidRPr="00E40721" w:rsidRDefault="00B65BA0" w:rsidP="00B65BA0">
            <w:pPr>
              <w:jc w:val="both"/>
              <w:rPr>
                <w:sz w:val="20"/>
              </w:rPr>
            </w:pPr>
          </w:p>
          <w:p w:rsidR="00B65BA0" w:rsidRPr="00E40721" w:rsidRDefault="00B65BA0" w:rsidP="00B65BA0">
            <w:pPr>
              <w:jc w:val="both"/>
              <w:rPr>
                <w:sz w:val="20"/>
              </w:rPr>
            </w:pPr>
            <w:r w:rsidRPr="00E40721">
              <w:rPr>
                <w:sz w:val="20"/>
              </w:rPr>
              <w:t>The motions judge granted summary judgment, and the Court of Appeal dismissed Zesty Market’s appeal.</w:t>
            </w:r>
          </w:p>
          <w:p w:rsidR="00B65BA0" w:rsidRPr="00E40721" w:rsidRDefault="00B65BA0" w:rsidP="00B65BA0">
            <w:pPr>
              <w:jc w:val="both"/>
              <w:rPr>
                <w:sz w:val="20"/>
              </w:rPr>
            </w:pPr>
          </w:p>
        </w:tc>
      </w:tr>
      <w:tr w:rsidR="00B65BA0" w:rsidRPr="00E40721" w:rsidTr="00B65BA0">
        <w:tc>
          <w:tcPr>
            <w:tcW w:w="2427" w:type="pct"/>
            <w:gridSpan w:val="2"/>
          </w:tcPr>
          <w:p w:rsidR="00B65BA0" w:rsidRPr="00E40721" w:rsidRDefault="00B65BA0" w:rsidP="00B65BA0">
            <w:pPr>
              <w:jc w:val="both"/>
              <w:rPr>
                <w:sz w:val="20"/>
              </w:rPr>
            </w:pPr>
            <w:r w:rsidRPr="00E40721">
              <w:rPr>
                <w:sz w:val="20"/>
              </w:rPr>
              <w:t>December 1, 2015</w:t>
            </w:r>
          </w:p>
          <w:p w:rsidR="00B65BA0" w:rsidRPr="00E40721" w:rsidRDefault="00B65BA0" w:rsidP="00B65BA0">
            <w:pPr>
              <w:jc w:val="both"/>
              <w:rPr>
                <w:sz w:val="20"/>
              </w:rPr>
            </w:pPr>
            <w:r w:rsidRPr="00E40721">
              <w:rPr>
                <w:sz w:val="20"/>
              </w:rPr>
              <w:t>Ontario Superior Court of Justice</w:t>
            </w:r>
          </w:p>
          <w:p w:rsidR="00B65BA0" w:rsidRPr="00E40721" w:rsidRDefault="00B65BA0" w:rsidP="00B65BA0">
            <w:pPr>
              <w:jc w:val="both"/>
              <w:rPr>
                <w:sz w:val="20"/>
              </w:rPr>
            </w:pPr>
            <w:r w:rsidRPr="00E40721">
              <w:rPr>
                <w:sz w:val="20"/>
              </w:rPr>
              <w:t>(Beaudoin J.)</w:t>
            </w:r>
          </w:p>
          <w:p w:rsidR="00B65BA0" w:rsidRPr="00E40721" w:rsidRDefault="00E7387C" w:rsidP="00B65BA0">
            <w:pPr>
              <w:jc w:val="both"/>
              <w:rPr>
                <w:sz w:val="20"/>
              </w:rPr>
            </w:pPr>
            <w:hyperlink r:id="rId29" w:history="1">
              <w:r w:rsidR="00B65BA0" w:rsidRPr="00E40721">
                <w:rPr>
                  <w:rStyle w:val="Hyperlink"/>
                  <w:sz w:val="20"/>
                </w:rPr>
                <w:t>2015 ONSC 7465</w:t>
              </w:r>
            </w:hyperlink>
            <w:r w:rsidR="00B65BA0" w:rsidRPr="00E40721">
              <w:rPr>
                <w:sz w:val="20"/>
              </w:rPr>
              <w:t xml:space="preserve"> </w:t>
            </w:r>
          </w:p>
          <w:p w:rsidR="00B65BA0" w:rsidRPr="00E40721" w:rsidRDefault="00B65BA0" w:rsidP="00B65BA0">
            <w:pPr>
              <w:jc w:val="both"/>
              <w:rPr>
                <w:sz w:val="20"/>
              </w:rPr>
            </w:pPr>
          </w:p>
        </w:tc>
        <w:tc>
          <w:tcPr>
            <w:tcW w:w="243" w:type="pct"/>
          </w:tcPr>
          <w:p w:rsidR="00B65BA0" w:rsidRPr="00E40721" w:rsidRDefault="00B65BA0" w:rsidP="00B65BA0">
            <w:pPr>
              <w:jc w:val="both"/>
              <w:rPr>
                <w:sz w:val="20"/>
              </w:rPr>
            </w:pPr>
          </w:p>
        </w:tc>
        <w:tc>
          <w:tcPr>
            <w:tcW w:w="2330" w:type="pct"/>
          </w:tcPr>
          <w:p w:rsidR="00B65BA0" w:rsidRPr="00E40721" w:rsidRDefault="00B65BA0" w:rsidP="00B65BA0">
            <w:pPr>
              <w:jc w:val="both"/>
              <w:rPr>
                <w:sz w:val="20"/>
              </w:rPr>
            </w:pPr>
            <w:r w:rsidRPr="00E40721">
              <w:rPr>
                <w:sz w:val="20"/>
              </w:rPr>
              <w:t>Motion for summary judgment granted</w:t>
            </w:r>
          </w:p>
          <w:p w:rsidR="00B65BA0" w:rsidRPr="00E40721" w:rsidRDefault="00B65BA0" w:rsidP="00B65BA0">
            <w:pPr>
              <w:jc w:val="both"/>
              <w:rPr>
                <w:sz w:val="20"/>
              </w:rPr>
            </w:pPr>
          </w:p>
        </w:tc>
      </w:tr>
      <w:tr w:rsidR="00B65BA0" w:rsidRPr="00E40721" w:rsidTr="00B65BA0">
        <w:tc>
          <w:tcPr>
            <w:tcW w:w="2427" w:type="pct"/>
            <w:gridSpan w:val="2"/>
          </w:tcPr>
          <w:p w:rsidR="00B65BA0" w:rsidRPr="00E40721" w:rsidRDefault="00B65BA0" w:rsidP="00B65BA0">
            <w:pPr>
              <w:jc w:val="both"/>
              <w:rPr>
                <w:sz w:val="20"/>
              </w:rPr>
            </w:pPr>
            <w:r w:rsidRPr="00E40721">
              <w:rPr>
                <w:sz w:val="20"/>
              </w:rPr>
              <w:t>July 11, 2016</w:t>
            </w:r>
          </w:p>
          <w:p w:rsidR="00B65BA0" w:rsidRPr="00E40721" w:rsidRDefault="00B65BA0" w:rsidP="00B65BA0">
            <w:pPr>
              <w:jc w:val="both"/>
              <w:rPr>
                <w:sz w:val="20"/>
              </w:rPr>
            </w:pPr>
            <w:r w:rsidRPr="00E40721">
              <w:rPr>
                <w:sz w:val="20"/>
              </w:rPr>
              <w:t>Court of Appeal for Ontario</w:t>
            </w:r>
          </w:p>
          <w:p w:rsidR="00B65BA0" w:rsidRPr="00E40721" w:rsidRDefault="00B65BA0" w:rsidP="00B65BA0">
            <w:pPr>
              <w:jc w:val="both"/>
              <w:rPr>
                <w:sz w:val="20"/>
              </w:rPr>
            </w:pPr>
            <w:r w:rsidRPr="00E40721">
              <w:rPr>
                <w:sz w:val="20"/>
              </w:rPr>
              <w:t xml:space="preserve">(MacPherson, Cronk, </w:t>
            </w:r>
            <w:proofErr w:type="spellStart"/>
            <w:r w:rsidRPr="00E40721">
              <w:rPr>
                <w:sz w:val="20"/>
              </w:rPr>
              <w:t>Benotto</w:t>
            </w:r>
            <w:proofErr w:type="spellEnd"/>
            <w:r w:rsidRPr="00E40721">
              <w:rPr>
                <w:sz w:val="20"/>
              </w:rPr>
              <w:t xml:space="preserve"> J.A.)</w:t>
            </w:r>
          </w:p>
          <w:p w:rsidR="00B65BA0" w:rsidRPr="00E40721" w:rsidRDefault="00E7387C" w:rsidP="00B65BA0">
            <w:pPr>
              <w:jc w:val="both"/>
              <w:rPr>
                <w:sz w:val="20"/>
              </w:rPr>
            </w:pPr>
            <w:hyperlink r:id="rId30" w:history="1">
              <w:r w:rsidR="00B65BA0" w:rsidRPr="00E40721">
                <w:rPr>
                  <w:rStyle w:val="Hyperlink"/>
                  <w:sz w:val="20"/>
                </w:rPr>
                <w:t>2016 ONCA 561</w:t>
              </w:r>
            </w:hyperlink>
            <w:r w:rsidR="00B65BA0" w:rsidRPr="00E40721">
              <w:rPr>
                <w:sz w:val="20"/>
              </w:rPr>
              <w:t xml:space="preserve"> </w:t>
            </w:r>
          </w:p>
          <w:p w:rsidR="00B65BA0" w:rsidRPr="00E40721" w:rsidRDefault="00B65BA0" w:rsidP="00B65BA0">
            <w:pPr>
              <w:jc w:val="both"/>
              <w:rPr>
                <w:sz w:val="20"/>
              </w:rPr>
            </w:pPr>
          </w:p>
        </w:tc>
        <w:tc>
          <w:tcPr>
            <w:tcW w:w="243" w:type="pct"/>
          </w:tcPr>
          <w:p w:rsidR="00B65BA0" w:rsidRPr="00E40721" w:rsidRDefault="00B65BA0" w:rsidP="00B65BA0">
            <w:pPr>
              <w:jc w:val="both"/>
              <w:rPr>
                <w:sz w:val="20"/>
              </w:rPr>
            </w:pPr>
          </w:p>
        </w:tc>
        <w:tc>
          <w:tcPr>
            <w:tcW w:w="2330" w:type="pct"/>
          </w:tcPr>
          <w:p w:rsidR="00B65BA0" w:rsidRPr="00E40721" w:rsidRDefault="00B65BA0" w:rsidP="00B65BA0">
            <w:pPr>
              <w:jc w:val="both"/>
              <w:rPr>
                <w:sz w:val="20"/>
              </w:rPr>
            </w:pPr>
            <w:r w:rsidRPr="00E40721">
              <w:rPr>
                <w:sz w:val="20"/>
              </w:rPr>
              <w:t>Appeal dismissed</w:t>
            </w:r>
          </w:p>
          <w:p w:rsidR="00B65BA0" w:rsidRPr="00E40721" w:rsidRDefault="00B65BA0" w:rsidP="00B65BA0">
            <w:pPr>
              <w:jc w:val="both"/>
              <w:rPr>
                <w:sz w:val="20"/>
              </w:rPr>
            </w:pPr>
          </w:p>
        </w:tc>
      </w:tr>
      <w:tr w:rsidR="00B65BA0" w:rsidRPr="00E40721" w:rsidTr="00B65BA0">
        <w:tc>
          <w:tcPr>
            <w:tcW w:w="2427" w:type="pct"/>
            <w:gridSpan w:val="2"/>
          </w:tcPr>
          <w:p w:rsidR="00B65BA0" w:rsidRPr="00E40721" w:rsidRDefault="00B65BA0" w:rsidP="00B65BA0">
            <w:pPr>
              <w:jc w:val="both"/>
              <w:rPr>
                <w:sz w:val="20"/>
              </w:rPr>
            </w:pPr>
            <w:r w:rsidRPr="00E40721">
              <w:rPr>
                <w:sz w:val="20"/>
              </w:rPr>
              <w:t>September 29, 2016</w:t>
            </w:r>
          </w:p>
          <w:p w:rsidR="00B65BA0" w:rsidRPr="00E40721" w:rsidRDefault="00B65BA0" w:rsidP="00B65BA0">
            <w:pPr>
              <w:jc w:val="both"/>
              <w:rPr>
                <w:sz w:val="20"/>
              </w:rPr>
            </w:pPr>
            <w:r w:rsidRPr="00E40721">
              <w:rPr>
                <w:sz w:val="20"/>
              </w:rPr>
              <w:t>Supreme Court of Canada</w:t>
            </w:r>
          </w:p>
        </w:tc>
        <w:tc>
          <w:tcPr>
            <w:tcW w:w="243" w:type="pct"/>
          </w:tcPr>
          <w:p w:rsidR="00B65BA0" w:rsidRPr="00E40721" w:rsidRDefault="00B65BA0" w:rsidP="00B65BA0">
            <w:pPr>
              <w:jc w:val="both"/>
              <w:rPr>
                <w:sz w:val="20"/>
              </w:rPr>
            </w:pPr>
          </w:p>
        </w:tc>
        <w:tc>
          <w:tcPr>
            <w:tcW w:w="2330" w:type="pct"/>
          </w:tcPr>
          <w:p w:rsidR="00B65BA0" w:rsidRPr="00E40721" w:rsidRDefault="00B65BA0" w:rsidP="00B65BA0">
            <w:pPr>
              <w:jc w:val="both"/>
              <w:rPr>
                <w:sz w:val="20"/>
              </w:rPr>
            </w:pPr>
            <w:r w:rsidRPr="00E40721">
              <w:rPr>
                <w:sz w:val="20"/>
              </w:rPr>
              <w:t>Application for leave to appeal filed</w:t>
            </w:r>
          </w:p>
          <w:p w:rsidR="00B65BA0" w:rsidRPr="00E40721" w:rsidRDefault="00B65BA0" w:rsidP="00B65BA0">
            <w:pPr>
              <w:jc w:val="both"/>
              <w:rPr>
                <w:sz w:val="20"/>
              </w:rPr>
            </w:pPr>
          </w:p>
        </w:tc>
      </w:tr>
    </w:tbl>
    <w:p w:rsidR="00B65BA0" w:rsidRDefault="00E7387C" w:rsidP="00B65BA0">
      <w:pPr>
        <w:jc w:val="both"/>
        <w:rPr>
          <w:sz w:val="20"/>
        </w:rPr>
      </w:pPr>
      <w:r>
        <w:rPr>
          <w:sz w:val="20"/>
          <w:szCs w:val="20"/>
        </w:rPr>
        <w:pict>
          <v:rect id="_x0000_i1047" style="width:2in;height:1pt" o:hrpct="0" o:hralign="center" o:hrstd="t" o:hrnoshade="t" o:hr="t" fillcolor="black [3213]" stroked="f"/>
        </w:pict>
      </w:r>
    </w:p>
    <w:p w:rsidR="00B65BA0" w:rsidRPr="00E40721" w:rsidRDefault="00B65BA0" w:rsidP="00B65BA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65BA0" w:rsidRPr="00E40721" w:rsidTr="00B65BA0">
        <w:tc>
          <w:tcPr>
            <w:tcW w:w="543" w:type="pct"/>
          </w:tcPr>
          <w:p w:rsidR="00B65BA0" w:rsidRPr="00E40721" w:rsidRDefault="00B65BA0" w:rsidP="00B65BA0">
            <w:pPr>
              <w:jc w:val="both"/>
              <w:rPr>
                <w:sz w:val="20"/>
                <w:lang w:val="fr-CA"/>
              </w:rPr>
            </w:pPr>
            <w:r w:rsidRPr="00E40721">
              <w:rPr>
                <w:rStyle w:val="SCCFileNumberChar"/>
                <w:sz w:val="20"/>
                <w:szCs w:val="20"/>
                <w:lang w:val="fr-CA"/>
              </w:rPr>
              <w:t>37223</w:t>
            </w:r>
          </w:p>
        </w:tc>
        <w:tc>
          <w:tcPr>
            <w:tcW w:w="4457" w:type="pct"/>
            <w:gridSpan w:val="3"/>
          </w:tcPr>
          <w:p w:rsidR="00B65BA0" w:rsidRPr="00E40721" w:rsidRDefault="00B65BA0" w:rsidP="00B65BA0">
            <w:pPr>
              <w:pStyle w:val="SCCLsocParty"/>
              <w:jc w:val="both"/>
              <w:rPr>
                <w:b/>
                <w:sz w:val="20"/>
                <w:szCs w:val="20"/>
              </w:rPr>
            </w:pPr>
            <w:r w:rsidRPr="00E40721">
              <w:rPr>
                <w:b/>
                <w:sz w:val="20"/>
                <w:szCs w:val="20"/>
              </w:rPr>
              <w:t xml:space="preserve">6443923 Canada Inc. faisant affaire sous la raison sociale </w:t>
            </w:r>
            <w:proofErr w:type="spellStart"/>
            <w:r w:rsidRPr="00E40721">
              <w:rPr>
                <w:b/>
                <w:sz w:val="20"/>
                <w:szCs w:val="20"/>
              </w:rPr>
              <w:t>Zesty</w:t>
            </w:r>
            <w:proofErr w:type="spellEnd"/>
            <w:r w:rsidRPr="00E40721">
              <w:rPr>
                <w:b/>
                <w:sz w:val="20"/>
                <w:szCs w:val="20"/>
              </w:rPr>
              <w:t xml:space="preserve"> </w:t>
            </w:r>
            <w:proofErr w:type="spellStart"/>
            <w:r w:rsidRPr="00E40721">
              <w:rPr>
                <w:b/>
                <w:sz w:val="20"/>
                <w:szCs w:val="20"/>
              </w:rPr>
              <w:t>Market</w:t>
            </w:r>
            <w:proofErr w:type="spellEnd"/>
            <w:r w:rsidRPr="00E40721">
              <w:rPr>
                <w:b/>
                <w:sz w:val="20"/>
                <w:szCs w:val="20"/>
              </w:rPr>
              <w:t xml:space="preserve"> c. </w:t>
            </w:r>
            <w:proofErr w:type="spellStart"/>
            <w:r w:rsidRPr="00E40721">
              <w:rPr>
                <w:b/>
                <w:sz w:val="20"/>
                <w:szCs w:val="20"/>
              </w:rPr>
              <w:t>Alireza</w:t>
            </w:r>
            <w:proofErr w:type="spellEnd"/>
            <w:r w:rsidRPr="00E40721">
              <w:rPr>
                <w:b/>
                <w:sz w:val="20"/>
                <w:szCs w:val="20"/>
              </w:rPr>
              <w:t xml:space="preserve"> </w:t>
            </w:r>
            <w:proofErr w:type="spellStart"/>
            <w:r w:rsidRPr="00E40721">
              <w:rPr>
                <w:b/>
                <w:sz w:val="20"/>
                <w:szCs w:val="20"/>
              </w:rPr>
              <w:t>Khodabandeh</w:t>
            </w:r>
            <w:proofErr w:type="spellEnd"/>
          </w:p>
          <w:p w:rsidR="00B65BA0" w:rsidRPr="00E40721" w:rsidRDefault="00B65BA0" w:rsidP="00B65BA0">
            <w:pPr>
              <w:jc w:val="both"/>
              <w:rPr>
                <w:sz w:val="20"/>
                <w:lang w:val="fr-CA"/>
              </w:rPr>
            </w:pPr>
            <w:r w:rsidRPr="00E40721">
              <w:rPr>
                <w:sz w:val="20"/>
                <w:lang w:val="fr-CA"/>
              </w:rPr>
              <w:t>(Ont.) (Civile) (Sur autorisation)</w:t>
            </w:r>
          </w:p>
        </w:tc>
      </w:tr>
      <w:tr w:rsidR="00425EDA" w:rsidRPr="00E7387C" w:rsidTr="00B65BA0">
        <w:tc>
          <w:tcPr>
            <w:tcW w:w="543" w:type="pct"/>
          </w:tcPr>
          <w:p w:rsidR="00425EDA" w:rsidRPr="00E40721" w:rsidRDefault="00425EDA" w:rsidP="00B65BA0">
            <w:pPr>
              <w:jc w:val="both"/>
              <w:rPr>
                <w:rStyle w:val="SCCFileNumberChar"/>
                <w:sz w:val="20"/>
                <w:szCs w:val="20"/>
                <w:lang w:val="fr-CA"/>
              </w:rPr>
            </w:pPr>
            <w:r>
              <w:rPr>
                <w:rStyle w:val="SCCFileNumberChar"/>
                <w:sz w:val="20"/>
                <w:szCs w:val="20"/>
                <w:lang w:val="fr-CA"/>
              </w:rPr>
              <w:t>Coram :</w:t>
            </w:r>
          </w:p>
        </w:tc>
        <w:tc>
          <w:tcPr>
            <w:tcW w:w="4457" w:type="pct"/>
            <w:gridSpan w:val="3"/>
          </w:tcPr>
          <w:p w:rsidR="00425EDA" w:rsidRDefault="00C23476" w:rsidP="00B65BA0">
            <w:pPr>
              <w:pStyle w:val="SCCLsocParty"/>
              <w:jc w:val="both"/>
              <w:rPr>
                <w:rFonts w:eastAsiaTheme="minorEastAsia"/>
                <w:sz w:val="20"/>
                <w:szCs w:val="20"/>
              </w:rPr>
            </w:pPr>
            <w:r w:rsidRPr="00B969BC">
              <w:rPr>
                <w:rFonts w:eastAsiaTheme="minorEastAsia"/>
                <w:sz w:val="20"/>
                <w:szCs w:val="20"/>
                <w:lang w:val="fr-FR"/>
              </w:rPr>
              <w:t xml:space="preserve">La juge en chef </w:t>
            </w:r>
            <w:proofErr w:type="spellStart"/>
            <w:r w:rsidRPr="00B969BC">
              <w:rPr>
                <w:rFonts w:eastAsiaTheme="minorEastAsia"/>
                <w:sz w:val="20"/>
                <w:szCs w:val="20"/>
                <w:lang w:val="fr-FR"/>
              </w:rPr>
              <w:t>McLachlin</w:t>
            </w:r>
            <w:proofErr w:type="spellEnd"/>
            <w:r w:rsidRPr="00B969BC">
              <w:rPr>
                <w:rFonts w:eastAsiaTheme="minorEastAsia"/>
                <w:sz w:val="20"/>
                <w:szCs w:val="20"/>
                <w:lang w:val="fr-FR"/>
              </w:rPr>
              <w:t xml:space="preserve"> et les juges Abella, </w:t>
            </w:r>
            <w:proofErr w:type="spellStart"/>
            <w:r w:rsidRPr="00B969BC">
              <w:rPr>
                <w:rFonts w:eastAsiaTheme="minorEastAsia"/>
                <w:sz w:val="20"/>
                <w:szCs w:val="20"/>
              </w:rPr>
              <w:t>Moldaver</w:t>
            </w:r>
            <w:proofErr w:type="spellEnd"/>
            <w:r w:rsidRPr="00B969BC">
              <w:rPr>
                <w:rFonts w:eastAsiaTheme="minorEastAsia"/>
                <w:sz w:val="20"/>
                <w:szCs w:val="20"/>
              </w:rPr>
              <w:t xml:space="preserve">, </w:t>
            </w:r>
            <w:proofErr w:type="spellStart"/>
            <w:r w:rsidRPr="00B969BC">
              <w:rPr>
                <w:rFonts w:eastAsiaTheme="minorEastAsia"/>
                <w:sz w:val="20"/>
                <w:szCs w:val="20"/>
              </w:rPr>
              <w:t>Karakatsanis</w:t>
            </w:r>
            <w:proofErr w:type="spellEnd"/>
            <w:r w:rsidRPr="00B969BC">
              <w:rPr>
                <w:rFonts w:eastAsiaTheme="minorEastAsia"/>
                <w:sz w:val="20"/>
                <w:szCs w:val="20"/>
              </w:rPr>
              <w:t>, Wagner, Gascon, Côté, Brown et Rowe</w:t>
            </w:r>
          </w:p>
          <w:p w:rsidR="00C23476" w:rsidRPr="00C23476" w:rsidRDefault="00C23476" w:rsidP="00C23476">
            <w:pPr>
              <w:rPr>
                <w:lang w:val="fr-CA"/>
              </w:rPr>
            </w:pPr>
          </w:p>
        </w:tc>
      </w:tr>
      <w:tr w:rsidR="00425EDA" w:rsidRPr="00E7387C" w:rsidTr="00425EDA">
        <w:tc>
          <w:tcPr>
            <w:tcW w:w="5000" w:type="pct"/>
            <w:gridSpan w:val="4"/>
          </w:tcPr>
          <w:p w:rsidR="00425EDA" w:rsidRDefault="00C23476" w:rsidP="00B65BA0">
            <w:pPr>
              <w:pStyle w:val="SCCLsocParty"/>
              <w:jc w:val="both"/>
              <w:rPr>
                <w:sz w:val="20"/>
                <w:szCs w:val="20"/>
              </w:rPr>
            </w:pPr>
            <w:r w:rsidRPr="00B969BC">
              <w:rPr>
                <w:sz w:val="20"/>
                <w:szCs w:val="20"/>
              </w:rPr>
              <w:t>La demande d’autorisation d’appel de l’arrêt de la Cour d’appel de l’Ontario, numéro C61564, 2016 ONCA 561, daté du 11 juillet 2016, est rejetée sans dépens.</w:t>
            </w:r>
          </w:p>
          <w:p w:rsidR="00C23476" w:rsidRPr="00C23476" w:rsidRDefault="00C23476" w:rsidP="00C23476">
            <w:pPr>
              <w:rPr>
                <w:lang w:val="fr-CA"/>
              </w:rPr>
            </w:pPr>
          </w:p>
        </w:tc>
      </w:tr>
      <w:tr w:rsidR="00B65BA0" w:rsidRPr="00E7387C" w:rsidTr="00B65BA0">
        <w:tc>
          <w:tcPr>
            <w:tcW w:w="5000" w:type="pct"/>
            <w:gridSpan w:val="4"/>
          </w:tcPr>
          <w:p w:rsidR="00B65BA0" w:rsidRPr="00E40721" w:rsidRDefault="00B65BA0" w:rsidP="00B65BA0">
            <w:pPr>
              <w:pStyle w:val="SCCBanSummary"/>
              <w:rPr>
                <w:sz w:val="20"/>
                <w:szCs w:val="20"/>
                <w:lang w:val="fr-CA"/>
              </w:rPr>
            </w:pPr>
            <w:r w:rsidRPr="00E40721">
              <w:rPr>
                <w:sz w:val="20"/>
                <w:szCs w:val="20"/>
                <w:lang w:val="fr-CA"/>
              </w:rPr>
              <w:t>(Ordonnance de non-publication dans le dossier)</w:t>
            </w:r>
          </w:p>
          <w:p w:rsidR="00B65BA0" w:rsidRPr="00E40721" w:rsidRDefault="00B65BA0" w:rsidP="00B65BA0">
            <w:pPr>
              <w:jc w:val="both"/>
              <w:rPr>
                <w:sz w:val="20"/>
                <w:lang w:val="fr-CA"/>
              </w:rPr>
            </w:pPr>
          </w:p>
          <w:p w:rsidR="00B65BA0" w:rsidRPr="00E40721" w:rsidRDefault="00B65BA0" w:rsidP="00B65BA0">
            <w:pPr>
              <w:jc w:val="both"/>
              <w:rPr>
                <w:sz w:val="20"/>
                <w:lang w:val="fr-CA"/>
              </w:rPr>
            </w:pPr>
            <w:r w:rsidRPr="00E40721">
              <w:rPr>
                <w:sz w:val="20"/>
                <w:lang w:val="fr-CA"/>
              </w:rPr>
              <w:t xml:space="preserve">Jugements et ordonnances — Jugements sommaires — Les juridictions inférieures </w:t>
            </w:r>
            <w:proofErr w:type="spellStart"/>
            <w:r w:rsidRPr="00E40721">
              <w:rPr>
                <w:sz w:val="20"/>
                <w:lang w:val="fr-CA"/>
              </w:rPr>
              <w:t>ont-elles</w:t>
            </w:r>
            <w:proofErr w:type="spellEnd"/>
            <w:r w:rsidRPr="00E40721">
              <w:rPr>
                <w:sz w:val="20"/>
                <w:lang w:val="fr-CA"/>
              </w:rPr>
              <w:t xml:space="preserve"> eu tort de conclure qu’il n’y avait aucune preuve justifiant la tenue d’une instruction? — Les juridictions inférieures </w:t>
            </w:r>
            <w:proofErr w:type="spellStart"/>
            <w:r w:rsidRPr="00E40721">
              <w:rPr>
                <w:sz w:val="20"/>
                <w:lang w:val="fr-CA"/>
              </w:rPr>
              <w:t>ont-elles</w:t>
            </w:r>
            <w:proofErr w:type="spellEnd"/>
            <w:r w:rsidRPr="00E40721">
              <w:rPr>
                <w:sz w:val="20"/>
                <w:lang w:val="fr-CA"/>
              </w:rPr>
              <w:t xml:space="preserve"> eu tort de conclure que la décision de rejeter la demande, mais de permettre à la demande reconventionnelle d’aller de l’avant n’avait pas causé d’injustice importante? — Était-il juste de conclure que les renseignements enregistrés sur bande sonore étaient du ouï-dire? — Le juge de première instance </w:t>
            </w:r>
            <w:proofErr w:type="spellStart"/>
            <w:r w:rsidRPr="00E40721">
              <w:rPr>
                <w:sz w:val="20"/>
                <w:lang w:val="fr-CA"/>
              </w:rPr>
              <w:t>a-t-il</w:t>
            </w:r>
            <w:proofErr w:type="spellEnd"/>
            <w:r w:rsidRPr="00E40721">
              <w:rPr>
                <w:sz w:val="20"/>
                <w:lang w:val="fr-CA"/>
              </w:rPr>
              <w:t xml:space="preserve"> tiré à tort une conclusion défavorable de la non-assignation de certains témoins? — L’information et la documentation financières présentées pouvaient-elles constituer une preuve circonstancielle de vol? — Les juridictions inférieures </w:t>
            </w:r>
            <w:proofErr w:type="spellStart"/>
            <w:r w:rsidRPr="00E40721">
              <w:rPr>
                <w:sz w:val="20"/>
                <w:lang w:val="fr-CA"/>
              </w:rPr>
              <w:t>ont-elles</w:t>
            </w:r>
            <w:proofErr w:type="spellEnd"/>
            <w:r w:rsidRPr="00E40721">
              <w:rPr>
                <w:sz w:val="20"/>
                <w:lang w:val="fr-CA"/>
              </w:rPr>
              <w:t xml:space="preserve"> eu tort de ne pas considérer la preuve d’un virement monétaire vers l’Iran comme une corroboration de l’information et de la documentation financières présentées? — La Cour d’appel a-t-elle eu tort de s’appuyer sur la décision rendue par le jury dans une affaire criminelle connexe? — La Cour d’appel a-t-elle eu tort de ne pas accueillir l’appel compte tenu de la nature et de l’étendue des erreurs fondamentales commises par le juge de première instance, considérées cumulativement?</w:t>
            </w:r>
          </w:p>
        </w:tc>
      </w:tr>
      <w:tr w:rsidR="00B65BA0" w:rsidRPr="00E7387C" w:rsidTr="00B65BA0">
        <w:tc>
          <w:tcPr>
            <w:tcW w:w="5000" w:type="pct"/>
            <w:gridSpan w:val="4"/>
          </w:tcPr>
          <w:p w:rsidR="00B65BA0" w:rsidRPr="00E40721" w:rsidRDefault="00B65BA0" w:rsidP="00B65BA0">
            <w:pPr>
              <w:jc w:val="both"/>
              <w:rPr>
                <w:sz w:val="20"/>
                <w:lang w:val="fr-CA"/>
              </w:rPr>
            </w:pPr>
          </w:p>
        </w:tc>
      </w:tr>
      <w:tr w:rsidR="00B65BA0" w:rsidRPr="00E7387C" w:rsidTr="00B65BA0">
        <w:tc>
          <w:tcPr>
            <w:tcW w:w="5000" w:type="pct"/>
            <w:gridSpan w:val="4"/>
          </w:tcPr>
          <w:p w:rsidR="00B65BA0" w:rsidRPr="00E40721" w:rsidRDefault="00B65BA0" w:rsidP="00B65BA0">
            <w:pPr>
              <w:jc w:val="both"/>
              <w:rPr>
                <w:sz w:val="20"/>
                <w:lang w:val="fr-CA"/>
              </w:rPr>
            </w:pPr>
            <w:r w:rsidRPr="00E40721">
              <w:rPr>
                <w:sz w:val="20"/>
                <w:lang w:val="fr-CA"/>
              </w:rPr>
              <w:t xml:space="preserve">Selon 6443923 Canada Inc., faisant affaire sous la raison sociale </w:t>
            </w:r>
            <w:proofErr w:type="spellStart"/>
            <w:r w:rsidRPr="00E40721">
              <w:rPr>
                <w:sz w:val="20"/>
                <w:lang w:val="fr-CA"/>
              </w:rPr>
              <w:t>Zesty</w:t>
            </w:r>
            <w:proofErr w:type="spellEnd"/>
            <w:r w:rsidRPr="00E40721">
              <w:rPr>
                <w:sz w:val="20"/>
                <w:lang w:val="fr-CA"/>
              </w:rPr>
              <w:t xml:space="preserve"> </w:t>
            </w:r>
            <w:proofErr w:type="spellStart"/>
            <w:r w:rsidRPr="00E40721">
              <w:rPr>
                <w:sz w:val="20"/>
                <w:lang w:val="fr-CA"/>
              </w:rPr>
              <w:t>Market</w:t>
            </w:r>
            <w:proofErr w:type="spellEnd"/>
            <w:r w:rsidRPr="00E40721">
              <w:rPr>
                <w:sz w:val="20"/>
                <w:lang w:val="fr-CA"/>
              </w:rPr>
              <w:t xml:space="preserve">, l’intimé aurait profité de sa situation d’employé à qui on faisait confiance et volé de l’argent d’un des dépanneurs qu’elle exploite. Dans la déclaration, elle allègue que, le 12 février 2008, l’intimé avait été surpris en train de voler de l’argent du coffre-fort dans un des magasins de </w:t>
            </w:r>
            <w:proofErr w:type="spellStart"/>
            <w:r w:rsidRPr="00E40721">
              <w:rPr>
                <w:sz w:val="20"/>
                <w:lang w:val="fr-CA"/>
              </w:rPr>
              <w:t>Zesty</w:t>
            </w:r>
            <w:proofErr w:type="spellEnd"/>
            <w:r w:rsidRPr="00E40721">
              <w:rPr>
                <w:sz w:val="20"/>
                <w:lang w:val="fr-CA"/>
              </w:rPr>
              <w:t xml:space="preserve"> </w:t>
            </w:r>
            <w:proofErr w:type="spellStart"/>
            <w:r w:rsidRPr="00E40721">
              <w:rPr>
                <w:sz w:val="20"/>
                <w:lang w:val="fr-CA"/>
              </w:rPr>
              <w:t>Market</w:t>
            </w:r>
            <w:proofErr w:type="spellEnd"/>
            <w:r w:rsidRPr="00E40721">
              <w:rPr>
                <w:sz w:val="20"/>
                <w:lang w:val="fr-CA"/>
              </w:rPr>
              <w:t xml:space="preserve">, qu’il avait volé de l’argent de </w:t>
            </w:r>
            <w:proofErr w:type="spellStart"/>
            <w:r w:rsidRPr="00E40721">
              <w:rPr>
                <w:sz w:val="20"/>
                <w:lang w:val="fr-CA"/>
              </w:rPr>
              <w:t>Zesty</w:t>
            </w:r>
            <w:proofErr w:type="spellEnd"/>
            <w:r w:rsidRPr="00E40721">
              <w:rPr>
                <w:sz w:val="20"/>
                <w:lang w:val="fr-CA"/>
              </w:rPr>
              <w:t xml:space="preserve"> </w:t>
            </w:r>
            <w:proofErr w:type="spellStart"/>
            <w:r w:rsidRPr="00E40721">
              <w:rPr>
                <w:sz w:val="20"/>
                <w:lang w:val="fr-CA"/>
              </w:rPr>
              <w:t>Market</w:t>
            </w:r>
            <w:proofErr w:type="spellEnd"/>
            <w:r w:rsidRPr="00E40721">
              <w:rPr>
                <w:sz w:val="20"/>
                <w:lang w:val="fr-CA"/>
              </w:rPr>
              <w:t xml:space="preserve"> à raison d’environ 300 $ par quart de travail et qu’il n’avait pas remboursé </w:t>
            </w:r>
            <w:proofErr w:type="spellStart"/>
            <w:r w:rsidRPr="00E40721">
              <w:rPr>
                <w:sz w:val="20"/>
                <w:lang w:val="fr-CA"/>
              </w:rPr>
              <w:t>Zesty</w:t>
            </w:r>
            <w:proofErr w:type="spellEnd"/>
            <w:r w:rsidRPr="00E40721">
              <w:rPr>
                <w:sz w:val="20"/>
                <w:lang w:val="fr-CA"/>
              </w:rPr>
              <w:t xml:space="preserve"> </w:t>
            </w:r>
            <w:proofErr w:type="spellStart"/>
            <w:r w:rsidRPr="00E40721">
              <w:rPr>
                <w:sz w:val="20"/>
                <w:lang w:val="fr-CA"/>
              </w:rPr>
              <w:t>Market</w:t>
            </w:r>
            <w:proofErr w:type="spellEnd"/>
            <w:r w:rsidRPr="00E40721">
              <w:rPr>
                <w:sz w:val="20"/>
                <w:lang w:val="fr-CA"/>
              </w:rPr>
              <w:t xml:space="preserve">, même s’il avait été sommé de de faire. L’intimé a nié avoir volé quoi que ce soit de </w:t>
            </w:r>
            <w:proofErr w:type="spellStart"/>
            <w:r w:rsidRPr="00E40721">
              <w:rPr>
                <w:sz w:val="20"/>
                <w:lang w:val="fr-CA"/>
              </w:rPr>
              <w:t>Zesty</w:t>
            </w:r>
            <w:proofErr w:type="spellEnd"/>
            <w:r w:rsidRPr="00E40721">
              <w:rPr>
                <w:sz w:val="20"/>
                <w:lang w:val="fr-CA"/>
              </w:rPr>
              <w:t xml:space="preserve"> </w:t>
            </w:r>
            <w:proofErr w:type="spellStart"/>
            <w:r w:rsidRPr="00E40721">
              <w:rPr>
                <w:sz w:val="20"/>
                <w:lang w:val="fr-CA"/>
              </w:rPr>
              <w:t>Market</w:t>
            </w:r>
            <w:proofErr w:type="spellEnd"/>
            <w:r w:rsidRPr="00E40721">
              <w:rPr>
                <w:sz w:val="20"/>
                <w:lang w:val="fr-CA"/>
              </w:rPr>
              <w:t>.</w:t>
            </w:r>
          </w:p>
          <w:p w:rsidR="00B65BA0" w:rsidRPr="00E40721" w:rsidRDefault="00B65BA0" w:rsidP="00B65BA0">
            <w:pPr>
              <w:jc w:val="both"/>
              <w:rPr>
                <w:sz w:val="20"/>
                <w:lang w:val="fr-CA"/>
              </w:rPr>
            </w:pPr>
          </w:p>
          <w:p w:rsidR="00B65BA0" w:rsidRPr="00E40721" w:rsidRDefault="00B65BA0" w:rsidP="00B65BA0">
            <w:pPr>
              <w:jc w:val="both"/>
              <w:rPr>
                <w:sz w:val="20"/>
                <w:lang w:val="fr-CA"/>
              </w:rPr>
            </w:pPr>
            <w:r w:rsidRPr="00E40721">
              <w:rPr>
                <w:sz w:val="20"/>
                <w:lang w:val="fr-CA"/>
              </w:rPr>
              <w:t xml:space="preserve">Le juge de première instance a prononcé un jugement sommaire et la Cour d’appel a rejeté l’appel de </w:t>
            </w:r>
            <w:proofErr w:type="spellStart"/>
            <w:r w:rsidRPr="00E40721">
              <w:rPr>
                <w:sz w:val="20"/>
                <w:lang w:val="fr-CA"/>
              </w:rPr>
              <w:t>Zesty</w:t>
            </w:r>
            <w:proofErr w:type="spellEnd"/>
            <w:r w:rsidRPr="00E40721">
              <w:rPr>
                <w:sz w:val="20"/>
                <w:lang w:val="fr-CA"/>
              </w:rPr>
              <w:t xml:space="preserve"> </w:t>
            </w:r>
            <w:proofErr w:type="spellStart"/>
            <w:r w:rsidRPr="00E40721">
              <w:rPr>
                <w:sz w:val="20"/>
                <w:lang w:val="fr-CA"/>
              </w:rPr>
              <w:t>Market</w:t>
            </w:r>
            <w:proofErr w:type="spellEnd"/>
            <w:r w:rsidRPr="00E40721">
              <w:rPr>
                <w:sz w:val="20"/>
                <w:lang w:val="fr-CA"/>
              </w:rPr>
              <w:t>.</w:t>
            </w:r>
          </w:p>
          <w:p w:rsidR="00B65BA0" w:rsidRPr="00E40721" w:rsidRDefault="00B65BA0" w:rsidP="00B65BA0">
            <w:pPr>
              <w:jc w:val="both"/>
              <w:rPr>
                <w:sz w:val="20"/>
                <w:lang w:val="fr-CA"/>
              </w:rPr>
            </w:pPr>
          </w:p>
        </w:tc>
      </w:tr>
      <w:tr w:rsidR="00B65BA0" w:rsidRPr="00E7387C" w:rsidTr="00B65BA0">
        <w:tc>
          <w:tcPr>
            <w:tcW w:w="2427" w:type="pct"/>
            <w:gridSpan w:val="2"/>
          </w:tcPr>
          <w:p w:rsidR="00B65BA0" w:rsidRPr="00E40721" w:rsidRDefault="00B65BA0" w:rsidP="00B65BA0">
            <w:pPr>
              <w:jc w:val="both"/>
              <w:rPr>
                <w:sz w:val="20"/>
                <w:lang w:val="fr-CA"/>
              </w:rPr>
            </w:pPr>
            <w:r w:rsidRPr="00E40721">
              <w:rPr>
                <w:sz w:val="20"/>
                <w:lang w:val="fr-CA"/>
              </w:rPr>
              <w:t>1</w:t>
            </w:r>
            <w:r w:rsidRPr="00E40721">
              <w:rPr>
                <w:sz w:val="20"/>
                <w:vertAlign w:val="superscript"/>
                <w:lang w:val="fr-CA"/>
              </w:rPr>
              <w:t>er</w:t>
            </w:r>
            <w:r w:rsidRPr="00E40721">
              <w:rPr>
                <w:sz w:val="20"/>
                <w:lang w:val="fr-CA"/>
              </w:rPr>
              <w:t xml:space="preserve"> décembre 2015</w:t>
            </w:r>
          </w:p>
          <w:p w:rsidR="00B65BA0" w:rsidRPr="00E40721" w:rsidRDefault="00B65BA0" w:rsidP="00B65BA0">
            <w:pPr>
              <w:jc w:val="both"/>
              <w:rPr>
                <w:sz w:val="20"/>
                <w:lang w:val="fr-CA"/>
              </w:rPr>
            </w:pPr>
            <w:r w:rsidRPr="00E40721">
              <w:rPr>
                <w:sz w:val="20"/>
                <w:lang w:val="fr-CA"/>
              </w:rPr>
              <w:t>Cour supérieure de justice de l’Ontario</w:t>
            </w:r>
          </w:p>
          <w:p w:rsidR="00B65BA0" w:rsidRPr="00E40721" w:rsidRDefault="00B65BA0" w:rsidP="00B65BA0">
            <w:pPr>
              <w:jc w:val="both"/>
              <w:rPr>
                <w:sz w:val="20"/>
                <w:lang w:val="fr-CA"/>
              </w:rPr>
            </w:pPr>
            <w:r w:rsidRPr="00E40721">
              <w:rPr>
                <w:sz w:val="20"/>
                <w:lang w:val="fr-CA"/>
              </w:rPr>
              <w:t>(Juge Beaudoin)</w:t>
            </w:r>
          </w:p>
          <w:p w:rsidR="00B65BA0" w:rsidRPr="00E40721" w:rsidRDefault="00E7387C" w:rsidP="00B65BA0">
            <w:pPr>
              <w:jc w:val="both"/>
              <w:rPr>
                <w:sz w:val="20"/>
                <w:lang w:val="fr-CA"/>
              </w:rPr>
            </w:pPr>
            <w:hyperlink r:id="rId31" w:history="1">
              <w:r w:rsidR="00B65BA0" w:rsidRPr="00E40721">
                <w:rPr>
                  <w:rStyle w:val="Hyperlink"/>
                  <w:sz w:val="20"/>
                  <w:lang w:val="fr-CA"/>
                </w:rPr>
                <w:t>2015 ONSC 7465</w:t>
              </w:r>
            </w:hyperlink>
            <w:r w:rsidR="00B65BA0" w:rsidRPr="00E40721">
              <w:rPr>
                <w:sz w:val="20"/>
                <w:lang w:val="fr-CA"/>
              </w:rPr>
              <w:t xml:space="preserve"> </w:t>
            </w:r>
          </w:p>
          <w:p w:rsidR="00B65BA0" w:rsidRPr="00E40721" w:rsidRDefault="00B65BA0" w:rsidP="00B65BA0">
            <w:pPr>
              <w:jc w:val="both"/>
              <w:rPr>
                <w:sz w:val="20"/>
                <w:lang w:val="fr-CA"/>
              </w:rPr>
            </w:pPr>
          </w:p>
        </w:tc>
        <w:tc>
          <w:tcPr>
            <w:tcW w:w="243" w:type="pct"/>
          </w:tcPr>
          <w:p w:rsidR="00B65BA0" w:rsidRPr="00E40721" w:rsidRDefault="00B65BA0" w:rsidP="00B65BA0">
            <w:pPr>
              <w:jc w:val="both"/>
              <w:rPr>
                <w:sz w:val="20"/>
                <w:lang w:val="fr-CA"/>
              </w:rPr>
            </w:pPr>
          </w:p>
        </w:tc>
        <w:tc>
          <w:tcPr>
            <w:tcW w:w="2330" w:type="pct"/>
          </w:tcPr>
          <w:p w:rsidR="00B65BA0" w:rsidRPr="00E40721" w:rsidRDefault="00B65BA0" w:rsidP="00B65BA0">
            <w:pPr>
              <w:jc w:val="both"/>
              <w:rPr>
                <w:sz w:val="20"/>
                <w:lang w:val="fr-CA"/>
              </w:rPr>
            </w:pPr>
            <w:r w:rsidRPr="00E40721">
              <w:rPr>
                <w:sz w:val="20"/>
                <w:lang w:val="fr-CA"/>
              </w:rPr>
              <w:t>Jugement accueillant la motion en vue d’obtenir un jugement sommaire</w:t>
            </w:r>
          </w:p>
          <w:p w:rsidR="00B65BA0" w:rsidRPr="00E40721" w:rsidRDefault="00B65BA0" w:rsidP="00B65BA0">
            <w:pPr>
              <w:jc w:val="both"/>
              <w:rPr>
                <w:sz w:val="20"/>
                <w:lang w:val="fr-CA"/>
              </w:rPr>
            </w:pPr>
          </w:p>
        </w:tc>
      </w:tr>
      <w:tr w:rsidR="00B65BA0" w:rsidRPr="00E40721" w:rsidTr="00B65BA0">
        <w:tc>
          <w:tcPr>
            <w:tcW w:w="2427" w:type="pct"/>
            <w:gridSpan w:val="2"/>
          </w:tcPr>
          <w:p w:rsidR="00B65BA0" w:rsidRPr="00E40721" w:rsidRDefault="00B65BA0" w:rsidP="00B65BA0">
            <w:pPr>
              <w:jc w:val="both"/>
              <w:rPr>
                <w:sz w:val="20"/>
                <w:lang w:val="fr-CA"/>
              </w:rPr>
            </w:pPr>
            <w:r w:rsidRPr="00E40721">
              <w:rPr>
                <w:sz w:val="20"/>
                <w:lang w:val="fr-CA"/>
              </w:rPr>
              <w:t>11 juillet 2016</w:t>
            </w:r>
          </w:p>
          <w:p w:rsidR="00B65BA0" w:rsidRPr="00E40721" w:rsidRDefault="00B65BA0" w:rsidP="00B65BA0">
            <w:pPr>
              <w:jc w:val="both"/>
              <w:rPr>
                <w:sz w:val="20"/>
                <w:lang w:val="fr-CA"/>
              </w:rPr>
            </w:pPr>
            <w:r w:rsidRPr="00E40721">
              <w:rPr>
                <w:sz w:val="20"/>
                <w:lang w:val="fr-CA"/>
              </w:rPr>
              <w:t xml:space="preserve">Cour d’appel de l’Ontario </w:t>
            </w:r>
          </w:p>
          <w:p w:rsidR="00B65BA0" w:rsidRPr="00E40721" w:rsidRDefault="00B65BA0" w:rsidP="00B65BA0">
            <w:pPr>
              <w:jc w:val="both"/>
              <w:rPr>
                <w:sz w:val="20"/>
                <w:lang w:val="fr-CA"/>
              </w:rPr>
            </w:pPr>
            <w:r w:rsidRPr="00E40721">
              <w:rPr>
                <w:sz w:val="20"/>
                <w:lang w:val="fr-CA"/>
              </w:rPr>
              <w:t xml:space="preserve">(Juges </w:t>
            </w:r>
            <w:proofErr w:type="spellStart"/>
            <w:r w:rsidRPr="00E40721">
              <w:rPr>
                <w:sz w:val="20"/>
                <w:lang w:val="fr-CA"/>
              </w:rPr>
              <w:t>MacPherson</w:t>
            </w:r>
            <w:proofErr w:type="spellEnd"/>
            <w:r w:rsidRPr="00E40721">
              <w:rPr>
                <w:sz w:val="20"/>
                <w:lang w:val="fr-CA"/>
              </w:rPr>
              <w:t xml:space="preserve">, </w:t>
            </w:r>
            <w:proofErr w:type="spellStart"/>
            <w:r w:rsidRPr="00E40721">
              <w:rPr>
                <w:sz w:val="20"/>
                <w:lang w:val="fr-CA"/>
              </w:rPr>
              <w:t>Cronk</w:t>
            </w:r>
            <w:proofErr w:type="spellEnd"/>
            <w:r w:rsidRPr="00E40721">
              <w:rPr>
                <w:sz w:val="20"/>
                <w:lang w:val="fr-CA"/>
              </w:rPr>
              <w:t xml:space="preserve"> et </w:t>
            </w:r>
            <w:proofErr w:type="spellStart"/>
            <w:r w:rsidRPr="00E40721">
              <w:rPr>
                <w:sz w:val="20"/>
                <w:lang w:val="fr-CA"/>
              </w:rPr>
              <w:t>Benotto</w:t>
            </w:r>
            <w:proofErr w:type="spellEnd"/>
            <w:r w:rsidRPr="00E40721">
              <w:rPr>
                <w:sz w:val="20"/>
                <w:lang w:val="fr-CA"/>
              </w:rPr>
              <w:t>)</w:t>
            </w:r>
          </w:p>
          <w:p w:rsidR="00B65BA0" w:rsidRPr="00E40721" w:rsidRDefault="00E7387C" w:rsidP="00B65BA0">
            <w:pPr>
              <w:jc w:val="both"/>
              <w:rPr>
                <w:sz w:val="20"/>
                <w:lang w:val="fr-CA"/>
              </w:rPr>
            </w:pPr>
            <w:hyperlink r:id="rId32" w:history="1">
              <w:r w:rsidR="00B65BA0" w:rsidRPr="00E40721">
                <w:rPr>
                  <w:rStyle w:val="Hyperlink"/>
                  <w:sz w:val="20"/>
                  <w:lang w:val="fr-CA"/>
                </w:rPr>
                <w:t>2016 ONCA 561</w:t>
              </w:r>
            </w:hyperlink>
            <w:r w:rsidR="00B65BA0" w:rsidRPr="00E40721">
              <w:rPr>
                <w:sz w:val="20"/>
                <w:lang w:val="fr-CA"/>
              </w:rPr>
              <w:t xml:space="preserve"> </w:t>
            </w:r>
          </w:p>
          <w:p w:rsidR="00B65BA0" w:rsidRPr="00E40721" w:rsidRDefault="00B65BA0" w:rsidP="00B65BA0">
            <w:pPr>
              <w:jc w:val="both"/>
              <w:rPr>
                <w:sz w:val="20"/>
                <w:lang w:val="fr-CA"/>
              </w:rPr>
            </w:pPr>
          </w:p>
        </w:tc>
        <w:tc>
          <w:tcPr>
            <w:tcW w:w="243" w:type="pct"/>
          </w:tcPr>
          <w:p w:rsidR="00B65BA0" w:rsidRPr="00E40721" w:rsidRDefault="00B65BA0" w:rsidP="00B65BA0">
            <w:pPr>
              <w:jc w:val="both"/>
              <w:rPr>
                <w:sz w:val="20"/>
                <w:lang w:val="fr-CA"/>
              </w:rPr>
            </w:pPr>
          </w:p>
        </w:tc>
        <w:tc>
          <w:tcPr>
            <w:tcW w:w="2330" w:type="pct"/>
          </w:tcPr>
          <w:p w:rsidR="00B65BA0" w:rsidRPr="00E40721" w:rsidRDefault="00B65BA0" w:rsidP="00B65BA0">
            <w:pPr>
              <w:jc w:val="both"/>
              <w:rPr>
                <w:sz w:val="20"/>
                <w:lang w:val="fr-CA"/>
              </w:rPr>
            </w:pPr>
            <w:r w:rsidRPr="00E40721">
              <w:rPr>
                <w:sz w:val="20"/>
                <w:lang w:val="fr-CA"/>
              </w:rPr>
              <w:t>Rejet de l’appel</w:t>
            </w:r>
          </w:p>
          <w:p w:rsidR="00B65BA0" w:rsidRPr="00E40721" w:rsidRDefault="00B65BA0" w:rsidP="00B65BA0">
            <w:pPr>
              <w:jc w:val="both"/>
              <w:rPr>
                <w:sz w:val="20"/>
                <w:lang w:val="fr-CA"/>
              </w:rPr>
            </w:pPr>
          </w:p>
        </w:tc>
      </w:tr>
      <w:tr w:rsidR="00B65BA0" w:rsidRPr="00E7387C" w:rsidTr="00B65BA0">
        <w:tc>
          <w:tcPr>
            <w:tcW w:w="2427" w:type="pct"/>
            <w:gridSpan w:val="2"/>
          </w:tcPr>
          <w:p w:rsidR="00B65BA0" w:rsidRPr="00E40721" w:rsidRDefault="00B65BA0" w:rsidP="00B65BA0">
            <w:pPr>
              <w:jc w:val="both"/>
              <w:rPr>
                <w:sz w:val="20"/>
                <w:lang w:val="fr-CA"/>
              </w:rPr>
            </w:pPr>
            <w:r w:rsidRPr="00E40721">
              <w:rPr>
                <w:sz w:val="20"/>
                <w:lang w:val="fr-CA"/>
              </w:rPr>
              <w:t>29 septembre 2016</w:t>
            </w:r>
          </w:p>
          <w:p w:rsidR="00B65BA0" w:rsidRPr="00E40721" w:rsidRDefault="00B65BA0" w:rsidP="00B65BA0">
            <w:pPr>
              <w:jc w:val="both"/>
              <w:rPr>
                <w:sz w:val="20"/>
                <w:lang w:val="fr-CA"/>
              </w:rPr>
            </w:pPr>
            <w:r w:rsidRPr="00E40721">
              <w:rPr>
                <w:sz w:val="20"/>
                <w:lang w:val="fr-CA"/>
              </w:rPr>
              <w:t>Cour suprême du Canada</w:t>
            </w:r>
          </w:p>
        </w:tc>
        <w:tc>
          <w:tcPr>
            <w:tcW w:w="243" w:type="pct"/>
          </w:tcPr>
          <w:p w:rsidR="00B65BA0" w:rsidRPr="00E40721" w:rsidRDefault="00B65BA0" w:rsidP="00B65BA0">
            <w:pPr>
              <w:jc w:val="both"/>
              <w:rPr>
                <w:sz w:val="20"/>
                <w:lang w:val="fr-CA"/>
              </w:rPr>
            </w:pPr>
          </w:p>
        </w:tc>
        <w:tc>
          <w:tcPr>
            <w:tcW w:w="2330" w:type="pct"/>
          </w:tcPr>
          <w:p w:rsidR="00B65BA0" w:rsidRPr="00E40721" w:rsidRDefault="00B65BA0" w:rsidP="00B65BA0">
            <w:pPr>
              <w:jc w:val="both"/>
              <w:rPr>
                <w:sz w:val="20"/>
                <w:lang w:val="fr-CA"/>
              </w:rPr>
            </w:pPr>
            <w:r w:rsidRPr="00E40721">
              <w:rPr>
                <w:sz w:val="20"/>
                <w:lang w:val="fr-CA"/>
              </w:rPr>
              <w:t>Dépôt de la demande d’autorisation d’appel</w:t>
            </w:r>
          </w:p>
        </w:tc>
      </w:tr>
    </w:tbl>
    <w:p w:rsidR="00B65BA0" w:rsidRPr="00872938" w:rsidRDefault="00B65BA0" w:rsidP="00B65BA0">
      <w:pPr>
        <w:ind w:left="360" w:hanging="360"/>
        <w:jc w:val="both"/>
        <w:rPr>
          <w:sz w:val="20"/>
          <w:lang w:val="fr-CA" w:eastAsia="en-CA"/>
        </w:rPr>
      </w:pPr>
    </w:p>
    <w:p w:rsidR="00E8544A" w:rsidRPr="009D287C" w:rsidRDefault="00E7387C" w:rsidP="00E8544A">
      <w:pPr>
        <w:jc w:val="both"/>
        <w:rPr>
          <w:sz w:val="20"/>
          <w:lang w:val="fr-CA"/>
        </w:rPr>
      </w:pPr>
      <w:r>
        <w:rPr>
          <w:sz w:val="20"/>
          <w:szCs w:val="20"/>
        </w:rPr>
        <w:pict>
          <v:rect id="_x0000_i1048" style="width:2in;height:1pt" o:hrpct="0" o:hralign="center" o:hrstd="t" o:hrnoshade="t" o:hr="t" fillcolor="black" stroked="f"/>
        </w:pict>
      </w:r>
    </w:p>
    <w:p w:rsidR="00E8544A" w:rsidRPr="009D287C" w:rsidRDefault="00E8544A" w:rsidP="00E8544A">
      <w:pPr>
        <w:ind w:left="360" w:hanging="360"/>
        <w:jc w:val="both"/>
        <w:rPr>
          <w:sz w:val="20"/>
          <w:lang w:val="fr-CA" w:eastAsia="en-CA"/>
        </w:rPr>
      </w:pPr>
    </w:p>
    <w:p w:rsidR="00E8544A" w:rsidRDefault="00E8544A"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3"/>
          <w:headerReference w:type="default" r:id="rId34"/>
          <w:footerReference w:type="even" r:id="rId35"/>
          <w:footerReference w:type="default" r:id="rId36"/>
          <w:headerReference w:type="first" r:id="rId37"/>
          <w:footerReference w:type="first" r:id="rId3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462675" w:rsidRDefault="00890FEB" w:rsidP="00890FEB">
      <w:pPr>
        <w:rPr>
          <w:sz w:val="20"/>
          <w:szCs w:val="20"/>
        </w:rPr>
      </w:pPr>
    </w:p>
    <w:p w:rsidR="00462675" w:rsidRPr="00462675" w:rsidRDefault="00462675" w:rsidP="00462675">
      <w:pPr>
        <w:tabs>
          <w:tab w:val="left" w:pos="-1440"/>
          <w:tab w:val="left" w:pos="-720"/>
        </w:tabs>
        <w:jc w:val="both"/>
        <w:rPr>
          <w:sz w:val="20"/>
          <w:szCs w:val="20"/>
          <w:lang w:val="fr-CA"/>
        </w:rPr>
      </w:pPr>
      <w:r>
        <w:rPr>
          <w:sz w:val="20"/>
          <w:szCs w:val="20"/>
          <w:lang w:val="fr-CA"/>
        </w:rPr>
        <w:t>07.03</w:t>
      </w:r>
      <w:r w:rsidRPr="00462675">
        <w:rPr>
          <w:sz w:val="20"/>
          <w:szCs w:val="20"/>
          <w:lang w:val="fr-CA"/>
        </w:rPr>
        <w:t>.2017</w:t>
      </w:r>
    </w:p>
    <w:p w:rsidR="00462675" w:rsidRPr="00462675" w:rsidRDefault="00462675" w:rsidP="00462675">
      <w:pPr>
        <w:tabs>
          <w:tab w:val="left" w:pos="-1440"/>
          <w:tab w:val="left" w:pos="-720"/>
        </w:tabs>
        <w:jc w:val="both"/>
        <w:rPr>
          <w:sz w:val="20"/>
          <w:szCs w:val="20"/>
          <w:lang w:val="fr-CA"/>
        </w:rPr>
      </w:pPr>
    </w:p>
    <w:p w:rsidR="00462675" w:rsidRDefault="00462675" w:rsidP="00462675">
      <w:pPr>
        <w:tabs>
          <w:tab w:val="left" w:pos="-1440"/>
          <w:tab w:val="left" w:pos="-720"/>
        </w:tabs>
        <w:jc w:val="both"/>
        <w:rPr>
          <w:sz w:val="20"/>
          <w:szCs w:val="20"/>
          <w:lang w:val="fr-CA"/>
        </w:rPr>
      </w:pPr>
      <w:proofErr w:type="spellStart"/>
      <w:r w:rsidRPr="00462675">
        <w:rPr>
          <w:sz w:val="20"/>
          <w:szCs w:val="20"/>
          <w:lang w:val="fr-CA"/>
        </w:rPr>
        <w:t>Before</w:t>
      </w:r>
      <w:proofErr w:type="spellEnd"/>
      <w:r w:rsidRPr="00462675">
        <w:rPr>
          <w:sz w:val="20"/>
          <w:szCs w:val="20"/>
          <w:lang w:val="fr-CA"/>
        </w:rPr>
        <w:t xml:space="preserve"> / Devant:   WAGNER J. / LE JUGE WAGNER</w:t>
      </w:r>
    </w:p>
    <w:p w:rsidR="00462675" w:rsidRPr="00462675" w:rsidRDefault="00462675" w:rsidP="00462675">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90"/>
        <w:gridCol w:w="1142"/>
        <w:gridCol w:w="4237"/>
      </w:tblGrid>
      <w:tr w:rsidR="00462675" w:rsidRPr="00462675" w:rsidTr="00462675">
        <w:tc>
          <w:tcPr>
            <w:tcW w:w="4240" w:type="dxa"/>
            <w:gridSpan w:val="2"/>
          </w:tcPr>
          <w:p w:rsidR="00462675" w:rsidRPr="00B77AFE" w:rsidRDefault="00462675" w:rsidP="00E36428">
            <w:pPr>
              <w:rPr>
                <w:b/>
                <w:sz w:val="20"/>
                <w:szCs w:val="20"/>
                <w:lang w:val="en-US"/>
              </w:rPr>
            </w:pPr>
            <w:r w:rsidRPr="00B77AFE">
              <w:rPr>
                <w:b/>
                <w:sz w:val="20"/>
                <w:szCs w:val="20"/>
                <w:lang w:val="en-US"/>
              </w:rPr>
              <w:t>Motions for leave to intervene</w:t>
            </w:r>
            <w:r w:rsidRPr="00B77AFE">
              <w:rPr>
                <w:sz w:val="20"/>
                <w:szCs w:val="20"/>
                <w:lang w:val="en-US"/>
              </w:rPr>
              <w:t xml:space="preserve"> </w:t>
            </w:r>
            <w:r w:rsidRPr="00462675">
              <w:rPr>
                <w:sz w:val="20"/>
                <w:szCs w:val="20"/>
              </w:rPr>
              <w:fldChar w:fldCharType="begin"/>
            </w:r>
            <w:r w:rsidRPr="00B77AFE">
              <w:rPr>
                <w:sz w:val="20"/>
                <w:szCs w:val="20"/>
                <w:lang w:val="en-US"/>
              </w:rPr>
              <w:instrText xml:space="preserve"> SEQ CHAPTER \h \r 1</w:instrText>
            </w:r>
            <w:r w:rsidRPr="00462675">
              <w:rPr>
                <w:sz w:val="20"/>
                <w:szCs w:val="20"/>
              </w:rPr>
              <w:fldChar w:fldCharType="end"/>
            </w:r>
          </w:p>
        </w:tc>
        <w:tc>
          <w:tcPr>
            <w:tcW w:w="1142" w:type="dxa"/>
          </w:tcPr>
          <w:p w:rsidR="00462675" w:rsidRPr="00B77AFE" w:rsidRDefault="00462675" w:rsidP="00E36428">
            <w:pPr>
              <w:rPr>
                <w:sz w:val="20"/>
                <w:szCs w:val="20"/>
                <w:lang w:val="en-US"/>
              </w:rPr>
            </w:pPr>
          </w:p>
          <w:p w:rsidR="00462675" w:rsidRPr="00B77AFE" w:rsidRDefault="00462675" w:rsidP="00E36428">
            <w:pPr>
              <w:rPr>
                <w:sz w:val="20"/>
                <w:szCs w:val="20"/>
                <w:lang w:val="en-US"/>
              </w:rPr>
            </w:pPr>
          </w:p>
        </w:tc>
        <w:tc>
          <w:tcPr>
            <w:tcW w:w="4237" w:type="dxa"/>
          </w:tcPr>
          <w:p w:rsidR="00462675" w:rsidRPr="00462675" w:rsidRDefault="00462675" w:rsidP="00E36428">
            <w:pPr>
              <w:rPr>
                <w:b/>
                <w:sz w:val="20"/>
                <w:szCs w:val="20"/>
              </w:rPr>
            </w:pPr>
            <w:r w:rsidRPr="00462675">
              <w:rPr>
                <w:b/>
                <w:bCs/>
                <w:sz w:val="20"/>
                <w:szCs w:val="20"/>
                <w:lang w:val="fr-CA"/>
              </w:rPr>
              <w:t>Requêtes en autorisation d’intervenir</w:t>
            </w:r>
            <w:r w:rsidRPr="00462675">
              <w:rPr>
                <w:sz w:val="20"/>
                <w:szCs w:val="20"/>
              </w:rPr>
              <w:t xml:space="preserve"> </w:t>
            </w:r>
            <w:r w:rsidRPr="00462675">
              <w:rPr>
                <w:sz w:val="20"/>
                <w:szCs w:val="20"/>
              </w:rPr>
              <w:fldChar w:fldCharType="begin"/>
            </w:r>
            <w:r w:rsidRPr="00462675">
              <w:rPr>
                <w:sz w:val="20"/>
                <w:szCs w:val="20"/>
              </w:rPr>
              <w:instrText xml:space="preserve"> SEQ CHAPTER \h \r 1</w:instrText>
            </w:r>
            <w:r w:rsidRPr="00462675">
              <w:rPr>
                <w:sz w:val="20"/>
                <w:szCs w:val="20"/>
              </w:rPr>
              <w:fldChar w:fldCharType="end"/>
            </w:r>
          </w:p>
        </w:tc>
      </w:tr>
      <w:tr w:rsidR="00462675" w:rsidRPr="00462675" w:rsidTr="00462675">
        <w:tc>
          <w:tcPr>
            <w:tcW w:w="1350" w:type="dxa"/>
          </w:tcPr>
          <w:p w:rsidR="00462675" w:rsidRPr="00462675" w:rsidRDefault="00462675" w:rsidP="00E36428">
            <w:pPr>
              <w:rPr>
                <w:sz w:val="20"/>
                <w:szCs w:val="20"/>
              </w:rPr>
            </w:pPr>
            <w:r w:rsidRPr="00462675">
              <w:rPr>
                <w:sz w:val="20"/>
                <w:szCs w:val="20"/>
              </w:rPr>
              <w:t>BY / PAR</w:t>
            </w:r>
          </w:p>
        </w:tc>
        <w:tc>
          <w:tcPr>
            <w:tcW w:w="2890" w:type="dxa"/>
          </w:tcPr>
          <w:p w:rsidR="00462675" w:rsidRPr="00462675" w:rsidRDefault="00462675" w:rsidP="00E36428">
            <w:pPr>
              <w:rPr>
                <w:sz w:val="20"/>
                <w:szCs w:val="20"/>
              </w:rPr>
            </w:pPr>
            <w:r w:rsidRPr="006E1510">
              <w:rPr>
                <w:rFonts w:cs="Times New Roman"/>
                <w:sz w:val="20"/>
                <w:szCs w:val="20"/>
              </w:rPr>
              <w:t>Attorney General of Ontario</w:t>
            </w:r>
          </w:p>
        </w:tc>
        <w:tc>
          <w:tcPr>
            <w:tcW w:w="1142" w:type="dxa"/>
          </w:tcPr>
          <w:p w:rsidR="00462675" w:rsidRPr="00462675" w:rsidRDefault="00462675" w:rsidP="00E36428">
            <w:pPr>
              <w:rPr>
                <w:sz w:val="20"/>
                <w:szCs w:val="20"/>
              </w:rPr>
            </w:pPr>
          </w:p>
        </w:tc>
        <w:tc>
          <w:tcPr>
            <w:tcW w:w="4237" w:type="dxa"/>
          </w:tcPr>
          <w:p w:rsidR="00462675" w:rsidRPr="00462675" w:rsidRDefault="00462675" w:rsidP="00E36428">
            <w:pPr>
              <w:rPr>
                <w:sz w:val="20"/>
                <w:szCs w:val="20"/>
              </w:rPr>
            </w:pPr>
          </w:p>
        </w:tc>
      </w:tr>
      <w:tr w:rsidR="00462675" w:rsidRPr="00462675" w:rsidTr="00462675">
        <w:tc>
          <w:tcPr>
            <w:tcW w:w="1350" w:type="dxa"/>
          </w:tcPr>
          <w:p w:rsidR="00462675" w:rsidRPr="00462675" w:rsidRDefault="00462675" w:rsidP="00E36428">
            <w:pPr>
              <w:rPr>
                <w:sz w:val="20"/>
                <w:szCs w:val="20"/>
              </w:rPr>
            </w:pPr>
          </w:p>
        </w:tc>
        <w:tc>
          <w:tcPr>
            <w:tcW w:w="2890" w:type="dxa"/>
          </w:tcPr>
          <w:p w:rsidR="00462675" w:rsidRPr="006E1510" w:rsidRDefault="00462675" w:rsidP="00E36428">
            <w:pPr>
              <w:rPr>
                <w:rFonts w:cs="Times New Roman"/>
                <w:sz w:val="20"/>
                <w:szCs w:val="20"/>
              </w:rPr>
            </w:pPr>
            <w:r w:rsidRPr="006E1510">
              <w:rPr>
                <w:rFonts w:cs="Times New Roman"/>
                <w:sz w:val="20"/>
                <w:szCs w:val="20"/>
              </w:rPr>
              <w:t>Director of Public Prosecutions Canada</w:t>
            </w:r>
          </w:p>
        </w:tc>
        <w:tc>
          <w:tcPr>
            <w:tcW w:w="1142" w:type="dxa"/>
          </w:tcPr>
          <w:p w:rsidR="00462675" w:rsidRPr="00462675" w:rsidRDefault="00462675" w:rsidP="00E36428">
            <w:pPr>
              <w:rPr>
                <w:sz w:val="20"/>
                <w:szCs w:val="20"/>
              </w:rPr>
            </w:pPr>
          </w:p>
        </w:tc>
        <w:tc>
          <w:tcPr>
            <w:tcW w:w="4237" w:type="dxa"/>
          </w:tcPr>
          <w:p w:rsidR="00462675" w:rsidRPr="00462675" w:rsidRDefault="00462675" w:rsidP="00E36428">
            <w:pPr>
              <w:rPr>
                <w:sz w:val="20"/>
                <w:szCs w:val="20"/>
              </w:rPr>
            </w:pPr>
          </w:p>
        </w:tc>
      </w:tr>
      <w:tr w:rsidR="00462675" w:rsidRPr="00462675" w:rsidTr="00462675">
        <w:tc>
          <w:tcPr>
            <w:tcW w:w="1350" w:type="dxa"/>
          </w:tcPr>
          <w:p w:rsidR="00462675" w:rsidRPr="00462675" w:rsidRDefault="00462675" w:rsidP="00E36428">
            <w:pPr>
              <w:rPr>
                <w:sz w:val="20"/>
                <w:szCs w:val="20"/>
              </w:rPr>
            </w:pPr>
          </w:p>
        </w:tc>
        <w:tc>
          <w:tcPr>
            <w:tcW w:w="2890" w:type="dxa"/>
          </w:tcPr>
          <w:p w:rsidR="00462675" w:rsidRPr="006E1510" w:rsidRDefault="00462675" w:rsidP="00E36428">
            <w:pPr>
              <w:rPr>
                <w:rFonts w:cs="Times New Roman"/>
                <w:sz w:val="20"/>
                <w:szCs w:val="20"/>
              </w:rPr>
            </w:pPr>
            <w:r w:rsidRPr="006E1510">
              <w:rPr>
                <w:rFonts w:cs="Times New Roman"/>
                <w:sz w:val="20"/>
                <w:szCs w:val="20"/>
              </w:rPr>
              <w:t>Director of Criminal and Penal Prosecutions</w:t>
            </w:r>
          </w:p>
        </w:tc>
        <w:tc>
          <w:tcPr>
            <w:tcW w:w="1142" w:type="dxa"/>
          </w:tcPr>
          <w:p w:rsidR="00462675" w:rsidRPr="00462675" w:rsidRDefault="00462675" w:rsidP="00E36428">
            <w:pPr>
              <w:rPr>
                <w:sz w:val="20"/>
                <w:szCs w:val="20"/>
              </w:rPr>
            </w:pPr>
          </w:p>
        </w:tc>
        <w:tc>
          <w:tcPr>
            <w:tcW w:w="4237" w:type="dxa"/>
          </w:tcPr>
          <w:p w:rsidR="00462675" w:rsidRPr="00462675" w:rsidRDefault="00462675" w:rsidP="00E36428">
            <w:pPr>
              <w:rPr>
                <w:sz w:val="20"/>
                <w:szCs w:val="20"/>
              </w:rPr>
            </w:pPr>
          </w:p>
        </w:tc>
      </w:tr>
      <w:tr w:rsidR="00462675" w:rsidRPr="00462675" w:rsidTr="00462675">
        <w:tc>
          <w:tcPr>
            <w:tcW w:w="1350" w:type="dxa"/>
          </w:tcPr>
          <w:p w:rsidR="00462675" w:rsidRPr="00462675" w:rsidRDefault="00462675" w:rsidP="00E36428">
            <w:pPr>
              <w:rPr>
                <w:sz w:val="20"/>
                <w:szCs w:val="20"/>
              </w:rPr>
            </w:pPr>
          </w:p>
        </w:tc>
        <w:tc>
          <w:tcPr>
            <w:tcW w:w="2890" w:type="dxa"/>
          </w:tcPr>
          <w:p w:rsidR="00462675" w:rsidRPr="00462675" w:rsidRDefault="00462675" w:rsidP="00E36428">
            <w:pPr>
              <w:rPr>
                <w:sz w:val="20"/>
                <w:szCs w:val="20"/>
              </w:rPr>
            </w:pPr>
          </w:p>
        </w:tc>
        <w:tc>
          <w:tcPr>
            <w:tcW w:w="1142" w:type="dxa"/>
          </w:tcPr>
          <w:p w:rsidR="00462675" w:rsidRPr="00462675" w:rsidRDefault="00462675" w:rsidP="00E36428">
            <w:pPr>
              <w:rPr>
                <w:sz w:val="20"/>
                <w:szCs w:val="20"/>
              </w:rPr>
            </w:pPr>
          </w:p>
        </w:tc>
        <w:tc>
          <w:tcPr>
            <w:tcW w:w="4237" w:type="dxa"/>
          </w:tcPr>
          <w:p w:rsidR="00462675" w:rsidRPr="00462675" w:rsidRDefault="00462675" w:rsidP="00E36428">
            <w:pPr>
              <w:rPr>
                <w:sz w:val="20"/>
                <w:szCs w:val="20"/>
              </w:rPr>
            </w:pPr>
          </w:p>
        </w:tc>
      </w:tr>
      <w:tr w:rsidR="00462675" w:rsidRPr="00E7387C" w:rsidTr="00462675">
        <w:tc>
          <w:tcPr>
            <w:tcW w:w="1350" w:type="dxa"/>
          </w:tcPr>
          <w:p w:rsidR="00462675" w:rsidRPr="00462675" w:rsidRDefault="00462675" w:rsidP="00E36428">
            <w:pPr>
              <w:rPr>
                <w:sz w:val="20"/>
                <w:szCs w:val="20"/>
              </w:rPr>
            </w:pPr>
            <w:r w:rsidRPr="00462675">
              <w:rPr>
                <w:sz w:val="20"/>
                <w:szCs w:val="20"/>
              </w:rPr>
              <w:t>IN / DANS :</w:t>
            </w:r>
          </w:p>
        </w:tc>
        <w:tc>
          <w:tcPr>
            <w:tcW w:w="2890" w:type="dxa"/>
          </w:tcPr>
          <w:p w:rsidR="00462675" w:rsidRDefault="00462675" w:rsidP="00E36428">
            <w:pPr>
              <w:rPr>
                <w:sz w:val="20"/>
                <w:szCs w:val="20"/>
              </w:rPr>
            </w:pPr>
            <w:r>
              <w:rPr>
                <w:sz w:val="20"/>
                <w:szCs w:val="20"/>
              </w:rPr>
              <w:t>Her Majesty the Queen</w:t>
            </w:r>
          </w:p>
          <w:p w:rsidR="00462675" w:rsidRDefault="00462675" w:rsidP="00E36428">
            <w:pPr>
              <w:rPr>
                <w:sz w:val="20"/>
                <w:szCs w:val="20"/>
              </w:rPr>
            </w:pPr>
          </w:p>
          <w:p w:rsidR="00462675" w:rsidRDefault="00462675" w:rsidP="00E36428">
            <w:pPr>
              <w:rPr>
                <w:sz w:val="20"/>
                <w:szCs w:val="20"/>
              </w:rPr>
            </w:pPr>
            <w:r>
              <w:rPr>
                <w:sz w:val="20"/>
                <w:szCs w:val="20"/>
              </w:rPr>
              <w:tab/>
              <w:t>v. (37314)</w:t>
            </w:r>
          </w:p>
          <w:p w:rsidR="00462675" w:rsidRDefault="00462675" w:rsidP="00E36428">
            <w:pPr>
              <w:rPr>
                <w:sz w:val="20"/>
                <w:szCs w:val="20"/>
              </w:rPr>
            </w:pPr>
          </w:p>
          <w:p w:rsidR="00462675" w:rsidRPr="00462675" w:rsidRDefault="00462675" w:rsidP="00E36428">
            <w:pPr>
              <w:rPr>
                <w:sz w:val="20"/>
                <w:szCs w:val="20"/>
                <w:lang w:val="fr-CA"/>
              </w:rPr>
            </w:pPr>
            <w:r w:rsidRPr="00462675">
              <w:rPr>
                <w:sz w:val="20"/>
                <w:szCs w:val="20"/>
                <w:lang w:val="fr-CA"/>
              </w:rPr>
              <w:t>Hubert Hunt et al. (N.L.)</w:t>
            </w:r>
          </w:p>
        </w:tc>
        <w:tc>
          <w:tcPr>
            <w:tcW w:w="1142" w:type="dxa"/>
          </w:tcPr>
          <w:p w:rsidR="00462675" w:rsidRPr="00462675" w:rsidRDefault="00462675" w:rsidP="00E36428">
            <w:pPr>
              <w:rPr>
                <w:sz w:val="20"/>
                <w:szCs w:val="20"/>
                <w:lang w:val="fr-CA"/>
              </w:rPr>
            </w:pPr>
          </w:p>
        </w:tc>
        <w:tc>
          <w:tcPr>
            <w:tcW w:w="4237" w:type="dxa"/>
          </w:tcPr>
          <w:p w:rsidR="00462675" w:rsidRPr="00462675" w:rsidRDefault="00462675" w:rsidP="00E36428">
            <w:pPr>
              <w:rPr>
                <w:sz w:val="20"/>
                <w:szCs w:val="20"/>
                <w:lang w:val="fr-CA"/>
              </w:rPr>
            </w:pPr>
          </w:p>
        </w:tc>
      </w:tr>
    </w:tbl>
    <w:p w:rsidR="00462675" w:rsidRPr="00462675" w:rsidRDefault="00462675" w:rsidP="00462675">
      <w:pPr>
        <w:tabs>
          <w:tab w:val="left" w:pos="-1440"/>
          <w:tab w:val="left" w:pos="-720"/>
        </w:tabs>
        <w:jc w:val="both"/>
        <w:rPr>
          <w:sz w:val="20"/>
          <w:szCs w:val="20"/>
          <w:lang w:val="fr-CA"/>
        </w:rPr>
      </w:pPr>
    </w:p>
    <w:p w:rsidR="00462675" w:rsidRPr="00462675" w:rsidRDefault="00462675" w:rsidP="00462675">
      <w:pPr>
        <w:tabs>
          <w:tab w:val="left" w:pos="-1440"/>
          <w:tab w:val="left" w:pos="-720"/>
        </w:tabs>
        <w:jc w:val="both"/>
        <w:rPr>
          <w:sz w:val="20"/>
          <w:szCs w:val="20"/>
        </w:rPr>
      </w:pPr>
      <w:r>
        <w:rPr>
          <w:b/>
          <w:sz w:val="20"/>
          <w:szCs w:val="20"/>
        </w:rPr>
        <w:t>DISMISSED</w:t>
      </w:r>
      <w:r w:rsidRPr="00462675">
        <w:rPr>
          <w:b/>
          <w:sz w:val="20"/>
          <w:szCs w:val="20"/>
        </w:rPr>
        <w:t xml:space="preserve"> / </w:t>
      </w:r>
      <w:r>
        <w:rPr>
          <w:b/>
          <w:sz w:val="20"/>
          <w:szCs w:val="20"/>
        </w:rPr>
        <w:t>REJETÉES</w:t>
      </w:r>
    </w:p>
    <w:p w:rsidR="00462675" w:rsidRPr="00462675" w:rsidRDefault="00462675" w:rsidP="00462675">
      <w:pPr>
        <w:tabs>
          <w:tab w:val="left" w:pos="-1440"/>
          <w:tab w:val="left" w:pos="-720"/>
        </w:tabs>
        <w:jc w:val="both"/>
        <w:rPr>
          <w:sz w:val="20"/>
          <w:szCs w:val="20"/>
        </w:rPr>
      </w:pPr>
    </w:p>
    <w:p w:rsidR="00462675" w:rsidRPr="006E1510" w:rsidRDefault="00462675" w:rsidP="00462675">
      <w:pPr>
        <w:jc w:val="both"/>
        <w:rPr>
          <w:rFonts w:asciiTheme="minorHAnsi" w:hAnsiTheme="minorHAnsi"/>
          <w:sz w:val="20"/>
          <w:szCs w:val="20"/>
        </w:rPr>
      </w:pPr>
      <w:r w:rsidRPr="006E1510">
        <w:rPr>
          <w:rFonts w:cs="Times New Roman"/>
          <w:b/>
          <w:bCs/>
          <w:sz w:val="20"/>
          <w:szCs w:val="20"/>
        </w:rPr>
        <w:t xml:space="preserve">UPON APPLICATION </w:t>
      </w:r>
      <w:r w:rsidRPr="006E1510">
        <w:rPr>
          <w:rFonts w:cs="Times New Roman"/>
          <w:sz w:val="20"/>
          <w:szCs w:val="20"/>
        </w:rPr>
        <w:t xml:space="preserve">by the Attorney General of Ontario, the Director of Public Prosecutions Canada and the Director of Criminal and Penal Prosecutions for leave to intervene in the above appeal; </w:t>
      </w:r>
    </w:p>
    <w:p w:rsidR="00462675" w:rsidRPr="006E1510" w:rsidRDefault="00462675" w:rsidP="00462675">
      <w:pPr>
        <w:spacing w:line="233" w:lineRule="auto"/>
        <w:jc w:val="both"/>
        <w:rPr>
          <w:rFonts w:cs="Times New Roman"/>
          <w:sz w:val="20"/>
          <w:szCs w:val="20"/>
        </w:rPr>
      </w:pPr>
    </w:p>
    <w:p w:rsidR="00462675" w:rsidRPr="006E1510" w:rsidRDefault="00462675" w:rsidP="00462675">
      <w:pPr>
        <w:spacing w:line="233" w:lineRule="auto"/>
        <w:jc w:val="both"/>
        <w:rPr>
          <w:rFonts w:cs="Times New Roman"/>
          <w:sz w:val="20"/>
          <w:szCs w:val="20"/>
        </w:rPr>
      </w:pPr>
      <w:r w:rsidRPr="006E1510">
        <w:rPr>
          <w:rFonts w:cs="Times New Roman"/>
          <w:b/>
          <w:bCs/>
          <w:sz w:val="20"/>
          <w:szCs w:val="20"/>
        </w:rPr>
        <w:t>AND THE MATERIAL FILED</w:t>
      </w:r>
      <w:r w:rsidRPr="006E1510">
        <w:rPr>
          <w:rFonts w:cs="Times New Roman"/>
          <w:sz w:val="20"/>
          <w:szCs w:val="20"/>
        </w:rPr>
        <w:t xml:space="preserve"> having been read;</w:t>
      </w:r>
    </w:p>
    <w:p w:rsidR="00462675" w:rsidRPr="006E1510" w:rsidRDefault="00462675" w:rsidP="00462675">
      <w:pPr>
        <w:spacing w:line="233" w:lineRule="auto"/>
        <w:jc w:val="both"/>
        <w:rPr>
          <w:rFonts w:cs="Times New Roman"/>
          <w:sz w:val="20"/>
          <w:szCs w:val="20"/>
        </w:rPr>
      </w:pPr>
    </w:p>
    <w:p w:rsidR="00462675" w:rsidRPr="006E1510" w:rsidRDefault="00462675" w:rsidP="00462675">
      <w:pPr>
        <w:spacing w:line="233" w:lineRule="auto"/>
        <w:jc w:val="both"/>
        <w:rPr>
          <w:rFonts w:cs="Times New Roman"/>
          <w:b/>
          <w:bCs/>
          <w:sz w:val="20"/>
          <w:szCs w:val="20"/>
        </w:rPr>
      </w:pPr>
      <w:r w:rsidRPr="006E1510">
        <w:rPr>
          <w:rFonts w:cs="Times New Roman"/>
          <w:b/>
          <w:bCs/>
          <w:sz w:val="20"/>
          <w:szCs w:val="20"/>
        </w:rPr>
        <w:t>IT IS HEREBY ORDERED THAT:</w:t>
      </w:r>
    </w:p>
    <w:p w:rsidR="00462675" w:rsidRPr="006E1510" w:rsidRDefault="00462675" w:rsidP="00462675">
      <w:pPr>
        <w:spacing w:line="233" w:lineRule="auto"/>
        <w:jc w:val="both"/>
        <w:rPr>
          <w:rFonts w:cs="Times New Roman"/>
          <w:sz w:val="20"/>
          <w:szCs w:val="20"/>
        </w:rPr>
      </w:pPr>
    </w:p>
    <w:p w:rsidR="00462675" w:rsidRPr="006E1510" w:rsidRDefault="00462675" w:rsidP="00462675">
      <w:pPr>
        <w:spacing w:line="233" w:lineRule="auto"/>
        <w:jc w:val="both"/>
        <w:rPr>
          <w:rFonts w:cs="Times New Roman"/>
          <w:sz w:val="20"/>
          <w:szCs w:val="20"/>
        </w:rPr>
      </w:pPr>
      <w:r w:rsidRPr="006E1510">
        <w:rPr>
          <w:rFonts w:cs="Times New Roman"/>
          <w:sz w:val="20"/>
          <w:szCs w:val="20"/>
        </w:rPr>
        <w:t>The motions for leave to intervene are dismissed.</w:t>
      </w:r>
    </w:p>
    <w:p w:rsidR="00462675" w:rsidRPr="006E1510" w:rsidRDefault="00462675" w:rsidP="00462675">
      <w:pPr>
        <w:spacing w:line="233" w:lineRule="auto"/>
        <w:jc w:val="both"/>
        <w:rPr>
          <w:rFonts w:cs="Times New Roman"/>
          <w:sz w:val="20"/>
          <w:szCs w:val="20"/>
        </w:rPr>
      </w:pPr>
    </w:p>
    <w:p w:rsidR="00462675" w:rsidRPr="006E1510" w:rsidRDefault="00462675" w:rsidP="00462675">
      <w:pPr>
        <w:spacing w:line="233" w:lineRule="auto"/>
        <w:jc w:val="both"/>
        <w:rPr>
          <w:rFonts w:cs="Times New Roman"/>
          <w:sz w:val="20"/>
          <w:szCs w:val="20"/>
        </w:rPr>
      </w:pPr>
    </w:p>
    <w:p w:rsidR="00462675" w:rsidRPr="006E1510" w:rsidRDefault="00462675" w:rsidP="00462675">
      <w:pPr>
        <w:tabs>
          <w:tab w:val="right" w:pos="9360"/>
        </w:tabs>
        <w:jc w:val="both"/>
        <w:rPr>
          <w:rFonts w:cs="Times New Roman"/>
          <w:sz w:val="20"/>
          <w:szCs w:val="20"/>
        </w:rPr>
      </w:pPr>
    </w:p>
    <w:p w:rsidR="00462675" w:rsidRPr="006E1510" w:rsidRDefault="00462675" w:rsidP="00462675">
      <w:pPr>
        <w:spacing w:line="233" w:lineRule="auto"/>
        <w:jc w:val="both"/>
        <w:rPr>
          <w:rFonts w:cs="Times New Roman"/>
          <w:sz w:val="20"/>
          <w:szCs w:val="20"/>
          <w:lang w:val="fr-FR"/>
        </w:rPr>
      </w:pPr>
      <w:r w:rsidRPr="006E1510">
        <w:rPr>
          <w:rFonts w:cs="Times New Roman"/>
          <w:b/>
          <w:sz w:val="20"/>
          <w:szCs w:val="20"/>
          <w:lang w:val="fr-FR"/>
        </w:rPr>
        <w:t>À LA SUITE DES DEMANDES</w:t>
      </w:r>
      <w:r w:rsidRPr="006E1510">
        <w:rPr>
          <w:rFonts w:cs="Times New Roman"/>
          <w:sz w:val="20"/>
          <w:szCs w:val="20"/>
          <w:lang w:val="fr-FR"/>
        </w:rPr>
        <w:t xml:space="preserve"> présentées par le Procureur général de l’Ontario, le Directeur des poursuites pénales du Canada et le Directeur des poursuites criminelles et pénales pour permission d’intervenir dans l’appel; </w:t>
      </w:r>
    </w:p>
    <w:p w:rsidR="00462675" w:rsidRPr="006E1510" w:rsidRDefault="00462675" w:rsidP="00462675">
      <w:pPr>
        <w:spacing w:line="233" w:lineRule="auto"/>
        <w:jc w:val="both"/>
        <w:rPr>
          <w:rFonts w:cs="Times New Roman"/>
          <w:sz w:val="20"/>
          <w:szCs w:val="20"/>
          <w:lang w:val="fr-FR"/>
        </w:rPr>
      </w:pPr>
    </w:p>
    <w:p w:rsidR="00462675" w:rsidRPr="006E1510" w:rsidRDefault="00462675" w:rsidP="00462675">
      <w:pPr>
        <w:spacing w:line="233" w:lineRule="auto"/>
        <w:jc w:val="both"/>
        <w:rPr>
          <w:rFonts w:cs="Times New Roman"/>
          <w:sz w:val="20"/>
          <w:szCs w:val="20"/>
          <w:lang w:val="fr-CA"/>
        </w:rPr>
      </w:pPr>
      <w:r w:rsidRPr="006E1510">
        <w:rPr>
          <w:rFonts w:cs="Times New Roman"/>
          <w:b/>
          <w:sz w:val="20"/>
          <w:szCs w:val="20"/>
          <w:lang w:val="fr-CA"/>
        </w:rPr>
        <w:t>ET APRÈS EXAMEN</w:t>
      </w:r>
      <w:r w:rsidRPr="006E1510">
        <w:rPr>
          <w:rFonts w:cs="Times New Roman"/>
          <w:sz w:val="20"/>
          <w:szCs w:val="20"/>
          <w:lang w:val="fr-CA"/>
        </w:rPr>
        <w:t xml:space="preserve"> des documents déposés; </w:t>
      </w:r>
    </w:p>
    <w:p w:rsidR="00462675" w:rsidRPr="006E1510" w:rsidRDefault="00462675" w:rsidP="00462675">
      <w:pPr>
        <w:spacing w:line="233" w:lineRule="auto"/>
        <w:jc w:val="both"/>
        <w:rPr>
          <w:rFonts w:cs="Times New Roman"/>
          <w:sz w:val="20"/>
          <w:szCs w:val="20"/>
          <w:lang w:val="fr-CA"/>
        </w:rPr>
      </w:pPr>
    </w:p>
    <w:p w:rsidR="00462675" w:rsidRPr="006E1510" w:rsidRDefault="00462675" w:rsidP="00462675">
      <w:pPr>
        <w:spacing w:line="233" w:lineRule="auto"/>
        <w:jc w:val="both"/>
        <w:rPr>
          <w:rFonts w:cs="Times New Roman"/>
          <w:sz w:val="20"/>
          <w:szCs w:val="20"/>
          <w:lang w:val="fr-CA"/>
        </w:rPr>
      </w:pPr>
      <w:r w:rsidRPr="006E1510">
        <w:rPr>
          <w:rFonts w:cs="Times New Roman"/>
          <w:b/>
          <w:sz w:val="20"/>
          <w:szCs w:val="20"/>
          <w:lang w:val="fr-CA"/>
        </w:rPr>
        <w:t>IL EST PAR LA PRÉSENTE ORDONNÉ CE QUI SUIT</w:t>
      </w:r>
      <w:r w:rsidRPr="006E1510">
        <w:rPr>
          <w:rFonts w:cs="Times New Roman"/>
          <w:sz w:val="20"/>
          <w:szCs w:val="20"/>
          <w:lang w:val="fr-CA"/>
        </w:rPr>
        <w:t xml:space="preserve"> : </w:t>
      </w:r>
    </w:p>
    <w:p w:rsidR="00462675" w:rsidRPr="006E1510" w:rsidRDefault="00462675" w:rsidP="00462675">
      <w:pPr>
        <w:spacing w:line="233" w:lineRule="auto"/>
        <w:jc w:val="both"/>
        <w:rPr>
          <w:rFonts w:cs="Times New Roman"/>
          <w:sz w:val="20"/>
          <w:szCs w:val="20"/>
          <w:lang w:val="fr-CA"/>
        </w:rPr>
      </w:pPr>
    </w:p>
    <w:p w:rsidR="00462675" w:rsidRDefault="00462675" w:rsidP="00462675">
      <w:pPr>
        <w:jc w:val="both"/>
        <w:rPr>
          <w:rFonts w:cs="Times New Roman"/>
          <w:sz w:val="20"/>
          <w:szCs w:val="20"/>
          <w:lang w:val="fr-FR"/>
        </w:rPr>
      </w:pPr>
      <w:r w:rsidRPr="006E1510">
        <w:rPr>
          <w:rFonts w:cs="Times New Roman"/>
          <w:sz w:val="20"/>
          <w:szCs w:val="20"/>
          <w:lang w:val="fr-FR"/>
        </w:rPr>
        <w:t>Les requêtes pour permission d’intervenir sont rejetées.</w:t>
      </w:r>
    </w:p>
    <w:p w:rsidR="00462675" w:rsidRPr="006E1510" w:rsidRDefault="00462675" w:rsidP="00462675">
      <w:pPr>
        <w:rPr>
          <w:rFonts w:cs="Times New Roman"/>
          <w:sz w:val="20"/>
          <w:szCs w:val="20"/>
          <w:lang w:val="fr-FR"/>
        </w:rPr>
      </w:pPr>
    </w:p>
    <w:p w:rsidR="00CA2DEA" w:rsidRPr="00462675" w:rsidRDefault="00E7387C" w:rsidP="00CA2DEA">
      <w:pPr>
        <w:widowControl w:val="0"/>
        <w:rPr>
          <w:rFonts w:eastAsia="Times New Roman" w:cs="Times New Roman"/>
          <w:sz w:val="20"/>
          <w:szCs w:val="20"/>
          <w:lang w:val="fr-FR" w:eastAsia="en-CA"/>
        </w:rPr>
      </w:pPr>
      <w:r>
        <w:rPr>
          <w:sz w:val="20"/>
          <w:szCs w:val="20"/>
        </w:rPr>
        <w:pict>
          <v:rect id="_x0000_i1051" style="width:2in;height:1pt" o:hrpct="0" o:hralign="center" o:hrstd="t" o:hrnoshade="t" o:hr="t" fillcolor="black" stroked="f"/>
        </w:pict>
      </w:r>
    </w:p>
    <w:p w:rsidR="00346C54" w:rsidRPr="00462675" w:rsidRDefault="00346C54" w:rsidP="00CA2DEA">
      <w:pPr>
        <w:widowControl w:val="0"/>
        <w:rPr>
          <w:rFonts w:eastAsia="Times New Roman" w:cs="Times New Roman"/>
          <w:sz w:val="20"/>
          <w:szCs w:val="20"/>
          <w:lang w:val="fr-CA" w:eastAsia="en-CA"/>
        </w:rPr>
      </w:pPr>
    </w:p>
    <w:p w:rsidR="00462675" w:rsidRDefault="00462675">
      <w:pPr>
        <w:rPr>
          <w:sz w:val="20"/>
          <w:szCs w:val="20"/>
          <w:lang w:val="fr-CA"/>
        </w:rPr>
      </w:pPr>
      <w:r>
        <w:rPr>
          <w:sz w:val="20"/>
          <w:szCs w:val="20"/>
          <w:lang w:val="fr-CA"/>
        </w:rPr>
        <w:br w:type="page"/>
      </w:r>
    </w:p>
    <w:p w:rsidR="00462675" w:rsidRPr="00462675" w:rsidRDefault="00462675" w:rsidP="00462675">
      <w:pPr>
        <w:tabs>
          <w:tab w:val="left" w:pos="-1440"/>
          <w:tab w:val="left" w:pos="-720"/>
        </w:tabs>
        <w:jc w:val="both"/>
        <w:rPr>
          <w:sz w:val="20"/>
          <w:szCs w:val="20"/>
          <w:lang w:val="fr-CA"/>
        </w:rPr>
      </w:pPr>
      <w:r>
        <w:rPr>
          <w:sz w:val="20"/>
          <w:szCs w:val="20"/>
          <w:lang w:val="fr-CA"/>
        </w:rPr>
        <w:lastRenderedPageBreak/>
        <w:t>07.03</w:t>
      </w:r>
      <w:r w:rsidRPr="00462675">
        <w:rPr>
          <w:sz w:val="20"/>
          <w:szCs w:val="20"/>
          <w:lang w:val="fr-CA"/>
        </w:rPr>
        <w:t>.2017</w:t>
      </w:r>
    </w:p>
    <w:p w:rsidR="00462675" w:rsidRPr="00462675" w:rsidRDefault="00462675" w:rsidP="00462675">
      <w:pPr>
        <w:tabs>
          <w:tab w:val="left" w:pos="-1440"/>
          <w:tab w:val="left" w:pos="-720"/>
        </w:tabs>
        <w:jc w:val="both"/>
        <w:rPr>
          <w:sz w:val="20"/>
          <w:szCs w:val="20"/>
          <w:lang w:val="fr-CA"/>
        </w:rPr>
      </w:pPr>
    </w:p>
    <w:p w:rsidR="00462675" w:rsidRDefault="00462675" w:rsidP="00462675">
      <w:pPr>
        <w:tabs>
          <w:tab w:val="left" w:pos="-1440"/>
          <w:tab w:val="left" w:pos="-720"/>
        </w:tabs>
        <w:jc w:val="both"/>
        <w:rPr>
          <w:sz w:val="20"/>
          <w:szCs w:val="20"/>
          <w:lang w:val="fr-CA"/>
        </w:rPr>
      </w:pPr>
      <w:proofErr w:type="spellStart"/>
      <w:r w:rsidRPr="00462675">
        <w:rPr>
          <w:sz w:val="20"/>
          <w:szCs w:val="20"/>
          <w:lang w:val="fr-CA"/>
        </w:rPr>
        <w:t>Before</w:t>
      </w:r>
      <w:proofErr w:type="spellEnd"/>
      <w:r w:rsidRPr="00462675">
        <w:rPr>
          <w:sz w:val="20"/>
          <w:szCs w:val="20"/>
          <w:lang w:val="fr-CA"/>
        </w:rPr>
        <w:t xml:space="preserve"> / Devant:   WAGNER J. / LE JUGE WAGNER</w:t>
      </w:r>
    </w:p>
    <w:p w:rsidR="00462675" w:rsidRPr="00462675" w:rsidRDefault="00462675" w:rsidP="00462675">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90"/>
        <w:gridCol w:w="1142"/>
        <w:gridCol w:w="4237"/>
      </w:tblGrid>
      <w:tr w:rsidR="00462675" w:rsidRPr="00462675" w:rsidTr="00E36428">
        <w:tc>
          <w:tcPr>
            <w:tcW w:w="4240" w:type="dxa"/>
            <w:gridSpan w:val="2"/>
          </w:tcPr>
          <w:p w:rsidR="00462675" w:rsidRPr="00462675" w:rsidRDefault="00462675" w:rsidP="00E36428">
            <w:pPr>
              <w:rPr>
                <w:b/>
                <w:sz w:val="20"/>
                <w:szCs w:val="20"/>
                <w:lang w:val="en-US"/>
              </w:rPr>
            </w:pPr>
            <w:r w:rsidRPr="00462675">
              <w:rPr>
                <w:b/>
                <w:sz w:val="20"/>
                <w:szCs w:val="20"/>
                <w:lang w:val="en-US"/>
              </w:rPr>
              <w:t>Motions for leave to intervene</w:t>
            </w:r>
            <w:r w:rsidRPr="00462675">
              <w:rPr>
                <w:sz w:val="20"/>
                <w:szCs w:val="20"/>
                <w:lang w:val="en-US"/>
              </w:rPr>
              <w:t xml:space="preserve"> </w:t>
            </w:r>
            <w:r w:rsidRPr="00462675">
              <w:rPr>
                <w:sz w:val="20"/>
                <w:szCs w:val="20"/>
              </w:rPr>
              <w:fldChar w:fldCharType="begin"/>
            </w:r>
            <w:r w:rsidRPr="00462675">
              <w:rPr>
                <w:sz w:val="20"/>
                <w:szCs w:val="20"/>
                <w:lang w:val="en-US"/>
              </w:rPr>
              <w:instrText xml:space="preserve"> SEQ CHAPTER \h \r 1</w:instrText>
            </w:r>
            <w:r w:rsidRPr="00462675">
              <w:rPr>
                <w:sz w:val="20"/>
                <w:szCs w:val="20"/>
              </w:rPr>
              <w:fldChar w:fldCharType="end"/>
            </w:r>
          </w:p>
        </w:tc>
        <w:tc>
          <w:tcPr>
            <w:tcW w:w="1142" w:type="dxa"/>
          </w:tcPr>
          <w:p w:rsidR="00462675" w:rsidRPr="00462675" w:rsidRDefault="00462675" w:rsidP="00E36428">
            <w:pPr>
              <w:rPr>
                <w:sz w:val="20"/>
                <w:szCs w:val="20"/>
                <w:lang w:val="en-US"/>
              </w:rPr>
            </w:pPr>
          </w:p>
          <w:p w:rsidR="00462675" w:rsidRPr="00462675" w:rsidRDefault="00462675" w:rsidP="00E36428">
            <w:pPr>
              <w:rPr>
                <w:sz w:val="20"/>
                <w:szCs w:val="20"/>
                <w:lang w:val="en-US"/>
              </w:rPr>
            </w:pPr>
          </w:p>
        </w:tc>
        <w:tc>
          <w:tcPr>
            <w:tcW w:w="4237" w:type="dxa"/>
          </w:tcPr>
          <w:p w:rsidR="00462675" w:rsidRPr="00462675" w:rsidRDefault="00462675" w:rsidP="00E36428">
            <w:pPr>
              <w:rPr>
                <w:b/>
                <w:sz w:val="20"/>
                <w:szCs w:val="20"/>
              </w:rPr>
            </w:pPr>
            <w:r w:rsidRPr="00462675">
              <w:rPr>
                <w:b/>
                <w:bCs/>
                <w:sz w:val="20"/>
                <w:szCs w:val="20"/>
                <w:lang w:val="fr-CA"/>
              </w:rPr>
              <w:t>Requêtes en autorisation d’intervenir</w:t>
            </w:r>
            <w:r w:rsidRPr="00462675">
              <w:rPr>
                <w:sz w:val="20"/>
                <w:szCs w:val="20"/>
              </w:rPr>
              <w:t xml:space="preserve"> </w:t>
            </w:r>
            <w:r w:rsidRPr="00462675">
              <w:rPr>
                <w:sz w:val="20"/>
                <w:szCs w:val="20"/>
              </w:rPr>
              <w:fldChar w:fldCharType="begin"/>
            </w:r>
            <w:r w:rsidRPr="00462675">
              <w:rPr>
                <w:sz w:val="20"/>
                <w:szCs w:val="20"/>
              </w:rPr>
              <w:instrText xml:space="preserve"> SEQ CHAPTER \h \r 1</w:instrText>
            </w:r>
            <w:r w:rsidRPr="00462675">
              <w:rPr>
                <w:sz w:val="20"/>
                <w:szCs w:val="20"/>
              </w:rPr>
              <w:fldChar w:fldCharType="end"/>
            </w:r>
          </w:p>
        </w:tc>
      </w:tr>
      <w:tr w:rsidR="00462675" w:rsidRPr="00462675" w:rsidTr="00E36428">
        <w:tc>
          <w:tcPr>
            <w:tcW w:w="1350" w:type="dxa"/>
          </w:tcPr>
          <w:p w:rsidR="00462675" w:rsidRPr="00462675" w:rsidRDefault="00462675" w:rsidP="00E36428">
            <w:pPr>
              <w:rPr>
                <w:sz w:val="20"/>
                <w:szCs w:val="20"/>
              </w:rPr>
            </w:pPr>
            <w:r w:rsidRPr="00462675">
              <w:rPr>
                <w:sz w:val="20"/>
                <w:szCs w:val="20"/>
              </w:rPr>
              <w:t>BY / PAR</w:t>
            </w:r>
          </w:p>
        </w:tc>
        <w:tc>
          <w:tcPr>
            <w:tcW w:w="2890" w:type="dxa"/>
          </w:tcPr>
          <w:p w:rsidR="00462675" w:rsidRPr="00462675" w:rsidRDefault="00462675" w:rsidP="00E36428">
            <w:pPr>
              <w:rPr>
                <w:sz w:val="20"/>
                <w:szCs w:val="20"/>
              </w:rPr>
            </w:pPr>
            <w:r w:rsidRPr="00BA11A2">
              <w:rPr>
                <w:rFonts w:cs="Times New Roman"/>
                <w:sz w:val="20"/>
                <w:szCs w:val="20"/>
              </w:rPr>
              <w:t>Attorney General of Ontario</w:t>
            </w:r>
          </w:p>
        </w:tc>
        <w:tc>
          <w:tcPr>
            <w:tcW w:w="1142" w:type="dxa"/>
          </w:tcPr>
          <w:p w:rsidR="00462675" w:rsidRPr="00462675" w:rsidRDefault="00462675" w:rsidP="00E36428">
            <w:pPr>
              <w:rPr>
                <w:sz w:val="20"/>
                <w:szCs w:val="20"/>
              </w:rPr>
            </w:pPr>
          </w:p>
        </w:tc>
        <w:tc>
          <w:tcPr>
            <w:tcW w:w="4237" w:type="dxa"/>
          </w:tcPr>
          <w:p w:rsidR="00462675" w:rsidRPr="00462675" w:rsidRDefault="00462675" w:rsidP="00E36428">
            <w:pPr>
              <w:rPr>
                <w:sz w:val="20"/>
                <w:szCs w:val="20"/>
              </w:rPr>
            </w:pPr>
          </w:p>
        </w:tc>
      </w:tr>
      <w:tr w:rsidR="00462675" w:rsidRPr="00462675" w:rsidTr="00E36428">
        <w:tc>
          <w:tcPr>
            <w:tcW w:w="1350" w:type="dxa"/>
          </w:tcPr>
          <w:p w:rsidR="00462675" w:rsidRPr="00462675" w:rsidRDefault="00462675" w:rsidP="00E36428">
            <w:pPr>
              <w:rPr>
                <w:sz w:val="20"/>
                <w:szCs w:val="20"/>
              </w:rPr>
            </w:pPr>
          </w:p>
        </w:tc>
        <w:tc>
          <w:tcPr>
            <w:tcW w:w="2890" w:type="dxa"/>
          </w:tcPr>
          <w:p w:rsidR="00462675" w:rsidRPr="00462675" w:rsidRDefault="00462675" w:rsidP="00E36428">
            <w:pPr>
              <w:rPr>
                <w:sz w:val="20"/>
                <w:szCs w:val="20"/>
              </w:rPr>
            </w:pPr>
            <w:r w:rsidRPr="00BA11A2">
              <w:rPr>
                <w:rFonts w:cs="Times New Roman"/>
                <w:sz w:val="20"/>
                <w:szCs w:val="20"/>
              </w:rPr>
              <w:t>Attorney General of Québec and the Minister of Justice of Quebec (jointly)</w:t>
            </w:r>
          </w:p>
        </w:tc>
        <w:tc>
          <w:tcPr>
            <w:tcW w:w="1142" w:type="dxa"/>
          </w:tcPr>
          <w:p w:rsidR="00462675" w:rsidRPr="00462675" w:rsidRDefault="00462675" w:rsidP="00E36428">
            <w:pPr>
              <w:rPr>
                <w:sz w:val="20"/>
                <w:szCs w:val="20"/>
              </w:rPr>
            </w:pPr>
          </w:p>
        </w:tc>
        <w:tc>
          <w:tcPr>
            <w:tcW w:w="4237" w:type="dxa"/>
          </w:tcPr>
          <w:p w:rsidR="00462675" w:rsidRPr="00462675" w:rsidRDefault="00462675" w:rsidP="00E36428">
            <w:pPr>
              <w:rPr>
                <w:sz w:val="20"/>
                <w:szCs w:val="20"/>
              </w:rPr>
            </w:pPr>
          </w:p>
        </w:tc>
      </w:tr>
      <w:tr w:rsidR="00462675" w:rsidRPr="00462675" w:rsidTr="00E36428">
        <w:tc>
          <w:tcPr>
            <w:tcW w:w="1350" w:type="dxa"/>
          </w:tcPr>
          <w:p w:rsidR="00462675" w:rsidRPr="00462675" w:rsidRDefault="00462675" w:rsidP="00E36428">
            <w:pPr>
              <w:rPr>
                <w:sz w:val="20"/>
                <w:szCs w:val="20"/>
              </w:rPr>
            </w:pPr>
          </w:p>
        </w:tc>
        <w:tc>
          <w:tcPr>
            <w:tcW w:w="2890" w:type="dxa"/>
          </w:tcPr>
          <w:p w:rsidR="00462675" w:rsidRPr="00462675" w:rsidRDefault="00462675" w:rsidP="00E36428">
            <w:pPr>
              <w:rPr>
                <w:sz w:val="20"/>
                <w:szCs w:val="20"/>
              </w:rPr>
            </w:pPr>
            <w:r w:rsidRPr="00BA11A2">
              <w:rPr>
                <w:rFonts w:cs="Times New Roman"/>
                <w:sz w:val="20"/>
                <w:szCs w:val="20"/>
              </w:rPr>
              <w:t>Attorney General of Manitoba</w:t>
            </w:r>
          </w:p>
        </w:tc>
        <w:tc>
          <w:tcPr>
            <w:tcW w:w="1142" w:type="dxa"/>
          </w:tcPr>
          <w:p w:rsidR="00462675" w:rsidRPr="00462675" w:rsidRDefault="00462675" w:rsidP="00E36428">
            <w:pPr>
              <w:rPr>
                <w:sz w:val="20"/>
                <w:szCs w:val="20"/>
              </w:rPr>
            </w:pPr>
          </w:p>
        </w:tc>
        <w:tc>
          <w:tcPr>
            <w:tcW w:w="4237" w:type="dxa"/>
          </w:tcPr>
          <w:p w:rsidR="00462675" w:rsidRPr="00462675" w:rsidRDefault="00462675" w:rsidP="00E36428">
            <w:pPr>
              <w:rPr>
                <w:sz w:val="20"/>
                <w:szCs w:val="20"/>
              </w:rPr>
            </w:pPr>
          </w:p>
        </w:tc>
      </w:tr>
      <w:tr w:rsidR="00462675" w:rsidRPr="00462675" w:rsidTr="00E36428">
        <w:tc>
          <w:tcPr>
            <w:tcW w:w="1350" w:type="dxa"/>
          </w:tcPr>
          <w:p w:rsidR="00462675" w:rsidRPr="00462675" w:rsidRDefault="00462675" w:rsidP="00E36428">
            <w:pPr>
              <w:rPr>
                <w:sz w:val="20"/>
                <w:szCs w:val="20"/>
              </w:rPr>
            </w:pPr>
          </w:p>
        </w:tc>
        <w:tc>
          <w:tcPr>
            <w:tcW w:w="2890" w:type="dxa"/>
          </w:tcPr>
          <w:p w:rsidR="00462675" w:rsidRPr="00462675" w:rsidRDefault="00462675" w:rsidP="00E36428">
            <w:pPr>
              <w:rPr>
                <w:sz w:val="20"/>
                <w:szCs w:val="20"/>
              </w:rPr>
            </w:pPr>
            <w:r w:rsidRPr="00BA11A2">
              <w:rPr>
                <w:rFonts w:cs="Times New Roman"/>
                <w:sz w:val="20"/>
                <w:szCs w:val="20"/>
              </w:rPr>
              <w:t>Attorney General of British Columbia</w:t>
            </w:r>
          </w:p>
        </w:tc>
        <w:tc>
          <w:tcPr>
            <w:tcW w:w="1142" w:type="dxa"/>
          </w:tcPr>
          <w:p w:rsidR="00462675" w:rsidRPr="00462675" w:rsidRDefault="00462675" w:rsidP="00E36428">
            <w:pPr>
              <w:rPr>
                <w:sz w:val="20"/>
                <w:szCs w:val="20"/>
              </w:rPr>
            </w:pPr>
          </w:p>
        </w:tc>
        <w:tc>
          <w:tcPr>
            <w:tcW w:w="4237" w:type="dxa"/>
          </w:tcPr>
          <w:p w:rsidR="00462675" w:rsidRPr="00462675" w:rsidRDefault="00462675" w:rsidP="00E36428">
            <w:pPr>
              <w:rPr>
                <w:sz w:val="20"/>
                <w:szCs w:val="20"/>
              </w:rPr>
            </w:pPr>
          </w:p>
        </w:tc>
      </w:tr>
      <w:tr w:rsidR="00462675" w:rsidRPr="00462675" w:rsidTr="00E36428">
        <w:tc>
          <w:tcPr>
            <w:tcW w:w="1350" w:type="dxa"/>
          </w:tcPr>
          <w:p w:rsidR="00462675" w:rsidRPr="00462675" w:rsidRDefault="00462675" w:rsidP="00E36428">
            <w:pPr>
              <w:rPr>
                <w:sz w:val="20"/>
                <w:szCs w:val="20"/>
              </w:rPr>
            </w:pPr>
          </w:p>
        </w:tc>
        <w:tc>
          <w:tcPr>
            <w:tcW w:w="2890" w:type="dxa"/>
          </w:tcPr>
          <w:p w:rsidR="00462675" w:rsidRPr="00462675" w:rsidRDefault="00462675" w:rsidP="00E36428">
            <w:pPr>
              <w:rPr>
                <w:sz w:val="20"/>
                <w:szCs w:val="20"/>
              </w:rPr>
            </w:pPr>
            <w:r w:rsidRPr="00BA11A2">
              <w:rPr>
                <w:rFonts w:cs="Times New Roman"/>
                <w:sz w:val="20"/>
                <w:szCs w:val="20"/>
              </w:rPr>
              <w:t>Attorney General of Alberta</w:t>
            </w:r>
          </w:p>
        </w:tc>
        <w:tc>
          <w:tcPr>
            <w:tcW w:w="1142" w:type="dxa"/>
          </w:tcPr>
          <w:p w:rsidR="00462675" w:rsidRPr="00462675" w:rsidRDefault="00462675" w:rsidP="00E36428">
            <w:pPr>
              <w:rPr>
                <w:sz w:val="20"/>
                <w:szCs w:val="20"/>
              </w:rPr>
            </w:pPr>
          </w:p>
        </w:tc>
        <w:tc>
          <w:tcPr>
            <w:tcW w:w="4237" w:type="dxa"/>
          </w:tcPr>
          <w:p w:rsidR="00462675" w:rsidRPr="00462675" w:rsidRDefault="00462675" w:rsidP="00E36428">
            <w:pPr>
              <w:rPr>
                <w:sz w:val="20"/>
                <w:szCs w:val="20"/>
              </w:rPr>
            </w:pPr>
          </w:p>
        </w:tc>
      </w:tr>
      <w:tr w:rsidR="00462675" w:rsidRPr="00462675" w:rsidTr="00E36428">
        <w:tc>
          <w:tcPr>
            <w:tcW w:w="1350" w:type="dxa"/>
          </w:tcPr>
          <w:p w:rsidR="00462675" w:rsidRPr="00462675" w:rsidRDefault="00462675" w:rsidP="00E36428">
            <w:pPr>
              <w:rPr>
                <w:sz w:val="20"/>
                <w:szCs w:val="20"/>
              </w:rPr>
            </w:pPr>
          </w:p>
        </w:tc>
        <w:tc>
          <w:tcPr>
            <w:tcW w:w="2890" w:type="dxa"/>
          </w:tcPr>
          <w:p w:rsidR="00462675" w:rsidRPr="00462675" w:rsidRDefault="00462675" w:rsidP="00E36428">
            <w:pPr>
              <w:rPr>
                <w:sz w:val="20"/>
                <w:szCs w:val="20"/>
              </w:rPr>
            </w:pPr>
            <w:r w:rsidRPr="00BA11A2">
              <w:rPr>
                <w:rFonts w:cs="Times New Roman"/>
                <w:sz w:val="20"/>
                <w:szCs w:val="20"/>
              </w:rPr>
              <w:t>Director of Criminal and Penal Prosecutions</w:t>
            </w:r>
          </w:p>
        </w:tc>
        <w:tc>
          <w:tcPr>
            <w:tcW w:w="1142" w:type="dxa"/>
          </w:tcPr>
          <w:p w:rsidR="00462675" w:rsidRPr="00462675" w:rsidRDefault="00462675" w:rsidP="00E36428">
            <w:pPr>
              <w:rPr>
                <w:sz w:val="20"/>
                <w:szCs w:val="20"/>
              </w:rPr>
            </w:pPr>
          </w:p>
        </w:tc>
        <w:tc>
          <w:tcPr>
            <w:tcW w:w="4237" w:type="dxa"/>
          </w:tcPr>
          <w:p w:rsidR="00462675" w:rsidRPr="00462675" w:rsidRDefault="00462675" w:rsidP="00E36428">
            <w:pPr>
              <w:rPr>
                <w:sz w:val="20"/>
                <w:szCs w:val="20"/>
              </w:rPr>
            </w:pPr>
          </w:p>
        </w:tc>
      </w:tr>
      <w:tr w:rsidR="00462675" w:rsidRPr="00462675" w:rsidTr="00E36428">
        <w:tc>
          <w:tcPr>
            <w:tcW w:w="1350" w:type="dxa"/>
          </w:tcPr>
          <w:p w:rsidR="00462675" w:rsidRPr="00462675" w:rsidRDefault="00462675" w:rsidP="00E36428">
            <w:pPr>
              <w:rPr>
                <w:sz w:val="20"/>
                <w:szCs w:val="20"/>
              </w:rPr>
            </w:pPr>
          </w:p>
        </w:tc>
        <w:tc>
          <w:tcPr>
            <w:tcW w:w="2890" w:type="dxa"/>
          </w:tcPr>
          <w:p w:rsidR="00462675" w:rsidRPr="00462675" w:rsidRDefault="00462675" w:rsidP="00E36428">
            <w:pPr>
              <w:rPr>
                <w:sz w:val="20"/>
                <w:szCs w:val="20"/>
              </w:rPr>
            </w:pPr>
            <w:r w:rsidRPr="00BA11A2">
              <w:rPr>
                <w:rFonts w:cs="Times New Roman"/>
                <w:sz w:val="20"/>
                <w:szCs w:val="20"/>
              </w:rPr>
              <w:t>the Criminal Lawyers’ Association of Ontario</w:t>
            </w:r>
          </w:p>
        </w:tc>
        <w:tc>
          <w:tcPr>
            <w:tcW w:w="1142" w:type="dxa"/>
          </w:tcPr>
          <w:p w:rsidR="00462675" w:rsidRPr="00462675" w:rsidRDefault="00462675" w:rsidP="00E36428">
            <w:pPr>
              <w:rPr>
                <w:sz w:val="20"/>
                <w:szCs w:val="20"/>
              </w:rPr>
            </w:pPr>
          </w:p>
        </w:tc>
        <w:tc>
          <w:tcPr>
            <w:tcW w:w="4237" w:type="dxa"/>
          </w:tcPr>
          <w:p w:rsidR="00462675" w:rsidRPr="00462675" w:rsidRDefault="00462675" w:rsidP="00E36428">
            <w:pPr>
              <w:rPr>
                <w:sz w:val="20"/>
                <w:szCs w:val="20"/>
              </w:rPr>
            </w:pPr>
          </w:p>
        </w:tc>
      </w:tr>
      <w:tr w:rsidR="00462675" w:rsidRPr="00462675" w:rsidTr="00E36428">
        <w:tc>
          <w:tcPr>
            <w:tcW w:w="1350" w:type="dxa"/>
          </w:tcPr>
          <w:p w:rsidR="00462675" w:rsidRPr="00462675" w:rsidRDefault="00462675" w:rsidP="00E36428">
            <w:pPr>
              <w:rPr>
                <w:sz w:val="20"/>
                <w:szCs w:val="20"/>
              </w:rPr>
            </w:pPr>
          </w:p>
        </w:tc>
        <w:tc>
          <w:tcPr>
            <w:tcW w:w="2890" w:type="dxa"/>
          </w:tcPr>
          <w:p w:rsidR="00462675" w:rsidRPr="00462675" w:rsidRDefault="00462675" w:rsidP="00E36428">
            <w:pPr>
              <w:rPr>
                <w:sz w:val="20"/>
                <w:szCs w:val="20"/>
              </w:rPr>
            </w:pPr>
          </w:p>
        </w:tc>
        <w:tc>
          <w:tcPr>
            <w:tcW w:w="1142" w:type="dxa"/>
          </w:tcPr>
          <w:p w:rsidR="00462675" w:rsidRPr="00462675" w:rsidRDefault="00462675" w:rsidP="00E36428">
            <w:pPr>
              <w:rPr>
                <w:sz w:val="20"/>
                <w:szCs w:val="20"/>
              </w:rPr>
            </w:pPr>
          </w:p>
        </w:tc>
        <w:tc>
          <w:tcPr>
            <w:tcW w:w="4237" w:type="dxa"/>
          </w:tcPr>
          <w:p w:rsidR="00462675" w:rsidRPr="00462675" w:rsidRDefault="00462675" w:rsidP="00E36428">
            <w:pPr>
              <w:rPr>
                <w:sz w:val="20"/>
                <w:szCs w:val="20"/>
              </w:rPr>
            </w:pPr>
          </w:p>
        </w:tc>
      </w:tr>
      <w:tr w:rsidR="00462675" w:rsidRPr="00462675" w:rsidTr="00E36428">
        <w:tc>
          <w:tcPr>
            <w:tcW w:w="1350" w:type="dxa"/>
          </w:tcPr>
          <w:p w:rsidR="00462675" w:rsidRPr="00462675" w:rsidRDefault="00462675" w:rsidP="00E36428">
            <w:pPr>
              <w:rPr>
                <w:sz w:val="20"/>
                <w:szCs w:val="20"/>
              </w:rPr>
            </w:pPr>
            <w:r w:rsidRPr="00462675">
              <w:rPr>
                <w:sz w:val="20"/>
                <w:szCs w:val="20"/>
              </w:rPr>
              <w:t>IN / DANS :</w:t>
            </w:r>
          </w:p>
        </w:tc>
        <w:tc>
          <w:tcPr>
            <w:tcW w:w="2890" w:type="dxa"/>
          </w:tcPr>
          <w:p w:rsidR="00462675" w:rsidRDefault="00462675" w:rsidP="00E36428">
            <w:pPr>
              <w:rPr>
                <w:sz w:val="20"/>
                <w:szCs w:val="20"/>
              </w:rPr>
            </w:pPr>
            <w:r>
              <w:rPr>
                <w:sz w:val="20"/>
                <w:szCs w:val="20"/>
              </w:rPr>
              <w:t>James Cody</w:t>
            </w:r>
          </w:p>
          <w:p w:rsidR="00462675" w:rsidRDefault="00462675" w:rsidP="00E36428">
            <w:pPr>
              <w:rPr>
                <w:sz w:val="20"/>
                <w:szCs w:val="20"/>
              </w:rPr>
            </w:pPr>
          </w:p>
          <w:p w:rsidR="00462675" w:rsidRDefault="00462675" w:rsidP="00E36428">
            <w:pPr>
              <w:rPr>
                <w:sz w:val="20"/>
                <w:szCs w:val="20"/>
              </w:rPr>
            </w:pPr>
            <w:r>
              <w:rPr>
                <w:sz w:val="20"/>
                <w:szCs w:val="20"/>
              </w:rPr>
              <w:tab/>
              <w:t>v. (37310)</w:t>
            </w:r>
          </w:p>
          <w:p w:rsidR="00462675" w:rsidRDefault="00462675" w:rsidP="00E36428">
            <w:pPr>
              <w:rPr>
                <w:sz w:val="20"/>
                <w:szCs w:val="20"/>
              </w:rPr>
            </w:pPr>
          </w:p>
          <w:p w:rsidR="00462675" w:rsidRPr="00462675" w:rsidRDefault="00462675" w:rsidP="00E36428">
            <w:pPr>
              <w:rPr>
                <w:sz w:val="20"/>
                <w:szCs w:val="20"/>
              </w:rPr>
            </w:pPr>
            <w:r>
              <w:rPr>
                <w:sz w:val="20"/>
                <w:szCs w:val="20"/>
              </w:rPr>
              <w:t>Her Majesty the Queen (N.L.)</w:t>
            </w:r>
          </w:p>
        </w:tc>
        <w:tc>
          <w:tcPr>
            <w:tcW w:w="1142" w:type="dxa"/>
          </w:tcPr>
          <w:p w:rsidR="00462675" w:rsidRPr="00462675" w:rsidRDefault="00462675" w:rsidP="00E36428">
            <w:pPr>
              <w:rPr>
                <w:sz w:val="20"/>
                <w:szCs w:val="20"/>
              </w:rPr>
            </w:pPr>
          </w:p>
        </w:tc>
        <w:tc>
          <w:tcPr>
            <w:tcW w:w="4237" w:type="dxa"/>
          </w:tcPr>
          <w:p w:rsidR="00462675" w:rsidRPr="00462675" w:rsidRDefault="00462675" w:rsidP="00E36428">
            <w:pPr>
              <w:rPr>
                <w:sz w:val="20"/>
                <w:szCs w:val="20"/>
              </w:rPr>
            </w:pPr>
          </w:p>
        </w:tc>
      </w:tr>
    </w:tbl>
    <w:p w:rsidR="00462675" w:rsidRPr="00462675" w:rsidRDefault="00462675" w:rsidP="00462675">
      <w:pPr>
        <w:tabs>
          <w:tab w:val="left" w:pos="-1440"/>
          <w:tab w:val="left" w:pos="-720"/>
        </w:tabs>
        <w:jc w:val="both"/>
        <w:rPr>
          <w:sz w:val="20"/>
          <w:szCs w:val="20"/>
        </w:rPr>
      </w:pPr>
    </w:p>
    <w:p w:rsidR="00462675" w:rsidRPr="00462675" w:rsidRDefault="00462675" w:rsidP="00462675">
      <w:pPr>
        <w:tabs>
          <w:tab w:val="left" w:pos="-1440"/>
          <w:tab w:val="left" w:pos="-720"/>
        </w:tabs>
        <w:jc w:val="both"/>
        <w:rPr>
          <w:sz w:val="20"/>
          <w:szCs w:val="20"/>
        </w:rPr>
      </w:pPr>
      <w:r w:rsidRPr="00462675">
        <w:rPr>
          <w:b/>
          <w:sz w:val="20"/>
          <w:szCs w:val="20"/>
        </w:rPr>
        <w:t>GRANTED / ACCORDÉES</w:t>
      </w:r>
    </w:p>
    <w:p w:rsidR="00462675" w:rsidRPr="00462675" w:rsidRDefault="00462675" w:rsidP="00462675">
      <w:pPr>
        <w:tabs>
          <w:tab w:val="left" w:pos="-1440"/>
          <w:tab w:val="left" w:pos="-720"/>
        </w:tabs>
        <w:jc w:val="both"/>
        <w:rPr>
          <w:sz w:val="20"/>
          <w:szCs w:val="20"/>
        </w:rPr>
      </w:pPr>
    </w:p>
    <w:p w:rsidR="00462675" w:rsidRPr="00BA11A2" w:rsidRDefault="00462675" w:rsidP="00462675">
      <w:pPr>
        <w:jc w:val="both"/>
        <w:rPr>
          <w:rFonts w:cs="Times New Roman"/>
          <w:sz w:val="20"/>
          <w:szCs w:val="20"/>
        </w:rPr>
      </w:pPr>
      <w:r w:rsidRPr="00BA11A2">
        <w:rPr>
          <w:rFonts w:cs="Times New Roman"/>
          <w:b/>
          <w:bCs/>
          <w:sz w:val="20"/>
          <w:szCs w:val="20"/>
        </w:rPr>
        <w:t xml:space="preserve">UPON APPLICATION </w:t>
      </w:r>
      <w:r w:rsidRPr="00BA11A2">
        <w:rPr>
          <w:rFonts w:cs="Times New Roman"/>
          <w:sz w:val="20"/>
          <w:szCs w:val="20"/>
        </w:rPr>
        <w:t xml:space="preserve">by the Attorney General of Ontario, the Attorney General of Québec and the Minister of Justice of Quebec (jointly), the Attorney General of Manitoba, the Attorney General of British Columbia, the Attorney General of Alberta, the Director of Criminal and Penal Prosecutions and the Criminal Lawyers’ Association of Ontario for leave to intervene in the above appeal; </w:t>
      </w:r>
    </w:p>
    <w:p w:rsidR="00462675" w:rsidRPr="00BA11A2" w:rsidRDefault="00462675" w:rsidP="00462675">
      <w:pPr>
        <w:spacing w:line="233" w:lineRule="auto"/>
        <w:jc w:val="both"/>
        <w:rPr>
          <w:rFonts w:cs="Times New Roman"/>
          <w:sz w:val="20"/>
          <w:szCs w:val="20"/>
        </w:rPr>
      </w:pPr>
    </w:p>
    <w:p w:rsidR="00462675" w:rsidRPr="00BA11A2" w:rsidRDefault="00462675" w:rsidP="00462675">
      <w:pPr>
        <w:spacing w:line="233" w:lineRule="auto"/>
        <w:jc w:val="both"/>
        <w:rPr>
          <w:rFonts w:cs="Times New Roman"/>
          <w:sz w:val="20"/>
          <w:szCs w:val="20"/>
        </w:rPr>
      </w:pPr>
      <w:r w:rsidRPr="00BA11A2">
        <w:rPr>
          <w:rFonts w:cs="Times New Roman"/>
          <w:b/>
          <w:bCs/>
          <w:sz w:val="20"/>
          <w:szCs w:val="20"/>
        </w:rPr>
        <w:t>AND THE MATERIAL FILED</w:t>
      </w:r>
      <w:r w:rsidRPr="00BA11A2">
        <w:rPr>
          <w:rFonts w:cs="Times New Roman"/>
          <w:sz w:val="20"/>
          <w:szCs w:val="20"/>
        </w:rPr>
        <w:t xml:space="preserve"> having been read;</w:t>
      </w:r>
    </w:p>
    <w:p w:rsidR="00462675" w:rsidRPr="00BA11A2" w:rsidRDefault="00462675" w:rsidP="00462675">
      <w:pPr>
        <w:spacing w:line="233" w:lineRule="auto"/>
        <w:jc w:val="both"/>
        <w:rPr>
          <w:rFonts w:cs="Times New Roman"/>
          <w:sz w:val="20"/>
          <w:szCs w:val="20"/>
        </w:rPr>
      </w:pPr>
    </w:p>
    <w:p w:rsidR="00462675" w:rsidRPr="00BA11A2" w:rsidRDefault="00462675" w:rsidP="00462675">
      <w:pPr>
        <w:spacing w:line="233" w:lineRule="auto"/>
        <w:jc w:val="both"/>
        <w:rPr>
          <w:rFonts w:cs="Times New Roman"/>
          <w:b/>
          <w:bCs/>
          <w:sz w:val="20"/>
          <w:szCs w:val="20"/>
        </w:rPr>
      </w:pPr>
      <w:r w:rsidRPr="00BA11A2">
        <w:rPr>
          <w:rFonts w:cs="Times New Roman"/>
          <w:b/>
          <w:bCs/>
          <w:sz w:val="20"/>
          <w:szCs w:val="20"/>
        </w:rPr>
        <w:t>IT IS HEREBY ORDERED THAT:</w:t>
      </w:r>
    </w:p>
    <w:p w:rsidR="00462675" w:rsidRPr="00BA11A2" w:rsidRDefault="00462675" w:rsidP="00462675">
      <w:pPr>
        <w:spacing w:line="233" w:lineRule="auto"/>
        <w:jc w:val="both"/>
        <w:rPr>
          <w:rFonts w:cs="Times New Roman"/>
          <w:sz w:val="20"/>
          <w:szCs w:val="20"/>
        </w:rPr>
      </w:pPr>
    </w:p>
    <w:p w:rsidR="00462675" w:rsidRPr="00BA11A2" w:rsidRDefault="00462675" w:rsidP="00462675">
      <w:pPr>
        <w:spacing w:line="233" w:lineRule="auto"/>
        <w:jc w:val="both"/>
        <w:rPr>
          <w:rFonts w:cs="Times New Roman"/>
          <w:sz w:val="20"/>
          <w:szCs w:val="20"/>
        </w:rPr>
      </w:pPr>
      <w:r w:rsidRPr="00BA11A2">
        <w:rPr>
          <w:rFonts w:cs="Times New Roman"/>
          <w:sz w:val="20"/>
          <w:szCs w:val="20"/>
        </w:rPr>
        <w:t>The motions for leave to intervene are granted and the said seven (7) interveners or group of interveners shall be entitled to each serve and file a factum not exceeding ten (10) pages in length on or before April 12, 2017.</w:t>
      </w:r>
    </w:p>
    <w:p w:rsidR="00462675" w:rsidRPr="00BA11A2" w:rsidRDefault="00462675" w:rsidP="00462675">
      <w:pPr>
        <w:spacing w:line="233" w:lineRule="auto"/>
        <w:jc w:val="both"/>
        <w:rPr>
          <w:rFonts w:cs="Times New Roman"/>
          <w:sz w:val="20"/>
          <w:szCs w:val="20"/>
        </w:rPr>
      </w:pPr>
    </w:p>
    <w:p w:rsidR="00462675" w:rsidRPr="00BA11A2" w:rsidRDefault="00462675" w:rsidP="00462675">
      <w:pPr>
        <w:spacing w:line="233" w:lineRule="auto"/>
        <w:jc w:val="both"/>
        <w:rPr>
          <w:rFonts w:cs="Times New Roman"/>
          <w:sz w:val="20"/>
          <w:szCs w:val="20"/>
        </w:rPr>
      </w:pPr>
      <w:r w:rsidRPr="00BA11A2">
        <w:rPr>
          <w:rFonts w:cs="Times New Roman"/>
          <w:bCs/>
          <w:sz w:val="20"/>
          <w:szCs w:val="20"/>
        </w:rPr>
        <w:t>The said interveners</w:t>
      </w:r>
      <w:r w:rsidRPr="00BA11A2">
        <w:rPr>
          <w:rFonts w:cs="Times New Roman"/>
          <w:sz w:val="20"/>
          <w:szCs w:val="20"/>
        </w:rPr>
        <w:t xml:space="preserve"> or group of interveners are each granted permission to present oral argument not exceeding five (5) minutes at the hearing of the appeal.</w:t>
      </w:r>
    </w:p>
    <w:p w:rsidR="00462675" w:rsidRPr="00BA11A2" w:rsidRDefault="00462675" w:rsidP="00462675">
      <w:pPr>
        <w:spacing w:line="233" w:lineRule="auto"/>
        <w:jc w:val="both"/>
        <w:rPr>
          <w:rFonts w:cs="Times New Roman"/>
          <w:sz w:val="20"/>
          <w:szCs w:val="20"/>
        </w:rPr>
      </w:pPr>
    </w:p>
    <w:p w:rsidR="00462675" w:rsidRPr="00BA11A2" w:rsidRDefault="00462675" w:rsidP="00462675">
      <w:pPr>
        <w:spacing w:line="233" w:lineRule="auto"/>
        <w:jc w:val="both"/>
        <w:rPr>
          <w:rFonts w:cs="Times New Roman"/>
          <w:sz w:val="20"/>
          <w:szCs w:val="20"/>
        </w:rPr>
      </w:pPr>
      <w:r w:rsidRPr="00BA11A2">
        <w:rPr>
          <w:rFonts w:cs="Times New Roman"/>
          <w:sz w:val="20"/>
          <w:szCs w:val="20"/>
        </w:rPr>
        <w:t xml:space="preserve">The interveners are not entitled to raise new issues or to adduce further evidence or otherwise to supplement the record of the parties. </w:t>
      </w:r>
    </w:p>
    <w:p w:rsidR="00462675" w:rsidRPr="00BA11A2" w:rsidRDefault="00462675" w:rsidP="00462675">
      <w:pPr>
        <w:spacing w:line="233" w:lineRule="auto"/>
        <w:jc w:val="both"/>
        <w:rPr>
          <w:rFonts w:cs="Times New Roman"/>
          <w:sz w:val="20"/>
          <w:szCs w:val="20"/>
        </w:rPr>
      </w:pPr>
    </w:p>
    <w:p w:rsidR="00462675" w:rsidRPr="00BA11A2" w:rsidRDefault="00462675" w:rsidP="00462675">
      <w:pPr>
        <w:spacing w:line="233" w:lineRule="auto"/>
        <w:jc w:val="both"/>
        <w:rPr>
          <w:rFonts w:cs="Times New Roman"/>
          <w:sz w:val="20"/>
          <w:szCs w:val="20"/>
        </w:rPr>
      </w:pPr>
      <w:r w:rsidRPr="00BA11A2">
        <w:rPr>
          <w:rFonts w:cs="Times New Roman"/>
          <w:sz w:val="20"/>
          <w:szCs w:val="20"/>
        </w:rPr>
        <w:t>Pursuant to Rule 59(1</w:t>
      </w:r>
      <w:proofErr w:type="gramStart"/>
      <w:r w:rsidRPr="00BA11A2">
        <w:rPr>
          <w:rFonts w:cs="Times New Roman"/>
          <w:sz w:val="20"/>
          <w:szCs w:val="20"/>
        </w:rPr>
        <w:t>)(</w:t>
      </w:r>
      <w:proofErr w:type="gramEnd"/>
      <w:r w:rsidRPr="00BA11A2">
        <w:rPr>
          <w:rFonts w:cs="Times New Roman"/>
          <w:i/>
          <w:iCs/>
          <w:sz w:val="20"/>
          <w:szCs w:val="20"/>
        </w:rPr>
        <w:t>a</w:t>
      </w:r>
      <w:r w:rsidRPr="00BA11A2">
        <w:rPr>
          <w:rFonts w:cs="Times New Roman"/>
          <w:sz w:val="20"/>
          <w:szCs w:val="20"/>
        </w:rPr>
        <w:t xml:space="preserve">) of the </w:t>
      </w:r>
      <w:r w:rsidRPr="00BA11A2">
        <w:rPr>
          <w:rFonts w:cs="Times New Roman"/>
          <w:i/>
          <w:iCs/>
          <w:sz w:val="20"/>
          <w:szCs w:val="20"/>
        </w:rPr>
        <w:t>Rules of the Supreme Court of Canada</w:t>
      </w:r>
      <w:r w:rsidRPr="00BA11A2">
        <w:rPr>
          <w:rFonts w:cs="Times New Roman"/>
          <w:sz w:val="20"/>
          <w:szCs w:val="20"/>
        </w:rPr>
        <w:t>, the interveners shall pay to the appellant and respondent any additional disbursements occasioned to the appellant and respondent by their intervention.</w:t>
      </w:r>
    </w:p>
    <w:p w:rsidR="00462675" w:rsidRPr="00BA11A2" w:rsidRDefault="00462675" w:rsidP="00462675">
      <w:pPr>
        <w:tabs>
          <w:tab w:val="right" w:pos="9360"/>
        </w:tabs>
        <w:jc w:val="both"/>
        <w:rPr>
          <w:rFonts w:cs="Times New Roman"/>
          <w:sz w:val="20"/>
          <w:szCs w:val="20"/>
        </w:rPr>
      </w:pPr>
    </w:p>
    <w:p w:rsidR="00462675" w:rsidRPr="00B77AFE" w:rsidRDefault="00462675">
      <w:pPr>
        <w:rPr>
          <w:rFonts w:cs="Times New Roman"/>
          <w:b/>
          <w:sz w:val="20"/>
          <w:szCs w:val="20"/>
          <w:lang w:val="en-US"/>
        </w:rPr>
      </w:pPr>
      <w:r w:rsidRPr="00B77AFE">
        <w:rPr>
          <w:rFonts w:cs="Times New Roman"/>
          <w:b/>
          <w:sz w:val="20"/>
          <w:szCs w:val="20"/>
          <w:lang w:val="en-US"/>
        </w:rPr>
        <w:br w:type="page"/>
      </w:r>
    </w:p>
    <w:p w:rsidR="00462675" w:rsidRPr="00BA11A2" w:rsidRDefault="00462675" w:rsidP="00462675">
      <w:pPr>
        <w:spacing w:line="233" w:lineRule="auto"/>
        <w:jc w:val="both"/>
        <w:rPr>
          <w:rFonts w:cs="Times New Roman"/>
          <w:sz w:val="20"/>
          <w:szCs w:val="20"/>
          <w:lang w:val="fr-FR"/>
        </w:rPr>
      </w:pPr>
      <w:r w:rsidRPr="00BA11A2">
        <w:rPr>
          <w:rFonts w:cs="Times New Roman"/>
          <w:b/>
          <w:sz w:val="20"/>
          <w:szCs w:val="20"/>
          <w:lang w:val="fr-FR"/>
        </w:rPr>
        <w:lastRenderedPageBreak/>
        <w:t>À LA SUITE DES DEMANDES</w:t>
      </w:r>
      <w:r w:rsidRPr="00BA11A2">
        <w:rPr>
          <w:rFonts w:cs="Times New Roman"/>
          <w:sz w:val="20"/>
          <w:szCs w:val="20"/>
          <w:lang w:val="fr-FR"/>
        </w:rPr>
        <w:t xml:space="preserve"> présentées par le Procureur général de l’Ontario; la Procureure générale du Québec et la Ministre de la Justice du Québec </w:t>
      </w:r>
      <w:r w:rsidRPr="00BA11A2">
        <w:rPr>
          <w:rFonts w:cs="Times New Roman"/>
          <w:sz w:val="20"/>
          <w:szCs w:val="20"/>
          <w:lang w:val="fr-CA"/>
        </w:rPr>
        <w:t>(conjointement)</w:t>
      </w:r>
      <w:r w:rsidRPr="00BA11A2">
        <w:rPr>
          <w:rFonts w:cs="Times New Roman"/>
          <w:sz w:val="20"/>
          <w:szCs w:val="20"/>
          <w:lang w:val="fr-FR"/>
        </w:rPr>
        <w:t xml:space="preserve">; le Procureur général du Manitoba; le Procureur général de la Colombie-Britannique; le Procureur général de l’Alberta, le Directeur des poursuites criminelles et pénales et la </w:t>
      </w:r>
      <w:proofErr w:type="spellStart"/>
      <w:r w:rsidRPr="00BA11A2">
        <w:rPr>
          <w:rFonts w:cs="Times New Roman"/>
          <w:sz w:val="20"/>
          <w:szCs w:val="20"/>
          <w:lang w:val="fr-CA"/>
        </w:rPr>
        <w:t>Criminal</w:t>
      </w:r>
      <w:proofErr w:type="spellEnd"/>
      <w:r w:rsidRPr="00BA11A2">
        <w:rPr>
          <w:rFonts w:cs="Times New Roman"/>
          <w:sz w:val="20"/>
          <w:szCs w:val="20"/>
          <w:lang w:val="fr-CA"/>
        </w:rPr>
        <w:t xml:space="preserve"> </w:t>
      </w:r>
      <w:proofErr w:type="spellStart"/>
      <w:r w:rsidRPr="00BA11A2">
        <w:rPr>
          <w:rFonts w:cs="Times New Roman"/>
          <w:sz w:val="20"/>
          <w:szCs w:val="20"/>
          <w:lang w:val="fr-CA"/>
        </w:rPr>
        <w:t>Lawyers</w:t>
      </w:r>
      <w:proofErr w:type="spellEnd"/>
      <w:r w:rsidRPr="00BA11A2">
        <w:rPr>
          <w:rFonts w:cs="Times New Roman"/>
          <w:sz w:val="20"/>
          <w:szCs w:val="20"/>
          <w:lang w:val="fr-CA"/>
        </w:rPr>
        <w:t xml:space="preserve">’ Association of Ontario </w:t>
      </w:r>
      <w:r w:rsidRPr="00BA11A2">
        <w:rPr>
          <w:rFonts w:cs="Times New Roman"/>
          <w:sz w:val="20"/>
          <w:szCs w:val="20"/>
          <w:lang w:val="fr-FR"/>
        </w:rPr>
        <w:t xml:space="preserve">pour permission d’intervenir dans l’appel; </w:t>
      </w:r>
    </w:p>
    <w:p w:rsidR="00462675" w:rsidRPr="00BA11A2" w:rsidRDefault="00462675" w:rsidP="00462675">
      <w:pPr>
        <w:spacing w:line="233" w:lineRule="auto"/>
        <w:jc w:val="both"/>
        <w:rPr>
          <w:rFonts w:cs="Times New Roman"/>
          <w:sz w:val="20"/>
          <w:szCs w:val="20"/>
          <w:lang w:val="fr-FR"/>
        </w:rPr>
      </w:pPr>
    </w:p>
    <w:p w:rsidR="00462675" w:rsidRPr="00BA11A2" w:rsidRDefault="00462675" w:rsidP="00462675">
      <w:pPr>
        <w:spacing w:line="233" w:lineRule="auto"/>
        <w:jc w:val="both"/>
        <w:rPr>
          <w:rFonts w:cs="Times New Roman"/>
          <w:sz w:val="20"/>
          <w:szCs w:val="20"/>
          <w:lang w:val="fr-CA"/>
        </w:rPr>
      </w:pPr>
      <w:r w:rsidRPr="00BA11A2">
        <w:rPr>
          <w:rFonts w:cs="Times New Roman"/>
          <w:b/>
          <w:sz w:val="20"/>
          <w:szCs w:val="20"/>
          <w:lang w:val="fr-CA"/>
        </w:rPr>
        <w:t>ET APRÈS EXAMEN</w:t>
      </w:r>
      <w:r w:rsidRPr="00BA11A2">
        <w:rPr>
          <w:rFonts w:cs="Times New Roman"/>
          <w:sz w:val="20"/>
          <w:szCs w:val="20"/>
          <w:lang w:val="fr-CA"/>
        </w:rPr>
        <w:t xml:space="preserve"> des documents déposés; </w:t>
      </w:r>
    </w:p>
    <w:p w:rsidR="00462675" w:rsidRPr="00BA11A2" w:rsidRDefault="00462675" w:rsidP="00462675">
      <w:pPr>
        <w:spacing w:line="233" w:lineRule="auto"/>
        <w:jc w:val="both"/>
        <w:rPr>
          <w:rFonts w:cs="Times New Roman"/>
          <w:sz w:val="20"/>
          <w:szCs w:val="20"/>
          <w:lang w:val="fr-CA"/>
        </w:rPr>
      </w:pPr>
    </w:p>
    <w:p w:rsidR="00462675" w:rsidRPr="00BA11A2" w:rsidRDefault="00462675" w:rsidP="00462675">
      <w:pPr>
        <w:spacing w:line="233" w:lineRule="auto"/>
        <w:jc w:val="both"/>
        <w:rPr>
          <w:rFonts w:cs="Times New Roman"/>
          <w:sz w:val="20"/>
          <w:szCs w:val="20"/>
          <w:lang w:val="fr-CA"/>
        </w:rPr>
      </w:pPr>
      <w:r w:rsidRPr="00BA11A2">
        <w:rPr>
          <w:rFonts w:cs="Times New Roman"/>
          <w:b/>
          <w:sz w:val="20"/>
          <w:szCs w:val="20"/>
          <w:lang w:val="fr-CA"/>
        </w:rPr>
        <w:t>IL EST PAR LA PRÉSENTE ORDONNÉ CE QUI SUIT</w:t>
      </w:r>
      <w:r w:rsidRPr="00BA11A2">
        <w:rPr>
          <w:rFonts w:cs="Times New Roman"/>
          <w:sz w:val="20"/>
          <w:szCs w:val="20"/>
          <w:lang w:val="fr-CA"/>
        </w:rPr>
        <w:t xml:space="preserve"> : </w:t>
      </w:r>
    </w:p>
    <w:p w:rsidR="00462675" w:rsidRPr="00BA11A2" w:rsidRDefault="00462675" w:rsidP="00462675">
      <w:pPr>
        <w:spacing w:line="233" w:lineRule="auto"/>
        <w:jc w:val="both"/>
        <w:rPr>
          <w:rFonts w:cs="Times New Roman"/>
          <w:sz w:val="20"/>
          <w:szCs w:val="20"/>
          <w:lang w:val="fr-CA"/>
        </w:rPr>
      </w:pPr>
    </w:p>
    <w:p w:rsidR="00462675" w:rsidRPr="00BA11A2" w:rsidRDefault="00462675" w:rsidP="00462675">
      <w:pPr>
        <w:jc w:val="both"/>
        <w:rPr>
          <w:rFonts w:cs="Times New Roman"/>
          <w:sz w:val="20"/>
          <w:szCs w:val="20"/>
          <w:lang w:val="fr-FR"/>
        </w:rPr>
      </w:pPr>
      <w:r w:rsidRPr="00BA11A2">
        <w:rPr>
          <w:rFonts w:cs="Times New Roman"/>
          <w:sz w:val="20"/>
          <w:szCs w:val="20"/>
          <w:lang w:val="fr-FR"/>
        </w:rPr>
        <w:t>Les requêtes pour permission d’intervenir sont accueillies et chacun des sept (7) intervenants ou groupes d’intervenants pourra signifier et déposer un mémoire d’au plus de dix (10) pages au plus tard le 12 avril 2017.</w:t>
      </w:r>
    </w:p>
    <w:p w:rsidR="00462675" w:rsidRPr="00BA11A2" w:rsidRDefault="00462675" w:rsidP="00462675">
      <w:pPr>
        <w:jc w:val="both"/>
        <w:rPr>
          <w:rFonts w:cs="Times New Roman"/>
          <w:sz w:val="20"/>
          <w:szCs w:val="20"/>
          <w:lang w:val="fr-FR"/>
        </w:rPr>
      </w:pPr>
    </w:p>
    <w:p w:rsidR="00462675" w:rsidRPr="00BA11A2" w:rsidRDefault="00462675" w:rsidP="00462675">
      <w:pPr>
        <w:spacing w:line="233" w:lineRule="auto"/>
        <w:jc w:val="both"/>
        <w:rPr>
          <w:rFonts w:cs="Times New Roman"/>
          <w:sz w:val="20"/>
          <w:szCs w:val="20"/>
          <w:lang w:val="fr-CA"/>
        </w:rPr>
      </w:pPr>
      <w:r w:rsidRPr="00BA11A2">
        <w:rPr>
          <w:rFonts w:cs="Times New Roman"/>
          <w:bCs/>
          <w:sz w:val="20"/>
          <w:szCs w:val="20"/>
          <w:lang w:val="fr-CA"/>
        </w:rPr>
        <w:t>Ces</w:t>
      </w:r>
      <w:r w:rsidRPr="00BA11A2">
        <w:rPr>
          <w:rFonts w:cs="Times New Roman"/>
          <w:sz w:val="20"/>
          <w:szCs w:val="20"/>
          <w:lang w:val="fr-CA"/>
        </w:rPr>
        <w:t xml:space="preserve"> intervenants ou groupes d’intervenants auront chacun le droit de présenter une plaidoirie orale d’au plus de cinq (5) minutes lors de l’audition de l’appel.</w:t>
      </w:r>
    </w:p>
    <w:p w:rsidR="00462675" w:rsidRPr="00BA11A2" w:rsidRDefault="00462675" w:rsidP="00462675">
      <w:pPr>
        <w:spacing w:line="232" w:lineRule="auto"/>
        <w:jc w:val="both"/>
        <w:rPr>
          <w:rFonts w:cs="Times New Roman"/>
          <w:sz w:val="20"/>
          <w:szCs w:val="20"/>
          <w:lang w:val="fr-CA"/>
        </w:rPr>
      </w:pPr>
    </w:p>
    <w:p w:rsidR="00462675" w:rsidRPr="00BA11A2" w:rsidRDefault="00462675" w:rsidP="00462675">
      <w:pPr>
        <w:spacing w:line="232" w:lineRule="auto"/>
        <w:jc w:val="both"/>
        <w:rPr>
          <w:rFonts w:cs="Times New Roman"/>
          <w:sz w:val="20"/>
          <w:szCs w:val="20"/>
          <w:lang w:val="fr-CA"/>
        </w:rPr>
      </w:pPr>
      <w:r w:rsidRPr="00BA11A2">
        <w:rPr>
          <w:rFonts w:cs="Times New Roman"/>
          <w:sz w:val="20"/>
          <w:szCs w:val="20"/>
          <w:lang w:val="fr-CA"/>
        </w:rPr>
        <w:t xml:space="preserve">Les intervenants n’ont pas le droit de soulever de nouvelles questions, de produire d’autres éléments de preuve ni de compléter de quelque autre façon le dossier des </w:t>
      </w:r>
      <w:r w:rsidRPr="00BA11A2">
        <w:rPr>
          <w:rFonts w:cs="Times New Roman"/>
          <w:sz w:val="20"/>
          <w:szCs w:val="20"/>
        </w:rPr>
        <w:fldChar w:fldCharType="begin"/>
      </w:r>
      <w:r w:rsidRPr="00BA11A2">
        <w:rPr>
          <w:rFonts w:cs="Times New Roman"/>
          <w:sz w:val="20"/>
          <w:szCs w:val="20"/>
          <w:lang w:val="fr-CA"/>
        </w:rPr>
        <w:instrText xml:space="preserve"> SEQ CHAPTER \h \r 1</w:instrText>
      </w:r>
      <w:r w:rsidRPr="00BA11A2">
        <w:rPr>
          <w:rFonts w:cs="Times New Roman"/>
          <w:sz w:val="20"/>
          <w:szCs w:val="20"/>
        </w:rPr>
        <w:fldChar w:fldCharType="end"/>
      </w:r>
      <w:r w:rsidRPr="00BA11A2">
        <w:rPr>
          <w:rFonts w:cs="Times New Roman"/>
          <w:sz w:val="20"/>
          <w:szCs w:val="20"/>
          <w:lang w:val="fr-CA"/>
        </w:rPr>
        <w:t>parties.</w:t>
      </w:r>
    </w:p>
    <w:p w:rsidR="00462675" w:rsidRPr="00BA11A2" w:rsidRDefault="00462675" w:rsidP="00462675">
      <w:pPr>
        <w:spacing w:line="232" w:lineRule="auto"/>
        <w:jc w:val="both"/>
        <w:rPr>
          <w:rFonts w:cs="Times New Roman"/>
          <w:sz w:val="20"/>
          <w:szCs w:val="20"/>
          <w:lang w:val="fr-CA"/>
        </w:rPr>
      </w:pPr>
    </w:p>
    <w:p w:rsidR="00462675" w:rsidRPr="00BA11A2" w:rsidRDefault="00462675" w:rsidP="00462675">
      <w:pPr>
        <w:jc w:val="both"/>
        <w:rPr>
          <w:rFonts w:cs="Times New Roman"/>
          <w:sz w:val="20"/>
          <w:szCs w:val="20"/>
          <w:lang w:val="fr-FR"/>
        </w:rPr>
      </w:pPr>
      <w:r w:rsidRPr="00BA11A2">
        <w:rPr>
          <w:rFonts w:cs="Times New Roman"/>
          <w:sz w:val="20"/>
          <w:szCs w:val="20"/>
          <w:lang w:val="fr-FR"/>
        </w:rPr>
        <w:t>Conformément à l’alinéa 59(1)</w:t>
      </w:r>
      <w:r w:rsidRPr="00BA11A2">
        <w:rPr>
          <w:rFonts w:cs="Times New Roman"/>
          <w:i/>
          <w:sz w:val="20"/>
          <w:szCs w:val="20"/>
          <w:lang w:val="fr-FR"/>
        </w:rPr>
        <w:t>a</w:t>
      </w:r>
      <w:r w:rsidRPr="00BA11A2">
        <w:rPr>
          <w:rFonts w:cs="Times New Roman"/>
          <w:sz w:val="20"/>
          <w:szCs w:val="20"/>
          <w:lang w:val="fr-FR"/>
        </w:rPr>
        <w:t xml:space="preserve">) des </w:t>
      </w:r>
      <w:r w:rsidRPr="00BA11A2">
        <w:rPr>
          <w:rFonts w:cs="Times New Roman"/>
          <w:i/>
          <w:sz w:val="20"/>
          <w:szCs w:val="20"/>
          <w:lang w:val="fr-FR"/>
        </w:rPr>
        <w:t>Règles de la Cour suprême du Canada</w:t>
      </w:r>
      <w:r w:rsidRPr="00BA11A2">
        <w:rPr>
          <w:rFonts w:cs="Times New Roman"/>
          <w:sz w:val="20"/>
          <w:szCs w:val="20"/>
          <w:lang w:val="fr-FR"/>
        </w:rPr>
        <w:t>, les intervenants paieront à l’appelant et à l’intimée tous débours supplémentaires résultant de leurs interventions.</w:t>
      </w:r>
    </w:p>
    <w:p w:rsidR="00346C54" w:rsidRDefault="00346C54" w:rsidP="00462675">
      <w:pPr>
        <w:widowControl w:val="0"/>
        <w:jc w:val="both"/>
        <w:rPr>
          <w:rFonts w:eastAsia="Times New Roman" w:cs="Times New Roman"/>
          <w:sz w:val="20"/>
          <w:szCs w:val="20"/>
          <w:lang w:val="fr-FR" w:eastAsia="en-CA"/>
        </w:rPr>
      </w:pPr>
    </w:p>
    <w:p w:rsidR="00462675" w:rsidRPr="00462675" w:rsidRDefault="00E7387C" w:rsidP="00462675">
      <w:pPr>
        <w:widowControl w:val="0"/>
        <w:jc w:val="both"/>
        <w:rPr>
          <w:rFonts w:eastAsia="Times New Roman" w:cs="Times New Roman"/>
          <w:sz w:val="20"/>
          <w:szCs w:val="20"/>
          <w:lang w:val="fr-FR" w:eastAsia="en-CA"/>
        </w:rPr>
      </w:pPr>
      <w:r>
        <w:rPr>
          <w:sz w:val="20"/>
          <w:szCs w:val="20"/>
        </w:rPr>
        <w:pict>
          <v:rect id="_x0000_i1052" style="width:2in;height:1pt" o:hrpct="0" o:hralign="center" o:hrstd="t" o:hrnoshade="t" o:hr="t" fillcolor="black" stroked="f"/>
        </w:pict>
      </w:r>
    </w:p>
    <w:p w:rsidR="00462675" w:rsidRDefault="00462675">
      <w:pPr>
        <w:rPr>
          <w:sz w:val="20"/>
          <w:szCs w:val="20"/>
          <w:lang w:val="fr-CA"/>
        </w:rPr>
      </w:pPr>
    </w:p>
    <w:p w:rsidR="00462675" w:rsidRPr="00462675" w:rsidRDefault="00462675" w:rsidP="00462675">
      <w:pPr>
        <w:tabs>
          <w:tab w:val="left" w:pos="-1440"/>
          <w:tab w:val="left" w:pos="-720"/>
        </w:tabs>
        <w:jc w:val="both"/>
        <w:rPr>
          <w:sz w:val="20"/>
          <w:szCs w:val="20"/>
          <w:lang w:val="fr-CA"/>
        </w:rPr>
      </w:pPr>
      <w:r>
        <w:rPr>
          <w:sz w:val="20"/>
          <w:szCs w:val="20"/>
          <w:lang w:val="fr-CA"/>
        </w:rPr>
        <w:t>08.03.2017</w:t>
      </w:r>
    </w:p>
    <w:p w:rsidR="00462675" w:rsidRPr="00462675" w:rsidRDefault="00462675" w:rsidP="00462675">
      <w:pPr>
        <w:tabs>
          <w:tab w:val="left" w:pos="-1440"/>
          <w:tab w:val="left" w:pos="-720"/>
        </w:tabs>
        <w:jc w:val="both"/>
        <w:rPr>
          <w:sz w:val="20"/>
          <w:szCs w:val="20"/>
          <w:lang w:val="fr-CA"/>
        </w:rPr>
      </w:pPr>
    </w:p>
    <w:p w:rsidR="00462675" w:rsidRDefault="00462675" w:rsidP="00462675">
      <w:pPr>
        <w:tabs>
          <w:tab w:val="left" w:pos="-1440"/>
          <w:tab w:val="left" w:pos="-720"/>
        </w:tabs>
        <w:jc w:val="both"/>
        <w:rPr>
          <w:sz w:val="20"/>
          <w:szCs w:val="20"/>
          <w:lang w:val="fr-CA"/>
        </w:rPr>
      </w:pPr>
      <w:proofErr w:type="spellStart"/>
      <w:r w:rsidRPr="00462675">
        <w:rPr>
          <w:sz w:val="20"/>
          <w:szCs w:val="20"/>
          <w:lang w:val="fr-CA"/>
        </w:rPr>
        <w:t>Before</w:t>
      </w:r>
      <w:proofErr w:type="spellEnd"/>
      <w:r w:rsidRPr="00462675">
        <w:rPr>
          <w:sz w:val="20"/>
          <w:szCs w:val="20"/>
          <w:lang w:val="fr-CA"/>
        </w:rPr>
        <w:t xml:space="preserve"> / Devant:   THE REGISTRAR / LE REGISTRAIRE</w:t>
      </w:r>
    </w:p>
    <w:p w:rsidR="00462675" w:rsidRPr="00462675" w:rsidRDefault="00462675" w:rsidP="00462675">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1142"/>
        <w:gridCol w:w="4235"/>
      </w:tblGrid>
      <w:tr w:rsidR="00462675" w:rsidRPr="00E7387C" w:rsidTr="00E36428">
        <w:tc>
          <w:tcPr>
            <w:tcW w:w="4338" w:type="dxa"/>
          </w:tcPr>
          <w:p w:rsidR="00462675" w:rsidRPr="00462675" w:rsidRDefault="00462675" w:rsidP="00E36428">
            <w:pPr>
              <w:tabs>
                <w:tab w:val="left" w:pos="-1440"/>
                <w:tab w:val="left" w:pos="-720"/>
              </w:tabs>
              <w:jc w:val="both"/>
              <w:rPr>
                <w:b/>
                <w:sz w:val="20"/>
                <w:szCs w:val="20"/>
              </w:rPr>
            </w:pPr>
            <w:r w:rsidRPr="00462675">
              <w:rPr>
                <w:sz w:val="20"/>
                <w:szCs w:val="20"/>
              </w:rPr>
              <w:fldChar w:fldCharType="begin"/>
            </w:r>
            <w:r w:rsidRPr="00462675">
              <w:rPr>
                <w:sz w:val="20"/>
                <w:szCs w:val="20"/>
              </w:rPr>
              <w:instrText xml:space="preserve"> SEQ CHAPTER \h \r 1</w:instrText>
            </w:r>
            <w:r w:rsidRPr="00462675">
              <w:rPr>
                <w:sz w:val="20"/>
                <w:szCs w:val="20"/>
              </w:rPr>
              <w:fldChar w:fldCharType="end"/>
            </w:r>
            <w:r w:rsidRPr="00462675">
              <w:rPr>
                <w:b/>
                <w:bCs/>
                <w:sz w:val="20"/>
                <w:szCs w:val="20"/>
              </w:rPr>
              <w:t>Motion to extend time</w:t>
            </w:r>
          </w:p>
        </w:tc>
        <w:tc>
          <w:tcPr>
            <w:tcW w:w="1170" w:type="dxa"/>
          </w:tcPr>
          <w:p w:rsidR="00462675" w:rsidRPr="00462675" w:rsidRDefault="00462675" w:rsidP="00E36428">
            <w:pPr>
              <w:tabs>
                <w:tab w:val="left" w:pos="-1440"/>
                <w:tab w:val="left" w:pos="-720"/>
              </w:tabs>
              <w:jc w:val="both"/>
              <w:rPr>
                <w:sz w:val="20"/>
                <w:szCs w:val="20"/>
              </w:rPr>
            </w:pPr>
          </w:p>
          <w:p w:rsidR="00462675" w:rsidRPr="00462675" w:rsidRDefault="00462675" w:rsidP="00E36428">
            <w:pPr>
              <w:tabs>
                <w:tab w:val="left" w:pos="-1440"/>
                <w:tab w:val="left" w:pos="-720"/>
              </w:tabs>
              <w:jc w:val="both"/>
              <w:rPr>
                <w:sz w:val="20"/>
                <w:szCs w:val="20"/>
              </w:rPr>
            </w:pPr>
          </w:p>
        </w:tc>
        <w:tc>
          <w:tcPr>
            <w:tcW w:w="4327" w:type="dxa"/>
          </w:tcPr>
          <w:p w:rsidR="00462675" w:rsidRPr="00462675" w:rsidRDefault="00462675" w:rsidP="00E36428">
            <w:pPr>
              <w:tabs>
                <w:tab w:val="left" w:pos="-1440"/>
                <w:tab w:val="left" w:pos="-720"/>
              </w:tabs>
              <w:jc w:val="both"/>
              <w:rPr>
                <w:sz w:val="20"/>
                <w:szCs w:val="20"/>
                <w:lang w:val="fr-CA"/>
              </w:rPr>
            </w:pPr>
            <w:r w:rsidRPr="00462675">
              <w:rPr>
                <w:b/>
                <w:bCs/>
                <w:color w:val="000000"/>
                <w:sz w:val="20"/>
                <w:szCs w:val="20"/>
                <w:lang w:val="fr-CA"/>
              </w:rPr>
              <w:t>Requête en prorogation de délai</w:t>
            </w:r>
            <w:r w:rsidRPr="00462675">
              <w:rPr>
                <w:sz w:val="20"/>
                <w:szCs w:val="20"/>
                <w:lang w:val="fr-CA"/>
              </w:rPr>
              <w:t xml:space="preserve"> </w:t>
            </w:r>
            <w:r w:rsidRPr="00462675">
              <w:rPr>
                <w:sz w:val="20"/>
                <w:szCs w:val="20"/>
              </w:rPr>
              <w:fldChar w:fldCharType="begin"/>
            </w:r>
            <w:r w:rsidRPr="00462675">
              <w:rPr>
                <w:sz w:val="20"/>
                <w:szCs w:val="20"/>
                <w:lang w:val="fr-CA"/>
              </w:rPr>
              <w:instrText xml:space="preserve"> SEQ CHAPTER \h \r 1</w:instrText>
            </w:r>
            <w:r w:rsidRPr="00462675">
              <w:rPr>
                <w:sz w:val="20"/>
                <w:szCs w:val="20"/>
              </w:rPr>
              <w:fldChar w:fldCharType="end"/>
            </w:r>
            <w:r w:rsidRPr="00462675">
              <w:rPr>
                <w:sz w:val="20"/>
                <w:szCs w:val="20"/>
              </w:rPr>
              <w:fldChar w:fldCharType="begin"/>
            </w:r>
            <w:r w:rsidRPr="00462675">
              <w:rPr>
                <w:sz w:val="20"/>
                <w:szCs w:val="20"/>
                <w:lang w:val="fr-CA"/>
              </w:rPr>
              <w:instrText xml:space="preserve"> SEQ CHAPTER \h \r 1</w:instrText>
            </w:r>
            <w:r w:rsidRPr="00462675">
              <w:rPr>
                <w:sz w:val="20"/>
                <w:szCs w:val="20"/>
              </w:rPr>
              <w:fldChar w:fldCharType="end"/>
            </w:r>
          </w:p>
        </w:tc>
      </w:tr>
      <w:tr w:rsidR="00462675" w:rsidRPr="00462675" w:rsidTr="00E36428">
        <w:tc>
          <w:tcPr>
            <w:tcW w:w="4338" w:type="dxa"/>
          </w:tcPr>
          <w:p w:rsidR="00462675" w:rsidRDefault="00462675" w:rsidP="00E36428">
            <w:pPr>
              <w:tabs>
                <w:tab w:val="left" w:pos="-1440"/>
                <w:tab w:val="left" w:pos="-720"/>
              </w:tabs>
              <w:jc w:val="both"/>
              <w:rPr>
                <w:sz w:val="20"/>
                <w:szCs w:val="20"/>
              </w:rPr>
            </w:pPr>
            <w:r>
              <w:rPr>
                <w:sz w:val="20"/>
                <w:szCs w:val="20"/>
              </w:rPr>
              <w:t>Michael Shawn Bourgeois</w:t>
            </w:r>
          </w:p>
          <w:p w:rsidR="00462675" w:rsidRDefault="00462675" w:rsidP="00E36428">
            <w:pPr>
              <w:tabs>
                <w:tab w:val="left" w:pos="-1440"/>
                <w:tab w:val="left" w:pos="-720"/>
              </w:tabs>
              <w:jc w:val="both"/>
              <w:rPr>
                <w:sz w:val="20"/>
                <w:szCs w:val="20"/>
              </w:rPr>
            </w:pPr>
          </w:p>
          <w:p w:rsidR="00462675" w:rsidRDefault="00462675" w:rsidP="00E36428">
            <w:pPr>
              <w:tabs>
                <w:tab w:val="left" w:pos="-1440"/>
                <w:tab w:val="left" w:pos="-720"/>
              </w:tabs>
              <w:jc w:val="both"/>
              <w:rPr>
                <w:sz w:val="20"/>
                <w:szCs w:val="20"/>
              </w:rPr>
            </w:pPr>
            <w:r>
              <w:rPr>
                <w:sz w:val="20"/>
                <w:szCs w:val="20"/>
              </w:rPr>
              <w:tab/>
              <w:t>v. (37461)</w:t>
            </w:r>
          </w:p>
          <w:p w:rsidR="00462675" w:rsidRDefault="00462675" w:rsidP="00E36428">
            <w:pPr>
              <w:tabs>
                <w:tab w:val="left" w:pos="-1440"/>
                <w:tab w:val="left" w:pos="-720"/>
              </w:tabs>
              <w:jc w:val="both"/>
              <w:rPr>
                <w:sz w:val="20"/>
                <w:szCs w:val="20"/>
              </w:rPr>
            </w:pPr>
          </w:p>
          <w:p w:rsidR="00462675" w:rsidRPr="00462675" w:rsidRDefault="00462675" w:rsidP="00E36428">
            <w:pPr>
              <w:tabs>
                <w:tab w:val="left" w:pos="-1440"/>
                <w:tab w:val="left" w:pos="-720"/>
              </w:tabs>
              <w:jc w:val="both"/>
              <w:rPr>
                <w:sz w:val="20"/>
                <w:szCs w:val="20"/>
                <w:lang w:val="en-US"/>
              </w:rPr>
            </w:pPr>
            <w:r>
              <w:rPr>
                <w:sz w:val="20"/>
                <w:szCs w:val="20"/>
              </w:rPr>
              <w:t>Her Majesty the Queen (Alta.)</w:t>
            </w:r>
          </w:p>
        </w:tc>
        <w:tc>
          <w:tcPr>
            <w:tcW w:w="1170" w:type="dxa"/>
          </w:tcPr>
          <w:p w:rsidR="00462675" w:rsidRPr="00462675" w:rsidRDefault="00462675" w:rsidP="00E36428">
            <w:pPr>
              <w:tabs>
                <w:tab w:val="left" w:pos="-1440"/>
                <w:tab w:val="left" w:pos="-720"/>
              </w:tabs>
              <w:jc w:val="both"/>
              <w:rPr>
                <w:sz w:val="20"/>
                <w:szCs w:val="20"/>
                <w:lang w:val="en-US"/>
              </w:rPr>
            </w:pPr>
          </w:p>
        </w:tc>
        <w:tc>
          <w:tcPr>
            <w:tcW w:w="4327" w:type="dxa"/>
          </w:tcPr>
          <w:p w:rsidR="00462675" w:rsidRPr="00462675" w:rsidRDefault="00462675" w:rsidP="00E36428">
            <w:pPr>
              <w:tabs>
                <w:tab w:val="left" w:pos="-1440"/>
                <w:tab w:val="left" w:pos="-720"/>
              </w:tabs>
              <w:jc w:val="both"/>
              <w:rPr>
                <w:sz w:val="20"/>
                <w:szCs w:val="20"/>
                <w:lang w:val="en-US"/>
              </w:rPr>
            </w:pPr>
          </w:p>
        </w:tc>
      </w:tr>
    </w:tbl>
    <w:p w:rsidR="00462675" w:rsidRPr="00462675" w:rsidRDefault="00462675" w:rsidP="00462675">
      <w:pPr>
        <w:tabs>
          <w:tab w:val="left" w:pos="-1440"/>
          <w:tab w:val="left" w:pos="-720"/>
        </w:tabs>
        <w:jc w:val="both"/>
        <w:rPr>
          <w:sz w:val="20"/>
          <w:szCs w:val="20"/>
          <w:lang w:val="en-US"/>
        </w:rPr>
      </w:pPr>
    </w:p>
    <w:p w:rsidR="00346C54" w:rsidRPr="00462675" w:rsidRDefault="00462675" w:rsidP="00CA2DEA">
      <w:pPr>
        <w:widowControl w:val="0"/>
        <w:rPr>
          <w:rFonts w:eastAsia="Times New Roman" w:cs="Times New Roman"/>
          <w:sz w:val="20"/>
          <w:szCs w:val="20"/>
          <w:lang w:val="fr-CA" w:eastAsia="en-CA"/>
        </w:rPr>
      </w:pPr>
      <w:r w:rsidRPr="00462675">
        <w:rPr>
          <w:b/>
          <w:sz w:val="20"/>
          <w:szCs w:val="20"/>
          <w:lang w:val="fr-CA"/>
        </w:rPr>
        <w:t>GRANTED IN PART / ACCORDÉE EN PARTIE</w:t>
      </w:r>
    </w:p>
    <w:p w:rsidR="00346C54" w:rsidRPr="00462675" w:rsidRDefault="00346C54" w:rsidP="00CA2DEA">
      <w:pPr>
        <w:widowControl w:val="0"/>
        <w:rPr>
          <w:rFonts w:eastAsia="Times New Roman" w:cs="Times New Roman"/>
          <w:sz w:val="20"/>
          <w:szCs w:val="20"/>
          <w:lang w:val="fr-CA" w:eastAsia="en-CA"/>
        </w:rPr>
      </w:pPr>
    </w:p>
    <w:p w:rsidR="00462675" w:rsidRPr="003F059D" w:rsidRDefault="00462675" w:rsidP="00462675">
      <w:pPr>
        <w:spacing w:line="232" w:lineRule="auto"/>
        <w:jc w:val="both"/>
        <w:rPr>
          <w:rFonts w:cs="Times New Roman"/>
          <w:sz w:val="20"/>
          <w:szCs w:val="20"/>
        </w:rPr>
      </w:pPr>
      <w:r w:rsidRPr="003F059D">
        <w:rPr>
          <w:rFonts w:cs="Times New Roman"/>
          <w:b/>
          <w:bCs/>
          <w:sz w:val="20"/>
          <w:szCs w:val="20"/>
        </w:rPr>
        <w:t xml:space="preserve">UPON APPLICATION </w:t>
      </w:r>
      <w:r w:rsidRPr="003F059D">
        <w:rPr>
          <w:rFonts w:cs="Times New Roman"/>
          <w:bCs/>
          <w:sz w:val="20"/>
          <w:szCs w:val="20"/>
        </w:rPr>
        <w:t>by the appellant for an order</w:t>
      </w:r>
      <w:r w:rsidRPr="003F059D">
        <w:rPr>
          <w:rFonts w:cs="Times New Roman"/>
          <w:b/>
          <w:bCs/>
          <w:sz w:val="20"/>
          <w:szCs w:val="20"/>
        </w:rPr>
        <w:t xml:space="preserve"> </w:t>
      </w:r>
      <w:r w:rsidRPr="003F059D">
        <w:rPr>
          <w:rFonts w:cs="Times New Roman"/>
          <w:bCs/>
          <w:sz w:val="20"/>
          <w:szCs w:val="20"/>
        </w:rPr>
        <w:t xml:space="preserve">extending the time to serve and file his factum, record and book of authorities to June 23, 2017, pursuant to </w:t>
      </w:r>
      <w:r w:rsidRPr="003F059D">
        <w:rPr>
          <w:rFonts w:cs="Times New Roman"/>
          <w:sz w:val="20"/>
          <w:szCs w:val="20"/>
          <w:lang w:eastAsia="fr-FR"/>
        </w:rPr>
        <w:t>Rules 6 and 47 of the</w:t>
      </w:r>
      <w:r w:rsidRPr="003F059D">
        <w:rPr>
          <w:rFonts w:cs="Times New Roman"/>
          <w:i/>
          <w:sz w:val="20"/>
          <w:szCs w:val="20"/>
          <w:lang w:eastAsia="fr-FR"/>
        </w:rPr>
        <w:t xml:space="preserve"> Rules of the Supreme Court of Canada</w:t>
      </w:r>
      <w:r w:rsidRPr="003F059D">
        <w:rPr>
          <w:rFonts w:cs="Times New Roman"/>
          <w:sz w:val="20"/>
          <w:szCs w:val="20"/>
          <w:lang w:eastAsia="fr-FR"/>
        </w:rPr>
        <w:t>;</w:t>
      </w:r>
    </w:p>
    <w:p w:rsidR="00462675" w:rsidRPr="003F059D" w:rsidRDefault="00462675" w:rsidP="00462675">
      <w:pPr>
        <w:spacing w:line="232" w:lineRule="auto"/>
        <w:jc w:val="both"/>
        <w:rPr>
          <w:rFonts w:cs="Times New Roman"/>
          <w:sz w:val="20"/>
          <w:szCs w:val="20"/>
        </w:rPr>
      </w:pPr>
    </w:p>
    <w:p w:rsidR="00462675" w:rsidRPr="003F059D" w:rsidRDefault="00462675" w:rsidP="00462675">
      <w:pPr>
        <w:spacing w:line="232" w:lineRule="auto"/>
        <w:jc w:val="both"/>
        <w:rPr>
          <w:rFonts w:cs="Times New Roman"/>
          <w:sz w:val="20"/>
          <w:szCs w:val="20"/>
        </w:rPr>
      </w:pPr>
      <w:r w:rsidRPr="003F059D">
        <w:rPr>
          <w:rFonts w:cs="Times New Roman"/>
          <w:b/>
          <w:bCs/>
          <w:sz w:val="20"/>
          <w:szCs w:val="20"/>
        </w:rPr>
        <w:t xml:space="preserve">AND THE MATERIAL FILED </w:t>
      </w:r>
      <w:r w:rsidRPr="003F059D">
        <w:rPr>
          <w:rFonts w:cs="Times New Roman"/>
          <w:bCs/>
          <w:sz w:val="20"/>
          <w:szCs w:val="20"/>
        </w:rPr>
        <w:t>having been read;</w:t>
      </w:r>
    </w:p>
    <w:p w:rsidR="00462675" w:rsidRPr="003F059D" w:rsidRDefault="00462675" w:rsidP="00462675">
      <w:pPr>
        <w:spacing w:line="232" w:lineRule="auto"/>
        <w:jc w:val="both"/>
        <w:rPr>
          <w:rFonts w:cs="Times New Roman"/>
          <w:sz w:val="20"/>
          <w:szCs w:val="20"/>
        </w:rPr>
      </w:pPr>
    </w:p>
    <w:p w:rsidR="00462675" w:rsidRPr="003F059D" w:rsidRDefault="00462675" w:rsidP="00462675">
      <w:pPr>
        <w:jc w:val="both"/>
        <w:rPr>
          <w:rFonts w:cs="Times New Roman"/>
          <w:sz w:val="20"/>
          <w:szCs w:val="20"/>
        </w:rPr>
      </w:pPr>
      <w:r w:rsidRPr="003F059D">
        <w:rPr>
          <w:rFonts w:cs="Times New Roman"/>
          <w:b/>
          <w:sz w:val="20"/>
          <w:szCs w:val="20"/>
        </w:rPr>
        <w:t>AND NOTING THAT</w:t>
      </w:r>
      <w:r w:rsidRPr="003F059D">
        <w:rPr>
          <w:rFonts w:cs="Times New Roman"/>
          <w:sz w:val="20"/>
          <w:szCs w:val="20"/>
        </w:rPr>
        <w:t xml:space="preserve"> the respondent consents to the motion;</w:t>
      </w:r>
    </w:p>
    <w:p w:rsidR="00462675" w:rsidRPr="003F059D" w:rsidRDefault="00462675" w:rsidP="00462675">
      <w:pPr>
        <w:spacing w:line="232" w:lineRule="auto"/>
        <w:jc w:val="both"/>
        <w:rPr>
          <w:rFonts w:cs="Times New Roman"/>
          <w:sz w:val="20"/>
          <w:szCs w:val="20"/>
        </w:rPr>
      </w:pPr>
    </w:p>
    <w:p w:rsidR="00462675" w:rsidRPr="003F059D" w:rsidRDefault="00462675" w:rsidP="00462675">
      <w:pPr>
        <w:spacing w:line="232" w:lineRule="auto"/>
        <w:jc w:val="both"/>
        <w:rPr>
          <w:rFonts w:cs="Times New Roman"/>
          <w:sz w:val="20"/>
          <w:szCs w:val="20"/>
        </w:rPr>
      </w:pPr>
      <w:r w:rsidRPr="003F059D">
        <w:rPr>
          <w:rFonts w:cs="Times New Roman"/>
          <w:b/>
          <w:bCs/>
          <w:sz w:val="20"/>
          <w:szCs w:val="20"/>
        </w:rPr>
        <w:t xml:space="preserve">IT IS HEREBY ORDERED THAT: </w:t>
      </w:r>
    </w:p>
    <w:p w:rsidR="00462675" w:rsidRPr="003F059D" w:rsidRDefault="00462675" w:rsidP="00462675">
      <w:pPr>
        <w:spacing w:line="232" w:lineRule="auto"/>
        <w:jc w:val="both"/>
        <w:rPr>
          <w:rFonts w:cs="Times New Roman"/>
          <w:sz w:val="20"/>
          <w:szCs w:val="20"/>
        </w:rPr>
      </w:pPr>
    </w:p>
    <w:p w:rsidR="00462675" w:rsidRDefault="00462675" w:rsidP="00462675">
      <w:pPr>
        <w:spacing w:line="232" w:lineRule="auto"/>
        <w:rPr>
          <w:rFonts w:cs="Times New Roman"/>
        </w:rPr>
      </w:pPr>
      <w:r w:rsidRPr="003F059D">
        <w:rPr>
          <w:rFonts w:cs="Times New Roman"/>
          <w:sz w:val="20"/>
          <w:szCs w:val="20"/>
        </w:rPr>
        <w:t>The motion is granted in part. The appellant shall serve and file his factum, record and book of authorities on or before May 31, 2017.</w:t>
      </w:r>
    </w:p>
    <w:p w:rsidR="00462675" w:rsidRDefault="00462675" w:rsidP="00462675">
      <w:pPr>
        <w:spacing w:line="232" w:lineRule="auto"/>
        <w:rPr>
          <w:rFonts w:cs="Times New Roman"/>
        </w:rPr>
      </w:pPr>
    </w:p>
    <w:p w:rsidR="00462675" w:rsidRPr="003F059D" w:rsidRDefault="00462675" w:rsidP="00462675">
      <w:pPr>
        <w:spacing w:line="232" w:lineRule="auto"/>
        <w:rPr>
          <w:rFonts w:cs="Times New Roman"/>
          <w:sz w:val="20"/>
          <w:szCs w:val="20"/>
        </w:rPr>
      </w:pPr>
    </w:p>
    <w:p w:rsidR="00462675" w:rsidRPr="003F059D" w:rsidRDefault="00462675" w:rsidP="00462675">
      <w:pPr>
        <w:spacing w:line="232" w:lineRule="auto"/>
        <w:rPr>
          <w:rFonts w:cs="Times New Roman"/>
          <w:sz w:val="20"/>
          <w:szCs w:val="20"/>
        </w:rPr>
      </w:pPr>
    </w:p>
    <w:p w:rsidR="00462675" w:rsidRPr="00B77AFE" w:rsidRDefault="00462675">
      <w:pPr>
        <w:rPr>
          <w:rFonts w:cs="Times New Roman"/>
          <w:b/>
          <w:bCs/>
          <w:sz w:val="20"/>
          <w:szCs w:val="20"/>
          <w:lang w:val="en-US"/>
        </w:rPr>
      </w:pPr>
      <w:r w:rsidRPr="00B77AFE">
        <w:rPr>
          <w:rFonts w:cs="Times New Roman"/>
          <w:b/>
          <w:bCs/>
          <w:sz w:val="20"/>
          <w:szCs w:val="20"/>
          <w:lang w:val="en-US"/>
        </w:rPr>
        <w:br w:type="page"/>
      </w:r>
    </w:p>
    <w:p w:rsidR="00462675" w:rsidRPr="003F059D" w:rsidRDefault="00462675" w:rsidP="00462675">
      <w:pPr>
        <w:spacing w:line="232" w:lineRule="auto"/>
        <w:jc w:val="both"/>
        <w:rPr>
          <w:rFonts w:cs="Times New Roman"/>
          <w:bCs/>
          <w:sz w:val="20"/>
          <w:szCs w:val="20"/>
          <w:lang w:val="fr-CA"/>
        </w:rPr>
      </w:pPr>
      <w:r w:rsidRPr="003F059D">
        <w:rPr>
          <w:rFonts w:cs="Times New Roman"/>
          <w:b/>
          <w:bCs/>
          <w:sz w:val="20"/>
          <w:szCs w:val="20"/>
          <w:lang w:val="fr-CA"/>
        </w:rPr>
        <w:lastRenderedPageBreak/>
        <w:t xml:space="preserve">À LA SUITE DE LA DEMANDE </w:t>
      </w:r>
      <w:r w:rsidRPr="003F059D">
        <w:rPr>
          <w:rFonts w:cs="Times New Roman"/>
          <w:bCs/>
          <w:sz w:val="20"/>
          <w:szCs w:val="20"/>
          <w:lang w:val="fr-CA"/>
        </w:rPr>
        <w:t xml:space="preserve">présentée par l’appelant pour obtenir la prorogation du délai pour la signification et le dépôt de </w:t>
      </w:r>
      <w:proofErr w:type="gramStart"/>
      <w:r w:rsidRPr="003F059D">
        <w:rPr>
          <w:rFonts w:cs="Times New Roman"/>
          <w:bCs/>
          <w:sz w:val="20"/>
          <w:szCs w:val="20"/>
          <w:lang w:val="fr-CA"/>
        </w:rPr>
        <w:t>ses mémoire</w:t>
      </w:r>
      <w:proofErr w:type="gramEnd"/>
      <w:r w:rsidRPr="003F059D">
        <w:rPr>
          <w:rFonts w:cs="Times New Roman"/>
          <w:bCs/>
          <w:sz w:val="20"/>
          <w:szCs w:val="20"/>
          <w:lang w:val="fr-CA"/>
        </w:rPr>
        <w:t xml:space="preserve">, dossier et recueil de sources au 23 juin 2017 en application des art. 6 et 47 des </w:t>
      </w:r>
      <w:r w:rsidRPr="003F059D">
        <w:rPr>
          <w:rFonts w:cs="Times New Roman"/>
          <w:bCs/>
          <w:i/>
          <w:sz w:val="20"/>
          <w:szCs w:val="20"/>
          <w:lang w:val="fr-CA"/>
        </w:rPr>
        <w:t>Règles de la Cour suprême du Canada</w:t>
      </w:r>
      <w:r w:rsidRPr="003F059D">
        <w:rPr>
          <w:rFonts w:cs="Times New Roman"/>
          <w:bCs/>
          <w:sz w:val="20"/>
          <w:szCs w:val="20"/>
          <w:lang w:val="fr-CA"/>
        </w:rPr>
        <w:t>;</w:t>
      </w:r>
    </w:p>
    <w:p w:rsidR="00462675" w:rsidRPr="003F059D" w:rsidRDefault="00462675" w:rsidP="00462675">
      <w:pPr>
        <w:spacing w:line="232" w:lineRule="auto"/>
        <w:jc w:val="both"/>
        <w:rPr>
          <w:rFonts w:cs="Times New Roman"/>
          <w:b/>
          <w:bCs/>
          <w:sz w:val="20"/>
          <w:szCs w:val="20"/>
          <w:lang w:val="fr-CA"/>
        </w:rPr>
      </w:pPr>
    </w:p>
    <w:p w:rsidR="00462675" w:rsidRPr="003F059D" w:rsidRDefault="00462675" w:rsidP="00462675">
      <w:pPr>
        <w:spacing w:line="232" w:lineRule="auto"/>
        <w:jc w:val="both"/>
        <w:rPr>
          <w:rFonts w:cs="Times New Roman"/>
          <w:bCs/>
          <w:sz w:val="20"/>
          <w:szCs w:val="20"/>
          <w:lang w:val="fr-CA"/>
        </w:rPr>
      </w:pPr>
      <w:r w:rsidRPr="003F059D">
        <w:rPr>
          <w:rFonts w:cs="Times New Roman"/>
          <w:b/>
          <w:bCs/>
          <w:sz w:val="20"/>
          <w:szCs w:val="20"/>
          <w:lang w:val="fr-CA"/>
        </w:rPr>
        <w:t xml:space="preserve">ET APRÈS EXAMEN </w:t>
      </w:r>
      <w:r w:rsidRPr="003F059D">
        <w:rPr>
          <w:rFonts w:cs="Times New Roman"/>
          <w:bCs/>
          <w:sz w:val="20"/>
          <w:szCs w:val="20"/>
          <w:lang w:val="fr-CA"/>
        </w:rPr>
        <w:t>des documents déposés;</w:t>
      </w:r>
    </w:p>
    <w:p w:rsidR="00462675" w:rsidRPr="003F059D" w:rsidRDefault="00462675" w:rsidP="00462675">
      <w:pPr>
        <w:spacing w:line="232" w:lineRule="auto"/>
        <w:jc w:val="both"/>
        <w:rPr>
          <w:rFonts w:cs="Times New Roman"/>
          <w:bCs/>
          <w:sz w:val="20"/>
          <w:szCs w:val="20"/>
          <w:lang w:val="fr-CA"/>
        </w:rPr>
      </w:pPr>
    </w:p>
    <w:p w:rsidR="00462675" w:rsidRPr="003F059D" w:rsidRDefault="00462675" w:rsidP="00462675">
      <w:pPr>
        <w:spacing w:line="232" w:lineRule="auto"/>
        <w:jc w:val="both"/>
        <w:rPr>
          <w:rFonts w:cs="Times New Roman"/>
          <w:bCs/>
          <w:sz w:val="20"/>
          <w:szCs w:val="20"/>
          <w:lang w:val="fr-CA"/>
        </w:rPr>
      </w:pPr>
      <w:r w:rsidRPr="003F059D">
        <w:rPr>
          <w:rFonts w:cs="Times New Roman"/>
          <w:b/>
          <w:bCs/>
          <w:sz w:val="20"/>
          <w:szCs w:val="20"/>
          <w:lang w:val="fr-CA"/>
        </w:rPr>
        <w:t>ET ÉTANT DONNÉ</w:t>
      </w:r>
      <w:r w:rsidRPr="003F059D">
        <w:rPr>
          <w:rFonts w:cs="Times New Roman"/>
          <w:bCs/>
          <w:sz w:val="20"/>
          <w:szCs w:val="20"/>
          <w:lang w:val="fr-CA"/>
        </w:rPr>
        <w:t xml:space="preserve"> que l’intimée consent à la requête; </w:t>
      </w:r>
    </w:p>
    <w:p w:rsidR="00462675" w:rsidRPr="003F059D" w:rsidRDefault="00462675" w:rsidP="00462675">
      <w:pPr>
        <w:spacing w:line="232" w:lineRule="auto"/>
        <w:jc w:val="both"/>
        <w:rPr>
          <w:rFonts w:cs="Times New Roman"/>
          <w:b/>
          <w:bCs/>
          <w:sz w:val="20"/>
          <w:szCs w:val="20"/>
          <w:lang w:val="fr-CA"/>
        </w:rPr>
      </w:pPr>
    </w:p>
    <w:p w:rsidR="00462675" w:rsidRPr="003F059D" w:rsidRDefault="00462675" w:rsidP="00462675">
      <w:pPr>
        <w:spacing w:line="232" w:lineRule="auto"/>
        <w:jc w:val="both"/>
        <w:rPr>
          <w:rFonts w:cs="Times New Roman"/>
          <w:b/>
          <w:bCs/>
          <w:sz w:val="20"/>
          <w:szCs w:val="20"/>
          <w:lang w:val="fr-CA"/>
        </w:rPr>
      </w:pPr>
      <w:r w:rsidRPr="003F059D">
        <w:rPr>
          <w:rFonts w:cs="Times New Roman"/>
          <w:b/>
          <w:bCs/>
          <w:sz w:val="20"/>
          <w:szCs w:val="20"/>
          <w:lang w:val="fr-CA"/>
        </w:rPr>
        <w:t>IL EST ORDONNÉ CE QUI SUIT :</w:t>
      </w:r>
    </w:p>
    <w:p w:rsidR="00462675" w:rsidRPr="003F059D" w:rsidRDefault="00462675" w:rsidP="00462675">
      <w:pPr>
        <w:spacing w:line="232" w:lineRule="auto"/>
        <w:jc w:val="both"/>
        <w:rPr>
          <w:rFonts w:cs="Times New Roman"/>
          <w:b/>
          <w:bCs/>
          <w:sz w:val="20"/>
          <w:szCs w:val="20"/>
          <w:lang w:val="fr-CA"/>
        </w:rPr>
      </w:pPr>
    </w:p>
    <w:p w:rsidR="00462675" w:rsidRPr="003F059D" w:rsidRDefault="00462675" w:rsidP="00462675">
      <w:pPr>
        <w:spacing w:line="232" w:lineRule="auto"/>
        <w:jc w:val="both"/>
        <w:rPr>
          <w:rFonts w:cs="Times New Roman"/>
          <w:bCs/>
          <w:sz w:val="20"/>
          <w:szCs w:val="20"/>
          <w:lang w:val="fr-CA"/>
        </w:rPr>
      </w:pPr>
      <w:r w:rsidRPr="003F059D">
        <w:rPr>
          <w:rFonts w:cs="Times New Roman"/>
          <w:bCs/>
          <w:sz w:val="20"/>
          <w:szCs w:val="20"/>
          <w:lang w:val="fr-CA"/>
        </w:rPr>
        <w:t xml:space="preserve">La requête est accueillie en partie. L’appelant doit déposer </w:t>
      </w:r>
      <w:proofErr w:type="gramStart"/>
      <w:r w:rsidRPr="003F059D">
        <w:rPr>
          <w:rFonts w:cs="Times New Roman"/>
          <w:bCs/>
          <w:sz w:val="20"/>
          <w:szCs w:val="20"/>
          <w:lang w:val="fr-CA"/>
        </w:rPr>
        <w:t>ses mémoire</w:t>
      </w:r>
      <w:proofErr w:type="gramEnd"/>
      <w:r w:rsidRPr="003F059D">
        <w:rPr>
          <w:rFonts w:cs="Times New Roman"/>
          <w:bCs/>
          <w:sz w:val="20"/>
          <w:szCs w:val="20"/>
          <w:lang w:val="fr-CA"/>
        </w:rPr>
        <w:t>, dossier et recueil de sources au plus tard le 31 mai 2017.</w:t>
      </w:r>
    </w:p>
    <w:p w:rsidR="00346C54" w:rsidRPr="00462675" w:rsidRDefault="00E7387C" w:rsidP="00CA2DEA">
      <w:pPr>
        <w:widowControl w:val="0"/>
        <w:rPr>
          <w:rFonts w:eastAsia="Times New Roman" w:cs="Times New Roman"/>
          <w:sz w:val="20"/>
          <w:szCs w:val="20"/>
          <w:lang w:val="fr-CA" w:eastAsia="en-CA"/>
        </w:rPr>
      </w:pPr>
      <w:r>
        <w:rPr>
          <w:sz w:val="20"/>
          <w:szCs w:val="20"/>
        </w:rPr>
        <w:pict>
          <v:rect id="_x0000_i1053" style="width:2in;height:1pt" o:hrpct="0" o:hralign="center" o:hrstd="t" o:hrnoshade="t" o:hr="t" fillcolor="black" stroked="f"/>
        </w:pict>
      </w:r>
    </w:p>
    <w:p w:rsidR="00346C54" w:rsidRPr="00462675" w:rsidRDefault="00346C54" w:rsidP="00CA2DEA">
      <w:pPr>
        <w:widowControl w:val="0"/>
        <w:rPr>
          <w:rFonts w:eastAsia="Times New Roman" w:cs="Times New Roman"/>
          <w:sz w:val="20"/>
          <w:szCs w:val="20"/>
          <w:lang w:val="fr-CA" w:eastAsia="en-CA"/>
        </w:rPr>
      </w:pPr>
    </w:p>
    <w:p w:rsidR="00462675" w:rsidRPr="00462675" w:rsidRDefault="00462675" w:rsidP="00462675">
      <w:pPr>
        <w:tabs>
          <w:tab w:val="left" w:pos="-1440"/>
          <w:tab w:val="left" w:pos="-720"/>
        </w:tabs>
        <w:jc w:val="both"/>
        <w:rPr>
          <w:sz w:val="20"/>
          <w:szCs w:val="20"/>
          <w:lang w:val="fr-CA"/>
        </w:rPr>
      </w:pPr>
      <w:r>
        <w:rPr>
          <w:sz w:val="20"/>
          <w:szCs w:val="20"/>
          <w:lang w:val="fr-CA"/>
        </w:rPr>
        <w:t>09.03</w:t>
      </w:r>
      <w:r w:rsidRPr="00462675">
        <w:rPr>
          <w:sz w:val="20"/>
          <w:szCs w:val="20"/>
          <w:lang w:val="fr-CA"/>
        </w:rPr>
        <w:t>.2017</w:t>
      </w:r>
    </w:p>
    <w:p w:rsidR="00462675" w:rsidRPr="00462675" w:rsidRDefault="00462675" w:rsidP="00462675">
      <w:pPr>
        <w:tabs>
          <w:tab w:val="left" w:pos="-1440"/>
          <w:tab w:val="left" w:pos="-720"/>
        </w:tabs>
        <w:jc w:val="both"/>
        <w:rPr>
          <w:sz w:val="20"/>
          <w:szCs w:val="20"/>
          <w:lang w:val="fr-CA"/>
        </w:rPr>
      </w:pPr>
    </w:p>
    <w:p w:rsidR="00462675" w:rsidRDefault="00462675" w:rsidP="00462675">
      <w:pPr>
        <w:tabs>
          <w:tab w:val="left" w:pos="-1440"/>
          <w:tab w:val="left" w:pos="-720"/>
        </w:tabs>
        <w:jc w:val="both"/>
        <w:rPr>
          <w:sz w:val="20"/>
          <w:szCs w:val="20"/>
          <w:lang w:val="fr-CA"/>
        </w:rPr>
      </w:pPr>
      <w:proofErr w:type="spellStart"/>
      <w:r w:rsidRPr="00462675">
        <w:rPr>
          <w:sz w:val="20"/>
          <w:szCs w:val="20"/>
          <w:lang w:val="fr-CA"/>
        </w:rPr>
        <w:t>Before</w:t>
      </w:r>
      <w:proofErr w:type="spellEnd"/>
      <w:r w:rsidRPr="00462675">
        <w:rPr>
          <w:sz w:val="20"/>
          <w:szCs w:val="20"/>
          <w:lang w:val="fr-CA"/>
        </w:rPr>
        <w:t xml:space="preserve"> / Devant:   WAGNER J. / LE JUGE WAGNER</w:t>
      </w:r>
    </w:p>
    <w:p w:rsidR="00462675" w:rsidRPr="00462675" w:rsidRDefault="00462675" w:rsidP="00462675">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90"/>
        <w:gridCol w:w="1142"/>
        <w:gridCol w:w="4237"/>
      </w:tblGrid>
      <w:tr w:rsidR="00462675" w:rsidRPr="00462675" w:rsidTr="00E36428">
        <w:tc>
          <w:tcPr>
            <w:tcW w:w="4240" w:type="dxa"/>
            <w:gridSpan w:val="2"/>
          </w:tcPr>
          <w:p w:rsidR="00462675" w:rsidRPr="00462675" w:rsidRDefault="00462675" w:rsidP="00E36428">
            <w:pPr>
              <w:rPr>
                <w:b/>
                <w:sz w:val="20"/>
                <w:szCs w:val="20"/>
                <w:lang w:val="en-US"/>
              </w:rPr>
            </w:pPr>
            <w:r w:rsidRPr="00462675">
              <w:rPr>
                <w:b/>
                <w:sz w:val="20"/>
                <w:szCs w:val="20"/>
                <w:lang w:val="en-US"/>
              </w:rPr>
              <w:t>Motions for leave to intervene</w:t>
            </w:r>
            <w:r w:rsidRPr="00462675">
              <w:rPr>
                <w:sz w:val="20"/>
                <w:szCs w:val="20"/>
                <w:lang w:val="en-US"/>
              </w:rPr>
              <w:t xml:space="preserve"> </w:t>
            </w:r>
            <w:r w:rsidRPr="00462675">
              <w:rPr>
                <w:sz w:val="20"/>
                <w:szCs w:val="20"/>
              </w:rPr>
              <w:fldChar w:fldCharType="begin"/>
            </w:r>
            <w:r w:rsidRPr="00462675">
              <w:rPr>
                <w:sz w:val="20"/>
                <w:szCs w:val="20"/>
                <w:lang w:val="en-US"/>
              </w:rPr>
              <w:instrText xml:space="preserve"> SEQ CHAPTER \h \r 1</w:instrText>
            </w:r>
            <w:r w:rsidRPr="00462675">
              <w:rPr>
                <w:sz w:val="20"/>
                <w:szCs w:val="20"/>
              </w:rPr>
              <w:fldChar w:fldCharType="end"/>
            </w:r>
          </w:p>
        </w:tc>
        <w:tc>
          <w:tcPr>
            <w:tcW w:w="1142" w:type="dxa"/>
          </w:tcPr>
          <w:p w:rsidR="00462675" w:rsidRPr="00462675" w:rsidRDefault="00462675" w:rsidP="00E36428">
            <w:pPr>
              <w:rPr>
                <w:sz w:val="20"/>
                <w:szCs w:val="20"/>
                <w:lang w:val="en-US"/>
              </w:rPr>
            </w:pPr>
          </w:p>
          <w:p w:rsidR="00462675" w:rsidRPr="00462675" w:rsidRDefault="00462675" w:rsidP="00E36428">
            <w:pPr>
              <w:rPr>
                <w:sz w:val="20"/>
                <w:szCs w:val="20"/>
                <w:lang w:val="en-US"/>
              </w:rPr>
            </w:pPr>
          </w:p>
        </w:tc>
        <w:tc>
          <w:tcPr>
            <w:tcW w:w="4237" w:type="dxa"/>
          </w:tcPr>
          <w:p w:rsidR="00462675" w:rsidRPr="00462675" w:rsidRDefault="00462675" w:rsidP="00E36428">
            <w:pPr>
              <w:rPr>
                <w:b/>
                <w:sz w:val="20"/>
                <w:szCs w:val="20"/>
              </w:rPr>
            </w:pPr>
            <w:r w:rsidRPr="00462675">
              <w:rPr>
                <w:b/>
                <w:bCs/>
                <w:sz w:val="20"/>
                <w:szCs w:val="20"/>
                <w:lang w:val="fr-CA"/>
              </w:rPr>
              <w:t>Requêtes en autorisation d’intervenir</w:t>
            </w:r>
            <w:r w:rsidRPr="00462675">
              <w:rPr>
                <w:sz w:val="20"/>
                <w:szCs w:val="20"/>
              </w:rPr>
              <w:t xml:space="preserve"> </w:t>
            </w:r>
            <w:r w:rsidRPr="00462675">
              <w:rPr>
                <w:sz w:val="20"/>
                <w:szCs w:val="20"/>
              </w:rPr>
              <w:fldChar w:fldCharType="begin"/>
            </w:r>
            <w:r w:rsidRPr="00462675">
              <w:rPr>
                <w:sz w:val="20"/>
                <w:szCs w:val="20"/>
              </w:rPr>
              <w:instrText xml:space="preserve"> SEQ CHAPTER \h \r 1</w:instrText>
            </w:r>
            <w:r w:rsidRPr="00462675">
              <w:rPr>
                <w:sz w:val="20"/>
                <w:szCs w:val="20"/>
              </w:rPr>
              <w:fldChar w:fldCharType="end"/>
            </w:r>
          </w:p>
        </w:tc>
      </w:tr>
      <w:tr w:rsidR="00462675" w:rsidRPr="00462675" w:rsidTr="00E36428">
        <w:tc>
          <w:tcPr>
            <w:tcW w:w="1350" w:type="dxa"/>
          </w:tcPr>
          <w:p w:rsidR="00462675" w:rsidRPr="00462675" w:rsidRDefault="00462675" w:rsidP="00E36428">
            <w:pPr>
              <w:rPr>
                <w:sz w:val="20"/>
                <w:szCs w:val="20"/>
              </w:rPr>
            </w:pPr>
            <w:r w:rsidRPr="00462675">
              <w:rPr>
                <w:sz w:val="20"/>
                <w:szCs w:val="20"/>
              </w:rPr>
              <w:t>BY / PAR</w:t>
            </w:r>
          </w:p>
        </w:tc>
        <w:tc>
          <w:tcPr>
            <w:tcW w:w="2890" w:type="dxa"/>
          </w:tcPr>
          <w:p w:rsidR="00462675" w:rsidRPr="00462675" w:rsidRDefault="00BE0090" w:rsidP="00BE0090">
            <w:pPr>
              <w:rPr>
                <w:sz w:val="20"/>
                <w:szCs w:val="20"/>
              </w:rPr>
            </w:pPr>
            <w:r w:rsidRPr="00826B38">
              <w:rPr>
                <w:rFonts w:cs="Times New Roman"/>
                <w:sz w:val="20"/>
                <w:szCs w:val="20"/>
              </w:rPr>
              <w:t>Pro Bono Ontario and Access Pro Bono Society of British Columbia (jointly)</w:t>
            </w:r>
          </w:p>
        </w:tc>
        <w:tc>
          <w:tcPr>
            <w:tcW w:w="1142" w:type="dxa"/>
          </w:tcPr>
          <w:p w:rsidR="00462675" w:rsidRPr="00462675" w:rsidRDefault="00462675" w:rsidP="00E36428">
            <w:pPr>
              <w:rPr>
                <w:sz w:val="20"/>
                <w:szCs w:val="20"/>
              </w:rPr>
            </w:pPr>
          </w:p>
        </w:tc>
        <w:tc>
          <w:tcPr>
            <w:tcW w:w="4237" w:type="dxa"/>
          </w:tcPr>
          <w:p w:rsidR="00462675" w:rsidRPr="00462675" w:rsidRDefault="00462675" w:rsidP="00E36428">
            <w:pPr>
              <w:rPr>
                <w:sz w:val="20"/>
                <w:szCs w:val="20"/>
              </w:rPr>
            </w:pPr>
          </w:p>
        </w:tc>
      </w:tr>
      <w:tr w:rsidR="00462675" w:rsidRPr="00462675" w:rsidTr="00E36428">
        <w:tc>
          <w:tcPr>
            <w:tcW w:w="1350" w:type="dxa"/>
          </w:tcPr>
          <w:p w:rsidR="00462675" w:rsidRPr="00462675" w:rsidRDefault="00462675" w:rsidP="00E36428">
            <w:pPr>
              <w:rPr>
                <w:sz w:val="20"/>
                <w:szCs w:val="20"/>
              </w:rPr>
            </w:pPr>
          </w:p>
        </w:tc>
        <w:tc>
          <w:tcPr>
            <w:tcW w:w="2890" w:type="dxa"/>
          </w:tcPr>
          <w:p w:rsidR="00462675" w:rsidRDefault="00BE0090" w:rsidP="00E36428">
            <w:pPr>
              <w:rPr>
                <w:rFonts w:cs="Times New Roman"/>
                <w:sz w:val="20"/>
                <w:szCs w:val="20"/>
              </w:rPr>
            </w:pPr>
            <w:r w:rsidRPr="00826B38">
              <w:rPr>
                <w:rFonts w:cs="Times New Roman"/>
                <w:sz w:val="20"/>
                <w:szCs w:val="20"/>
              </w:rPr>
              <w:t>National Self-Represented Litigants Project</w:t>
            </w:r>
          </w:p>
          <w:p w:rsidR="00BE0090" w:rsidRPr="00462675" w:rsidRDefault="00BE0090" w:rsidP="00E36428">
            <w:pPr>
              <w:rPr>
                <w:sz w:val="20"/>
                <w:szCs w:val="20"/>
              </w:rPr>
            </w:pPr>
          </w:p>
        </w:tc>
        <w:tc>
          <w:tcPr>
            <w:tcW w:w="1142" w:type="dxa"/>
          </w:tcPr>
          <w:p w:rsidR="00462675" w:rsidRPr="00462675" w:rsidRDefault="00462675" w:rsidP="00E36428">
            <w:pPr>
              <w:rPr>
                <w:sz w:val="20"/>
                <w:szCs w:val="20"/>
              </w:rPr>
            </w:pPr>
          </w:p>
        </w:tc>
        <w:tc>
          <w:tcPr>
            <w:tcW w:w="4237" w:type="dxa"/>
          </w:tcPr>
          <w:p w:rsidR="00462675" w:rsidRPr="00462675" w:rsidRDefault="00462675" w:rsidP="00E36428">
            <w:pPr>
              <w:rPr>
                <w:sz w:val="20"/>
                <w:szCs w:val="20"/>
              </w:rPr>
            </w:pPr>
          </w:p>
        </w:tc>
      </w:tr>
      <w:tr w:rsidR="00462675" w:rsidRPr="00BE0090" w:rsidTr="00E36428">
        <w:tc>
          <w:tcPr>
            <w:tcW w:w="1350" w:type="dxa"/>
          </w:tcPr>
          <w:p w:rsidR="00462675" w:rsidRPr="00462675" w:rsidRDefault="00462675" w:rsidP="00E36428">
            <w:pPr>
              <w:rPr>
                <w:sz w:val="20"/>
                <w:szCs w:val="20"/>
              </w:rPr>
            </w:pPr>
            <w:r w:rsidRPr="00462675">
              <w:rPr>
                <w:sz w:val="20"/>
                <w:szCs w:val="20"/>
              </w:rPr>
              <w:t>IN / DANS :</w:t>
            </w:r>
          </w:p>
        </w:tc>
        <w:tc>
          <w:tcPr>
            <w:tcW w:w="2890" w:type="dxa"/>
          </w:tcPr>
          <w:p w:rsidR="00462675" w:rsidRPr="00B77AFE" w:rsidRDefault="00BE0090" w:rsidP="00E36428">
            <w:pPr>
              <w:rPr>
                <w:sz w:val="20"/>
                <w:szCs w:val="20"/>
                <w:lang w:val="fr-CA"/>
              </w:rPr>
            </w:pPr>
            <w:r w:rsidRPr="00B77AFE">
              <w:rPr>
                <w:sz w:val="20"/>
                <w:szCs w:val="20"/>
                <w:lang w:val="fr-CA"/>
              </w:rPr>
              <w:t xml:space="preserve">Valentin </w:t>
            </w:r>
            <w:proofErr w:type="spellStart"/>
            <w:r w:rsidRPr="00B77AFE">
              <w:rPr>
                <w:sz w:val="20"/>
                <w:szCs w:val="20"/>
                <w:lang w:val="fr-CA"/>
              </w:rPr>
              <w:t>Pintea</w:t>
            </w:r>
            <w:proofErr w:type="spellEnd"/>
          </w:p>
          <w:p w:rsidR="00BE0090" w:rsidRPr="00B77AFE" w:rsidRDefault="00BE0090" w:rsidP="00E36428">
            <w:pPr>
              <w:rPr>
                <w:sz w:val="20"/>
                <w:szCs w:val="20"/>
                <w:lang w:val="fr-CA"/>
              </w:rPr>
            </w:pPr>
          </w:p>
          <w:p w:rsidR="00BE0090" w:rsidRPr="00B77AFE" w:rsidRDefault="00BE0090" w:rsidP="00E36428">
            <w:pPr>
              <w:rPr>
                <w:sz w:val="20"/>
                <w:szCs w:val="20"/>
                <w:lang w:val="fr-CA"/>
              </w:rPr>
            </w:pPr>
            <w:r w:rsidRPr="00B77AFE">
              <w:rPr>
                <w:sz w:val="20"/>
                <w:szCs w:val="20"/>
                <w:lang w:val="fr-CA"/>
              </w:rPr>
              <w:tab/>
              <w:t>v. (37109)</w:t>
            </w:r>
          </w:p>
          <w:p w:rsidR="00BE0090" w:rsidRPr="00B77AFE" w:rsidRDefault="00BE0090" w:rsidP="00E36428">
            <w:pPr>
              <w:rPr>
                <w:sz w:val="20"/>
                <w:szCs w:val="20"/>
                <w:lang w:val="fr-CA"/>
              </w:rPr>
            </w:pPr>
          </w:p>
          <w:p w:rsidR="00BE0090" w:rsidRPr="00BE0090" w:rsidRDefault="00BE0090" w:rsidP="00E36428">
            <w:pPr>
              <w:rPr>
                <w:sz w:val="20"/>
                <w:szCs w:val="20"/>
                <w:lang w:val="fr-CA"/>
              </w:rPr>
            </w:pPr>
            <w:r w:rsidRPr="00BE0090">
              <w:rPr>
                <w:sz w:val="20"/>
                <w:szCs w:val="20"/>
                <w:lang w:val="fr-CA"/>
              </w:rPr>
              <w:t>Dale Johns et al. (Alta.)</w:t>
            </w:r>
          </w:p>
        </w:tc>
        <w:tc>
          <w:tcPr>
            <w:tcW w:w="1142" w:type="dxa"/>
          </w:tcPr>
          <w:p w:rsidR="00462675" w:rsidRPr="00BE0090" w:rsidRDefault="00462675" w:rsidP="00E36428">
            <w:pPr>
              <w:rPr>
                <w:sz w:val="20"/>
                <w:szCs w:val="20"/>
                <w:lang w:val="fr-CA"/>
              </w:rPr>
            </w:pPr>
          </w:p>
        </w:tc>
        <w:tc>
          <w:tcPr>
            <w:tcW w:w="4237" w:type="dxa"/>
          </w:tcPr>
          <w:p w:rsidR="00462675" w:rsidRPr="00BE0090" w:rsidRDefault="00462675" w:rsidP="00E36428">
            <w:pPr>
              <w:rPr>
                <w:sz w:val="20"/>
                <w:szCs w:val="20"/>
                <w:lang w:val="fr-CA"/>
              </w:rPr>
            </w:pPr>
          </w:p>
        </w:tc>
      </w:tr>
    </w:tbl>
    <w:p w:rsidR="00462675" w:rsidRPr="00BE0090" w:rsidRDefault="00462675" w:rsidP="00462675">
      <w:pPr>
        <w:tabs>
          <w:tab w:val="left" w:pos="-1440"/>
          <w:tab w:val="left" w:pos="-720"/>
        </w:tabs>
        <w:jc w:val="both"/>
        <w:rPr>
          <w:sz w:val="20"/>
          <w:szCs w:val="20"/>
          <w:lang w:val="fr-CA"/>
        </w:rPr>
      </w:pPr>
    </w:p>
    <w:p w:rsidR="00462675" w:rsidRPr="00462675" w:rsidRDefault="00462675" w:rsidP="00462675">
      <w:pPr>
        <w:tabs>
          <w:tab w:val="left" w:pos="-1440"/>
          <w:tab w:val="left" w:pos="-720"/>
        </w:tabs>
        <w:jc w:val="both"/>
        <w:rPr>
          <w:sz w:val="20"/>
          <w:szCs w:val="20"/>
        </w:rPr>
      </w:pPr>
      <w:r w:rsidRPr="00462675">
        <w:rPr>
          <w:b/>
          <w:sz w:val="20"/>
          <w:szCs w:val="20"/>
        </w:rPr>
        <w:t>GRANTED / ACCORDÉES</w:t>
      </w:r>
    </w:p>
    <w:p w:rsidR="00462675" w:rsidRPr="00462675" w:rsidRDefault="00462675" w:rsidP="00462675">
      <w:pPr>
        <w:tabs>
          <w:tab w:val="left" w:pos="-1440"/>
          <w:tab w:val="left" w:pos="-720"/>
        </w:tabs>
        <w:jc w:val="both"/>
        <w:rPr>
          <w:sz w:val="20"/>
          <w:szCs w:val="20"/>
        </w:rPr>
      </w:pPr>
    </w:p>
    <w:p w:rsidR="00BE0090" w:rsidRPr="00826B38" w:rsidRDefault="00BE0090" w:rsidP="00BE0090">
      <w:pPr>
        <w:rPr>
          <w:rFonts w:cs="Times New Roman"/>
          <w:sz w:val="20"/>
          <w:szCs w:val="20"/>
        </w:rPr>
      </w:pPr>
      <w:r w:rsidRPr="00826B38">
        <w:rPr>
          <w:rFonts w:cs="Times New Roman"/>
          <w:b/>
          <w:bCs/>
          <w:sz w:val="20"/>
          <w:szCs w:val="20"/>
        </w:rPr>
        <w:t xml:space="preserve">UPON APPLICATIONS </w:t>
      </w:r>
      <w:r w:rsidRPr="00826B38">
        <w:rPr>
          <w:rFonts w:cs="Times New Roman"/>
          <w:sz w:val="20"/>
          <w:szCs w:val="20"/>
        </w:rPr>
        <w:t>by Pro Bono Ontario and Access Pro Bono Society of British Columbia (jointly) and the National Self-Represented Litigants Project for leave to intervene in the above appeal;</w:t>
      </w:r>
    </w:p>
    <w:p w:rsidR="00BE0090" w:rsidRPr="00826B38" w:rsidRDefault="00BE0090" w:rsidP="00BE0090">
      <w:pPr>
        <w:spacing w:line="230" w:lineRule="auto"/>
        <w:rPr>
          <w:rFonts w:cs="Times New Roman"/>
          <w:sz w:val="20"/>
          <w:szCs w:val="20"/>
        </w:rPr>
      </w:pPr>
    </w:p>
    <w:p w:rsidR="00BE0090" w:rsidRPr="00826B38" w:rsidRDefault="00BE0090" w:rsidP="00BE0090">
      <w:pPr>
        <w:spacing w:line="230" w:lineRule="auto"/>
        <w:rPr>
          <w:rFonts w:cs="Times New Roman"/>
          <w:sz w:val="20"/>
          <w:szCs w:val="20"/>
        </w:rPr>
      </w:pPr>
      <w:r w:rsidRPr="00826B38">
        <w:rPr>
          <w:rFonts w:cs="Times New Roman"/>
          <w:b/>
          <w:bCs/>
          <w:sz w:val="20"/>
          <w:szCs w:val="20"/>
        </w:rPr>
        <w:t>AND THE MATERIAL FILED</w:t>
      </w:r>
      <w:r w:rsidRPr="00826B38">
        <w:rPr>
          <w:rFonts w:cs="Times New Roman"/>
          <w:sz w:val="20"/>
          <w:szCs w:val="20"/>
        </w:rPr>
        <w:t xml:space="preserve"> having been read;</w:t>
      </w:r>
    </w:p>
    <w:p w:rsidR="00BE0090" w:rsidRPr="00826B38" w:rsidRDefault="00BE0090" w:rsidP="00BE0090">
      <w:pPr>
        <w:spacing w:line="230" w:lineRule="auto"/>
        <w:jc w:val="center"/>
        <w:rPr>
          <w:rFonts w:cs="Times New Roman"/>
          <w:sz w:val="20"/>
          <w:szCs w:val="20"/>
        </w:rPr>
      </w:pPr>
    </w:p>
    <w:p w:rsidR="00BE0090" w:rsidRPr="00826B38" w:rsidRDefault="00BE0090" w:rsidP="00BE0090">
      <w:pPr>
        <w:spacing w:line="230" w:lineRule="auto"/>
        <w:rPr>
          <w:rFonts w:cs="Times New Roman"/>
          <w:b/>
          <w:bCs/>
          <w:sz w:val="20"/>
          <w:szCs w:val="20"/>
        </w:rPr>
      </w:pPr>
      <w:r w:rsidRPr="00826B38">
        <w:rPr>
          <w:rFonts w:cs="Times New Roman"/>
          <w:b/>
          <w:bCs/>
          <w:sz w:val="20"/>
          <w:szCs w:val="20"/>
        </w:rPr>
        <w:t>IT IS HEREBY ORDERED THAT:</w:t>
      </w:r>
    </w:p>
    <w:p w:rsidR="00BE0090" w:rsidRPr="00826B38" w:rsidRDefault="00BE0090" w:rsidP="00BE0090">
      <w:pPr>
        <w:spacing w:line="230" w:lineRule="auto"/>
        <w:rPr>
          <w:rFonts w:cs="Times New Roman"/>
          <w:b/>
          <w:bCs/>
          <w:sz w:val="20"/>
          <w:szCs w:val="20"/>
        </w:rPr>
      </w:pPr>
    </w:p>
    <w:p w:rsidR="00BE0090" w:rsidRPr="00826B38" w:rsidRDefault="00BE0090" w:rsidP="00BE0090">
      <w:pPr>
        <w:spacing w:line="228" w:lineRule="auto"/>
        <w:rPr>
          <w:rFonts w:cs="Times New Roman"/>
          <w:sz w:val="20"/>
          <w:szCs w:val="20"/>
        </w:rPr>
      </w:pPr>
      <w:r w:rsidRPr="00826B38">
        <w:rPr>
          <w:rFonts w:cs="Times New Roman"/>
          <w:sz w:val="20"/>
          <w:szCs w:val="20"/>
        </w:rPr>
        <w:t>The motions for leave to intervene are granted and the said two (2) interveners shall be entitled to each serve and file a factum not to exceed ten (10) pages in length on or before April 6, 2017.</w:t>
      </w:r>
    </w:p>
    <w:p w:rsidR="00BE0090" w:rsidRPr="00826B38" w:rsidRDefault="00BE0090" w:rsidP="00BE0090">
      <w:pPr>
        <w:spacing w:line="228" w:lineRule="auto"/>
        <w:rPr>
          <w:rFonts w:cs="Times New Roman"/>
          <w:sz w:val="20"/>
          <w:szCs w:val="20"/>
        </w:rPr>
      </w:pPr>
    </w:p>
    <w:p w:rsidR="00BE0090" w:rsidRPr="00826B38" w:rsidRDefault="00BE0090" w:rsidP="00BE0090">
      <w:pPr>
        <w:spacing w:line="232" w:lineRule="auto"/>
        <w:rPr>
          <w:rFonts w:cs="Times New Roman"/>
          <w:sz w:val="20"/>
          <w:szCs w:val="20"/>
        </w:rPr>
      </w:pPr>
      <w:r w:rsidRPr="00826B38">
        <w:rPr>
          <w:rFonts w:cs="Times New Roman"/>
          <w:bCs/>
          <w:sz w:val="20"/>
          <w:szCs w:val="20"/>
        </w:rPr>
        <w:t>The said interveners</w:t>
      </w:r>
      <w:r w:rsidRPr="00826B38">
        <w:rPr>
          <w:rFonts w:cs="Times New Roman"/>
          <w:sz w:val="20"/>
          <w:szCs w:val="20"/>
        </w:rPr>
        <w:t xml:space="preserve"> are each granted permission to present oral argument not exceeding five (5) minutes at the hearing of the appeal.</w:t>
      </w:r>
    </w:p>
    <w:p w:rsidR="00BE0090" w:rsidRPr="00826B38" w:rsidRDefault="00BE0090" w:rsidP="00BE0090">
      <w:pPr>
        <w:spacing w:line="228" w:lineRule="auto"/>
        <w:rPr>
          <w:rFonts w:cs="Times New Roman"/>
          <w:sz w:val="20"/>
          <w:szCs w:val="20"/>
        </w:rPr>
      </w:pPr>
    </w:p>
    <w:p w:rsidR="00BE0090" w:rsidRPr="00826B38" w:rsidRDefault="00BE0090" w:rsidP="00BE0090">
      <w:pPr>
        <w:spacing w:line="228" w:lineRule="auto"/>
        <w:rPr>
          <w:rFonts w:cs="Times New Roman"/>
          <w:bCs/>
          <w:sz w:val="20"/>
          <w:szCs w:val="20"/>
        </w:rPr>
      </w:pPr>
      <w:r w:rsidRPr="00826B38">
        <w:rPr>
          <w:rFonts w:cs="Times New Roman"/>
          <w:sz w:val="20"/>
          <w:szCs w:val="20"/>
        </w:rPr>
        <w:fldChar w:fldCharType="begin"/>
      </w:r>
      <w:r w:rsidRPr="00826B38">
        <w:rPr>
          <w:rFonts w:cs="Times New Roman"/>
          <w:sz w:val="20"/>
          <w:szCs w:val="20"/>
        </w:rPr>
        <w:instrText xml:space="preserve"> SEQ CHAPTER \h \r 1</w:instrText>
      </w:r>
      <w:r w:rsidRPr="00826B38">
        <w:rPr>
          <w:rFonts w:cs="Times New Roman"/>
          <w:sz w:val="20"/>
          <w:szCs w:val="20"/>
        </w:rPr>
        <w:fldChar w:fldCharType="end"/>
      </w:r>
      <w:r w:rsidRPr="00826B38">
        <w:rPr>
          <w:rFonts w:cs="Times New Roman"/>
          <w:bCs/>
          <w:sz w:val="20"/>
          <w:szCs w:val="20"/>
        </w:rPr>
        <w:t>The interveners are not entitled to raise new issues or to adduce further evidence or to otherwise supplement the record of the parties.</w:t>
      </w:r>
    </w:p>
    <w:p w:rsidR="00BE0090" w:rsidRPr="00826B38" w:rsidRDefault="00BE0090" w:rsidP="00BE0090">
      <w:pPr>
        <w:spacing w:line="228" w:lineRule="auto"/>
        <w:rPr>
          <w:rFonts w:cs="Times New Roman"/>
          <w:b/>
          <w:bCs/>
          <w:sz w:val="20"/>
          <w:szCs w:val="20"/>
        </w:rPr>
      </w:pPr>
    </w:p>
    <w:p w:rsidR="00BE0090" w:rsidRPr="00826B38" w:rsidRDefault="00BE0090" w:rsidP="00BE0090">
      <w:pPr>
        <w:spacing w:line="228" w:lineRule="auto"/>
        <w:rPr>
          <w:rFonts w:cs="Times New Roman"/>
          <w:b/>
          <w:bCs/>
          <w:sz w:val="20"/>
          <w:szCs w:val="20"/>
        </w:rPr>
      </w:pPr>
      <w:r w:rsidRPr="00826B38">
        <w:rPr>
          <w:rFonts w:cs="Times New Roman"/>
          <w:sz w:val="20"/>
          <w:szCs w:val="20"/>
        </w:rPr>
        <w:t>Pursuant to Rule 59(1</w:t>
      </w:r>
      <w:proofErr w:type="gramStart"/>
      <w:r w:rsidRPr="00826B38">
        <w:rPr>
          <w:rFonts w:cs="Times New Roman"/>
          <w:sz w:val="20"/>
          <w:szCs w:val="20"/>
        </w:rPr>
        <w:t>)(</w:t>
      </w:r>
      <w:proofErr w:type="gramEnd"/>
      <w:r w:rsidRPr="00826B38">
        <w:rPr>
          <w:rFonts w:cs="Times New Roman"/>
          <w:i/>
          <w:iCs/>
          <w:sz w:val="20"/>
          <w:szCs w:val="20"/>
        </w:rPr>
        <w:t>a</w:t>
      </w:r>
      <w:r w:rsidRPr="00826B38">
        <w:rPr>
          <w:rFonts w:cs="Times New Roman"/>
          <w:sz w:val="20"/>
          <w:szCs w:val="20"/>
        </w:rPr>
        <w:t xml:space="preserve">) of the </w:t>
      </w:r>
      <w:r w:rsidRPr="00826B38">
        <w:rPr>
          <w:rFonts w:cs="Times New Roman"/>
          <w:i/>
          <w:iCs/>
          <w:sz w:val="20"/>
          <w:szCs w:val="20"/>
        </w:rPr>
        <w:t>Rules of the Supreme Court of Canada</w:t>
      </w:r>
      <w:r w:rsidRPr="00826B38">
        <w:rPr>
          <w:rFonts w:cs="Times New Roman"/>
          <w:sz w:val="20"/>
          <w:szCs w:val="20"/>
        </w:rPr>
        <w:t>, the interveners shall pay to the appellant and respondents any additional disbursements occasioned to the appellant and respondents by their intervention.</w:t>
      </w:r>
    </w:p>
    <w:p w:rsidR="00BE0090" w:rsidRDefault="00BE0090" w:rsidP="00BE0090">
      <w:pPr>
        <w:rPr>
          <w:rFonts w:cs="Times New Roman"/>
          <w:b/>
          <w:bCs/>
          <w:sz w:val="20"/>
          <w:szCs w:val="20"/>
        </w:rPr>
      </w:pPr>
    </w:p>
    <w:p w:rsidR="00BE0090" w:rsidRDefault="00BE0090" w:rsidP="00BE0090">
      <w:pPr>
        <w:rPr>
          <w:rFonts w:cs="Times New Roman"/>
          <w:b/>
          <w:bCs/>
          <w:sz w:val="20"/>
          <w:szCs w:val="20"/>
        </w:rPr>
      </w:pPr>
    </w:p>
    <w:p w:rsidR="00BE0090" w:rsidRPr="00826B38" w:rsidRDefault="00BE0090" w:rsidP="00BE0090">
      <w:pPr>
        <w:rPr>
          <w:rFonts w:cs="Times New Roman"/>
          <w:b/>
          <w:bCs/>
          <w:sz w:val="20"/>
          <w:szCs w:val="20"/>
        </w:rPr>
      </w:pPr>
    </w:p>
    <w:p w:rsidR="00BE0090" w:rsidRPr="00826B38" w:rsidRDefault="00BE0090" w:rsidP="00BE0090">
      <w:pPr>
        <w:rPr>
          <w:rFonts w:cs="Times New Roman"/>
          <w:bCs/>
          <w:sz w:val="20"/>
          <w:szCs w:val="20"/>
          <w:lang w:val="fr-CA"/>
        </w:rPr>
      </w:pPr>
      <w:r w:rsidRPr="00826B38">
        <w:rPr>
          <w:rFonts w:cs="Times New Roman"/>
          <w:b/>
          <w:bCs/>
          <w:sz w:val="20"/>
          <w:szCs w:val="20"/>
          <w:lang w:val="fr-CA"/>
        </w:rPr>
        <w:lastRenderedPageBreak/>
        <w:t xml:space="preserve">À LA SUITE DES DEMANDES </w:t>
      </w:r>
      <w:r w:rsidRPr="00826B38">
        <w:rPr>
          <w:rFonts w:cs="Times New Roman"/>
          <w:bCs/>
          <w:sz w:val="20"/>
          <w:szCs w:val="20"/>
          <w:lang w:val="fr-CA"/>
        </w:rPr>
        <w:t xml:space="preserve">présentées par </w:t>
      </w:r>
      <w:r w:rsidRPr="00826B38">
        <w:rPr>
          <w:rFonts w:cs="Times New Roman"/>
          <w:sz w:val="20"/>
          <w:szCs w:val="20"/>
          <w:lang w:val="fr-CA"/>
        </w:rPr>
        <w:t>Pro Bono Ontario et l’Access Pro Bono Society of British Columbia (conjointement), et par le National Self-</w:t>
      </w:r>
      <w:proofErr w:type="spellStart"/>
      <w:r w:rsidRPr="00826B38">
        <w:rPr>
          <w:rFonts w:cs="Times New Roman"/>
          <w:sz w:val="20"/>
          <w:szCs w:val="20"/>
          <w:lang w:val="fr-CA"/>
        </w:rPr>
        <w:t>Represented</w:t>
      </w:r>
      <w:proofErr w:type="spellEnd"/>
      <w:r w:rsidRPr="00826B38">
        <w:rPr>
          <w:rFonts w:cs="Times New Roman"/>
          <w:sz w:val="20"/>
          <w:szCs w:val="20"/>
          <w:lang w:val="fr-CA"/>
        </w:rPr>
        <w:t xml:space="preserve"> Litigants Project </w:t>
      </w:r>
      <w:r w:rsidRPr="00826B38">
        <w:rPr>
          <w:rFonts w:cs="Times New Roman"/>
          <w:bCs/>
          <w:sz w:val="20"/>
          <w:szCs w:val="20"/>
          <w:lang w:val="fr-CA"/>
        </w:rPr>
        <w:t>pour obtenir l’autorisation d’intervenir dans le présent appel;</w:t>
      </w:r>
    </w:p>
    <w:p w:rsidR="00BE0090" w:rsidRPr="00826B38" w:rsidRDefault="00BE0090" w:rsidP="00BE0090">
      <w:pPr>
        <w:rPr>
          <w:rFonts w:cs="Times New Roman"/>
          <w:bCs/>
          <w:sz w:val="20"/>
          <w:szCs w:val="20"/>
          <w:lang w:val="fr-CA"/>
        </w:rPr>
      </w:pPr>
    </w:p>
    <w:p w:rsidR="00BE0090" w:rsidRPr="00826B38" w:rsidRDefault="00BE0090" w:rsidP="00BE0090">
      <w:pPr>
        <w:rPr>
          <w:rFonts w:cs="Times New Roman"/>
          <w:bCs/>
          <w:sz w:val="20"/>
          <w:szCs w:val="20"/>
          <w:lang w:val="fr-CA"/>
        </w:rPr>
      </w:pPr>
      <w:r w:rsidRPr="00826B38">
        <w:rPr>
          <w:rFonts w:cs="Times New Roman"/>
          <w:b/>
          <w:bCs/>
          <w:sz w:val="20"/>
          <w:szCs w:val="20"/>
          <w:lang w:val="fr-CA"/>
        </w:rPr>
        <w:t xml:space="preserve">ET APRÈS EXAMEN </w:t>
      </w:r>
      <w:r w:rsidRPr="00826B38">
        <w:rPr>
          <w:rFonts w:cs="Times New Roman"/>
          <w:bCs/>
          <w:sz w:val="20"/>
          <w:szCs w:val="20"/>
          <w:lang w:val="fr-CA"/>
        </w:rPr>
        <w:t>des documents déposés;</w:t>
      </w:r>
    </w:p>
    <w:p w:rsidR="00BE0090" w:rsidRPr="00826B38" w:rsidRDefault="00BE0090" w:rsidP="00BE0090">
      <w:pPr>
        <w:rPr>
          <w:rFonts w:cs="Times New Roman"/>
          <w:b/>
          <w:bCs/>
          <w:sz w:val="20"/>
          <w:szCs w:val="20"/>
          <w:lang w:val="fr-CA"/>
        </w:rPr>
      </w:pPr>
    </w:p>
    <w:p w:rsidR="00BE0090" w:rsidRPr="00826B38" w:rsidRDefault="00BE0090" w:rsidP="00BE0090">
      <w:pPr>
        <w:rPr>
          <w:rFonts w:cs="Times New Roman"/>
          <w:b/>
          <w:bCs/>
          <w:sz w:val="20"/>
          <w:szCs w:val="20"/>
          <w:lang w:val="fr-CA"/>
        </w:rPr>
      </w:pPr>
      <w:r w:rsidRPr="00826B38">
        <w:rPr>
          <w:rFonts w:cs="Times New Roman"/>
          <w:b/>
          <w:bCs/>
          <w:sz w:val="20"/>
          <w:szCs w:val="20"/>
          <w:lang w:val="fr-CA"/>
        </w:rPr>
        <w:t>IL EST ORDONNÉ CE QUI SUIT :</w:t>
      </w:r>
    </w:p>
    <w:p w:rsidR="00BE0090" w:rsidRPr="00826B38" w:rsidRDefault="00BE0090" w:rsidP="00BE0090">
      <w:pPr>
        <w:rPr>
          <w:rFonts w:cs="Times New Roman"/>
          <w:b/>
          <w:bCs/>
          <w:sz w:val="20"/>
          <w:szCs w:val="20"/>
          <w:lang w:val="fr-CA"/>
        </w:rPr>
      </w:pPr>
    </w:p>
    <w:p w:rsidR="00BE0090" w:rsidRPr="00826B38" w:rsidRDefault="00BE0090" w:rsidP="00BE0090">
      <w:pPr>
        <w:rPr>
          <w:rFonts w:cs="Times New Roman"/>
          <w:bCs/>
          <w:sz w:val="20"/>
          <w:szCs w:val="20"/>
          <w:lang w:val="fr-CA"/>
        </w:rPr>
      </w:pPr>
      <w:r w:rsidRPr="00826B38">
        <w:rPr>
          <w:rFonts w:cs="Times New Roman"/>
          <w:bCs/>
          <w:sz w:val="20"/>
          <w:szCs w:val="20"/>
          <w:lang w:val="fr-CA"/>
        </w:rPr>
        <w:t>Les requêtes en autorisation d’intervenir sont accueillies et ces intervenants sont autorisés chacun à signifier et à déposer un mémoire d’au plus 10 pages au plus tard le 6 avril 2017.</w:t>
      </w:r>
    </w:p>
    <w:p w:rsidR="00BE0090" w:rsidRPr="00826B38" w:rsidRDefault="00BE0090" w:rsidP="00BE0090">
      <w:pPr>
        <w:rPr>
          <w:rFonts w:cs="Times New Roman"/>
          <w:bCs/>
          <w:sz w:val="20"/>
          <w:szCs w:val="20"/>
          <w:lang w:val="fr-CA"/>
        </w:rPr>
      </w:pPr>
    </w:p>
    <w:p w:rsidR="00BE0090" w:rsidRPr="00826B38" w:rsidRDefault="00BE0090" w:rsidP="00BE0090">
      <w:pPr>
        <w:rPr>
          <w:rFonts w:cs="Times New Roman"/>
          <w:bCs/>
          <w:sz w:val="20"/>
          <w:szCs w:val="20"/>
          <w:lang w:val="fr-CA"/>
        </w:rPr>
      </w:pPr>
      <w:r w:rsidRPr="00826B38">
        <w:rPr>
          <w:rFonts w:cs="Times New Roman"/>
          <w:bCs/>
          <w:sz w:val="20"/>
          <w:szCs w:val="20"/>
          <w:lang w:val="fr-CA"/>
        </w:rPr>
        <w:t>Les intervenants sont chacun autorisés à présenter une plaidoirie orale d’au plus cinq (5) minutes lors de l’audition de l’appel.</w:t>
      </w:r>
    </w:p>
    <w:p w:rsidR="00BE0090" w:rsidRPr="00826B38" w:rsidRDefault="00BE0090" w:rsidP="00BE0090">
      <w:pPr>
        <w:rPr>
          <w:rFonts w:cs="Times New Roman"/>
          <w:b/>
          <w:bCs/>
          <w:sz w:val="20"/>
          <w:szCs w:val="20"/>
          <w:lang w:val="fr-CA"/>
        </w:rPr>
      </w:pPr>
    </w:p>
    <w:p w:rsidR="00BE0090" w:rsidRPr="00826B38" w:rsidRDefault="00BE0090" w:rsidP="00BE0090">
      <w:pPr>
        <w:rPr>
          <w:rFonts w:cs="Times New Roman"/>
          <w:bCs/>
          <w:sz w:val="20"/>
          <w:szCs w:val="20"/>
          <w:lang w:val="fr-CA"/>
        </w:rPr>
      </w:pPr>
      <w:r w:rsidRPr="00826B38">
        <w:rPr>
          <w:rFonts w:cs="Times New Roman"/>
          <w:bCs/>
          <w:sz w:val="20"/>
          <w:szCs w:val="20"/>
          <w:lang w:val="fr-CA"/>
        </w:rPr>
        <w:t>Les intervenants n’ont pas le droit de soulever de nouvelles questions, de produire d’autres éléments de preuve, ni de compléter de quelque autre façon le dossier des parties.</w:t>
      </w:r>
    </w:p>
    <w:p w:rsidR="00BE0090" w:rsidRPr="00826B38" w:rsidRDefault="00BE0090" w:rsidP="00BE0090">
      <w:pPr>
        <w:rPr>
          <w:rFonts w:cs="Times New Roman"/>
          <w:b/>
          <w:bCs/>
          <w:sz w:val="20"/>
          <w:szCs w:val="20"/>
          <w:lang w:val="fr-CA"/>
        </w:rPr>
      </w:pPr>
    </w:p>
    <w:p w:rsidR="00BE0090" w:rsidRPr="00826B38" w:rsidRDefault="00BE0090" w:rsidP="00BE0090">
      <w:pPr>
        <w:rPr>
          <w:rFonts w:cs="Times New Roman"/>
          <w:bCs/>
          <w:sz w:val="20"/>
          <w:szCs w:val="20"/>
          <w:lang w:val="fr-CA"/>
        </w:rPr>
      </w:pPr>
      <w:r w:rsidRPr="00826B38">
        <w:rPr>
          <w:rFonts w:cs="Times New Roman"/>
          <w:bCs/>
          <w:sz w:val="20"/>
          <w:szCs w:val="20"/>
          <w:lang w:val="fr-CA"/>
        </w:rPr>
        <w:t>Conformément à l’al. 59(1)</w:t>
      </w:r>
      <w:r w:rsidRPr="00826B38">
        <w:rPr>
          <w:rFonts w:cs="Times New Roman"/>
          <w:bCs/>
          <w:i/>
          <w:sz w:val="20"/>
          <w:szCs w:val="20"/>
          <w:lang w:val="fr-CA"/>
        </w:rPr>
        <w:t>a</w:t>
      </w:r>
      <w:r w:rsidRPr="00826B38">
        <w:rPr>
          <w:rFonts w:cs="Times New Roman"/>
          <w:bCs/>
          <w:sz w:val="20"/>
          <w:szCs w:val="20"/>
          <w:lang w:val="fr-CA"/>
        </w:rPr>
        <w:t xml:space="preserve">) des </w:t>
      </w:r>
      <w:r w:rsidRPr="00826B38">
        <w:rPr>
          <w:rFonts w:cs="Times New Roman"/>
          <w:bCs/>
          <w:i/>
          <w:sz w:val="20"/>
          <w:szCs w:val="20"/>
          <w:lang w:val="fr-CA"/>
        </w:rPr>
        <w:t>Règles de la Cour suprême du Canada</w:t>
      </w:r>
      <w:r w:rsidRPr="00826B38">
        <w:rPr>
          <w:rFonts w:cs="Times New Roman"/>
          <w:bCs/>
          <w:sz w:val="20"/>
          <w:szCs w:val="20"/>
          <w:lang w:val="fr-CA"/>
        </w:rPr>
        <w:t>, les intervenants paieront à l’appelant et aux intimés tous les débours supplémentaires résultant de leur intervention.</w:t>
      </w:r>
    </w:p>
    <w:p w:rsidR="00462675" w:rsidRPr="00BE0090" w:rsidRDefault="00462675" w:rsidP="00462675">
      <w:pPr>
        <w:tabs>
          <w:tab w:val="left" w:pos="-1440"/>
          <w:tab w:val="left" w:pos="-720"/>
        </w:tabs>
        <w:jc w:val="both"/>
        <w:rPr>
          <w:sz w:val="20"/>
          <w:szCs w:val="20"/>
          <w:lang w:val="fr-CA"/>
        </w:rPr>
      </w:pPr>
    </w:p>
    <w:p w:rsidR="00CA2DEA" w:rsidRPr="00462675" w:rsidRDefault="00E7387C"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54" style="width:2in;height:1pt" o:hrpct="0" o:hralign="center" o:hrstd="t" o:hrnoshade="t" o:hr="t" fillcolor="black [3213]" stroked="f"/>
        </w:pict>
      </w:r>
    </w:p>
    <w:p w:rsidR="00CA2DEA" w:rsidRPr="00462675" w:rsidRDefault="00CA2DEA" w:rsidP="00CA2DEA">
      <w:pPr>
        <w:widowControl w:val="0"/>
        <w:rPr>
          <w:rFonts w:eastAsia="Times New Roman" w:cs="Times New Roman"/>
          <w:sz w:val="20"/>
          <w:szCs w:val="20"/>
          <w:lang w:val="en-US" w:eastAsia="en-CA"/>
        </w:rPr>
      </w:pPr>
    </w:p>
    <w:p w:rsidR="00CA2DEA" w:rsidRPr="00462675" w:rsidRDefault="00CA2DEA" w:rsidP="0010587F">
      <w:pPr>
        <w:tabs>
          <w:tab w:val="left" w:pos="-1440"/>
          <w:tab w:val="left" w:pos="-720"/>
        </w:tabs>
        <w:jc w:val="both"/>
        <w:rPr>
          <w:sz w:val="20"/>
          <w:szCs w:val="20"/>
          <w:lang w:val="fr-CA"/>
        </w:rPr>
      </w:pPr>
    </w:p>
    <w:p w:rsidR="00890FEB" w:rsidRPr="00462675" w:rsidRDefault="00890FEB" w:rsidP="00831CA9">
      <w:pPr>
        <w:jc w:val="both"/>
        <w:rPr>
          <w:sz w:val="20"/>
          <w:szCs w:val="20"/>
          <w:lang w:val="fr-CA"/>
        </w:rPr>
      </w:pPr>
    </w:p>
    <w:p w:rsidR="00831CA9" w:rsidRPr="00462675" w:rsidRDefault="00831CA9" w:rsidP="00831CA9">
      <w:pPr>
        <w:jc w:val="both"/>
        <w:rPr>
          <w:sz w:val="20"/>
          <w:szCs w:val="20"/>
          <w:lang w:val="fr-CA"/>
        </w:rPr>
        <w:sectPr w:rsidR="00831CA9" w:rsidRPr="00462675" w:rsidSect="00831CA9">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E7387C" w:rsidTr="00EB2B90">
        <w:tc>
          <w:tcPr>
            <w:tcW w:w="4200" w:type="dxa"/>
            <w:shd w:val="clear" w:color="auto" w:fill="auto"/>
            <w:tcMar>
              <w:left w:w="0" w:type="dxa"/>
              <w:right w:w="0" w:type="dxa"/>
            </w:tcMar>
          </w:tcPr>
          <w:p w:rsidR="00F40249" w:rsidRPr="00462675" w:rsidRDefault="00F40249" w:rsidP="00EB2B90">
            <w:pPr>
              <w:rPr>
                <w:b/>
                <w:sz w:val="20"/>
                <w:szCs w:val="20"/>
              </w:rPr>
            </w:pPr>
            <w:r w:rsidRPr="00462675">
              <w:rPr>
                <w:b/>
                <w:sz w:val="20"/>
                <w:szCs w:val="20"/>
              </w:rPr>
              <w:lastRenderedPageBreak/>
              <w:t>NOTICES OF APPEAL FILED SINCE LAST ISSUE</w:t>
            </w:r>
          </w:p>
        </w:tc>
        <w:tc>
          <w:tcPr>
            <w:tcW w:w="1200" w:type="dxa"/>
            <w:shd w:val="clear" w:color="auto" w:fill="auto"/>
            <w:tcMar>
              <w:left w:w="0" w:type="dxa"/>
              <w:right w:w="0" w:type="dxa"/>
            </w:tcMar>
          </w:tcPr>
          <w:p w:rsidR="00F40249" w:rsidRPr="00462675" w:rsidRDefault="00F40249" w:rsidP="00F40249">
            <w:pPr>
              <w:jc w:val="center"/>
              <w:rPr>
                <w:sz w:val="20"/>
                <w:szCs w:val="20"/>
              </w:rPr>
            </w:pPr>
          </w:p>
          <w:p w:rsidR="00F33CCE" w:rsidRPr="00462675" w:rsidRDefault="00F33CCE" w:rsidP="00F40249">
            <w:pPr>
              <w:jc w:val="center"/>
              <w:rPr>
                <w:sz w:val="20"/>
                <w:szCs w:val="20"/>
              </w:rPr>
            </w:pPr>
          </w:p>
          <w:p w:rsidR="00F33CCE" w:rsidRPr="00462675" w:rsidRDefault="00F33CCE" w:rsidP="00F40249">
            <w:pPr>
              <w:jc w:val="center"/>
              <w:rPr>
                <w:sz w:val="20"/>
                <w:szCs w:val="20"/>
              </w:rPr>
            </w:pPr>
          </w:p>
        </w:tc>
        <w:tc>
          <w:tcPr>
            <w:tcW w:w="4230" w:type="dxa"/>
            <w:shd w:val="clear" w:color="auto" w:fill="auto"/>
            <w:tcMar>
              <w:left w:w="0" w:type="dxa"/>
              <w:right w:w="0" w:type="dxa"/>
            </w:tcMar>
          </w:tcPr>
          <w:p w:rsidR="00F40249" w:rsidRPr="00462675" w:rsidRDefault="00F40249" w:rsidP="00EB2B90">
            <w:pPr>
              <w:rPr>
                <w:b/>
                <w:sz w:val="20"/>
                <w:szCs w:val="20"/>
                <w:lang w:val="fr-CA"/>
              </w:rPr>
            </w:pPr>
            <w:r w:rsidRPr="00462675">
              <w:rPr>
                <w:b/>
                <w:sz w:val="20"/>
                <w:szCs w:val="20"/>
                <w:lang w:val="fr-CA"/>
              </w:rPr>
              <w:t>AVIS D’APPEL DÉPOSÉS DEPUIS LA DERNIÈRE PARUTION</w:t>
            </w:r>
          </w:p>
        </w:tc>
      </w:tr>
    </w:tbl>
    <w:p w:rsidR="00F40249" w:rsidRPr="00462675"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462675" w:rsidTr="005F1ED8">
        <w:trPr>
          <w:cantSplit/>
        </w:trPr>
        <w:tc>
          <w:tcPr>
            <w:tcW w:w="2206" w:type="pct"/>
            <w:tcMar>
              <w:left w:w="0" w:type="dxa"/>
              <w:right w:w="0" w:type="dxa"/>
            </w:tcMar>
          </w:tcPr>
          <w:p w:rsidR="0086340B" w:rsidRPr="00462675" w:rsidRDefault="00937E0B" w:rsidP="005F1ED8">
            <w:pPr>
              <w:rPr>
                <w:sz w:val="20"/>
                <w:szCs w:val="20"/>
              </w:rPr>
            </w:pPr>
            <w:r w:rsidRPr="00462675">
              <w:rPr>
                <w:sz w:val="20"/>
                <w:szCs w:val="20"/>
              </w:rPr>
              <w:t>03.03.2017</w:t>
            </w:r>
          </w:p>
          <w:p w:rsidR="00937E0B" w:rsidRPr="00462675" w:rsidRDefault="00937E0B" w:rsidP="005F1ED8">
            <w:pPr>
              <w:rPr>
                <w:sz w:val="20"/>
                <w:szCs w:val="20"/>
              </w:rPr>
            </w:pPr>
          </w:p>
          <w:p w:rsidR="00937E0B" w:rsidRPr="00462675" w:rsidRDefault="00937E0B" w:rsidP="005F1ED8">
            <w:pPr>
              <w:rPr>
                <w:b/>
                <w:sz w:val="20"/>
                <w:szCs w:val="20"/>
              </w:rPr>
            </w:pPr>
            <w:r w:rsidRPr="00462675">
              <w:rPr>
                <w:b/>
                <w:sz w:val="20"/>
                <w:szCs w:val="20"/>
              </w:rPr>
              <w:t xml:space="preserve">Joseph Peter Paul </w:t>
            </w:r>
            <w:proofErr w:type="spellStart"/>
            <w:r w:rsidRPr="00462675">
              <w:rPr>
                <w:b/>
                <w:sz w:val="20"/>
                <w:szCs w:val="20"/>
              </w:rPr>
              <w:t>Groia</w:t>
            </w:r>
            <w:proofErr w:type="spellEnd"/>
          </w:p>
          <w:p w:rsidR="00937E0B" w:rsidRPr="00462675" w:rsidRDefault="00937E0B" w:rsidP="005F1ED8">
            <w:pPr>
              <w:rPr>
                <w:b/>
                <w:sz w:val="20"/>
                <w:szCs w:val="20"/>
              </w:rPr>
            </w:pPr>
          </w:p>
          <w:p w:rsidR="00937E0B" w:rsidRPr="00462675" w:rsidRDefault="00937E0B" w:rsidP="005F1ED8">
            <w:pPr>
              <w:rPr>
                <w:b/>
                <w:sz w:val="20"/>
                <w:szCs w:val="20"/>
              </w:rPr>
            </w:pPr>
            <w:r w:rsidRPr="00462675">
              <w:rPr>
                <w:b/>
                <w:sz w:val="20"/>
                <w:szCs w:val="20"/>
              </w:rPr>
              <w:tab/>
              <w:t>v. (37112)</w:t>
            </w:r>
          </w:p>
          <w:p w:rsidR="00937E0B" w:rsidRPr="00462675" w:rsidRDefault="00937E0B" w:rsidP="005F1ED8">
            <w:pPr>
              <w:rPr>
                <w:b/>
                <w:sz w:val="20"/>
                <w:szCs w:val="20"/>
              </w:rPr>
            </w:pPr>
          </w:p>
          <w:p w:rsidR="00937E0B" w:rsidRPr="00462675" w:rsidRDefault="00937E0B" w:rsidP="005F1ED8">
            <w:pPr>
              <w:rPr>
                <w:b/>
                <w:sz w:val="20"/>
                <w:szCs w:val="20"/>
              </w:rPr>
            </w:pPr>
            <w:r w:rsidRPr="00462675">
              <w:rPr>
                <w:b/>
                <w:sz w:val="20"/>
                <w:szCs w:val="20"/>
              </w:rPr>
              <w:t>Law Society of Upper Canada (Ont.)</w:t>
            </w:r>
          </w:p>
          <w:p w:rsidR="00937E0B" w:rsidRPr="00462675" w:rsidRDefault="00937E0B" w:rsidP="005F1ED8">
            <w:pPr>
              <w:rPr>
                <w:sz w:val="20"/>
                <w:szCs w:val="20"/>
              </w:rPr>
            </w:pPr>
          </w:p>
          <w:p w:rsidR="0086340B" w:rsidRPr="00462675" w:rsidRDefault="0086340B" w:rsidP="005F1ED8">
            <w:pPr>
              <w:rPr>
                <w:sz w:val="20"/>
                <w:szCs w:val="20"/>
              </w:rPr>
            </w:pPr>
            <w:r w:rsidRPr="00462675">
              <w:rPr>
                <w:sz w:val="20"/>
                <w:szCs w:val="20"/>
              </w:rPr>
              <w:t>(By Leave)</w:t>
            </w:r>
          </w:p>
          <w:p w:rsidR="0086340B" w:rsidRPr="00462675" w:rsidRDefault="00E7387C" w:rsidP="005F1ED8">
            <w:pPr>
              <w:rPr>
                <w:sz w:val="20"/>
                <w:szCs w:val="20"/>
                <w:lang w:val="fr-CA"/>
              </w:rPr>
            </w:pPr>
            <w:r>
              <w:rPr>
                <w:sz w:val="20"/>
                <w:szCs w:val="20"/>
                <w:lang w:val="fr-CA"/>
              </w:rPr>
              <w:pict>
                <v:rect id="_x0000_i1057" style="width:106.1pt;height:1pt" o:hrpct="500" o:hralign="center" o:hrstd="t" o:hrnoshade="t" o:hr="t" fillcolor="black [3213]" stroked="f"/>
              </w:pict>
            </w:r>
          </w:p>
        </w:tc>
        <w:tc>
          <w:tcPr>
            <w:tcW w:w="588" w:type="pct"/>
          </w:tcPr>
          <w:p w:rsidR="0086340B" w:rsidRPr="00462675" w:rsidRDefault="0086340B" w:rsidP="005F1ED8">
            <w:pPr>
              <w:jc w:val="center"/>
              <w:rPr>
                <w:sz w:val="20"/>
                <w:szCs w:val="20"/>
              </w:rPr>
            </w:pPr>
          </w:p>
          <w:p w:rsidR="0086340B" w:rsidRPr="00462675" w:rsidRDefault="0086340B" w:rsidP="005F1ED8">
            <w:pPr>
              <w:jc w:val="center"/>
              <w:rPr>
                <w:sz w:val="20"/>
                <w:szCs w:val="20"/>
              </w:rPr>
            </w:pPr>
          </w:p>
          <w:p w:rsidR="0086340B" w:rsidRPr="00462675" w:rsidRDefault="0086340B" w:rsidP="005F1ED8">
            <w:pPr>
              <w:jc w:val="center"/>
              <w:rPr>
                <w:sz w:val="20"/>
                <w:szCs w:val="20"/>
              </w:rPr>
            </w:pPr>
          </w:p>
          <w:p w:rsidR="0086340B" w:rsidRPr="00462675" w:rsidRDefault="0086340B" w:rsidP="005F1ED8">
            <w:pPr>
              <w:jc w:val="center"/>
              <w:rPr>
                <w:sz w:val="20"/>
                <w:szCs w:val="20"/>
              </w:rPr>
            </w:pPr>
          </w:p>
          <w:p w:rsidR="0086340B" w:rsidRPr="00462675" w:rsidRDefault="0086340B" w:rsidP="005F1ED8">
            <w:pPr>
              <w:jc w:val="center"/>
              <w:rPr>
                <w:sz w:val="20"/>
                <w:szCs w:val="20"/>
              </w:rPr>
            </w:pPr>
          </w:p>
          <w:p w:rsidR="0086340B" w:rsidRPr="00462675" w:rsidRDefault="0086340B" w:rsidP="005F1ED8">
            <w:pPr>
              <w:jc w:val="center"/>
              <w:rPr>
                <w:sz w:val="20"/>
                <w:szCs w:val="20"/>
              </w:rPr>
            </w:pPr>
          </w:p>
          <w:p w:rsidR="0086340B" w:rsidRPr="00462675" w:rsidRDefault="0086340B" w:rsidP="005F1ED8">
            <w:pPr>
              <w:jc w:val="center"/>
              <w:rPr>
                <w:sz w:val="20"/>
                <w:szCs w:val="20"/>
              </w:rPr>
            </w:pPr>
          </w:p>
          <w:p w:rsidR="0086340B" w:rsidRPr="00462675" w:rsidRDefault="0086340B" w:rsidP="005F1ED8">
            <w:pPr>
              <w:jc w:val="center"/>
              <w:rPr>
                <w:sz w:val="20"/>
                <w:szCs w:val="20"/>
              </w:rPr>
            </w:pPr>
          </w:p>
          <w:p w:rsidR="0086340B" w:rsidRPr="00462675" w:rsidRDefault="0086340B" w:rsidP="005F1ED8">
            <w:pPr>
              <w:jc w:val="center"/>
              <w:rPr>
                <w:sz w:val="20"/>
                <w:szCs w:val="20"/>
              </w:rPr>
            </w:pPr>
          </w:p>
          <w:p w:rsidR="0086340B" w:rsidRPr="00462675" w:rsidRDefault="0086340B" w:rsidP="005F1ED8">
            <w:pPr>
              <w:jc w:val="center"/>
              <w:rPr>
                <w:sz w:val="20"/>
                <w:szCs w:val="20"/>
              </w:rPr>
            </w:pPr>
          </w:p>
          <w:p w:rsidR="0086340B" w:rsidRPr="00462675" w:rsidRDefault="0086340B" w:rsidP="005F1ED8">
            <w:pPr>
              <w:jc w:val="center"/>
              <w:rPr>
                <w:sz w:val="20"/>
                <w:szCs w:val="20"/>
              </w:rPr>
            </w:pPr>
          </w:p>
          <w:p w:rsidR="0086340B" w:rsidRPr="00462675" w:rsidRDefault="0086340B" w:rsidP="005F1ED8">
            <w:pPr>
              <w:jc w:val="center"/>
              <w:rPr>
                <w:sz w:val="20"/>
                <w:szCs w:val="20"/>
              </w:rPr>
            </w:pPr>
          </w:p>
          <w:p w:rsidR="0086340B" w:rsidRPr="00462675" w:rsidRDefault="0086340B" w:rsidP="005F1ED8">
            <w:pPr>
              <w:jc w:val="center"/>
              <w:rPr>
                <w:sz w:val="20"/>
                <w:szCs w:val="20"/>
              </w:rPr>
            </w:pPr>
          </w:p>
        </w:tc>
        <w:tc>
          <w:tcPr>
            <w:tcW w:w="2206" w:type="pct"/>
          </w:tcPr>
          <w:p w:rsidR="0086340B" w:rsidRPr="00462675" w:rsidRDefault="0086340B" w:rsidP="00346C54">
            <w:pPr>
              <w:rPr>
                <w:sz w:val="20"/>
                <w:szCs w:val="20"/>
              </w:rPr>
            </w:pPr>
          </w:p>
        </w:tc>
      </w:tr>
      <w:tr w:rsidR="0086340B" w:rsidRPr="00462675" w:rsidTr="005F1ED8">
        <w:trPr>
          <w:cantSplit/>
        </w:trPr>
        <w:tc>
          <w:tcPr>
            <w:tcW w:w="2206" w:type="pct"/>
            <w:tcMar>
              <w:left w:w="0" w:type="dxa"/>
              <w:right w:w="0" w:type="dxa"/>
            </w:tcMar>
          </w:tcPr>
          <w:p w:rsidR="0086340B" w:rsidRPr="00462675" w:rsidRDefault="0086340B" w:rsidP="005F1ED8">
            <w:pPr>
              <w:rPr>
                <w:sz w:val="20"/>
                <w:szCs w:val="20"/>
              </w:rPr>
            </w:pPr>
          </w:p>
        </w:tc>
        <w:tc>
          <w:tcPr>
            <w:tcW w:w="588" w:type="pct"/>
          </w:tcPr>
          <w:p w:rsidR="0086340B" w:rsidRPr="00462675" w:rsidRDefault="0086340B" w:rsidP="005F1ED8">
            <w:pPr>
              <w:jc w:val="center"/>
              <w:rPr>
                <w:sz w:val="20"/>
                <w:szCs w:val="20"/>
              </w:rPr>
            </w:pPr>
          </w:p>
        </w:tc>
        <w:tc>
          <w:tcPr>
            <w:tcW w:w="2206" w:type="pct"/>
          </w:tcPr>
          <w:p w:rsidR="0086340B" w:rsidRPr="00462675" w:rsidRDefault="0086340B" w:rsidP="005F1ED8">
            <w:pPr>
              <w:rPr>
                <w:sz w:val="20"/>
                <w:szCs w:val="20"/>
                <w:lang w:val="fr-CA"/>
              </w:rPr>
            </w:pPr>
          </w:p>
        </w:tc>
      </w:tr>
    </w:tbl>
    <w:p w:rsidR="00F40249" w:rsidRPr="00462675" w:rsidRDefault="00F40249" w:rsidP="00F40249">
      <w:pPr>
        <w:rPr>
          <w:sz w:val="20"/>
          <w:szCs w:val="20"/>
        </w:rPr>
      </w:pPr>
    </w:p>
    <w:p w:rsidR="0010587F" w:rsidRPr="00462675"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E7387C"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B77AFE" w:rsidRDefault="00B77AFE" w:rsidP="0052229C">
      <w:pPr>
        <w:rPr>
          <w:b/>
          <w:sz w:val="20"/>
          <w:szCs w:val="20"/>
          <w:lang w:val="en-US"/>
        </w:rPr>
      </w:pPr>
      <w:r w:rsidRPr="00B77AFE">
        <w:rPr>
          <w:b/>
          <w:sz w:val="20"/>
          <w:szCs w:val="20"/>
          <w:lang w:val="en-US"/>
        </w:rPr>
        <w:t>MARCH 17</w:t>
      </w:r>
      <w:r w:rsidR="0052229C" w:rsidRPr="00B77AFE">
        <w:rPr>
          <w:b/>
          <w:sz w:val="20"/>
          <w:szCs w:val="20"/>
          <w:lang w:val="en-US"/>
        </w:rPr>
        <w:t>, 201</w:t>
      </w:r>
      <w:r w:rsidR="0056248C" w:rsidRPr="00B77AFE">
        <w:rPr>
          <w:b/>
          <w:sz w:val="20"/>
          <w:szCs w:val="20"/>
          <w:lang w:val="en-US"/>
        </w:rPr>
        <w:t>7</w:t>
      </w:r>
      <w:r w:rsidR="0052229C" w:rsidRPr="00B77AFE">
        <w:rPr>
          <w:b/>
          <w:sz w:val="20"/>
          <w:szCs w:val="20"/>
          <w:lang w:val="en-US"/>
        </w:rPr>
        <w:t xml:space="preserve"> / LE </w:t>
      </w:r>
      <w:r w:rsidRPr="00B77AFE">
        <w:rPr>
          <w:b/>
          <w:sz w:val="20"/>
          <w:szCs w:val="20"/>
          <w:lang w:val="en-US"/>
        </w:rPr>
        <w:t>17 MARS</w:t>
      </w:r>
      <w:r w:rsidR="0052229C" w:rsidRPr="00B77AFE">
        <w:rPr>
          <w:b/>
          <w:sz w:val="20"/>
          <w:szCs w:val="20"/>
          <w:lang w:val="en-US"/>
        </w:rPr>
        <w:t xml:space="preserve"> 201</w:t>
      </w:r>
      <w:r w:rsidR="0056248C" w:rsidRPr="00B77AFE">
        <w:rPr>
          <w:b/>
          <w:sz w:val="20"/>
          <w:szCs w:val="20"/>
          <w:lang w:val="en-US"/>
        </w:rPr>
        <w:t>7</w:t>
      </w:r>
    </w:p>
    <w:p w:rsidR="0052229C" w:rsidRPr="00B77AFE" w:rsidRDefault="0052229C" w:rsidP="0052229C">
      <w:pPr>
        <w:rPr>
          <w:sz w:val="20"/>
          <w:szCs w:val="20"/>
          <w:lang w:val="en-US"/>
        </w:rPr>
      </w:pPr>
    </w:p>
    <w:p w:rsidR="0052229C" w:rsidRPr="00B77AFE" w:rsidRDefault="000E27A5" w:rsidP="0052229C">
      <w:pPr>
        <w:ind w:left="1440" w:hanging="1440"/>
        <w:jc w:val="both"/>
        <w:rPr>
          <w:sz w:val="20"/>
          <w:lang w:val="en-US"/>
        </w:rPr>
      </w:pPr>
      <w:r w:rsidRPr="00B77AFE">
        <w:rPr>
          <w:b/>
          <w:sz w:val="20"/>
        </w:rPr>
        <w:fldChar w:fldCharType="begin"/>
      </w:r>
      <w:r w:rsidR="0052229C" w:rsidRPr="00B77AFE">
        <w:rPr>
          <w:b/>
          <w:sz w:val="20"/>
          <w:lang w:val="en-US"/>
        </w:rPr>
        <w:instrText xml:space="preserve"> SEQ CHAPTER \h \r 1</w:instrText>
      </w:r>
      <w:r w:rsidRPr="00B77AFE">
        <w:rPr>
          <w:b/>
          <w:sz w:val="20"/>
        </w:rPr>
        <w:fldChar w:fldCharType="end"/>
      </w:r>
      <w:r w:rsidR="00B77AFE" w:rsidRPr="00B77AFE">
        <w:rPr>
          <w:b/>
          <w:sz w:val="20"/>
        </w:rPr>
        <w:t>36472</w:t>
      </w:r>
      <w:r w:rsidR="0052229C" w:rsidRPr="00B77AFE">
        <w:rPr>
          <w:sz w:val="20"/>
          <w:lang w:val="en-US"/>
        </w:rPr>
        <w:tab/>
      </w:r>
      <w:r w:rsidR="00B77AFE" w:rsidRPr="00B77AFE">
        <w:rPr>
          <w:b/>
          <w:sz w:val="20"/>
          <w:u w:val="single"/>
          <w:lang w:val="en-US"/>
        </w:rPr>
        <w:t>Brendan Paterson v. Her Majesty the Queen - and - Attorney General of Ontario, Attorney General of Alberta and British Columbia Civil Liberties Association</w:t>
      </w:r>
      <w:r w:rsidR="00B77AFE" w:rsidRPr="00B77AFE">
        <w:rPr>
          <w:iCs/>
          <w:sz w:val="20"/>
          <w:lang w:val="en-US"/>
        </w:rPr>
        <w:t xml:space="preserve"> (B.C.)</w:t>
      </w:r>
    </w:p>
    <w:p w:rsidR="0052229C" w:rsidRPr="000E51D2"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0E51D2">
        <w:rPr>
          <w:b/>
          <w:sz w:val="20"/>
          <w:lang w:val="en-US"/>
        </w:rPr>
        <w:t>201</w:t>
      </w:r>
      <w:r w:rsidR="0056248C" w:rsidRPr="000E51D2">
        <w:rPr>
          <w:b/>
          <w:sz w:val="20"/>
          <w:lang w:val="en-US"/>
        </w:rPr>
        <w:t>7</w:t>
      </w:r>
      <w:r w:rsidRPr="000E51D2">
        <w:rPr>
          <w:b/>
          <w:sz w:val="20"/>
          <w:lang w:val="en-US"/>
        </w:rPr>
        <w:t xml:space="preserve"> SCC 1</w:t>
      </w:r>
      <w:r w:rsidR="00B77AFE" w:rsidRPr="000E51D2">
        <w:rPr>
          <w:b/>
          <w:sz w:val="20"/>
          <w:lang w:val="en-US"/>
        </w:rPr>
        <w:t>5</w:t>
      </w:r>
      <w:r w:rsidRPr="000E51D2">
        <w:rPr>
          <w:b/>
          <w:sz w:val="20"/>
          <w:lang w:val="en-US"/>
        </w:rPr>
        <w:t xml:space="preserve"> / 201</w:t>
      </w:r>
      <w:r w:rsidR="0056248C" w:rsidRPr="000E51D2">
        <w:rPr>
          <w:b/>
          <w:sz w:val="20"/>
          <w:lang w:val="en-US"/>
        </w:rPr>
        <w:t>7</w:t>
      </w:r>
      <w:r w:rsidRPr="000E51D2">
        <w:rPr>
          <w:b/>
          <w:sz w:val="20"/>
          <w:lang w:val="en-US"/>
        </w:rPr>
        <w:t xml:space="preserve"> CSC 1</w:t>
      </w:r>
      <w:r w:rsidR="00B77AFE" w:rsidRPr="000E51D2">
        <w:rPr>
          <w:b/>
          <w:sz w:val="20"/>
          <w:lang w:val="en-US"/>
        </w:rPr>
        <w:t>5</w:t>
      </w:r>
    </w:p>
    <w:p w:rsidR="0052229C" w:rsidRPr="000E51D2"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6248C" w:rsidRPr="000E51D2" w:rsidRDefault="0052229C" w:rsidP="0056248C">
      <w:pPr>
        <w:widowControl w:val="0"/>
        <w:ind w:left="720" w:hanging="720"/>
        <w:rPr>
          <w:sz w:val="20"/>
          <w:szCs w:val="20"/>
          <w:u w:val="single"/>
          <w:lang w:val="en-US"/>
        </w:rPr>
      </w:pPr>
      <w:r w:rsidRPr="000E51D2">
        <w:rPr>
          <w:sz w:val="20"/>
          <w:lang w:val="en-US"/>
        </w:rPr>
        <w:t>Coram:</w:t>
      </w:r>
      <w:r w:rsidRPr="000E51D2">
        <w:rPr>
          <w:sz w:val="20"/>
          <w:lang w:val="en-US"/>
        </w:rPr>
        <w:tab/>
      </w:r>
      <w:r w:rsidR="00B77AFE" w:rsidRPr="000E51D2">
        <w:rPr>
          <w:sz w:val="20"/>
          <w:lang w:val="en-US"/>
        </w:rPr>
        <w:tab/>
      </w:r>
      <w:proofErr w:type="spellStart"/>
      <w:r w:rsidR="00B77AFE" w:rsidRPr="000E51D2">
        <w:rPr>
          <w:sz w:val="20"/>
          <w:szCs w:val="20"/>
          <w:lang w:val="en-US"/>
        </w:rPr>
        <w:t>McLachlin</w:t>
      </w:r>
      <w:proofErr w:type="spellEnd"/>
      <w:r w:rsidR="00B77AFE" w:rsidRPr="000E51D2">
        <w:rPr>
          <w:sz w:val="20"/>
          <w:szCs w:val="20"/>
          <w:lang w:val="en-US"/>
        </w:rPr>
        <w:t xml:space="preserve"> C.J. and </w:t>
      </w:r>
      <w:proofErr w:type="spellStart"/>
      <w:r w:rsidR="00B77AFE" w:rsidRPr="000E51D2">
        <w:rPr>
          <w:sz w:val="20"/>
          <w:szCs w:val="20"/>
          <w:lang w:val="en-US"/>
        </w:rPr>
        <w:t>Abella</w:t>
      </w:r>
      <w:proofErr w:type="spellEnd"/>
      <w:r w:rsidR="00B77AFE" w:rsidRPr="000E51D2">
        <w:rPr>
          <w:sz w:val="20"/>
          <w:szCs w:val="20"/>
          <w:lang w:val="en-US"/>
        </w:rPr>
        <w:t xml:space="preserve">, </w:t>
      </w:r>
      <w:proofErr w:type="spellStart"/>
      <w:r w:rsidR="00B77AFE" w:rsidRPr="000E51D2">
        <w:rPr>
          <w:sz w:val="20"/>
          <w:szCs w:val="20"/>
          <w:lang w:val="en-US"/>
        </w:rPr>
        <w:t>Moldaver</w:t>
      </w:r>
      <w:proofErr w:type="spellEnd"/>
      <w:r w:rsidR="00B77AFE" w:rsidRPr="000E51D2">
        <w:rPr>
          <w:sz w:val="20"/>
          <w:szCs w:val="20"/>
          <w:lang w:val="en-US"/>
        </w:rPr>
        <w:t xml:space="preserve">, </w:t>
      </w:r>
      <w:proofErr w:type="spellStart"/>
      <w:r w:rsidR="00B77AFE" w:rsidRPr="000E51D2">
        <w:rPr>
          <w:sz w:val="20"/>
          <w:szCs w:val="20"/>
          <w:lang w:val="en-US"/>
        </w:rPr>
        <w:t>Karakatsanis</w:t>
      </w:r>
      <w:proofErr w:type="spellEnd"/>
      <w:r w:rsidR="00B77AFE" w:rsidRPr="000E51D2">
        <w:rPr>
          <w:sz w:val="20"/>
          <w:szCs w:val="20"/>
          <w:lang w:val="en-US"/>
        </w:rPr>
        <w:t xml:space="preserve">, Wagner, </w:t>
      </w:r>
      <w:proofErr w:type="spellStart"/>
      <w:r w:rsidR="00B77AFE" w:rsidRPr="000E51D2">
        <w:rPr>
          <w:sz w:val="20"/>
          <w:szCs w:val="20"/>
          <w:lang w:val="en-US"/>
        </w:rPr>
        <w:t>Gascon</w:t>
      </w:r>
      <w:proofErr w:type="spellEnd"/>
      <w:r w:rsidR="00B77AFE" w:rsidRPr="000E51D2">
        <w:rPr>
          <w:sz w:val="20"/>
          <w:szCs w:val="20"/>
          <w:lang w:val="en-US"/>
        </w:rPr>
        <w:t xml:space="preserve"> and Brown JJ.</w:t>
      </w:r>
    </w:p>
    <w:p w:rsidR="0052229C" w:rsidRPr="000E51D2" w:rsidRDefault="0052229C" w:rsidP="0052229C">
      <w:pPr>
        <w:ind w:left="1440" w:hanging="1440"/>
        <w:rPr>
          <w:sz w:val="16"/>
          <w:u w:val="single"/>
          <w:lang w:val="en-US"/>
        </w:rPr>
      </w:pPr>
    </w:p>
    <w:p w:rsidR="00B77AFE" w:rsidRPr="00B77AFE" w:rsidRDefault="00B77AFE" w:rsidP="00B77AFE">
      <w:pPr>
        <w:jc w:val="both"/>
        <w:rPr>
          <w:sz w:val="20"/>
          <w:szCs w:val="20"/>
        </w:rPr>
      </w:pPr>
      <w:r w:rsidRPr="00B77AFE">
        <w:rPr>
          <w:sz w:val="20"/>
          <w:szCs w:val="20"/>
        </w:rPr>
        <w:t xml:space="preserve">The appeal from the judgment of the Court of Appeal for British Columbia (Vancouver), Number CA040943, 2015 BCCA 205, dated May 13, 2015, heard on November 2, 2016, is allowed. The appellant’s convictions are set aside and acquittals entered.  </w:t>
      </w:r>
      <w:proofErr w:type="spellStart"/>
      <w:r w:rsidRPr="00B77AFE">
        <w:rPr>
          <w:sz w:val="20"/>
          <w:szCs w:val="20"/>
        </w:rPr>
        <w:t>Moldaver</w:t>
      </w:r>
      <w:proofErr w:type="spellEnd"/>
      <w:r w:rsidRPr="00B77AFE">
        <w:rPr>
          <w:sz w:val="20"/>
          <w:szCs w:val="20"/>
        </w:rPr>
        <w:t xml:space="preserve"> and </w:t>
      </w:r>
      <w:proofErr w:type="spellStart"/>
      <w:r w:rsidRPr="00B77AFE">
        <w:rPr>
          <w:sz w:val="20"/>
          <w:szCs w:val="20"/>
        </w:rPr>
        <w:t>Gascon</w:t>
      </w:r>
      <w:proofErr w:type="spellEnd"/>
      <w:r w:rsidRPr="00B77AFE">
        <w:rPr>
          <w:sz w:val="20"/>
          <w:szCs w:val="20"/>
        </w:rPr>
        <w:t xml:space="preserve"> JJ. </w:t>
      </w:r>
      <w:proofErr w:type="gramStart"/>
      <w:r w:rsidRPr="00B77AFE">
        <w:rPr>
          <w:sz w:val="20"/>
          <w:szCs w:val="20"/>
        </w:rPr>
        <w:t>dissent</w:t>
      </w:r>
      <w:proofErr w:type="gramEnd"/>
      <w:r w:rsidRPr="00B77AFE">
        <w:rPr>
          <w:sz w:val="20"/>
          <w:szCs w:val="20"/>
        </w:rPr>
        <w:t xml:space="preserve">.  </w:t>
      </w:r>
    </w:p>
    <w:p w:rsidR="0052229C" w:rsidRPr="00B77AFE" w:rsidRDefault="0052229C" w:rsidP="0052229C">
      <w:pPr>
        <w:jc w:val="both"/>
        <w:rPr>
          <w:rFonts w:eastAsia="Calibri"/>
          <w:sz w:val="20"/>
        </w:rPr>
      </w:pPr>
    </w:p>
    <w:p w:rsidR="00B77AFE" w:rsidRPr="007B7D78" w:rsidRDefault="00B77AFE" w:rsidP="00B77AFE">
      <w:pPr>
        <w:jc w:val="both"/>
        <w:rPr>
          <w:sz w:val="20"/>
          <w:szCs w:val="20"/>
          <w:lang w:val="fr-CA"/>
        </w:rPr>
      </w:pPr>
      <w:r w:rsidRPr="00B77AFE">
        <w:rPr>
          <w:sz w:val="20"/>
          <w:szCs w:val="20"/>
          <w:lang w:val="fr-CA"/>
        </w:rPr>
        <w:t xml:space="preserve">L’appel interjeté contre l’arrêt de la Cour d’appel de la Colombie-Britannique (Vancouver), numéro CA040943, 2015 BCCA 205, daté du 13 mai 2015, entendu le 2 novembre 2016, est accueilli.  Les déclarations de culpabilité de l’appelant sont annulées et des acquittements sont inscrits.  Les juges </w:t>
      </w:r>
      <w:proofErr w:type="spellStart"/>
      <w:r w:rsidRPr="00B77AFE">
        <w:rPr>
          <w:sz w:val="20"/>
          <w:szCs w:val="20"/>
          <w:lang w:val="fr-CA"/>
        </w:rPr>
        <w:t>Moldaver</w:t>
      </w:r>
      <w:proofErr w:type="spellEnd"/>
      <w:r w:rsidRPr="00B77AFE">
        <w:rPr>
          <w:sz w:val="20"/>
          <w:szCs w:val="20"/>
          <w:lang w:val="fr-CA"/>
        </w:rPr>
        <w:t xml:space="preserve"> et Gascon sont dissidents.</w:t>
      </w:r>
    </w:p>
    <w:p w:rsidR="0052229C" w:rsidRDefault="0052229C" w:rsidP="0052229C">
      <w:pPr>
        <w:rPr>
          <w:sz w:val="20"/>
          <w:szCs w:val="20"/>
        </w:rPr>
      </w:pPr>
    </w:p>
    <w:p w:rsidR="0052229C" w:rsidRPr="003B3977" w:rsidRDefault="00E7387C" w:rsidP="0052229C">
      <w:pPr>
        <w:spacing w:line="0" w:lineRule="atLeast"/>
        <w:rPr>
          <w:sz w:val="20"/>
          <w:szCs w:val="20"/>
        </w:rPr>
      </w:pPr>
      <w:r>
        <w:rPr>
          <w:b/>
          <w:sz w:val="20"/>
          <w:szCs w:val="20"/>
        </w:rPr>
        <w:pict>
          <v:rect id="_x0000_i1060"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0E51D2" w:rsidRPr="000E51D2" w:rsidRDefault="000E51D2" w:rsidP="000E51D2">
      <w:pPr>
        <w:jc w:val="both"/>
        <w:rPr>
          <w:rFonts w:eastAsia="Calibri" w:cs="Times New Roman"/>
          <w:sz w:val="20"/>
          <w:szCs w:val="20"/>
          <w:lang w:val="en-US"/>
        </w:rPr>
      </w:pPr>
      <w:r w:rsidRPr="000E51D2">
        <w:rPr>
          <w:rFonts w:eastAsia="Calibri" w:cs="Times New Roman"/>
          <w:i/>
          <w:iCs/>
          <w:sz w:val="20"/>
          <w:szCs w:val="20"/>
          <w:lang w:val="en-US"/>
        </w:rPr>
        <w:t xml:space="preserve">Brendan Paterson v. Her Majesty the Queen </w:t>
      </w:r>
      <w:r w:rsidRPr="000E51D2">
        <w:rPr>
          <w:rFonts w:eastAsia="Calibri" w:cs="Times New Roman"/>
          <w:sz w:val="20"/>
          <w:szCs w:val="20"/>
          <w:lang w:val="en-US"/>
        </w:rPr>
        <w:t>(B.C.) (</w:t>
      </w:r>
      <w:hyperlink r:id="rId57" w:history="1">
        <w:r w:rsidRPr="000E51D2">
          <w:rPr>
            <w:rFonts w:eastAsia="Calibri" w:cs="Times New Roman"/>
            <w:color w:val="0563C1"/>
            <w:sz w:val="20"/>
            <w:szCs w:val="20"/>
            <w:u w:val="single"/>
            <w:lang w:val="en-US"/>
          </w:rPr>
          <w:t>36472</w:t>
        </w:r>
      </w:hyperlink>
      <w:r w:rsidRPr="000E51D2">
        <w:rPr>
          <w:rFonts w:eastAsia="Calibri" w:cs="Times New Roman"/>
          <w:sz w:val="20"/>
          <w:szCs w:val="20"/>
          <w:lang w:val="en-US"/>
        </w:rPr>
        <w:t>)</w:t>
      </w:r>
    </w:p>
    <w:p w:rsidR="0052229C" w:rsidRPr="000E51D2" w:rsidRDefault="0052229C" w:rsidP="0052229C">
      <w:pPr>
        <w:jc w:val="both"/>
        <w:rPr>
          <w:b/>
          <w:sz w:val="20"/>
          <w:szCs w:val="20"/>
          <w:lang w:val="en-US"/>
        </w:rPr>
      </w:pPr>
      <w:r w:rsidRPr="000E51D2">
        <w:rPr>
          <w:b/>
          <w:sz w:val="20"/>
          <w:szCs w:val="20"/>
          <w:lang w:val="en-US"/>
        </w:rPr>
        <w:t xml:space="preserve">Indexed as:  </w:t>
      </w:r>
      <w:r w:rsidR="000E51D2" w:rsidRPr="000E51D2">
        <w:rPr>
          <w:b/>
          <w:sz w:val="20"/>
          <w:szCs w:val="20"/>
        </w:rPr>
        <w:t xml:space="preserve">Indexed as: R. </w:t>
      </w:r>
      <w:r w:rsidR="000E51D2" w:rsidRPr="000E51D2">
        <w:rPr>
          <w:b/>
          <w:i/>
          <w:sz w:val="20"/>
          <w:szCs w:val="20"/>
        </w:rPr>
        <w:t>v.</w:t>
      </w:r>
      <w:r w:rsidR="000E51D2" w:rsidRPr="000E51D2">
        <w:rPr>
          <w:b/>
          <w:sz w:val="20"/>
          <w:szCs w:val="20"/>
        </w:rPr>
        <w:t xml:space="preserve"> </w:t>
      </w:r>
      <w:r w:rsidR="000E51D2" w:rsidRPr="000E51D2">
        <w:rPr>
          <w:rStyle w:val="SCCAppellantForIndexChar"/>
          <w:rFonts w:eastAsiaTheme="minorHAnsi"/>
          <w:sz w:val="20"/>
          <w:lang w:val="en-US"/>
        </w:rPr>
        <w:t xml:space="preserve">Paterson </w:t>
      </w:r>
      <w:r w:rsidRPr="000E51D2">
        <w:rPr>
          <w:rStyle w:val="SCCRespondentForIndexChar"/>
          <w:rFonts w:eastAsiaTheme="minorHAnsi"/>
          <w:sz w:val="20"/>
          <w:lang w:val="en-US"/>
        </w:rPr>
        <w:t xml:space="preserve">/ </w:t>
      </w:r>
      <w:proofErr w:type="spellStart"/>
      <w:proofErr w:type="gramStart"/>
      <w:r w:rsidRPr="000E51D2">
        <w:rPr>
          <w:b/>
          <w:sz w:val="20"/>
          <w:szCs w:val="20"/>
          <w:lang w:val="en-US"/>
        </w:rPr>
        <w:t>Répertorié</w:t>
      </w:r>
      <w:proofErr w:type="spellEnd"/>
      <w:r w:rsidRPr="000E51D2">
        <w:rPr>
          <w:b/>
          <w:sz w:val="20"/>
          <w:szCs w:val="20"/>
          <w:lang w:val="en-US"/>
        </w:rPr>
        <w:t> :</w:t>
      </w:r>
      <w:proofErr w:type="gramEnd"/>
      <w:r w:rsidRPr="000E51D2">
        <w:rPr>
          <w:b/>
          <w:sz w:val="20"/>
          <w:szCs w:val="20"/>
          <w:lang w:val="en-US"/>
        </w:rPr>
        <w:t> </w:t>
      </w:r>
      <w:r w:rsidR="000E51D2" w:rsidRPr="000E51D2">
        <w:rPr>
          <w:b/>
          <w:sz w:val="20"/>
          <w:szCs w:val="20"/>
          <w:lang w:val="en-US"/>
        </w:rPr>
        <w:t xml:space="preserve">R. </w:t>
      </w:r>
      <w:r w:rsidR="000E51D2" w:rsidRPr="000E51D2">
        <w:rPr>
          <w:b/>
          <w:i/>
          <w:sz w:val="20"/>
          <w:szCs w:val="20"/>
          <w:lang w:val="en-US"/>
        </w:rPr>
        <w:t>c.</w:t>
      </w:r>
      <w:r w:rsidR="000E51D2" w:rsidRPr="000E51D2">
        <w:rPr>
          <w:b/>
          <w:sz w:val="20"/>
          <w:szCs w:val="20"/>
          <w:lang w:val="en-US"/>
        </w:rPr>
        <w:t xml:space="preserve"> </w:t>
      </w:r>
      <w:r w:rsidR="000E51D2" w:rsidRPr="000E51D2">
        <w:rPr>
          <w:rStyle w:val="SCCAppellantForIndexChar"/>
          <w:rFonts w:eastAsiaTheme="minorHAnsi"/>
          <w:sz w:val="20"/>
          <w:lang w:val="en-US"/>
        </w:rPr>
        <w:t>Paterson</w:t>
      </w:r>
    </w:p>
    <w:p w:rsidR="0052229C" w:rsidRPr="000E51D2" w:rsidRDefault="0052229C" w:rsidP="0052229C">
      <w:pPr>
        <w:pStyle w:val="SCCSystemYear"/>
        <w:jc w:val="both"/>
        <w:rPr>
          <w:sz w:val="20"/>
        </w:rPr>
      </w:pPr>
      <w:proofErr w:type="spellStart"/>
      <w:r w:rsidRPr="000E51D2">
        <w:rPr>
          <w:sz w:val="20"/>
        </w:rPr>
        <w:t>Neutral</w:t>
      </w:r>
      <w:proofErr w:type="spellEnd"/>
      <w:r w:rsidRPr="000E51D2">
        <w:rPr>
          <w:sz w:val="20"/>
        </w:rPr>
        <w:t xml:space="preserve"> citation</w:t>
      </w:r>
      <w:proofErr w:type="gramStart"/>
      <w:r w:rsidRPr="000E51D2">
        <w:rPr>
          <w:sz w:val="20"/>
        </w:rPr>
        <w:t xml:space="preserve">:  </w:t>
      </w:r>
      <w:r w:rsidR="0030050B" w:rsidRPr="000E51D2">
        <w:rPr>
          <w:sz w:val="20"/>
        </w:rPr>
        <w:t>201</w:t>
      </w:r>
      <w:r w:rsidR="0056248C" w:rsidRPr="000E51D2">
        <w:rPr>
          <w:sz w:val="20"/>
        </w:rPr>
        <w:t>7</w:t>
      </w:r>
      <w:proofErr w:type="gramEnd"/>
      <w:r w:rsidRPr="000E51D2">
        <w:rPr>
          <w:sz w:val="20"/>
        </w:rPr>
        <w:t xml:space="preserve"> SCC 1</w:t>
      </w:r>
      <w:r w:rsidR="000E51D2" w:rsidRPr="000E51D2">
        <w:rPr>
          <w:sz w:val="20"/>
        </w:rPr>
        <w:t>5</w:t>
      </w:r>
      <w:r w:rsidRPr="000E51D2">
        <w:rPr>
          <w:sz w:val="20"/>
        </w:rPr>
        <w:t xml:space="preserve"> / Référence neutre : </w:t>
      </w:r>
      <w:r w:rsidR="0030050B" w:rsidRPr="000E51D2">
        <w:rPr>
          <w:sz w:val="20"/>
        </w:rPr>
        <w:t>201</w:t>
      </w:r>
      <w:r w:rsidR="0056248C" w:rsidRPr="000E51D2">
        <w:rPr>
          <w:sz w:val="20"/>
        </w:rPr>
        <w:t>7</w:t>
      </w:r>
      <w:r w:rsidRPr="000E51D2">
        <w:rPr>
          <w:sz w:val="20"/>
        </w:rPr>
        <w:t xml:space="preserve"> CSC 1</w:t>
      </w:r>
      <w:r w:rsidR="000E51D2" w:rsidRPr="000E51D2">
        <w:rPr>
          <w:sz w:val="20"/>
        </w:rPr>
        <w:t>5</w:t>
      </w:r>
    </w:p>
    <w:p w:rsidR="0052229C" w:rsidRPr="000E51D2" w:rsidRDefault="0052229C" w:rsidP="0052229C">
      <w:pPr>
        <w:rPr>
          <w:rFonts w:cs="Times New Roman"/>
          <w:sz w:val="20"/>
          <w:szCs w:val="20"/>
          <w:lang w:val="fr-CA"/>
        </w:rPr>
      </w:pPr>
      <w:proofErr w:type="spellStart"/>
      <w:r w:rsidRPr="000E51D2">
        <w:rPr>
          <w:rFonts w:cs="Times New Roman"/>
          <w:sz w:val="20"/>
          <w:szCs w:val="20"/>
          <w:lang w:val="fr-CA"/>
        </w:rPr>
        <w:t>Hearing</w:t>
      </w:r>
      <w:proofErr w:type="spellEnd"/>
      <w:proofErr w:type="gramStart"/>
      <w:r w:rsidRPr="000E51D2">
        <w:rPr>
          <w:rFonts w:cs="Times New Roman"/>
          <w:sz w:val="20"/>
          <w:szCs w:val="20"/>
          <w:lang w:val="fr-CA"/>
        </w:rPr>
        <w:t xml:space="preserve">:  </w:t>
      </w:r>
      <w:proofErr w:type="spellStart"/>
      <w:r w:rsidR="000E51D2" w:rsidRPr="000E51D2">
        <w:rPr>
          <w:rFonts w:cs="Times New Roman"/>
          <w:sz w:val="20"/>
          <w:szCs w:val="20"/>
          <w:lang w:val="fr-CA"/>
        </w:rPr>
        <w:t>November</w:t>
      </w:r>
      <w:proofErr w:type="spellEnd"/>
      <w:proofErr w:type="gramEnd"/>
      <w:r w:rsidR="000E51D2" w:rsidRPr="000E51D2">
        <w:rPr>
          <w:rFonts w:cs="Times New Roman"/>
          <w:sz w:val="20"/>
          <w:szCs w:val="20"/>
          <w:lang w:val="fr-CA"/>
        </w:rPr>
        <w:t xml:space="preserve"> 2</w:t>
      </w:r>
      <w:r w:rsidRPr="000E51D2">
        <w:rPr>
          <w:rFonts w:cs="Times New Roman"/>
          <w:sz w:val="20"/>
          <w:szCs w:val="20"/>
          <w:lang w:val="fr-CA"/>
        </w:rPr>
        <w:t>, 201</w:t>
      </w:r>
      <w:r w:rsidR="0056248C" w:rsidRPr="000E51D2">
        <w:rPr>
          <w:rFonts w:cs="Times New Roman"/>
          <w:sz w:val="20"/>
          <w:szCs w:val="20"/>
          <w:lang w:val="fr-CA"/>
        </w:rPr>
        <w:t>6</w:t>
      </w:r>
      <w:r w:rsidRPr="000E51D2">
        <w:rPr>
          <w:rFonts w:cs="Times New Roman"/>
          <w:sz w:val="20"/>
          <w:szCs w:val="20"/>
          <w:lang w:val="fr-CA"/>
        </w:rPr>
        <w:t xml:space="preserve"> / </w:t>
      </w:r>
      <w:proofErr w:type="spellStart"/>
      <w:r w:rsidRPr="000E51D2">
        <w:rPr>
          <w:rFonts w:cs="Times New Roman"/>
          <w:sz w:val="20"/>
          <w:szCs w:val="20"/>
          <w:lang w:val="fr-CA"/>
        </w:rPr>
        <w:t>Judgment</w:t>
      </w:r>
      <w:proofErr w:type="spellEnd"/>
      <w:r w:rsidRPr="000E51D2">
        <w:rPr>
          <w:rFonts w:cs="Times New Roman"/>
          <w:sz w:val="20"/>
          <w:szCs w:val="20"/>
          <w:lang w:val="fr-CA"/>
        </w:rPr>
        <w:t xml:space="preserve">:  </w:t>
      </w:r>
      <w:r w:rsidR="000E51D2" w:rsidRPr="000E51D2">
        <w:rPr>
          <w:rFonts w:cs="Times New Roman"/>
          <w:sz w:val="20"/>
          <w:szCs w:val="20"/>
          <w:lang w:val="fr-CA"/>
        </w:rPr>
        <w:t>March 17</w:t>
      </w:r>
      <w:r w:rsidRPr="000E51D2">
        <w:rPr>
          <w:rFonts w:cs="Times New Roman"/>
          <w:sz w:val="20"/>
          <w:szCs w:val="20"/>
          <w:lang w:val="fr-CA"/>
        </w:rPr>
        <w:t xml:space="preserve">, </w:t>
      </w:r>
      <w:r w:rsidR="0056248C" w:rsidRPr="000E51D2">
        <w:rPr>
          <w:rFonts w:cs="Times New Roman"/>
          <w:sz w:val="20"/>
          <w:szCs w:val="20"/>
          <w:lang w:val="fr-CA"/>
        </w:rPr>
        <w:t>2017</w:t>
      </w:r>
    </w:p>
    <w:p w:rsidR="0052229C" w:rsidRPr="003B3977" w:rsidRDefault="0052229C" w:rsidP="0052229C">
      <w:pPr>
        <w:rPr>
          <w:rFonts w:cs="Times New Roman"/>
          <w:sz w:val="20"/>
          <w:szCs w:val="20"/>
          <w:lang w:val="fr-CA"/>
        </w:rPr>
      </w:pPr>
      <w:r w:rsidRPr="000E51D2">
        <w:rPr>
          <w:rFonts w:cs="Times New Roman"/>
          <w:sz w:val="20"/>
          <w:szCs w:val="20"/>
          <w:lang w:val="fr-CA"/>
        </w:rPr>
        <w:t xml:space="preserve">Audition : Le </w:t>
      </w:r>
      <w:r w:rsidR="000E51D2" w:rsidRPr="000E51D2">
        <w:rPr>
          <w:rFonts w:cs="Times New Roman"/>
          <w:sz w:val="20"/>
          <w:szCs w:val="20"/>
          <w:lang w:val="fr-CA"/>
        </w:rPr>
        <w:t>2 novembre</w:t>
      </w:r>
      <w:r w:rsidRPr="000E51D2">
        <w:rPr>
          <w:rFonts w:cs="Times New Roman"/>
          <w:sz w:val="20"/>
          <w:szCs w:val="20"/>
          <w:lang w:val="fr-CA"/>
        </w:rPr>
        <w:t xml:space="preserve"> 201</w:t>
      </w:r>
      <w:r w:rsidR="0056248C" w:rsidRPr="000E51D2">
        <w:rPr>
          <w:rFonts w:cs="Times New Roman"/>
          <w:sz w:val="20"/>
          <w:szCs w:val="20"/>
          <w:lang w:val="fr-CA"/>
        </w:rPr>
        <w:t>6</w:t>
      </w:r>
      <w:r w:rsidRPr="000E51D2">
        <w:rPr>
          <w:rFonts w:cs="Times New Roman"/>
          <w:sz w:val="20"/>
          <w:szCs w:val="20"/>
          <w:lang w:val="fr-CA"/>
        </w:rPr>
        <w:t xml:space="preserve"> / Jugement : Le </w:t>
      </w:r>
      <w:r w:rsidR="000E51D2" w:rsidRPr="000E51D2">
        <w:rPr>
          <w:rFonts w:cs="Times New Roman"/>
          <w:sz w:val="20"/>
          <w:szCs w:val="20"/>
          <w:lang w:val="fr-CA"/>
        </w:rPr>
        <w:t>17 mars</w:t>
      </w:r>
      <w:r w:rsidRPr="000E51D2">
        <w:rPr>
          <w:rFonts w:cs="Times New Roman"/>
          <w:sz w:val="20"/>
          <w:szCs w:val="20"/>
          <w:lang w:val="fr-CA"/>
        </w:rPr>
        <w:t xml:space="preserve"> </w:t>
      </w:r>
      <w:r w:rsidR="0030050B" w:rsidRPr="000E51D2">
        <w:rPr>
          <w:rFonts w:cs="Times New Roman"/>
          <w:sz w:val="20"/>
          <w:szCs w:val="20"/>
          <w:lang w:val="fr-CA"/>
        </w:rPr>
        <w:t>201</w:t>
      </w:r>
      <w:r w:rsidR="0056248C" w:rsidRPr="000E51D2">
        <w:rPr>
          <w:rFonts w:cs="Times New Roman"/>
          <w:sz w:val="20"/>
          <w:szCs w:val="20"/>
          <w:lang w:val="fr-CA"/>
        </w:rPr>
        <w:t>7</w:t>
      </w:r>
    </w:p>
    <w:p w:rsidR="005C6840" w:rsidRPr="003B3977" w:rsidRDefault="00E7387C" w:rsidP="005C6840">
      <w:pPr>
        <w:rPr>
          <w:rFonts w:cs="Times New Roman"/>
          <w:sz w:val="20"/>
          <w:szCs w:val="20"/>
          <w:lang w:val="fr-CA"/>
        </w:rPr>
      </w:pPr>
      <w:r>
        <w:rPr>
          <w:rFonts w:cs="Times New Roman"/>
          <w:i/>
          <w:sz w:val="20"/>
          <w:szCs w:val="20"/>
        </w:rPr>
        <w:pict>
          <v:rect id="_x0000_i1063"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0E51D2" w:rsidRPr="009C668F" w:rsidRDefault="000E51D2" w:rsidP="000E51D2">
      <w:pPr>
        <w:jc w:val="both"/>
        <w:rPr>
          <w:sz w:val="20"/>
          <w:szCs w:val="20"/>
        </w:rPr>
      </w:pPr>
      <w:r w:rsidRPr="009C668F">
        <w:rPr>
          <w:sz w:val="20"/>
          <w:szCs w:val="20"/>
        </w:rPr>
        <w:t xml:space="preserve">Present: </w:t>
      </w:r>
      <w:proofErr w:type="spellStart"/>
      <w:r w:rsidRPr="009C668F">
        <w:rPr>
          <w:sz w:val="20"/>
          <w:szCs w:val="20"/>
        </w:rPr>
        <w:t>McLachlin</w:t>
      </w:r>
      <w:proofErr w:type="spellEnd"/>
      <w:r w:rsidRPr="009C668F">
        <w:rPr>
          <w:sz w:val="20"/>
          <w:szCs w:val="20"/>
        </w:rPr>
        <w:t xml:space="preserve"> C.J. and </w:t>
      </w:r>
      <w:proofErr w:type="spellStart"/>
      <w:r w:rsidRPr="009C668F">
        <w:rPr>
          <w:sz w:val="20"/>
          <w:szCs w:val="20"/>
        </w:rPr>
        <w:t>Abella</w:t>
      </w:r>
      <w:proofErr w:type="spellEnd"/>
      <w:r w:rsidRPr="009C668F">
        <w:rPr>
          <w:sz w:val="20"/>
          <w:szCs w:val="20"/>
        </w:rPr>
        <w:t xml:space="preserve">, </w:t>
      </w:r>
      <w:proofErr w:type="spellStart"/>
      <w:r w:rsidRPr="009C668F">
        <w:rPr>
          <w:sz w:val="20"/>
          <w:szCs w:val="20"/>
        </w:rPr>
        <w:t>Moldaver</w:t>
      </w:r>
      <w:proofErr w:type="spellEnd"/>
      <w:r w:rsidRPr="009C668F">
        <w:rPr>
          <w:sz w:val="20"/>
          <w:szCs w:val="20"/>
        </w:rPr>
        <w:t xml:space="preserve">, </w:t>
      </w:r>
      <w:proofErr w:type="spellStart"/>
      <w:r w:rsidRPr="009C668F">
        <w:rPr>
          <w:sz w:val="20"/>
          <w:szCs w:val="20"/>
        </w:rPr>
        <w:t>Karakatsanis</w:t>
      </w:r>
      <w:proofErr w:type="spellEnd"/>
      <w:r w:rsidRPr="009C668F">
        <w:rPr>
          <w:sz w:val="20"/>
          <w:szCs w:val="20"/>
        </w:rPr>
        <w:t xml:space="preserve">, Wagner, </w:t>
      </w:r>
      <w:proofErr w:type="spellStart"/>
      <w:r w:rsidRPr="009C668F">
        <w:rPr>
          <w:sz w:val="20"/>
          <w:szCs w:val="20"/>
        </w:rPr>
        <w:t>Gascon</w:t>
      </w:r>
      <w:proofErr w:type="spellEnd"/>
      <w:r w:rsidRPr="009C668F">
        <w:rPr>
          <w:sz w:val="20"/>
          <w:szCs w:val="20"/>
        </w:rPr>
        <w:t xml:space="preserve"> and Brown JJ.</w:t>
      </w:r>
    </w:p>
    <w:p w:rsidR="000E51D2" w:rsidRPr="009C668F" w:rsidRDefault="000E51D2" w:rsidP="000E51D2">
      <w:pPr>
        <w:pStyle w:val="SCCLowerCourtNameLowercase"/>
        <w:spacing w:line="240" w:lineRule="auto"/>
        <w:rPr>
          <w:sz w:val="20"/>
        </w:rPr>
      </w:pPr>
      <w:r>
        <w:rPr>
          <w:sz w:val="20"/>
        </w:rPr>
        <w:t>&lt;</w:t>
      </w:r>
    </w:p>
    <w:p w:rsidR="000E51D2" w:rsidRDefault="000E51D2" w:rsidP="000E51D2">
      <w:pPr>
        <w:pStyle w:val="SCCNormalDoubleSpacing"/>
        <w:spacing w:line="240" w:lineRule="auto"/>
        <w:rPr>
          <w:i/>
          <w:sz w:val="20"/>
        </w:rPr>
      </w:pPr>
      <w:r w:rsidRPr="009C668F">
        <w:rPr>
          <w:sz w:val="20"/>
        </w:rPr>
        <w:tab/>
      </w:r>
      <w:r w:rsidRPr="009C668F">
        <w:rPr>
          <w:i/>
          <w:sz w:val="20"/>
        </w:rPr>
        <w:t>Constitutional law — Charter of Rights — Search and seizure — Exclusion of evidence — Accused admitting to police to having marihuana in his residence — Accused allowing police to seize roaches after being told this would be “no case” seizure — Warrantless entry by police into residence resulting in police seeing other drugs and weapon and arresting accused — Whether “exigent circumstances”, within meaning of s. 11(7) of Controlled Drugs and Substances Act, made it “impracticable” to obtain warrant before entering and searching residence — Whether accused’s Charter right to be secure against unreasonable search or seizure infringed — If so, whether evidence obtained from warrantless entry and search of residence should be excluded — Controlled Drugs and Substances Act, S.C. 1996, c. 19, s. 11(7) — Canadian Charter of Rights and Freedoms, ss. 8, 24(2).</w:t>
      </w:r>
    </w:p>
    <w:p w:rsidR="000E51D2" w:rsidRPr="009C668F" w:rsidRDefault="000E51D2" w:rsidP="000E51D2">
      <w:pPr>
        <w:pStyle w:val="SCCNormalDoubleSpacing"/>
        <w:spacing w:line="240" w:lineRule="auto"/>
        <w:rPr>
          <w:i/>
          <w:sz w:val="20"/>
        </w:rPr>
      </w:pPr>
    </w:p>
    <w:p w:rsidR="000E51D2" w:rsidRDefault="000E51D2" w:rsidP="000E51D2">
      <w:pPr>
        <w:pStyle w:val="SCCNormalDoubleSpacing"/>
        <w:spacing w:line="240" w:lineRule="auto"/>
        <w:rPr>
          <w:i/>
          <w:sz w:val="20"/>
        </w:rPr>
      </w:pPr>
      <w:r w:rsidRPr="009C668F">
        <w:rPr>
          <w:i/>
          <w:sz w:val="20"/>
        </w:rPr>
        <w:tab/>
        <w:t xml:space="preserve">Criminal law — Evidence — Admissibility — </w:t>
      </w:r>
      <w:proofErr w:type="spellStart"/>
      <w:r w:rsidRPr="009C668F">
        <w:rPr>
          <w:i/>
          <w:sz w:val="20"/>
        </w:rPr>
        <w:t>Voir</w:t>
      </w:r>
      <w:proofErr w:type="spellEnd"/>
      <w:r w:rsidRPr="009C668F">
        <w:rPr>
          <w:i/>
          <w:sz w:val="20"/>
        </w:rPr>
        <w:t xml:space="preserve"> dire — Accused admitting to police to having marihuana in his residence — Whether Crown required to prove voluntariness of accused’s statement prior to its admission at </w:t>
      </w:r>
      <w:proofErr w:type="spellStart"/>
      <w:r w:rsidRPr="009C668F">
        <w:rPr>
          <w:i/>
          <w:sz w:val="20"/>
        </w:rPr>
        <w:t>voir</w:t>
      </w:r>
      <w:proofErr w:type="spellEnd"/>
      <w:r w:rsidRPr="009C668F">
        <w:rPr>
          <w:i/>
          <w:sz w:val="20"/>
        </w:rPr>
        <w:t xml:space="preserve"> dire considering lawfulness of entry and search of accused’s residence — Whether common law confessions rule should apply to statements tendered in context of </w:t>
      </w:r>
      <w:proofErr w:type="spellStart"/>
      <w:r w:rsidRPr="009C668F">
        <w:rPr>
          <w:i/>
          <w:sz w:val="20"/>
        </w:rPr>
        <w:t>voir</w:t>
      </w:r>
      <w:proofErr w:type="spellEnd"/>
      <w:r w:rsidRPr="009C668F">
        <w:rPr>
          <w:i/>
          <w:sz w:val="20"/>
        </w:rPr>
        <w:t xml:space="preserve"> dire under Charter.</w:t>
      </w:r>
    </w:p>
    <w:p w:rsidR="000E51D2" w:rsidRPr="009C668F" w:rsidRDefault="000E51D2" w:rsidP="000E51D2">
      <w:pPr>
        <w:pStyle w:val="SCCNormalDoubleSpacing"/>
        <w:spacing w:line="240" w:lineRule="auto"/>
        <w:rPr>
          <w:i/>
          <w:sz w:val="20"/>
        </w:rPr>
      </w:pPr>
    </w:p>
    <w:p w:rsidR="000E51D2" w:rsidRDefault="000E51D2" w:rsidP="000E51D2">
      <w:pPr>
        <w:pStyle w:val="SCCNormalDoubleSpacing"/>
        <w:spacing w:line="240" w:lineRule="auto"/>
        <w:rPr>
          <w:sz w:val="20"/>
        </w:rPr>
      </w:pPr>
      <w:r w:rsidRPr="009C668F">
        <w:rPr>
          <w:i/>
          <w:sz w:val="20"/>
        </w:rPr>
        <w:tab/>
      </w:r>
      <w:r w:rsidRPr="009C668F">
        <w:rPr>
          <w:sz w:val="20"/>
        </w:rPr>
        <w:t xml:space="preserve">This case arises from a warrantless entry by police officers into the apartment of the accused, P, which followed his agreement to surrender several marihuana roaches. The police told P they would treat this as a “no case” seizure, meaning that they intended to seize the roaches without charging him. Once inside, the police observed a bulletproof vest, a firearm and drugs. They arrested P and obtained a </w:t>
      </w:r>
      <w:proofErr w:type="spellStart"/>
      <w:r w:rsidRPr="009C668F">
        <w:rPr>
          <w:sz w:val="20"/>
        </w:rPr>
        <w:t>telewarrant</w:t>
      </w:r>
      <w:proofErr w:type="spellEnd"/>
      <w:r w:rsidRPr="009C668F">
        <w:rPr>
          <w:sz w:val="20"/>
        </w:rPr>
        <w:t xml:space="preserve"> to search his apartment, which led to the discovery of other firearms and drugs and to charges against P. P was convicted at trial and the Court of Appeal of British Columbia upheld the convictions. The Court of Appeal rejected P’s argument that the common law confessions rule should have precluded the admission of his statement about the roaches at the </w:t>
      </w:r>
      <w:proofErr w:type="spellStart"/>
      <w:r w:rsidRPr="009C668F">
        <w:rPr>
          <w:i/>
          <w:sz w:val="20"/>
        </w:rPr>
        <w:t>voir</w:t>
      </w:r>
      <w:proofErr w:type="spellEnd"/>
      <w:r w:rsidRPr="009C668F">
        <w:rPr>
          <w:i/>
          <w:sz w:val="20"/>
        </w:rPr>
        <w:t xml:space="preserve"> dire</w:t>
      </w:r>
      <w:r w:rsidRPr="009C668F">
        <w:rPr>
          <w:sz w:val="20"/>
        </w:rPr>
        <w:t xml:space="preserve">, as the Crown did not prove beyond a reasonable doubt that his statement was voluntarily made. </w:t>
      </w:r>
    </w:p>
    <w:p w:rsidR="000E51D2" w:rsidRPr="009C668F" w:rsidRDefault="000E51D2" w:rsidP="000E51D2">
      <w:pPr>
        <w:pStyle w:val="SCCNormalDoubleSpacing"/>
        <w:spacing w:line="240" w:lineRule="auto"/>
        <w:rPr>
          <w:sz w:val="20"/>
        </w:rPr>
      </w:pPr>
    </w:p>
    <w:p w:rsidR="000E51D2" w:rsidRDefault="000E51D2" w:rsidP="000E51D2">
      <w:pPr>
        <w:pStyle w:val="SCCNormalDoubleSpacing"/>
        <w:spacing w:line="240" w:lineRule="auto"/>
        <w:rPr>
          <w:sz w:val="20"/>
        </w:rPr>
      </w:pPr>
      <w:r w:rsidRPr="009C668F">
        <w:rPr>
          <w:sz w:val="20"/>
        </w:rPr>
        <w:tab/>
      </w:r>
      <w:r w:rsidRPr="009C668F">
        <w:rPr>
          <w:rStyle w:val="QuoteChar"/>
          <w:sz w:val="20"/>
        </w:rPr>
        <w:t>Held (</w:t>
      </w:r>
      <w:proofErr w:type="spellStart"/>
      <w:r w:rsidRPr="009C668F">
        <w:rPr>
          <w:rStyle w:val="QuoteChar"/>
          <w:sz w:val="20"/>
        </w:rPr>
        <w:t>Moldaver</w:t>
      </w:r>
      <w:proofErr w:type="spellEnd"/>
      <w:r w:rsidRPr="009C668F">
        <w:rPr>
          <w:rStyle w:val="QuoteChar"/>
          <w:sz w:val="20"/>
        </w:rPr>
        <w:t xml:space="preserve"> and </w:t>
      </w:r>
      <w:proofErr w:type="spellStart"/>
      <w:r w:rsidRPr="009C668F">
        <w:rPr>
          <w:rStyle w:val="QuoteChar"/>
          <w:sz w:val="20"/>
        </w:rPr>
        <w:t>Gascon</w:t>
      </w:r>
      <w:proofErr w:type="spellEnd"/>
      <w:r w:rsidRPr="009C668F">
        <w:rPr>
          <w:rStyle w:val="QuoteChar"/>
          <w:sz w:val="20"/>
        </w:rPr>
        <w:t xml:space="preserve"> dissenting):</w:t>
      </w:r>
      <w:r w:rsidRPr="009C668F">
        <w:rPr>
          <w:sz w:val="20"/>
        </w:rPr>
        <w:t xml:space="preserve"> The appeal should be allowed, the convictions set aside and acquittals entered.</w:t>
      </w:r>
    </w:p>
    <w:p w:rsidR="000E51D2" w:rsidRPr="009C668F" w:rsidRDefault="000E51D2" w:rsidP="000E51D2">
      <w:pPr>
        <w:pStyle w:val="SCCNormalDoubleSpacing"/>
        <w:spacing w:line="240" w:lineRule="auto"/>
        <w:rPr>
          <w:sz w:val="20"/>
        </w:rPr>
      </w:pPr>
    </w:p>
    <w:p w:rsidR="000E51D2" w:rsidRDefault="000E51D2" w:rsidP="000E51D2">
      <w:pPr>
        <w:pStyle w:val="SCCNormalDoubleSpacing"/>
        <w:spacing w:line="240" w:lineRule="auto"/>
        <w:rPr>
          <w:sz w:val="20"/>
        </w:rPr>
      </w:pPr>
      <w:r w:rsidRPr="009C668F">
        <w:rPr>
          <w:i/>
          <w:sz w:val="20"/>
        </w:rPr>
        <w:tab/>
        <w:t>Per</w:t>
      </w:r>
      <w:r w:rsidRPr="009C668F">
        <w:rPr>
          <w:sz w:val="20"/>
        </w:rPr>
        <w:t xml:space="preserve"> </w:t>
      </w:r>
      <w:proofErr w:type="spellStart"/>
      <w:r w:rsidRPr="009C668F">
        <w:rPr>
          <w:sz w:val="20"/>
        </w:rPr>
        <w:t>McLachlin</w:t>
      </w:r>
      <w:proofErr w:type="spellEnd"/>
      <w:r w:rsidRPr="009C668F">
        <w:rPr>
          <w:sz w:val="20"/>
        </w:rPr>
        <w:t xml:space="preserve"> C.J. and </w:t>
      </w:r>
      <w:proofErr w:type="spellStart"/>
      <w:r w:rsidRPr="009C668F">
        <w:rPr>
          <w:sz w:val="20"/>
        </w:rPr>
        <w:t>Abella</w:t>
      </w:r>
      <w:proofErr w:type="spellEnd"/>
      <w:r w:rsidRPr="009C668F">
        <w:rPr>
          <w:sz w:val="20"/>
        </w:rPr>
        <w:t xml:space="preserve">, </w:t>
      </w:r>
      <w:proofErr w:type="spellStart"/>
      <w:r w:rsidRPr="009C668F">
        <w:rPr>
          <w:sz w:val="20"/>
        </w:rPr>
        <w:t>Karakatsanis</w:t>
      </w:r>
      <w:proofErr w:type="spellEnd"/>
      <w:r w:rsidRPr="009C668F">
        <w:rPr>
          <w:sz w:val="20"/>
        </w:rPr>
        <w:t xml:space="preserve">, Wagner and </w:t>
      </w:r>
      <w:r w:rsidRPr="009C668F">
        <w:rPr>
          <w:b/>
          <w:sz w:val="20"/>
        </w:rPr>
        <w:t>Brown</w:t>
      </w:r>
      <w:r w:rsidRPr="009C668F">
        <w:rPr>
          <w:sz w:val="20"/>
        </w:rPr>
        <w:t xml:space="preserve"> JJ.: The confessions rule should not be expanded to apply to statements tendered in the context of a </w:t>
      </w:r>
      <w:proofErr w:type="spellStart"/>
      <w:r w:rsidRPr="009C668F">
        <w:rPr>
          <w:i/>
          <w:sz w:val="20"/>
        </w:rPr>
        <w:t>voir</w:t>
      </w:r>
      <w:proofErr w:type="spellEnd"/>
      <w:r w:rsidRPr="009C668F">
        <w:rPr>
          <w:i/>
          <w:sz w:val="20"/>
        </w:rPr>
        <w:t xml:space="preserve"> dire</w:t>
      </w:r>
      <w:r w:rsidRPr="009C668F">
        <w:rPr>
          <w:sz w:val="20"/>
        </w:rPr>
        <w:t xml:space="preserve"> under the </w:t>
      </w:r>
      <w:r w:rsidRPr="009C668F">
        <w:rPr>
          <w:i/>
          <w:sz w:val="20"/>
        </w:rPr>
        <w:t>Charter</w:t>
      </w:r>
      <w:r w:rsidRPr="009C668F">
        <w:rPr>
          <w:sz w:val="20"/>
        </w:rPr>
        <w:t xml:space="preserve">. The Crown must prove the voluntariness of an accused’s statement before it can rely upon that statement at trial as supporting a finding of guilt. The purpose of the judicial inquiry in a </w:t>
      </w:r>
      <w:r w:rsidRPr="009C668F">
        <w:rPr>
          <w:i/>
          <w:sz w:val="20"/>
        </w:rPr>
        <w:t xml:space="preserve">Charter </w:t>
      </w:r>
      <w:proofErr w:type="spellStart"/>
      <w:r w:rsidRPr="009C668F">
        <w:rPr>
          <w:i/>
          <w:sz w:val="20"/>
        </w:rPr>
        <w:t>voir</w:t>
      </w:r>
      <w:proofErr w:type="spellEnd"/>
      <w:r w:rsidRPr="009C668F">
        <w:rPr>
          <w:i/>
          <w:sz w:val="20"/>
        </w:rPr>
        <w:t xml:space="preserve"> dire </w:t>
      </w:r>
      <w:r w:rsidRPr="009C668F">
        <w:rPr>
          <w:sz w:val="20"/>
        </w:rPr>
        <w:t xml:space="preserve">is distinct from the purpose of a criminal trial. A criminal trial is concerned with determining whether the accused is guilty of an offence. In a </w:t>
      </w:r>
      <w:r w:rsidRPr="009C668F">
        <w:rPr>
          <w:i/>
          <w:sz w:val="20"/>
        </w:rPr>
        <w:t xml:space="preserve">Charter </w:t>
      </w:r>
      <w:proofErr w:type="spellStart"/>
      <w:r w:rsidRPr="009C668F">
        <w:rPr>
          <w:i/>
          <w:sz w:val="20"/>
        </w:rPr>
        <w:t>voir</w:t>
      </w:r>
      <w:proofErr w:type="spellEnd"/>
      <w:r w:rsidRPr="009C668F">
        <w:rPr>
          <w:i/>
          <w:sz w:val="20"/>
        </w:rPr>
        <w:t xml:space="preserve"> dire</w:t>
      </w:r>
      <w:r w:rsidRPr="009C668F">
        <w:rPr>
          <w:sz w:val="20"/>
        </w:rPr>
        <w:t xml:space="preserve">, however, the focus is not on the accused’s guilt, but on whether the accused’s constitutional rights were infringed. A </w:t>
      </w:r>
      <w:r w:rsidRPr="009C668F">
        <w:rPr>
          <w:i/>
          <w:sz w:val="20"/>
        </w:rPr>
        <w:t xml:space="preserve">Charter </w:t>
      </w:r>
      <w:proofErr w:type="spellStart"/>
      <w:r w:rsidRPr="009C668F">
        <w:rPr>
          <w:i/>
          <w:sz w:val="20"/>
        </w:rPr>
        <w:t>voir</w:t>
      </w:r>
      <w:proofErr w:type="spellEnd"/>
      <w:r w:rsidRPr="009C668F">
        <w:rPr>
          <w:i/>
          <w:sz w:val="20"/>
        </w:rPr>
        <w:t xml:space="preserve"> dire</w:t>
      </w:r>
      <w:r w:rsidRPr="009C668F">
        <w:rPr>
          <w:sz w:val="20"/>
        </w:rPr>
        <w:t xml:space="preserve"> therefore</w:t>
      </w:r>
      <w:r w:rsidRPr="009C668F">
        <w:rPr>
          <w:i/>
          <w:sz w:val="20"/>
        </w:rPr>
        <w:t xml:space="preserve"> </w:t>
      </w:r>
      <w:r w:rsidRPr="009C668F">
        <w:rPr>
          <w:sz w:val="20"/>
        </w:rPr>
        <w:t xml:space="preserve">involves a review of the totality of the circumstances known to, and relied upon, by the state actor at the time of the impugned action. Only the state actor’s contemporary state of mind and conduct is at issue, and not the truthfulness of the statement upon which he or she relied. It is for this reason that the truthfulness of a statement has no bearing upon its admissibility; rather, the inquiry is focussed upon whether it was reasonable for the state actor to rely upon the statement as forming grounds for the action under scrutiny. Admitting a statement by an accused for the purpose of assessing the constitutionality of state action, as opposed to the purpose of determining the accused’s guilt, does not engage the rationale for the confessions rule. To apply the confessions rule to evidence presented at a </w:t>
      </w:r>
      <w:r w:rsidRPr="009C668F">
        <w:rPr>
          <w:i/>
          <w:sz w:val="20"/>
        </w:rPr>
        <w:t xml:space="preserve">Charter </w:t>
      </w:r>
      <w:proofErr w:type="spellStart"/>
      <w:r w:rsidRPr="009C668F">
        <w:rPr>
          <w:i/>
          <w:sz w:val="20"/>
        </w:rPr>
        <w:t>voir</w:t>
      </w:r>
      <w:proofErr w:type="spellEnd"/>
      <w:r w:rsidRPr="009C668F">
        <w:rPr>
          <w:i/>
          <w:sz w:val="20"/>
        </w:rPr>
        <w:t xml:space="preserve"> dire</w:t>
      </w:r>
      <w:r w:rsidRPr="009C668F">
        <w:rPr>
          <w:sz w:val="20"/>
        </w:rPr>
        <w:t xml:space="preserve"> would distort both the rule and its rationale. It would stifle police investigations, compromise public safety and needlessly lengthen and complicate </w:t>
      </w:r>
      <w:proofErr w:type="spellStart"/>
      <w:r w:rsidRPr="009C668F">
        <w:rPr>
          <w:i/>
          <w:sz w:val="20"/>
        </w:rPr>
        <w:t>voir</w:t>
      </w:r>
      <w:proofErr w:type="spellEnd"/>
      <w:r w:rsidRPr="009C668F">
        <w:rPr>
          <w:i/>
          <w:sz w:val="20"/>
        </w:rPr>
        <w:t xml:space="preserve"> dire</w:t>
      </w:r>
      <w:r w:rsidRPr="009C668F">
        <w:rPr>
          <w:sz w:val="20"/>
        </w:rPr>
        <w:t xml:space="preserve"> proceedings. </w:t>
      </w:r>
    </w:p>
    <w:p w:rsidR="000E51D2" w:rsidRPr="009C668F" w:rsidRDefault="000E51D2" w:rsidP="000E51D2">
      <w:pPr>
        <w:pStyle w:val="SCCNormalDoubleSpacing"/>
        <w:spacing w:line="240" w:lineRule="auto"/>
        <w:rPr>
          <w:sz w:val="20"/>
        </w:rPr>
      </w:pPr>
    </w:p>
    <w:p w:rsidR="000E51D2" w:rsidRDefault="000E51D2" w:rsidP="000E51D2">
      <w:pPr>
        <w:pStyle w:val="SCCNormalDoubleSpacing"/>
        <w:spacing w:line="240" w:lineRule="auto"/>
        <w:rPr>
          <w:sz w:val="20"/>
        </w:rPr>
      </w:pPr>
      <w:r w:rsidRPr="009C668F">
        <w:rPr>
          <w:rFonts w:eastAsiaTheme="minorEastAsia"/>
          <w:sz w:val="20"/>
          <w:lang w:eastAsia="en-US"/>
        </w:rPr>
        <w:tab/>
        <w:t xml:space="preserve">The </w:t>
      </w:r>
      <w:r w:rsidRPr="009C668F">
        <w:rPr>
          <w:sz w:val="20"/>
        </w:rPr>
        <w:t>warrantless</w:t>
      </w:r>
      <w:r w:rsidRPr="009C668F">
        <w:rPr>
          <w:rFonts w:eastAsiaTheme="minorEastAsia"/>
          <w:sz w:val="20"/>
          <w:lang w:eastAsia="en-US"/>
        </w:rPr>
        <w:t xml:space="preserve"> entry by the police into P’s residence was not justified by “exigent circumstances” making it “impracticable” to obtain a warrant, within the meaning of s. 11(7) of the </w:t>
      </w:r>
      <w:r w:rsidRPr="009C668F">
        <w:rPr>
          <w:i/>
          <w:sz w:val="20"/>
          <w:lang w:val="en-US"/>
        </w:rPr>
        <w:t xml:space="preserve">Controlled Drug and Substances Act </w:t>
      </w:r>
      <w:r w:rsidRPr="009C668F">
        <w:rPr>
          <w:sz w:val="20"/>
          <w:lang w:val="en-US"/>
        </w:rPr>
        <w:t>(“</w:t>
      </w:r>
      <w:r w:rsidRPr="009C668F">
        <w:rPr>
          <w:i/>
          <w:sz w:val="20"/>
          <w:lang w:val="en-US"/>
        </w:rPr>
        <w:t>CDSA</w:t>
      </w:r>
      <w:r w:rsidRPr="009C668F">
        <w:rPr>
          <w:sz w:val="20"/>
          <w:lang w:val="en-US"/>
        </w:rPr>
        <w:t xml:space="preserve">”). </w:t>
      </w:r>
      <w:r w:rsidRPr="009C668F">
        <w:rPr>
          <w:sz w:val="20"/>
          <w:lang w:val="en-US"/>
        </w:rPr>
        <w:lastRenderedPageBreak/>
        <w:t xml:space="preserve">It therefore </w:t>
      </w:r>
      <w:r w:rsidRPr="009C668F">
        <w:rPr>
          <w:rFonts w:eastAsiaTheme="minorEastAsia"/>
          <w:sz w:val="20"/>
          <w:lang w:eastAsia="en-US"/>
        </w:rPr>
        <w:t xml:space="preserve">infringed P’s rights under s. 8 of the </w:t>
      </w:r>
      <w:r w:rsidRPr="009C668F">
        <w:rPr>
          <w:rFonts w:eastAsiaTheme="minorEastAsia"/>
          <w:i/>
          <w:sz w:val="20"/>
          <w:lang w:eastAsia="en-US"/>
        </w:rPr>
        <w:t>Charter</w:t>
      </w:r>
      <w:r w:rsidRPr="009C668F">
        <w:rPr>
          <w:rFonts w:eastAsiaTheme="minorEastAsia"/>
          <w:sz w:val="20"/>
          <w:lang w:eastAsia="en-US"/>
        </w:rPr>
        <w:t xml:space="preserve">. </w:t>
      </w:r>
      <w:r w:rsidRPr="009C668F">
        <w:rPr>
          <w:sz w:val="20"/>
        </w:rPr>
        <w:t xml:space="preserve">“Exigent circumstances” denotes not merely convenience, propitiousness or economy, but rather urgency. Even where exigent circumstances are present, however, they are not, on their own, sufficient to justify a warrantless search of a residence under s. 11(7). Those circumstances must render it “impracticable” to obtain a warrant. In order for a warrantless entry to satisfy s. 11(7), the Crown must show that the entry was compelled by urgency, calling for immediate police action to preserve evidence, officer safety or public safety. Further, this urgency must be shown to have been such that taking the time to obtain a warrant would pose serious risk to those imperatives. </w:t>
      </w:r>
    </w:p>
    <w:p w:rsidR="000E51D2" w:rsidRPr="009C668F" w:rsidRDefault="000E51D2" w:rsidP="000E51D2">
      <w:pPr>
        <w:pStyle w:val="SCCNormalDoubleSpacing"/>
        <w:spacing w:line="240" w:lineRule="auto"/>
        <w:rPr>
          <w:rFonts w:eastAsiaTheme="minorEastAsia"/>
          <w:sz w:val="20"/>
          <w:lang w:eastAsia="en-US"/>
        </w:rPr>
      </w:pPr>
    </w:p>
    <w:p w:rsidR="000E51D2" w:rsidRDefault="000E51D2" w:rsidP="000E51D2">
      <w:pPr>
        <w:pStyle w:val="SCCNormalDoubleSpacing"/>
        <w:spacing w:line="240" w:lineRule="auto"/>
        <w:rPr>
          <w:sz w:val="20"/>
        </w:rPr>
      </w:pPr>
      <w:r w:rsidRPr="009C668F">
        <w:rPr>
          <w:sz w:val="20"/>
        </w:rPr>
        <w:tab/>
        <w:t xml:space="preserve">In this case, no urgency compelled immediate action in order to preserve evidence. Nor, just as importantly, did the circumstances presented by P’s admission to having some partially consumed roaches, coupled with the police officers’ wish to seize them on a no case basis, make it impracticable to obtain a warrant. Section 11(7) is not satisfied by mere inconvenience, but impracticability. Here, the police had a practicable option: to arrest P and obtain a warrant to enter the residence and seize the roaches. If the situation was not serious enough to arrest and apply for a warrant, then it cannot have been serious enough to intrude into a private residence without a warrant. Further, concern for officer safety did not drive the decision to proceed with warrantless entry; rather, warrantless entry gave rise to concern for officer safety. </w:t>
      </w:r>
    </w:p>
    <w:p w:rsidR="000E51D2" w:rsidRPr="009C668F" w:rsidRDefault="000E51D2" w:rsidP="000E51D2">
      <w:pPr>
        <w:pStyle w:val="SCCNormalDoubleSpacing"/>
        <w:spacing w:line="240" w:lineRule="auto"/>
        <w:rPr>
          <w:sz w:val="20"/>
        </w:rPr>
      </w:pPr>
    </w:p>
    <w:p w:rsidR="000E51D2" w:rsidRDefault="000E51D2" w:rsidP="000E51D2">
      <w:pPr>
        <w:pStyle w:val="SCCNormalDoubleSpacing"/>
        <w:spacing w:line="240" w:lineRule="auto"/>
        <w:rPr>
          <w:sz w:val="20"/>
        </w:rPr>
      </w:pPr>
      <w:r w:rsidRPr="009C668F">
        <w:rPr>
          <w:sz w:val="20"/>
        </w:rPr>
        <w:tab/>
        <w:t xml:space="preserve">The evidence obtained as a result of the entry and search of P’s residence should be excluded under s. 24(2) of the </w:t>
      </w:r>
      <w:r w:rsidRPr="009C668F">
        <w:rPr>
          <w:i/>
          <w:sz w:val="20"/>
        </w:rPr>
        <w:t>Charter</w:t>
      </w:r>
      <w:r w:rsidRPr="009C668F">
        <w:rPr>
          <w:sz w:val="20"/>
        </w:rPr>
        <w:t xml:space="preserve"> as its admission would bring the administration of justice into disrepute. </w:t>
      </w:r>
      <w:r w:rsidRPr="009C668F">
        <w:rPr>
          <w:smallCaps/>
          <w:sz w:val="20"/>
        </w:rPr>
        <w:t>T</w:t>
      </w:r>
      <w:r w:rsidRPr="009C668F">
        <w:rPr>
          <w:sz w:val="20"/>
        </w:rPr>
        <w:t xml:space="preserve">he police conduct, while not egregious, represented a serious departure from well-established constitutional norms. These police officers were not operating in unknown legal territory: their intention to effect a seizure on a “no case” basis was legally insignificant, in light of the well-established legal principles governing the authority of police to enter a residence without a warrant. The balancing of the relevant factors — seriousness of state conduct, seriousness of the infringement of </w:t>
      </w:r>
      <w:r w:rsidRPr="009C668F">
        <w:rPr>
          <w:i/>
          <w:sz w:val="20"/>
        </w:rPr>
        <w:t>Charter</w:t>
      </w:r>
      <w:r w:rsidRPr="009C668F">
        <w:rPr>
          <w:sz w:val="20"/>
        </w:rPr>
        <w:t xml:space="preserve"> rights and the impact upon society’s interest in adjudication — will never be an entirely objective exercise. While the effective destruction of the Crown’s case weighs heavily, so does the warrantless entry into a private residence, having occurred to prevent P from destroying three roaches which the police themselves intended to destroy. It is important not to allow the third factor of society’s interest in adjudicating a case on its merits to trump all other considerations, particularly where, as here, the impugned conduct was serious and worked a substantial impact on P’s </w:t>
      </w:r>
      <w:r w:rsidRPr="009C668F">
        <w:rPr>
          <w:i/>
          <w:sz w:val="20"/>
        </w:rPr>
        <w:t>Charter</w:t>
      </w:r>
      <w:r w:rsidRPr="009C668F">
        <w:rPr>
          <w:sz w:val="20"/>
        </w:rPr>
        <w:t xml:space="preserve"> right. Considering all these factors separately and together, the importance of ensuring that such conduct is not condoned by the court favours exclusion.</w:t>
      </w:r>
    </w:p>
    <w:p w:rsidR="000E51D2" w:rsidRPr="009C668F" w:rsidRDefault="000E51D2" w:rsidP="000E51D2">
      <w:pPr>
        <w:pStyle w:val="SCCNormalDoubleSpacing"/>
        <w:spacing w:line="240" w:lineRule="auto"/>
        <w:rPr>
          <w:sz w:val="20"/>
        </w:rPr>
      </w:pPr>
    </w:p>
    <w:p w:rsidR="000E51D2" w:rsidRDefault="000E51D2" w:rsidP="000E51D2">
      <w:pPr>
        <w:pStyle w:val="SCCNormalDoubleSpacing"/>
        <w:spacing w:line="240" w:lineRule="auto"/>
        <w:rPr>
          <w:sz w:val="20"/>
        </w:rPr>
      </w:pPr>
      <w:r w:rsidRPr="009C668F">
        <w:rPr>
          <w:i/>
          <w:sz w:val="20"/>
        </w:rPr>
        <w:tab/>
        <w:t>Per</w:t>
      </w:r>
      <w:r w:rsidRPr="009C668F">
        <w:rPr>
          <w:sz w:val="20"/>
        </w:rPr>
        <w:t xml:space="preserve"> </w:t>
      </w:r>
      <w:proofErr w:type="spellStart"/>
      <w:r w:rsidRPr="009C668F">
        <w:rPr>
          <w:b/>
          <w:sz w:val="20"/>
        </w:rPr>
        <w:t>Moldaver</w:t>
      </w:r>
      <w:proofErr w:type="spellEnd"/>
      <w:r w:rsidRPr="009C668F">
        <w:rPr>
          <w:b/>
          <w:sz w:val="20"/>
        </w:rPr>
        <w:t xml:space="preserve"> </w:t>
      </w:r>
      <w:r w:rsidRPr="009C668F">
        <w:rPr>
          <w:sz w:val="20"/>
        </w:rPr>
        <w:t xml:space="preserve">and </w:t>
      </w:r>
      <w:proofErr w:type="spellStart"/>
      <w:r w:rsidRPr="009C668F">
        <w:rPr>
          <w:sz w:val="20"/>
        </w:rPr>
        <w:t>Gascon</w:t>
      </w:r>
      <w:proofErr w:type="spellEnd"/>
      <w:r w:rsidRPr="009C668F">
        <w:rPr>
          <w:sz w:val="20"/>
        </w:rPr>
        <w:t> JJ. (</w:t>
      </w:r>
      <w:proofErr w:type="gramStart"/>
      <w:r w:rsidRPr="009C668F">
        <w:rPr>
          <w:sz w:val="20"/>
        </w:rPr>
        <w:t>dissenting</w:t>
      </w:r>
      <w:proofErr w:type="gramEnd"/>
      <w:r w:rsidRPr="009C668F">
        <w:rPr>
          <w:sz w:val="20"/>
        </w:rPr>
        <w:t xml:space="preserve">): The majority analysis and conclusion on the voluntariness issue is agreed with. Contrary to the findings of the trial judge and three judges of the Court of Appeal, it is agreed that the police entry into P’s apartment was unlawful and in breach of his s. 8 privacy rights. However, the firearms and drugs seized by the police from P’s apartment were properly admitted into evidence and the appeal should be dismissed. </w:t>
      </w:r>
    </w:p>
    <w:p w:rsidR="000E51D2" w:rsidRPr="009C668F" w:rsidRDefault="000E51D2" w:rsidP="000E51D2">
      <w:pPr>
        <w:pStyle w:val="SCCNormalDoubleSpacing"/>
        <w:spacing w:line="240" w:lineRule="auto"/>
        <w:rPr>
          <w:sz w:val="20"/>
        </w:rPr>
      </w:pPr>
    </w:p>
    <w:p w:rsidR="000E51D2" w:rsidRDefault="000E51D2" w:rsidP="000E51D2">
      <w:pPr>
        <w:pStyle w:val="SCCNormalDoubleSpacing"/>
        <w:spacing w:line="240" w:lineRule="auto"/>
        <w:rPr>
          <w:sz w:val="20"/>
          <w:lang w:val="en-US"/>
        </w:rPr>
      </w:pPr>
      <w:r w:rsidRPr="009C668F">
        <w:rPr>
          <w:sz w:val="20"/>
        </w:rPr>
        <w:tab/>
        <w:t xml:space="preserve">The function of this Court, in a case like the present one, is to clarify the law so that police officers, defence and Crown counsel, trial and appellate judges and the public at large can know what the law is and how it is to be applied in future cases. It is not to judge the police conduct against a standard that exceeds the wisdom and training of experienced trial and appellate judges. In an effort to clarify the law, it is accepted that s. 11(7) of the </w:t>
      </w:r>
      <w:r w:rsidRPr="009C668F">
        <w:rPr>
          <w:i/>
          <w:sz w:val="20"/>
          <w:lang w:val="en-US"/>
        </w:rPr>
        <w:t xml:space="preserve">Controlled Drug and Substances Act </w:t>
      </w:r>
      <w:r w:rsidRPr="009C668F">
        <w:rPr>
          <w:sz w:val="20"/>
          <w:lang w:val="en-US"/>
        </w:rPr>
        <w:t>was not available to the police on the facts of this case. Rather, in the circumstances, the police had three options available to them. They could have (1) tried to obtain P’s lawful consent to enter his apartment and seize the roaches; (2) arrested P and obtained a warrant to search his apartment and seize the roaches; or (3) thrown up their hands and walked away, in dereliction of their duty to seize illicit drugs, even if only to catalogue and destroy them. That said, it is hardly fair to castigate the police for their conduct when prior to this case, the legal boundaries of s. 11(7) in the context of a “no case” seizure were at best unclear. One need only look to the lower court decisions to realize this.</w:t>
      </w:r>
    </w:p>
    <w:p w:rsidR="000E51D2" w:rsidRPr="009C668F" w:rsidRDefault="000E51D2" w:rsidP="000E51D2">
      <w:pPr>
        <w:pStyle w:val="SCCNormalDoubleSpacing"/>
        <w:spacing w:line="240" w:lineRule="auto"/>
        <w:rPr>
          <w:sz w:val="20"/>
        </w:rPr>
      </w:pPr>
    </w:p>
    <w:p w:rsidR="000E51D2" w:rsidRDefault="000E51D2" w:rsidP="000E51D2">
      <w:pPr>
        <w:pStyle w:val="SCCNormalDoubleSpacing"/>
        <w:spacing w:line="240" w:lineRule="auto"/>
        <w:rPr>
          <w:sz w:val="20"/>
        </w:rPr>
      </w:pPr>
      <w:r w:rsidRPr="009C668F">
        <w:rPr>
          <w:sz w:val="20"/>
        </w:rPr>
        <w:tab/>
        <w:t xml:space="preserve">This Court has consistently held that legal uncertainty is a factor which a court may take into account in assessing the seriousness of a </w:t>
      </w:r>
      <w:r w:rsidRPr="009C668F">
        <w:rPr>
          <w:i/>
          <w:sz w:val="20"/>
        </w:rPr>
        <w:t xml:space="preserve">Charter </w:t>
      </w:r>
      <w:r w:rsidRPr="009C668F">
        <w:rPr>
          <w:sz w:val="20"/>
        </w:rPr>
        <w:t xml:space="preserve">breach occasioned by police conduct. Where the law is evolving or in a state of uncertainty, and where the police are found to have acted in good faith, without ignorance or wilful or flagrant disregard of an accused’s </w:t>
      </w:r>
      <w:r w:rsidRPr="009C668F">
        <w:rPr>
          <w:i/>
          <w:sz w:val="20"/>
        </w:rPr>
        <w:t xml:space="preserve">Charter </w:t>
      </w:r>
      <w:r w:rsidRPr="009C668F">
        <w:rPr>
          <w:sz w:val="20"/>
        </w:rPr>
        <w:t>rights, the seriousness of the breach may be attenuated.</w:t>
      </w:r>
    </w:p>
    <w:p w:rsidR="000E51D2" w:rsidRPr="009C668F" w:rsidRDefault="000E51D2" w:rsidP="000E51D2">
      <w:pPr>
        <w:pStyle w:val="SCCNormalDoubleSpacing"/>
        <w:spacing w:line="240" w:lineRule="auto"/>
        <w:rPr>
          <w:sz w:val="20"/>
        </w:rPr>
      </w:pPr>
    </w:p>
    <w:p w:rsidR="000E51D2" w:rsidRDefault="000E51D2" w:rsidP="000E51D2">
      <w:pPr>
        <w:pStyle w:val="SCCNormalDoubleSpacing"/>
        <w:spacing w:line="240" w:lineRule="auto"/>
        <w:rPr>
          <w:sz w:val="20"/>
        </w:rPr>
      </w:pPr>
      <w:r w:rsidRPr="009C668F">
        <w:rPr>
          <w:sz w:val="20"/>
        </w:rPr>
        <w:tab/>
        <w:t xml:space="preserve">In this case, the seriousness of the breach is clearly attenuated by the uncertainty surrounding the interpretation of s. 11(7) of the </w:t>
      </w:r>
      <w:r w:rsidRPr="009C668F">
        <w:rPr>
          <w:i/>
          <w:sz w:val="20"/>
          <w:lang w:val="en-US"/>
        </w:rPr>
        <w:t xml:space="preserve">CDSA </w:t>
      </w:r>
      <w:r w:rsidRPr="009C668F">
        <w:rPr>
          <w:sz w:val="20"/>
        </w:rPr>
        <w:t xml:space="preserve">in the context of a “no case” seizure, and the strong findings of the trial judge that the police were </w:t>
      </w:r>
      <w:r w:rsidRPr="009C668F">
        <w:rPr>
          <w:sz w:val="20"/>
        </w:rPr>
        <w:lastRenderedPageBreak/>
        <w:t xml:space="preserve">acting in good faith throughout. The impact of the police entry on P’s privacy interest is also attenuated because the evidence was lawfully discoverable if the police had obtained a warrant. </w:t>
      </w:r>
    </w:p>
    <w:p w:rsidR="000E51D2" w:rsidRPr="009C668F" w:rsidRDefault="000E51D2" w:rsidP="000E51D2">
      <w:pPr>
        <w:pStyle w:val="SCCNormalDoubleSpacing"/>
        <w:spacing w:line="240" w:lineRule="auto"/>
        <w:rPr>
          <w:sz w:val="20"/>
        </w:rPr>
      </w:pPr>
    </w:p>
    <w:p w:rsidR="000E51D2" w:rsidRDefault="000E51D2" w:rsidP="000E51D2">
      <w:pPr>
        <w:pStyle w:val="SCCNormalDoubleSpacing"/>
        <w:spacing w:line="240" w:lineRule="auto"/>
        <w:rPr>
          <w:sz w:val="20"/>
        </w:rPr>
      </w:pPr>
      <w:r w:rsidRPr="009C668F">
        <w:rPr>
          <w:sz w:val="20"/>
        </w:rPr>
        <w:tab/>
        <w:t xml:space="preserve">In sum, the police, acting in good faith, made a mistake about their authority to enter P’s apartment under the auspices of s. 11(7) in a “no case” seizure — the same mistake that the lower courts made. The cumulative effect of legal uncertainty, police good faith, and the discoverability and reliability of critical evidence needed for there to be a trial on the merits resolves the balance in favour of admitting the evidence. In these circumstances, it is the exclusion of reliable and crucial evidence implicating P in very serious gun and drug offences that is far more likely to cause the public to lose faith and confidence in our criminal justice system. That said, in a case like this one, it is possible that an alternative remedy short of the exclusion of evidence, such as a sentence reduction, might be available under s. 24(1) of the </w:t>
      </w:r>
      <w:r w:rsidRPr="009C668F">
        <w:rPr>
          <w:i/>
          <w:sz w:val="20"/>
        </w:rPr>
        <w:t>Charter</w:t>
      </w:r>
      <w:r w:rsidRPr="009C668F">
        <w:rPr>
          <w:sz w:val="20"/>
        </w:rPr>
        <w:t xml:space="preserve">. Since this was not argued, it must be left for another day. </w:t>
      </w:r>
    </w:p>
    <w:p w:rsidR="000E51D2" w:rsidRPr="009C668F" w:rsidRDefault="000E51D2" w:rsidP="000E51D2">
      <w:pPr>
        <w:pStyle w:val="SCCNormalDoubleSpacing"/>
        <w:spacing w:line="240" w:lineRule="auto"/>
        <w:rPr>
          <w:sz w:val="20"/>
        </w:rPr>
      </w:pPr>
    </w:p>
    <w:p w:rsidR="000E51D2" w:rsidRDefault="000E51D2" w:rsidP="000E51D2">
      <w:pPr>
        <w:pStyle w:val="SCCNormalDoubleSpacing"/>
        <w:spacing w:line="240" w:lineRule="auto"/>
        <w:rPr>
          <w:sz w:val="20"/>
        </w:rPr>
      </w:pPr>
      <w:r w:rsidRPr="009C668F">
        <w:rPr>
          <w:sz w:val="20"/>
        </w:rPr>
        <w:tab/>
        <w:t xml:space="preserve">APPEAL from a judgment of the British Columbia Court of Appeal (Lowry, Frankel and Bennett JJ.A.), 2015 BCCA 205, 372 B.C.A.C. 148, 640 W.A.C. 148, 324 C.C.C. (3d) 305, 340 C.R.R. (2d) 41, [2015] B.C.J. No. 946 (QL), 2015 </w:t>
      </w:r>
      <w:proofErr w:type="spellStart"/>
      <w:r w:rsidRPr="009C668F">
        <w:rPr>
          <w:sz w:val="20"/>
        </w:rPr>
        <w:t>CarswellBC</w:t>
      </w:r>
      <w:proofErr w:type="spellEnd"/>
      <w:r w:rsidRPr="009C668F">
        <w:rPr>
          <w:sz w:val="20"/>
        </w:rPr>
        <w:t xml:space="preserve"> 1256 (WL Can.), affirming the convictions for possession of controlled substances, possession of controlled substances for the purpose of trafficking and possession of prohibited or restricted firearms entered by Blok J., 2012 BCSC 1680, [2012] B.C.J. No. 2343 (QL), 2012 </w:t>
      </w:r>
      <w:proofErr w:type="spellStart"/>
      <w:r w:rsidRPr="009C668F">
        <w:rPr>
          <w:sz w:val="20"/>
        </w:rPr>
        <w:t>CarswellBC</w:t>
      </w:r>
      <w:proofErr w:type="spellEnd"/>
      <w:r w:rsidRPr="009C668F">
        <w:rPr>
          <w:sz w:val="20"/>
        </w:rPr>
        <w:t xml:space="preserve"> 3519 (WL Can.). Appeal allowed, convictions set aside and acquittals entered, </w:t>
      </w:r>
      <w:proofErr w:type="spellStart"/>
      <w:r w:rsidRPr="009C668F">
        <w:rPr>
          <w:sz w:val="20"/>
        </w:rPr>
        <w:t>Moldaver</w:t>
      </w:r>
      <w:proofErr w:type="spellEnd"/>
      <w:r w:rsidRPr="009C668F">
        <w:rPr>
          <w:sz w:val="20"/>
        </w:rPr>
        <w:t xml:space="preserve"> and </w:t>
      </w:r>
      <w:proofErr w:type="spellStart"/>
      <w:r w:rsidRPr="009C668F">
        <w:rPr>
          <w:sz w:val="20"/>
        </w:rPr>
        <w:t>Gascon</w:t>
      </w:r>
      <w:proofErr w:type="spellEnd"/>
      <w:r w:rsidRPr="009C668F">
        <w:rPr>
          <w:sz w:val="20"/>
        </w:rPr>
        <w:t xml:space="preserve"> JJ. </w:t>
      </w:r>
      <w:proofErr w:type="gramStart"/>
      <w:r w:rsidRPr="009C668F">
        <w:rPr>
          <w:sz w:val="20"/>
        </w:rPr>
        <w:t>dissenting</w:t>
      </w:r>
      <w:proofErr w:type="gramEnd"/>
      <w:r w:rsidRPr="009C668F">
        <w:rPr>
          <w:sz w:val="20"/>
        </w:rPr>
        <w:t>.</w:t>
      </w:r>
    </w:p>
    <w:p w:rsidR="000E51D2" w:rsidRPr="009C668F" w:rsidRDefault="000E51D2" w:rsidP="000E51D2">
      <w:pPr>
        <w:pStyle w:val="SCCNormalDoubleSpacing"/>
        <w:spacing w:line="240" w:lineRule="auto"/>
        <w:rPr>
          <w:sz w:val="20"/>
        </w:rPr>
      </w:pPr>
    </w:p>
    <w:p w:rsidR="000E51D2" w:rsidRDefault="000E51D2" w:rsidP="000E51D2">
      <w:pPr>
        <w:pStyle w:val="SCCNormalDoubleSpacing"/>
        <w:spacing w:line="240" w:lineRule="auto"/>
        <w:rPr>
          <w:rStyle w:val="SCCCounselPartyRoleChar"/>
          <w:sz w:val="20"/>
        </w:rPr>
      </w:pPr>
      <w:r w:rsidRPr="009C668F">
        <w:rPr>
          <w:rStyle w:val="SCCCounselNameChar"/>
          <w:sz w:val="20"/>
        </w:rPr>
        <w:tab/>
        <w:t>Daniel J. Song, Kenneth S. Westlake, Q.C.</w:t>
      </w:r>
      <w:r w:rsidRPr="000E51D2">
        <w:rPr>
          <w:rStyle w:val="SCCCounselSeparatorChar"/>
          <w:rFonts w:eastAsia="Calibri"/>
          <w:sz w:val="20"/>
          <w:lang w:val="en-US"/>
        </w:rPr>
        <w:t xml:space="preserve">, and </w:t>
      </w:r>
      <w:r w:rsidRPr="009C668F">
        <w:rPr>
          <w:rStyle w:val="SCCCounselNameChar"/>
          <w:sz w:val="20"/>
        </w:rPr>
        <w:t>Brent R. Anderson</w:t>
      </w:r>
      <w:r w:rsidRPr="009C668F">
        <w:rPr>
          <w:rStyle w:val="SCCCounselPartyRoleChar"/>
          <w:sz w:val="20"/>
        </w:rPr>
        <w:t>, for the appellant.</w:t>
      </w:r>
    </w:p>
    <w:p w:rsidR="000E51D2" w:rsidRPr="009C668F" w:rsidRDefault="000E51D2" w:rsidP="000E51D2">
      <w:pPr>
        <w:pStyle w:val="SCCNormalDoubleSpacing"/>
        <w:spacing w:line="240" w:lineRule="auto"/>
        <w:rPr>
          <w:sz w:val="20"/>
        </w:rPr>
      </w:pPr>
    </w:p>
    <w:p w:rsidR="000E51D2" w:rsidRDefault="000E51D2" w:rsidP="000E51D2">
      <w:pPr>
        <w:pStyle w:val="SCCNormalDoubleSpacing"/>
        <w:spacing w:line="240" w:lineRule="auto"/>
        <w:rPr>
          <w:rStyle w:val="SCCCounselPartyRoleChar"/>
          <w:sz w:val="20"/>
        </w:rPr>
      </w:pPr>
      <w:r w:rsidRPr="009C668F">
        <w:rPr>
          <w:rStyle w:val="SCCCounselNameChar"/>
          <w:sz w:val="20"/>
        </w:rPr>
        <w:tab/>
        <w:t>W. Paul Riley, Q.C.</w:t>
      </w:r>
      <w:r w:rsidRPr="000E51D2">
        <w:rPr>
          <w:rStyle w:val="SCCCounselSeparatorChar"/>
          <w:rFonts w:eastAsia="Calibri"/>
          <w:sz w:val="20"/>
          <w:lang w:val="en-US"/>
        </w:rPr>
        <w:t xml:space="preserve">, and </w:t>
      </w:r>
      <w:r w:rsidRPr="009C668F">
        <w:rPr>
          <w:rStyle w:val="SCCCounselNameChar"/>
          <w:sz w:val="20"/>
        </w:rPr>
        <w:t>Janna Hyman</w:t>
      </w:r>
      <w:r w:rsidRPr="009C668F">
        <w:rPr>
          <w:rStyle w:val="SCCCounselPartyRoleChar"/>
          <w:sz w:val="20"/>
        </w:rPr>
        <w:t>, for the respondent.</w:t>
      </w:r>
    </w:p>
    <w:p w:rsidR="000E51D2" w:rsidRPr="009C668F" w:rsidRDefault="000E51D2" w:rsidP="000E51D2">
      <w:pPr>
        <w:pStyle w:val="SCCNormalDoubleSpacing"/>
        <w:spacing w:line="240" w:lineRule="auto"/>
        <w:rPr>
          <w:sz w:val="20"/>
        </w:rPr>
      </w:pPr>
    </w:p>
    <w:p w:rsidR="000E51D2" w:rsidRDefault="000E51D2" w:rsidP="000E51D2">
      <w:pPr>
        <w:pStyle w:val="SCCNormalDoubleSpacing"/>
        <w:spacing w:line="240" w:lineRule="auto"/>
        <w:rPr>
          <w:rStyle w:val="SCCCounselPartyRoleChar"/>
          <w:sz w:val="20"/>
        </w:rPr>
      </w:pPr>
      <w:r w:rsidRPr="009C668F">
        <w:rPr>
          <w:rStyle w:val="SCCCounselNameChar"/>
          <w:sz w:val="20"/>
        </w:rPr>
        <w:tab/>
        <w:t>Gillian Roberts</w:t>
      </w:r>
      <w:r w:rsidRPr="009C668F">
        <w:rPr>
          <w:rStyle w:val="SCCCounselPartyRoleChar"/>
          <w:sz w:val="20"/>
        </w:rPr>
        <w:t>, for the intervener the Attorney General of Ontario.</w:t>
      </w:r>
    </w:p>
    <w:p w:rsidR="000E51D2" w:rsidRPr="009C668F" w:rsidRDefault="000E51D2" w:rsidP="000E51D2">
      <w:pPr>
        <w:pStyle w:val="SCCNormalDoubleSpacing"/>
        <w:spacing w:line="240" w:lineRule="auto"/>
        <w:rPr>
          <w:sz w:val="20"/>
        </w:rPr>
      </w:pPr>
    </w:p>
    <w:p w:rsidR="000E51D2" w:rsidRDefault="000E51D2" w:rsidP="000E51D2">
      <w:pPr>
        <w:pStyle w:val="SCCNormalDoubleSpacing"/>
        <w:spacing w:line="240" w:lineRule="auto"/>
        <w:rPr>
          <w:rStyle w:val="SCCCounselPartyRoleChar"/>
          <w:sz w:val="20"/>
        </w:rPr>
      </w:pPr>
      <w:r w:rsidRPr="009C668F">
        <w:rPr>
          <w:rStyle w:val="SCCCounselNameChar"/>
          <w:sz w:val="20"/>
        </w:rPr>
        <w:tab/>
        <w:t xml:space="preserve">Written submissions only by </w:t>
      </w:r>
      <w:proofErr w:type="spellStart"/>
      <w:r w:rsidRPr="009C668F">
        <w:rPr>
          <w:rStyle w:val="SCCCounselNameChar"/>
          <w:sz w:val="20"/>
        </w:rPr>
        <w:t>Jolaine</w:t>
      </w:r>
      <w:proofErr w:type="spellEnd"/>
      <w:r w:rsidRPr="009C668F">
        <w:rPr>
          <w:rStyle w:val="SCCCounselNameChar"/>
          <w:sz w:val="20"/>
        </w:rPr>
        <w:t xml:space="preserve"> Antonio</w:t>
      </w:r>
      <w:r w:rsidRPr="009C668F">
        <w:rPr>
          <w:rStyle w:val="SCCCounselPartyRoleChar"/>
          <w:sz w:val="20"/>
        </w:rPr>
        <w:t>, for the intervener the Attorney General of Alberta.</w:t>
      </w:r>
    </w:p>
    <w:p w:rsidR="000E51D2" w:rsidRPr="009C668F" w:rsidRDefault="000E51D2" w:rsidP="000E51D2">
      <w:pPr>
        <w:pStyle w:val="SCCNormalDoubleSpacing"/>
        <w:spacing w:line="240" w:lineRule="auto"/>
        <w:rPr>
          <w:sz w:val="20"/>
        </w:rPr>
      </w:pPr>
    </w:p>
    <w:p w:rsidR="000E51D2" w:rsidRDefault="000E51D2" w:rsidP="000E51D2">
      <w:pPr>
        <w:pStyle w:val="SCCNormalDoubleSpacing"/>
        <w:spacing w:line="240" w:lineRule="auto"/>
        <w:rPr>
          <w:rStyle w:val="SCCCounselPartyRoleChar"/>
          <w:sz w:val="20"/>
        </w:rPr>
      </w:pPr>
      <w:r w:rsidRPr="009C668F">
        <w:rPr>
          <w:rStyle w:val="SCCCounselNameChar"/>
          <w:sz w:val="20"/>
        </w:rPr>
        <w:tab/>
        <w:t>Roy Millen</w:t>
      </w:r>
      <w:r w:rsidRPr="000E51D2">
        <w:rPr>
          <w:rStyle w:val="SCCCounselSeparatorChar"/>
          <w:rFonts w:eastAsia="Calibri"/>
          <w:sz w:val="20"/>
          <w:lang w:val="en-US"/>
        </w:rPr>
        <w:t xml:space="preserve"> and </w:t>
      </w:r>
      <w:r w:rsidRPr="009C668F">
        <w:rPr>
          <w:rStyle w:val="SCCCounselNameChar"/>
          <w:sz w:val="20"/>
        </w:rPr>
        <w:t xml:space="preserve">Rebecca </w:t>
      </w:r>
      <w:proofErr w:type="spellStart"/>
      <w:r w:rsidRPr="009C668F">
        <w:rPr>
          <w:rStyle w:val="SCCCounselNameChar"/>
          <w:sz w:val="20"/>
        </w:rPr>
        <w:t>Spigelman</w:t>
      </w:r>
      <w:proofErr w:type="spellEnd"/>
      <w:r w:rsidRPr="009C668F">
        <w:rPr>
          <w:rStyle w:val="SCCCounselPartyRoleChar"/>
          <w:sz w:val="20"/>
        </w:rPr>
        <w:t>, for the intervener the British Columbia Civil Liberties Association.</w:t>
      </w:r>
    </w:p>
    <w:p w:rsidR="000E51D2" w:rsidRPr="009C668F" w:rsidRDefault="000E51D2" w:rsidP="000E51D2">
      <w:pPr>
        <w:pStyle w:val="SCCNormalDoubleSpacing"/>
        <w:spacing w:line="240" w:lineRule="auto"/>
        <w:rPr>
          <w:sz w:val="20"/>
        </w:rPr>
      </w:pPr>
    </w:p>
    <w:p w:rsidR="000E51D2" w:rsidRDefault="000E51D2" w:rsidP="000E51D2">
      <w:pPr>
        <w:pStyle w:val="SCCLawFirm"/>
        <w:spacing w:line="240" w:lineRule="auto"/>
        <w:rPr>
          <w:sz w:val="20"/>
        </w:rPr>
      </w:pPr>
      <w:r w:rsidRPr="009C668F">
        <w:rPr>
          <w:sz w:val="20"/>
        </w:rPr>
        <w:tab/>
        <w:t>Solicitors for the appellant: </w:t>
      </w:r>
      <w:proofErr w:type="spellStart"/>
      <w:r w:rsidRPr="009C668F">
        <w:rPr>
          <w:sz w:val="20"/>
        </w:rPr>
        <w:t>Sprake</w:t>
      </w:r>
      <w:proofErr w:type="spellEnd"/>
      <w:r w:rsidRPr="009C668F">
        <w:rPr>
          <w:sz w:val="20"/>
        </w:rPr>
        <w:t xml:space="preserve"> Song &amp; </w:t>
      </w:r>
      <w:proofErr w:type="spellStart"/>
      <w:r w:rsidRPr="009C668F">
        <w:rPr>
          <w:sz w:val="20"/>
        </w:rPr>
        <w:t>Konye</w:t>
      </w:r>
      <w:proofErr w:type="spellEnd"/>
      <w:r w:rsidRPr="009C668F">
        <w:rPr>
          <w:sz w:val="20"/>
        </w:rPr>
        <w:t>, Vancouver; Kenneth S. Westlake, Vancouver; Anderson Criminal Law, Vancouver.</w:t>
      </w:r>
    </w:p>
    <w:p w:rsidR="000E51D2" w:rsidRPr="009C668F" w:rsidRDefault="000E51D2" w:rsidP="000E51D2">
      <w:pPr>
        <w:pStyle w:val="SCCNormalDoubleSpacing"/>
        <w:spacing w:line="240" w:lineRule="auto"/>
      </w:pPr>
    </w:p>
    <w:p w:rsidR="000E51D2" w:rsidRDefault="000E51D2" w:rsidP="000E51D2">
      <w:pPr>
        <w:pStyle w:val="SCCLawFirm"/>
        <w:spacing w:line="240" w:lineRule="auto"/>
        <w:rPr>
          <w:sz w:val="20"/>
        </w:rPr>
      </w:pPr>
      <w:r w:rsidRPr="009C668F">
        <w:rPr>
          <w:sz w:val="20"/>
        </w:rPr>
        <w:tab/>
        <w:t>Solicitor for the respondent: Public Prosecution Service of Canada, Vancouver.</w:t>
      </w:r>
    </w:p>
    <w:p w:rsidR="000E51D2" w:rsidRPr="009C668F" w:rsidRDefault="000E51D2" w:rsidP="000E51D2">
      <w:pPr>
        <w:pStyle w:val="SCCNormalDoubleSpacing"/>
        <w:spacing w:line="240" w:lineRule="auto"/>
      </w:pPr>
    </w:p>
    <w:p w:rsidR="000E51D2" w:rsidRDefault="000E51D2" w:rsidP="000E51D2">
      <w:pPr>
        <w:pStyle w:val="SCCLawFirm"/>
        <w:spacing w:line="240" w:lineRule="auto"/>
        <w:rPr>
          <w:sz w:val="20"/>
        </w:rPr>
      </w:pPr>
      <w:r w:rsidRPr="009C668F">
        <w:rPr>
          <w:sz w:val="20"/>
        </w:rPr>
        <w:tab/>
        <w:t>Solicitor for the intervener the Attorney General of Ontario: Attorney General of Ontario, Toronto.</w:t>
      </w:r>
    </w:p>
    <w:p w:rsidR="000E51D2" w:rsidRPr="009C668F" w:rsidRDefault="000E51D2" w:rsidP="000E51D2">
      <w:pPr>
        <w:pStyle w:val="SCCNormalDoubleSpacing"/>
        <w:spacing w:line="240" w:lineRule="auto"/>
      </w:pPr>
    </w:p>
    <w:p w:rsidR="000E51D2" w:rsidRDefault="000E51D2" w:rsidP="000E51D2">
      <w:pPr>
        <w:pStyle w:val="SCCLawFirm"/>
        <w:spacing w:line="240" w:lineRule="auto"/>
        <w:rPr>
          <w:sz w:val="20"/>
        </w:rPr>
      </w:pPr>
      <w:r w:rsidRPr="009C668F">
        <w:rPr>
          <w:sz w:val="20"/>
        </w:rPr>
        <w:tab/>
        <w:t>Solicitor for the intervener the Attorney General of Alberta: Attorney General of Alberta, Calgary.</w:t>
      </w:r>
    </w:p>
    <w:p w:rsidR="000E51D2" w:rsidRPr="009C668F" w:rsidRDefault="000E51D2" w:rsidP="000E51D2">
      <w:pPr>
        <w:pStyle w:val="SCCNormalDoubleSpacing"/>
        <w:spacing w:line="240" w:lineRule="auto"/>
      </w:pPr>
    </w:p>
    <w:p w:rsidR="000E51D2" w:rsidRPr="009C668F" w:rsidRDefault="000E51D2" w:rsidP="000E51D2">
      <w:pPr>
        <w:pStyle w:val="SCCLawFirm"/>
        <w:spacing w:line="240" w:lineRule="auto"/>
        <w:rPr>
          <w:sz w:val="20"/>
        </w:rPr>
      </w:pPr>
      <w:r w:rsidRPr="009C668F">
        <w:rPr>
          <w:sz w:val="20"/>
        </w:rPr>
        <w:tab/>
        <w:t xml:space="preserve">Solicitors for the intervener the British Columbia Civil Liberties Association: Blake, Cassels &amp; </w:t>
      </w:r>
      <w:proofErr w:type="spellStart"/>
      <w:r w:rsidRPr="009C668F">
        <w:rPr>
          <w:sz w:val="20"/>
        </w:rPr>
        <w:t>Graydon</w:t>
      </w:r>
      <w:proofErr w:type="spellEnd"/>
      <w:r w:rsidRPr="009C668F">
        <w:rPr>
          <w:sz w:val="20"/>
        </w:rPr>
        <w:t>, Vancouver.</w:t>
      </w:r>
    </w:p>
    <w:p w:rsidR="00346C54" w:rsidRPr="000E51D2" w:rsidRDefault="000E51D2" w:rsidP="00902E51">
      <w:pPr>
        <w:rPr>
          <w:rFonts w:cs="Times New Roman"/>
          <w:sz w:val="20"/>
          <w:szCs w:val="20"/>
          <w:lang w:val="fr-CA"/>
        </w:rPr>
      </w:pPr>
      <w:r w:rsidRPr="000E51D2">
        <w:rPr>
          <w:rFonts w:cs="Times New Roman"/>
          <w:sz w:val="20"/>
          <w:szCs w:val="20"/>
          <w:lang w:val="fr-CA"/>
        </w:rPr>
        <w:t>____________________</w:t>
      </w:r>
    </w:p>
    <w:p w:rsidR="00346C54" w:rsidRPr="000E51D2" w:rsidRDefault="00346C54" w:rsidP="00902E51">
      <w:pPr>
        <w:rPr>
          <w:rFonts w:cs="Times New Roman"/>
          <w:sz w:val="20"/>
          <w:szCs w:val="20"/>
          <w:lang w:val="fr-CA"/>
        </w:rPr>
      </w:pPr>
    </w:p>
    <w:p w:rsidR="000E51D2" w:rsidRDefault="000E51D2" w:rsidP="000E51D2">
      <w:pPr>
        <w:jc w:val="both"/>
        <w:rPr>
          <w:sz w:val="20"/>
          <w:lang w:val="fr-CA"/>
        </w:rPr>
      </w:pPr>
      <w:r w:rsidRPr="000A7930">
        <w:rPr>
          <w:sz w:val="20"/>
          <w:szCs w:val="20"/>
          <w:lang w:val="fr-CA"/>
        </w:rPr>
        <w:t xml:space="preserve">Présents : La juge en chef </w:t>
      </w:r>
      <w:proofErr w:type="spellStart"/>
      <w:r w:rsidRPr="000A7930">
        <w:rPr>
          <w:sz w:val="20"/>
          <w:szCs w:val="20"/>
          <w:lang w:val="fr-CA"/>
        </w:rPr>
        <w:t>McLachlin</w:t>
      </w:r>
      <w:proofErr w:type="spellEnd"/>
      <w:r w:rsidRPr="000A7930">
        <w:rPr>
          <w:sz w:val="20"/>
          <w:szCs w:val="20"/>
          <w:lang w:val="fr-CA"/>
        </w:rPr>
        <w:t xml:space="preserve"> et les juges Abella, </w:t>
      </w:r>
      <w:proofErr w:type="spellStart"/>
      <w:r w:rsidRPr="000A7930">
        <w:rPr>
          <w:sz w:val="20"/>
          <w:szCs w:val="20"/>
          <w:lang w:val="fr-CA"/>
        </w:rPr>
        <w:t>Moldaver</w:t>
      </w:r>
      <w:proofErr w:type="spellEnd"/>
      <w:r w:rsidRPr="000A7930">
        <w:rPr>
          <w:sz w:val="20"/>
          <w:szCs w:val="20"/>
          <w:lang w:val="fr-CA"/>
        </w:rPr>
        <w:t xml:space="preserve">, </w:t>
      </w:r>
      <w:proofErr w:type="spellStart"/>
      <w:r w:rsidRPr="000A7930">
        <w:rPr>
          <w:sz w:val="20"/>
          <w:szCs w:val="20"/>
          <w:lang w:val="fr-CA"/>
        </w:rPr>
        <w:t>Karakatsanis</w:t>
      </w:r>
      <w:proofErr w:type="spellEnd"/>
      <w:r w:rsidRPr="000A7930">
        <w:rPr>
          <w:sz w:val="20"/>
          <w:szCs w:val="20"/>
          <w:lang w:val="fr-CA"/>
        </w:rPr>
        <w:t>, Wagner, Gascon et Brown.</w:t>
      </w:r>
    </w:p>
    <w:p w:rsidR="000E51D2" w:rsidRPr="000A7930" w:rsidRDefault="000E51D2" w:rsidP="000E51D2">
      <w:pPr>
        <w:jc w:val="both"/>
        <w:rPr>
          <w:sz w:val="20"/>
          <w:szCs w:val="20"/>
          <w:lang w:val="fr-CA"/>
        </w:rPr>
      </w:pPr>
    </w:p>
    <w:p w:rsidR="000E51D2" w:rsidRDefault="000E51D2" w:rsidP="000E51D2">
      <w:pPr>
        <w:pStyle w:val="SCCNormalDoubleSpacing"/>
        <w:spacing w:line="240" w:lineRule="auto"/>
        <w:rPr>
          <w:i/>
          <w:sz w:val="20"/>
          <w:lang w:val="fr-CA"/>
        </w:rPr>
      </w:pPr>
      <w:r w:rsidRPr="000A7930">
        <w:rPr>
          <w:sz w:val="20"/>
          <w:lang w:val="fr-CA"/>
        </w:rPr>
        <w:tab/>
      </w:r>
      <w:r w:rsidRPr="000A7930">
        <w:rPr>
          <w:i/>
          <w:sz w:val="20"/>
          <w:lang w:val="fr-CA"/>
        </w:rPr>
        <w:t xml:space="preserve">Droit constitutionnel — Charte des droits — Fouilles, perquisitions et saisies — Exclusion de la preuve — Accusé ayant avoué aux policiers avoir de la marihuana chez lui — Accusé ayant autorisé les policiers à saisir des mégots après que ces derniers lui eurent dit qu’ils effectueraient une saisie « sans poursuite » — Entrée sans mandat ayant permis aux policiers de constater la présence d’autres drogues et d’une arme à feu dans la résidence puis ayant entraîné l’arrestation de l’accusé — L’« urgence de la situation », au sens du par. 11(7) de la Loi réglementant certaines drogues et autres substances, a-t-elle rendu « difficilement réalisable » l’obtention d’un mandat avant l’entrée et la perquisition dans la résidence? — Y </w:t>
      </w:r>
      <w:proofErr w:type="spellStart"/>
      <w:r w:rsidRPr="000A7930">
        <w:rPr>
          <w:i/>
          <w:sz w:val="20"/>
          <w:lang w:val="fr-CA"/>
        </w:rPr>
        <w:t>a-t-il</w:t>
      </w:r>
      <w:proofErr w:type="spellEnd"/>
      <w:r w:rsidRPr="000A7930">
        <w:rPr>
          <w:i/>
          <w:sz w:val="20"/>
          <w:lang w:val="fr-CA"/>
        </w:rPr>
        <w:t xml:space="preserve"> eu atteinte au droit constitutionnel de l’accusé à la protection contre les fouilles, les perquisitions et les saisies abusives? — Dans l’affirmative, la preuve recueillie grâce à l’entrée et à la perquisition sans mandat devrait-elle être écartée? — Loi réglementant certaines drogues et autres substances, L.C. 1996, c. 19, art. 11(7) — Charte canadienne des droits et libertés, art. 8, 24(2).</w:t>
      </w:r>
    </w:p>
    <w:p w:rsidR="000E51D2" w:rsidRPr="000A7930" w:rsidRDefault="000E51D2" w:rsidP="000E51D2">
      <w:pPr>
        <w:pStyle w:val="SCCNormalDoubleSpacing"/>
        <w:spacing w:line="240" w:lineRule="auto"/>
        <w:rPr>
          <w:i/>
          <w:sz w:val="20"/>
          <w:lang w:val="fr-CA"/>
        </w:rPr>
      </w:pPr>
    </w:p>
    <w:p w:rsidR="000E51D2" w:rsidRDefault="000E51D2" w:rsidP="000E51D2">
      <w:pPr>
        <w:pStyle w:val="SCCNormalDoubleSpacing"/>
        <w:spacing w:line="240" w:lineRule="auto"/>
        <w:rPr>
          <w:i/>
          <w:sz w:val="20"/>
          <w:lang w:val="fr-CA"/>
        </w:rPr>
      </w:pPr>
      <w:r w:rsidRPr="000A7930">
        <w:rPr>
          <w:i/>
          <w:sz w:val="20"/>
          <w:lang w:val="fr-CA"/>
        </w:rPr>
        <w:tab/>
        <w:t>Droit criminel — Preuve — Admissibilité — Voir</w:t>
      </w:r>
      <w:r w:rsidRPr="000A7930">
        <w:rPr>
          <w:i/>
          <w:sz w:val="20"/>
          <w:lang w:val="fr-CA"/>
        </w:rPr>
        <w:noBreakHyphen/>
        <w:t xml:space="preserve">dire — Accusé ayant avoué aux policiers avoir de la marihuana chez lui — Le ministère public était-il tenu de prouver </w:t>
      </w:r>
      <w:r w:rsidRPr="000A7930">
        <w:rPr>
          <w:i/>
          <w:noProof/>
          <w:sz w:val="20"/>
          <w:lang w:val="fr-CA"/>
        </w:rPr>
        <w:t>le caractère volontaire de la déclaration de l’accusé pour que celle</w:t>
      </w:r>
      <w:r w:rsidRPr="000A7930">
        <w:rPr>
          <w:i/>
          <w:noProof/>
          <w:sz w:val="20"/>
          <w:lang w:val="fr-CA"/>
        </w:rPr>
        <w:noBreakHyphen/>
        <w:t>ci puisse être admise en preuve lors du voir</w:t>
      </w:r>
      <w:r w:rsidRPr="000A7930">
        <w:rPr>
          <w:i/>
          <w:noProof/>
          <w:sz w:val="20"/>
          <w:lang w:val="fr-CA"/>
        </w:rPr>
        <w:noBreakHyphen/>
        <w:t xml:space="preserve">dire </w:t>
      </w:r>
      <w:r w:rsidRPr="000A7930">
        <w:rPr>
          <w:i/>
          <w:sz w:val="20"/>
          <w:lang w:val="fr-CA"/>
        </w:rPr>
        <w:t xml:space="preserve">tenu sur la légalité de l’entrée et de la perquisition chez l’accusé? — La règle des confessions de la </w:t>
      </w:r>
      <w:proofErr w:type="spellStart"/>
      <w:r w:rsidRPr="000A7930">
        <w:rPr>
          <w:i/>
          <w:sz w:val="20"/>
          <w:lang w:val="fr-CA"/>
        </w:rPr>
        <w:t>common</w:t>
      </w:r>
      <w:proofErr w:type="spellEnd"/>
      <w:r w:rsidRPr="000A7930">
        <w:rPr>
          <w:i/>
          <w:sz w:val="20"/>
          <w:lang w:val="fr-CA"/>
        </w:rPr>
        <w:t xml:space="preserve"> </w:t>
      </w:r>
      <w:proofErr w:type="spellStart"/>
      <w:r w:rsidRPr="000A7930">
        <w:rPr>
          <w:i/>
          <w:sz w:val="20"/>
          <w:lang w:val="fr-CA"/>
        </w:rPr>
        <w:t>law</w:t>
      </w:r>
      <w:proofErr w:type="spellEnd"/>
      <w:r w:rsidRPr="000A7930">
        <w:rPr>
          <w:i/>
          <w:sz w:val="20"/>
          <w:lang w:val="fr-CA"/>
        </w:rPr>
        <w:t xml:space="preserve"> devrait</w:t>
      </w:r>
      <w:r w:rsidRPr="000A7930">
        <w:rPr>
          <w:i/>
          <w:sz w:val="20"/>
          <w:lang w:val="fr-CA"/>
        </w:rPr>
        <w:noBreakHyphen/>
        <w:t>elle s’appliquer aux déclarations considérées lors d’un voir</w:t>
      </w:r>
      <w:r w:rsidRPr="000A7930">
        <w:rPr>
          <w:i/>
          <w:sz w:val="20"/>
          <w:lang w:val="fr-CA"/>
        </w:rPr>
        <w:noBreakHyphen/>
        <w:t>dire constitutionnel?</w:t>
      </w:r>
    </w:p>
    <w:p w:rsidR="000E51D2" w:rsidRPr="000A7930" w:rsidRDefault="000E51D2" w:rsidP="000E51D2">
      <w:pPr>
        <w:pStyle w:val="SCCNormalDoubleSpacing"/>
        <w:spacing w:line="240" w:lineRule="auto"/>
        <w:rPr>
          <w:i/>
          <w:sz w:val="20"/>
          <w:lang w:val="fr-CA"/>
        </w:rPr>
      </w:pPr>
    </w:p>
    <w:p w:rsidR="000E51D2" w:rsidRDefault="000E51D2" w:rsidP="000E51D2">
      <w:pPr>
        <w:pStyle w:val="SCCNormalDoubleSpacing"/>
        <w:spacing w:line="240" w:lineRule="auto"/>
        <w:rPr>
          <w:sz w:val="20"/>
          <w:lang w:val="fr-CA"/>
        </w:rPr>
      </w:pPr>
      <w:r w:rsidRPr="000A7930">
        <w:rPr>
          <w:sz w:val="20"/>
          <w:lang w:val="fr-CA"/>
        </w:rPr>
        <w:tab/>
        <w:t>Le litige fait suite à l’entrée sans mandat des policiers chez l’accusé, P, après que celui</w:t>
      </w:r>
      <w:r w:rsidRPr="000A7930">
        <w:rPr>
          <w:sz w:val="20"/>
          <w:lang w:val="fr-CA"/>
        </w:rPr>
        <w:noBreakHyphen/>
        <w:t>ci eut accepté de leur remettre quelques mégots de marihuana. Les policiers ont dit à P qu’ils allaient effectuer une saisie « sans poursuite », c’est</w:t>
      </w:r>
      <w:r w:rsidRPr="000A7930">
        <w:rPr>
          <w:sz w:val="20"/>
          <w:lang w:val="fr-CA"/>
        </w:rPr>
        <w:noBreakHyphen/>
        <w:t>à</w:t>
      </w:r>
      <w:r w:rsidRPr="000A7930">
        <w:rPr>
          <w:sz w:val="20"/>
          <w:lang w:val="fr-CA"/>
        </w:rPr>
        <w:noBreakHyphen/>
        <w:t>dire qu’ils saisiraient les mégots et qu’aucune accusation ne serait portée contre lui. Une fois à l’intérieur, ils ont constaté la présence d’un gilet pare</w:t>
      </w:r>
      <w:r w:rsidRPr="000A7930">
        <w:rPr>
          <w:sz w:val="20"/>
          <w:lang w:val="fr-CA"/>
        </w:rPr>
        <w:noBreakHyphen/>
        <w:t xml:space="preserve">balles, d’une arme à feu et de drogues. Ils ont arrêté P puis obtenu un </w:t>
      </w:r>
      <w:proofErr w:type="spellStart"/>
      <w:r w:rsidRPr="000A7930">
        <w:rPr>
          <w:sz w:val="20"/>
          <w:lang w:val="fr-CA"/>
        </w:rPr>
        <w:t>télémandat</w:t>
      </w:r>
      <w:proofErr w:type="spellEnd"/>
      <w:r w:rsidRPr="000A7930">
        <w:rPr>
          <w:sz w:val="20"/>
          <w:lang w:val="fr-CA"/>
        </w:rPr>
        <w:t xml:space="preserve"> les autorisant à perquisitionner l’appartement, ce qui a mené à la découverte d’autres armes à feu et d’autres drogues, puis à la formulation d’accusations. À l’issue de son procès, P a été déclaré coupable des infractions reprochées. La Cour d’appel de la Colombie</w:t>
      </w:r>
      <w:r w:rsidRPr="000A7930">
        <w:rPr>
          <w:sz w:val="20"/>
          <w:lang w:val="fr-CA"/>
        </w:rPr>
        <w:noBreakHyphen/>
        <w:t xml:space="preserve">Britannique a confirmé les déclarations de culpabilité. Elle a rejeté la thèse de P selon laquelle la règle des confessions de la </w:t>
      </w:r>
      <w:proofErr w:type="spellStart"/>
      <w:r w:rsidRPr="000A7930">
        <w:rPr>
          <w:sz w:val="20"/>
          <w:lang w:val="fr-CA"/>
        </w:rPr>
        <w:t>common</w:t>
      </w:r>
      <w:proofErr w:type="spellEnd"/>
      <w:r w:rsidRPr="000A7930">
        <w:rPr>
          <w:sz w:val="20"/>
          <w:lang w:val="fr-CA"/>
        </w:rPr>
        <w:t xml:space="preserve"> </w:t>
      </w:r>
      <w:proofErr w:type="spellStart"/>
      <w:r w:rsidRPr="000A7930">
        <w:rPr>
          <w:sz w:val="20"/>
          <w:lang w:val="fr-CA"/>
        </w:rPr>
        <w:t>law</w:t>
      </w:r>
      <w:proofErr w:type="spellEnd"/>
      <w:r w:rsidRPr="000A7930">
        <w:rPr>
          <w:sz w:val="20"/>
          <w:lang w:val="fr-CA"/>
        </w:rPr>
        <w:t xml:space="preserve"> aurait dû, lors du voir</w:t>
      </w:r>
      <w:r w:rsidRPr="000A7930">
        <w:rPr>
          <w:sz w:val="20"/>
          <w:lang w:val="fr-CA"/>
        </w:rPr>
        <w:noBreakHyphen/>
        <w:t>dire, faire obstacle à l’admission de sa déclaration relative aux mégots puisque le ministère public n’avait pas prouvé son caractère volontaire hors de tout doute raisonnable.</w:t>
      </w:r>
    </w:p>
    <w:p w:rsidR="000E51D2" w:rsidRPr="000A7930" w:rsidRDefault="000E51D2" w:rsidP="000E51D2">
      <w:pPr>
        <w:pStyle w:val="SCCNormalDoubleSpacing"/>
        <w:spacing w:line="240" w:lineRule="auto"/>
        <w:rPr>
          <w:sz w:val="20"/>
          <w:lang w:val="fr-CA"/>
        </w:rPr>
      </w:pPr>
    </w:p>
    <w:p w:rsidR="000E51D2" w:rsidRDefault="000E51D2" w:rsidP="000E51D2">
      <w:pPr>
        <w:pStyle w:val="SCCNormalDoubleSpacing"/>
        <w:spacing w:line="240" w:lineRule="auto"/>
        <w:rPr>
          <w:sz w:val="20"/>
          <w:lang w:val="fr-CA"/>
        </w:rPr>
      </w:pPr>
      <w:r w:rsidRPr="000A7930">
        <w:rPr>
          <w:sz w:val="20"/>
          <w:lang w:val="fr-CA"/>
        </w:rPr>
        <w:tab/>
      </w:r>
      <w:r w:rsidRPr="000A7930">
        <w:rPr>
          <w:i/>
          <w:sz w:val="20"/>
          <w:lang w:val="fr-CA"/>
        </w:rPr>
        <w:t>Arrêt</w:t>
      </w:r>
      <w:r w:rsidRPr="000A7930">
        <w:rPr>
          <w:sz w:val="20"/>
          <w:lang w:val="fr-CA"/>
        </w:rPr>
        <w:t xml:space="preserve"> (les juges </w:t>
      </w:r>
      <w:proofErr w:type="spellStart"/>
      <w:r w:rsidRPr="000A7930">
        <w:rPr>
          <w:sz w:val="20"/>
          <w:lang w:val="fr-CA"/>
        </w:rPr>
        <w:t>Moldaver</w:t>
      </w:r>
      <w:proofErr w:type="spellEnd"/>
      <w:r w:rsidRPr="000A7930">
        <w:rPr>
          <w:sz w:val="20"/>
          <w:lang w:val="fr-CA"/>
        </w:rPr>
        <w:t xml:space="preserve"> et Gascon sont dissidents) : Le pourvoi est accueilli, les déclarations de culpabilité sont annulées et des acquittements sont inscrits.</w:t>
      </w:r>
    </w:p>
    <w:p w:rsidR="000E51D2" w:rsidRPr="000A7930" w:rsidRDefault="000E51D2" w:rsidP="000E51D2">
      <w:pPr>
        <w:pStyle w:val="SCCNormalDoubleSpacing"/>
        <w:spacing w:line="240" w:lineRule="auto"/>
        <w:rPr>
          <w:sz w:val="20"/>
          <w:lang w:val="fr-CA"/>
        </w:rPr>
      </w:pPr>
    </w:p>
    <w:p w:rsidR="000E51D2" w:rsidRDefault="000E51D2" w:rsidP="000E51D2">
      <w:pPr>
        <w:pStyle w:val="SCCNormalDoubleSpacing"/>
        <w:spacing w:line="240" w:lineRule="auto"/>
        <w:rPr>
          <w:sz w:val="20"/>
          <w:lang w:val="fr-CA"/>
        </w:rPr>
      </w:pPr>
      <w:r w:rsidRPr="000A7930">
        <w:rPr>
          <w:sz w:val="20"/>
          <w:lang w:val="fr-CA"/>
        </w:rPr>
        <w:tab/>
      </w:r>
      <w:r w:rsidRPr="000A7930">
        <w:rPr>
          <w:i/>
          <w:sz w:val="20"/>
          <w:lang w:val="fr-CA"/>
        </w:rPr>
        <w:t>La</w:t>
      </w:r>
      <w:r w:rsidRPr="000A7930">
        <w:rPr>
          <w:sz w:val="20"/>
          <w:lang w:val="fr-CA"/>
        </w:rPr>
        <w:t xml:space="preserve"> juge en chef </w:t>
      </w:r>
      <w:proofErr w:type="spellStart"/>
      <w:r w:rsidRPr="000A7930">
        <w:rPr>
          <w:sz w:val="20"/>
          <w:lang w:val="fr-CA"/>
        </w:rPr>
        <w:t>McLachlin</w:t>
      </w:r>
      <w:proofErr w:type="spellEnd"/>
      <w:r w:rsidRPr="000A7930">
        <w:rPr>
          <w:sz w:val="20"/>
          <w:lang w:val="fr-CA"/>
        </w:rPr>
        <w:t xml:space="preserve"> et les juges Abella, </w:t>
      </w:r>
      <w:proofErr w:type="spellStart"/>
      <w:r w:rsidRPr="000A7930">
        <w:rPr>
          <w:sz w:val="20"/>
          <w:lang w:val="fr-CA"/>
        </w:rPr>
        <w:t>Karakatsanis</w:t>
      </w:r>
      <w:proofErr w:type="spellEnd"/>
      <w:r w:rsidRPr="000A7930">
        <w:rPr>
          <w:sz w:val="20"/>
          <w:lang w:val="fr-CA"/>
        </w:rPr>
        <w:t xml:space="preserve">, Wagner et </w:t>
      </w:r>
      <w:r w:rsidRPr="000A7930">
        <w:rPr>
          <w:b/>
          <w:sz w:val="20"/>
          <w:lang w:val="fr-CA"/>
        </w:rPr>
        <w:t>Brown</w:t>
      </w:r>
      <w:r w:rsidRPr="000A7930">
        <w:rPr>
          <w:sz w:val="20"/>
          <w:lang w:val="fr-CA"/>
        </w:rPr>
        <w:t> : La portée de la règle des confessions ne devrait pas être accrue de manière que la règle s’applique aux déclarations considérées lors d’un voir</w:t>
      </w:r>
      <w:r w:rsidRPr="000A7930">
        <w:rPr>
          <w:sz w:val="20"/>
          <w:lang w:val="fr-CA"/>
        </w:rPr>
        <w:noBreakHyphen/>
        <w:t>dire constitutionnel. Le ministère public doit prouver le caractère volontaire de la déclaration d’un accusé avant de l’invoquer au procès pour obtenir une déclaration de culpabilité. L’objet de l’examen auquel se livre le tribunal lors d’un voir</w:t>
      </w:r>
      <w:r w:rsidRPr="000A7930">
        <w:rPr>
          <w:sz w:val="20"/>
          <w:lang w:val="fr-CA"/>
        </w:rPr>
        <w:noBreakHyphen/>
        <w:t>dire constitutionnel se distingue de celui d’un procès criminel, lequel se soucie de la culpabilité ou de la non</w:t>
      </w:r>
      <w:r w:rsidRPr="000A7930">
        <w:rPr>
          <w:sz w:val="20"/>
          <w:lang w:val="fr-CA"/>
        </w:rPr>
        <w:noBreakHyphen/>
        <w:t>culpabilité de la personne accusée d’une infraction, alors que le voir</w:t>
      </w:r>
      <w:r w:rsidRPr="000A7930">
        <w:rPr>
          <w:sz w:val="20"/>
          <w:lang w:val="fr-CA"/>
        </w:rPr>
        <w:noBreakHyphen/>
        <w:t>dire constitutionnel ne s’attache pas à la culpabilité de l’accusé, mais plutôt au respect ou non de ses droits constitutionnels. Le voir</w:t>
      </w:r>
      <w:r w:rsidRPr="000A7930">
        <w:rPr>
          <w:sz w:val="20"/>
          <w:lang w:val="fr-CA"/>
        </w:rPr>
        <w:noBreakHyphen/>
        <w:t>dire constitutionnel suppose donc l’analyse de la totalité des circonstances connues du représentant de l’État et sur lesquelles ce dernier s’est fondé au moment de prendre la mesure en cause. Seuls sont considérés l’état d’esprit et la conduite du représentant de l’État à ce moment précis. La véracité de la déclaration à partir de laquelle il a agi ne l’est pas. C’est pourquoi la véracité d’une déclaration n’a pas d’incidence sur son admissibilité; l’examen s’attache plutôt à la question de savoir s’il était raisonnable que le représentant de l’État voie dans la déclaration un motif justifiant la mesure. L’admission en preuve de la déclaration d’un accusé afin de statuer sur la constitutionnalité d’une mesure de l’État, et non sur la culpabilité de l’accusé, ne fait pas entrer en jeu la raison d’être de la règle des confessions. Appliquer cette règle aux éléments de preuve présentés lors d’un voir</w:t>
      </w:r>
      <w:r w:rsidRPr="000A7930">
        <w:rPr>
          <w:sz w:val="20"/>
          <w:lang w:val="fr-CA"/>
        </w:rPr>
        <w:noBreakHyphen/>
        <w:t>dire constitutionnel reviendrait à dénaturer aussi bien la règle que sa raison d’être. Pareille application paralyserait les enquêtes policières et compromettrait la sécurité publique, sans compter que la durée et la complexité des voir</w:t>
      </w:r>
      <w:r w:rsidRPr="000A7930">
        <w:rPr>
          <w:sz w:val="20"/>
          <w:lang w:val="fr-CA"/>
        </w:rPr>
        <w:noBreakHyphen/>
        <w:t xml:space="preserve">dire s’accroîtraient inutilement. </w:t>
      </w:r>
    </w:p>
    <w:p w:rsidR="000E51D2" w:rsidRPr="000A7930" w:rsidRDefault="000E51D2" w:rsidP="000E51D2">
      <w:pPr>
        <w:pStyle w:val="SCCNormalDoubleSpacing"/>
        <w:spacing w:line="240" w:lineRule="auto"/>
        <w:rPr>
          <w:sz w:val="20"/>
          <w:lang w:val="fr-CA"/>
        </w:rPr>
      </w:pPr>
    </w:p>
    <w:p w:rsidR="000E51D2" w:rsidRDefault="000E51D2" w:rsidP="000E51D2">
      <w:pPr>
        <w:pStyle w:val="SCCNormalDoubleSpacing"/>
        <w:spacing w:line="240" w:lineRule="auto"/>
        <w:rPr>
          <w:noProof/>
          <w:sz w:val="20"/>
          <w:lang w:val="fr-CA"/>
        </w:rPr>
      </w:pPr>
      <w:r w:rsidRPr="000A7930">
        <w:rPr>
          <w:sz w:val="20"/>
          <w:lang w:val="fr-CA"/>
        </w:rPr>
        <w:tab/>
        <w:t>L</w:t>
      </w:r>
      <w:r w:rsidRPr="000A7930">
        <w:rPr>
          <w:noProof/>
          <w:sz w:val="20"/>
          <w:lang w:val="fr-CA"/>
        </w:rPr>
        <w:t xml:space="preserve">’entrée sans mandat des policiers chez P n’était pas justifiée par une « urgence de la situation » qui rendait « difficilement réalisable » l’obtention d’un mandat au sens du par. 11(7) de la </w:t>
      </w:r>
      <w:r w:rsidRPr="000A7930">
        <w:rPr>
          <w:i/>
          <w:sz w:val="20"/>
          <w:lang w:val="fr-CA"/>
        </w:rPr>
        <w:t>Loi réglementant certaines drogues et autres substances</w:t>
      </w:r>
      <w:r w:rsidRPr="000A7930">
        <w:rPr>
          <w:sz w:val="20"/>
          <w:lang w:val="fr-CA"/>
        </w:rPr>
        <w:t xml:space="preserve"> (« </w:t>
      </w:r>
      <w:r w:rsidRPr="000A7930">
        <w:rPr>
          <w:i/>
          <w:sz w:val="20"/>
          <w:lang w:val="fr-CA"/>
        </w:rPr>
        <w:t>LRCDAS </w:t>
      </w:r>
      <w:r w:rsidRPr="000A7930">
        <w:rPr>
          <w:sz w:val="20"/>
          <w:lang w:val="fr-CA"/>
        </w:rPr>
        <w:t xml:space="preserve">»). Elle a donc porté atteinte au droit de P garanti à l’art. 8 de la </w:t>
      </w:r>
      <w:r w:rsidRPr="000A7930">
        <w:rPr>
          <w:i/>
          <w:sz w:val="20"/>
          <w:lang w:val="fr-CA"/>
        </w:rPr>
        <w:t>Charte</w:t>
      </w:r>
      <w:r w:rsidRPr="000A7930">
        <w:rPr>
          <w:sz w:val="20"/>
          <w:lang w:val="fr-CA"/>
        </w:rPr>
        <w:t>. L</w:t>
      </w:r>
      <w:r w:rsidRPr="000A7930">
        <w:rPr>
          <w:noProof/>
          <w:sz w:val="20"/>
          <w:lang w:val="fr-CA"/>
        </w:rPr>
        <w:t>’« urgence de la situation » ne renvoie pas seulement à la commodité, à l’opportunité ou à l’économie de temps, mais bien à l’existence de circonstances pressantes. L’urgence de la situation ne justifie pas à elle seule la perquisition sans mandat d’une résidence sur le fondement du par. 11(7). Elle doit rendre l’obtention d’un mandat « difficilement réalisable ». Pour que l’entrée sans mandat réponde aux exigences du par. 11(7), le ministère public doit démontrer qu’elle s’imposait en raison du caractère pressant de la situation, que les policiers se devaient d’intervenir sans délai soit pour préserver la preuve, soit pour assurer leur sécurité ou celle du public. De plus, ce caractère pressant doit avoir été tel que prendre le temps d’obtenir un mandat aurait sérieusement compromis ces impératifs.</w:t>
      </w:r>
    </w:p>
    <w:p w:rsidR="000E51D2" w:rsidRPr="000A7930" w:rsidRDefault="000E51D2" w:rsidP="000E51D2">
      <w:pPr>
        <w:pStyle w:val="SCCNormalDoubleSpacing"/>
        <w:spacing w:line="240" w:lineRule="auto"/>
        <w:rPr>
          <w:noProof/>
          <w:sz w:val="20"/>
          <w:lang w:val="fr-CA"/>
        </w:rPr>
      </w:pPr>
    </w:p>
    <w:p w:rsidR="000E51D2" w:rsidRDefault="000E51D2" w:rsidP="000E51D2">
      <w:pPr>
        <w:pStyle w:val="SCCNormalDoubleSpacing"/>
        <w:spacing w:line="240" w:lineRule="auto"/>
        <w:rPr>
          <w:noProof/>
          <w:sz w:val="20"/>
          <w:lang w:val="fr-CA"/>
        </w:rPr>
      </w:pPr>
      <w:r w:rsidRPr="000A7930">
        <w:rPr>
          <w:noProof/>
          <w:sz w:val="20"/>
          <w:lang w:val="fr-CA"/>
        </w:rPr>
        <w:tab/>
        <w:t xml:space="preserve">Aucune circonstance pressante ne commandait en l’espèce une intervention immédiate pour préserver la preuve. Qui plus est, les circonstances dans lesquelles P a reconnu avoir en sa possession quelques mégots en partie consumés, jumelées à la volonté des policiers de saisir ces mégots sans poursuite, n’ont pas non plus rendu l’obtention d’un mandat difficilement réalisable. C’est le caractère difficilement réalisable, non le caractère seulement inconvénient, qui satisfait à l’exigence du par. 11(7). Dans la présente affaire, les policiers auraient pu opter pour une mesure réalisable, soit arrêter P et obtenir un mandat les autorisant à entrer chez lui et saisir les mégots. Si la situation n’était pas suffisamment grave </w:t>
      </w:r>
      <w:r w:rsidRPr="000A7930">
        <w:rPr>
          <w:noProof/>
          <w:sz w:val="20"/>
          <w:lang w:val="fr-CA"/>
        </w:rPr>
        <w:lastRenderedPageBreak/>
        <w:t>pour arrêter P et obtenir un mandat, elle ne l’était pas non plus pour entrer sans mandat dans une résidence privée. En outre, la crainte liée à la sécurité des policiers n’est pas à l’origine de la décision d’entrer sans mandat; c’est plutôt l’entrée sans mandat qui a fait naître cette crainte.</w:t>
      </w:r>
    </w:p>
    <w:p w:rsidR="000E51D2" w:rsidRPr="000A7930" w:rsidRDefault="000E51D2" w:rsidP="000E51D2">
      <w:pPr>
        <w:pStyle w:val="SCCNormalDoubleSpacing"/>
        <w:spacing w:line="240" w:lineRule="auto"/>
        <w:rPr>
          <w:noProof/>
          <w:sz w:val="20"/>
          <w:lang w:val="fr-CA"/>
        </w:rPr>
      </w:pPr>
    </w:p>
    <w:p w:rsidR="000E51D2" w:rsidRDefault="000E51D2" w:rsidP="000E51D2">
      <w:pPr>
        <w:pStyle w:val="SCCNormalDoubleSpacing"/>
        <w:spacing w:line="240" w:lineRule="auto"/>
        <w:rPr>
          <w:noProof/>
          <w:sz w:val="20"/>
          <w:lang w:val="fr-CA"/>
        </w:rPr>
      </w:pPr>
      <w:r w:rsidRPr="000A7930">
        <w:rPr>
          <w:noProof/>
          <w:sz w:val="20"/>
          <w:lang w:val="fr-CA"/>
        </w:rPr>
        <w:tab/>
        <w:t xml:space="preserve">Il convient d’écarter, sous le régime du par. 24(2) de la </w:t>
      </w:r>
      <w:r w:rsidRPr="000A7930">
        <w:rPr>
          <w:i/>
          <w:noProof/>
          <w:sz w:val="20"/>
          <w:lang w:val="fr-CA"/>
        </w:rPr>
        <w:t>Charte</w:t>
      </w:r>
      <w:r w:rsidRPr="000A7930">
        <w:rPr>
          <w:noProof/>
          <w:sz w:val="20"/>
          <w:lang w:val="fr-CA"/>
        </w:rPr>
        <w:t xml:space="preserve">, les éléments de preuve obtenus grâce à l’entrée chez P et à la perquisition des lieux, car leur utilisation est susceptible de déconsidérer l’administration de la justice. Sans être flagrante, la conduite des policiers dénote un écart marqué à une norme constitutionnelle bien établie. Les policiers ne sont pas intervenus dans un contexte juridique inconnu : leur intention d’effectuer une saisie « sans poursuite » importait peu en droit compte tenu des principes juridiques bien établis qui régissent le pouvoir des policiers d’entrer sans mandat dans une résidence. La mise en balance des facteurs pertinents, à savoir la gravité de la conduite de l’État, la gravité de l’atteinte à un droit constitutionnel et l’incidence sur l’intérêt de la société dans l’instruction de l’affaire au fond, ne constituera jamais une entreprise tout à fait objective. La destruction concrète de la preuve du ministère public pèse fortement dans la balance, mais il en va de même de l’entrée sans mandat dans une résidence privée afin d’empêcher P de détruire trois mégots que les policiers comptaient de toute façon détruire. Il importe de ne pas permettre que le troisième facteur </w:t>
      </w:r>
      <w:r w:rsidRPr="000A7930">
        <w:rPr>
          <w:sz w:val="20"/>
          <w:lang w:val="fr-CA"/>
        </w:rPr>
        <w:t xml:space="preserve">— </w:t>
      </w:r>
      <w:r w:rsidRPr="000A7930">
        <w:rPr>
          <w:noProof/>
          <w:sz w:val="20"/>
          <w:lang w:val="fr-CA"/>
        </w:rPr>
        <w:t xml:space="preserve">l’intérêt de la société dans l’instruction de l’affaire au fond </w:t>
      </w:r>
      <w:r w:rsidRPr="000A7930">
        <w:rPr>
          <w:sz w:val="20"/>
          <w:lang w:val="fr-CA"/>
        </w:rPr>
        <w:t>—</w:t>
      </w:r>
      <w:r w:rsidRPr="000A7930">
        <w:rPr>
          <w:noProof/>
          <w:sz w:val="20"/>
          <w:lang w:val="fr-CA"/>
        </w:rPr>
        <w:t xml:space="preserve"> l’emporte sur toutes les autres considérations, surtout lorsque, comme en l’espèce, la conduite reprochée est grave et a une grande incidence sur un droit constitutionnel de P. Après examen de ces facteurs séparément puis dans leur ensemble, l’importance de faire en sorte que pareille conduite ne soit pas cautionnée par les tribunaux milite en faveur de l’exclusion de la preuve.</w:t>
      </w:r>
    </w:p>
    <w:p w:rsidR="000E51D2" w:rsidRPr="000A7930" w:rsidRDefault="000E51D2" w:rsidP="000E51D2">
      <w:pPr>
        <w:pStyle w:val="SCCNormalDoubleSpacing"/>
        <w:spacing w:line="240" w:lineRule="auto"/>
        <w:rPr>
          <w:noProof/>
          <w:sz w:val="20"/>
          <w:lang w:val="fr-CA"/>
        </w:rPr>
      </w:pPr>
    </w:p>
    <w:p w:rsidR="000E51D2" w:rsidRDefault="000E51D2" w:rsidP="000E51D2">
      <w:pPr>
        <w:pStyle w:val="SCCNormalDoubleSpacing"/>
        <w:spacing w:line="240" w:lineRule="auto"/>
        <w:rPr>
          <w:sz w:val="20"/>
          <w:lang w:val="fr-CA"/>
        </w:rPr>
      </w:pPr>
      <w:r w:rsidRPr="000A7930">
        <w:rPr>
          <w:i/>
          <w:noProof/>
          <w:sz w:val="20"/>
          <w:lang w:val="fr-CA"/>
        </w:rPr>
        <w:tab/>
        <w:t>Les</w:t>
      </w:r>
      <w:r w:rsidRPr="000A7930">
        <w:rPr>
          <w:noProof/>
          <w:sz w:val="20"/>
          <w:lang w:val="fr-CA"/>
        </w:rPr>
        <w:t xml:space="preserve"> juges </w:t>
      </w:r>
      <w:r w:rsidRPr="000A7930">
        <w:rPr>
          <w:b/>
          <w:noProof/>
          <w:sz w:val="20"/>
          <w:lang w:val="fr-CA"/>
        </w:rPr>
        <w:t>Moldaver</w:t>
      </w:r>
      <w:r w:rsidRPr="000A7930">
        <w:rPr>
          <w:noProof/>
          <w:sz w:val="20"/>
          <w:lang w:val="fr-CA"/>
        </w:rPr>
        <w:t xml:space="preserve"> et Gascon (dissidents) : Il y a accord avec l’analyse et la conclusion des juges majoritaires concernant le caractère volontaire de la déclaration. Malgré les conclusions contraires du juge du procès et des trois juges de la Cour d’appel, l</w:t>
      </w:r>
      <w:r w:rsidRPr="000A7930">
        <w:rPr>
          <w:sz w:val="20"/>
          <w:lang w:val="fr-CA"/>
        </w:rPr>
        <w:t>’entrée des policiers chez P était certes illégale et attentatoire à son droit à la protection de sa vie privée garanti par l’art. 8. Toutefois, les armes à feu et les drogues saisies chez P ont été admises en preuve à juste titre, de sorte que le pourvoi devrait être rejeté.</w:t>
      </w:r>
    </w:p>
    <w:p w:rsidR="000E51D2" w:rsidRPr="000A7930" w:rsidRDefault="000E51D2" w:rsidP="000E51D2">
      <w:pPr>
        <w:pStyle w:val="SCCNormalDoubleSpacing"/>
        <w:spacing w:line="240" w:lineRule="auto"/>
        <w:rPr>
          <w:sz w:val="20"/>
          <w:lang w:val="fr-CA"/>
        </w:rPr>
      </w:pPr>
    </w:p>
    <w:p w:rsidR="000E51D2" w:rsidRDefault="000E51D2" w:rsidP="000E51D2">
      <w:pPr>
        <w:pStyle w:val="SCCNormalDoubleSpacing"/>
        <w:spacing w:line="240" w:lineRule="auto"/>
        <w:rPr>
          <w:sz w:val="20"/>
          <w:lang w:val="fr-CA"/>
        </w:rPr>
      </w:pPr>
      <w:r w:rsidRPr="000A7930">
        <w:rPr>
          <w:sz w:val="20"/>
          <w:lang w:val="fr-CA"/>
        </w:rPr>
        <w:tab/>
        <w:t>Dans ce genre de dossier, il incombe à la Cour de clarifier le droit applicable afin que policiers, avocats de la défense, procureurs de la Couronne, juges de première instance et d’appel, de même que citoyens en général, puissent savoir quel est le droit applicable et comment il s’appliquera à l’avenir. Il ne lui appartient pas de juger la conduite des policiers à l’aune d’une norme qui échappe au discernement et aux connaissances de juges de première instance et d’appel chevronnés. Pour les besoins de la clarification du droit applicable, il est concédé que les policiers ne pouvaient se prévaloir du par. 11(7) de la </w:t>
      </w:r>
      <w:r w:rsidRPr="000A7930">
        <w:rPr>
          <w:i/>
          <w:sz w:val="20"/>
          <w:lang w:val="fr-CA"/>
        </w:rPr>
        <w:t xml:space="preserve">Loi réglementant certaines drogues et autres substances </w:t>
      </w:r>
      <w:r w:rsidRPr="000A7930">
        <w:rPr>
          <w:sz w:val="20"/>
          <w:lang w:val="fr-CA"/>
        </w:rPr>
        <w:t>au vu des faits de l’espèce. Trois possibilités s’offraient en fait à eux : (1) tenter d’obtenir le consentement légal de P à ce qu’ils entrent chez lui et saisissent les mégots, (2) arrêter P et obtenir un mandat les autorisant à perquisitionner chez lui et saisir les mégots ou (3) abandonner la partie et quitter les lieux, et manquer ainsi à leur devoir de saisir une substance illicite, ne serait-ce que pour la consigner puis la détruire. Cela dit, il est injuste de blâmer la conduite des policiers alors que, jusqu’à ce que la Cour se prononce aujourd’hui, les paramètres d’application du par. 11(7) dans le cas d’une saisie « sans poursuite » étaient au mieux flous. Il suffit de consulter les décisions des tribunaux inférieurs pour le constater.</w:t>
      </w:r>
    </w:p>
    <w:p w:rsidR="000E51D2" w:rsidRPr="000A7930" w:rsidRDefault="000E51D2" w:rsidP="000E51D2">
      <w:pPr>
        <w:pStyle w:val="SCCNormalDoubleSpacing"/>
        <w:spacing w:line="240" w:lineRule="auto"/>
        <w:rPr>
          <w:sz w:val="20"/>
          <w:lang w:val="fr-CA"/>
        </w:rPr>
      </w:pPr>
    </w:p>
    <w:p w:rsidR="000E51D2" w:rsidRDefault="000E51D2" w:rsidP="000E51D2">
      <w:pPr>
        <w:pStyle w:val="SCCNormalDoubleSpacing"/>
        <w:spacing w:line="240" w:lineRule="auto"/>
        <w:rPr>
          <w:sz w:val="20"/>
          <w:lang w:val="fr-CA"/>
        </w:rPr>
      </w:pPr>
      <w:r w:rsidRPr="000A7930">
        <w:rPr>
          <w:sz w:val="20"/>
          <w:lang w:val="fr-CA"/>
        </w:rPr>
        <w:tab/>
        <w:t xml:space="preserve">Notre Cour a statué avec constance que les tribunaux peuvent tenir compte de l’incertitude juridique lorsqu’ils apprécient la gravité d’une atteinte policière à un droit garanti par la </w:t>
      </w:r>
      <w:r w:rsidRPr="000A7930">
        <w:rPr>
          <w:i/>
          <w:sz w:val="20"/>
          <w:lang w:val="fr-CA"/>
        </w:rPr>
        <w:t>Charte</w:t>
      </w:r>
      <w:r w:rsidRPr="000A7930">
        <w:rPr>
          <w:sz w:val="20"/>
          <w:lang w:val="fr-CA"/>
        </w:rPr>
        <w:t>. Lorsque le droit évolue ou qu’il est incertain, et lorsque l’on conclut que les policiers ont agi de bonne foi, sans méconnaissance ou mépris délibéré des droits constitutionnels de l’accusé,</w:t>
      </w:r>
      <w:r w:rsidRPr="000A7930">
        <w:rPr>
          <w:i/>
          <w:sz w:val="20"/>
          <w:lang w:val="fr-CA"/>
        </w:rPr>
        <w:t xml:space="preserve"> </w:t>
      </w:r>
      <w:r w:rsidRPr="000A7930">
        <w:rPr>
          <w:sz w:val="20"/>
          <w:lang w:val="fr-CA"/>
        </w:rPr>
        <w:t>la gravité de l’atteinte peut en être atténuée.</w:t>
      </w:r>
    </w:p>
    <w:p w:rsidR="000E51D2" w:rsidRPr="000A7930" w:rsidRDefault="000E51D2" w:rsidP="000E51D2">
      <w:pPr>
        <w:pStyle w:val="SCCNormalDoubleSpacing"/>
        <w:spacing w:line="240" w:lineRule="auto"/>
        <w:rPr>
          <w:sz w:val="20"/>
          <w:lang w:val="fr-CA"/>
        </w:rPr>
      </w:pPr>
    </w:p>
    <w:p w:rsidR="000E51D2" w:rsidRDefault="000E51D2" w:rsidP="000E51D2">
      <w:pPr>
        <w:pStyle w:val="SCCNormalDoubleSpacing"/>
        <w:spacing w:line="240" w:lineRule="auto"/>
        <w:rPr>
          <w:sz w:val="20"/>
          <w:lang w:val="fr-CA"/>
        </w:rPr>
      </w:pPr>
      <w:r w:rsidRPr="000A7930">
        <w:rPr>
          <w:sz w:val="20"/>
          <w:lang w:val="fr-CA"/>
        </w:rPr>
        <w:tab/>
        <w:t xml:space="preserve">Dans la présente affaire, la gravité de l’atteinte est nettement atténuée par la portée incertaine du par. 11(7) de la </w:t>
      </w:r>
      <w:r w:rsidRPr="000A7930">
        <w:rPr>
          <w:i/>
          <w:sz w:val="20"/>
          <w:lang w:val="fr-CA"/>
        </w:rPr>
        <w:t>LRCDAS</w:t>
      </w:r>
      <w:r w:rsidRPr="000A7930">
        <w:rPr>
          <w:sz w:val="20"/>
          <w:lang w:val="fr-CA"/>
        </w:rPr>
        <w:t xml:space="preserve"> dans le cas d’une saisie « sans poursuite » et par les conclusions catégoriques du juge du procès selon lesquelles les policiers ont toujours agi de bonne foi. L’incidence de l’entrée des policiers sur l’intérêt de P en matière de respect de la vie privée est également atténuée par le fait que les éléments de preuve en cause auraient pu être découverts légalement si un mandat avait été obtenu. </w:t>
      </w:r>
    </w:p>
    <w:p w:rsidR="000E51D2" w:rsidRPr="000A7930" w:rsidRDefault="000E51D2" w:rsidP="000E51D2">
      <w:pPr>
        <w:pStyle w:val="SCCNormalDoubleSpacing"/>
        <w:spacing w:line="240" w:lineRule="auto"/>
        <w:rPr>
          <w:sz w:val="20"/>
          <w:lang w:val="fr-CA"/>
        </w:rPr>
      </w:pPr>
    </w:p>
    <w:p w:rsidR="000E51D2" w:rsidRDefault="000E51D2" w:rsidP="000E51D2">
      <w:pPr>
        <w:pStyle w:val="SCCNormalDoubleSpacing"/>
        <w:spacing w:line="240" w:lineRule="auto"/>
        <w:rPr>
          <w:sz w:val="20"/>
          <w:lang w:val="fr-CA"/>
        </w:rPr>
      </w:pPr>
      <w:r w:rsidRPr="000A7930">
        <w:rPr>
          <w:sz w:val="20"/>
          <w:lang w:val="fr-CA"/>
        </w:rPr>
        <w:tab/>
        <w:t xml:space="preserve">Ainsi, malgré leur bonne foi, les policiers ont commis l’erreur de se croire autorisés par le par. 11(7) à entrer chez P dans le cadre d’une saisie « sans poursuite »; ils ont commis la même erreur que les tribunaux inférieurs. C’est le cumul de l’incertitude juridique, de la bonne foi des policiers, de la possibilité de découvrir une preuve essentielle à la tenue d’un procès au fond et de la fiabilité d’une telle preuve qui permet de conclure la mise en balance en statuant que la preuve est admissible. Dès lors, c’est l’exclusion d’éléments de preuve fiables et cruciaux susceptibles d’établir la perpétration par P d’infractions très graves en matière d’armes à feu et de drogues qui est beaucoup plus susceptible </w:t>
      </w:r>
      <w:r w:rsidRPr="000A7930">
        <w:rPr>
          <w:sz w:val="20"/>
          <w:lang w:val="fr-CA"/>
        </w:rPr>
        <w:lastRenderedPageBreak/>
        <w:t xml:space="preserve">d’amener le public à perdre confiance dans notre système de justice criminelle. Néanmoins, dans un cas comme celui considéré en l’espèce, une autre réparation, telle la réduction de peine, pourrait être accordée sur le fondement du par. 24(1) de la </w:t>
      </w:r>
      <w:r w:rsidRPr="000A7930">
        <w:rPr>
          <w:i/>
          <w:sz w:val="20"/>
          <w:lang w:val="fr-CA"/>
        </w:rPr>
        <w:t>Charte</w:t>
      </w:r>
      <w:r w:rsidRPr="000A7930">
        <w:rPr>
          <w:sz w:val="20"/>
          <w:lang w:val="fr-CA"/>
        </w:rPr>
        <w:t xml:space="preserve"> au lieu que la preuve soit écartée comme le prévoit le par. 24(2). Mais cette possibilité n’a pas été soulevée et il faudra statuer sur elle dans un dossier ultérieur.</w:t>
      </w:r>
    </w:p>
    <w:p w:rsidR="000E51D2" w:rsidRPr="000A7930" w:rsidRDefault="000E51D2" w:rsidP="000E51D2">
      <w:pPr>
        <w:pStyle w:val="SCCNormalDoubleSpacing"/>
        <w:spacing w:line="240" w:lineRule="auto"/>
        <w:rPr>
          <w:noProof/>
          <w:sz w:val="20"/>
          <w:lang w:val="fr-CA"/>
        </w:rPr>
      </w:pPr>
    </w:p>
    <w:p w:rsidR="000E51D2" w:rsidRDefault="000E51D2" w:rsidP="000E51D2">
      <w:pPr>
        <w:pStyle w:val="SCCNormalDoubleSpacing"/>
        <w:spacing w:line="240" w:lineRule="auto"/>
        <w:rPr>
          <w:sz w:val="20"/>
          <w:lang w:val="fr-CA"/>
        </w:rPr>
      </w:pPr>
      <w:r w:rsidRPr="000A7930">
        <w:rPr>
          <w:sz w:val="20"/>
          <w:lang w:val="fr-CA"/>
        </w:rPr>
        <w:tab/>
        <w:t>POURVOI contre un arrêt de la Cour d’appel de la Colombie</w:t>
      </w:r>
      <w:r w:rsidRPr="000A7930">
        <w:rPr>
          <w:sz w:val="20"/>
          <w:lang w:val="fr-CA"/>
        </w:rPr>
        <w:noBreakHyphen/>
        <w:t xml:space="preserve">Britannique (les juges Lowry, </w:t>
      </w:r>
      <w:proofErr w:type="spellStart"/>
      <w:r w:rsidRPr="000A7930">
        <w:rPr>
          <w:sz w:val="20"/>
          <w:lang w:val="fr-CA"/>
        </w:rPr>
        <w:t>Frankel</w:t>
      </w:r>
      <w:proofErr w:type="spellEnd"/>
      <w:r w:rsidRPr="000A7930">
        <w:rPr>
          <w:sz w:val="20"/>
          <w:lang w:val="fr-CA"/>
        </w:rPr>
        <w:t xml:space="preserve"> et Bennett), 2015 BCCA 205, 372 B.C.A.C. 148, 640 W.A.C. 148, 324 C.C.C. (3d) 305, 340 C.R.R. (2d) 41, [2015] B.C.J. No. 946 (QL), 2015 </w:t>
      </w:r>
      <w:proofErr w:type="spellStart"/>
      <w:r w:rsidRPr="000A7930">
        <w:rPr>
          <w:sz w:val="20"/>
          <w:lang w:val="fr-CA"/>
        </w:rPr>
        <w:t>CarswellBC</w:t>
      </w:r>
      <w:proofErr w:type="spellEnd"/>
      <w:r w:rsidRPr="000A7930">
        <w:rPr>
          <w:sz w:val="20"/>
          <w:lang w:val="fr-CA"/>
        </w:rPr>
        <w:t xml:space="preserve"> 1256 (WL Can.), qui a confirmé les déclarations de culpabilité de possession de substances désignées, de possession de substances désignées en vue d’en faire le trafic et de possession illégale d’armes à feu prohibées ou à autorisation restreinte inscrites par le juge Blok, 2012 BCSC 1680, [2012] B.C.J. No. 2343 (QL), 2012 </w:t>
      </w:r>
      <w:proofErr w:type="spellStart"/>
      <w:r w:rsidRPr="000A7930">
        <w:rPr>
          <w:sz w:val="20"/>
          <w:lang w:val="fr-CA"/>
        </w:rPr>
        <w:t>CarswellBC</w:t>
      </w:r>
      <w:proofErr w:type="spellEnd"/>
      <w:r w:rsidRPr="000A7930">
        <w:rPr>
          <w:sz w:val="20"/>
          <w:lang w:val="fr-CA"/>
        </w:rPr>
        <w:t xml:space="preserve"> 3519 (WL Can.). Pourvoi accueilli, déclarations de culpabilité annulées et acquittements inscrits, les juges </w:t>
      </w:r>
      <w:proofErr w:type="spellStart"/>
      <w:r w:rsidRPr="000A7930">
        <w:rPr>
          <w:sz w:val="20"/>
          <w:lang w:val="fr-CA"/>
        </w:rPr>
        <w:t>Moldaver</w:t>
      </w:r>
      <w:proofErr w:type="spellEnd"/>
      <w:r w:rsidRPr="000A7930">
        <w:rPr>
          <w:sz w:val="20"/>
          <w:lang w:val="fr-CA"/>
        </w:rPr>
        <w:t xml:space="preserve"> et Gascon sont dissidents.</w:t>
      </w:r>
    </w:p>
    <w:p w:rsidR="000E51D2" w:rsidRPr="000A7930" w:rsidRDefault="000E51D2" w:rsidP="000E51D2">
      <w:pPr>
        <w:pStyle w:val="SCCNormalDoubleSpacing"/>
        <w:spacing w:line="240" w:lineRule="auto"/>
        <w:rPr>
          <w:sz w:val="20"/>
          <w:lang w:val="fr-CA"/>
        </w:rPr>
      </w:pPr>
    </w:p>
    <w:p w:rsidR="000E51D2" w:rsidRDefault="000E51D2" w:rsidP="000E51D2">
      <w:pPr>
        <w:pStyle w:val="SCCNormalDoubleSpacing"/>
        <w:spacing w:line="240" w:lineRule="auto"/>
        <w:rPr>
          <w:rStyle w:val="SCCCounselPartyRoleChar"/>
          <w:sz w:val="20"/>
          <w:lang w:val="fr-CA"/>
        </w:rPr>
      </w:pPr>
      <w:r w:rsidRPr="000A7930">
        <w:rPr>
          <w:rStyle w:val="SCCCounselNameChar"/>
          <w:sz w:val="20"/>
          <w:lang w:val="fr-CA"/>
        </w:rPr>
        <w:tab/>
        <w:t xml:space="preserve">Daniel J. Song, Kenneth S. Westlake, </w:t>
      </w:r>
      <w:proofErr w:type="spellStart"/>
      <w:r w:rsidRPr="000A7930">
        <w:rPr>
          <w:rStyle w:val="SCCCounselNameChar"/>
          <w:sz w:val="20"/>
          <w:lang w:val="fr-CA"/>
        </w:rPr>
        <w:t>c.r</w:t>
      </w:r>
      <w:proofErr w:type="spellEnd"/>
      <w:r w:rsidRPr="000A7930">
        <w:rPr>
          <w:rStyle w:val="SCCCounselNameChar"/>
          <w:sz w:val="20"/>
          <w:lang w:val="fr-CA"/>
        </w:rPr>
        <w:t>.</w:t>
      </w:r>
      <w:r w:rsidRPr="000A7930">
        <w:rPr>
          <w:rStyle w:val="SCCCounselSeparatorChar"/>
          <w:rFonts w:eastAsia="Calibri"/>
          <w:sz w:val="20"/>
        </w:rPr>
        <w:t xml:space="preserve">, et </w:t>
      </w:r>
      <w:r w:rsidRPr="000A7930">
        <w:rPr>
          <w:rStyle w:val="SCCCounselNameChar"/>
          <w:sz w:val="20"/>
          <w:lang w:val="fr-CA"/>
        </w:rPr>
        <w:t>Brent R. Anderson</w:t>
      </w:r>
      <w:r w:rsidRPr="000A7930">
        <w:rPr>
          <w:rStyle w:val="SCCCounselPartyRoleChar"/>
          <w:sz w:val="20"/>
          <w:lang w:val="fr-CA"/>
        </w:rPr>
        <w:t>, pour l’appelant.</w:t>
      </w:r>
    </w:p>
    <w:p w:rsidR="000E51D2" w:rsidRPr="000A7930" w:rsidRDefault="000E51D2" w:rsidP="000E51D2">
      <w:pPr>
        <w:pStyle w:val="SCCNormalDoubleSpacing"/>
        <w:spacing w:line="240" w:lineRule="auto"/>
        <w:rPr>
          <w:sz w:val="20"/>
          <w:lang w:val="fr-CA"/>
        </w:rPr>
      </w:pPr>
    </w:p>
    <w:p w:rsidR="000E51D2" w:rsidRDefault="000E51D2" w:rsidP="000E51D2">
      <w:pPr>
        <w:pStyle w:val="SCCNormalDoubleSpacing"/>
        <w:spacing w:line="240" w:lineRule="auto"/>
        <w:rPr>
          <w:rStyle w:val="SCCCounselPartyRoleChar"/>
          <w:sz w:val="20"/>
          <w:lang w:val="fr-CA"/>
        </w:rPr>
      </w:pPr>
      <w:r w:rsidRPr="000A7930">
        <w:rPr>
          <w:rStyle w:val="SCCCounselNameChar"/>
          <w:sz w:val="20"/>
          <w:lang w:val="fr-CA"/>
        </w:rPr>
        <w:tab/>
        <w:t xml:space="preserve">W. Paul Riley, </w:t>
      </w:r>
      <w:proofErr w:type="spellStart"/>
      <w:r w:rsidRPr="000A7930">
        <w:rPr>
          <w:rStyle w:val="SCCCounselNameChar"/>
          <w:sz w:val="20"/>
          <w:lang w:val="fr-CA"/>
        </w:rPr>
        <w:t>c.r</w:t>
      </w:r>
      <w:proofErr w:type="spellEnd"/>
      <w:r w:rsidRPr="000A7930">
        <w:rPr>
          <w:rStyle w:val="SCCCounselNameChar"/>
          <w:sz w:val="20"/>
          <w:lang w:val="fr-CA"/>
        </w:rPr>
        <w:t>.</w:t>
      </w:r>
      <w:r w:rsidRPr="000A7930">
        <w:rPr>
          <w:rStyle w:val="SCCCounselSeparatorChar"/>
          <w:rFonts w:eastAsia="Calibri"/>
          <w:sz w:val="20"/>
        </w:rPr>
        <w:t xml:space="preserve">, et </w:t>
      </w:r>
      <w:r w:rsidRPr="000A7930">
        <w:rPr>
          <w:rStyle w:val="SCCCounselNameChar"/>
          <w:sz w:val="20"/>
          <w:lang w:val="fr-CA"/>
        </w:rPr>
        <w:t xml:space="preserve">Janna </w:t>
      </w:r>
      <w:proofErr w:type="spellStart"/>
      <w:r w:rsidRPr="000A7930">
        <w:rPr>
          <w:rStyle w:val="SCCCounselNameChar"/>
          <w:sz w:val="20"/>
          <w:lang w:val="fr-CA"/>
        </w:rPr>
        <w:t>Hyman</w:t>
      </w:r>
      <w:proofErr w:type="spellEnd"/>
      <w:r w:rsidRPr="000A7930">
        <w:rPr>
          <w:rStyle w:val="SCCCounselPartyRoleChar"/>
          <w:sz w:val="20"/>
          <w:lang w:val="fr-CA"/>
        </w:rPr>
        <w:t>, pour l’intimée.</w:t>
      </w:r>
    </w:p>
    <w:p w:rsidR="000E51D2" w:rsidRPr="000A7930" w:rsidRDefault="000E51D2" w:rsidP="000E51D2">
      <w:pPr>
        <w:pStyle w:val="SCCNormalDoubleSpacing"/>
        <w:spacing w:line="240" w:lineRule="auto"/>
        <w:rPr>
          <w:sz w:val="20"/>
          <w:lang w:val="fr-CA"/>
        </w:rPr>
      </w:pPr>
    </w:p>
    <w:p w:rsidR="000E51D2" w:rsidRDefault="000E51D2" w:rsidP="000E51D2">
      <w:pPr>
        <w:pStyle w:val="SCCNormalDoubleSpacing"/>
        <w:spacing w:line="240" w:lineRule="auto"/>
        <w:rPr>
          <w:rStyle w:val="SCCCounselPartyRoleChar"/>
          <w:sz w:val="20"/>
          <w:lang w:val="fr-CA"/>
        </w:rPr>
      </w:pPr>
      <w:r w:rsidRPr="000A7930">
        <w:rPr>
          <w:rStyle w:val="SCCCounselNameChar"/>
          <w:sz w:val="20"/>
          <w:lang w:val="fr-CA"/>
        </w:rPr>
        <w:tab/>
        <w:t>Gillian Roberts</w:t>
      </w:r>
      <w:r w:rsidRPr="000A7930">
        <w:rPr>
          <w:rStyle w:val="SCCCounselPartyRoleChar"/>
          <w:sz w:val="20"/>
          <w:lang w:val="fr-CA"/>
        </w:rPr>
        <w:t>, pour l’intervenant le procureur général de l’Ontario.</w:t>
      </w:r>
    </w:p>
    <w:p w:rsidR="000E51D2" w:rsidRPr="000A7930" w:rsidRDefault="000E51D2" w:rsidP="000E51D2">
      <w:pPr>
        <w:pStyle w:val="SCCNormalDoubleSpacing"/>
        <w:spacing w:line="240" w:lineRule="auto"/>
        <w:rPr>
          <w:sz w:val="20"/>
          <w:lang w:val="fr-CA"/>
        </w:rPr>
      </w:pPr>
    </w:p>
    <w:p w:rsidR="000E51D2" w:rsidRDefault="000E51D2" w:rsidP="000E51D2">
      <w:pPr>
        <w:pStyle w:val="SCCNormalDoubleSpacing"/>
        <w:spacing w:line="240" w:lineRule="auto"/>
        <w:rPr>
          <w:rStyle w:val="SCCCounselPartyRoleChar"/>
          <w:sz w:val="20"/>
          <w:lang w:val="fr-CA"/>
        </w:rPr>
      </w:pPr>
      <w:r w:rsidRPr="000A7930">
        <w:rPr>
          <w:rStyle w:val="SCCCounselNameChar"/>
          <w:sz w:val="20"/>
          <w:lang w:val="fr-CA"/>
        </w:rPr>
        <w:tab/>
        <w:t xml:space="preserve">Argumentation écrite seulement par </w:t>
      </w:r>
      <w:proofErr w:type="spellStart"/>
      <w:r w:rsidRPr="000A7930">
        <w:rPr>
          <w:rStyle w:val="SCCCounselNameChar"/>
          <w:sz w:val="20"/>
          <w:lang w:val="fr-CA"/>
        </w:rPr>
        <w:t>Jolaine</w:t>
      </w:r>
      <w:proofErr w:type="spellEnd"/>
      <w:r w:rsidRPr="000A7930">
        <w:rPr>
          <w:rStyle w:val="SCCCounselNameChar"/>
          <w:sz w:val="20"/>
          <w:lang w:val="fr-CA"/>
        </w:rPr>
        <w:t xml:space="preserve"> Antonio</w:t>
      </w:r>
      <w:r w:rsidRPr="000A7930">
        <w:rPr>
          <w:rStyle w:val="SCCCounselPartyRoleChar"/>
          <w:sz w:val="20"/>
          <w:lang w:val="fr-CA"/>
        </w:rPr>
        <w:t>, pour l’intervenant le procureur général de l’Alberta.</w:t>
      </w:r>
    </w:p>
    <w:p w:rsidR="000E51D2" w:rsidRPr="000A7930" w:rsidRDefault="000E51D2" w:rsidP="000E51D2">
      <w:pPr>
        <w:pStyle w:val="SCCNormalDoubleSpacing"/>
        <w:spacing w:line="240" w:lineRule="auto"/>
        <w:rPr>
          <w:sz w:val="20"/>
          <w:lang w:val="fr-CA"/>
        </w:rPr>
      </w:pPr>
    </w:p>
    <w:p w:rsidR="000E51D2" w:rsidRDefault="000E51D2" w:rsidP="000E51D2">
      <w:pPr>
        <w:pStyle w:val="SCCNormalDoubleSpacing"/>
        <w:spacing w:line="240" w:lineRule="auto"/>
        <w:rPr>
          <w:rStyle w:val="SCCCounselPartyRoleChar"/>
          <w:sz w:val="20"/>
          <w:lang w:val="fr-CA"/>
        </w:rPr>
      </w:pPr>
      <w:r w:rsidRPr="000A7930">
        <w:rPr>
          <w:rStyle w:val="SCCCounselNameChar"/>
          <w:sz w:val="20"/>
          <w:lang w:val="fr-CA"/>
        </w:rPr>
        <w:tab/>
        <w:t xml:space="preserve">Roy </w:t>
      </w:r>
      <w:proofErr w:type="spellStart"/>
      <w:r w:rsidRPr="000A7930">
        <w:rPr>
          <w:rStyle w:val="SCCCounselNameChar"/>
          <w:sz w:val="20"/>
          <w:lang w:val="fr-CA"/>
        </w:rPr>
        <w:t>Millen</w:t>
      </w:r>
      <w:proofErr w:type="spellEnd"/>
      <w:r w:rsidRPr="000A7930">
        <w:rPr>
          <w:rStyle w:val="SCCCounselSeparatorChar"/>
          <w:rFonts w:eastAsia="Calibri"/>
          <w:sz w:val="20"/>
        </w:rPr>
        <w:t xml:space="preserve"> et </w:t>
      </w:r>
      <w:r w:rsidRPr="000A7930">
        <w:rPr>
          <w:rStyle w:val="SCCCounselNameChar"/>
          <w:sz w:val="20"/>
          <w:lang w:val="fr-CA"/>
        </w:rPr>
        <w:t xml:space="preserve">Rebecca </w:t>
      </w:r>
      <w:proofErr w:type="spellStart"/>
      <w:r w:rsidRPr="000A7930">
        <w:rPr>
          <w:rStyle w:val="SCCCounselNameChar"/>
          <w:sz w:val="20"/>
          <w:lang w:val="fr-CA"/>
        </w:rPr>
        <w:t>Spigelman</w:t>
      </w:r>
      <w:proofErr w:type="spellEnd"/>
      <w:r w:rsidRPr="000A7930">
        <w:rPr>
          <w:rStyle w:val="SCCCounselPartyRoleChar"/>
          <w:sz w:val="20"/>
          <w:lang w:val="fr-CA"/>
        </w:rPr>
        <w:t xml:space="preserve">, pour l’intervenante </w:t>
      </w:r>
      <w:r w:rsidRPr="000A7930">
        <w:rPr>
          <w:sz w:val="20"/>
          <w:lang w:val="fr-CA"/>
        </w:rPr>
        <w:t xml:space="preserve">British Columbia Civil </w:t>
      </w:r>
      <w:proofErr w:type="spellStart"/>
      <w:r w:rsidRPr="000A7930">
        <w:rPr>
          <w:sz w:val="20"/>
          <w:lang w:val="fr-CA"/>
        </w:rPr>
        <w:t>Liberties</w:t>
      </w:r>
      <w:proofErr w:type="spellEnd"/>
      <w:r w:rsidRPr="000A7930">
        <w:rPr>
          <w:sz w:val="20"/>
          <w:lang w:val="fr-CA"/>
        </w:rPr>
        <w:t xml:space="preserve"> Association</w:t>
      </w:r>
      <w:r w:rsidRPr="000A7930">
        <w:rPr>
          <w:rStyle w:val="SCCCounselPartyRoleChar"/>
          <w:sz w:val="20"/>
          <w:lang w:val="fr-CA"/>
        </w:rPr>
        <w:t>.</w:t>
      </w:r>
    </w:p>
    <w:p w:rsidR="000E51D2" w:rsidRPr="000A7930" w:rsidRDefault="000E51D2" w:rsidP="000E51D2">
      <w:pPr>
        <w:pStyle w:val="SCCNormalDoubleSpacing"/>
        <w:spacing w:line="240" w:lineRule="auto"/>
        <w:rPr>
          <w:sz w:val="20"/>
          <w:lang w:val="fr-CA"/>
        </w:rPr>
      </w:pPr>
    </w:p>
    <w:p w:rsidR="000E51D2" w:rsidRDefault="000E51D2" w:rsidP="000E51D2">
      <w:pPr>
        <w:pStyle w:val="SCCLawFirm"/>
        <w:spacing w:line="240" w:lineRule="auto"/>
        <w:rPr>
          <w:sz w:val="20"/>
          <w:lang w:val="fr-CA"/>
        </w:rPr>
      </w:pPr>
      <w:r w:rsidRPr="000A7930">
        <w:rPr>
          <w:sz w:val="20"/>
          <w:lang w:val="fr-CA"/>
        </w:rPr>
        <w:tab/>
        <w:t>Procureurs de l’appelant : </w:t>
      </w:r>
      <w:proofErr w:type="spellStart"/>
      <w:r w:rsidRPr="000A7930">
        <w:rPr>
          <w:sz w:val="20"/>
          <w:lang w:val="fr-CA"/>
        </w:rPr>
        <w:t>Sprake</w:t>
      </w:r>
      <w:proofErr w:type="spellEnd"/>
      <w:r w:rsidRPr="000A7930">
        <w:rPr>
          <w:sz w:val="20"/>
          <w:lang w:val="fr-CA"/>
        </w:rPr>
        <w:t xml:space="preserve"> Song &amp; </w:t>
      </w:r>
      <w:proofErr w:type="spellStart"/>
      <w:r w:rsidRPr="000A7930">
        <w:rPr>
          <w:sz w:val="20"/>
          <w:lang w:val="fr-CA"/>
        </w:rPr>
        <w:t>Konye</w:t>
      </w:r>
      <w:proofErr w:type="spellEnd"/>
      <w:r w:rsidRPr="000A7930">
        <w:rPr>
          <w:sz w:val="20"/>
          <w:lang w:val="fr-CA"/>
        </w:rPr>
        <w:t xml:space="preserve">, Vancouver; Kenneth S. Westlake, Vancouver; Anderson </w:t>
      </w:r>
      <w:proofErr w:type="spellStart"/>
      <w:r w:rsidRPr="000A7930">
        <w:rPr>
          <w:sz w:val="20"/>
          <w:lang w:val="fr-CA"/>
        </w:rPr>
        <w:t>Criminal</w:t>
      </w:r>
      <w:proofErr w:type="spellEnd"/>
      <w:r w:rsidRPr="000A7930">
        <w:rPr>
          <w:sz w:val="20"/>
          <w:lang w:val="fr-CA"/>
        </w:rPr>
        <w:t xml:space="preserve"> Law, Vancouver.</w:t>
      </w:r>
    </w:p>
    <w:p w:rsidR="000E51D2" w:rsidRPr="000A7930" w:rsidRDefault="000E51D2" w:rsidP="000E51D2">
      <w:pPr>
        <w:pStyle w:val="SCCNormalDoubleSpacing"/>
        <w:spacing w:line="240" w:lineRule="auto"/>
        <w:rPr>
          <w:lang w:val="fr-CA"/>
        </w:rPr>
      </w:pPr>
    </w:p>
    <w:p w:rsidR="000E51D2" w:rsidRDefault="000E51D2" w:rsidP="000E51D2">
      <w:pPr>
        <w:pStyle w:val="SCCLawFirm"/>
        <w:spacing w:line="240" w:lineRule="auto"/>
        <w:rPr>
          <w:sz w:val="20"/>
          <w:lang w:val="fr-CA"/>
        </w:rPr>
      </w:pPr>
      <w:r w:rsidRPr="000A7930">
        <w:rPr>
          <w:sz w:val="20"/>
          <w:lang w:val="fr-CA"/>
        </w:rPr>
        <w:tab/>
        <w:t>Procureur de l’intimée : Service des poursuites pénales du Canada, Vancouver.</w:t>
      </w:r>
    </w:p>
    <w:p w:rsidR="000E51D2" w:rsidRPr="000A7930" w:rsidRDefault="000E51D2" w:rsidP="000E51D2">
      <w:pPr>
        <w:pStyle w:val="SCCNormalDoubleSpacing"/>
        <w:spacing w:line="240" w:lineRule="auto"/>
        <w:rPr>
          <w:lang w:val="fr-CA"/>
        </w:rPr>
      </w:pPr>
    </w:p>
    <w:p w:rsidR="000E51D2" w:rsidRDefault="000E51D2" w:rsidP="000E51D2">
      <w:pPr>
        <w:pStyle w:val="SCCLawFirm"/>
        <w:spacing w:line="240" w:lineRule="auto"/>
        <w:rPr>
          <w:sz w:val="20"/>
          <w:lang w:val="fr-CA"/>
        </w:rPr>
      </w:pPr>
      <w:r w:rsidRPr="000A7930">
        <w:rPr>
          <w:sz w:val="20"/>
          <w:lang w:val="fr-CA"/>
        </w:rPr>
        <w:tab/>
        <w:t>Procureur de l’intervenant le procureur général de l’Ontario : Procureur général de l’Ontario, Toronto.</w:t>
      </w:r>
    </w:p>
    <w:p w:rsidR="000E51D2" w:rsidRPr="000A7930" w:rsidRDefault="000E51D2" w:rsidP="000E51D2">
      <w:pPr>
        <w:pStyle w:val="SCCNormalDoubleSpacing"/>
        <w:spacing w:line="240" w:lineRule="auto"/>
        <w:rPr>
          <w:lang w:val="fr-CA"/>
        </w:rPr>
      </w:pPr>
    </w:p>
    <w:p w:rsidR="000E51D2" w:rsidRDefault="000E51D2" w:rsidP="000E51D2">
      <w:pPr>
        <w:pStyle w:val="SCCLawFirm"/>
        <w:spacing w:line="240" w:lineRule="auto"/>
        <w:rPr>
          <w:sz w:val="20"/>
          <w:lang w:val="fr-CA"/>
        </w:rPr>
      </w:pPr>
      <w:r w:rsidRPr="000A7930">
        <w:rPr>
          <w:sz w:val="20"/>
          <w:lang w:val="fr-CA"/>
        </w:rPr>
        <w:tab/>
        <w:t>Procureur de l’intervenant le procureur général de l’Alberta : Procureur général de l’Alberta, Calgary.</w:t>
      </w:r>
    </w:p>
    <w:p w:rsidR="000E51D2" w:rsidRPr="000A7930" w:rsidRDefault="000E51D2" w:rsidP="000E51D2">
      <w:pPr>
        <w:pStyle w:val="SCCNormalDoubleSpacing"/>
        <w:spacing w:line="240" w:lineRule="auto"/>
        <w:rPr>
          <w:lang w:val="fr-CA"/>
        </w:rPr>
      </w:pPr>
    </w:p>
    <w:p w:rsidR="000E51D2" w:rsidRDefault="000E51D2" w:rsidP="000E51D2">
      <w:pPr>
        <w:pStyle w:val="SCCLawFirm"/>
        <w:spacing w:line="240" w:lineRule="auto"/>
        <w:rPr>
          <w:sz w:val="20"/>
          <w:lang w:val="fr-CA"/>
        </w:rPr>
      </w:pPr>
      <w:r w:rsidRPr="000A7930">
        <w:rPr>
          <w:sz w:val="20"/>
          <w:lang w:val="fr-CA"/>
        </w:rPr>
        <w:tab/>
        <w:t xml:space="preserve">Procureurs de l’intervenante British Columbia Civil </w:t>
      </w:r>
      <w:proofErr w:type="spellStart"/>
      <w:r w:rsidRPr="000A7930">
        <w:rPr>
          <w:sz w:val="20"/>
          <w:lang w:val="fr-CA"/>
        </w:rPr>
        <w:t>Liberties</w:t>
      </w:r>
      <w:proofErr w:type="spellEnd"/>
      <w:r w:rsidRPr="000A7930">
        <w:rPr>
          <w:sz w:val="20"/>
          <w:lang w:val="fr-CA"/>
        </w:rPr>
        <w:t xml:space="preserve"> Association : Blake, </w:t>
      </w:r>
      <w:proofErr w:type="spellStart"/>
      <w:r w:rsidRPr="000A7930">
        <w:rPr>
          <w:sz w:val="20"/>
          <w:lang w:val="fr-CA"/>
        </w:rPr>
        <w:t>Cassels</w:t>
      </w:r>
      <w:proofErr w:type="spellEnd"/>
      <w:r w:rsidRPr="000A7930">
        <w:rPr>
          <w:sz w:val="20"/>
          <w:lang w:val="fr-CA"/>
        </w:rPr>
        <w:t xml:space="preserve"> &amp; </w:t>
      </w:r>
      <w:proofErr w:type="spellStart"/>
      <w:r w:rsidRPr="000A7930">
        <w:rPr>
          <w:sz w:val="20"/>
          <w:lang w:val="fr-CA"/>
        </w:rPr>
        <w:t>Graydon</w:t>
      </w:r>
      <w:proofErr w:type="spellEnd"/>
      <w:r w:rsidRPr="000A7930">
        <w:rPr>
          <w:sz w:val="20"/>
          <w:lang w:val="fr-CA"/>
        </w:rPr>
        <w:t>, Vancouver.</w:t>
      </w:r>
    </w:p>
    <w:p w:rsidR="00346C54" w:rsidRPr="000E51D2" w:rsidRDefault="00346C54" w:rsidP="00902E51">
      <w:pPr>
        <w:rPr>
          <w:rFonts w:cs="Times New Roman"/>
          <w:sz w:val="20"/>
          <w:szCs w:val="20"/>
          <w:lang w:val="fr-CA"/>
        </w:rPr>
      </w:pPr>
    </w:p>
    <w:p w:rsidR="00902E51" w:rsidRDefault="00E7387C" w:rsidP="00902E51">
      <w:pPr>
        <w:rPr>
          <w:rFonts w:cs="Times New Roman"/>
          <w:sz w:val="20"/>
          <w:szCs w:val="20"/>
          <w:lang w:val="fr-CA"/>
        </w:rPr>
      </w:pPr>
      <w:r>
        <w:rPr>
          <w:rFonts w:cs="Times New Roman"/>
          <w:sz w:val="20"/>
          <w:szCs w:val="20"/>
          <w:lang w:val="fr-CA"/>
        </w:rPr>
        <w:pict>
          <v:rect id="_x0000_i1064" style="width:144.3pt;height:1pt" o:hrpct="300" o:hralign="center" o:hrstd="t" o:hrnoshade="t" o:hr="t" fillcolor="black [3213]" stroked="f"/>
        </w:pict>
      </w:r>
    </w:p>
    <w:p w:rsidR="005C6840" w:rsidRDefault="005C6840" w:rsidP="005C6840">
      <w:pPr>
        <w:jc w:val="both"/>
        <w:rPr>
          <w:sz w:val="20"/>
          <w:szCs w:val="20"/>
        </w:rPr>
      </w:pPr>
    </w:p>
    <w:p w:rsidR="0056248C" w:rsidRDefault="0056248C" w:rsidP="005C6840">
      <w:pPr>
        <w:jc w:val="both"/>
        <w:rPr>
          <w:sz w:val="20"/>
          <w:szCs w:val="20"/>
        </w:rPr>
      </w:pPr>
    </w:p>
    <w:p w:rsidR="0056248C" w:rsidRPr="00C50A5C" w:rsidRDefault="0056248C"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6B6926" w:rsidRPr="00E7387C"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C01FCB" w:rsidRPr="00C31C83" w:rsidRDefault="00C01FCB" w:rsidP="00C01FCB">
      <w:pPr>
        <w:rPr>
          <w:sz w:val="20"/>
          <w:szCs w:val="20"/>
          <w:lang w:val="fr-CA"/>
        </w:rPr>
      </w:pPr>
    </w:p>
    <w:tbl>
      <w:tblPr>
        <w:tblW w:w="9639" w:type="dxa"/>
        <w:tblLayout w:type="fixed"/>
        <w:tblCellMar>
          <w:left w:w="0" w:type="dxa"/>
          <w:right w:w="0" w:type="dxa"/>
        </w:tblCellMar>
        <w:tblLook w:val="0000" w:firstRow="0" w:lastRow="0" w:firstColumn="0" w:lastColumn="0" w:noHBand="0" w:noVBand="0"/>
      </w:tblPr>
      <w:tblGrid>
        <w:gridCol w:w="4320"/>
        <w:gridCol w:w="840"/>
        <w:gridCol w:w="4479"/>
      </w:tblGrid>
      <w:tr w:rsidR="00C01FCB" w:rsidRPr="00E7387C" w:rsidTr="000A7873">
        <w:trPr>
          <w:cantSplit/>
          <w:trHeight w:val="1152"/>
        </w:trPr>
        <w:tc>
          <w:tcPr>
            <w:tcW w:w="4320" w:type="dxa"/>
            <w:tcBorders>
              <w:top w:val="nil"/>
              <w:left w:val="nil"/>
              <w:bottom w:val="nil"/>
              <w:right w:val="nil"/>
            </w:tcBorders>
          </w:tcPr>
          <w:p w:rsidR="00C01FCB" w:rsidRPr="00C31C83" w:rsidRDefault="00C01FCB" w:rsidP="006327AF">
            <w:pPr>
              <w:keepNext/>
              <w:keepLines/>
              <w:jc w:val="both"/>
              <w:rPr>
                <w:rFonts w:cs="Times New Roman"/>
                <w:sz w:val="20"/>
                <w:szCs w:val="20"/>
                <w:lang w:val="en-GB"/>
              </w:rPr>
            </w:pPr>
            <w:r w:rsidRPr="00C31C83">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C01FCB" w:rsidRPr="00C31C83" w:rsidRDefault="00C01FCB" w:rsidP="006327AF">
            <w:pPr>
              <w:rPr>
                <w:rFonts w:cs="Times New Roman"/>
                <w:b/>
                <w:bCs/>
                <w:sz w:val="20"/>
                <w:szCs w:val="20"/>
                <w:lang w:val="en-GB"/>
              </w:rPr>
            </w:pPr>
          </w:p>
        </w:tc>
        <w:tc>
          <w:tcPr>
            <w:tcW w:w="4479" w:type="dxa"/>
            <w:tcBorders>
              <w:top w:val="nil"/>
              <w:left w:val="nil"/>
              <w:bottom w:val="nil"/>
              <w:right w:val="nil"/>
            </w:tcBorders>
          </w:tcPr>
          <w:p w:rsidR="00C01FCB" w:rsidRPr="00C31C83" w:rsidRDefault="00C01FCB" w:rsidP="006327AF">
            <w:pPr>
              <w:keepNext/>
              <w:keepLines/>
              <w:jc w:val="both"/>
              <w:rPr>
                <w:rFonts w:cs="Times New Roman"/>
                <w:b/>
                <w:bCs/>
                <w:sz w:val="20"/>
                <w:szCs w:val="20"/>
                <w:lang w:val="fr-CA"/>
              </w:rPr>
            </w:pPr>
            <w:r w:rsidRPr="00C31C83">
              <w:rPr>
                <w:rFonts w:cs="Times New Roman"/>
                <w:b/>
                <w:bCs/>
                <w:sz w:val="20"/>
                <w:szCs w:val="20"/>
                <w:lang w:val="fr-CA"/>
              </w:rPr>
              <w:t>LES INTITULÉS UTILISÉS DANS CETTE TABLE SONT LES INTITULÉS NORMALISÉS DE LA RUBRIQUE "RÉPERTORIÉ" DANS CHAQUE ARRÊT.</w:t>
            </w:r>
          </w:p>
        </w:tc>
      </w:tr>
      <w:tr w:rsidR="00C01FCB" w:rsidRPr="00C31C83" w:rsidTr="000A7873">
        <w:tc>
          <w:tcPr>
            <w:tcW w:w="4320" w:type="dxa"/>
            <w:tcBorders>
              <w:top w:val="nil"/>
              <w:left w:val="nil"/>
              <w:bottom w:val="nil"/>
              <w:right w:val="nil"/>
            </w:tcBorders>
          </w:tcPr>
          <w:p w:rsidR="00C01FCB" w:rsidRPr="00C31C83" w:rsidRDefault="00C01FCB" w:rsidP="006327AF">
            <w:pPr>
              <w:rPr>
                <w:rFonts w:cs="Times New Roman"/>
                <w:sz w:val="20"/>
                <w:szCs w:val="20"/>
                <w:lang w:val="en-GB"/>
              </w:rPr>
            </w:pPr>
            <w:r w:rsidRPr="00C31C83">
              <w:rPr>
                <w:rFonts w:cs="Times New Roman"/>
                <w:b/>
                <w:bCs/>
                <w:sz w:val="20"/>
                <w:szCs w:val="20"/>
                <w:lang w:val="en-GB"/>
              </w:rPr>
              <w:t xml:space="preserve">Judgments reported in [2016] 1 S.C.R. Part </w:t>
            </w:r>
            <w:r w:rsidR="006327AF">
              <w:rPr>
                <w:rFonts w:cs="Times New Roman"/>
                <w:b/>
                <w:bCs/>
                <w:sz w:val="20"/>
                <w:szCs w:val="20"/>
                <w:lang w:val="en-GB"/>
              </w:rPr>
              <w:t>4</w:t>
            </w:r>
          </w:p>
          <w:p w:rsidR="00C01FCB" w:rsidRPr="00C31C83" w:rsidRDefault="00C01FCB" w:rsidP="006327AF">
            <w:pPr>
              <w:rPr>
                <w:rFonts w:cs="Times New Roman"/>
                <w:sz w:val="20"/>
                <w:szCs w:val="20"/>
                <w:lang w:val="en-GB"/>
              </w:rPr>
            </w:pPr>
          </w:p>
          <w:p w:rsidR="00C01FCB" w:rsidRPr="006327AF" w:rsidRDefault="006327AF" w:rsidP="006327AF">
            <w:pPr>
              <w:jc w:val="both"/>
              <w:rPr>
                <w:rFonts w:cs="Times New Roman"/>
                <w:sz w:val="20"/>
                <w:szCs w:val="20"/>
                <w:lang w:val="en-US"/>
              </w:rPr>
            </w:pPr>
            <w:proofErr w:type="spellStart"/>
            <w:r w:rsidRPr="006327AF">
              <w:rPr>
                <w:rFonts w:cs="Times New Roman"/>
                <w:sz w:val="20"/>
                <w:szCs w:val="20"/>
                <w:lang w:val="en-US"/>
              </w:rPr>
              <w:t>Lapointe</w:t>
            </w:r>
            <w:proofErr w:type="spellEnd"/>
            <w:r w:rsidRPr="006327AF">
              <w:rPr>
                <w:rFonts w:cs="Times New Roman"/>
                <w:sz w:val="20"/>
                <w:szCs w:val="20"/>
                <w:lang w:val="en-US"/>
              </w:rPr>
              <w:t xml:space="preserve"> Rosenstein </w:t>
            </w:r>
            <w:proofErr w:type="spellStart"/>
            <w:r w:rsidRPr="006327AF">
              <w:rPr>
                <w:rFonts w:cs="Times New Roman"/>
                <w:sz w:val="20"/>
                <w:szCs w:val="20"/>
                <w:lang w:val="en-US"/>
              </w:rPr>
              <w:t>Marchand</w:t>
            </w:r>
            <w:proofErr w:type="spellEnd"/>
            <w:r w:rsidRPr="006327AF">
              <w:rPr>
                <w:rFonts w:cs="Times New Roman"/>
                <w:sz w:val="20"/>
                <w:szCs w:val="20"/>
                <w:lang w:val="en-US"/>
              </w:rPr>
              <w:t xml:space="preserve"> </w:t>
            </w:r>
            <w:proofErr w:type="spellStart"/>
            <w:r w:rsidRPr="006327AF">
              <w:rPr>
                <w:rFonts w:cs="Times New Roman"/>
                <w:sz w:val="20"/>
                <w:szCs w:val="20"/>
                <w:lang w:val="en-US"/>
              </w:rPr>
              <w:t>Melançon</w:t>
            </w:r>
            <w:proofErr w:type="spellEnd"/>
            <w:r w:rsidRPr="006327AF">
              <w:rPr>
                <w:rFonts w:cs="Times New Roman"/>
                <w:sz w:val="20"/>
                <w:szCs w:val="20"/>
                <w:lang w:val="en-US"/>
              </w:rPr>
              <w:t xml:space="preserve"> LLP </w:t>
            </w:r>
            <w:r w:rsidRPr="006327AF">
              <w:rPr>
                <w:rFonts w:cs="Times New Roman"/>
                <w:i/>
                <w:sz w:val="20"/>
                <w:szCs w:val="20"/>
                <w:lang w:val="en-US"/>
              </w:rPr>
              <w:t>v</w:t>
            </w:r>
            <w:r w:rsidRPr="006327AF">
              <w:rPr>
                <w:rFonts w:cs="Times New Roman"/>
                <w:sz w:val="20"/>
                <w:szCs w:val="20"/>
                <w:lang w:val="en-US"/>
              </w:rPr>
              <w:t>. Cassels Brock &amp; Blackwell LLP</w:t>
            </w:r>
            <w:r w:rsidR="00C01FCB" w:rsidRPr="006327AF">
              <w:rPr>
                <w:rFonts w:cs="Times New Roman"/>
                <w:sz w:val="20"/>
                <w:szCs w:val="20"/>
                <w:lang w:val="en-US"/>
              </w:rPr>
              <w:t>,</w:t>
            </w:r>
          </w:p>
          <w:p w:rsidR="00C01FCB" w:rsidRPr="00C31C83" w:rsidRDefault="00C01FCB" w:rsidP="006327AF">
            <w:pPr>
              <w:rPr>
                <w:rFonts w:cs="Times New Roman"/>
                <w:sz w:val="20"/>
                <w:szCs w:val="20"/>
                <w:lang w:val="en-US"/>
              </w:rPr>
            </w:pPr>
            <w:r w:rsidRPr="00C31C83">
              <w:rPr>
                <w:rFonts w:cs="Times New Roman"/>
                <w:sz w:val="20"/>
                <w:szCs w:val="20"/>
                <w:lang w:val="en-US"/>
              </w:rPr>
              <w:t>201</w:t>
            </w:r>
            <w:r w:rsidR="006327AF">
              <w:rPr>
                <w:rFonts w:cs="Times New Roman"/>
                <w:sz w:val="20"/>
                <w:szCs w:val="20"/>
                <w:lang w:val="en-US"/>
              </w:rPr>
              <w:t>6 SCC 30, [2016] 1 S.C.R. 851</w:t>
            </w:r>
          </w:p>
          <w:p w:rsidR="00C01FCB" w:rsidRPr="00C31C83" w:rsidRDefault="00C01FCB" w:rsidP="006327AF">
            <w:pPr>
              <w:rPr>
                <w:rFonts w:cs="Times New Roman"/>
                <w:sz w:val="20"/>
                <w:szCs w:val="20"/>
                <w:lang w:val="en-US"/>
              </w:rPr>
            </w:pPr>
          </w:p>
          <w:p w:rsidR="00C01FCB" w:rsidRDefault="000A7873" w:rsidP="006327AF">
            <w:pPr>
              <w:rPr>
                <w:sz w:val="20"/>
                <w:szCs w:val="20"/>
              </w:rPr>
            </w:pPr>
            <w:r w:rsidRPr="009350FD">
              <w:rPr>
                <w:sz w:val="20"/>
                <w:szCs w:val="20"/>
              </w:rPr>
              <w:t xml:space="preserve">R. </w:t>
            </w:r>
            <w:r w:rsidRPr="009350FD">
              <w:rPr>
                <w:i/>
                <w:sz w:val="20"/>
                <w:szCs w:val="20"/>
              </w:rPr>
              <w:t>v.</w:t>
            </w:r>
            <w:r w:rsidRPr="009350FD">
              <w:rPr>
                <w:sz w:val="20"/>
                <w:szCs w:val="20"/>
              </w:rPr>
              <w:t xml:space="preserve"> K.R.J.</w:t>
            </w:r>
            <w:r>
              <w:rPr>
                <w:sz w:val="20"/>
                <w:szCs w:val="20"/>
              </w:rPr>
              <w:t>,</w:t>
            </w:r>
          </w:p>
          <w:p w:rsidR="000A7873" w:rsidRDefault="000A7873" w:rsidP="000A7873">
            <w:pPr>
              <w:rPr>
                <w:rFonts w:cs="Times New Roman"/>
                <w:sz w:val="20"/>
                <w:szCs w:val="20"/>
                <w:lang w:val="en-US"/>
              </w:rPr>
            </w:pPr>
            <w:r w:rsidRPr="00C31C83">
              <w:rPr>
                <w:rFonts w:cs="Times New Roman"/>
                <w:sz w:val="20"/>
                <w:szCs w:val="20"/>
                <w:lang w:val="en-US"/>
              </w:rPr>
              <w:t>201</w:t>
            </w:r>
            <w:r>
              <w:rPr>
                <w:rFonts w:cs="Times New Roman"/>
                <w:sz w:val="20"/>
                <w:szCs w:val="20"/>
                <w:lang w:val="en-US"/>
              </w:rPr>
              <w:t>6 SCC 31, [2016] 1 S.C.R. 906</w:t>
            </w:r>
          </w:p>
          <w:p w:rsidR="000A7873" w:rsidRDefault="000A7873" w:rsidP="000A7873">
            <w:pPr>
              <w:rPr>
                <w:rFonts w:cs="Times New Roman"/>
                <w:sz w:val="20"/>
                <w:szCs w:val="20"/>
                <w:lang w:val="en-US"/>
              </w:rPr>
            </w:pPr>
          </w:p>
          <w:p w:rsidR="000A7873" w:rsidRPr="00C31C83" w:rsidRDefault="000A7873" w:rsidP="000A7873">
            <w:pPr>
              <w:rPr>
                <w:rFonts w:cs="Times New Roman"/>
                <w:sz w:val="20"/>
                <w:szCs w:val="20"/>
                <w:lang w:val="en-US"/>
              </w:rPr>
            </w:pPr>
            <w:r w:rsidRPr="00D441EB">
              <w:rPr>
                <w:sz w:val="20"/>
                <w:szCs w:val="20"/>
              </w:rPr>
              <w:t xml:space="preserve">R. </w:t>
            </w:r>
            <w:r w:rsidRPr="00D441EB">
              <w:rPr>
                <w:i/>
                <w:sz w:val="20"/>
                <w:szCs w:val="20"/>
              </w:rPr>
              <w:t>v.</w:t>
            </w:r>
            <w:r w:rsidRPr="00D441EB">
              <w:rPr>
                <w:sz w:val="20"/>
                <w:szCs w:val="20"/>
              </w:rPr>
              <w:t xml:space="preserve"> </w:t>
            </w:r>
            <w:proofErr w:type="spellStart"/>
            <w:r w:rsidRPr="00D441EB">
              <w:rPr>
                <w:sz w:val="20"/>
                <w:szCs w:val="20"/>
              </w:rPr>
              <w:t>Cawthorne</w:t>
            </w:r>
            <w:proofErr w:type="spellEnd"/>
            <w:r>
              <w:rPr>
                <w:sz w:val="20"/>
                <w:szCs w:val="20"/>
              </w:rPr>
              <w:t xml:space="preserve">, </w:t>
            </w:r>
          </w:p>
          <w:p w:rsidR="000A7873" w:rsidRPr="00B65BA0" w:rsidRDefault="000A7873" w:rsidP="000A7873">
            <w:pPr>
              <w:rPr>
                <w:rFonts w:cs="Times New Roman"/>
                <w:sz w:val="20"/>
                <w:szCs w:val="20"/>
                <w:lang w:val="fr-CA"/>
              </w:rPr>
            </w:pPr>
            <w:r w:rsidRPr="00B65BA0">
              <w:rPr>
                <w:rFonts w:cs="Times New Roman"/>
                <w:sz w:val="20"/>
                <w:szCs w:val="20"/>
                <w:lang w:val="fr-CA"/>
              </w:rPr>
              <w:t>2016 SCC 32, [2016] 1 S.C.R. 983</w:t>
            </w:r>
          </w:p>
          <w:p w:rsidR="000A7873" w:rsidRPr="00B65BA0" w:rsidRDefault="000A7873" w:rsidP="006327AF">
            <w:pPr>
              <w:rPr>
                <w:rFonts w:cs="Times New Roman"/>
                <w:sz w:val="20"/>
                <w:szCs w:val="20"/>
                <w:lang w:val="fr-CA"/>
              </w:rPr>
            </w:pPr>
          </w:p>
          <w:p w:rsidR="000A7873" w:rsidRDefault="000A7873" w:rsidP="006327AF">
            <w:pPr>
              <w:rPr>
                <w:sz w:val="20"/>
                <w:szCs w:val="20"/>
                <w:lang w:val="fr-CA"/>
              </w:rPr>
            </w:pPr>
            <w:r w:rsidRPr="00897794">
              <w:rPr>
                <w:sz w:val="20"/>
                <w:szCs w:val="20"/>
                <w:lang w:val="fr-CA"/>
              </w:rPr>
              <w:t xml:space="preserve">R. </w:t>
            </w:r>
            <w:r w:rsidRPr="00897794">
              <w:rPr>
                <w:i/>
                <w:sz w:val="20"/>
                <w:szCs w:val="20"/>
                <w:lang w:val="fr-CA"/>
              </w:rPr>
              <w:t>v.</w:t>
            </w:r>
            <w:r w:rsidRPr="00897794">
              <w:rPr>
                <w:sz w:val="20"/>
                <w:szCs w:val="20"/>
                <w:lang w:val="fr-CA"/>
              </w:rPr>
              <w:t xml:space="preserve"> </w:t>
            </w:r>
            <w:proofErr w:type="spellStart"/>
            <w:r w:rsidRPr="00897794">
              <w:rPr>
                <w:sz w:val="20"/>
                <w:szCs w:val="20"/>
                <w:lang w:val="fr-CA"/>
              </w:rPr>
              <w:t>Villaroman</w:t>
            </w:r>
            <w:proofErr w:type="spellEnd"/>
            <w:r w:rsidRPr="00897794">
              <w:rPr>
                <w:sz w:val="20"/>
                <w:szCs w:val="20"/>
                <w:lang w:val="fr-CA"/>
              </w:rPr>
              <w:t xml:space="preserve">, </w:t>
            </w:r>
          </w:p>
          <w:p w:rsidR="000A7873" w:rsidRPr="00B65BA0" w:rsidRDefault="000A7873" w:rsidP="006327AF">
            <w:pPr>
              <w:rPr>
                <w:rFonts w:cs="Times New Roman"/>
                <w:sz w:val="20"/>
                <w:szCs w:val="20"/>
                <w:lang w:val="fr-CA"/>
              </w:rPr>
            </w:pPr>
            <w:r w:rsidRPr="00897794">
              <w:rPr>
                <w:sz w:val="20"/>
                <w:szCs w:val="20"/>
                <w:lang w:val="fr-CA"/>
              </w:rPr>
              <w:t>2016 SCC 33</w:t>
            </w:r>
            <w:r>
              <w:rPr>
                <w:sz w:val="20"/>
                <w:szCs w:val="20"/>
                <w:lang w:val="fr-CA"/>
              </w:rPr>
              <w:t>,</w:t>
            </w:r>
            <w:r w:rsidRPr="00B65BA0">
              <w:rPr>
                <w:rFonts w:cs="Times New Roman"/>
                <w:sz w:val="20"/>
                <w:szCs w:val="20"/>
                <w:lang w:val="fr-CA"/>
              </w:rPr>
              <w:t xml:space="preserve"> [2016] 1 S.C.R. 1000</w:t>
            </w:r>
          </w:p>
          <w:p w:rsidR="000A7873" w:rsidRPr="00B65BA0" w:rsidRDefault="000A7873" w:rsidP="006327AF">
            <w:pPr>
              <w:rPr>
                <w:rFonts w:cs="Times New Roman"/>
                <w:sz w:val="20"/>
                <w:szCs w:val="20"/>
                <w:lang w:val="fr-CA"/>
              </w:rPr>
            </w:pPr>
          </w:p>
          <w:p w:rsidR="002D4B73" w:rsidRDefault="000A7873" w:rsidP="006327AF">
            <w:pPr>
              <w:rPr>
                <w:rFonts w:cs="Times New Roman"/>
                <w:sz w:val="20"/>
                <w:szCs w:val="20"/>
                <w:lang w:val="fr-CA"/>
              </w:rPr>
            </w:pPr>
            <w:r w:rsidRPr="00151259">
              <w:rPr>
                <w:sz w:val="20"/>
                <w:szCs w:val="20"/>
                <w:lang w:val="fr-CA"/>
              </w:rPr>
              <w:t xml:space="preserve">Ferme Vi-Ber </w:t>
            </w:r>
            <w:proofErr w:type="spellStart"/>
            <w:r w:rsidRPr="00151259">
              <w:rPr>
                <w:sz w:val="20"/>
                <w:szCs w:val="20"/>
                <w:lang w:val="fr-CA"/>
              </w:rPr>
              <w:t>inc.</w:t>
            </w:r>
            <w:proofErr w:type="spellEnd"/>
            <w:r w:rsidRPr="00151259">
              <w:rPr>
                <w:sz w:val="20"/>
                <w:szCs w:val="20"/>
                <w:lang w:val="fr-CA"/>
              </w:rPr>
              <w:t xml:space="preserve"> </w:t>
            </w:r>
            <w:r w:rsidRPr="00151259">
              <w:rPr>
                <w:i/>
                <w:sz w:val="20"/>
                <w:szCs w:val="20"/>
                <w:lang w:val="fr-CA"/>
              </w:rPr>
              <w:t>v.</w:t>
            </w:r>
            <w:r w:rsidRPr="00151259">
              <w:rPr>
                <w:sz w:val="20"/>
                <w:szCs w:val="20"/>
                <w:lang w:val="fr-CA"/>
              </w:rPr>
              <w:t xml:space="preserve"> Financière agricole du Québec, 2016 SCC 34</w:t>
            </w:r>
            <w:r w:rsidR="002D4B73">
              <w:rPr>
                <w:sz w:val="20"/>
                <w:szCs w:val="20"/>
                <w:lang w:val="fr-CA"/>
              </w:rPr>
              <w:t>,</w:t>
            </w:r>
            <w:r w:rsidR="002D4B73" w:rsidRPr="002D4B73">
              <w:rPr>
                <w:rFonts w:cs="Times New Roman"/>
                <w:sz w:val="20"/>
                <w:szCs w:val="20"/>
                <w:lang w:val="fr-CA"/>
              </w:rPr>
              <w:t xml:space="preserve"> [2016] 1 S.C.R.</w:t>
            </w:r>
            <w:r w:rsidR="002D4B73">
              <w:rPr>
                <w:rFonts w:cs="Times New Roman"/>
                <w:sz w:val="20"/>
                <w:szCs w:val="20"/>
                <w:lang w:val="fr-CA"/>
              </w:rPr>
              <w:t xml:space="preserve"> 1032</w:t>
            </w:r>
          </w:p>
          <w:p w:rsidR="002D4B73" w:rsidRDefault="002D4B73" w:rsidP="006327AF">
            <w:pPr>
              <w:rPr>
                <w:rFonts w:cs="Times New Roman"/>
                <w:sz w:val="20"/>
                <w:szCs w:val="20"/>
                <w:lang w:val="fr-CA"/>
              </w:rPr>
            </w:pPr>
          </w:p>
          <w:p w:rsidR="00E56854" w:rsidRDefault="00E56854" w:rsidP="006327AF">
            <w:pPr>
              <w:rPr>
                <w:sz w:val="20"/>
                <w:szCs w:val="20"/>
                <w:lang w:val="fr-CA"/>
              </w:rPr>
            </w:pPr>
            <w:proofErr w:type="spellStart"/>
            <w:r w:rsidRPr="00582197">
              <w:rPr>
                <w:sz w:val="20"/>
                <w:szCs w:val="20"/>
                <w:lang w:val="fr-CA"/>
              </w:rPr>
              <w:t>Lafortune</w:t>
            </w:r>
            <w:proofErr w:type="spellEnd"/>
            <w:r w:rsidRPr="00582197">
              <w:rPr>
                <w:sz w:val="20"/>
                <w:szCs w:val="20"/>
                <w:lang w:val="fr-CA"/>
              </w:rPr>
              <w:t xml:space="preserve"> </w:t>
            </w:r>
            <w:r w:rsidRPr="00582197">
              <w:rPr>
                <w:i/>
                <w:sz w:val="20"/>
                <w:szCs w:val="20"/>
                <w:lang w:val="fr-CA"/>
              </w:rPr>
              <w:t>v.</w:t>
            </w:r>
            <w:r w:rsidRPr="00582197">
              <w:rPr>
                <w:sz w:val="20"/>
                <w:szCs w:val="20"/>
                <w:lang w:val="fr-CA"/>
              </w:rPr>
              <w:t xml:space="preserve"> Financière agricole du Québec, </w:t>
            </w:r>
          </w:p>
          <w:p w:rsidR="002D4B73" w:rsidRDefault="00E56854" w:rsidP="006327AF">
            <w:pPr>
              <w:rPr>
                <w:rFonts w:cs="Times New Roman"/>
                <w:sz w:val="20"/>
                <w:szCs w:val="20"/>
                <w:lang w:val="fr-CA"/>
              </w:rPr>
            </w:pPr>
            <w:r w:rsidRPr="00582197">
              <w:rPr>
                <w:sz w:val="20"/>
                <w:szCs w:val="20"/>
                <w:lang w:val="fr-CA"/>
              </w:rPr>
              <w:t>2016 SCC 35</w:t>
            </w:r>
            <w:r>
              <w:rPr>
                <w:sz w:val="20"/>
                <w:szCs w:val="20"/>
                <w:lang w:val="fr-CA"/>
              </w:rPr>
              <w:t xml:space="preserve">, </w:t>
            </w:r>
            <w:r w:rsidRPr="002D4B73">
              <w:rPr>
                <w:rFonts w:cs="Times New Roman"/>
                <w:sz w:val="20"/>
                <w:szCs w:val="20"/>
                <w:lang w:val="fr-CA"/>
              </w:rPr>
              <w:t>[2016] 1 S.C.R.</w:t>
            </w:r>
            <w:r>
              <w:rPr>
                <w:rFonts w:cs="Times New Roman"/>
                <w:sz w:val="20"/>
                <w:szCs w:val="20"/>
                <w:lang w:val="fr-CA"/>
              </w:rPr>
              <w:t xml:space="preserve"> 1091</w:t>
            </w:r>
          </w:p>
          <w:p w:rsidR="00E56854" w:rsidRDefault="00E56854" w:rsidP="006327AF">
            <w:pPr>
              <w:rPr>
                <w:rFonts w:cs="Times New Roman"/>
                <w:sz w:val="20"/>
                <w:szCs w:val="20"/>
                <w:lang w:val="fr-CA"/>
              </w:rPr>
            </w:pPr>
          </w:p>
          <w:p w:rsidR="00C01FCB" w:rsidRPr="00C31C83" w:rsidRDefault="00E7387C" w:rsidP="006327AF">
            <w:pPr>
              <w:keepNext/>
              <w:keepLines/>
              <w:rPr>
                <w:rFonts w:cs="Times New Roman"/>
                <w:bCs/>
                <w:sz w:val="20"/>
                <w:szCs w:val="20"/>
                <w:lang w:val="fr-CA"/>
              </w:rPr>
            </w:pPr>
            <w:r>
              <w:rPr>
                <w:rFonts w:cs="Times New Roman"/>
                <w:sz w:val="20"/>
                <w:szCs w:val="20"/>
              </w:rPr>
              <w:pict>
                <v:rect id="_x0000_i1067" style="width:129.6pt;height:1pt" o:hrpct="600" o:hralign="center" o:hrstd="t" o:hrnoshade="t" o:hr="t" fillcolor="black [3213]" stroked="f"/>
              </w:pict>
            </w:r>
          </w:p>
          <w:p w:rsidR="00C01FCB" w:rsidRPr="00C31C83" w:rsidRDefault="00C01FCB" w:rsidP="006327AF">
            <w:pPr>
              <w:keepNext/>
              <w:keepLines/>
              <w:rPr>
                <w:rFonts w:cs="Times New Roman"/>
                <w:bCs/>
                <w:sz w:val="20"/>
                <w:szCs w:val="20"/>
                <w:lang w:val="fr-CA"/>
              </w:rPr>
            </w:pPr>
          </w:p>
        </w:tc>
        <w:tc>
          <w:tcPr>
            <w:tcW w:w="840" w:type="dxa"/>
            <w:tcBorders>
              <w:top w:val="nil"/>
              <w:left w:val="nil"/>
              <w:bottom w:val="nil"/>
              <w:right w:val="nil"/>
            </w:tcBorders>
          </w:tcPr>
          <w:p w:rsidR="00C01FCB" w:rsidRPr="00C31C83" w:rsidRDefault="00C01FCB" w:rsidP="006327AF">
            <w:pPr>
              <w:rPr>
                <w:rFonts w:cs="Times New Roman"/>
                <w:b/>
                <w:bCs/>
                <w:sz w:val="20"/>
                <w:szCs w:val="20"/>
                <w:lang w:val="fr-CA"/>
              </w:rPr>
            </w:pPr>
          </w:p>
        </w:tc>
        <w:tc>
          <w:tcPr>
            <w:tcW w:w="4479" w:type="dxa"/>
            <w:tcBorders>
              <w:top w:val="nil"/>
              <w:left w:val="nil"/>
              <w:bottom w:val="nil"/>
              <w:right w:val="nil"/>
            </w:tcBorders>
          </w:tcPr>
          <w:p w:rsidR="00C01FCB" w:rsidRPr="00C31C83" w:rsidRDefault="00C01FCB" w:rsidP="006327AF">
            <w:pPr>
              <w:rPr>
                <w:rFonts w:cs="Times New Roman"/>
                <w:b/>
                <w:bCs/>
                <w:sz w:val="20"/>
                <w:szCs w:val="20"/>
                <w:lang w:val="fr-CA"/>
              </w:rPr>
            </w:pPr>
            <w:r w:rsidRPr="00C31C83">
              <w:rPr>
                <w:rFonts w:cs="Times New Roman"/>
                <w:b/>
                <w:bCs/>
                <w:sz w:val="20"/>
                <w:szCs w:val="20"/>
                <w:lang w:val="fr-CA"/>
              </w:rPr>
              <w:t xml:space="preserve">Jugements publiés dans [2016] 1 R.C.S. Partie </w:t>
            </w:r>
            <w:r w:rsidR="006327AF">
              <w:rPr>
                <w:rFonts w:cs="Times New Roman"/>
                <w:b/>
                <w:bCs/>
                <w:sz w:val="20"/>
                <w:szCs w:val="20"/>
                <w:lang w:val="fr-CA"/>
              </w:rPr>
              <w:t>4</w:t>
            </w:r>
          </w:p>
          <w:p w:rsidR="00C01FCB" w:rsidRPr="00C31C83" w:rsidRDefault="00C01FCB" w:rsidP="006327AF">
            <w:pPr>
              <w:rPr>
                <w:rFonts w:cs="Times New Roman"/>
                <w:b/>
                <w:bCs/>
                <w:sz w:val="20"/>
                <w:szCs w:val="20"/>
                <w:lang w:val="fr-CA"/>
              </w:rPr>
            </w:pPr>
          </w:p>
          <w:p w:rsidR="00C01FCB" w:rsidRPr="000A7873" w:rsidRDefault="000A7873" w:rsidP="000A7873">
            <w:pPr>
              <w:keepNext/>
              <w:keepLines/>
              <w:jc w:val="both"/>
              <w:rPr>
                <w:rFonts w:cs="Times New Roman"/>
                <w:sz w:val="20"/>
                <w:szCs w:val="20"/>
                <w:lang w:val="en-US"/>
              </w:rPr>
            </w:pPr>
            <w:proofErr w:type="spellStart"/>
            <w:r w:rsidRPr="00707DD3">
              <w:rPr>
                <w:sz w:val="20"/>
                <w:szCs w:val="20"/>
              </w:rPr>
              <w:t>Lapointe</w:t>
            </w:r>
            <w:proofErr w:type="spellEnd"/>
            <w:r w:rsidRPr="00707DD3">
              <w:rPr>
                <w:sz w:val="20"/>
                <w:szCs w:val="20"/>
              </w:rPr>
              <w:t xml:space="preserve"> Rosenstein </w:t>
            </w:r>
            <w:proofErr w:type="spellStart"/>
            <w:r w:rsidRPr="00707DD3">
              <w:rPr>
                <w:sz w:val="20"/>
                <w:szCs w:val="20"/>
              </w:rPr>
              <w:t>Marchand</w:t>
            </w:r>
            <w:proofErr w:type="spellEnd"/>
            <w:r w:rsidRPr="00707DD3">
              <w:rPr>
                <w:sz w:val="20"/>
                <w:szCs w:val="20"/>
              </w:rPr>
              <w:t xml:space="preserve"> </w:t>
            </w:r>
            <w:proofErr w:type="spellStart"/>
            <w:r w:rsidRPr="00707DD3">
              <w:rPr>
                <w:sz w:val="20"/>
                <w:szCs w:val="20"/>
              </w:rPr>
              <w:t>Melançon</w:t>
            </w:r>
            <w:proofErr w:type="spellEnd"/>
            <w:r w:rsidRPr="00707DD3">
              <w:rPr>
                <w:sz w:val="20"/>
                <w:szCs w:val="20"/>
              </w:rPr>
              <w:t xml:space="preserve"> S.E.N.C.R.L. </w:t>
            </w:r>
            <w:r w:rsidRPr="00707DD3">
              <w:rPr>
                <w:i/>
                <w:sz w:val="20"/>
                <w:szCs w:val="20"/>
              </w:rPr>
              <w:t>c.</w:t>
            </w:r>
            <w:r w:rsidRPr="00707DD3">
              <w:rPr>
                <w:sz w:val="20"/>
                <w:szCs w:val="20"/>
              </w:rPr>
              <w:t xml:space="preserve"> Cassels Brock &amp; Blackwell LLP</w:t>
            </w:r>
            <w:r w:rsidR="00C01FCB" w:rsidRPr="000A7873">
              <w:rPr>
                <w:rFonts w:cs="Times New Roman"/>
                <w:sz w:val="20"/>
                <w:szCs w:val="20"/>
                <w:lang w:val="en-US"/>
              </w:rPr>
              <w:t>,</w:t>
            </w:r>
          </w:p>
          <w:p w:rsidR="00C01FCB" w:rsidRPr="000A7873" w:rsidRDefault="00C01FCB" w:rsidP="006327AF">
            <w:pPr>
              <w:rPr>
                <w:rFonts w:cs="Times New Roman"/>
                <w:sz w:val="20"/>
                <w:szCs w:val="20"/>
                <w:lang w:val="en-US"/>
              </w:rPr>
            </w:pPr>
            <w:r w:rsidRPr="000A7873">
              <w:rPr>
                <w:rFonts w:cs="Times New Roman"/>
                <w:sz w:val="20"/>
                <w:szCs w:val="20"/>
                <w:lang w:val="en-US"/>
              </w:rPr>
              <w:t>201</w:t>
            </w:r>
            <w:r w:rsidR="006327AF" w:rsidRPr="000A7873">
              <w:rPr>
                <w:rFonts w:cs="Times New Roman"/>
                <w:sz w:val="20"/>
                <w:szCs w:val="20"/>
                <w:lang w:val="en-US"/>
              </w:rPr>
              <w:t>6</w:t>
            </w:r>
            <w:r w:rsidRPr="000A7873">
              <w:rPr>
                <w:rFonts w:cs="Times New Roman"/>
                <w:sz w:val="20"/>
                <w:szCs w:val="20"/>
                <w:lang w:val="en-US"/>
              </w:rPr>
              <w:t xml:space="preserve"> CSC </w:t>
            </w:r>
            <w:r w:rsidR="006327AF" w:rsidRPr="000A7873">
              <w:rPr>
                <w:rFonts w:cs="Times New Roman"/>
                <w:sz w:val="20"/>
                <w:szCs w:val="20"/>
                <w:lang w:val="en-US"/>
              </w:rPr>
              <w:t>30</w:t>
            </w:r>
            <w:r w:rsidRPr="000A7873">
              <w:rPr>
                <w:rFonts w:cs="Times New Roman"/>
                <w:sz w:val="20"/>
                <w:szCs w:val="20"/>
                <w:lang w:val="en-US"/>
              </w:rPr>
              <w:t xml:space="preserve">, [2016] 1 R.C.S. </w:t>
            </w:r>
            <w:r w:rsidR="000A7873" w:rsidRPr="000A7873">
              <w:rPr>
                <w:rFonts w:cs="Times New Roman"/>
                <w:sz w:val="20"/>
                <w:szCs w:val="20"/>
                <w:lang w:val="en-US"/>
              </w:rPr>
              <w:t>851</w:t>
            </w:r>
          </w:p>
          <w:p w:rsidR="00C01FCB" w:rsidRPr="000A7873" w:rsidRDefault="00C01FCB" w:rsidP="006327AF">
            <w:pPr>
              <w:rPr>
                <w:rFonts w:cs="Times New Roman"/>
                <w:sz w:val="20"/>
                <w:szCs w:val="20"/>
                <w:lang w:val="en-US"/>
              </w:rPr>
            </w:pPr>
          </w:p>
          <w:p w:rsidR="00C01FCB" w:rsidRDefault="000A7873" w:rsidP="006327AF">
            <w:pPr>
              <w:keepNext/>
              <w:keepLines/>
              <w:rPr>
                <w:sz w:val="20"/>
                <w:szCs w:val="20"/>
              </w:rPr>
            </w:pPr>
            <w:r w:rsidRPr="00297230">
              <w:rPr>
                <w:sz w:val="20"/>
                <w:szCs w:val="20"/>
              </w:rPr>
              <w:t xml:space="preserve">R. </w:t>
            </w:r>
            <w:r w:rsidRPr="00297230">
              <w:rPr>
                <w:i/>
                <w:sz w:val="20"/>
                <w:szCs w:val="20"/>
              </w:rPr>
              <w:t>c.</w:t>
            </w:r>
            <w:r w:rsidRPr="00297230">
              <w:rPr>
                <w:sz w:val="20"/>
                <w:szCs w:val="20"/>
              </w:rPr>
              <w:t xml:space="preserve"> K.R.J.</w:t>
            </w:r>
            <w:r>
              <w:rPr>
                <w:sz w:val="20"/>
                <w:szCs w:val="20"/>
              </w:rPr>
              <w:t>,</w:t>
            </w:r>
          </w:p>
          <w:p w:rsidR="000A7873" w:rsidRDefault="000A7873" w:rsidP="000A7873">
            <w:pPr>
              <w:rPr>
                <w:rFonts w:cs="Times New Roman"/>
                <w:sz w:val="20"/>
                <w:szCs w:val="20"/>
                <w:lang w:val="en-US"/>
              </w:rPr>
            </w:pPr>
            <w:r w:rsidRPr="000A7873">
              <w:rPr>
                <w:rFonts w:cs="Times New Roman"/>
                <w:sz w:val="20"/>
                <w:szCs w:val="20"/>
                <w:lang w:val="en-US"/>
              </w:rPr>
              <w:t xml:space="preserve">2016 CSC </w:t>
            </w:r>
            <w:r>
              <w:rPr>
                <w:rFonts w:cs="Times New Roman"/>
                <w:sz w:val="20"/>
                <w:szCs w:val="20"/>
                <w:lang w:val="en-US"/>
              </w:rPr>
              <w:t>31</w:t>
            </w:r>
            <w:r w:rsidRPr="000A7873">
              <w:rPr>
                <w:rFonts w:cs="Times New Roman"/>
                <w:sz w:val="20"/>
                <w:szCs w:val="20"/>
                <w:lang w:val="en-US"/>
              </w:rPr>
              <w:t xml:space="preserve">, [2016] 1 R.C.S. </w:t>
            </w:r>
            <w:r>
              <w:rPr>
                <w:rFonts w:cs="Times New Roman"/>
                <w:sz w:val="20"/>
                <w:szCs w:val="20"/>
                <w:lang w:val="en-US"/>
              </w:rPr>
              <w:t>906</w:t>
            </w:r>
          </w:p>
          <w:p w:rsidR="000A7873" w:rsidRDefault="000A7873" w:rsidP="000A7873">
            <w:pPr>
              <w:rPr>
                <w:rFonts w:cs="Times New Roman"/>
                <w:sz w:val="20"/>
                <w:szCs w:val="20"/>
                <w:lang w:val="en-US"/>
              </w:rPr>
            </w:pPr>
          </w:p>
          <w:p w:rsidR="000A7873" w:rsidRPr="000A7873" w:rsidRDefault="000A7873" w:rsidP="000A7873">
            <w:pPr>
              <w:rPr>
                <w:rFonts w:cs="Times New Roman"/>
                <w:sz w:val="20"/>
                <w:szCs w:val="20"/>
                <w:lang w:val="en-US"/>
              </w:rPr>
            </w:pPr>
            <w:r w:rsidRPr="006D4A40">
              <w:rPr>
                <w:sz w:val="20"/>
                <w:szCs w:val="20"/>
              </w:rPr>
              <w:t xml:space="preserve">R. </w:t>
            </w:r>
            <w:r w:rsidRPr="006D4A40">
              <w:rPr>
                <w:i/>
                <w:sz w:val="20"/>
                <w:szCs w:val="20"/>
              </w:rPr>
              <w:t>c.</w:t>
            </w:r>
            <w:r w:rsidRPr="006D4A40">
              <w:rPr>
                <w:sz w:val="20"/>
                <w:szCs w:val="20"/>
              </w:rPr>
              <w:t xml:space="preserve"> </w:t>
            </w:r>
            <w:proofErr w:type="spellStart"/>
            <w:r w:rsidRPr="006D4A40">
              <w:rPr>
                <w:sz w:val="20"/>
                <w:szCs w:val="20"/>
              </w:rPr>
              <w:t>Cawthorne</w:t>
            </w:r>
            <w:proofErr w:type="spellEnd"/>
            <w:r w:rsidRPr="006D4A40">
              <w:rPr>
                <w:sz w:val="20"/>
                <w:szCs w:val="20"/>
              </w:rPr>
              <w:t>,</w:t>
            </w:r>
          </w:p>
          <w:p w:rsidR="000A7873" w:rsidRDefault="000A7873" w:rsidP="000A7873">
            <w:pPr>
              <w:rPr>
                <w:rFonts w:cs="Times New Roman"/>
                <w:sz w:val="20"/>
                <w:szCs w:val="20"/>
                <w:lang w:val="en-US"/>
              </w:rPr>
            </w:pPr>
            <w:r w:rsidRPr="000A7873">
              <w:rPr>
                <w:rFonts w:cs="Times New Roman"/>
                <w:sz w:val="20"/>
                <w:szCs w:val="20"/>
                <w:lang w:val="en-US"/>
              </w:rPr>
              <w:t xml:space="preserve">2016 CSC </w:t>
            </w:r>
            <w:r>
              <w:rPr>
                <w:rFonts w:cs="Times New Roman"/>
                <w:sz w:val="20"/>
                <w:szCs w:val="20"/>
                <w:lang w:val="en-US"/>
              </w:rPr>
              <w:t>32</w:t>
            </w:r>
            <w:r w:rsidRPr="000A7873">
              <w:rPr>
                <w:rFonts w:cs="Times New Roman"/>
                <w:sz w:val="20"/>
                <w:szCs w:val="20"/>
                <w:lang w:val="en-US"/>
              </w:rPr>
              <w:t xml:space="preserve">, [2016] 1 R.C.S. </w:t>
            </w:r>
            <w:r>
              <w:rPr>
                <w:rFonts w:cs="Times New Roman"/>
                <w:sz w:val="20"/>
                <w:szCs w:val="20"/>
                <w:lang w:val="en-US"/>
              </w:rPr>
              <w:t>983</w:t>
            </w:r>
          </w:p>
          <w:p w:rsidR="000A7873" w:rsidRDefault="000A7873" w:rsidP="006327AF">
            <w:pPr>
              <w:keepNext/>
              <w:keepLines/>
              <w:rPr>
                <w:rFonts w:cs="Times New Roman"/>
                <w:bCs/>
                <w:sz w:val="20"/>
                <w:szCs w:val="20"/>
                <w:lang w:val="en-US"/>
              </w:rPr>
            </w:pPr>
          </w:p>
          <w:p w:rsidR="000A7873" w:rsidRPr="00B65BA0" w:rsidRDefault="000A7873" w:rsidP="006327AF">
            <w:pPr>
              <w:keepNext/>
              <w:keepLines/>
              <w:rPr>
                <w:sz w:val="20"/>
                <w:szCs w:val="20"/>
                <w:lang w:val="fr-CA"/>
              </w:rPr>
            </w:pPr>
            <w:r w:rsidRPr="00B65BA0">
              <w:rPr>
                <w:sz w:val="20"/>
                <w:szCs w:val="20"/>
                <w:lang w:val="fr-CA"/>
              </w:rPr>
              <w:t xml:space="preserve">R. </w:t>
            </w:r>
            <w:r w:rsidRPr="00B65BA0">
              <w:rPr>
                <w:i/>
                <w:sz w:val="20"/>
                <w:szCs w:val="20"/>
                <w:lang w:val="fr-CA"/>
              </w:rPr>
              <w:t>c.</w:t>
            </w:r>
            <w:r w:rsidRPr="00B65BA0">
              <w:rPr>
                <w:sz w:val="20"/>
                <w:szCs w:val="20"/>
                <w:lang w:val="fr-CA"/>
              </w:rPr>
              <w:t xml:space="preserve"> </w:t>
            </w:r>
            <w:proofErr w:type="spellStart"/>
            <w:r w:rsidRPr="00B65BA0">
              <w:rPr>
                <w:sz w:val="20"/>
                <w:szCs w:val="20"/>
                <w:lang w:val="fr-CA"/>
              </w:rPr>
              <w:t>Villaroman</w:t>
            </w:r>
            <w:proofErr w:type="spellEnd"/>
            <w:r w:rsidRPr="00B65BA0">
              <w:rPr>
                <w:sz w:val="20"/>
                <w:szCs w:val="20"/>
                <w:lang w:val="fr-CA"/>
              </w:rPr>
              <w:t xml:space="preserve">, </w:t>
            </w:r>
          </w:p>
          <w:p w:rsidR="000A7873" w:rsidRPr="00B65BA0" w:rsidRDefault="000A7873" w:rsidP="006327AF">
            <w:pPr>
              <w:keepNext/>
              <w:keepLines/>
              <w:rPr>
                <w:rFonts w:cs="Times New Roman"/>
                <w:sz w:val="20"/>
                <w:szCs w:val="20"/>
                <w:lang w:val="fr-CA"/>
              </w:rPr>
            </w:pPr>
            <w:r w:rsidRPr="00B65BA0">
              <w:rPr>
                <w:sz w:val="20"/>
                <w:szCs w:val="20"/>
                <w:lang w:val="fr-CA"/>
              </w:rPr>
              <w:t xml:space="preserve">2016 CSC 33, </w:t>
            </w:r>
            <w:r w:rsidRPr="00B65BA0">
              <w:rPr>
                <w:rFonts w:cs="Times New Roman"/>
                <w:sz w:val="20"/>
                <w:szCs w:val="20"/>
                <w:lang w:val="fr-CA"/>
              </w:rPr>
              <w:t>[2016] 1 R.C.S. 1000</w:t>
            </w:r>
          </w:p>
          <w:p w:rsidR="000A7873" w:rsidRPr="00B65BA0" w:rsidRDefault="000A7873" w:rsidP="006327AF">
            <w:pPr>
              <w:keepNext/>
              <w:keepLines/>
              <w:rPr>
                <w:rFonts w:cs="Times New Roman"/>
                <w:sz w:val="20"/>
                <w:szCs w:val="20"/>
                <w:lang w:val="fr-CA"/>
              </w:rPr>
            </w:pPr>
          </w:p>
          <w:p w:rsidR="000A7873" w:rsidRDefault="002D4B73" w:rsidP="006327AF">
            <w:pPr>
              <w:keepNext/>
              <w:keepLines/>
              <w:rPr>
                <w:rFonts w:cs="Times New Roman"/>
                <w:sz w:val="20"/>
                <w:szCs w:val="20"/>
                <w:lang w:val="fr-CA"/>
              </w:rPr>
            </w:pPr>
            <w:r w:rsidRPr="002D4B73">
              <w:rPr>
                <w:sz w:val="20"/>
                <w:szCs w:val="20"/>
                <w:lang w:val="fr-CA"/>
              </w:rPr>
              <w:t xml:space="preserve">Ferme Vi-Ber </w:t>
            </w:r>
            <w:proofErr w:type="spellStart"/>
            <w:r w:rsidRPr="002D4B73">
              <w:rPr>
                <w:sz w:val="20"/>
                <w:szCs w:val="20"/>
                <w:lang w:val="fr-CA"/>
              </w:rPr>
              <w:t>inc.</w:t>
            </w:r>
            <w:proofErr w:type="spellEnd"/>
            <w:r w:rsidRPr="002D4B73">
              <w:rPr>
                <w:sz w:val="20"/>
                <w:szCs w:val="20"/>
                <w:lang w:val="fr-CA"/>
              </w:rPr>
              <w:t xml:space="preserve"> </w:t>
            </w:r>
            <w:r w:rsidRPr="002D4B73">
              <w:rPr>
                <w:i/>
                <w:sz w:val="20"/>
                <w:szCs w:val="20"/>
                <w:lang w:val="fr-CA"/>
              </w:rPr>
              <w:t>c.</w:t>
            </w:r>
            <w:r w:rsidRPr="002D4B73">
              <w:rPr>
                <w:sz w:val="20"/>
                <w:szCs w:val="20"/>
                <w:lang w:val="fr-CA"/>
              </w:rPr>
              <w:t xml:space="preserve"> Financière agricole du Québec, 2016 CSC 34, </w:t>
            </w:r>
            <w:r w:rsidRPr="002D4B73">
              <w:rPr>
                <w:rFonts w:cs="Times New Roman"/>
                <w:sz w:val="20"/>
                <w:szCs w:val="20"/>
                <w:lang w:val="fr-CA"/>
              </w:rPr>
              <w:t xml:space="preserve">[2016] 1 R.C.S. </w:t>
            </w:r>
            <w:r>
              <w:rPr>
                <w:rFonts w:cs="Times New Roman"/>
                <w:sz w:val="20"/>
                <w:szCs w:val="20"/>
                <w:lang w:val="fr-CA"/>
              </w:rPr>
              <w:t>1032</w:t>
            </w:r>
          </w:p>
          <w:p w:rsidR="002D4B73" w:rsidRDefault="002D4B73" w:rsidP="006327AF">
            <w:pPr>
              <w:keepNext/>
              <w:keepLines/>
              <w:rPr>
                <w:rFonts w:cs="Times New Roman"/>
                <w:sz w:val="20"/>
                <w:szCs w:val="20"/>
                <w:lang w:val="fr-CA"/>
              </w:rPr>
            </w:pPr>
          </w:p>
          <w:p w:rsidR="00E56854" w:rsidRDefault="00E56854" w:rsidP="006327AF">
            <w:pPr>
              <w:keepNext/>
              <w:keepLines/>
              <w:rPr>
                <w:sz w:val="20"/>
                <w:szCs w:val="20"/>
                <w:lang w:val="fr-CA"/>
              </w:rPr>
            </w:pPr>
            <w:proofErr w:type="spellStart"/>
            <w:r w:rsidRPr="00E56854">
              <w:rPr>
                <w:sz w:val="20"/>
                <w:szCs w:val="20"/>
                <w:lang w:val="fr-CA"/>
              </w:rPr>
              <w:t>Lafortune</w:t>
            </w:r>
            <w:proofErr w:type="spellEnd"/>
            <w:r w:rsidRPr="00E56854">
              <w:rPr>
                <w:sz w:val="20"/>
                <w:szCs w:val="20"/>
                <w:lang w:val="fr-CA"/>
              </w:rPr>
              <w:t xml:space="preserve"> </w:t>
            </w:r>
            <w:r w:rsidRPr="00E56854">
              <w:rPr>
                <w:i/>
                <w:sz w:val="20"/>
                <w:szCs w:val="20"/>
                <w:lang w:val="fr-CA"/>
              </w:rPr>
              <w:t>c.</w:t>
            </w:r>
            <w:r w:rsidRPr="00E56854">
              <w:rPr>
                <w:sz w:val="20"/>
                <w:szCs w:val="20"/>
                <w:lang w:val="fr-CA"/>
              </w:rPr>
              <w:t xml:space="preserve"> Financière agricole du Québec, </w:t>
            </w:r>
          </w:p>
          <w:p w:rsidR="002D4B73" w:rsidRDefault="00E56854" w:rsidP="006327AF">
            <w:pPr>
              <w:keepNext/>
              <w:keepLines/>
              <w:rPr>
                <w:sz w:val="20"/>
                <w:szCs w:val="20"/>
                <w:lang w:val="fr-CA"/>
              </w:rPr>
            </w:pPr>
            <w:r w:rsidRPr="00E56854">
              <w:rPr>
                <w:sz w:val="20"/>
                <w:szCs w:val="20"/>
                <w:lang w:val="fr-CA"/>
              </w:rPr>
              <w:t>2016 CSC 35</w:t>
            </w:r>
            <w:r>
              <w:rPr>
                <w:sz w:val="20"/>
                <w:szCs w:val="20"/>
                <w:lang w:val="fr-CA"/>
              </w:rPr>
              <w:t xml:space="preserve">, </w:t>
            </w:r>
            <w:r w:rsidRPr="002D4B73">
              <w:rPr>
                <w:rFonts w:cs="Times New Roman"/>
                <w:sz w:val="20"/>
                <w:szCs w:val="20"/>
                <w:lang w:val="fr-CA"/>
              </w:rPr>
              <w:t xml:space="preserve">[2016] 1 R.C.S. </w:t>
            </w:r>
            <w:r>
              <w:rPr>
                <w:rFonts w:cs="Times New Roman"/>
                <w:sz w:val="20"/>
                <w:szCs w:val="20"/>
                <w:lang w:val="fr-CA"/>
              </w:rPr>
              <w:t>1091</w:t>
            </w:r>
          </w:p>
          <w:p w:rsidR="00E56854" w:rsidRDefault="00E56854" w:rsidP="006327AF">
            <w:pPr>
              <w:keepNext/>
              <w:keepLines/>
              <w:rPr>
                <w:sz w:val="20"/>
                <w:szCs w:val="20"/>
                <w:lang w:val="fr-CA"/>
              </w:rPr>
            </w:pPr>
          </w:p>
          <w:p w:rsidR="00C01FCB" w:rsidRPr="00C31C83" w:rsidRDefault="00E7387C" w:rsidP="006327AF">
            <w:pPr>
              <w:rPr>
                <w:rFonts w:cs="Times New Roman"/>
                <w:sz w:val="20"/>
                <w:szCs w:val="20"/>
              </w:rPr>
            </w:pPr>
            <w:r>
              <w:rPr>
                <w:rFonts w:cs="Times New Roman"/>
                <w:sz w:val="20"/>
                <w:szCs w:val="20"/>
              </w:rPr>
              <w:pict>
                <v:rect id="_x0000_i1068" style="width:129.6pt;height:1pt" o:hrpct="600" o:hralign="center" o:hrstd="t" o:hrnoshade="t" o:hr="t" fillcolor="black [3213]" stroked="f"/>
              </w:pict>
            </w:r>
          </w:p>
          <w:p w:rsidR="00C01FCB" w:rsidRPr="00C31C83" w:rsidRDefault="00C01FCB" w:rsidP="006327AF">
            <w:pPr>
              <w:keepNext/>
              <w:keepLines/>
              <w:rPr>
                <w:rFonts w:cs="Times New Roman"/>
                <w:bCs/>
                <w:sz w:val="20"/>
                <w:szCs w:val="20"/>
                <w:lang w:val="en-US"/>
              </w:rPr>
            </w:pPr>
          </w:p>
        </w:tc>
      </w:tr>
    </w:tbl>
    <w:p w:rsidR="00C01FCB" w:rsidRPr="00C31C83" w:rsidRDefault="00C01FCB" w:rsidP="00C01FCB">
      <w:pPr>
        <w:rPr>
          <w:sz w:val="20"/>
          <w:szCs w:val="20"/>
          <w:lang w:val="en-US"/>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710B7F" w:rsidRPr="00E7387C" w:rsidTr="00710B7F">
        <w:trPr>
          <w:trHeight w:val="1152"/>
        </w:trPr>
        <w:tc>
          <w:tcPr>
            <w:tcW w:w="4320" w:type="dxa"/>
            <w:tcBorders>
              <w:top w:val="nil"/>
              <w:left w:val="nil"/>
              <w:bottom w:val="nil"/>
              <w:right w:val="nil"/>
            </w:tcBorders>
          </w:tcPr>
          <w:p w:rsidR="00710B7F" w:rsidRPr="00C31C83" w:rsidRDefault="00710B7F" w:rsidP="00B65BA0">
            <w:pPr>
              <w:keepNext/>
              <w:keepLines/>
              <w:jc w:val="both"/>
              <w:rPr>
                <w:rFonts w:cs="Times New Roman"/>
                <w:sz w:val="20"/>
                <w:szCs w:val="20"/>
                <w:lang w:val="en-GB"/>
              </w:rPr>
            </w:pPr>
            <w:r w:rsidRPr="00C31C83">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710B7F" w:rsidRPr="00C31C83" w:rsidRDefault="00710B7F" w:rsidP="00B65BA0">
            <w:pPr>
              <w:rPr>
                <w:rFonts w:cs="Times New Roman"/>
                <w:b/>
                <w:bCs/>
                <w:sz w:val="20"/>
                <w:szCs w:val="20"/>
                <w:lang w:val="en-GB"/>
              </w:rPr>
            </w:pPr>
          </w:p>
        </w:tc>
        <w:tc>
          <w:tcPr>
            <w:tcW w:w="4320" w:type="dxa"/>
            <w:tcBorders>
              <w:top w:val="nil"/>
              <w:left w:val="nil"/>
              <w:bottom w:val="nil"/>
              <w:right w:val="nil"/>
            </w:tcBorders>
          </w:tcPr>
          <w:p w:rsidR="00710B7F" w:rsidRPr="00C31C83" w:rsidRDefault="00710B7F" w:rsidP="00B65BA0">
            <w:pPr>
              <w:keepNext/>
              <w:keepLines/>
              <w:jc w:val="both"/>
              <w:rPr>
                <w:rFonts w:cs="Times New Roman"/>
                <w:b/>
                <w:bCs/>
                <w:sz w:val="20"/>
                <w:szCs w:val="20"/>
                <w:lang w:val="fr-CA"/>
              </w:rPr>
            </w:pPr>
            <w:r w:rsidRPr="00C31C83">
              <w:rPr>
                <w:rFonts w:cs="Times New Roman"/>
                <w:b/>
                <w:bCs/>
                <w:sz w:val="20"/>
                <w:szCs w:val="20"/>
                <w:lang w:val="fr-CA"/>
              </w:rPr>
              <w:t>LES INTITULÉS UTILISÉS DANS CETTE TABLE SONT LES INTITULÉS NORMALISÉS DE LA RUBRIQUE "RÉPERTORIÉ" DANS CHAQUE ARRÊT.</w:t>
            </w:r>
          </w:p>
        </w:tc>
      </w:tr>
      <w:tr w:rsidR="00710B7F" w:rsidRPr="00C31C83" w:rsidTr="00B65BA0">
        <w:tc>
          <w:tcPr>
            <w:tcW w:w="4320" w:type="dxa"/>
            <w:tcBorders>
              <w:top w:val="nil"/>
              <w:left w:val="nil"/>
              <w:bottom w:val="nil"/>
              <w:right w:val="nil"/>
            </w:tcBorders>
          </w:tcPr>
          <w:p w:rsidR="00710B7F" w:rsidRDefault="00710B7F" w:rsidP="00710B7F">
            <w:pPr>
              <w:rPr>
                <w:rFonts w:cs="Times New Roman"/>
                <w:b/>
                <w:bCs/>
                <w:sz w:val="20"/>
                <w:szCs w:val="20"/>
                <w:lang w:val="en-GB"/>
              </w:rPr>
            </w:pPr>
            <w:r w:rsidRPr="00C31C83">
              <w:rPr>
                <w:rFonts w:cs="Times New Roman"/>
                <w:b/>
                <w:bCs/>
                <w:sz w:val="20"/>
                <w:szCs w:val="20"/>
                <w:lang w:val="en-GB"/>
              </w:rPr>
              <w:t xml:space="preserve">Judgments reported in [2016] </w:t>
            </w:r>
            <w:r>
              <w:rPr>
                <w:rFonts w:cs="Times New Roman"/>
                <w:b/>
                <w:bCs/>
                <w:sz w:val="20"/>
                <w:szCs w:val="20"/>
                <w:lang w:val="en-GB"/>
              </w:rPr>
              <w:t>2</w:t>
            </w:r>
            <w:r w:rsidRPr="00C31C83">
              <w:rPr>
                <w:rFonts w:cs="Times New Roman"/>
                <w:b/>
                <w:bCs/>
                <w:sz w:val="20"/>
                <w:szCs w:val="20"/>
                <w:lang w:val="en-GB"/>
              </w:rPr>
              <w:t xml:space="preserve"> S.C.R. Part </w:t>
            </w:r>
            <w:r>
              <w:rPr>
                <w:rFonts w:cs="Times New Roman"/>
                <w:b/>
                <w:bCs/>
                <w:sz w:val="20"/>
                <w:szCs w:val="20"/>
                <w:lang w:val="en-GB"/>
              </w:rPr>
              <w:t>1</w:t>
            </w:r>
          </w:p>
          <w:p w:rsidR="00710B7F" w:rsidRDefault="00710B7F" w:rsidP="00710B7F">
            <w:pPr>
              <w:rPr>
                <w:sz w:val="20"/>
                <w:szCs w:val="20"/>
              </w:rPr>
            </w:pPr>
          </w:p>
          <w:p w:rsidR="00710B7F" w:rsidRDefault="00710B7F" w:rsidP="00710B7F">
            <w:pPr>
              <w:keepNext/>
              <w:keepLines/>
              <w:rPr>
                <w:sz w:val="20"/>
                <w:szCs w:val="20"/>
              </w:rPr>
            </w:pPr>
            <w:proofErr w:type="spellStart"/>
            <w:r w:rsidRPr="00653666">
              <w:rPr>
                <w:sz w:val="20"/>
                <w:szCs w:val="20"/>
              </w:rPr>
              <w:t>Musqueam</w:t>
            </w:r>
            <w:proofErr w:type="spellEnd"/>
            <w:r w:rsidRPr="00653666">
              <w:rPr>
                <w:sz w:val="20"/>
                <w:szCs w:val="20"/>
              </w:rPr>
              <w:t xml:space="preserve"> Indian Band </w:t>
            </w:r>
            <w:r w:rsidRPr="00653666">
              <w:rPr>
                <w:i/>
                <w:sz w:val="20"/>
                <w:szCs w:val="20"/>
              </w:rPr>
              <w:t>v.</w:t>
            </w:r>
            <w:r w:rsidRPr="00653666">
              <w:rPr>
                <w:sz w:val="20"/>
                <w:szCs w:val="20"/>
              </w:rPr>
              <w:t xml:space="preserve"> </w:t>
            </w:r>
            <w:proofErr w:type="spellStart"/>
            <w:r w:rsidRPr="00653666">
              <w:rPr>
                <w:sz w:val="20"/>
                <w:szCs w:val="20"/>
              </w:rPr>
              <w:t>Musqueam</w:t>
            </w:r>
            <w:proofErr w:type="spellEnd"/>
            <w:r w:rsidRPr="00653666">
              <w:rPr>
                <w:sz w:val="20"/>
                <w:szCs w:val="20"/>
              </w:rPr>
              <w:t xml:space="preserve"> Indian Band (Board of Review), </w:t>
            </w:r>
          </w:p>
          <w:p w:rsidR="00710B7F" w:rsidRPr="00710B7F" w:rsidRDefault="00710B7F" w:rsidP="00710B7F">
            <w:pPr>
              <w:keepNext/>
              <w:keepLines/>
              <w:rPr>
                <w:rFonts w:cs="Times New Roman"/>
                <w:sz w:val="20"/>
                <w:szCs w:val="20"/>
                <w:lang w:val="en-US"/>
              </w:rPr>
            </w:pPr>
            <w:r w:rsidRPr="00653666">
              <w:rPr>
                <w:sz w:val="20"/>
                <w:szCs w:val="20"/>
              </w:rPr>
              <w:t>2016 SCC 36</w:t>
            </w:r>
            <w:r>
              <w:rPr>
                <w:sz w:val="20"/>
                <w:szCs w:val="20"/>
              </w:rPr>
              <w:t xml:space="preserve">, </w:t>
            </w:r>
            <w:r w:rsidRPr="00710B7F">
              <w:rPr>
                <w:rFonts w:cs="Times New Roman"/>
                <w:sz w:val="20"/>
                <w:szCs w:val="20"/>
                <w:lang w:val="en-US"/>
              </w:rPr>
              <w:t>[2016] 2 S.C.R. 3</w:t>
            </w:r>
          </w:p>
          <w:p w:rsidR="00710B7F" w:rsidRPr="00710B7F" w:rsidRDefault="00710B7F" w:rsidP="00710B7F">
            <w:pPr>
              <w:keepNext/>
              <w:keepLines/>
              <w:rPr>
                <w:rFonts w:cs="Times New Roman"/>
                <w:sz w:val="20"/>
                <w:szCs w:val="20"/>
                <w:lang w:val="en-US"/>
              </w:rPr>
            </w:pPr>
          </w:p>
          <w:p w:rsidR="00710B7F" w:rsidRDefault="00710B7F" w:rsidP="00710B7F">
            <w:pPr>
              <w:keepNext/>
              <w:keepLines/>
              <w:rPr>
                <w:sz w:val="20"/>
                <w:szCs w:val="20"/>
              </w:rPr>
            </w:pPr>
            <w:proofErr w:type="spellStart"/>
            <w:r w:rsidRPr="00EB348E">
              <w:rPr>
                <w:sz w:val="20"/>
                <w:szCs w:val="20"/>
              </w:rPr>
              <w:t>Ledcor</w:t>
            </w:r>
            <w:proofErr w:type="spellEnd"/>
            <w:r w:rsidRPr="00EB348E">
              <w:rPr>
                <w:sz w:val="20"/>
                <w:szCs w:val="20"/>
              </w:rPr>
              <w:t xml:space="preserve"> Construction Ltd. </w:t>
            </w:r>
            <w:r w:rsidRPr="00EB348E">
              <w:rPr>
                <w:i/>
                <w:sz w:val="20"/>
                <w:szCs w:val="20"/>
              </w:rPr>
              <w:t>v.</w:t>
            </w:r>
            <w:r w:rsidRPr="00EB348E">
              <w:rPr>
                <w:sz w:val="20"/>
                <w:szCs w:val="20"/>
              </w:rPr>
              <w:t xml:space="preserve"> Northbridge Indemnity Insurance Co., </w:t>
            </w:r>
          </w:p>
          <w:p w:rsidR="00710B7F" w:rsidRPr="00710B7F" w:rsidRDefault="00710B7F" w:rsidP="00710B7F">
            <w:pPr>
              <w:keepNext/>
              <w:keepLines/>
              <w:rPr>
                <w:rFonts w:cs="Times New Roman"/>
                <w:sz w:val="20"/>
                <w:szCs w:val="20"/>
                <w:lang w:val="en-US"/>
              </w:rPr>
            </w:pPr>
            <w:r w:rsidRPr="00EB348E">
              <w:rPr>
                <w:sz w:val="20"/>
                <w:szCs w:val="20"/>
              </w:rPr>
              <w:t>2016 SCC 37</w:t>
            </w:r>
            <w:r>
              <w:rPr>
                <w:sz w:val="20"/>
                <w:szCs w:val="20"/>
              </w:rPr>
              <w:t>,</w:t>
            </w:r>
            <w:r w:rsidRPr="00710B7F">
              <w:rPr>
                <w:rFonts w:cs="Times New Roman"/>
                <w:sz w:val="20"/>
                <w:szCs w:val="20"/>
                <w:lang w:val="en-US"/>
              </w:rPr>
              <w:t xml:space="preserve"> [2016] 2 S.C.R. 23</w:t>
            </w:r>
          </w:p>
          <w:p w:rsidR="00710B7F" w:rsidRPr="00710B7F" w:rsidRDefault="00710B7F" w:rsidP="00710B7F">
            <w:pPr>
              <w:keepNext/>
              <w:keepLines/>
              <w:rPr>
                <w:rFonts w:cs="Times New Roman"/>
                <w:sz w:val="20"/>
                <w:szCs w:val="20"/>
                <w:lang w:val="en-US"/>
              </w:rPr>
            </w:pPr>
          </w:p>
          <w:p w:rsidR="00710B7F" w:rsidRDefault="00710B7F" w:rsidP="00710B7F">
            <w:pPr>
              <w:keepNext/>
              <w:keepLines/>
              <w:rPr>
                <w:rStyle w:val="SCCRespondentForIndexChar"/>
                <w:rFonts w:eastAsiaTheme="minorHAnsi"/>
                <w:b w:val="0"/>
                <w:sz w:val="20"/>
              </w:rPr>
            </w:pPr>
            <w:r w:rsidRPr="00E56854">
              <w:rPr>
                <w:rStyle w:val="SCCAppellantForIndexChar"/>
                <w:rFonts w:eastAsiaTheme="minorHAnsi"/>
                <w:b w:val="0"/>
                <w:sz w:val="20"/>
                <w:lang w:val="en-US"/>
              </w:rPr>
              <w:t>Canada (Attorney General)</w:t>
            </w:r>
            <w:r w:rsidRPr="004309EF">
              <w:rPr>
                <w:sz w:val="20"/>
                <w:szCs w:val="20"/>
              </w:rPr>
              <w:t xml:space="preserve"> </w:t>
            </w:r>
            <w:r w:rsidRPr="004309EF">
              <w:rPr>
                <w:i/>
                <w:sz w:val="20"/>
                <w:szCs w:val="20"/>
              </w:rPr>
              <w:t>v.</w:t>
            </w:r>
            <w:r w:rsidRPr="004309EF">
              <w:rPr>
                <w:sz w:val="20"/>
                <w:szCs w:val="20"/>
              </w:rPr>
              <w:t xml:space="preserve"> </w:t>
            </w:r>
            <w:r w:rsidRPr="004309EF">
              <w:rPr>
                <w:rStyle w:val="SCCRespondentForIndexChar"/>
                <w:rFonts w:eastAsiaTheme="minorHAnsi"/>
                <w:b w:val="0"/>
                <w:sz w:val="20"/>
              </w:rPr>
              <w:t xml:space="preserve">Igloo </w:t>
            </w:r>
            <w:proofErr w:type="spellStart"/>
            <w:r w:rsidRPr="004309EF">
              <w:rPr>
                <w:rStyle w:val="SCCRespondentForIndexChar"/>
                <w:rFonts w:eastAsiaTheme="minorHAnsi"/>
                <w:b w:val="0"/>
                <w:sz w:val="20"/>
              </w:rPr>
              <w:t>Vikski</w:t>
            </w:r>
            <w:proofErr w:type="spellEnd"/>
            <w:r w:rsidRPr="004309EF">
              <w:rPr>
                <w:rStyle w:val="SCCRespondentForIndexChar"/>
                <w:rFonts w:eastAsiaTheme="minorHAnsi"/>
                <w:b w:val="0"/>
                <w:sz w:val="20"/>
              </w:rPr>
              <w:t xml:space="preserve"> Inc., </w:t>
            </w:r>
          </w:p>
          <w:p w:rsidR="00710B7F" w:rsidRDefault="00710B7F" w:rsidP="00710B7F">
            <w:pPr>
              <w:keepNext/>
              <w:keepLines/>
              <w:rPr>
                <w:rFonts w:cs="Times New Roman"/>
                <w:sz w:val="20"/>
                <w:szCs w:val="20"/>
                <w:lang w:val="fr-CA"/>
              </w:rPr>
            </w:pPr>
            <w:r w:rsidRPr="00710B7F">
              <w:rPr>
                <w:rStyle w:val="SCCRespondentForIndexChar"/>
                <w:rFonts w:eastAsiaTheme="minorHAnsi"/>
                <w:b w:val="0"/>
                <w:sz w:val="20"/>
                <w:lang w:val="fr-CA"/>
              </w:rPr>
              <w:t xml:space="preserve">2016 SCC 38, </w:t>
            </w:r>
            <w:r w:rsidRPr="002D4B73">
              <w:rPr>
                <w:rFonts w:cs="Times New Roman"/>
                <w:sz w:val="20"/>
                <w:szCs w:val="20"/>
                <w:lang w:val="fr-CA"/>
              </w:rPr>
              <w:t xml:space="preserve">[2016] </w:t>
            </w:r>
            <w:r>
              <w:rPr>
                <w:rFonts w:cs="Times New Roman"/>
                <w:sz w:val="20"/>
                <w:szCs w:val="20"/>
                <w:lang w:val="fr-CA"/>
              </w:rPr>
              <w:t>2</w:t>
            </w:r>
            <w:r w:rsidRPr="002D4B73">
              <w:rPr>
                <w:rFonts w:cs="Times New Roman"/>
                <w:sz w:val="20"/>
                <w:szCs w:val="20"/>
                <w:lang w:val="fr-CA"/>
              </w:rPr>
              <w:t xml:space="preserve"> S.C.R.</w:t>
            </w:r>
            <w:r>
              <w:rPr>
                <w:rFonts w:cs="Times New Roman"/>
                <w:sz w:val="20"/>
                <w:szCs w:val="20"/>
                <w:lang w:val="fr-CA"/>
              </w:rPr>
              <w:t xml:space="preserve"> 80</w:t>
            </w:r>
          </w:p>
          <w:p w:rsidR="00710B7F" w:rsidRDefault="00710B7F" w:rsidP="00710B7F">
            <w:pPr>
              <w:keepNext/>
              <w:keepLines/>
              <w:rPr>
                <w:rFonts w:cs="Times New Roman"/>
                <w:sz w:val="20"/>
                <w:szCs w:val="20"/>
                <w:lang w:val="fr-CA"/>
              </w:rPr>
            </w:pPr>
          </w:p>
          <w:p w:rsidR="00710B7F" w:rsidRDefault="00710B7F" w:rsidP="00710B7F">
            <w:pPr>
              <w:keepNext/>
              <w:keepLines/>
              <w:rPr>
                <w:sz w:val="20"/>
                <w:szCs w:val="20"/>
                <w:lang w:val="fr-CA"/>
              </w:rPr>
            </w:pPr>
            <w:r w:rsidRPr="00872EAA">
              <w:rPr>
                <w:sz w:val="20"/>
                <w:szCs w:val="20"/>
                <w:lang w:val="fr-CA"/>
              </w:rPr>
              <w:t xml:space="preserve">Conférence des juges de paix magistrats du Québec </w:t>
            </w:r>
            <w:r w:rsidRPr="00872EAA">
              <w:rPr>
                <w:i/>
                <w:sz w:val="20"/>
                <w:szCs w:val="20"/>
                <w:lang w:val="fr-CA"/>
              </w:rPr>
              <w:t>v.</w:t>
            </w:r>
            <w:r w:rsidRPr="00872EAA">
              <w:rPr>
                <w:sz w:val="20"/>
                <w:szCs w:val="20"/>
                <w:lang w:val="fr-CA"/>
              </w:rPr>
              <w:t xml:space="preserve"> </w:t>
            </w:r>
            <w:proofErr w:type="spellStart"/>
            <w:r w:rsidRPr="00872EAA">
              <w:rPr>
                <w:sz w:val="20"/>
                <w:szCs w:val="20"/>
                <w:lang w:val="fr-CA"/>
              </w:rPr>
              <w:t>Quebec</w:t>
            </w:r>
            <w:proofErr w:type="spellEnd"/>
            <w:r w:rsidRPr="00872EAA">
              <w:rPr>
                <w:sz w:val="20"/>
                <w:szCs w:val="20"/>
                <w:lang w:val="fr-CA"/>
              </w:rPr>
              <w:t xml:space="preserve"> (Attorney General), </w:t>
            </w:r>
          </w:p>
          <w:p w:rsidR="00710B7F" w:rsidRDefault="00710B7F" w:rsidP="00710B7F">
            <w:pPr>
              <w:keepNext/>
              <w:keepLines/>
              <w:rPr>
                <w:rFonts w:cs="Times New Roman"/>
                <w:sz w:val="20"/>
                <w:szCs w:val="20"/>
                <w:lang w:val="fr-CA"/>
              </w:rPr>
            </w:pPr>
            <w:r w:rsidRPr="00872EAA">
              <w:rPr>
                <w:sz w:val="20"/>
                <w:szCs w:val="20"/>
                <w:lang w:val="fr-CA"/>
              </w:rPr>
              <w:t>2016 SCC 39</w:t>
            </w:r>
            <w:r>
              <w:rPr>
                <w:sz w:val="20"/>
                <w:szCs w:val="20"/>
                <w:lang w:val="fr-CA"/>
              </w:rPr>
              <w:t xml:space="preserve">, </w:t>
            </w:r>
            <w:r w:rsidRPr="002D4B73">
              <w:rPr>
                <w:rFonts w:cs="Times New Roman"/>
                <w:sz w:val="20"/>
                <w:szCs w:val="20"/>
                <w:lang w:val="fr-CA"/>
              </w:rPr>
              <w:t xml:space="preserve">[2016] </w:t>
            </w:r>
            <w:r>
              <w:rPr>
                <w:rFonts w:cs="Times New Roman"/>
                <w:sz w:val="20"/>
                <w:szCs w:val="20"/>
                <w:lang w:val="fr-CA"/>
              </w:rPr>
              <w:t>2</w:t>
            </w:r>
            <w:r w:rsidRPr="002D4B73">
              <w:rPr>
                <w:rFonts w:cs="Times New Roman"/>
                <w:sz w:val="20"/>
                <w:szCs w:val="20"/>
                <w:lang w:val="fr-CA"/>
              </w:rPr>
              <w:t xml:space="preserve"> S.C.R.</w:t>
            </w:r>
            <w:r>
              <w:rPr>
                <w:rFonts w:cs="Times New Roman"/>
                <w:sz w:val="20"/>
                <w:szCs w:val="20"/>
                <w:lang w:val="fr-CA"/>
              </w:rPr>
              <w:t xml:space="preserve"> 116</w:t>
            </w:r>
          </w:p>
          <w:p w:rsidR="00710B7F" w:rsidRPr="00C31C83" w:rsidRDefault="00710B7F" w:rsidP="00B65BA0">
            <w:pPr>
              <w:keepNext/>
              <w:keepLines/>
              <w:rPr>
                <w:rFonts w:cs="Times New Roman"/>
                <w:bCs/>
                <w:sz w:val="20"/>
                <w:szCs w:val="20"/>
                <w:lang w:val="fr-CA"/>
              </w:rPr>
            </w:pPr>
          </w:p>
          <w:p w:rsidR="00710B7F" w:rsidRPr="00C31C83" w:rsidRDefault="00710B7F" w:rsidP="00B65BA0">
            <w:pPr>
              <w:keepNext/>
              <w:keepLines/>
              <w:rPr>
                <w:rFonts w:cs="Times New Roman"/>
                <w:bCs/>
                <w:sz w:val="20"/>
                <w:szCs w:val="20"/>
                <w:lang w:val="fr-CA"/>
              </w:rPr>
            </w:pPr>
          </w:p>
        </w:tc>
        <w:tc>
          <w:tcPr>
            <w:tcW w:w="840" w:type="dxa"/>
            <w:tcBorders>
              <w:top w:val="nil"/>
              <w:left w:val="nil"/>
              <w:bottom w:val="nil"/>
              <w:right w:val="nil"/>
            </w:tcBorders>
          </w:tcPr>
          <w:p w:rsidR="00710B7F" w:rsidRPr="00C31C83" w:rsidRDefault="00710B7F" w:rsidP="00B65BA0">
            <w:pPr>
              <w:rPr>
                <w:rFonts w:cs="Times New Roman"/>
                <w:b/>
                <w:bCs/>
                <w:sz w:val="20"/>
                <w:szCs w:val="20"/>
                <w:lang w:val="fr-CA"/>
              </w:rPr>
            </w:pPr>
          </w:p>
        </w:tc>
        <w:tc>
          <w:tcPr>
            <w:tcW w:w="4320" w:type="dxa"/>
            <w:tcBorders>
              <w:top w:val="nil"/>
              <w:left w:val="nil"/>
              <w:bottom w:val="nil"/>
              <w:right w:val="nil"/>
            </w:tcBorders>
          </w:tcPr>
          <w:p w:rsidR="00710B7F" w:rsidRDefault="00710B7F" w:rsidP="00710B7F">
            <w:pPr>
              <w:rPr>
                <w:rFonts w:cs="Times New Roman"/>
                <w:b/>
                <w:bCs/>
                <w:sz w:val="20"/>
                <w:szCs w:val="20"/>
                <w:lang w:val="fr-CA"/>
              </w:rPr>
            </w:pPr>
            <w:r w:rsidRPr="00C31C83">
              <w:rPr>
                <w:rFonts w:cs="Times New Roman"/>
                <w:b/>
                <w:bCs/>
                <w:sz w:val="20"/>
                <w:szCs w:val="20"/>
                <w:lang w:val="fr-CA"/>
              </w:rPr>
              <w:t xml:space="preserve">Jugements publiés dans [2016] </w:t>
            </w:r>
            <w:r>
              <w:rPr>
                <w:rFonts w:cs="Times New Roman"/>
                <w:b/>
                <w:bCs/>
                <w:sz w:val="20"/>
                <w:szCs w:val="20"/>
                <w:lang w:val="fr-CA"/>
              </w:rPr>
              <w:t>2</w:t>
            </w:r>
            <w:r w:rsidRPr="00C31C83">
              <w:rPr>
                <w:rFonts w:cs="Times New Roman"/>
                <w:b/>
                <w:bCs/>
                <w:sz w:val="20"/>
                <w:szCs w:val="20"/>
                <w:lang w:val="fr-CA"/>
              </w:rPr>
              <w:t xml:space="preserve"> R.C.S. Partie </w:t>
            </w:r>
            <w:r>
              <w:rPr>
                <w:rFonts w:cs="Times New Roman"/>
                <w:b/>
                <w:bCs/>
                <w:sz w:val="20"/>
                <w:szCs w:val="20"/>
                <w:lang w:val="fr-CA"/>
              </w:rPr>
              <w:t>1</w:t>
            </w:r>
          </w:p>
          <w:p w:rsidR="00710B7F" w:rsidRPr="00710B7F" w:rsidRDefault="00710B7F" w:rsidP="00710B7F">
            <w:pPr>
              <w:rPr>
                <w:rFonts w:cs="Times New Roman"/>
                <w:sz w:val="20"/>
                <w:szCs w:val="20"/>
                <w:lang w:val="fr-CA"/>
              </w:rPr>
            </w:pPr>
          </w:p>
          <w:p w:rsidR="00710B7F" w:rsidRDefault="00710B7F" w:rsidP="00710B7F">
            <w:pPr>
              <w:keepNext/>
              <w:keepLines/>
              <w:rPr>
                <w:sz w:val="20"/>
                <w:szCs w:val="20"/>
                <w:lang w:val="en-US"/>
              </w:rPr>
            </w:pPr>
            <w:proofErr w:type="spellStart"/>
            <w:r w:rsidRPr="006D6F37">
              <w:rPr>
                <w:sz w:val="20"/>
                <w:szCs w:val="20"/>
                <w:lang w:val="en-US"/>
              </w:rPr>
              <w:t>Musqueam</w:t>
            </w:r>
            <w:proofErr w:type="spellEnd"/>
            <w:r w:rsidRPr="006D6F37">
              <w:rPr>
                <w:sz w:val="20"/>
                <w:szCs w:val="20"/>
                <w:lang w:val="en-US"/>
              </w:rPr>
              <w:t xml:space="preserve"> Indian Band </w:t>
            </w:r>
            <w:r w:rsidRPr="006D6F37">
              <w:rPr>
                <w:i/>
                <w:sz w:val="20"/>
                <w:szCs w:val="20"/>
                <w:lang w:val="en-US"/>
              </w:rPr>
              <w:t>c.</w:t>
            </w:r>
            <w:r w:rsidRPr="006D6F37">
              <w:rPr>
                <w:sz w:val="20"/>
                <w:szCs w:val="20"/>
                <w:lang w:val="en-US"/>
              </w:rPr>
              <w:t xml:space="preserve"> </w:t>
            </w:r>
            <w:proofErr w:type="spellStart"/>
            <w:r w:rsidRPr="006D6F37">
              <w:rPr>
                <w:sz w:val="20"/>
                <w:szCs w:val="20"/>
                <w:lang w:val="en-US"/>
              </w:rPr>
              <w:t>Musqueam</w:t>
            </w:r>
            <w:proofErr w:type="spellEnd"/>
            <w:r w:rsidRPr="006D6F37">
              <w:rPr>
                <w:sz w:val="20"/>
                <w:szCs w:val="20"/>
                <w:lang w:val="en-US"/>
              </w:rPr>
              <w:t xml:space="preserve"> Indian Band (Board of Review), </w:t>
            </w:r>
          </w:p>
          <w:p w:rsidR="00710B7F" w:rsidRDefault="00710B7F" w:rsidP="00710B7F">
            <w:pPr>
              <w:keepNext/>
              <w:keepLines/>
              <w:rPr>
                <w:rFonts w:cs="Times New Roman"/>
                <w:sz w:val="20"/>
                <w:szCs w:val="20"/>
                <w:lang w:val="fr-CA"/>
              </w:rPr>
            </w:pPr>
            <w:r w:rsidRPr="00710B7F">
              <w:rPr>
                <w:sz w:val="20"/>
                <w:szCs w:val="20"/>
                <w:lang w:val="fr-CA"/>
              </w:rPr>
              <w:t xml:space="preserve">2016 CSC 36, </w:t>
            </w:r>
            <w:r>
              <w:rPr>
                <w:rFonts w:cs="Times New Roman"/>
                <w:sz w:val="20"/>
                <w:szCs w:val="20"/>
                <w:lang w:val="fr-CA"/>
              </w:rPr>
              <w:t>[2016] 2</w:t>
            </w:r>
            <w:r w:rsidRPr="002D4B73">
              <w:rPr>
                <w:rFonts w:cs="Times New Roman"/>
                <w:sz w:val="20"/>
                <w:szCs w:val="20"/>
                <w:lang w:val="fr-CA"/>
              </w:rPr>
              <w:t xml:space="preserve"> R.C.S. </w:t>
            </w:r>
            <w:r>
              <w:rPr>
                <w:rFonts w:cs="Times New Roman"/>
                <w:sz w:val="20"/>
                <w:szCs w:val="20"/>
                <w:lang w:val="fr-CA"/>
              </w:rPr>
              <w:t>3</w:t>
            </w:r>
          </w:p>
          <w:p w:rsidR="00710B7F" w:rsidRDefault="00710B7F" w:rsidP="00710B7F">
            <w:pPr>
              <w:keepNext/>
              <w:keepLines/>
              <w:rPr>
                <w:rFonts w:cs="Times New Roman"/>
                <w:sz w:val="20"/>
                <w:szCs w:val="20"/>
                <w:lang w:val="fr-CA"/>
              </w:rPr>
            </w:pPr>
          </w:p>
          <w:p w:rsidR="00710B7F" w:rsidRDefault="00710B7F" w:rsidP="00710B7F">
            <w:pPr>
              <w:keepNext/>
              <w:keepLines/>
              <w:rPr>
                <w:sz w:val="20"/>
                <w:szCs w:val="20"/>
                <w:lang w:val="fr-CA"/>
              </w:rPr>
            </w:pPr>
            <w:proofErr w:type="spellStart"/>
            <w:r w:rsidRPr="00E56854">
              <w:rPr>
                <w:sz w:val="20"/>
                <w:szCs w:val="20"/>
                <w:lang w:val="fr-CA"/>
              </w:rPr>
              <w:t>Ledcor</w:t>
            </w:r>
            <w:proofErr w:type="spellEnd"/>
            <w:r w:rsidRPr="00E56854">
              <w:rPr>
                <w:sz w:val="20"/>
                <w:szCs w:val="20"/>
                <w:lang w:val="fr-CA"/>
              </w:rPr>
              <w:t xml:space="preserve"> Construction Ltd. </w:t>
            </w:r>
            <w:r w:rsidRPr="00E56854">
              <w:rPr>
                <w:i/>
                <w:sz w:val="20"/>
                <w:szCs w:val="20"/>
                <w:lang w:val="fr-CA"/>
              </w:rPr>
              <w:t>c.</w:t>
            </w:r>
            <w:r w:rsidRPr="00E56854">
              <w:rPr>
                <w:sz w:val="20"/>
                <w:szCs w:val="20"/>
                <w:lang w:val="fr-CA"/>
              </w:rPr>
              <w:t xml:space="preserve"> Société d’assurance d’indemnisation </w:t>
            </w:r>
            <w:proofErr w:type="spellStart"/>
            <w:r w:rsidRPr="00E56854">
              <w:rPr>
                <w:sz w:val="20"/>
                <w:szCs w:val="20"/>
                <w:lang w:val="fr-CA"/>
              </w:rPr>
              <w:t>Northbridge</w:t>
            </w:r>
            <w:proofErr w:type="spellEnd"/>
            <w:r w:rsidRPr="00E56854">
              <w:rPr>
                <w:sz w:val="20"/>
                <w:szCs w:val="20"/>
                <w:lang w:val="fr-CA"/>
              </w:rPr>
              <w:t xml:space="preserve">, </w:t>
            </w:r>
          </w:p>
          <w:p w:rsidR="00710B7F" w:rsidRDefault="00710B7F" w:rsidP="00710B7F">
            <w:pPr>
              <w:keepNext/>
              <w:keepLines/>
              <w:rPr>
                <w:rFonts w:cs="Times New Roman"/>
                <w:sz w:val="20"/>
                <w:szCs w:val="20"/>
                <w:lang w:val="fr-CA"/>
              </w:rPr>
            </w:pPr>
            <w:r w:rsidRPr="00E56854">
              <w:rPr>
                <w:sz w:val="20"/>
                <w:szCs w:val="20"/>
                <w:lang w:val="fr-CA"/>
              </w:rPr>
              <w:t>2016 CSC 37</w:t>
            </w:r>
            <w:r>
              <w:rPr>
                <w:sz w:val="20"/>
                <w:szCs w:val="20"/>
                <w:lang w:val="fr-CA"/>
              </w:rPr>
              <w:t xml:space="preserve">, </w:t>
            </w:r>
            <w:r>
              <w:rPr>
                <w:rFonts w:cs="Times New Roman"/>
                <w:sz w:val="20"/>
                <w:szCs w:val="20"/>
                <w:lang w:val="fr-CA"/>
              </w:rPr>
              <w:t>[2016] 2</w:t>
            </w:r>
            <w:r w:rsidRPr="002D4B73">
              <w:rPr>
                <w:rFonts w:cs="Times New Roman"/>
                <w:sz w:val="20"/>
                <w:szCs w:val="20"/>
                <w:lang w:val="fr-CA"/>
              </w:rPr>
              <w:t xml:space="preserve"> R.C.S. </w:t>
            </w:r>
            <w:r>
              <w:rPr>
                <w:rFonts w:cs="Times New Roman"/>
                <w:sz w:val="20"/>
                <w:szCs w:val="20"/>
                <w:lang w:val="fr-CA"/>
              </w:rPr>
              <w:t>23</w:t>
            </w:r>
          </w:p>
          <w:p w:rsidR="00710B7F" w:rsidRDefault="00710B7F" w:rsidP="00710B7F">
            <w:pPr>
              <w:keepNext/>
              <w:keepLines/>
              <w:rPr>
                <w:rFonts w:cs="Times New Roman"/>
                <w:sz w:val="20"/>
                <w:szCs w:val="20"/>
                <w:lang w:val="fr-CA"/>
              </w:rPr>
            </w:pPr>
          </w:p>
          <w:p w:rsidR="00710B7F" w:rsidRDefault="00710B7F" w:rsidP="00710B7F">
            <w:pPr>
              <w:keepNext/>
              <w:keepLines/>
              <w:rPr>
                <w:rStyle w:val="SCCRespondentForIndexChar"/>
                <w:rFonts w:eastAsiaTheme="minorHAnsi"/>
                <w:b w:val="0"/>
                <w:sz w:val="20"/>
                <w:lang w:val="fr-CA"/>
              </w:rPr>
            </w:pPr>
            <w:r w:rsidRPr="00666C0B">
              <w:rPr>
                <w:rStyle w:val="SCCAppellantForIndexChar"/>
                <w:rFonts w:eastAsiaTheme="minorHAnsi"/>
                <w:b w:val="0"/>
                <w:sz w:val="20"/>
              </w:rPr>
              <w:t>Canada (Procureur général)</w:t>
            </w:r>
            <w:r w:rsidRPr="00E56854">
              <w:rPr>
                <w:sz w:val="20"/>
                <w:szCs w:val="20"/>
                <w:lang w:val="fr-CA"/>
              </w:rPr>
              <w:t xml:space="preserve"> </w:t>
            </w:r>
            <w:r w:rsidRPr="00E56854">
              <w:rPr>
                <w:i/>
                <w:sz w:val="20"/>
                <w:szCs w:val="20"/>
                <w:lang w:val="fr-CA"/>
              </w:rPr>
              <w:t>c.</w:t>
            </w:r>
            <w:r w:rsidRPr="00E56854">
              <w:rPr>
                <w:sz w:val="20"/>
                <w:szCs w:val="20"/>
                <w:lang w:val="fr-CA"/>
              </w:rPr>
              <w:t xml:space="preserve"> </w:t>
            </w:r>
            <w:r w:rsidRPr="00666C0B">
              <w:rPr>
                <w:rStyle w:val="SCCRespondentForIndexChar"/>
                <w:rFonts w:eastAsiaTheme="minorHAnsi"/>
                <w:b w:val="0"/>
                <w:sz w:val="20"/>
                <w:lang w:val="fr-CA"/>
              </w:rPr>
              <w:t xml:space="preserve">Igloo </w:t>
            </w:r>
            <w:proofErr w:type="spellStart"/>
            <w:r w:rsidRPr="00666C0B">
              <w:rPr>
                <w:rStyle w:val="SCCRespondentForIndexChar"/>
                <w:rFonts w:eastAsiaTheme="minorHAnsi"/>
                <w:b w:val="0"/>
                <w:sz w:val="20"/>
                <w:lang w:val="fr-CA"/>
              </w:rPr>
              <w:t>Vikski</w:t>
            </w:r>
            <w:proofErr w:type="spellEnd"/>
            <w:r w:rsidRPr="00666C0B">
              <w:rPr>
                <w:rStyle w:val="SCCRespondentForIndexChar"/>
                <w:rFonts w:eastAsiaTheme="minorHAnsi"/>
                <w:b w:val="0"/>
                <w:sz w:val="20"/>
                <w:lang w:val="fr-CA"/>
              </w:rPr>
              <w:t xml:space="preserve"> Inc., </w:t>
            </w:r>
          </w:p>
          <w:p w:rsidR="00710B7F" w:rsidRDefault="00710B7F" w:rsidP="00710B7F">
            <w:pPr>
              <w:keepNext/>
              <w:keepLines/>
              <w:rPr>
                <w:rFonts w:cs="Times New Roman"/>
                <w:sz w:val="20"/>
                <w:szCs w:val="20"/>
                <w:lang w:val="fr-CA"/>
              </w:rPr>
            </w:pPr>
            <w:r w:rsidRPr="00666C0B">
              <w:rPr>
                <w:rStyle w:val="SCCRespondentForIndexChar"/>
                <w:rFonts w:eastAsiaTheme="minorHAnsi"/>
                <w:b w:val="0"/>
                <w:sz w:val="20"/>
                <w:lang w:val="fr-CA"/>
              </w:rPr>
              <w:t>2016 CSC 38</w:t>
            </w:r>
            <w:r>
              <w:rPr>
                <w:rStyle w:val="SCCRespondentForIndexChar"/>
                <w:rFonts w:eastAsiaTheme="minorHAnsi"/>
                <w:b w:val="0"/>
                <w:sz w:val="20"/>
                <w:lang w:val="fr-CA"/>
              </w:rPr>
              <w:t xml:space="preserve">, </w:t>
            </w:r>
            <w:r>
              <w:rPr>
                <w:rFonts w:cs="Times New Roman"/>
                <w:sz w:val="20"/>
                <w:szCs w:val="20"/>
                <w:lang w:val="fr-CA"/>
              </w:rPr>
              <w:t>[2016] 2</w:t>
            </w:r>
            <w:r w:rsidRPr="002D4B73">
              <w:rPr>
                <w:rFonts w:cs="Times New Roman"/>
                <w:sz w:val="20"/>
                <w:szCs w:val="20"/>
                <w:lang w:val="fr-CA"/>
              </w:rPr>
              <w:t xml:space="preserve"> R.C.S.</w:t>
            </w:r>
            <w:r>
              <w:rPr>
                <w:rFonts w:cs="Times New Roman"/>
                <w:sz w:val="20"/>
                <w:szCs w:val="20"/>
                <w:lang w:val="fr-CA"/>
              </w:rPr>
              <w:t xml:space="preserve"> 80</w:t>
            </w:r>
          </w:p>
          <w:p w:rsidR="00710B7F" w:rsidRDefault="00710B7F" w:rsidP="00710B7F">
            <w:pPr>
              <w:keepNext/>
              <w:keepLines/>
              <w:rPr>
                <w:rFonts w:cs="Times New Roman"/>
                <w:sz w:val="20"/>
                <w:szCs w:val="20"/>
                <w:lang w:val="fr-CA"/>
              </w:rPr>
            </w:pPr>
          </w:p>
          <w:p w:rsidR="00710B7F" w:rsidRDefault="00710B7F" w:rsidP="00710B7F">
            <w:pPr>
              <w:keepNext/>
              <w:keepLines/>
              <w:rPr>
                <w:sz w:val="20"/>
                <w:szCs w:val="20"/>
                <w:lang w:val="fr-CA"/>
              </w:rPr>
            </w:pPr>
            <w:r w:rsidRPr="00E56854">
              <w:rPr>
                <w:sz w:val="20"/>
                <w:szCs w:val="20"/>
                <w:lang w:val="fr-CA"/>
              </w:rPr>
              <w:t xml:space="preserve">Conférence des juges de paix magistrats du Québec </w:t>
            </w:r>
            <w:r w:rsidRPr="00E56854">
              <w:rPr>
                <w:i/>
                <w:sz w:val="20"/>
                <w:szCs w:val="20"/>
                <w:lang w:val="fr-CA"/>
              </w:rPr>
              <w:t>c.</w:t>
            </w:r>
            <w:r w:rsidRPr="00E56854">
              <w:rPr>
                <w:sz w:val="20"/>
                <w:szCs w:val="20"/>
                <w:lang w:val="fr-CA"/>
              </w:rPr>
              <w:t xml:space="preserve"> Québec (Procureure générale), </w:t>
            </w:r>
          </w:p>
          <w:p w:rsidR="00710B7F" w:rsidRDefault="00710B7F" w:rsidP="00710B7F">
            <w:pPr>
              <w:keepNext/>
              <w:keepLines/>
              <w:rPr>
                <w:rFonts w:cs="Times New Roman"/>
                <w:sz w:val="20"/>
                <w:szCs w:val="20"/>
                <w:lang w:val="fr-CA"/>
              </w:rPr>
            </w:pPr>
            <w:r w:rsidRPr="00E56854">
              <w:rPr>
                <w:sz w:val="20"/>
                <w:szCs w:val="20"/>
                <w:lang w:val="fr-CA"/>
              </w:rPr>
              <w:t>2016 CSC 39</w:t>
            </w:r>
            <w:r>
              <w:rPr>
                <w:sz w:val="20"/>
                <w:szCs w:val="20"/>
                <w:lang w:val="fr-CA"/>
              </w:rPr>
              <w:t xml:space="preserve">, </w:t>
            </w:r>
            <w:r>
              <w:rPr>
                <w:rFonts w:cs="Times New Roman"/>
                <w:sz w:val="20"/>
                <w:szCs w:val="20"/>
                <w:lang w:val="fr-CA"/>
              </w:rPr>
              <w:t>[2016] 2</w:t>
            </w:r>
            <w:r w:rsidRPr="002D4B73">
              <w:rPr>
                <w:rFonts w:cs="Times New Roman"/>
                <w:sz w:val="20"/>
                <w:szCs w:val="20"/>
                <w:lang w:val="fr-CA"/>
              </w:rPr>
              <w:t xml:space="preserve"> R.C.S.</w:t>
            </w:r>
            <w:r>
              <w:rPr>
                <w:rFonts w:cs="Times New Roman"/>
                <w:sz w:val="20"/>
                <w:szCs w:val="20"/>
                <w:lang w:val="fr-CA"/>
              </w:rPr>
              <w:t xml:space="preserve"> 116</w:t>
            </w:r>
          </w:p>
          <w:p w:rsidR="00710B7F" w:rsidRDefault="00710B7F" w:rsidP="00B65BA0">
            <w:pPr>
              <w:keepNext/>
              <w:keepLines/>
              <w:rPr>
                <w:rFonts w:cs="Times New Roman"/>
                <w:bCs/>
                <w:sz w:val="20"/>
                <w:szCs w:val="20"/>
                <w:lang w:val="fr-CA"/>
              </w:rPr>
            </w:pPr>
          </w:p>
          <w:p w:rsidR="00710B7F" w:rsidRPr="00C31C83" w:rsidRDefault="00710B7F" w:rsidP="00B65BA0">
            <w:pPr>
              <w:keepNext/>
              <w:keepLines/>
              <w:rPr>
                <w:rFonts w:cs="Times New Roman"/>
                <w:bCs/>
                <w:sz w:val="20"/>
                <w:szCs w:val="20"/>
                <w:lang w:val="en-US"/>
              </w:rPr>
            </w:pPr>
          </w:p>
        </w:tc>
      </w:tr>
    </w:tbl>
    <w:p w:rsidR="00710B7F" w:rsidRDefault="00710B7F">
      <w:r>
        <w:br w:type="page"/>
      </w: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710B7F" w:rsidRPr="00744D93" w:rsidTr="00B65BA0">
        <w:tc>
          <w:tcPr>
            <w:tcW w:w="4320" w:type="dxa"/>
            <w:tcBorders>
              <w:top w:val="nil"/>
              <w:left w:val="nil"/>
              <w:bottom w:val="nil"/>
              <w:right w:val="nil"/>
            </w:tcBorders>
          </w:tcPr>
          <w:p w:rsidR="000654A4" w:rsidRDefault="00710B7F" w:rsidP="00B65BA0">
            <w:pPr>
              <w:keepNext/>
              <w:keepLines/>
              <w:rPr>
                <w:rFonts w:cs="Times New Roman"/>
                <w:bCs/>
                <w:sz w:val="20"/>
                <w:szCs w:val="20"/>
                <w:lang w:val="en-US"/>
              </w:rPr>
            </w:pPr>
            <w:r w:rsidRPr="00710B7F">
              <w:rPr>
                <w:rFonts w:cs="Times New Roman"/>
                <w:bCs/>
                <w:sz w:val="20"/>
                <w:szCs w:val="20"/>
                <w:lang w:val="en-US"/>
              </w:rPr>
              <w:lastRenderedPageBreak/>
              <w:t xml:space="preserve">R. </w:t>
            </w:r>
            <w:r w:rsidRPr="00710B7F">
              <w:rPr>
                <w:rFonts w:cs="Times New Roman"/>
                <w:bCs/>
                <w:i/>
                <w:sz w:val="20"/>
                <w:szCs w:val="20"/>
                <w:lang w:val="en-US"/>
              </w:rPr>
              <w:t>v</w:t>
            </w:r>
            <w:r w:rsidRPr="00710B7F">
              <w:rPr>
                <w:rFonts w:cs="Times New Roman"/>
                <w:bCs/>
                <w:sz w:val="20"/>
                <w:szCs w:val="20"/>
                <w:lang w:val="en-US"/>
              </w:rPr>
              <w:t xml:space="preserve">. </w:t>
            </w:r>
            <w:proofErr w:type="spellStart"/>
            <w:r w:rsidRPr="00710B7F">
              <w:rPr>
                <w:rFonts w:cs="Times New Roman"/>
                <w:bCs/>
                <w:sz w:val="20"/>
                <w:szCs w:val="20"/>
                <w:lang w:val="en-US"/>
              </w:rPr>
              <w:t>Rowson</w:t>
            </w:r>
            <w:proofErr w:type="spellEnd"/>
            <w:r w:rsidRPr="00710B7F">
              <w:rPr>
                <w:rFonts w:cs="Times New Roman"/>
                <w:bCs/>
                <w:sz w:val="20"/>
                <w:szCs w:val="20"/>
                <w:lang w:val="en-US"/>
              </w:rPr>
              <w:t xml:space="preserve">, </w:t>
            </w:r>
          </w:p>
          <w:p w:rsidR="00710B7F" w:rsidRDefault="00710B7F" w:rsidP="00B65BA0">
            <w:pPr>
              <w:keepNext/>
              <w:keepLines/>
              <w:rPr>
                <w:rFonts w:cs="Times New Roman"/>
                <w:bCs/>
                <w:sz w:val="20"/>
                <w:szCs w:val="20"/>
                <w:lang w:val="en-US"/>
              </w:rPr>
            </w:pPr>
            <w:r w:rsidRPr="00710B7F">
              <w:rPr>
                <w:rFonts w:cs="Times New Roman"/>
                <w:bCs/>
                <w:sz w:val="20"/>
                <w:szCs w:val="20"/>
                <w:lang w:val="en-US"/>
              </w:rPr>
              <w:t>2016 SCC 40, [2016] 2 S.C.R. 158</w:t>
            </w:r>
          </w:p>
          <w:p w:rsidR="000654A4" w:rsidRDefault="000654A4" w:rsidP="00B65BA0">
            <w:pPr>
              <w:keepNext/>
              <w:keepLines/>
              <w:rPr>
                <w:rFonts w:cs="Times New Roman"/>
                <w:bCs/>
                <w:sz w:val="20"/>
                <w:szCs w:val="20"/>
                <w:lang w:val="en-US"/>
              </w:rPr>
            </w:pPr>
          </w:p>
          <w:p w:rsidR="000654A4" w:rsidRDefault="000654A4" w:rsidP="00B65BA0">
            <w:pPr>
              <w:keepNext/>
              <w:keepLines/>
              <w:rPr>
                <w:rFonts w:cs="Times New Roman"/>
                <w:bCs/>
                <w:sz w:val="20"/>
                <w:szCs w:val="20"/>
                <w:lang w:val="en-US"/>
              </w:rPr>
            </w:pPr>
            <w:r w:rsidRPr="000654A4">
              <w:rPr>
                <w:rFonts w:cs="Times New Roman"/>
                <w:bCs/>
                <w:sz w:val="20"/>
                <w:szCs w:val="20"/>
                <w:lang w:val="en-US"/>
              </w:rPr>
              <w:t xml:space="preserve">R. </w:t>
            </w:r>
            <w:r w:rsidRPr="000654A4">
              <w:rPr>
                <w:rFonts w:cs="Times New Roman"/>
                <w:bCs/>
                <w:i/>
                <w:sz w:val="20"/>
                <w:szCs w:val="20"/>
                <w:lang w:val="en-US"/>
              </w:rPr>
              <w:t>v</w:t>
            </w:r>
            <w:r w:rsidRPr="000654A4">
              <w:rPr>
                <w:rFonts w:cs="Times New Roman"/>
                <w:bCs/>
                <w:sz w:val="20"/>
                <w:szCs w:val="20"/>
                <w:lang w:val="en-US"/>
              </w:rPr>
              <w:t xml:space="preserve">. C.K-D., </w:t>
            </w:r>
          </w:p>
          <w:p w:rsidR="000654A4" w:rsidRPr="000654A4" w:rsidRDefault="000654A4" w:rsidP="00B65BA0">
            <w:pPr>
              <w:keepNext/>
              <w:keepLines/>
              <w:rPr>
                <w:rFonts w:cs="Times New Roman"/>
                <w:bCs/>
                <w:sz w:val="20"/>
                <w:szCs w:val="20"/>
                <w:lang w:val="en-US"/>
              </w:rPr>
            </w:pPr>
            <w:r w:rsidRPr="000654A4">
              <w:rPr>
                <w:rFonts w:cs="Times New Roman"/>
                <w:bCs/>
                <w:sz w:val="20"/>
                <w:szCs w:val="20"/>
                <w:lang w:val="en-US"/>
              </w:rPr>
              <w:t>2016 SCC 41, [2016] 2 S.C.R. 160</w:t>
            </w:r>
          </w:p>
          <w:p w:rsidR="00710B7F" w:rsidRDefault="00710B7F" w:rsidP="00B65BA0">
            <w:pPr>
              <w:keepNext/>
              <w:keepLines/>
              <w:rPr>
                <w:rFonts w:cs="Times New Roman"/>
                <w:bCs/>
                <w:sz w:val="20"/>
                <w:szCs w:val="20"/>
                <w:lang w:val="en-US"/>
              </w:rPr>
            </w:pPr>
          </w:p>
          <w:p w:rsidR="000654A4" w:rsidRDefault="000654A4" w:rsidP="00B65BA0">
            <w:pPr>
              <w:keepNext/>
              <w:keepLines/>
              <w:rPr>
                <w:rFonts w:cs="Times New Roman"/>
                <w:bCs/>
                <w:sz w:val="20"/>
                <w:szCs w:val="20"/>
                <w:lang w:val="en-US"/>
              </w:rPr>
            </w:pPr>
            <w:r w:rsidRPr="000654A4">
              <w:rPr>
                <w:rFonts w:cs="Times New Roman"/>
                <w:bCs/>
                <w:sz w:val="20"/>
                <w:szCs w:val="20"/>
                <w:lang w:val="en-US"/>
              </w:rPr>
              <w:t xml:space="preserve">Endean </w:t>
            </w:r>
            <w:r w:rsidRPr="000654A4">
              <w:rPr>
                <w:rFonts w:cs="Times New Roman"/>
                <w:bCs/>
                <w:i/>
                <w:sz w:val="20"/>
                <w:szCs w:val="20"/>
                <w:lang w:val="en-US"/>
              </w:rPr>
              <w:t>v</w:t>
            </w:r>
            <w:r w:rsidRPr="000654A4">
              <w:rPr>
                <w:rFonts w:cs="Times New Roman"/>
                <w:bCs/>
                <w:sz w:val="20"/>
                <w:szCs w:val="20"/>
                <w:lang w:val="en-US"/>
              </w:rPr>
              <w:t xml:space="preserve">. British Columbia, </w:t>
            </w:r>
          </w:p>
          <w:p w:rsidR="000654A4" w:rsidRDefault="000654A4" w:rsidP="00B65BA0">
            <w:pPr>
              <w:keepNext/>
              <w:keepLines/>
              <w:rPr>
                <w:rFonts w:cs="Times New Roman"/>
                <w:bCs/>
                <w:sz w:val="20"/>
                <w:szCs w:val="20"/>
                <w:lang w:val="en-US"/>
              </w:rPr>
            </w:pPr>
            <w:r w:rsidRPr="000654A4">
              <w:rPr>
                <w:rFonts w:cs="Times New Roman"/>
                <w:bCs/>
                <w:sz w:val="20"/>
                <w:szCs w:val="20"/>
                <w:lang w:val="en-US"/>
              </w:rPr>
              <w:t>2016 SCC 42, [2016] 2 S.C.R. 162</w:t>
            </w:r>
          </w:p>
          <w:p w:rsidR="000654A4" w:rsidRDefault="000654A4" w:rsidP="00B65BA0">
            <w:pPr>
              <w:keepNext/>
              <w:keepLines/>
              <w:rPr>
                <w:rFonts w:cs="Times New Roman"/>
                <w:bCs/>
                <w:sz w:val="20"/>
                <w:szCs w:val="20"/>
                <w:lang w:val="en-US"/>
              </w:rPr>
            </w:pPr>
          </w:p>
          <w:p w:rsidR="000654A4" w:rsidRDefault="000654A4" w:rsidP="00B65BA0">
            <w:pPr>
              <w:keepNext/>
              <w:keepLines/>
              <w:rPr>
                <w:sz w:val="20"/>
                <w:szCs w:val="20"/>
              </w:rPr>
            </w:pPr>
            <w:r w:rsidRPr="001A1735">
              <w:rPr>
                <w:sz w:val="20"/>
                <w:szCs w:val="20"/>
              </w:rPr>
              <w:t xml:space="preserve">R. </w:t>
            </w:r>
            <w:r w:rsidRPr="001A1735">
              <w:rPr>
                <w:i/>
                <w:sz w:val="20"/>
                <w:szCs w:val="20"/>
              </w:rPr>
              <w:t>v.</w:t>
            </w:r>
            <w:r w:rsidRPr="001A1735">
              <w:rPr>
                <w:sz w:val="20"/>
                <w:szCs w:val="20"/>
              </w:rPr>
              <w:t xml:space="preserve"> Anthony-Cook, </w:t>
            </w:r>
          </w:p>
          <w:p w:rsidR="000654A4" w:rsidRDefault="000654A4" w:rsidP="00B65BA0">
            <w:pPr>
              <w:keepNext/>
              <w:keepLines/>
              <w:rPr>
                <w:rFonts w:cs="Times New Roman"/>
                <w:bCs/>
                <w:sz w:val="20"/>
                <w:szCs w:val="20"/>
                <w:lang w:val="en-US"/>
              </w:rPr>
            </w:pPr>
            <w:r w:rsidRPr="001A1735">
              <w:rPr>
                <w:sz w:val="20"/>
                <w:szCs w:val="20"/>
              </w:rPr>
              <w:t>2016 SCC 43</w:t>
            </w:r>
            <w:r>
              <w:rPr>
                <w:sz w:val="20"/>
                <w:szCs w:val="20"/>
              </w:rPr>
              <w:t xml:space="preserve">, </w:t>
            </w:r>
            <w:r>
              <w:rPr>
                <w:rFonts w:cs="Times New Roman"/>
                <w:bCs/>
                <w:sz w:val="20"/>
                <w:szCs w:val="20"/>
                <w:lang w:val="en-US"/>
              </w:rPr>
              <w:t>[2016] 2 S.C.R. 204</w:t>
            </w:r>
          </w:p>
          <w:p w:rsidR="00744D93" w:rsidRDefault="00744D93" w:rsidP="00B65BA0">
            <w:pPr>
              <w:keepNext/>
              <w:keepLines/>
              <w:rPr>
                <w:rFonts w:cs="Times New Roman"/>
                <w:bCs/>
                <w:sz w:val="20"/>
                <w:szCs w:val="20"/>
                <w:lang w:val="en-US"/>
              </w:rPr>
            </w:pPr>
          </w:p>
          <w:p w:rsidR="00744D93" w:rsidRDefault="00744D93" w:rsidP="00B65BA0">
            <w:pPr>
              <w:keepNext/>
              <w:keepLines/>
              <w:rPr>
                <w:sz w:val="20"/>
                <w:szCs w:val="20"/>
                <w:lang w:val="fr-CA"/>
              </w:rPr>
            </w:pPr>
            <w:r w:rsidRPr="002313F7">
              <w:rPr>
                <w:sz w:val="20"/>
                <w:szCs w:val="20"/>
                <w:lang w:val="fr-CA"/>
              </w:rPr>
              <w:t xml:space="preserve">Morasse </w:t>
            </w:r>
            <w:r w:rsidRPr="002313F7">
              <w:rPr>
                <w:i/>
                <w:sz w:val="20"/>
                <w:szCs w:val="20"/>
                <w:lang w:val="fr-CA"/>
              </w:rPr>
              <w:t>v.</w:t>
            </w:r>
            <w:r w:rsidRPr="002313F7">
              <w:rPr>
                <w:sz w:val="20"/>
                <w:szCs w:val="20"/>
                <w:lang w:val="fr-CA"/>
              </w:rPr>
              <w:t xml:space="preserve"> Nadeau-Dubois, </w:t>
            </w:r>
          </w:p>
          <w:p w:rsidR="00744D93" w:rsidRPr="00B65BA0" w:rsidRDefault="00744D93" w:rsidP="00744D93">
            <w:pPr>
              <w:keepNext/>
              <w:keepLines/>
              <w:rPr>
                <w:rFonts w:cs="Times New Roman"/>
                <w:bCs/>
                <w:sz w:val="20"/>
                <w:szCs w:val="20"/>
                <w:lang w:val="fr-CA"/>
              </w:rPr>
            </w:pPr>
            <w:r w:rsidRPr="002313F7">
              <w:rPr>
                <w:sz w:val="20"/>
                <w:szCs w:val="20"/>
                <w:lang w:val="fr-CA"/>
              </w:rPr>
              <w:t>2016 SCC 44</w:t>
            </w:r>
            <w:r>
              <w:rPr>
                <w:sz w:val="20"/>
                <w:szCs w:val="20"/>
                <w:lang w:val="fr-CA"/>
              </w:rPr>
              <w:t xml:space="preserve">, </w:t>
            </w:r>
            <w:r w:rsidRPr="00B65BA0">
              <w:rPr>
                <w:rFonts w:cs="Times New Roman"/>
                <w:bCs/>
                <w:sz w:val="20"/>
                <w:szCs w:val="20"/>
                <w:lang w:val="fr-CA"/>
              </w:rPr>
              <w:t>[2016] 2 S.C.R. 232</w:t>
            </w:r>
          </w:p>
          <w:p w:rsidR="00744D93" w:rsidRPr="00B65BA0" w:rsidRDefault="00744D93" w:rsidP="00744D93">
            <w:pPr>
              <w:keepNext/>
              <w:keepLines/>
              <w:rPr>
                <w:rFonts w:cs="Times New Roman"/>
                <w:bCs/>
                <w:sz w:val="20"/>
                <w:szCs w:val="20"/>
                <w:lang w:val="fr-CA"/>
              </w:rPr>
            </w:pPr>
          </w:p>
          <w:p w:rsidR="00744D93" w:rsidRDefault="00744D93" w:rsidP="00744D93">
            <w:pPr>
              <w:keepNext/>
              <w:keepLines/>
              <w:rPr>
                <w:rFonts w:cs="Times New Roman"/>
                <w:bCs/>
                <w:sz w:val="20"/>
                <w:szCs w:val="20"/>
                <w:lang w:val="en-US"/>
              </w:rPr>
            </w:pPr>
            <w:r w:rsidRPr="00744D93">
              <w:rPr>
                <w:rFonts w:cs="Times New Roman"/>
                <w:bCs/>
                <w:sz w:val="20"/>
                <w:szCs w:val="20"/>
                <w:lang w:val="en-US"/>
              </w:rPr>
              <w:t xml:space="preserve">Urban Communications Inc. </w:t>
            </w:r>
            <w:r w:rsidRPr="00744D93">
              <w:rPr>
                <w:rFonts w:cs="Times New Roman"/>
                <w:bCs/>
                <w:i/>
                <w:sz w:val="20"/>
                <w:szCs w:val="20"/>
                <w:lang w:val="en-US"/>
              </w:rPr>
              <w:t>v</w:t>
            </w:r>
            <w:r w:rsidRPr="00744D93">
              <w:rPr>
                <w:rFonts w:cs="Times New Roman"/>
                <w:bCs/>
                <w:sz w:val="20"/>
                <w:szCs w:val="20"/>
                <w:lang w:val="en-US"/>
              </w:rPr>
              <w:t xml:space="preserve">. BCNET Networking Society, </w:t>
            </w:r>
          </w:p>
          <w:p w:rsidR="00744D93" w:rsidRDefault="00744D93" w:rsidP="00744D93">
            <w:pPr>
              <w:keepNext/>
              <w:keepLines/>
              <w:rPr>
                <w:rFonts w:cs="Times New Roman"/>
                <w:bCs/>
                <w:sz w:val="20"/>
                <w:szCs w:val="20"/>
                <w:lang w:val="en-US"/>
              </w:rPr>
            </w:pPr>
            <w:r w:rsidRPr="00744D93">
              <w:rPr>
                <w:rFonts w:cs="Times New Roman"/>
                <w:bCs/>
                <w:sz w:val="20"/>
                <w:szCs w:val="20"/>
                <w:lang w:val="en-US"/>
              </w:rPr>
              <w:t>2016 SCC 45, [2016] 2 S.C.R. 289</w:t>
            </w:r>
          </w:p>
          <w:p w:rsidR="00744D93" w:rsidRDefault="00744D93" w:rsidP="00744D93">
            <w:pPr>
              <w:keepNext/>
              <w:keepLines/>
              <w:rPr>
                <w:rFonts w:cs="Times New Roman"/>
                <w:bCs/>
                <w:sz w:val="20"/>
                <w:szCs w:val="20"/>
                <w:lang w:val="en-US"/>
              </w:rPr>
            </w:pPr>
          </w:p>
          <w:p w:rsidR="00744D93" w:rsidRDefault="00744D93" w:rsidP="00744D93">
            <w:pPr>
              <w:keepNext/>
              <w:keepLines/>
              <w:rPr>
                <w:sz w:val="20"/>
                <w:szCs w:val="20"/>
              </w:rPr>
            </w:pPr>
            <w:r w:rsidRPr="006A4E9C">
              <w:rPr>
                <w:sz w:val="20"/>
                <w:szCs w:val="20"/>
              </w:rPr>
              <w:t xml:space="preserve">R. </w:t>
            </w:r>
            <w:r w:rsidRPr="006A4E9C">
              <w:rPr>
                <w:i/>
                <w:sz w:val="20"/>
                <w:szCs w:val="20"/>
              </w:rPr>
              <w:t>v.</w:t>
            </w:r>
            <w:r w:rsidRPr="006A4E9C">
              <w:rPr>
                <w:sz w:val="20"/>
                <w:szCs w:val="20"/>
              </w:rPr>
              <w:t xml:space="preserve"> Diamond, </w:t>
            </w:r>
          </w:p>
          <w:p w:rsidR="00744D93" w:rsidRDefault="00744D93" w:rsidP="00744D93">
            <w:pPr>
              <w:keepNext/>
              <w:keepLines/>
              <w:rPr>
                <w:rFonts w:cs="Times New Roman"/>
                <w:bCs/>
                <w:sz w:val="20"/>
                <w:szCs w:val="20"/>
                <w:lang w:val="en-US"/>
              </w:rPr>
            </w:pPr>
            <w:r w:rsidRPr="006A4E9C">
              <w:rPr>
                <w:sz w:val="20"/>
                <w:szCs w:val="20"/>
              </w:rPr>
              <w:t>2016 SCC 46, [2016] 2 S.C.R. 291</w:t>
            </w:r>
          </w:p>
          <w:p w:rsidR="00744D93" w:rsidRPr="00744D93" w:rsidRDefault="00744D93" w:rsidP="00B65BA0">
            <w:pPr>
              <w:keepNext/>
              <w:keepLines/>
              <w:rPr>
                <w:rFonts w:cs="Times New Roman"/>
                <w:bCs/>
                <w:sz w:val="20"/>
                <w:szCs w:val="20"/>
                <w:lang w:val="en-US"/>
              </w:rPr>
            </w:pPr>
          </w:p>
        </w:tc>
        <w:tc>
          <w:tcPr>
            <w:tcW w:w="840" w:type="dxa"/>
            <w:tcBorders>
              <w:top w:val="nil"/>
              <w:left w:val="nil"/>
              <w:bottom w:val="nil"/>
              <w:right w:val="nil"/>
            </w:tcBorders>
          </w:tcPr>
          <w:p w:rsidR="00710B7F" w:rsidRPr="00744D93" w:rsidRDefault="00710B7F" w:rsidP="00B65BA0">
            <w:pPr>
              <w:rPr>
                <w:rFonts w:cs="Times New Roman"/>
                <w:b/>
                <w:bCs/>
                <w:sz w:val="20"/>
                <w:szCs w:val="20"/>
                <w:lang w:val="en-US"/>
              </w:rPr>
            </w:pPr>
          </w:p>
        </w:tc>
        <w:tc>
          <w:tcPr>
            <w:tcW w:w="4320" w:type="dxa"/>
            <w:tcBorders>
              <w:top w:val="nil"/>
              <w:left w:val="nil"/>
              <w:bottom w:val="nil"/>
              <w:right w:val="nil"/>
            </w:tcBorders>
          </w:tcPr>
          <w:p w:rsidR="000654A4" w:rsidRDefault="000654A4" w:rsidP="00B65BA0">
            <w:pPr>
              <w:keepNext/>
              <w:keepLines/>
              <w:rPr>
                <w:rStyle w:val="SCCAppellantForRunningHeadChar"/>
                <w:rFonts w:eastAsiaTheme="minorHAnsi"/>
                <w:sz w:val="20"/>
                <w:lang w:val="en-US"/>
              </w:rPr>
            </w:pPr>
            <w:r w:rsidRPr="0011132D">
              <w:rPr>
                <w:sz w:val="20"/>
                <w:szCs w:val="20"/>
              </w:rPr>
              <w:t xml:space="preserve">R. </w:t>
            </w:r>
            <w:r w:rsidRPr="0011132D">
              <w:rPr>
                <w:i/>
                <w:sz w:val="20"/>
                <w:szCs w:val="20"/>
              </w:rPr>
              <w:t>c.</w:t>
            </w:r>
            <w:r w:rsidRPr="0011132D">
              <w:rPr>
                <w:sz w:val="20"/>
                <w:szCs w:val="20"/>
              </w:rPr>
              <w:t xml:space="preserve"> </w:t>
            </w:r>
            <w:proofErr w:type="spellStart"/>
            <w:r w:rsidRPr="0011132D">
              <w:rPr>
                <w:sz w:val="20"/>
                <w:szCs w:val="20"/>
              </w:rPr>
              <w:t>Rowson</w:t>
            </w:r>
            <w:proofErr w:type="spellEnd"/>
            <w:r w:rsidRPr="000654A4">
              <w:rPr>
                <w:rStyle w:val="SCCAppellantForRunningHeadChar"/>
                <w:rFonts w:eastAsiaTheme="minorHAnsi"/>
                <w:sz w:val="20"/>
                <w:lang w:val="en-US"/>
              </w:rPr>
              <w:t xml:space="preserve">, </w:t>
            </w:r>
          </w:p>
          <w:p w:rsidR="00710B7F" w:rsidRDefault="000654A4" w:rsidP="00B65BA0">
            <w:pPr>
              <w:keepNext/>
              <w:keepLines/>
              <w:rPr>
                <w:sz w:val="20"/>
                <w:szCs w:val="20"/>
              </w:rPr>
            </w:pPr>
            <w:r w:rsidRPr="0011132D">
              <w:rPr>
                <w:sz w:val="20"/>
                <w:szCs w:val="20"/>
              </w:rPr>
              <w:t>2016 CSC 66, [2016] 2 R.C.S. 158</w:t>
            </w:r>
          </w:p>
          <w:p w:rsidR="000654A4" w:rsidRDefault="000654A4" w:rsidP="00B65BA0">
            <w:pPr>
              <w:keepNext/>
              <w:keepLines/>
              <w:rPr>
                <w:sz w:val="20"/>
                <w:szCs w:val="20"/>
              </w:rPr>
            </w:pPr>
          </w:p>
          <w:p w:rsidR="000654A4" w:rsidRDefault="000654A4" w:rsidP="00B65BA0">
            <w:pPr>
              <w:keepNext/>
              <w:keepLines/>
              <w:rPr>
                <w:rStyle w:val="SCCAppellantForRunningHeadChar"/>
                <w:rFonts w:eastAsiaTheme="minorHAnsi"/>
                <w:sz w:val="20"/>
              </w:rPr>
            </w:pPr>
            <w:r w:rsidRPr="00F87F14">
              <w:rPr>
                <w:sz w:val="20"/>
                <w:szCs w:val="20"/>
              </w:rPr>
              <w:t xml:space="preserve">R. </w:t>
            </w:r>
            <w:r w:rsidRPr="00F87F14">
              <w:rPr>
                <w:i/>
                <w:sz w:val="20"/>
                <w:szCs w:val="20"/>
              </w:rPr>
              <w:t>c.</w:t>
            </w:r>
            <w:r w:rsidRPr="00F87F14">
              <w:rPr>
                <w:sz w:val="20"/>
                <w:szCs w:val="20"/>
              </w:rPr>
              <w:t xml:space="preserve"> C.K-D.</w:t>
            </w:r>
            <w:r w:rsidRPr="000654A4">
              <w:rPr>
                <w:rStyle w:val="SCCAppellantForRunningHeadChar"/>
                <w:rFonts w:eastAsiaTheme="minorHAnsi"/>
                <w:sz w:val="20"/>
              </w:rPr>
              <w:t xml:space="preserve">, </w:t>
            </w:r>
          </w:p>
          <w:p w:rsidR="000654A4" w:rsidRDefault="000654A4" w:rsidP="00B65BA0">
            <w:pPr>
              <w:keepNext/>
              <w:keepLines/>
              <w:rPr>
                <w:sz w:val="20"/>
                <w:szCs w:val="20"/>
              </w:rPr>
            </w:pPr>
            <w:r w:rsidRPr="00F87F14">
              <w:rPr>
                <w:sz w:val="20"/>
                <w:szCs w:val="20"/>
              </w:rPr>
              <w:t>2016 CSC 41, [2016] 2 R.C.S. 160</w:t>
            </w:r>
          </w:p>
          <w:p w:rsidR="000654A4" w:rsidRDefault="000654A4" w:rsidP="00B65BA0">
            <w:pPr>
              <w:keepNext/>
              <w:keepLines/>
              <w:rPr>
                <w:sz w:val="20"/>
                <w:szCs w:val="20"/>
              </w:rPr>
            </w:pPr>
          </w:p>
          <w:p w:rsidR="000654A4" w:rsidRDefault="000654A4" w:rsidP="00B65BA0">
            <w:pPr>
              <w:keepNext/>
              <w:keepLines/>
              <w:rPr>
                <w:sz w:val="20"/>
                <w:szCs w:val="20"/>
                <w:lang w:val="fr-CA"/>
              </w:rPr>
            </w:pPr>
            <w:proofErr w:type="spellStart"/>
            <w:r w:rsidRPr="000654A4">
              <w:rPr>
                <w:sz w:val="20"/>
                <w:szCs w:val="20"/>
                <w:lang w:val="fr-CA"/>
              </w:rPr>
              <w:t>Endean</w:t>
            </w:r>
            <w:proofErr w:type="spellEnd"/>
            <w:r w:rsidRPr="000654A4">
              <w:rPr>
                <w:sz w:val="20"/>
                <w:szCs w:val="20"/>
                <w:lang w:val="fr-CA"/>
              </w:rPr>
              <w:t xml:space="preserve"> </w:t>
            </w:r>
            <w:r w:rsidRPr="000654A4">
              <w:rPr>
                <w:i/>
                <w:sz w:val="20"/>
                <w:szCs w:val="20"/>
                <w:lang w:val="fr-CA"/>
              </w:rPr>
              <w:t>c.</w:t>
            </w:r>
            <w:r w:rsidRPr="000654A4">
              <w:rPr>
                <w:sz w:val="20"/>
                <w:szCs w:val="20"/>
                <w:lang w:val="fr-CA"/>
              </w:rPr>
              <w:t xml:space="preserve"> Colombie-Britannique, </w:t>
            </w:r>
          </w:p>
          <w:p w:rsidR="000654A4" w:rsidRDefault="000654A4" w:rsidP="00B65BA0">
            <w:pPr>
              <w:keepNext/>
              <w:keepLines/>
              <w:rPr>
                <w:rFonts w:cs="Times New Roman"/>
                <w:sz w:val="20"/>
                <w:szCs w:val="20"/>
                <w:lang w:val="fr-CA"/>
              </w:rPr>
            </w:pPr>
            <w:r w:rsidRPr="000654A4">
              <w:rPr>
                <w:sz w:val="20"/>
                <w:szCs w:val="20"/>
                <w:lang w:val="fr-CA"/>
              </w:rPr>
              <w:t>2016 CSC 42</w:t>
            </w:r>
            <w:r>
              <w:rPr>
                <w:sz w:val="20"/>
                <w:szCs w:val="20"/>
                <w:lang w:val="fr-CA"/>
              </w:rPr>
              <w:t xml:space="preserve">, </w:t>
            </w:r>
            <w:r>
              <w:rPr>
                <w:rFonts w:cs="Times New Roman"/>
                <w:sz w:val="20"/>
                <w:szCs w:val="20"/>
                <w:lang w:val="fr-CA"/>
              </w:rPr>
              <w:t>[2016] 2</w:t>
            </w:r>
            <w:r w:rsidRPr="002D4B73">
              <w:rPr>
                <w:rFonts w:cs="Times New Roman"/>
                <w:sz w:val="20"/>
                <w:szCs w:val="20"/>
                <w:lang w:val="fr-CA"/>
              </w:rPr>
              <w:t xml:space="preserve"> R.C.S.</w:t>
            </w:r>
            <w:r>
              <w:rPr>
                <w:rFonts w:cs="Times New Roman"/>
                <w:sz w:val="20"/>
                <w:szCs w:val="20"/>
                <w:lang w:val="fr-CA"/>
              </w:rPr>
              <w:t xml:space="preserve"> 162</w:t>
            </w:r>
          </w:p>
          <w:p w:rsidR="000654A4" w:rsidRDefault="000654A4" w:rsidP="00B65BA0">
            <w:pPr>
              <w:keepNext/>
              <w:keepLines/>
              <w:rPr>
                <w:rFonts w:cs="Times New Roman"/>
                <w:sz w:val="20"/>
                <w:szCs w:val="20"/>
                <w:lang w:val="fr-CA"/>
              </w:rPr>
            </w:pPr>
          </w:p>
          <w:p w:rsidR="000654A4" w:rsidRDefault="000654A4" w:rsidP="00B65BA0">
            <w:pPr>
              <w:keepNext/>
              <w:keepLines/>
              <w:rPr>
                <w:sz w:val="20"/>
                <w:szCs w:val="20"/>
              </w:rPr>
            </w:pPr>
            <w:r w:rsidRPr="00AD65B5">
              <w:rPr>
                <w:sz w:val="20"/>
                <w:szCs w:val="20"/>
              </w:rPr>
              <w:t xml:space="preserve">R. </w:t>
            </w:r>
            <w:r w:rsidRPr="00AD65B5">
              <w:rPr>
                <w:i/>
                <w:sz w:val="20"/>
                <w:szCs w:val="20"/>
              </w:rPr>
              <w:t>c.</w:t>
            </w:r>
            <w:r w:rsidRPr="00AD65B5">
              <w:rPr>
                <w:sz w:val="20"/>
                <w:szCs w:val="20"/>
              </w:rPr>
              <w:t xml:space="preserve"> Anthony-Cook, </w:t>
            </w:r>
          </w:p>
          <w:p w:rsidR="000654A4" w:rsidRPr="00B65BA0" w:rsidRDefault="000654A4" w:rsidP="008A6BA5">
            <w:pPr>
              <w:keepNext/>
              <w:keepLines/>
              <w:rPr>
                <w:rFonts w:cs="Times New Roman"/>
                <w:sz w:val="20"/>
                <w:szCs w:val="20"/>
                <w:lang w:val="en-US"/>
              </w:rPr>
            </w:pPr>
            <w:r w:rsidRPr="00AD65B5">
              <w:rPr>
                <w:sz w:val="20"/>
                <w:szCs w:val="20"/>
              </w:rPr>
              <w:t>2016 CSC 43</w:t>
            </w:r>
            <w:r w:rsidRPr="00B65BA0">
              <w:rPr>
                <w:sz w:val="20"/>
                <w:szCs w:val="20"/>
                <w:lang w:val="en-US"/>
              </w:rPr>
              <w:t xml:space="preserve">, </w:t>
            </w:r>
            <w:r w:rsidRPr="00B65BA0">
              <w:rPr>
                <w:rFonts w:cs="Times New Roman"/>
                <w:sz w:val="20"/>
                <w:szCs w:val="20"/>
                <w:lang w:val="en-US"/>
              </w:rPr>
              <w:t xml:space="preserve">[2016] 2 R.C.S. </w:t>
            </w:r>
            <w:r w:rsidR="008A6BA5" w:rsidRPr="00B65BA0">
              <w:rPr>
                <w:rFonts w:cs="Times New Roman"/>
                <w:sz w:val="20"/>
                <w:szCs w:val="20"/>
                <w:lang w:val="en-US"/>
              </w:rPr>
              <w:t>204</w:t>
            </w:r>
          </w:p>
          <w:p w:rsidR="00744D93" w:rsidRPr="00B65BA0" w:rsidRDefault="00744D93" w:rsidP="008A6BA5">
            <w:pPr>
              <w:keepNext/>
              <w:keepLines/>
              <w:rPr>
                <w:rFonts w:cs="Times New Roman"/>
                <w:sz w:val="20"/>
                <w:szCs w:val="20"/>
                <w:lang w:val="en-US"/>
              </w:rPr>
            </w:pPr>
          </w:p>
          <w:p w:rsidR="00744D93" w:rsidRDefault="00744D93" w:rsidP="008A6BA5">
            <w:pPr>
              <w:keepNext/>
              <w:keepLines/>
              <w:rPr>
                <w:sz w:val="20"/>
                <w:szCs w:val="20"/>
                <w:lang w:val="fr-CA"/>
              </w:rPr>
            </w:pPr>
            <w:r w:rsidRPr="00744D93">
              <w:rPr>
                <w:sz w:val="20"/>
                <w:szCs w:val="20"/>
                <w:lang w:val="fr-CA"/>
              </w:rPr>
              <w:t xml:space="preserve">Morasse </w:t>
            </w:r>
            <w:r w:rsidRPr="00744D93">
              <w:rPr>
                <w:i/>
                <w:sz w:val="20"/>
                <w:szCs w:val="20"/>
                <w:lang w:val="fr-CA"/>
              </w:rPr>
              <w:t>c.</w:t>
            </w:r>
            <w:r w:rsidRPr="00744D93">
              <w:rPr>
                <w:sz w:val="20"/>
                <w:szCs w:val="20"/>
                <w:lang w:val="fr-CA"/>
              </w:rPr>
              <w:t xml:space="preserve"> Nadeau-Dubois, </w:t>
            </w:r>
          </w:p>
          <w:p w:rsidR="00744D93" w:rsidRDefault="00744D93" w:rsidP="00744D93">
            <w:pPr>
              <w:keepNext/>
              <w:keepLines/>
              <w:rPr>
                <w:rFonts w:cs="Times New Roman"/>
                <w:sz w:val="20"/>
                <w:szCs w:val="20"/>
                <w:lang w:val="fr-CA"/>
              </w:rPr>
            </w:pPr>
            <w:r w:rsidRPr="00744D93">
              <w:rPr>
                <w:sz w:val="20"/>
                <w:szCs w:val="20"/>
                <w:lang w:val="fr-CA"/>
              </w:rPr>
              <w:t>2016 CSC 44</w:t>
            </w:r>
            <w:r>
              <w:rPr>
                <w:sz w:val="20"/>
                <w:szCs w:val="20"/>
                <w:lang w:val="fr-CA"/>
              </w:rPr>
              <w:t xml:space="preserve">, </w:t>
            </w:r>
            <w:r>
              <w:rPr>
                <w:rFonts w:cs="Times New Roman"/>
                <w:sz w:val="20"/>
                <w:szCs w:val="20"/>
                <w:lang w:val="fr-CA"/>
              </w:rPr>
              <w:t>[2016] 2</w:t>
            </w:r>
            <w:r w:rsidRPr="002D4B73">
              <w:rPr>
                <w:rFonts w:cs="Times New Roman"/>
                <w:sz w:val="20"/>
                <w:szCs w:val="20"/>
                <w:lang w:val="fr-CA"/>
              </w:rPr>
              <w:t xml:space="preserve"> R.C.S.</w:t>
            </w:r>
            <w:r>
              <w:rPr>
                <w:rFonts w:cs="Times New Roman"/>
                <w:sz w:val="20"/>
                <w:szCs w:val="20"/>
                <w:lang w:val="fr-CA"/>
              </w:rPr>
              <w:t xml:space="preserve"> 232</w:t>
            </w:r>
          </w:p>
          <w:p w:rsidR="00744D93" w:rsidRDefault="00744D93" w:rsidP="00744D93">
            <w:pPr>
              <w:keepNext/>
              <w:keepLines/>
              <w:rPr>
                <w:rFonts w:cs="Times New Roman"/>
                <w:sz w:val="20"/>
                <w:szCs w:val="20"/>
                <w:lang w:val="fr-CA"/>
              </w:rPr>
            </w:pPr>
          </w:p>
          <w:p w:rsidR="00744D93" w:rsidRDefault="00744D93" w:rsidP="00744D93">
            <w:pPr>
              <w:keepNext/>
              <w:keepLines/>
              <w:rPr>
                <w:rStyle w:val="SCCAppellantForRunningHeadChar"/>
                <w:rFonts w:eastAsiaTheme="minorHAnsi"/>
                <w:sz w:val="20"/>
                <w:lang w:val="en-US"/>
              </w:rPr>
            </w:pPr>
            <w:r w:rsidRPr="00DF1F0A">
              <w:rPr>
                <w:sz w:val="20"/>
                <w:szCs w:val="20"/>
              </w:rPr>
              <w:t xml:space="preserve">Urban Communications Inc. </w:t>
            </w:r>
            <w:r w:rsidRPr="00DF1F0A">
              <w:rPr>
                <w:i/>
                <w:sz w:val="20"/>
                <w:szCs w:val="20"/>
              </w:rPr>
              <w:t xml:space="preserve">c. </w:t>
            </w:r>
            <w:r w:rsidRPr="00DF1F0A">
              <w:rPr>
                <w:sz w:val="20"/>
                <w:szCs w:val="20"/>
              </w:rPr>
              <w:t>BCNET Networking Society,</w:t>
            </w:r>
            <w:r w:rsidRPr="00744D93">
              <w:rPr>
                <w:rStyle w:val="SCCAppellantForRunningHeadChar"/>
                <w:rFonts w:eastAsiaTheme="minorHAnsi"/>
                <w:sz w:val="20"/>
                <w:lang w:val="en-US"/>
              </w:rPr>
              <w:t xml:space="preserve"> </w:t>
            </w:r>
          </w:p>
          <w:p w:rsidR="00744D93" w:rsidRDefault="00744D93" w:rsidP="00744D93">
            <w:pPr>
              <w:keepNext/>
              <w:keepLines/>
              <w:rPr>
                <w:sz w:val="20"/>
                <w:szCs w:val="20"/>
              </w:rPr>
            </w:pPr>
            <w:r w:rsidRPr="00DF1F0A">
              <w:rPr>
                <w:sz w:val="20"/>
                <w:szCs w:val="20"/>
              </w:rPr>
              <w:t>2016 CSC 45, [2016] 2 R.C.S. 289</w:t>
            </w:r>
          </w:p>
          <w:p w:rsidR="00744D93" w:rsidRDefault="00744D93" w:rsidP="00744D93">
            <w:pPr>
              <w:keepNext/>
              <w:keepLines/>
              <w:rPr>
                <w:sz w:val="20"/>
                <w:szCs w:val="20"/>
              </w:rPr>
            </w:pPr>
          </w:p>
          <w:p w:rsidR="00744D93" w:rsidRDefault="00744D93" w:rsidP="008A6BA5">
            <w:pPr>
              <w:keepNext/>
              <w:keepLines/>
              <w:rPr>
                <w:sz w:val="20"/>
                <w:szCs w:val="20"/>
              </w:rPr>
            </w:pPr>
            <w:r w:rsidRPr="00D95A79">
              <w:rPr>
                <w:sz w:val="20"/>
                <w:szCs w:val="20"/>
              </w:rPr>
              <w:t xml:space="preserve">R. </w:t>
            </w:r>
            <w:r w:rsidRPr="00D95A79">
              <w:rPr>
                <w:i/>
                <w:sz w:val="20"/>
                <w:szCs w:val="20"/>
              </w:rPr>
              <w:t>c.</w:t>
            </w:r>
            <w:r w:rsidRPr="00D95A79">
              <w:rPr>
                <w:sz w:val="20"/>
                <w:szCs w:val="20"/>
              </w:rPr>
              <w:t xml:space="preserve"> Diamond, </w:t>
            </w:r>
          </w:p>
          <w:p w:rsidR="00744D93" w:rsidRPr="00744D93" w:rsidRDefault="00744D93" w:rsidP="008A6BA5">
            <w:pPr>
              <w:keepNext/>
              <w:keepLines/>
              <w:rPr>
                <w:rFonts w:cs="Times New Roman"/>
                <w:bCs/>
                <w:sz w:val="20"/>
                <w:szCs w:val="20"/>
                <w:lang w:val="en-US"/>
              </w:rPr>
            </w:pPr>
            <w:r w:rsidRPr="00D95A79">
              <w:rPr>
                <w:sz w:val="20"/>
                <w:szCs w:val="20"/>
              </w:rPr>
              <w:t>2016 CSC 46, [2016] 2 R.C.S. 291</w:t>
            </w:r>
          </w:p>
        </w:tc>
      </w:tr>
    </w:tbl>
    <w:p w:rsidR="00C01FCB" w:rsidRPr="00744D93" w:rsidRDefault="00C01FCB" w:rsidP="00C01FCB">
      <w:pPr>
        <w:rPr>
          <w:sz w:val="20"/>
          <w:szCs w:val="20"/>
          <w:lang w:val="en-US"/>
        </w:rPr>
      </w:pPr>
    </w:p>
    <w:p w:rsidR="00C01FCB" w:rsidRPr="00744D93" w:rsidRDefault="00E7387C" w:rsidP="00A956D3">
      <w:pPr>
        <w:rPr>
          <w:sz w:val="20"/>
          <w:szCs w:val="20"/>
          <w:lang w:val="en-US"/>
        </w:rPr>
      </w:pPr>
      <w:r>
        <w:rPr>
          <w:rFonts w:cs="Times New Roman"/>
          <w:sz w:val="20"/>
          <w:szCs w:val="20"/>
          <w:lang w:val="fr-CA"/>
        </w:rPr>
        <w:pict>
          <v:rect id="_x0000_i1069" style="width:144.3pt;height:1pt" o:hrpct="300" o:hralign="center" o:hrstd="t" o:hrnoshade="t" o:hr="t" fillcolor="black [3213]" stroked="f"/>
        </w:pict>
      </w:r>
    </w:p>
    <w:p w:rsidR="00C01FCB" w:rsidRPr="00744D93" w:rsidRDefault="00C01FCB" w:rsidP="00A956D3">
      <w:pPr>
        <w:rPr>
          <w:sz w:val="20"/>
          <w:szCs w:val="20"/>
          <w:lang w:val="en-US"/>
        </w:rPr>
      </w:pPr>
    </w:p>
    <w:p w:rsidR="006B6926" w:rsidRPr="00744D93" w:rsidRDefault="006B6926" w:rsidP="00782AE4">
      <w:pPr>
        <w:jc w:val="both"/>
        <w:rPr>
          <w:sz w:val="20"/>
          <w:szCs w:val="20"/>
          <w:lang w:val="en-US"/>
        </w:rPr>
      </w:pPr>
    </w:p>
    <w:p w:rsidR="006B6926" w:rsidRPr="00744D93" w:rsidRDefault="006B6926" w:rsidP="00782AE4">
      <w:pPr>
        <w:jc w:val="both"/>
        <w:rPr>
          <w:sz w:val="20"/>
          <w:szCs w:val="20"/>
          <w:lang w:val="en-US"/>
        </w:rPr>
        <w:sectPr w:rsidR="006B6926" w:rsidRPr="00744D93" w:rsidSect="006B6926">
          <w:headerReference w:type="default" r:id="rId64"/>
          <w:footerReference w:type="default" r:id="rId65"/>
          <w:headerReference w:type="first" r:id="rId66"/>
          <w:footerReference w:type="first" r:id="rId67"/>
          <w:pgSz w:w="12240" w:h="15840"/>
          <w:pgMar w:top="720" w:right="965" w:bottom="1080" w:left="1656" w:header="720" w:footer="965" w:gutter="0"/>
          <w:cols w:space="720"/>
          <w:titlePg/>
          <w:docGrid w:linePitch="326"/>
        </w:sectPr>
      </w:pPr>
    </w:p>
    <w:bookmarkStart w:id="3" w:name="QuickMark"/>
    <w:bookmarkEnd w:id="3"/>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Pr="00C01FCB" w:rsidRDefault="0013595D" w:rsidP="00C01FCB">
      <w:pPr>
        <w:widowControl w:val="0"/>
        <w:tabs>
          <w:tab w:val="center" w:pos="5400"/>
          <w:tab w:val="right" w:pos="10440"/>
        </w:tabs>
        <w:jc w:val="center"/>
        <w:rPr>
          <w:rFonts w:ascii="Arial" w:hAnsi="Arial"/>
          <w:sz w:val="36"/>
          <w:szCs w:val="36"/>
        </w:rPr>
      </w:pPr>
      <w:r w:rsidRPr="00C01FCB">
        <w:rPr>
          <w:rFonts w:ascii="Arial" w:hAnsi="Arial"/>
          <w:i/>
          <w:sz w:val="36"/>
          <w:szCs w:val="36"/>
        </w:rPr>
        <w:t xml:space="preserve">- </w:t>
      </w:r>
      <w:r w:rsidRPr="00C01FCB">
        <w:rPr>
          <w:rFonts w:ascii="Arial" w:hAnsi="Arial"/>
          <w:b/>
          <w:i/>
          <w:sz w:val="36"/>
          <w:szCs w:val="36"/>
        </w:rPr>
        <w:t>2016</w:t>
      </w:r>
      <w:r w:rsidRPr="00C01FCB">
        <w:rPr>
          <w:rFonts w:ascii="Arial" w:hAnsi="Arial"/>
          <w:i/>
          <w:sz w:val="36"/>
          <w:szCs w:val="36"/>
        </w:rPr>
        <w:t xml:space="preserve"> </w:t>
      </w:r>
      <w:r w:rsidR="00C01FCB" w:rsidRPr="00C01FCB">
        <w:rPr>
          <w:rFonts w:ascii="Arial" w:hAnsi="Arial"/>
          <w:i/>
          <w:sz w:val="36"/>
          <w:szCs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394330"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81874" w:rsidRDefault="0013595D" w:rsidP="00E942C2">
            <w:pPr>
              <w:tabs>
                <w:tab w:val="center" w:pos="5220"/>
                <w:tab w:val="right" w:pos="10440"/>
              </w:tabs>
              <w:jc w:val="center"/>
              <w:rPr>
                <w:rFonts w:ascii="Arial" w:hAnsi="Arial" w:cs="Arial"/>
                <w:b/>
                <w:sz w:val="13"/>
                <w:szCs w:val="13"/>
                <w:lang w:val="fr-FR"/>
              </w:rPr>
            </w:pPr>
            <w:r w:rsidRPr="00E81874">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DECEMBER - DÉCEMBRE</w:t>
            </w:r>
          </w:p>
        </w:tc>
      </w:tr>
      <w:tr w:rsidR="0013595D" w:rsidRPr="00256B02"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4"/>
                <w:szCs w:val="14"/>
                <w:lang w:val="fr-FR"/>
              </w:rPr>
            </w:pPr>
            <w:r w:rsidRPr="004114D8">
              <w:rPr>
                <w:rFonts w:ascii="Arial" w:hAnsi="Arial" w:cs="Arial"/>
                <w:b/>
                <w:sz w:val="14"/>
                <w:szCs w:val="14"/>
                <w:lang w:val="fr-FR"/>
              </w:rPr>
              <w:t>S</w:t>
            </w:r>
          </w:p>
          <w:p w:rsidR="0013595D" w:rsidRPr="004114D8" w:rsidRDefault="0013595D" w:rsidP="00E942C2">
            <w:pPr>
              <w:tabs>
                <w:tab w:val="center" w:pos="5220"/>
                <w:tab w:val="right" w:pos="10440"/>
              </w:tabs>
              <w:jc w:val="center"/>
              <w:rPr>
                <w:rFonts w:ascii="Arial" w:hAnsi="Arial" w:cs="Arial"/>
                <w:b/>
                <w:sz w:val="14"/>
                <w:szCs w:val="14"/>
                <w:lang w:val="fr-FR"/>
              </w:rPr>
            </w:pPr>
            <w:r w:rsidRPr="004114D8">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W</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F</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W</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F</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r>
      <w:tr w:rsidR="0013595D" w:rsidRPr="00C33804"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Default="0013595D" w:rsidP="00E942C2">
            <w:pPr>
              <w:jc w:val="center"/>
              <w:rPr>
                <w:rFonts w:ascii="Arial" w:hAnsi="Arial" w:cs="Arial"/>
                <w:b/>
                <w:sz w:val="12"/>
                <w:szCs w:val="12"/>
              </w:rPr>
            </w:pPr>
          </w:p>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90759E" w:rsidRDefault="0013595D" w:rsidP="00E942C2">
            <w:pPr>
              <w:jc w:val="center"/>
              <w:rPr>
                <w:rFonts w:ascii="Arial" w:hAnsi="Arial" w:cs="Arial"/>
                <w:b/>
                <w:sz w:val="13"/>
                <w:szCs w:val="13"/>
              </w:rPr>
            </w:pPr>
            <w:r w:rsidRPr="0090759E">
              <w:rPr>
                <w:rFonts w:ascii="Arial" w:hAnsi="Arial" w:cs="Arial"/>
                <w:b/>
                <w:sz w:val="13"/>
                <w:szCs w:val="13"/>
              </w:rPr>
              <w:t xml:space="preserve">H </w:t>
            </w:r>
          </w:p>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r>
      <w:tr w:rsidR="0013595D" w:rsidRPr="00C33804"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sz w:val="13"/>
                <w:szCs w:val="13"/>
              </w:rPr>
            </w:pPr>
            <w:r w:rsidRPr="0090759E">
              <w:rPr>
                <w:rFonts w:ascii="Arial" w:hAnsi="Arial" w:cs="Arial"/>
                <w:b/>
                <w:sz w:val="13"/>
                <w:szCs w:val="13"/>
              </w:rPr>
              <w:t xml:space="preserve">H </w:t>
            </w:r>
          </w:p>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09"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51"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0"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18"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18"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r>
      <w:tr w:rsidR="0013595D" w:rsidRPr="00C33804"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67"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09"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0"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r>
      <w:tr w:rsidR="0013595D" w:rsidRPr="00C33804"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23</w:t>
            </w:r>
          </w:p>
          <w:p w:rsidR="0013595D" w:rsidRPr="00C33804" w:rsidRDefault="0013595D" w:rsidP="00E942C2">
            <w:pPr>
              <w:jc w:val="center"/>
              <w:rPr>
                <w:rFonts w:ascii="Arial" w:hAnsi="Arial" w:cs="Arial"/>
                <w:sz w:val="13"/>
                <w:szCs w:val="13"/>
              </w:rPr>
            </w:pPr>
            <w:r>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24</w:t>
            </w:r>
          </w:p>
          <w:p w:rsidR="0013595D" w:rsidRPr="00C33804" w:rsidRDefault="0013595D" w:rsidP="00E942C2">
            <w:pPr>
              <w:rPr>
                <w:rFonts w:ascii="Arial" w:hAnsi="Arial" w:cs="Arial"/>
                <w:sz w:val="13"/>
                <w:szCs w:val="13"/>
              </w:rPr>
            </w:pPr>
            <w:r>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C79B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256B02"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MARCH - MARS</w:t>
            </w:r>
          </w:p>
        </w:tc>
      </w:tr>
      <w:tr w:rsidR="0013595D" w:rsidRPr="00256B02"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49"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50"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6"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3"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3" w:type="pct"/>
            <w:tcMar>
              <w:bottom w:w="43" w:type="dxa"/>
            </w:tcMar>
            <w:vAlign w:val="bottom"/>
          </w:tcPr>
          <w:p w:rsidR="0013595D" w:rsidRPr="00C33804" w:rsidRDefault="0013595D" w:rsidP="00E942C2">
            <w:pPr>
              <w:jc w:val="center"/>
              <w:rPr>
                <w:rFonts w:ascii="Arial" w:hAnsi="Arial" w:cs="Arial"/>
                <w:sz w:val="13"/>
                <w:szCs w:val="13"/>
              </w:rPr>
            </w:pPr>
          </w:p>
        </w:tc>
        <w:tc>
          <w:tcPr>
            <w:tcW w:w="208" w:type="pct"/>
            <w:tcMar>
              <w:bottom w:w="43" w:type="dxa"/>
            </w:tcMar>
            <w:vAlign w:val="bottom"/>
          </w:tcPr>
          <w:p w:rsidR="0013595D" w:rsidRPr="00C33804" w:rsidRDefault="0013595D" w:rsidP="00E942C2">
            <w:pPr>
              <w:jc w:val="center"/>
              <w:rPr>
                <w:rFonts w:ascii="Arial" w:hAnsi="Arial" w:cs="Arial"/>
                <w:sz w:val="13"/>
                <w:szCs w:val="13"/>
              </w:rPr>
            </w:pP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r>
      <w:tr w:rsidR="0013595D" w:rsidRPr="00C33804"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47"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3" w:type="pct"/>
            <w:tcBorders>
              <w:bottom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r>
      <w:tr w:rsidR="0013595D" w:rsidRPr="00C33804"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r>
      <w:tr w:rsidR="0013595D" w:rsidRPr="00C33804" w:rsidTr="00E942C2">
        <w:trPr>
          <w:trHeight w:val="288"/>
        </w:trPr>
        <w:tc>
          <w:tcPr>
            <w:tcW w:w="217"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49"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50"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6"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r>
      <w:tr w:rsidR="0013595D" w:rsidRPr="00C33804" w:rsidTr="00E942C2">
        <w:trPr>
          <w:trHeight w:val="288"/>
        </w:trPr>
        <w:tc>
          <w:tcPr>
            <w:tcW w:w="217"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33"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49"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50" w:type="pct"/>
            <w:tcBorders>
              <w:bottom w:val="double" w:sz="6" w:space="0" w:color="auto"/>
            </w:tcBorders>
            <w:tcMar>
              <w:bottom w:w="43" w:type="dxa"/>
            </w:tcMar>
            <w:vAlign w:val="bottom"/>
          </w:tcPr>
          <w:p w:rsidR="0013595D" w:rsidRPr="00C33804"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r>
      <w:tr w:rsidR="0013595D" w:rsidRPr="00256B02"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13595D" w:rsidRPr="00256B02" w:rsidTr="00E942C2">
        <w:trPr>
          <w:trHeight w:val="270"/>
        </w:trPr>
        <w:tc>
          <w:tcPr>
            <w:tcW w:w="217"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33"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1"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49"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50"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6"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7"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r>
      <w:tr w:rsidR="0013595D" w:rsidRPr="00C33804"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r>
      <w:tr w:rsidR="0013595D" w:rsidRPr="00C33804"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r>
      <w:tr w:rsidR="0013595D" w:rsidRPr="00C33804"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50"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6"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17"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r>
      <w:tr w:rsidR="0013595D" w:rsidRPr="00C33804"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23</w:t>
            </w:r>
          </w:p>
          <w:p w:rsidR="0013595D" w:rsidRPr="00C33804" w:rsidRDefault="0013595D" w:rsidP="00E942C2">
            <w:pPr>
              <w:jc w:val="center"/>
              <w:rPr>
                <w:rFonts w:ascii="Arial" w:hAnsi="Arial" w:cs="Arial"/>
                <w:sz w:val="13"/>
                <w:szCs w:val="13"/>
              </w:rPr>
            </w:pPr>
            <w:r>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49"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50"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6"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Séances de la C</w:t>
            </w:r>
            <w:r w:rsidRPr="002E0C7E">
              <w:rPr>
                <w:rFonts w:ascii="Arial" w:hAnsi="Arial"/>
                <w:sz w:val="16"/>
              </w:rPr>
              <w:t>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Pr>
                <w:rFonts w:ascii="Arial" w:hAnsi="Arial"/>
                <w:b/>
                <w:sz w:val="16"/>
                <w:lang w:val="fr-CA"/>
              </w:rPr>
              <w:t>6</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4</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xml:space="preserve">/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68"/>
      <w:footerReference w:type="default" r:id="rId69"/>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428" w:rsidRDefault="00E36428" w:rsidP="00A87207">
      <w:r>
        <w:separator/>
      </w:r>
    </w:p>
  </w:endnote>
  <w:endnote w:type="continuationSeparator" w:id="0">
    <w:p w:rsidR="00E36428" w:rsidRDefault="00E36428"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7387C" w:rsidP="00A87207">
    <w:pPr>
      <w:pStyle w:val="Footer"/>
    </w:pPr>
    <w:r>
      <w:pict>
        <v:rect id="_x0000_i1026" style="width:480.95pt;height:1pt" o:hralign="center" o:hrstd="t" o:hrnoshade="t" o:hr="t" fillcolor="black [3213]" stroked="f"/>
      </w:pict>
    </w:r>
  </w:p>
  <w:p w:rsidR="00E36428" w:rsidRPr="00B7374B" w:rsidRDefault="00E3642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36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36428" w:rsidRDefault="00E36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36428" w:rsidRDefault="00E36428">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7387C" w:rsidP="00755F22">
    <w:pPr>
      <w:tabs>
        <w:tab w:val="left" w:pos="-1440"/>
        <w:tab w:val="left" w:pos="-720"/>
      </w:tabs>
    </w:pPr>
    <w:r>
      <w:pict>
        <v:rect id="_x0000_i1055" style="width:480.95pt;height:1pt" o:hralign="center" o:hrstd="t" o:hrnoshade="t" o:hr="t" fillcolor="black [3213]" stroked="f"/>
      </w:pict>
    </w:r>
  </w:p>
  <w:p w:rsidR="00E36428" w:rsidRDefault="00E36428" w:rsidP="00EB2B90">
    <w:pPr>
      <w:tabs>
        <w:tab w:val="center" w:pos="4680"/>
      </w:tabs>
    </w:pPr>
    <w:r>
      <w:tab/>
      <w:t xml:space="preserve">- </w:t>
    </w:r>
    <w:r>
      <w:fldChar w:fldCharType="begin"/>
    </w:r>
    <w:r>
      <w:instrText xml:space="preserve"> PAGE   \* MERGEFORMAT </w:instrText>
    </w:r>
    <w:r>
      <w:fldChar w:fldCharType="separate"/>
    </w:r>
    <w:r w:rsidR="00E7387C">
      <w:rPr>
        <w:noProof/>
      </w:rPr>
      <w:t>479</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7387C" w:rsidP="00EB2B90">
    <w:pPr>
      <w:tabs>
        <w:tab w:val="center" w:pos="4680"/>
      </w:tabs>
    </w:pPr>
    <w:r>
      <w:pict>
        <v:rect id="_x0000_i1056" style="width:480.95pt;height:1pt" o:hralign="center" o:hrstd="t" o:hrnoshade="t" o:hr="t" fillcolor="black [3213]" stroked="f"/>
      </w:pict>
    </w:r>
  </w:p>
  <w:p w:rsidR="00E36428" w:rsidRPr="0031432F" w:rsidRDefault="00E36428" w:rsidP="00EB2B90">
    <w:pPr>
      <w:tabs>
        <w:tab w:val="center" w:pos="4680"/>
      </w:tabs>
    </w:pPr>
    <w:r>
      <w:tab/>
      <w:t xml:space="preserve">- </w:t>
    </w:r>
    <w:r>
      <w:fldChar w:fldCharType="begin"/>
    </w:r>
    <w:r>
      <w:instrText xml:space="preserve"> PAGE   \* MERGEFORMAT </w:instrText>
    </w:r>
    <w:r>
      <w:fldChar w:fldCharType="separate"/>
    </w:r>
    <w:r w:rsidR="00E7387C">
      <w:rPr>
        <w:noProof/>
      </w:rPr>
      <w:t>475</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36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36428" w:rsidRDefault="00E36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36428" w:rsidRDefault="00E36428">
    <w:pPr>
      <w:tabs>
        <w:tab w:val="center" w:pos="4740"/>
      </w:tabs>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738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8" style="width:480.95pt;height:1pt" o:hralign="center" o:hrstd="t" o:hrnoshade="t" o:hr="t" fillcolor="black [3213]" stroked="f"/>
      </w:pict>
    </w:r>
  </w:p>
  <w:p w:rsidR="00E36428" w:rsidRDefault="00E36428"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7387C">
    <w:pPr>
      <w:pStyle w:val="Footer"/>
      <w:rPr>
        <w:lang w:val="fr-CA"/>
      </w:rPr>
    </w:pPr>
    <w:r>
      <w:rPr>
        <w:lang w:val="fr-CA"/>
      </w:rPr>
      <w:pict>
        <v:rect id="_x0000_i1059" style="width:480.95pt;height:1pt" o:hralign="center" o:hrstd="t" o:hrnoshade="t" o:hr="t" fillcolor="black [3213]" stroked="f"/>
      </w:pict>
    </w:r>
  </w:p>
  <w:p w:rsidR="00E36428" w:rsidRDefault="00E36428" w:rsidP="00EB2B90">
    <w:pPr>
      <w:tabs>
        <w:tab w:val="center" w:pos="4680"/>
      </w:tabs>
    </w:pPr>
    <w:r>
      <w:tab/>
      <w:t xml:space="preserve">- </w:t>
    </w:r>
    <w:r>
      <w:fldChar w:fldCharType="begin"/>
    </w:r>
    <w:r>
      <w:instrText xml:space="preserve"> PAGE   \* MERGEFORMAT </w:instrText>
    </w:r>
    <w:r>
      <w:fldChar w:fldCharType="separate"/>
    </w:r>
    <w:r w:rsidR="00E7387C">
      <w:rPr>
        <w:noProof/>
      </w:rPr>
      <w:t>480</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36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36428" w:rsidRDefault="00E36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36428" w:rsidRDefault="00E36428">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7387C" w:rsidP="00732DB7">
    <w:r>
      <w:pict>
        <v:rect id="_x0000_i1061" style="width:480.95pt;height:1pt" o:hralign="center" o:hrstd="t" o:hrnoshade="t" o:hr="t" fillcolor="black" stroked="f"/>
      </w:pict>
    </w:r>
  </w:p>
  <w:p w:rsidR="00E36428" w:rsidRDefault="00E36428">
    <w:pPr>
      <w:tabs>
        <w:tab w:val="center" w:pos="4740"/>
      </w:tabs>
      <w:spacing w:line="0" w:lineRule="atLeast"/>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7387C">
    <w:pPr>
      <w:pStyle w:val="Footer"/>
    </w:pPr>
    <w:r>
      <w:pict>
        <v:rect id="_x0000_i1062" style="width:480.95pt;height:1pt" o:hralign="center" o:hrstd="t" o:hrnoshade="t" o:hr="t" fillcolor="black [3213]" stroked="f"/>
      </w:pict>
    </w:r>
  </w:p>
  <w:p w:rsidR="00E36428" w:rsidRPr="003C2C0F" w:rsidRDefault="00E36428" w:rsidP="00697C62">
    <w:pPr>
      <w:tabs>
        <w:tab w:val="center" w:pos="4680"/>
      </w:tabs>
    </w:pPr>
    <w:r>
      <w:tab/>
      <w:t xml:space="preserve">- </w:t>
    </w:r>
    <w:r>
      <w:fldChar w:fldCharType="begin"/>
    </w:r>
    <w:r>
      <w:instrText xml:space="preserve"> PAGE   \* MERGEFORMAT </w:instrText>
    </w:r>
    <w:r>
      <w:fldChar w:fldCharType="separate"/>
    </w:r>
    <w:r w:rsidR="00E7387C">
      <w:rPr>
        <w:noProof/>
      </w:rPr>
      <w:t>481</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36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36428" w:rsidRDefault="00E36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36428" w:rsidRDefault="00E36428">
    <w:pPr>
      <w:tabs>
        <w:tab w:val="center" w:pos="4740"/>
      </w:tabs>
    </w:pPr>
    <w:r>
      <w:tab/>
      <w:t xml:space="preserve">- </w:t>
    </w:r>
    <w:r>
      <w:pgNum/>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7387C" w:rsidP="00755F22">
    <w:pPr>
      <w:tabs>
        <w:tab w:val="left" w:pos="-1440"/>
        <w:tab w:val="left" w:pos="-720"/>
      </w:tabs>
    </w:pPr>
    <w:r>
      <w:pict>
        <v:rect id="_x0000_i1027" style="width:480.95pt;height:1pt" o:hralign="center" o:hrstd="t" o:hrnoshade="t" o:hr="t" fillcolor="black [3213]" stroked="f"/>
      </w:pict>
    </w:r>
  </w:p>
  <w:p w:rsidR="00E36428" w:rsidRPr="00954D22" w:rsidRDefault="00E36428"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7387C">
      <w:rPr>
        <w:noProof/>
        <w:szCs w:val="24"/>
      </w:rPr>
      <w:t>455</w:t>
    </w:r>
    <w:r>
      <w:rPr>
        <w:szCs w:val="24"/>
      </w:rPr>
      <w:fldChar w:fldCharType="end"/>
    </w:r>
    <w:r w:rsidRPr="00954D22">
      <w:rPr>
        <w:szCs w:val="24"/>
      </w:rPr>
      <w:t xml:space="preserve"> -</w:t>
    </w:r>
  </w:p>
  <w:p w:rsidR="00E36428" w:rsidRDefault="00E36428">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36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36428" w:rsidRDefault="00E738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5" style="width:480.95pt;height:1pt" o:hralign="center" o:hrstd="t" o:hrnoshade="t" o:hr="t" fillcolor="black [3213]" stroked="f"/>
      </w:pict>
    </w:r>
  </w:p>
  <w:p w:rsidR="00E36428" w:rsidRDefault="00E3642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7387C">
      <w:rPr>
        <w:noProof/>
        <w:szCs w:val="24"/>
      </w:rPr>
      <w:t>487</w:t>
    </w:r>
    <w:r w:rsidRPr="001775C1">
      <w:rPr>
        <w:szCs w:val="24"/>
      </w:rPr>
      <w:fldChar w:fldCharType="end"/>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7387C" w:rsidP="00782AE4">
    <w:pPr>
      <w:tabs>
        <w:tab w:val="center" w:pos="4680"/>
      </w:tabs>
    </w:pPr>
    <w:r>
      <w:pict>
        <v:rect id="_x0000_i1066" style="width:480.95pt;height:1pt" o:hralign="center" o:hrstd="t" o:hrnoshade="t" o:hr="t" fillcolor="black [3213]" stroked="f"/>
      </w:pict>
    </w:r>
  </w:p>
  <w:p w:rsidR="00E36428" w:rsidRDefault="00E36428"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7387C">
      <w:rPr>
        <w:noProof/>
        <w:szCs w:val="24"/>
      </w:rPr>
      <w:t>482</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7387C">
    <w:r>
      <w:rPr>
        <w:lang w:val="fr-CA"/>
      </w:rPr>
      <w:pict>
        <v:rect id="_x0000_i1070" style="width:480.95pt;height:1pt" o:hralign="center" o:hrstd="t" o:hrnoshade="t" o:hr="t" fillcolor="black [3213]" stroked="f"/>
      </w:pict>
    </w:r>
  </w:p>
  <w:p w:rsidR="00E36428" w:rsidRDefault="00E36428" w:rsidP="006B6926">
    <w:pPr>
      <w:tabs>
        <w:tab w:val="center" w:pos="4680"/>
      </w:tabs>
    </w:pPr>
    <w:r>
      <w:tab/>
      <w:t xml:space="preserve">- </w:t>
    </w:r>
    <w:r>
      <w:fldChar w:fldCharType="begin"/>
    </w:r>
    <w:r>
      <w:instrText xml:space="preserve">PAGE </w:instrText>
    </w:r>
    <w:r>
      <w:fldChar w:fldCharType="separate"/>
    </w:r>
    <w:r w:rsidR="00E7387C">
      <w:rPr>
        <w:noProof/>
      </w:rPr>
      <w:t>489</w:t>
    </w:r>
    <w:r>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7387C" w:rsidP="006B6926">
    <w:pPr>
      <w:tabs>
        <w:tab w:val="center" w:pos="4680"/>
      </w:tabs>
      <w:rPr>
        <w:lang w:val="fr-CA"/>
      </w:rPr>
    </w:pPr>
    <w:r>
      <w:rPr>
        <w:lang w:val="fr-CA"/>
      </w:rPr>
      <w:pict>
        <v:rect id="_x0000_i1071" style="width:480.95pt;height:1pt" o:hralign="center" o:hrstd="t" o:hrnoshade="t" o:hr="t" fillcolor="black [3213]" stroked="f"/>
      </w:pict>
    </w:r>
  </w:p>
  <w:p w:rsidR="00E36428" w:rsidRDefault="00E36428" w:rsidP="006B6926">
    <w:pPr>
      <w:tabs>
        <w:tab w:val="center" w:pos="4680"/>
      </w:tabs>
    </w:pPr>
    <w:r>
      <w:tab/>
      <w:t xml:space="preserve">- </w:t>
    </w:r>
    <w:r>
      <w:fldChar w:fldCharType="begin"/>
    </w:r>
    <w:r>
      <w:instrText xml:space="preserve">PAGE </w:instrText>
    </w:r>
    <w:r>
      <w:fldChar w:fldCharType="separate"/>
    </w:r>
    <w:r w:rsidR="00E7387C">
      <w:rPr>
        <w:noProof/>
      </w:rPr>
      <w:t>488</w:t>
    </w:r>
    <w:r>
      <w:rPr>
        <w:noProof/>
      </w:rPr>
      <w:fldChar w:fldCharType="end"/>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Pr="00924065" w:rsidRDefault="00E36428"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7387C" w:rsidP="00A87207">
    <w:pPr>
      <w:pStyle w:val="Footer"/>
    </w:pPr>
    <w:r>
      <w:pict>
        <v:rect id="_x0000_i1029" style="width:480.95pt;height:1pt" o:hralign="center" o:hrstd="t" o:hrnoshade="t" o:hr="t" fillcolor="black [3213]" stroked="f"/>
      </w:pict>
    </w:r>
  </w:p>
  <w:p w:rsidR="00E36428" w:rsidRPr="00B7374B" w:rsidRDefault="00E3642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7387C">
      <w:rPr>
        <w:noProof/>
        <w:szCs w:val="24"/>
      </w:rPr>
      <w:t>457</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7387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0" style="width:480.95pt;height:1pt" o:hralign="center" o:hrstd="t" o:hrnoshade="t" o:hr="t" fillcolor="black [3213]" stroked="f"/>
      </w:pict>
    </w:r>
  </w:p>
  <w:p w:rsidR="00E36428" w:rsidRPr="00954D22" w:rsidRDefault="00E3642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7387C">
      <w:rPr>
        <w:noProof/>
        <w:szCs w:val="24"/>
      </w:rPr>
      <w:t>456</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7387C" w:rsidP="00A87207">
    <w:pPr>
      <w:pStyle w:val="Footer"/>
    </w:pPr>
    <w:r>
      <w:pict>
        <v:rect id="_x0000_i1033" style="width:480.95pt;height:1pt" o:hralign="center" o:hrstd="t" o:hrnoshade="t" o:hr="t" fillcolor="black [3213]" stroked="f"/>
      </w:pict>
    </w:r>
  </w:p>
  <w:p w:rsidR="00E36428" w:rsidRPr="00B7374B" w:rsidRDefault="00E3642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7387C">
      <w:rPr>
        <w:noProof/>
        <w:szCs w:val="24"/>
      </w:rPr>
      <w:t>460</w:t>
    </w:r>
    <w:r w:rsidRPr="00954D22">
      <w:rPr>
        <w:szCs w:val="24"/>
      </w:rPr>
      <w:fldChar w:fldCharType="end"/>
    </w:r>
    <w:r>
      <w:rPr>
        <w:szCs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7387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E36428" w:rsidRPr="00954D22" w:rsidRDefault="00E36428"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7387C">
      <w:rPr>
        <w:noProof/>
        <w:szCs w:val="24"/>
      </w:rPr>
      <w:t>458</w:t>
    </w:r>
    <w:r w:rsidRPr="00954D22">
      <w:rPr>
        <w:szCs w:val="24"/>
      </w:rPr>
      <w:fldChar w:fldCharType="end"/>
    </w:r>
    <w:r w:rsidRPr="00954D22">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36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36428" w:rsidRDefault="00E36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36428" w:rsidRDefault="00E36428">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738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9" style="width:480.95pt;height:1pt" o:hralign="center" o:hrstd="t" o:hrnoshade="t" o:hr="t" fillcolor="black [3213]" stroked="f"/>
      </w:pict>
    </w:r>
  </w:p>
  <w:p w:rsidR="00E36428" w:rsidRPr="0009648D" w:rsidRDefault="00E36428" w:rsidP="00ED7E83">
    <w:pPr>
      <w:tabs>
        <w:tab w:val="center" w:pos="4680"/>
      </w:tabs>
    </w:pPr>
    <w:r>
      <w:tab/>
    </w:r>
    <w:r w:rsidRPr="0009648D">
      <w:t xml:space="preserve">- </w:t>
    </w:r>
    <w:r>
      <w:fldChar w:fldCharType="begin"/>
    </w:r>
    <w:r>
      <w:instrText xml:space="preserve"> PAGE   \* MERGEFORMAT </w:instrText>
    </w:r>
    <w:r>
      <w:fldChar w:fldCharType="separate"/>
    </w:r>
    <w:r w:rsidR="00E7387C">
      <w:rPr>
        <w:noProof/>
      </w:rPr>
      <w:t>466</w:t>
    </w:r>
    <w:r>
      <w:rPr>
        <w:noProof/>
      </w:rPr>
      <w:fldChar w:fldCharType="end"/>
    </w:r>
    <w:r w:rsidRPr="0009648D">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7387C">
    <w:pPr>
      <w:pStyle w:val="Footer"/>
      <w:rPr>
        <w:lang w:val="fr-CA"/>
      </w:rPr>
    </w:pPr>
    <w:r>
      <w:rPr>
        <w:lang w:val="fr-CA"/>
      </w:rPr>
      <w:pict>
        <v:rect id="_x0000_i1050" style="width:480.95pt;height:1pt" o:hralign="center" o:hrstd="t" o:hrnoshade="t" o:hr="t" fillcolor="black [3213]" stroked="f"/>
      </w:pict>
    </w:r>
  </w:p>
  <w:p w:rsidR="00E36428" w:rsidRDefault="00E36428" w:rsidP="00245129">
    <w:pPr>
      <w:tabs>
        <w:tab w:val="center" w:pos="4680"/>
      </w:tabs>
    </w:pPr>
    <w:r>
      <w:tab/>
    </w:r>
    <w:r w:rsidRPr="0009648D">
      <w:t xml:space="preserve">- </w:t>
    </w:r>
    <w:r>
      <w:fldChar w:fldCharType="begin"/>
    </w:r>
    <w:r>
      <w:instrText xml:space="preserve"> PAGE   \* MERGEFORMAT </w:instrText>
    </w:r>
    <w:r>
      <w:fldChar w:fldCharType="separate"/>
    </w:r>
    <w:r w:rsidR="00E7387C">
      <w:rPr>
        <w:noProof/>
      </w:rPr>
      <w:t>461</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428" w:rsidRDefault="00E36428" w:rsidP="00A87207">
      <w:r>
        <w:separator/>
      </w:r>
    </w:p>
  </w:footnote>
  <w:footnote w:type="continuationSeparator" w:id="0">
    <w:p w:rsidR="00E36428" w:rsidRDefault="00E36428"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36428" w:rsidRPr="0044776A" w:rsidTr="00245129">
      <w:tc>
        <w:tcPr>
          <w:tcW w:w="4290" w:type="dxa"/>
          <w:tcMar>
            <w:left w:w="0" w:type="dxa"/>
            <w:right w:w="0" w:type="dxa"/>
          </w:tcMar>
        </w:tcPr>
        <w:p w:rsidR="00E36428" w:rsidRPr="0044776A" w:rsidRDefault="00E36428"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E36428" w:rsidRPr="0044776A" w:rsidRDefault="00E36428" w:rsidP="002E2327">
          <w:pPr>
            <w:keepNext/>
            <w:keepLines/>
            <w:tabs>
              <w:tab w:val="left" w:pos="-1440"/>
              <w:tab w:val="left" w:pos="-720"/>
            </w:tabs>
            <w:jc w:val="center"/>
            <w:rPr>
              <w:sz w:val="20"/>
              <w:szCs w:val="20"/>
            </w:rPr>
          </w:pPr>
        </w:p>
        <w:p w:rsidR="00E36428" w:rsidRPr="0044776A" w:rsidRDefault="00E36428" w:rsidP="002E2327">
          <w:pPr>
            <w:keepNext/>
            <w:keepLines/>
            <w:tabs>
              <w:tab w:val="left" w:pos="-1440"/>
              <w:tab w:val="left" w:pos="-720"/>
            </w:tabs>
            <w:jc w:val="center"/>
            <w:rPr>
              <w:sz w:val="20"/>
              <w:szCs w:val="20"/>
            </w:rPr>
          </w:pPr>
        </w:p>
        <w:p w:rsidR="00E36428" w:rsidRPr="0044776A" w:rsidRDefault="00E36428" w:rsidP="002E2327">
          <w:pPr>
            <w:keepNext/>
            <w:keepLines/>
            <w:tabs>
              <w:tab w:val="left" w:pos="-1440"/>
              <w:tab w:val="left" w:pos="-720"/>
            </w:tabs>
            <w:jc w:val="center"/>
            <w:rPr>
              <w:sz w:val="20"/>
              <w:szCs w:val="20"/>
            </w:rPr>
          </w:pPr>
        </w:p>
      </w:tc>
      <w:tc>
        <w:tcPr>
          <w:tcW w:w="4320" w:type="dxa"/>
          <w:tcMar>
            <w:left w:w="0" w:type="dxa"/>
            <w:right w:w="0" w:type="dxa"/>
          </w:tcMar>
        </w:tcPr>
        <w:p w:rsidR="00E36428" w:rsidRPr="0044776A" w:rsidRDefault="00E36428" w:rsidP="002E2327">
          <w:pPr>
            <w:keepLines/>
            <w:rPr>
              <w:sz w:val="20"/>
              <w:szCs w:val="20"/>
              <w:lang w:val="fr-CA"/>
            </w:rPr>
          </w:pPr>
          <w:r w:rsidRPr="0044776A">
            <w:rPr>
              <w:sz w:val="20"/>
              <w:szCs w:val="20"/>
              <w:lang w:val="fr-CA"/>
            </w:rPr>
            <w:t>DEMANDES D'AUTORISATION D'APPEL DÉPOSÉES</w:t>
          </w:r>
        </w:p>
      </w:tc>
    </w:tr>
  </w:tbl>
  <w:p w:rsidR="00E36428" w:rsidRDefault="00E3642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36428">
      <w:tc>
        <w:tcPr>
          <w:tcW w:w="4230" w:type="dxa"/>
          <w:tcMar>
            <w:left w:w="0" w:type="dxa"/>
            <w:right w:w="0" w:type="dxa"/>
          </w:tcMar>
        </w:tcPr>
        <w:p w:rsidR="00E36428" w:rsidRDefault="00E3642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36428" w:rsidRDefault="00E3642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36428" w:rsidRDefault="00E3642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36428">
      <w:trPr>
        <w:gridAfter w:val="2"/>
        <w:wAfter w:w="5250" w:type="dxa"/>
      </w:trPr>
      <w:tc>
        <w:tcPr>
          <w:tcW w:w="4230" w:type="dxa"/>
          <w:tcMar>
            <w:left w:w="0" w:type="dxa"/>
            <w:right w:w="0" w:type="dxa"/>
          </w:tcMar>
        </w:tcPr>
        <w:p w:rsidR="00E36428" w:rsidRDefault="00E36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36428" w:rsidRDefault="00E36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36428" w:rsidRPr="00755F22" w:rsidTr="00245129">
      <w:tc>
        <w:tcPr>
          <w:tcW w:w="4230" w:type="dxa"/>
          <w:tcMar>
            <w:left w:w="0" w:type="dxa"/>
            <w:right w:w="0" w:type="dxa"/>
          </w:tcMar>
        </w:tcPr>
        <w:p w:rsidR="00E36428" w:rsidRPr="00755F22" w:rsidRDefault="00E36428" w:rsidP="00831CA9">
          <w:pPr>
            <w:keepNext/>
            <w:keepLines/>
            <w:rPr>
              <w:sz w:val="20"/>
              <w:szCs w:val="20"/>
            </w:rPr>
          </w:pPr>
          <w:r w:rsidRPr="00755F22">
            <w:rPr>
              <w:sz w:val="20"/>
              <w:szCs w:val="20"/>
            </w:rPr>
            <w:t>MOTIONS</w:t>
          </w:r>
        </w:p>
      </w:tc>
      <w:tc>
        <w:tcPr>
          <w:tcW w:w="1170" w:type="dxa"/>
          <w:tcMar>
            <w:left w:w="0" w:type="dxa"/>
            <w:right w:w="0" w:type="dxa"/>
          </w:tcMar>
        </w:tcPr>
        <w:p w:rsidR="00E36428" w:rsidRPr="00755F22" w:rsidRDefault="00E36428" w:rsidP="00831CA9">
          <w:pPr>
            <w:keepLines/>
            <w:jc w:val="center"/>
            <w:rPr>
              <w:sz w:val="20"/>
              <w:szCs w:val="20"/>
            </w:rPr>
          </w:pPr>
        </w:p>
        <w:p w:rsidR="00E36428" w:rsidRPr="00755F22" w:rsidRDefault="00E36428" w:rsidP="00831CA9">
          <w:pPr>
            <w:keepLines/>
            <w:tabs>
              <w:tab w:val="left" w:pos="-1440"/>
              <w:tab w:val="left" w:pos="-720"/>
            </w:tabs>
            <w:jc w:val="center"/>
            <w:rPr>
              <w:sz w:val="20"/>
              <w:szCs w:val="20"/>
            </w:rPr>
          </w:pPr>
        </w:p>
      </w:tc>
      <w:tc>
        <w:tcPr>
          <w:tcW w:w="4080" w:type="dxa"/>
          <w:tcMar>
            <w:left w:w="0" w:type="dxa"/>
            <w:right w:w="0" w:type="dxa"/>
          </w:tcMar>
        </w:tcPr>
        <w:p w:rsidR="00E36428" w:rsidRPr="00BA6468" w:rsidRDefault="00E36428" w:rsidP="00BA6468">
          <w:pPr>
            <w:keepLines/>
            <w:rPr>
              <w:sz w:val="20"/>
              <w:szCs w:val="20"/>
              <w:lang w:val="fr-CA"/>
            </w:rPr>
          </w:pPr>
          <w:r w:rsidRPr="00BA6468">
            <w:rPr>
              <w:sz w:val="20"/>
              <w:szCs w:val="20"/>
              <w:lang w:val="fr-CA"/>
            </w:rPr>
            <w:t>REQUÊTES</w:t>
          </w:r>
        </w:p>
      </w:tc>
    </w:tr>
  </w:tbl>
  <w:p w:rsidR="00E36428" w:rsidRDefault="00E36428" w:rsidP="00831CA9">
    <w:pPr>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3642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36428" w:rsidRPr="00E7387C">
      <w:tc>
        <w:tcPr>
          <w:tcW w:w="4200" w:type="dxa"/>
          <w:tcMar>
            <w:left w:w="0" w:type="dxa"/>
            <w:right w:w="0" w:type="dxa"/>
          </w:tcMar>
        </w:tcPr>
        <w:p w:rsidR="00E36428" w:rsidRDefault="00E3642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E36428" w:rsidRDefault="00E3642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36428" w:rsidRPr="00B01A03" w:rsidRDefault="00E3642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E36428" w:rsidRPr="00B01A03" w:rsidRDefault="00E36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36428" w:rsidRPr="00B01A03" w:rsidRDefault="00E36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E36428" w:rsidRPr="00E7387C" w:rsidTr="00245129">
      <w:tc>
        <w:tcPr>
          <w:tcW w:w="4200" w:type="dxa"/>
          <w:tcMar>
            <w:left w:w="0" w:type="dxa"/>
            <w:right w:w="0" w:type="dxa"/>
          </w:tcMar>
        </w:tcPr>
        <w:p w:rsidR="00E36428" w:rsidRPr="00F40249" w:rsidRDefault="00E36428"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E36428" w:rsidRDefault="00E36428" w:rsidP="00102926">
          <w:pPr>
            <w:keepNext/>
            <w:keepLines/>
            <w:tabs>
              <w:tab w:val="left" w:pos="-1440"/>
              <w:tab w:val="left" w:pos="-720"/>
            </w:tabs>
            <w:jc w:val="center"/>
            <w:rPr>
              <w:sz w:val="20"/>
              <w:szCs w:val="20"/>
            </w:rPr>
          </w:pPr>
        </w:p>
        <w:p w:rsidR="00E36428" w:rsidRDefault="00E36428" w:rsidP="00102926">
          <w:pPr>
            <w:keepNext/>
            <w:keepLines/>
            <w:tabs>
              <w:tab w:val="left" w:pos="-1440"/>
              <w:tab w:val="left" w:pos="-720"/>
            </w:tabs>
            <w:jc w:val="center"/>
            <w:rPr>
              <w:sz w:val="20"/>
              <w:szCs w:val="20"/>
            </w:rPr>
          </w:pPr>
        </w:p>
        <w:p w:rsidR="00E36428" w:rsidRPr="00F40249" w:rsidRDefault="00E36428" w:rsidP="00102926">
          <w:pPr>
            <w:keepNext/>
            <w:keepLines/>
            <w:tabs>
              <w:tab w:val="left" w:pos="-1440"/>
              <w:tab w:val="left" w:pos="-720"/>
            </w:tabs>
            <w:jc w:val="center"/>
            <w:rPr>
              <w:sz w:val="20"/>
              <w:szCs w:val="20"/>
            </w:rPr>
          </w:pPr>
        </w:p>
      </w:tc>
      <w:tc>
        <w:tcPr>
          <w:tcW w:w="4230" w:type="dxa"/>
          <w:tcMar>
            <w:left w:w="0" w:type="dxa"/>
            <w:right w:w="0" w:type="dxa"/>
          </w:tcMar>
        </w:tcPr>
        <w:p w:rsidR="00E36428" w:rsidRPr="00F40249" w:rsidRDefault="00E36428"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E36428" w:rsidRPr="00B01A03" w:rsidRDefault="00E36428"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3642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36428" w:rsidRPr="00E7387C">
      <w:tc>
        <w:tcPr>
          <w:tcW w:w="4200" w:type="dxa"/>
          <w:tcMar>
            <w:left w:w="0" w:type="dxa"/>
            <w:right w:w="0" w:type="dxa"/>
          </w:tcMar>
        </w:tcPr>
        <w:p w:rsidR="00E36428" w:rsidRDefault="00E3642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E36428" w:rsidRDefault="00E3642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E36428" w:rsidRDefault="00E3642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E36428" w:rsidRPr="003C2C0F" w:rsidRDefault="00E3642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E36428" w:rsidRPr="003C2C0F" w:rsidRDefault="00E36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E36428" w:rsidRPr="003C2C0F" w:rsidRDefault="00E36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36428" w:rsidRPr="00E7387C" w:rsidTr="00245129">
      <w:tc>
        <w:tcPr>
          <w:tcW w:w="4200" w:type="dxa"/>
          <w:tcMar>
            <w:left w:w="0" w:type="dxa"/>
            <w:right w:w="0" w:type="dxa"/>
          </w:tcMar>
        </w:tcPr>
        <w:p w:rsidR="00E36428" w:rsidRPr="00FF6EEC" w:rsidRDefault="00E36428" w:rsidP="00FF6EEC">
          <w:pPr>
            <w:rPr>
              <w:sz w:val="20"/>
              <w:szCs w:val="20"/>
            </w:rPr>
          </w:pPr>
          <w:r w:rsidRPr="00FF6EEC">
            <w:rPr>
              <w:sz w:val="20"/>
              <w:szCs w:val="20"/>
            </w:rPr>
            <w:t>PRONOUNCEMENTS OF APPEALS RESERVED</w:t>
          </w:r>
        </w:p>
      </w:tc>
      <w:tc>
        <w:tcPr>
          <w:tcW w:w="1200" w:type="dxa"/>
          <w:tcMar>
            <w:left w:w="0" w:type="dxa"/>
            <w:right w:w="0" w:type="dxa"/>
          </w:tcMar>
        </w:tcPr>
        <w:p w:rsidR="00E36428" w:rsidRPr="00FF6EEC" w:rsidRDefault="00E36428" w:rsidP="00FF6EEC">
          <w:pPr>
            <w:jc w:val="center"/>
            <w:rPr>
              <w:sz w:val="20"/>
              <w:szCs w:val="20"/>
            </w:rPr>
          </w:pPr>
        </w:p>
        <w:p w:rsidR="00E36428" w:rsidRPr="00FF6EEC" w:rsidRDefault="00E36428" w:rsidP="00FF6EEC">
          <w:pPr>
            <w:jc w:val="center"/>
            <w:rPr>
              <w:sz w:val="20"/>
              <w:szCs w:val="20"/>
            </w:rPr>
          </w:pPr>
        </w:p>
        <w:p w:rsidR="00E36428" w:rsidRPr="00FF6EEC" w:rsidRDefault="00E36428" w:rsidP="00FF6EEC">
          <w:pPr>
            <w:jc w:val="center"/>
            <w:rPr>
              <w:sz w:val="20"/>
              <w:szCs w:val="20"/>
            </w:rPr>
          </w:pPr>
        </w:p>
      </w:tc>
      <w:tc>
        <w:tcPr>
          <w:tcW w:w="4080" w:type="dxa"/>
          <w:tcMar>
            <w:left w:w="0" w:type="dxa"/>
            <w:right w:w="0" w:type="dxa"/>
          </w:tcMar>
        </w:tcPr>
        <w:p w:rsidR="00E36428" w:rsidRPr="00FF6EEC" w:rsidRDefault="00E36428" w:rsidP="00FF6EEC">
          <w:pPr>
            <w:rPr>
              <w:sz w:val="20"/>
              <w:szCs w:val="20"/>
              <w:lang w:val="fr-CA"/>
            </w:rPr>
          </w:pPr>
          <w:r w:rsidRPr="00FF6EEC">
            <w:rPr>
              <w:sz w:val="20"/>
              <w:szCs w:val="20"/>
              <w:lang w:val="fr-CA"/>
            </w:rPr>
            <w:t>JUGEMENTS RENDUS SUR LES APPELS EN DÉLIBÉRÉ</w:t>
          </w:r>
        </w:p>
      </w:tc>
    </w:tr>
  </w:tbl>
  <w:p w:rsidR="00E36428" w:rsidRPr="003C2C0F" w:rsidRDefault="00E36428"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3642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36428">
      <w:tc>
        <w:tcPr>
          <w:tcW w:w="4230" w:type="dxa"/>
          <w:tcMar>
            <w:left w:w="0" w:type="dxa"/>
            <w:right w:w="0" w:type="dxa"/>
          </w:tcMar>
        </w:tcPr>
        <w:p w:rsidR="00E36428" w:rsidRDefault="00E3642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E36428" w:rsidRDefault="00E3642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E36428" w:rsidRDefault="00E3642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E36428" w:rsidRDefault="00E3642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36428" w:rsidRDefault="00E3642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E36428" w:rsidRDefault="00E3642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E36428" w:rsidRDefault="00E36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36428" w:rsidRDefault="00E36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3642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36428" w:rsidRPr="00782AE4" w:rsidTr="00245129">
      <w:tc>
        <w:tcPr>
          <w:tcW w:w="4230" w:type="dxa"/>
          <w:tcMar>
            <w:left w:w="0" w:type="dxa"/>
            <w:right w:w="0" w:type="dxa"/>
          </w:tcMar>
        </w:tcPr>
        <w:p w:rsidR="00E36428" w:rsidRPr="00782AE4" w:rsidRDefault="00E36428" w:rsidP="00102926">
          <w:pPr>
            <w:keepNext/>
            <w:keepLines/>
            <w:tabs>
              <w:tab w:val="left" w:pos="-1440"/>
              <w:tab w:val="left" w:pos="-720"/>
            </w:tabs>
            <w:rPr>
              <w:sz w:val="20"/>
              <w:szCs w:val="20"/>
            </w:rPr>
          </w:pPr>
          <w:r w:rsidRPr="00782AE4">
            <w:rPr>
              <w:sz w:val="20"/>
              <w:szCs w:val="20"/>
            </w:rPr>
            <w:t xml:space="preserve">HEADNOTES OF RECENT </w:t>
          </w:r>
        </w:p>
        <w:p w:rsidR="00E36428" w:rsidRPr="00782AE4" w:rsidRDefault="00E3642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E36428" w:rsidRDefault="00E36428" w:rsidP="00102926">
          <w:pPr>
            <w:keepNext/>
            <w:keepLines/>
            <w:tabs>
              <w:tab w:val="left" w:pos="-1440"/>
              <w:tab w:val="left" w:pos="-720"/>
            </w:tabs>
            <w:jc w:val="center"/>
            <w:rPr>
              <w:sz w:val="20"/>
              <w:szCs w:val="20"/>
            </w:rPr>
          </w:pPr>
        </w:p>
        <w:p w:rsidR="00E36428" w:rsidRDefault="00E36428" w:rsidP="00102926">
          <w:pPr>
            <w:keepNext/>
            <w:keepLines/>
            <w:tabs>
              <w:tab w:val="left" w:pos="-1440"/>
              <w:tab w:val="left" w:pos="-720"/>
            </w:tabs>
            <w:jc w:val="center"/>
            <w:rPr>
              <w:sz w:val="20"/>
              <w:szCs w:val="20"/>
            </w:rPr>
          </w:pPr>
        </w:p>
        <w:p w:rsidR="00E36428" w:rsidRPr="00782AE4" w:rsidRDefault="00E36428" w:rsidP="00102926">
          <w:pPr>
            <w:keepNext/>
            <w:keepLines/>
            <w:tabs>
              <w:tab w:val="left" w:pos="-1440"/>
              <w:tab w:val="left" w:pos="-720"/>
            </w:tabs>
            <w:jc w:val="center"/>
            <w:rPr>
              <w:sz w:val="20"/>
              <w:szCs w:val="20"/>
            </w:rPr>
          </w:pPr>
        </w:p>
      </w:tc>
      <w:tc>
        <w:tcPr>
          <w:tcW w:w="4080" w:type="dxa"/>
          <w:tcMar>
            <w:left w:w="0" w:type="dxa"/>
            <w:right w:w="0" w:type="dxa"/>
          </w:tcMar>
        </w:tcPr>
        <w:p w:rsidR="00E36428" w:rsidRPr="00102926" w:rsidRDefault="00E3642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E36428" w:rsidRPr="00782AE4" w:rsidRDefault="00E36428" w:rsidP="00102926">
          <w:pPr>
            <w:keepLines/>
            <w:tabs>
              <w:tab w:val="left" w:pos="-1440"/>
              <w:tab w:val="left" w:pos="-720"/>
            </w:tabs>
            <w:rPr>
              <w:sz w:val="20"/>
              <w:szCs w:val="20"/>
            </w:rPr>
          </w:pPr>
          <w:r w:rsidRPr="00102926">
            <w:rPr>
              <w:sz w:val="20"/>
              <w:szCs w:val="20"/>
              <w:lang w:val="fr-CA"/>
            </w:rPr>
            <w:t>RÉCENTS</w:t>
          </w:r>
        </w:p>
      </w:tc>
    </w:tr>
  </w:tbl>
  <w:p w:rsidR="00E36428" w:rsidRDefault="00E36428"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3642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E36428" w:rsidRPr="00E7387C" w:rsidTr="00245129">
      <w:tc>
        <w:tcPr>
          <w:tcW w:w="4320" w:type="dxa"/>
        </w:tcPr>
        <w:p w:rsidR="00E36428" w:rsidRPr="006B6926" w:rsidRDefault="00E36428" w:rsidP="006B6926">
          <w:pPr>
            <w:keepNext/>
            <w:keepLines/>
            <w:rPr>
              <w:bCs/>
              <w:sz w:val="20"/>
              <w:szCs w:val="20"/>
              <w:lang w:val="en-GB"/>
            </w:rPr>
          </w:pPr>
          <w:r w:rsidRPr="006B6926">
            <w:rPr>
              <w:bCs/>
              <w:sz w:val="20"/>
              <w:szCs w:val="20"/>
              <w:lang w:val="en-GB"/>
            </w:rPr>
            <w:t>SUPREME COURT REPORTS</w:t>
          </w:r>
        </w:p>
      </w:tc>
      <w:tc>
        <w:tcPr>
          <w:tcW w:w="840" w:type="dxa"/>
        </w:tcPr>
        <w:p w:rsidR="00E36428" w:rsidRDefault="00E36428" w:rsidP="006B6926">
          <w:pPr>
            <w:jc w:val="center"/>
            <w:rPr>
              <w:bCs/>
              <w:sz w:val="20"/>
              <w:szCs w:val="20"/>
              <w:lang w:val="en-GB"/>
            </w:rPr>
          </w:pPr>
        </w:p>
        <w:p w:rsidR="00E36428" w:rsidRPr="006B6926" w:rsidRDefault="00E36428" w:rsidP="006B6926">
          <w:pPr>
            <w:jc w:val="center"/>
            <w:rPr>
              <w:bCs/>
              <w:sz w:val="20"/>
              <w:szCs w:val="20"/>
              <w:lang w:val="en-GB"/>
            </w:rPr>
          </w:pPr>
        </w:p>
      </w:tc>
      <w:tc>
        <w:tcPr>
          <w:tcW w:w="4320" w:type="dxa"/>
        </w:tcPr>
        <w:p w:rsidR="00E36428" w:rsidRPr="006B6926" w:rsidRDefault="00E36428" w:rsidP="006B6926">
          <w:pPr>
            <w:keepNext/>
            <w:keepLines/>
            <w:rPr>
              <w:bCs/>
              <w:sz w:val="20"/>
              <w:szCs w:val="20"/>
              <w:lang w:val="fr-CA"/>
            </w:rPr>
          </w:pPr>
          <w:r w:rsidRPr="006B6926">
            <w:rPr>
              <w:bCs/>
              <w:sz w:val="20"/>
              <w:szCs w:val="20"/>
              <w:lang w:val="fr-CA"/>
            </w:rPr>
            <w:t>RECUEIL DES ARRÊTS DE LA COUR SUPRÊME</w:t>
          </w:r>
        </w:p>
      </w:tc>
    </w:tr>
  </w:tbl>
  <w:p w:rsidR="00E36428" w:rsidRPr="000924F7" w:rsidRDefault="00E36428">
    <w:pPr>
      <w:pStyle w:val="Header"/>
      <w:rPr>
        <w:lang w:val="fr-CA"/>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36428">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364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36428" w:rsidRPr="00E7387C" w:rsidTr="00245129">
      <w:tc>
        <w:tcPr>
          <w:tcW w:w="4200" w:type="dxa"/>
          <w:tcMar>
            <w:left w:w="0" w:type="dxa"/>
            <w:right w:w="0" w:type="dxa"/>
          </w:tcMar>
        </w:tcPr>
        <w:p w:rsidR="00E36428" w:rsidRPr="0044776A" w:rsidRDefault="00E36428" w:rsidP="0044776A">
          <w:pPr>
            <w:keepNext/>
            <w:keepLines/>
            <w:widowControl w:val="0"/>
            <w:rPr>
              <w:sz w:val="20"/>
              <w:szCs w:val="20"/>
            </w:rPr>
          </w:pPr>
          <w:r>
            <w:rPr>
              <w:sz w:val="20"/>
              <w:szCs w:val="20"/>
            </w:rPr>
            <w:t>APPLICATIONS FOR LEAVE</w:t>
          </w:r>
        </w:p>
        <w:p w:rsidR="00E36428" w:rsidRPr="0044776A" w:rsidRDefault="00E36428"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E36428" w:rsidRPr="0044776A" w:rsidRDefault="00E36428" w:rsidP="0044776A">
          <w:pPr>
            <w:keepNext/>
            <w:keepLines/>
            <w:widowControl w:val="0"/>
            <w:jc w:val="center"/>
            <w:rPr>
              <w:sz w:val="20"/>
              <w:szCs w:val="20"/>
            </w:rPr>
          </w:pPr>
        </w:p>
        <w:p w:rsidR="00E36428" w:rsidRPr="0044776A" w:rsidRDefault="00E36428" w:rsidP="0044776A">
          <w:pPr>
            <w:keepNext/>
            <w:keepLines/>
            <w:widowControl w:val="0"/>
            <w:jc w:val="center"/>
            <w:rPr>
              <w:sz w:val="20"/>
              <w:szCs w:val="20"/>
            </w:rPr>
          </w:pPr>
        </w:p>
        <w:p w:rsidR="00E36428" w:rsidRPr="0044776A" w:rsidRDefault="00E36428" w:rsidP="0044776A">
          <w:pPr>
            <w:keepNext/>
            <w:keepLines/>
            <w:widowControl w:val="0"/>
            <w:jc w:val="center"/>
            <w:rPr>
              <w:sz w:val="20"/>
              <w:szCs w:val="20"/>
            </w:rPr>
          </w:pPr>
        </w:p>
      </w:tc>
      <w:tc>
        <w:tcPr>
          <w:tcW w:w="4080" w:type="dxa"/>
          <w:tcMar>
            <w:left w:w="0" w:type="dxa"/>
            <w:right w:w="0" w:type="dxa"/>
          </w:tcMar>
        </w:tcPr>
        <w:p w:rsidR="00E36428" w:rsidRPr="0044776A" w:rsidRDefault="00E36428" w:rsidP="0044776A">
          <w:pPr>
            <w:keepLines/>
            <w:widowControl w:val="0"/>
            <w:rPr>
              <w:sz w:val="20"/>
              <w:szCs w:val="20"/>
              <w:lang w:val="fr-CA"/>
            </w:rPr>
          </w:pPr>
          <w:r w:rsidRPr="0044776A">
            <w:rPr>
              <w:sz w:val="20"/>
              <w:szCs w:val="20"/>
              <w:lang w:val="fr-CA"/>
            </w:rPr>
            <w:t>DEMANDES SOUMISES À LA COUR DEPUIS LA DERNIÈRE PARUTION</w:t>
          </w:r>
        </w:p>
        <w:p w:rsidR="00E36428" w:rsidRPr="0044776A" w:rsidRDefault="00E36428" w:rsidP="0044776A">
          <w:pPr>
            <w:widowControl w:val="0"/>
            <w:rPr>
              <w:sz w:val="20"/>
              <w:szCs w:val="20"/>
              <w:lang w:val="fr-CA"/>
            </w:rPr>
          </w:pPr>
        </w:p>
      </w:tc>
    </w:tr>
  </w:tbl>
  <w:p w:rsidR="00E36428" w:rsidRPr="002E2327" w:rsidRDefault="00E36428">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3642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36428" w:rsidRPr="00B65BA0" w:rsidTr="00245129">
      <w:tc>
        <w:tcPr>
          <w:tcW w:w="4200" w:type="dxa"/>
          <w:tcMar>
            <w:left w:w="0" w:type="dxa"/>
            <w:right w:w="0" w:type="dxa"/>
          </w:tcMar>
        </w:tcPr>
        <w:p w:rsidR="00E36428" w:rsidRPr="0044776A" w:rsidRDefault="00E36428" w:rsidP="0044776A">
          <w:pPr>
            <w:keepNext/>
            <w:keepLines/>
            <w:widowControl w:val="0"/>
            <w:rPr>
              <w:sz w:val="20"/>
              <w:szCs w:val="20"/>
            </w:rPr>
          </w:pPr>
          <w:r>
            <w:rPr>
              <w:sz w:val="20"/>
              <w:szCs w:val="20"/>
            </w:rPr>
            <w:t>ORAL HEARING ORDERED</w:t>
          </w:r>
        </w:p>
      </w:tc>
      <w:tc>
        <w:tcPr>
          <w:tcW w:w="1200" w:type="dxa"/>
          <w:tcMar>
            <w:left w:w="0" w:type="dxa"/>
            <w:right w:w="0" w:type="dxa"/>
          </w:tcMar>
        </w:tcPr>
        <w:p w:rsidR="00E36428" w:rsidRPr="0044776A" w:rsidRDefault="00E36428" w:rsidP="0044776A">
          <w:pPr>
            <w:keepNext/>
            <w:keepLines/>
            <w:widowControl w:val="0"/>
            <w:jc w:val="center"/>
            <w:rPr>
              <w:sz w:val="20"/>
              <w:szCs w:val="20"/>
            </w:rPr>
          </w:pPr>
        </w:p>
        <w:p w:rsidR="00E36428" w:rsidRPr="0044776A" w:rsidRDefault="00E36428" w:rsidP="0044776A">
          <w:pPr>
            <w:keepNext/>
            <w:keepLines/>
            <w:widowControl w:val="0"/>
            <w:jc w:val="center"/>
            <w:rPr>
              <w:sz w:val="20"/>
              <w:szCs w:val="20"/>
            </w:rPr>
          </w:pPr>
        </w:p>
        <w:p w:rsidR="00E36428" w:rsidRPr="0044776A" w:rsidRDefault="00E36428" w:rsidP="0044776A">
          <w:pPr>
            <w:keepNext/>
            <w:keepLines/>
            <w:widowControl w:val="0"/>
            <w:jc w:val="center"/>
            <w:rPr>
              <w:sz w:val="20"/>
              <w:szCs w:val="20"/>
            </w:rPr>
          </w:pPr>
        </w:p>
      </w:tc>
      <w:tc>
        <w:tcPr>
          <w:tcW w:w="4080" w:type="dxa"/>
          <w:tcMar>
            <w:left w:w="0" w:type="dxa"/>
            <w:right w:w="0" w:type="dxa"/>
          </w:tcMar>
        </w:tcPr>
        <w:p w:rsidR="00E36428" w:rsidRPr="0044776A" w:rsidRDefault="00E36428" w:rsidP="0044776A">
          <w:pPr>
            <w:keepLines/>
            <w:widowControl w:val="0"/>
            <w:rPr>
              <w:sz w:val="20"/>
              <w:szCs w:val="20"/>
              <w:lang w:val="fr-CA"/>
            </w:rPr>
          </w:pPr>
          <w:r>
            <w:rPr>
              <w:sz w:val="20"/>
              <w:szCs w:val="20"/>
              <w:lang w:val="fr-CA"/>
            </w:rPr>
            <w:t>AUDIENCE ORDONNÉE</w:t>
          </w:r>
        </w:p>
        <w:p w:rsidR="00E36428" w:rsidRPr="0044776A" w:rsidRDefault="00E36428" w:rsidP="0044776A">
          <w:pPr>
            <w:widowControl w:val="0"/>
            <w:rPr>
              <w:sz w:val="20"/>
              <w:szCs w:val="20"/>
              <w:lang w:val="fr-CA"/>
            </w:rPr>
          </w:pPr>
        </w:p>
      </w:tc>
    </w:tr>
  </w:tbl>
  <w:p w:rsidR="00E36428" w:rsidRPr="002E2327" w:rsidRDefault="00E36428">
    <w:pPr>
      <w:pStyle w:val="Header"/>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3642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36428" w:rsidRPr="00E7387C">
      <w:tc>
        <w:tcPr>
          <w:tcW w:w="4200" w:type="dxa"/>
          <w:tcMar>
            <w:left w:w="0" w:type="dxa"/>
            <w:right w:w="0" w:type="dxa"/>
          </w:tcMar>
        </w:tcPr>
        <w:p w:rsidR="00E36428" w:rsidRDefault="00E3642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36428" w:rsidRDefault="00E3642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36428" w:rsidRDefault="00E3642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36428" w:rsidRPr="00FF6BA5" w:rsidRDefault="00E3642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36428" w:rsidRPr="00FF6BA5" w:rsidRDefault="00E36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36428" w:rsidRPr="00FF6BA5" w:rsidRDefault="00E36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36428" w:rsidRPr="00FF6BA5" w:rsidRDefault="00E364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36428" w:rsidRPr="00E7387C" w:rsidTr="00245129">
      <w:tc>
        <w:tcPr>
          <w:tcW w:w="4200" w:type="dxa"/>
          <w:tcMar>
            <w:left w:w="0" w:type="dxa"/>
            <w:right w:w="0" w:type="dxa"/>
          </w:tcMar>
        </w:tcPr>
        <w:p w:rsidR="00E36428" w:rsidRPr="00755F22" w:rsidRDefault="00E3642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E36428" w:rsidRPr="00755F22" w:rsidRDefault="00E3642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E36428" w:rsidRPr="00755F22" w:rsidRDefault="00E3642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36428" w:rsidRPr="00755F22" w:rsidRDefault="00E3642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36428" w:rsidRPr="00755F22" w:rsidRDefault="00E36428"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36428" w:rsidRPr="00755F22" w:rsidRDefault="00E3642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E36428" w:rsidRPr="00FF6BA5" w:rsidRDefault="00E36428" w:rsidP="00755F22">
    <w:pPr>
      <w:tabs>
        <w:tab w:val="left" w:pos="-1440"/>
        <w:tab w:val="left" w:pos="-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28" w:rsidRDefault="00E36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AF"/>
    <w:rsid w:val="00002704"/>
    <w:rsid w:val="00020DC3"/>
    <w:rsid w:val="0003223B"/>
    <w:rsid w:val="000327B2"/>
    <w:rsid w:val="0004528B"/>
    <w:rsid w:val="00064FBA"/>
    <w:rsid w:val="000654A4"/>
    <w:rsid w:val="00091FA6"/>
    <w:rsid w:val="00096BD9"/>
    <w:rsid w:val="000A7873"/>
    <w:rsid w:val="000B3C9A"/>
    <w:rsid w:val="000B40A2"/>
    <w:rsid w:val="000B4624"/>
    <w:rsid w:val="000C0ACD"/>
    <w:rsid w:val="000C0D2A"/>
    <w:rsid w:val="000C5CE8"/>
    <w:rsid w:val="000E27A5"/>
    <w:rsid w:val="000E2959"/>
    <w:rsid w:val="000E51D2"/>
    <w:rsid w:val="000F0B60"/>
    <w:rsid w:val="00102926"/>
    <w:rsid w:val="00104B42"/>
    <w:rsid w:val="0010587F"/>
    <w:rsid w:val="00111C6B"/>
    <w:rsid w:val="0012102B"/>
    <w:rsid w:val="0013369E"/>
    <w:rsid w:val="0013595D"/>
    <w:rsid w:val="00154CD6"/>
    <w:rsid w:val="00164E6D"/>
    <w:rsid w:val="00183454"/>
    <w:rsid w:val="001854FA"/>
    <w:rsid w:val="001B157C"/>
    <w:rsid w:val="001B4006"/>
    <w:rsid w:val="001B5C23"/>
    <w:rsid w:val="001D0D5F"/>
    <w:rsid w:val="001D6B8C"/>
    <w:rsid w:val="001F1F83"/>
    <w:rsid w:val="001F40DF"/>
    <w:rsid w:val="001F43F8"/>
    <w:rsid w:val="001F6B2D"/>
    <w:rsid w:val="002021A9"/>
    <w:rsid w:val="002139A7"/>
    <w:rsid w:val="00215F7C"/>
    <w:rsid w:val="0022323B"/>
    <w:rsid w:val="002410B8"/>
    <w:rsid w:val="00242AEE"/>
    <w:rsid w:val="00245129"/>
    <w:rsid w:val="00245879"/>
    <w:rsid w:val="00253236"/>
    <w:rsid w:val="00267FD5"/>
    <w:rsid w:val="00274D34"/>
    <w:rsid w:val="00283ED8"/>
    <w:rsid w:val="002868D0"/>
    <w:rsid w:val="002A008C"/>
    <w:rsid w:val="002A27D1"/>
    <w:rsid w:val="002A4AFA"/>
    <w:rsid w:val="002B4929"/>
    <w:rsid w:val="002B516C"/>
    <w:rsid w:val="002D4B73"/>
    <w:rsid w:val="002D72EB"/>
    <w:rsid w:val="002E2327"/>
    <w:rsid w:val="002E3583"/>
    <w:rsid w:val="002E5576"/>
    <w:rsid w:val="0030050B"/>
    <w:rsid w:val="00331B52"/>
    <w:rsid w:val="003359D3"/>
    <w:rsid w:val="00346C54"/>
    <w:rsid w:val="00355967"/>
    <w:rsid w:val="00382C47"/>
    <w:rsid w:val="00384384"/>
    <w:rsid w:val="003866AE"/>
    <w:rsid w:val="003B3735"/>
    <w:rsid w:val="003B3977"/>
    <w:rsid w:val="003E1D4C"/>
    <w:rsid w:val="004137A0"/>
    <w:rsid w:val="00422D9A"/>
    <w:rsid w:val="00425EDA"/>
    <w:rsid w:val="00432989"/>
    <w:rsid w:val="00440E24"/>
    <w:rsid w:val="0044776A"/>
    <w:rsid w:val="00460AFC"/>
    <w:rsid w:val="00462675"/>
    <w:rsid w:val="0047471F"/>
    <w:rsid w:val="004B195E"/>
    <w:rsid w:val="004B66B4"/>
    <w:rsid w:val="004B7F60"/>
    <w:rsid w:val="004C1AAC"/>
    <w:rsid w:val="004E1E0A"/>
    <w:rsid w:val="004F090E"/>
    <w:rsid w:val="00501F3C"/>
    <w:rsid w:val="0052229C"/>
    <w:rsid w:val="00527CC7"/>
    <w:rsid w:val="0056248C"/>
    <w:rsid w:val="00571CA4"/>
    <w:rsid w:val="00582136"/>
    <w:rsid w:val="005C6840"/>
    <w:rsid w:val="005F1ED8"/>
    <w:rsid w:val="005F263E"/>
    <w:rsid w:val="00600252"/>
    <w:rsid w:val="00605B87"/>
    <w:rsid w:val="00612A40"/>
    <w:rsid w:val="0062714A"/>
    <w:rsid w:val="006327AF"/>
    <w:rsid w:val="00675479"/>
    <w:rsid w:val="00680709"/>
    <w:rsid w:val="00681F61"/>
    <w:rsid w:val="00696BF9"/>
    <w:rsid w:val="00697C62"/>
    <w:rsid w:val="006A329B"/>
    <w:rsid w:val="006A7EB8"/>
    <w:rsid w:val="006B6926"/>
    <w:rsid w:val="006C3F47"/>
    <w:rsid w:val="006C5F7A"/>
    <w:rsid w:val="006E06AF"/>
    <w:rsid w:val="006F350F"/>
    <w:rsid w:val="00710B7F"/>
    <w:rsid w:val="00732DB7"/>
    <w:rsid w:val="0074238B"/>
    <w:rsid w:val="00744D93"/>
    <w:rsid w:val="00745EF7"/>
    <w:rsid w:val="00752A20"/>
    <w:rsid w:val="00755F22"/>
    <w:rsid w:val="00762008"/>
    <w:rsid w:val="00766E4A"/>
    <w:rsid w:val="007820CE"/>
    <w:rsid w:val="00782AE4"/>
    <w:rsid w:val="0079724F"/>
    <w:rsid w:val="007A3EAE"/>
    <w:rsid w:val="007A7667"/>
    <w:rsid w:val="007C04FC"/>
    <w:rsid w:val="007C3DB0"/>
    <w:rsid w:val="007C47C2"/>
    <w:rsid w:val="007D3E0F"/>
    <w:rsid w:val="007E4282"/>
    <w:rsid w:val="007F387B"/>
    <w:rsid w:val="00802863"/>
    <w:rsid w:val="008112A9"/>
    <w:rsid w:val="0081473A"/>
    <w:rsid w:val="00815B3C"/>
    <w:rsid w:val="0081610A"/>
    <w:rsid w:val="0082783A"/>
    <w:rsid w:val="00831CA9"/>
    <w:rsid w:val="00850E1F"/>
    <w:rsid w:val="0085476B"/>
    <w:rsid w:val="0086340B"/>
    <w:rsid w:val="008902B1"/>
    <w:rsid w:val="00890FEB"/>
    <w:rsid w:val="00894E6D"/>
    <w:rsid w:val="00895E7E"/>
    <w:rsid w:val="008A5C1A"/>
    <w:rsid w:val="008A6BA5"/>
    <w:rsid w:val="008D292F"/>
    <w:rsid w:val="008E03DC"/>
    <w:rsid w:val="00902E51"/>
    <w:rsid w:val="00924065"/>
    <w:rsid w:val="00930D68"/>
    <w:rsid w:val="00932DB4"/>
    <w:rsid w:val="00937E0B"/>
    <w:rsid w:val="00941A4B"/>
    <w:rsid w:val="00946242"/>
    <w:rsid w:val="0095096B"/>
    <w:rsid w:val="00970CD3"/>
    <w:rsid w:val="009723FA"/>
    <w:rsid w:val="00984546"/>
    <w:rsid w:val="00996510"/>
    <w:rsid w:val="009C14E5"/>
    <w:rsid w:val="009D1F15"/>
    <w:rsid w:val="009D555E"/>
    <w:rsid w:val="009F3024"/>
    <w:rsid w:val="009F39BA"/>
    <w:rsid w:val="00A0355E"/>
    <w:rsid w:val="00A375D1"/>
    <w:rsid w:val="00A51D10"/>
    <w:rsid w:val="00A52A83"/>
    <w:rsid w:val="00A6552C"/>
    <w:rsid w:val="00A87207"/>
    <w:rsid w:val="00A935AA"/>
    <w:rsid w:val="00A956D3"/>
    <w:rsid w:val="00AB2201"/>
    <w:rsid w:val="00AD1D34"/>
    <w:rsid w:val="00AD3259"/>
    <w:rsid w:val="00AF1715"/>
    <w:rsid w:val="00AF3904"/>
    <w:rsid w:val="00B010C0"/>
    <w:rsid w:val="00B4740D"/>
    <w:rsid w:val="00B61629"/>
    <w:rsid w:val="00B65BA0"/>
    <w:rsid w:val="00B66AE9"/>
    <w:rsid w:val="00B7374B"/>
    <w:rsid w:val="00B77AFE"/>
    <w:rsid w:val="00B90DC0"/>
    <w:rsid w:val="00BA116A"/>
    <w:rsid w:val="00BA5582"/>
    <w:rsid w:val="00BA6468"/>
    <w:rsid w:val="00BB1D44"/>
    <w:rsid w:val="00BD06DA"/>
    <w:rsid w:val="00BD4217"/>
    <w:rsid w:val="00BE0090"/>
    <w:rsid w:val="00BF25F3"/>
    <w:rsid w:val="00C01FCB"/>
    <w:rsid w:val="00C1697B"/>
    <w:rsid w:val="00C21644"/>
    <w:rsid w:val="00C21CB5"/>
    <w:rsid w:val="00C23476"/>
    <w:rsid w:val="00C46376"/>
    <w:rsid w:val="00C50A5C"/>
    <w:rsid w:val="00C50FDF"/>
    <w:rsid w:val="00C63381"/>
    <w:rsid w:val="00C661B7"/>
    <w:rsid w:val="00C73D06"/>
    <w:rsid w:val="00C73E1B"/>
    <w:rsid w:val="00C7556C"/>
    <w:rsid w:val="00C759B4"/>
    <w:rsid w:val="00C77713"/>
    <w:rsid w:val="00C85BB7"/>
    <w:rsid w:val="00C87B03"/>
    <w:rsid w:val="00CA2DEA"/>
    <w:rsid w:val="00CB3520"/>
    <w:rsid w:val="00CB43D5"/>
    <w:rsid w:val="00CC4D84"/>
    <w:rsid w:val="00CE198A"/>
    <w:rsid w:val="00CF08C8"/>
    <w:rsid w:val="00D004FC"/>
    <w:rsid w:val="00D64901"/>
    <w:rsid w:val="00D76BDF"/>
    <w:rsid w:val="00D818B6"/>
    <w:rsid w:val="00D862C1"/>
    <w:rsid w:val="00D93B50"/>
    <w:rsid w:val="00D94028"/>
    <w:rsid w:val="00D94670"/>
    <w:rsid w:val="00D95FE7"/>
    <w:rsid w:val="00DA46F6"/>
    <w:rsid w:val="00DA756F"/>
    <w:rsid w:val="00DC11B6"/>
    <w:rsid w:val="00DD0B49"/>
    <w:rsid w:val="00DE0502"/>
    <w:rsid w:val="00DE349D"/>
    <w:rsid w:val="00E06DFA"/>
    <w:rsid w:val="00E178A7"/>
    <w:rsid w:val="00E20A0A"/>
    <w:rsid w:val="00E240C2"/>
    <w:rsid w:val="00E356C7"/>
    <w:rsid w:val="00E36428"/>
    <w:rsid w:val="00E414CA"/>
    <w:rsid w:val="00E41A5A"/>
    <w:rsid w:val="00E45FE4"/>
    <w:rsid w:val="00E56854"/>
    <w:rsid w:val="00E64FA7"/>
    <w:rsid w:val="00E7387C"/>
    <w:rsid w:val="00E75CFD"/>
    <w:rsid w:val="00E770CB"/>
    <w:rsid w:val="00E8544A"/>
    <w:rsid w:val="00E903A1"/>
    <w:rsid w:val="00E940EB"/>
    <w:rsid w:val="00E942C2"/>
    <w:rsid w:val="00E9703F"/>
    <w:rsid w:val="00EB2B90"/>
    <w:rsid w:val="00ED7E83"/>
    <w:rsid w:val="00EE091F"/>
    <w:rsid w:val="00EF4B63"/>
    <w:rsid w:val="00F0068D"/>
    <w:rsid w:val="00F0576D"/>
    <w:rsid w:val="00F14E6D"/>
    <w:rsid w:val="00F15EA8"/>
    <w:rsid w:val="00F16C8D"/>
    <w:rsid w:val="00F26C61"/>
    <w:rsid w:val="00F33CCE"/>
    <w:rsid w:val="00F40249"/>
    <w:rsid w:val="00F526C8"/>
    <w:rsid w:val="00F761A3"/>
    <w:rsid w:val="00F9272D"/>
    <w:rsid w:val="00F9518C"/>
    <w:rsid w:val="00F95A6A"/>
    <w:rsid w:val="00FA316E"/>
    <w:rsid w:val="00FA3373"/>
    <w:rsid w:val="00FA59EF"/>
    <w:rsid w:val="00FB19A2"/>
    <w:rsid w:val="00FB4A2E"/>
    <w:rsid w:val="00FC7A5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AppellantForRunningHead">
    <w:name w:val="SCC.AppellantForRunningHead"/>
    <w:basedOn w:val="Normal"/>
    <w:next w:val="Normal"/>
    <w:link w:val="SCCAppellantForRunningHeadChar"/>
    <w:rsid w:val="000654A4"/>
    <w:rPr>
      <w:rFonts w:eastAsia="Times New Roman" w:cs="Times New Roman"/>
      <w:smallCaps/>
      <w:szCs w:val="20"/>
      <w:lang w:eastAsia="en-CA"/>
    </w:rPr>
  </w:style>
  <w:style w:type="character" w:customStyle="1" w:styleId="SCCAppellantForRunningHeadChar">
    <w:name w:val="SCC.AppellantForRunningHead Char"/>
    <w:basedOn w:val="DefaultParagraphFont"/>
    <w:link w:val="SCCAppellantForRunningHead"/>
    <w:rsid w:val="000654A4"/>
    <w:rPr>
      <w:rFonts w:eastAsia="Times New Roman" w:cs="Times New Roman"/>
      <w:smallCaps/>
      <w:szCs w:val="20"/>
      <w:lang w:val="en-CA" w:eastAsia="en-CA"/>
    </w:rPr>
  </w:style>
  <w:style w:type="paragraph" w:customStyle="1" w:styleId="SCCBanSummary">
    <w:name w:val="SCC.BanSummary"/>
    <w:basedOn w:val="Normal"/>
    <w:next w:val="Normal"/>
    <w:link w:val="SCCBanSummaryChar"/>
    <w:rsid w:val="00B65BA0"/>
    <w:pPr>
      <w:jc w:val="both"/>
    </w:pPr>
    <w:rPr>
      <w:rFonts w:eastAsia="Calibri" w:cs="Times New Roman"/>
      <w:smallCaps/>
    </w:rPr>
  </w:style>
  <w:style w:type="character" w:customStyle="1" w:styleId="SCCBanSummaryChar">
    <w:name w:val="SCC.BanSummary Char"/>
    <w:basedOn w:val="DefaultParagraphFont"/>
    <w:link w:val="SCCBanSummary"/>
    <w:rsid w:val="00B65BA0"/>
    <w:rPr>
      <w:rFonts w:eastAsia="Calibri" w:cs="Times New Roman"/>
      <w:smallCaps/>
      <w:lang w:val="en-CA"/>
    </w:rPr>
  </w:style>
  <w:style w:type="character" w:customStyle="1" w:styleId="italic1">
    <w:name w:val="italic1"/>
    <w:basedOn w:val="DefaultParagraphFont"/>
    <w:rsid w:val="00B65BA0"/>
    <w:rPr>
      <w:i/>
      <w:iCs/>
    </w:rPr>
  </w:style>
  <w:style w:type="paragraph" w:styleId="BalloonText">
    <w:name w:val="Balloon Text"/>
    <w:basedOn w:val="Normal"/>
    <w:link w:val="BalloonTextChar"/>
    <w:uiPriority w:val="99"/>
    <w:semiHidden/>
    <w:unhideWhenUsed/>
    <w:rsid w:val="00E178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8A7"/>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605B87"/>
    <w:rPr>
      <w:b/>
      <w:szCs w:val="24"/>
    </w:rPr>
  </w:style>
  <w:style w:type="character" w:customStyle="1" w:styleId="SCCAppellantInfoTypeOfCaseChar">
    <w:name w:val="SCC.AppellantInfo.TypeOfCase Char"/>
    <w:basedOn w:val="DefaultParagraphFont"/>
    <w:link w:val="SCCAppellantInfoTypeOfCase"/>
    <w:rsid w:val="00605B87"/>
    <w:rPr>
      <w:b/>
      <w:szCs w:val="24"/>
      <w:lang w:val="en-CA"/>
    </w:rPr>
  </w:style>
  <w:style w:type="paragraph" w:customStyle="1" w:styleId="SCCAppellantInfoAppellantInfo">
    <w:name w:val="SCC.AppellantInfo.AppellantInfo"/>
    <w:basedOn w:val="Normal"/>
    <w:next w:val="Normal"/>
    <w:link w:val="SCCAppellantInfoAppellantInfoChar"/>
    <w:rsid w:val="00605B87"/>
    <w:rPr>
      <w:szCs w:val="24"/>
    </w:rPr>
  </w:style>
  <w:style w:type="character" w:customStyle="1" w:styleId="SCCAppellantInfoAppellantInfoChar">
    <w:name w:val="SCC.AppellantInfo.AppellantInfo Char"/>
    <w:basedOn w:val="DefaultParagraphFont"/>
    <w:link w:val="SCCAppellantInfoAppellantInfo"/>
    <w:rsid w:val="00605B87"/>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398748849">
      <w:bodyDiv w:val="1"/>
      <w:marLeft w:val="0"/>
      <w:marRight w:val="0"/>
      <w:marTop w:val="0"/>
      <w:marBottom w:val="0"/>
      <w:divBdr>
        <w:top w:val="none" w:sz="0" w:space="0" w:color="auto"/>
        <w:left w:val="none" w:sz="0" w:space="0" w:color="auto"/>
        <w:bottom w:val="none" w:sz="0" w:space="0" w:color="auto"/>
        <w:right w:val="none" w:sz="0" w:space="0" w:color="auto"/>
      </w:divBdr>
    </w:div>
    <w:div w:id="891387757">
      <w:bodyDiv w:val="1"/>
      <w:marLeft w:val="0"/>
      <w:marRight w:val="0"/>
      <w:marTop w:val="0"/>
      <w:marBottom w:val="0"/>
      <w:divBdr>
        <w:top w:val="none" w:sz="0" w:space="0" w:color="auto"/>
        <w:left w:val="none" w:sz="0" w:space="0" w:color="auto"/>
        <w:bottom w:val="none" w:sz="0" w:space="0" w:color="auto"/>
        <w:right w:val="none" w:sz="0" w:space="0" w:color="auto"/>
      </w:divBdr>
    </w:div>
    <w:div w:id="11976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canlii.ca/t/gtwxt" TargetMode="External"/><Relationship Id="rId26" Type="http://schemas.openxmlformats.org/officeDocument/2006/relationships/hyperlink" Target="http://www.canlii.org/fr/qc/qcca/doc/2016/2016qcca1665/2016qcca1665.html" TargetMode="External"/><Relationship Id="rId39" Type="http://schemas.openxmlformats.org/officeDocument/2006/relationships/header" Target="header10.xml"/><Relationship Id="rId21" Type="http://schemas.openxmlformats.org/officeDocument/2006/relationships/header" Target="header6.xml"/><Relationship Id="rId34" Type="http://schemas.openxmlformats.org/officeDocument/2006/relationships/header" Target="header8.xml"/><Relationship Id="rId42" Type="http://schemas.openxmlformats.org/officeDocument/2006/relationships/footer" Target="footer11.xml"/><Relationship Id="rId47" Type="http://schemas.openxmlformats.org/officeDocument/2006/relationships/footer" Target="footer13.xml"/><Relationship Id="rId50" Type="http://schemas.openxmlformats.org/officeDocument/2006/relationships/footer" Target="footer15.xml"/><Relationship Id="rId55" Type="http://schemas.openxmlformats.org/officeDocument/2006/relationships/header" Target="header18.xml"/><Relationship Id="rId63" Type="http://schemas.openxmlformats.org/officeDocument/2006/relationships/footer" Target="footer21.xml"/><Relationship Id="rId68" Type="http://schemas.openxmlformats.org/officeDocument/2006/relationships/header" Target="header24.xml"/><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http://www.canlii.org/en/on/onsc/doc/2015/2015onsc7465/2015onsc7465.html?autocompleteStr=Khodabandeh&amp;autocompletePos=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anlii.org/fr/qc/qcca/doc/2016/2016qcca1665/2016qcca1665.html" TargetMode="External"/><Relationship Id="rId32" Type="http://schemas.openxmlformats.org/officeDocument/2006/relationships/hyperlink" Target="http://www.canlii.org/en/on/onsc/doc/2016/2016onsc2212/2016onsc2212.html?autocompleteStr=Khodabandeh&amp;autocompletePos=2" TargetMode="Externa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header" Target="header13.xml"/><Relationship Id="rId53" Type="http://schemas.openxmlformats.org/officeDocument/2006/relationships/footer" Target="footer16.xml"/><Relationship Id="rId58" Type="http://schemas.openxmlformats.org/officeDocument/2006/relationships/header" Target="header19.xml"/><Relationship Id="rId66"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canlii.org/fr/qc/qccs/doc/2015/2015qccs415/2015qccs415.html" TargetMode="External"/><Relationship Id="rId28" Type="http://schemas.openxmlformats.org/officeDocument/2006/relationships/hyperlink" Target="http://canlii.ca/t/gs2vg" TargetMode="External"/><Relationship Id="rId36" Type="http://schemas.openxmlformats.org/officeDocument/2006/relationships/footer" Target="footer8.xml"/><Relationship Id="rId49" Type="http://schemas.openxmlformats.org/officeDocument/2006/relationships/header" Target="header15.xml"/><Relationship Id="rId57" Type="http://schemas.openxmlformats.org/officeDocument/2006/relationships/hyperlink" Target="http://www.scc-csc.ca/case-dossier/info/sum-som-eng.aspx?cas=36472" TargetMode="External"/><Relationship Id="rId61" Type="http://schemas.openxmlformats.org/officeDocument/2006/relationships/footer" Target="footer20.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www.canlii.org/en/on/onsc/doc/2015/2015onsc7465/2015onsc7465.html?autocompleteStr=Khodabandeh&amp;autocompletePos=3" TargetMode="External"/><Relationship Id="rId44" Type="http://schemas.openxmlformats.org/officeDocument/2006/relationships/footer" Target="footer12.xml"/><Relationship Id="rId52" Type="http://schemas.openxmlformats.org/officeDocument/2006/relationships/header" Target="header17.xml"/><Relationship Id="rId60" Type="http://schemas.openxmlformats.org/officeDocument/2006/relationships/footer" Target="footer19.xml"/><Relationship Id="rId65"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canlii.ca/t/gs2vg" TargetMode="External"/><Relationship Id="rId30" Type="http://schemas.openxmlformats.org/officeDocument/2006/relationships/hyperlink" Target="http://www.canlii.org/en/on/onsc/doc/2016/2016onsc2212/2016onsc2212.html?autocompleteStr=Khodabandeh&amp;autocompletePos=2" TargetMode="External"/><Relationship Id="rId35" Type="http://schemas.openxmlformats.org/officeDocument/2006/relationships/footer" Target="footer7.xml"/><Relationship Id="rId43" Type="http://schemas.openxmlformats.org/officeDocument/2006/relationships/header" Target="header12.xml"/><Relationship Id="rId48" Type="http://schemas.openxmlformats.org/officeDocument/2006/relationships/footer" Target="footer14.xml"/><Relationship Id="rId56" Type="http://schemas.openxmlformats.org/officeDocument/2006/relationships/footer" Target="footer18.xml"/><Relationship Id="rId64" Type="http://schemas.openxmlformats.org/officeDocument/2006/relationships/header" Target="header22.xml"/><Relationship Id="rId69" Type="http://schemas.openxmlformats.org/officeDocument/2006/relationships/footer" Target="footer24.xml"/><Relationship Id="rId8" Type="http://schemas.openxmlformats.org/officeDocument/2006/relationships/hyperlink" Target="http://www.scc-csc.ca" TargetMode="External"/><Relationship Id="rId51" Type="http://schemas.openxmlformats.org/officeDocument/2006/relationships/header" Target="header16.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canlii.ca/t/gtwxt" TargetMode="External"/><Relationship Id="rId25" Type="http://schemas.openxmlformats.org/officeDocument/2006/relationships/hyperlink" Target="http://www.canlii.org/fr/qc/qccs/doc/2015/2015qccs415/2015qccs415.html" TargetMode="External"/><Relationship Id="rId33" Type="http://schemas.openxmlformats.org/officeDocument/2006/relationships/header" Target="header7.xml"/><Relationship Id="rId38" Type="http://schemas.openxmlformats.org/officeDocument/2006/relationships/footer" Target="footer9.xml"/><Relationship Id="rId46" Type="http://schemas.openxmlformats.org/officeDocument/2006/relationships/header" Target="header14.xml"/><Relationship Id="rId59" Type="http://schemas.openxmlformats.org/officeDocument/2006/relationships/header" Target="header20.xml"/><Relationship Id="rId67" Type="http://schemas.openxmlformats.org/officeDocument/2006/relationships/footer" Target="footer23.xml"/><Relationship Id="rId20" Type="http://schemas.openxmlformats.org/officeDocument/2006/relationships/footer" Target="footer5.xml"/><Relationship Id="rId41" Type="http://schemas.openxmlformats.org/officeDocument/2006/relationships/footer" Target="footer10.xml"/><Relationship Id="rId54" Type="http://schemas.openxmlformats.org/officeDocument/2006/relationships/footer" Target="footer17.xml"/><Relationship Id="rId62" Type="http://schemas.openxmlformats.org/officeDocument/2006/relationships/header" Target="header21.xm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38</Pages>
  <Words>14597</Words>
  <Characters>83205</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2017-03-13T18:17:00Z</dcterms:created>
  <dcterms:modified xsi:type="dcterms:W3CDTF">2017-03-21T18:33:00Z</dcterms:modified>
</cp:coreProperties>
</file>